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8B88" w14:textId="77777777" w:rsidR="007D0778" w:rsidRPr="00ED7BEC" w:rsidRDefault="007D0778" w:rsidP="00ED7BEC">
      <w:pPr>
        <w:wordWrap/>
        <w:spacing w:after="0" w:line="360" w:lineRule="auto"/>
        <w:rPr>
          <w:rFonts w:ascii="Book Antiqua" w:eastAsiaTheme="majorHAnsi" w:hAnsi="Book Antiqua" w:cs="Arial"/>
          <w:b/>
          <w:color w:val="000000" w:themeColor="text1"/>
          <w:sz w:val="24"/>
          <w:szCs w:val="24"/>
        </w:rPr>
      </w:pPr>
      <w:r w:rsidRPr="00ED7BEC">
        <w:rPr>
          <w:rFonts w:ascii="Book Antiqua" w:eastAsiaTheme="majorHAnsi" w:hAnsi="Book Antiqua" w:cs="Arial"/>
          <w:b/>
          <w:color w:val="000000" w:themeColor="text1"/>
          <w:sz w:val="24"/>
          <w:szCs w:val="24"/>
        </w:rPr>
        <w:t xml:space="preserve">Name of Journal: </w:t>
      </w:r>
      <w:r w:rsidRPr="00ED7BEC">
        <w:rPr>
          <w:rFonts w:ascii="Book Antiqua" w:eastAsiaTheme="majorHAnsi" w:hAnsi="Book Antiqua" w:cs="Arial"/>
          <w:i/>
          <w:iCs/>
          <w:color w:val="000000" w:themeColor="text1"/>
          <w:sz w:val="24"/>
          <w:szCs w:val="24"/>
        </w:rPr>
        <w:t>World Journal of Gastroenterology</w:t>
      </w:r>
    </w:p>
    <w:p w14:paraId="490CDB97" w14:textId="77777777" w:rsidR="005346E7" w:rsidRPr="00ED7BEC" w:rsidRDefault="005346E7" w:rsidP="00ED7BEC">
      <w:pPr>
        <w:wordWrap/>
        <w:adjustRightInd w:val="0"/>
        <w:snapToGrid w:val="0"/>
        <w:spacing w:after="0" w:line="360" w:lineRule="auto"/>
        <w:rPr>
          <w:rFonts w:ascii="Book Antiqua" w:eastAsia="等线" w:hAnsi="Book Antiqua" w:cs="Arial"/>
          <w:color w:val="000000" w:themeColor="text1"/>
          <w:sz w:val="24"/>
          <w:szCs w:val="24"/>
          <w:lang w:eastAsia="zh-CN"/>
        </w:rPr>
      </w:pPr>
      <w:bookmarkStart w:id="0" w:name="_Hlk5632321"/>
      <w:r w:rsidRPr="00ED7BEC">
        <w:rPr>
          <w:rFonts w:ascii="Book Antiqua" w:eastAsia="Times New Roman" w:hAnsi="Book Antiqua"/>
          <w:b/>
          <w:bCs/>
          <w:color w:val="000000" w:themeColor="text1"/>
          <w:sz w:val="24"/>
          <w:szCs w:val="24"/>
        </w:rPr>
        <w:t>Manuscript NO</w:t>
      </w:r>
      <w:r w:rsidRPr="00ED7BEC">
        <w:rPr>
          <w:rFonts w:ascii="Book Antiqua" w:hAnsi="Book Antiqua" w:cs="Arial"/>
          <w:b/>
          <w:color w:val="000000" w:themeColor="text1"/>
          <w:sz w:val="24"/>
          <w:szCs w:val="24"/>
        </w:rPr>
        <w:t xml:space="preserve">: </w:t>
      </w:r>
      <w:bookmarkEnd w:id="0"/>
      <w:r w:rsidRPr="00ED7BEC">
        <w:rPr>
          <w:rFonts w:ascii="Book Antiqua" w:eastAsia="等线" w:hAnsi="Book Antiqua" w:cs="Arial"/>
          <w:color w:val="000000" w:themeColor="text1"/>
          <w:sz w:val="24"/>
          <w:szCs w:val="24"/>
          <w:lang w:eastAsia="zh-CN"/>
        </w:rPr>
        <w:t>49851</w:t>
      </w:r>
    </w:p>
    <w:p w14:paraId="0D50FB03" w14:textId="628D27CF" w:rsidR="007D0778" w:rsidRPr="00ED7BEC" w:rsidRDefault="007D0778" w:rsidP="00ED7BEC">
      <w:pPr>
        <w:wordWrap/>
        <w:spacing w:after="0" w:line="360" w:lineRule="auto"/>
        <w:rPr>
          <w:rFonts w:ascii="Book Antiqua" w:eastAsiaTheme="majorHAnsi" w:hAnsi="Book Antiqua" w:cs="Arial"/>
          <w:b/>
          <w:color w:val="000000" w:themeColor="text1"/>
          <w:sz w:val="24"/>
          <w:szCs w:val="24"/>
        </w:rPr>
      </w:pPr>
      <w:r w:rsidRPr="00ED7BEC">
        <w:rPr>
          <w:rFonts w:ascii="Book Antiqua" w:eastAsiaTheme="majorHAnsi" w:hAnsi="Book Antiqua" w:cs="Arial"/>
          <w:b/>
          <w:color w:val="000000" w:themeColor="text1"/>
          <w:sz w:val="24"/>
          <w:szCs w:val="24"/>
        </w:rPr>
        <w:t xml:space="preserve">Manuscript Type: </w:t>
      </w:r>
      <w:r w:rsidR="00ED7BEC" w:rsidRPr="00ED7BEC">
        <w:rPr>
          <w:rFonts w:ascii="Book Antiqua" w:eastAsiaTheme="majorHAnsi" w:hAnsi="Book Antiqua" w:cs="Arial"/>
          <w:bCs/>
          <w:color w:val="000000" w:themeColor="text1"/>
          <w:sz w:val="24"/>
          <w:szCs w:val="24"/>
        </w:rPr>
        <w:t>ORIGINAL ARTICLE</w:t>
      </w:r>
    </w:p>
    <w:p w14:paraId="76BA5CAE" w14:textId="5197830E" w:rsidR="005346E7" w:rsidRDefault="005346E7" w:rsidP="00ED7BEC">
      <w:pPr>
        <w:wordWrap/>
        <w:spacing w:after="0" w:line="360" w:lineRule="auto"/>
        <w:rPr>
          <w:rFonts w:ascii="Book Antiqua" w:hAnsi="Book Antiqua" w:cs="Arial"/>
          <w:b/>
          <w:color w:val="000000" w:themeColor="text1"/>
          <w:sz w:val="24"/>
          <w:szCs w:val="24"/>
        </w:rPr>
      </w:pPr>
    </w:p>
    <w:p w14:paraId="3C8BA367" w14:textId="5C58C939" w:rsidR="00ED7BEC" w:rsidRPr="00ED7BEC" w:rsidRDefault="00ED7BEC" w:rsidP="00ED7BEC">
      <w:pPr>
        <w:wordWrap/>
        <w:spacing w:after="0" w:line="360" w:lineRule="auto"/>
        <w:rPr>
          <w:rFonts w:ascii="Book Antiqua" w:hAnsi="Book Antiqua" w:cs="Arial"/>
          <w:b/>
          <w:bCs/>
          <w:i/>
          <w:iCs/>
          <w:color w:val="000000" w:themeColor="text1"/>
          <w:sz w:val="24"/>
          <w:szCs w:val="24"/>
        </w:rPr>
      </w:pPr>
      <w:r w:rsidRPr="00ED7BEC">
        <w:rPr>
          <w:rFonts w:ascii="Book Antiqua" w:eastAsiaTheme="majorHAnsi" w:hAnsi="Book Antiqua" w:cs="Arial"/>
          <w:b/>
          <w:bCs/>
          <w:i/>
          <w:iCs/>
          <w:color w:val="000000" w:themeColor="text1"/>
          <w:sz w:val="24"/>
          <w:szCs w:val="24"/>
        </w:rPr>
        <w:t>Observational Study</w:t>
      </w:r>
    </w:p>
    <w:p w14:paraId="6682810F" w14:textId="77777777" w:rsidR="00B637D7" w:rsidRPr="00ED7BEC" w:rsidRDefault="00B637D7" w:rsidP="00ED7BEC">
      <w:pPr>
        <w:wordWrap/>
        <w:spacing w:after="0" w:line="360" w:lineRule="auto"/>
        <w:rPr>
          <w:rFonts w:ascii="Book Antiqua" w:hAnsi="Book Antiqua" w:cs="Arial"/>
          <w:b/>
          <w:color w:val="000000" w:themeColor="text1"/>
          <w:sz w:val="24"/>
          <w:szCs w:val="24"/>
        </w:rPr>
      </w:pPr>
      <w:bookmarkStart w:id="1" w:name="OLE_LINK191"/>
      <w:r w:rsidRPr="00ED7BEC">
        <w:rPr>
          <w:rFonts w:ascii="Book Antiqua" w:hAnsi="Book Antiqua" w:cs="Arial"/>
          <w:b/>
          <w:color w:val="000000" w:themeColor="text1"/>
          <w:sz w:val="24"/>
          <w:szCs w:val="24"/>
        </w:rPr>
        <w:t xml:space="preserve">Tenofovir is </w:t>
      </w:r>
      <w:r w:rsidR="00382360" w:rsidRPr="00ED7BEC">
        <w:rPr>
          <w:rFonts w:ascii="Book Antiqua" w:hAnsi="Book Antiqua" w:cs="Arial"/>
          <w:b/>
          <w:color w:val="000000" w:themeColor="text1"/>
          <w:sz w:val="24"/>
          <w:szCs w:val="24"/>
        </w:rPr>
        <w:t xml:space="preserve">a </w:t>
      </w:r>
      <w:r w:rsidRPr="00ED7BEC">
        <w:rPr>
          <w:rFonts w:ascii="Book Antiqua" w:hAnsi="Book Antiqua" w:cs="Arial"/>
          <w:b/>
          <w:color w:val="000000" w:themeColor="text1"/>
          <w:sz w:val="24"/>
          <w:szCs w:val="24"/>
        </w:rPr>
        <w:t>more</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 xml:space="preserve">suitable </w:t>
      </w:r>
      <w:r w:rsidR="00382360" w:rsidRPr="00ED7BEC">
        <w:rPr>
          <w:rFonts w:ascii="Book Antiqua" w:hAnsi="Book Antiqua" w:cs="Arial"/>
          <w:b/>
          <w:color w:val="000000" w:themeColor="text1"/>
          <w:sz w:val="24"/>
          <w:szCs w:val="24"/>
        </w:rPr>
        <w:t xml:space="preserve">treatment </w:t>
      </w:r>
      <w:r w:rsidRPr="00ED7BEC">
        <w:rPr>
          <w:rFonts w:ascii="Book Antiqua" w:hAnsi="Book Antiqua" w:cs="Arial"/>
          <w:b/>
          <w:color w:val="000000" w:themeColor="text1"/>
          <w:sz w:val="24"/>
          <w:szCs w:val="24"/>
        </w:rPr>
        <w:t xml:space="preserve">than entecavir for </w:t>
      </w:r>
      <w:r w:rsidR="00382360" w:rsidRPr="00ED7BEC">
        <w:rPr>
          <w:rFonts w:ascii="Book Antiqua" w:hAnsi="Book Antiqua" w:cs="Arial"/>
          <w:b/>
          <w:color w:val="000000" w:themeColor="text1"/>
          <w:sz w:val="24"/>
          <w:szCs w:val="24"/>
        </w:rPr>
        <w:t>chronic hepatitis B</w:t>
      </w:r>
      <w:r w:rsidRPr="00ED7BEC">
        <w:rPr>
          <w:rFonts w:ascii="Book Antiqua" w:hAnsi="Book Antiqua" w:cs="Arial"/>
          <w:b/>
          <w:color w:val="000000" w:themeColor="text1"/>
          <w:sz w:val="24"/>
          <w:szCs w:val="24"/>
        </w:rPr>
        <w:t xml:space="preserve"> patients </w:t>
      </w:r>
      <w:r w:rsidR="00382360" w:rsidRPr="00ED7BEC">
        <w:rPr>
          <w:rFonts w:ascii="Book Antiqua" w:hAnsi="Book Antiqua" w:cs="Arial"/>
          <w:b/>
          <w:color w:val="000000" w:themeColor="text1"/>
          <w:sz w:val="24"/>
          <w:szCs w:val="24"/>
        </w:rPr>
        <w:t>carrying</w:t>
      </w:r>
      <w:r w:rsidRPr="00ED7BEC">
        <w:rPr>
          <w:rFonts w:ascii="Book Antiqua" w:hAnsi="Book Antiqua" w:cs="Arial"/>
          <w:b/>
          <w:color w:val="000000" w:themeColor="text1"/>
          <w:sz w:val="24"/>
          <w:szCs w:val="24"/>
        </w:rPr>
        <w:t xml:space="preserve"> naturally</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occurring rtM204I</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mutations</w:t>
      </w:r>
    </w:p>
    <w:bookmarkEnd w:id="1"/>
    <w:p w14:paraId="379E1469" w14:textId="77777777" w:rsidR="00B637D7" w:rsidRPr="00ED7BEC" w:rsidRDefault="00B637D7" w:rsidP="00ED7BEC">
      <w:pPr>
        <w:wordWrap/>
        <w:spacing w:after="0" w:line="360" w:lineRule="auto"/>
        <w:rPr>
          <w:rFonts w:ascii="Book Antiqua" w:hAnsi="Book Antiqua" w:cs="Arial"/>
          <w:b/>
          <w:color w:val="000000" w:themeColor="text1"/>
          <w:sz w:val="24"/>
          <w:szCs w:val="24"/>
        </w:rPr>
      </w:pPr>
    </w:p>
    <w:p w14:paraId="4681D291" w14:textId="77777777" w:rsidR="00033787" w:rsidRPr="00ED7BEC" w:rsidRDefault="00643B02"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Choe WH </w:t>
      </w:r>
      <w:r w:rsidRPr="00ED7BEC">
        <w:rPr>
          <w:rFonts w:ascii="Book Antiqua" w:hAnsi="Book Antiqua" w:cs="Arial"/>
          <w:i/>
          <w:color w:val="000000" w:themeColor="text1"/>
          <w:sz w:val="24"/>
          <w:szCs w:val="24"/>
        </w:rPr>
        <w:t>et al</w:t>
      </w:r>
      <w:r w:rsidRPr="00ED7BEC">
        <w:rPr>
          <w:rFonts w:ascii="Book Antiqua" w:hAnsi="Book Antiqua" w:cs="Arial"/>
          <w:color w:val="000000" w:themeColor="text1"/>
          <w:sz w:val="24"/>
          <w:szCs w:val="24"/>
        </w:rPr>
        <w:t>.</w:t>
      </w:r>
      <w:r w:rsidR="00FB7FCB" w:rsidRPr="00ED7BEC">
        <w:rPr>
          <w:rFonts w:ascii="Book Antiqua" w:hAnsi="Book Antiqua" w:cs="Arial"/>
          <w:color w:val="000000" w:themeColor="text1"/>
          <w:sz w:val="24"/>
          <w:szCs w:val="24"/>
        </w:rPr>
        <w:t xml:space="preserve"> </w:t>
      </w:r>
      <w:bookmarkStart w:id="2" w:name="OLE_LINK192"/>
      <w:bookmarkStart w:id="3" w:name="OLE_LINK193"/>
      <w:r w:rsidR="001E6832" w:rsidRPr="00ED7BEC">
        <w:rPr>
          <w:rFonts w:ascii="Book Antiqua" w:hAnsi="Book Antiqua" w:cs="Arial"/>
          <w:color w:val="000000" w:themeColor="text1"/>
          <w:sz w:val="24"/>
          <w:szCs w:val="24"/>
        </w:rPr>
        <w:t>Anti-HBV therapy</w:t>
      </w:r>
      <w:r w:rsidR="00FB7FCB" w:rsidRPr="00ED7BEC">
        <w:rPr>
          <w:rFonts w:ascii="Book Antiqua" w:hAnsi="Book Antiqua" w:cs="Arial"/>
          <w:color w:val="000000" w:themeColor="text1"/>
          <w:sz w:val="24"/>
          <w:szCs w:val="24"/>
        </w:rPr>
        <w:t xml:space="preserve"> </w:t>
      </w:r>
      <w:r w:rsidR="00147D44" w:rsidRPr="00ED7BEC">
        <w:rPr>
          <w:rFonts w:ascii="Book Antiqua" w:hAnsi="Book Antiqua" w:cs="Arial"/>
          <w:color w:val="000000" w:themeColor="text1"/>
          <w:sz w:val="24"/>
          <w:szCs w:val="24"/>
        </w:rPr>
        <w:t>for</w:t>
      </w:r>
      <w:r w:rsidR="00033787" w:rsidRPr="00ED7BEC">
        <w:rPr>
          <w:rFonts w:ascii="Book Antiqua" w:hAnsi="Book Antiqua" w:cs="Arial"/>
          <w:color w:val="000000" w:themeColor="text1"/>
          <w:sz w:val="24"/>
          <w:szCs w:val="24"/>
        </w:rPr>
        <w:t xml:space="preserve"> naturally-occurring rtM204I </w:t>
      </w:r>
      <w:r w:rsidR="00147D44" w:rsidRPr="00ED7BEC">
        <w:rPr>
          <w:rFonts w:ascii="Book Antiqua" w:hAnsi="Book Antiqua" w:cs="Arial"/>
          <w:color w:val="000000" w:themeColor="text1"/>
          <w:sz w:val="24"/>
          <w:szCs w:val="24"/>
        </w:rPr>
        <w:t>mutations</w:t>
      </w:r>
      <w:bookmarkEnd w:id="2"/>
      <w:bookmarkEnd w:id="3"/>
    </w:p>
    <w:p w14:paraId="7D77D705" w14:textId="77777777" w:rsidR="00033787" w:rsidRPr="00ED7BEC" w:rsidRDefault="00033787" w:rsidP="00ED7BEC">
      <w:pPr>
        <w:wordWrap/>
        <w:spacing w:after="0" w:line="360" w:lineRule="auto"/>
        <w:rPr>
          <w:rFonts w:ascii="Book Antiqua" w:hAnsi="Book Antiqua" w:cs="Arial"/>
          <w:b/>
          <w:color w:val="000000" w:themeColor="text1"/>
          <w:sz w:val="24"/>
          <w:szCs w:val="24"/>
        </w:rPr>
      </w:pPr>
    </w:p>
    <w:p w14:paraId="5D345999" w14:textId="0CF6BB5B" w:rsidR="001E6832" w:rsidRPr="00ED7BEC" w:rsidRDefault="001E6832" w:rsidP="00ED7BEC">
      <w:pPr>
        <w:wordWrap/>
        <w:spacing w:after="0" w:line="360" w:lineRule="auto"/>
        <w:rPr>
          <w:rFonts w:ascii="Book Antiqua" w:hAnsi="Book Antiqua" w:cs="Arial"/>
          <w:color w:val="000000" w:themeColor="text1"/>
          <w:sz w:val="24"/>
          <w:szCs w:val="24"/>
        </w:rPr>
      </w:pPr>
      <w:bookmarkStart w:id="4" w:name="OLE_LINK190"/>
      <w:r w:rsidRPr="00ED7BEC">
        <w:rPr>
          <w:rFonts w:ascii="Book Antiqua" w:hAnsi="Book Antiqua" w:cs="Arial"/>
          <w:color w:val="000000" w:themeColor="text1"/>
          <w:sz w:val="24"/>
          <w:szCs w:val="24"/>
        </w:rPr>
        <w:t>Won Hyeok Choe, Ki</w:t>
      </w:r>
      <w:r w:rsidR="00266C0D">
        <w:rPr>
          <w:rFonts w:ascii="Book Antiqua" w:hAnsi="Book Antiqua" w:cs="Arial"/>
          <w:color w:val="000000" w:themeColor="text1"/>
          <w:sz w:val="24"/>
          <w:szCs w:val="24"/>
        </w:rPr>
        <w:t xml:space="preserve"> </w:t>
      </w:r>
      <w:r w:rsidR="00266C0D" w:rsidRPr="00ED7BEC">
        <w:rPr>
          <w:rFonts w:ascii="Book Antiqua" w:hAnsi="Book Antiqua" w:cs="Arial"/>
          <w:color w:val="000000" w:themeColor="text1"/>
          <w:sz w:val="24"/>
          <w:szCs w:val="24"/>
        </w:rPr>
        <w:t>J</w:t>
      </w:r>
      <w:r w:rsidRPr="00ED7BEC">
        <w:rPr>
          <w:rFonts w:ascii="Book Antiqua" w:hAnsi="Book Antiqua" w:cs="Arial"/>
          <w:color w:val="000000" w:themeColor="text1"/>
          <w:sz w:val="24"/>
          <w:szCs w:val="24"/>
        </w:rPr>
        <w:t>eong Kim, So</w:t>
      </w:r>
      <w:r w:rsidR="00266C0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Young Lee, Yu</w:t>
      </w:r>
      <w:r w:rsidR="00266C0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Min Choi, So Young Kwon, Jeong Han Kim, Bum</w:t>
      </w:r>
      <w:r w:rsidR="00266C0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Joon Kim</w:t>
      </w:r>
    </w:p>
    <w:bookmarkEnd w:id="4"/>
    <w:p w14:paraId="3C5E1FB8" w14:textId="77777777" w:rsidR="001E6832" w:rsidRPr="00ED7BEC" w:rsidRDefault="001E6832" w:rsidP="00ED7BEC">
      <w:pPr>
        <w:wordWrap/>
        <w:spacing w:after="0" w:line="360" w:lineRule="auto"/>
        <w:rPr>
          <w:rFonts w:ascii="Book Antiqua" w:hAnsi="Book Antiqua" w:cs="Arial"/>
          <w:b/>
          <w:color w:val="000000" w:themeColor="text1"/>
          <w:sz w:val="24"/>
          <w:szCs w:val="24"/>
        </w:rPr>
      </w:pPr>
    </w:p>
    <w:p w14:paraId="1859F2A3" w14:textId="4C646CE7" w:rsidR="001E6832" w:rsidRDefault="001E6832"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Won Hyeok Choe, So Young Kwon, Jeong Han Kim</w:t>
      </w:r>
      <w:r w:rsidR="00ED7BEC">
        <w:rPr>
          <w:rFonts w:ascii="Book Antiqua" w:hAnsi="Book Antiqua" w:cs="Arial"/>
          <w:b/>
          <w:color w:val="000000" w:themeColor="text1"/>
          <w:sz w:val="24"/>
          <w:szCs w:val="24"/>
        </w:rPr>
        <w:t>,</w:t>
      </w:r>
      <w:r w:rsidR="00ED7BEC">
        <w:rPr>
          <w:rFonts w:ascii="Book Antiqua" w:eastAsia="等线" w:hAnsi="Book Antiqua" w:cs="Arial" w:hint="eastAsia"/>
          <w:b/>
          <w:color w:val="000000" w:themeColor="text1"/>
          <w:sz w:val="24"/>
          <w:szCs w:val="24"/>
          <w:vertAlign w:val="superscript"/>
          <w:lang w:eastAsia="zh-CN"/>
        </w:rPr>
        <w:t xml:space="preserve"> </w:t>
      </w:r>
      <w:r w:rsidRPr="00ED7BEC">
        <w:rPr>
          <w:rFonts w:ascii="Book Antiqua" w:hAnsi="Book Antiqua" w:cs="Arial"/>
          <w:color w:val="000000" w:themeColor="text1"/>
          <w:sz w:val="24"/>
          <w:szCs w:val="24"/>
        </w:rPr>
        <w:t xml:space="preserve">Department of Internal Medicine, Konkuk University School of Medicine, Seoul </w:t>
      </w:r>
      <w:r w:rsidRPr="00ED7BEC">
        <w:rPr>
          <w:rFonts w:ascii="Book Antiqua" w:hAnsi="Book Antiqua"/>
          <w:color w:val="000000" w:themeColor="text1"/>
          <w:sz w:val="24"/>
          <w:szCs w:val="24"/>
          <w:lang w:eastAsia="zh-CN"/>
        </w:rPr>
        <w:t>05030</w:t>
      </w:r>
      <w:r w:rsidRPr="00ED7BEC">
        <w:rPr>
          <w:rFonts w:ascii="Book Antiqua" w:hAnsi="Book Antiqua" w:cs="Arial"/>
          <w:color w:val="000000" w:themeColor="text1"/>
          <w:sz w:val="24"/>
          <w:szCs w:val="24"/>
        </w:rPr>
        <w:t xml:space="preserve">, </w:t>
      </w:r>
      <w:r w:rsidR="00ED7BEC" w:rsidRPr="00ED7BEC">
        <w:rPr>
          <w:rFonts w:ascii="Book Antiqua" w:hAnsi="Book Antiqua" w:cs="Arial"/>
          <w:color w:val="000000" w:themeColor="text1"/>
          <w:sz w:val="24"/>
          <w:szCs w:val="24"/>
        </w:rPr>
        <w:t>South Korea</w:t>
      </w:r>
    </w:p>
    <w:p w14:paraId="011A48E7" w14:textId="77777777" w:rsidR="00ED7BEC" w:rsidRPr="00ED7BEC" w:rsidRDefault="00ED7BEC" w:rsidP="00ED7BEC">
      <w:pPr>
        <w:wordWrap/>
        <w:spacing w:after="0" w:line="360" w:lineRule="auto"/>
        <w:rPr>
          <w:rFonts w:ascii="Book Antiqua" w:hAnsi="Book Antiqua" w:cs="Arial"/>
          <w:b/>
          <w:color w:val="000000" w:themeColor="text1"/>
          <w:sz w:val="24"/>
          <w:szCs w:val="24"/>
          <w:vertAlign w:val="superscript"/>
        </w:rPr>
      </w:pPr>
    </w:p>
    <w:p w14:paraId="0FCC6D0B" w14:textId="0EB14032" w:rsidR="001E6832" w:rsidRDefault="001E6832"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Ki</w:t>
      </w:r>
      <w:r w:rsidR="00266C0D">
        <w:rPr>
          <w:rFonts w:ascii="Book Antiqua" w:hAnsi="Book Antiqua" w:cs="Arial"/>
          <w:b/>
          <w:color w:val="000000" w:themeColor="text1"/>
          <w:sz w:val="24"/>
          <w:szCs w:val="24"/>
        </w:rPr>
        <w:t xml:space="preserve"> </w:t>
      </w:r>
      <w:r w:rsidR="00266C0D" w:rsidRPr="00ED7BEC">
        <w:rPr>
          <w:rFonts w:ascii="Book Antiqua" w:hAnsi="Book Antiqua" w:cs="Arial"/>
          <w:b/>
          <w:color w:val="000000" w:themeColor="text1"/>
          <w:sz w:val="24"/>
          <w:szCs w:val="24"/>
        </w:rPr>
        <w:t>J</w:t>
      </w:r>
      <w:r w:rsidRPr="00ED7BEC">
        <w:rPr>
          <w:rFonts w:ascii="Book Antiqua" w:hAnsi="Book Antiqua" w:cs="Arial"/>
          <w:b/>
          <w:color w:val="000000" w:themeColor="text1"/>
          <w:sz w:val="24"/>
          <w:szCs w:val="24"/>
        </w:rPr>
        <w:t>eong Kim</w:t>
      </w:r>
      <w:r w:rsidR="00ED7BEC">
        <w:rPr>
          <w:rFonts w:ascii="Book Antiqua" w:hAnsi="Book Antiqua" w:cs="Arial"/>
          <w:b/>
          <w:color w:val="000000" w:themeColor="text1"/>
          <w:sz w:val="24"/>
          <w:szCs w:val="24"/>
        </w:rPr>
        <w:t>,</w:t>
      </w:r>
      <w:r w:rsidR="00ED7BEC">
        <w:rPr>
          <w:rFonts w:ascii="Book Antiqua" w:eastAsia="等线" w:hAnsi="Book Antiqua" w:cs="Arial" w:hint="eastAsia"/>
          <w:b/>
          <w:color w:val="000000" w:themeColor="text1"/>
          <w:sz w:val="24"/>
          <w:szCs w:val="24"/>
          <w:lang w:eastAsia="zh-CN"/>
        </w:rPr>
        <w:t xml:space="preserve"> </w:t>
      </w:r>
      <w:r w:rsidRPr="00ED7BEC">
        <w:rPr>
          <w:rFonts w:ascii="Book Antiqua" w:hAnsi="Book Antiqua" w:cs="Arial"/>
          <w:color w:val="000000" w:themeColor="text1"/>
          <w:sz w:val="24"/>
          <w:szCs w:val="24"/>
        </w:rPr>
        <w:t>Department of Microbiology, School of Medicine, Joong-Ang University, Seoul 06974, South Korea</w:t>
      </w:r>
    </w:p>
    <w:p w14:paraId="520E1504" w14:textId="77777777" w:rsidR="00ED7BEC" w:rsidRPr="00ED7BEC" w:rsidRDefault="00ED7BEC" w:rsidP="00ED7BEC">
      <w:pPr>
        <w:wordWrap/>
        <w:spacing w:after="0" w:line="360" w:lineRule="auto"/>
        <w:rPr>
          <w:rFonts w:ascii="Book Antiqua" w:hAnsi="Book Antiqua" w:cs="Arial"/>
          <w:b/>
          <w:color w:val="000000" w:themeColor="text1"/>
          <w:sz w:val="24"/>
          <w:szCs w:val="24"/>
        </w:rPr>
      </w:pPr>
    </w:p>
    <w:p w14:paraId="38F00D56" w14:textId="14EB24A5" w:rsidR="001E6832" w:rsidRPr="00ED7BEC" w:rsidRDefault="001E6832"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So</w:t>
      </w:r>
      <w:r w:rsidR="00266C0D">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Young Lee, Yu</w:t>
      </w:r>
      <w:r w:rsidR="00266C0D">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Min Choi, Bum</w:t>
      </w:r>
      <w:r w:rsidR="00266C0D">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Joon Kim</w:t>
      </w:r>
      <w:r w:rsidR="00ED7BEC">
        <w:rPr>
          <w:rFonts w:ascii="Book Antiqua" w:hAnsi="Book Antiqua" w:cs="Arial"/>
          <w:b/>
          <w:color w:val="000000" w:themeColor="text1"/>
          <w:sz w:val="24"/>
          <w:szCs w:val="24"/>
        </w:rPr>
        <w:t xml:space="preserve">, </w:t>
      </w:r>
      <w:r w:rsidRPr="00ED7BEC">
        <w:rPr>
          <w:rFonts w:ascii="Book Antiqua" w:hAnsi="Book Antiqua" w:cs="Arial"/>
          <w:color w:val="000000" w:themeColor="text1"/>
          <w:sz w:val="24"/>
          <w:szCs w:val="24"/>
        </w:rPr>
        <w:t xml:space="preserve">Department of Biomedical Sciences, Microbiology and Immunology, Liver Research Institute, Cancer Research Institute and SNUMRC, College of Medicine, Seoul National University, Seoul </w:t>
      </w:r>
      <w:r w:rsidRPr="00ED7BEC">
        <w:rPr>
          <w:rFonts w:ascii="Book Antiqua" w:hAnsi="Book Antiqua"/>
          <w:color w:val="000000" w:themeColor="text1"/>
          <w:sz w:val="24"/>
          <w:szCs w:val="24"/>
          <w:lang w:eastAsia="zh-CN"/>
        </w:rPr>
        <w:t>03080</w:t>
      </w:r>
      <w:r w:rsidRPr="00ED7BEC">
        <w:rPr>
          <w:rFonts w:ascii="Book Antiqua" w:hAnsi="Book Antiqua" w:cs="Arial"/>
          <w:color w:val="000000" w:themeColor="text1"/>
          <w:sz w:val="24"/>
          <w:szCs w:val="24"/>
        </w:rPr>
        <w:t xml:space="preserve">, </w:t>
      </w:r>
      <w:r w:rsidR="00ED7BEC" w:rsidRPr="00ED7BEC">
        <w:rPr>
          <w:rFonts w:ascii="Book Antiqua" w:hAnsi="Book Antiqua" w:cs="Arial"/>
          <w:color w:val="000000" w:themeColor="text1"/>
          <w:sz w:val="24"/>
          <w:szCs w:val="24"/>
        </w:rPr>
        <w:t>South Korea</w:t>
      </w:r>
    </w:p>
    <w:p w14:paraId="63949566" w14:textId="77777777" w:rsidR="00ED7BEC" w:rsidRPr="00ED7BEC" w:rsidRDefault="00ED7BEC" w:rsidP="00ED7BEC">
      <w:pPr>
        <w:wordWrap/>
        <w:spacing w:after="0" w:line="360" w:lineRule="auto"/>
        <w:rPr>
          <w:rFonts w:ascii="Book Antiqua" w:hAnsi="Book Antiqua" w:cs="Arial"/>
          <w:color w:val="000000" w:themeColor="text1"/>
          <w:sz w:val="24"/>
          <w:szCs w:val="24"/>
        </w:rPr>
      </w:pPr>
    </w:p>
    <w:p w14:paraId="5A21F320" w14:textId="2BCB5AEB" w:rsidR="00F51F55" w:rsidRDefault="00F51F55" w:rsidP="00ED7BEC">
      <w:pPr>
        <w:wordWrap/>
        <w:spacing w:after="0" w:line="360" w:lineRule="auto"/>
        <w:rPr>
          <w:rFonts w:ascii="Book Antiqua" w:hAnsi="Book Antiqua" w:cs="Arial"/>
          <w:color w:val="000000" w:themeColor="text1"/>
          <w:sz w:val="24"/>
          <w:szCs w:val="24"/>
        </w:rPr>
      </w:pPr>
      <w:r w:rsidRPr="00266C0D">
        <w:rPr>
          <w:rFonts w:ascii="Book Antiqua" w:hAnsi="Book Antiqua" w:cs="Arial"/>
          <w:b/>
          <w:color w:val="000000" w:themeColor="text1"/>
          <w:sz w:val="24"/>
          <w:szCs w:val="24"/>
        </w:rPr>
        <w:t>ORCID number:</w:t>
      </w:r>
      <w:r w:rsidR="00266C0D" w:rsidRPr="00266C0D">
        <w:rPr>
          <w:rFonts w:ascii="Book Antiqua" w:eastAsia="等线" w:hAnsi="Book Antiqua" w:cs="Arial" w:hint="eastAsia"/>
          <w:b/>
          <w:color w:val="000000" w:themeColor="text1"/>
          <w:sz w:val="24"/>
          <w:szCs w:val="24"/>
          <w:lang w:eastAsia="zh-CN"/>
        </w:rPr>
        <w:t xml:space="preserve"> </w:t>
      </w:r>
      <w:r w:rsidRPr="00266C0D">
        <w:rPr>
          <w:rFonts w:ascii="Book Antiqua" w:hAnsi="Book Antiqua" w:cs="Arial"/>
          <w:color w:val="000000" w:themeColor="text1"/>
          <w:sz w:val="24"/>
          <w:szCs w:val="24"/>
        </w:rPr>
        <w:t xml:space="preserve">Won Hyeok Choe </w:t>
      </w:r>
      <w:r w:rsidRPr="00266C0D">
        <w:rPr>
          <w:rFonts w:ascii="Book Antiqua" w:eastAsiaTheme="majorHAnsi" w:hAnsi="Book Antiqua" w:cs="Arial"/>
          <w:color w:val="000000" w:themeColor="text1"/>
          <w:sz w:val="24"/>
          <w:szCs w:val="24"/>
        </w:rPr>
        <w:t>(0000-0002-8019-5412)</w:t>
      </w:r>
      <w:r w:rsidR="00266C0D" w:rsidRPr="00266C0D">
        <w:rPr>
          <w:rFonts w:ascii="Book Antiqua" w:eastAsiaTheme="majorHAnsi" w:hAnsi="Book Antiqua" w:cs="Arial"/>
          <w:color w:val="000000" w:themeColor="text1"/>
          <w:sz w:val="24"/>
          <w:szCs w:val="24"/>
        </w:rPr>
        <w:t>;</w:t>
      </w:r>
      <w:r w:rsidRPr="00266C0D">
        <w:rPr>
          <w:rFonts w:ascii="Book Antiqua" w:hAnsi="Book Antiqua" w:cs="Arial"/>
          <w:color w:val="000000" w:themeColor="text1"/>
          <w:sz w:val="24"/>
          <w:szCs w:val="24"/>
        </w:rPr>
        <w:t xml:space="preserve"> Ki</w:t>
      </w:r>
      <w:r w:rsidR="00266C0D">
        <w:rPr>
          <w:rFonts w:ascii="Book Antiqua" w:hAnsi="Book Antiqua" w:cs="Arial"/>
          <w:color w:val="000000" w:themeColor="text1"/>
          <w:sz w:val="24"/>
          <w:szCs w:val="24"/>
        </w:rPr>
        <w:t xml:space="preserve"> </w:t>
      </w:r>
      <w:r w:rsidR="00266C0D" w:rsidRPr="00266C0D">
        <w:rPr>
          <w:rFonts w:ascii="Book Antiqua" w:hAnsi="Book Antiqua" w:cs="Arial"/>
          <w:color w:val="000000" w:themeColor="text1"/>
          <w:sz w:val="24"/>
          <w:szCs w:val="24"/>
        </w:rPr>
        <w:t>J</w:t>
      </w:r>
      <w:r w:rsidRPr="00266C0D">
        <w:rPr>
          <w:rFonts w:ascii="Book Antiqua" w:hAnsi="Book Antiqua" w:cs="Arial"/>
          <w:color w:val="000000" w:themeColor="text1"/>
          <w:sz w:val="24"/>
          <w:szCs w:val="24"/>
        </w:rPr>
        <w:t>eong Kim</w:t>
      </w:r>
      <w:r w:rsidR="004F0C1E" w:rsidRPr="00266C0D">
        <w:rPr>
          <w:rFonts w:ascii="Book Antiqua" w:hAnsi="Book Antiqua" w:cs="Arial"/>
          <w:color w:val="000000" w:themeColor="text1"/>
          <w:sz w:val="24"/>
          <w:szCs w:val="24"/>
        </w:rPr>
        <w:t xml:space="preserve"> (</w:t>
      </w:r>
      <w:hyperlink r:id="rId7" w:tgtFrame="_blank" w:history="1">
        <w:r w:rsidR="00266C0D" w:rsidRPr="00266C0D">
          <w:rPr>
            <w:rStyle w:val="af"/>
            <w:rFonts w:ascii="Book Antiqua" w:hAnsi="Book Antiqua" w:cs="Arial"/>
            <w:color w:val="000000" w:themeColor="text1"/>
            <w:sz w:val="24"/>
            <w:szCs w:val="24"/>
            <w:u w:val="none"/>
          </w:rPr>
          <w:t>0000-0002-5132-1774</w:t>
        </w:r>
      </w:hyperlink>
      <w:r w:rsidR="004F0C1E" w:rsidRPr="00266C0D">
        <w:rPr>
          <w:rFonts w:ascii="Book Antiqua" w:hAnsi="Book Antiqua" w:cs="Arial"/>
          <w:color w:val="000000" w:themeColor="text1"/>
          <w:sz w:val="24"/>
          <w:szCs w:val="24"/>
        </w:rPr>
        <w:t>)</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So</w:t>
      </w:r>
      <w:r w:rsidR="00266C0D">
        <w:rPr>
          <w:rFonts w:ascii="Book Antiqua" w:hAnsi="Book Antiqua" w:cs="Arial"/>
          <w:color w:val="000000" w:themeColor="text1"/>
          <w:sz w:val="24"/>
          <w:szCs w:val="24"/>
        </w:rPr>
        <w:t xml:space="preserve"> </w:t>
      </w:r>
      <w:r w:rsidRPr="00266C0D">
        <w:rPr>
          <w:rFonts w:ascii="Book Antiqua" w:hAnsi="Book Antiqua" w:cs="Arial"/>
          <w:color w:val="000000" w:themeColor="text1"/>
          <w:sz w:val="24"/>
          <w:szCs w:val="24"/>
        </w:rPr>
        <w:t>Young Lee</w:t>
      </w:r>
      <w:r w:rsidR="004F0C1E" w:rsidRPr="00266C0D">
        <w:rPr>
          <w:rFonts w:ascii="Book Antiqua" w:hAnsi="Book Antiqua" w:cs="Arial"/>
          <w:color w:val="000000" w:themeColor="text1"/>
          <w:sz w:val="24"/>
          <w:szCs w:val="24"/>
        </w:rPr>
        <w:t xml:space="preserve"> (0000-0002-9638-893X)</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Yu</w:t>
      </w:r>
      <w:r w:rsidR="00266C0D">
        <w:rPr>
          <w:rFonts w:ascii="Book Antiqua" w:hAnsi="Book Antiqua" w:cs="Arial"/>
          <w:color w:val="000000" w:themeColor="text1"/>
          <w:sz w:val="24"/>
          <w:szCs w:val="24"/>
        </w:rPr>
        <w:t xml:space="preserve"> </w:t>
      </w:r>
      <w:r w:rsidRPr="00266C0D">
        <w:rPr>
          <w:rFonts w:ascii="Book Antiqua" w:hAnsi="Book Antiqua" w:cs="Arial"/>
          <w:color w:val="000000" w:themeColor="text1"/>
          <w:sz w:val="24"/>
          <w:szCs w:val="24"/>
        </w:rPr>
        <w:t>Min Choi</w:t>
      </w:r>
      <w:r w:rsidR="004F0C1E" w:rsidRPr="00266C0D">
        <w:rPr>
          <w:rFonts w:ascii="Book Antiqua" w:hAnsi="Book Antiqua" w:cs="Arial"/>
          <w:color w:val="000000" w:themeColor="text1"/>
          <w:sz w:val="24"/>
          <w:szCs w:val="24"/>
        </w:rPr>
        <w:t xml:space="preserve"> (0000-0003-4709-3155)</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So Young Kwon </w:t>
      </w:r>
      <w:r w:rsidRPr="00266C0D">
        <w:rPr>
          <w:rFonts w:ascii="Book Antiqua" w:eastAsiaTheme="majorHAnsi" w:hAnsi="Book Antiqua" w:cs="Arial"/>
          <w:color w:val="000000" w:themeColor="text1"/>
          <w:sz w:val="24"/>
          <w:szCs w:val="24"/>
        </w:rPr>
        <w:t>(0000-0003-4290-1950)</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Jeong Han Kim </w:t>
      </w:r>
      <w:r w:rsidRPr="00266C0D">
        <w:rPr>
          <w:rFonts w:ascii="Book Antiqua" w:eastAsiaTheme="majorHAnsi" w:hAnsi="Book Antiqua" w:cs="Arial"/>
          <w:color w:val="000000" w:themeColor="text1"/>
          <w:sz w:val="24"/>
          <w:szCs w:val="24"/>
        </w:rPr>
        <w:t>(0000-0002-8383-8524)</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Bum</w:t>
      </w:r>
      <w:r w:rsidR="00266C0D">
        <w:rPr>
          <w:rFonts w:ascii="Book Antiqua" w:hAnsi="Book Antiqua" w:cs="Arial"/>
          <w:color w:val="000000" w:themeColor="text1"/>
          <w:sz w:val="24"/>
          <w:szCs w:val="24"/>
        </w:rPr>
        <w:t xml:space="preserve"> </w:t>
      </w:r>
      <w:r w:rsidRPr="00266C0D">
        <w:rPr>
          <w:rFonts w:ascii="Book Antiqua" w:hAnsi="Book Antiqua" w:cs="Arial"/>
          <w:color w:val="000000" w:themeColor="text1"/>
          <w:sz w:val="24"/>
          <w:szCs w:val="24"/>
        </w:rPr>
        <w:t>Joon Kim</w:t>
      </w:r>
      <w:r w:rsidR="004F0C1E" w:rsidRPr="00266C0D">
        <w:rPr>
          <w:rFonts w:ascii="Book Antiqua" w:hAnsi="Book Antiqua" w:cs="Arial"/>
          <w:color w:val="000000" w:themeColor="text1"/>
          <w:sz w:val="24"/>
          <w:szCs w:val="24"/>
        </w:rPr>
        <w:t xml:space="preserve"> (0000-0003-0085-6709)</w:t>
      </w:r>
      <w:r w:rsidR="00266C0D" w:rsidRPr="00266C0D">
        <w:rPr>
          <w:rFonts w:ascii="Book Antiqua" w:hAnsi="Book Antiqua" w:cs="Arial"/>
          <w:color w:val="000000" w:themeColor="text1"/>
          <w:sz w:val="24"/>
          <w:szCs w:val="24"/>
        </w:rPr>
        <w:t>.</w:t>
      </w:r>
    </w:p>
    <w:p w14:paraId="396A5E1B" w14:textId="77777777" w:rsidR="00266C0D" w:rsidRPr="00266C0D" w:rsidRDefault="00266C0D" w:rsidP="00ED7BEC">
      <w:pPr>
        <w:wordWrap/>
        <w:spacing w:after="0" w:line="360" w:lineRule="auto"/>
        <w:rPr>
          <w:rFonts w:ascii="Book Antiqua" w:hAnsi="Book Antiqua" w:cs="Arial"/>
          <w:b/>
          <w:color w:val="000000" w:themeColor="text1"/>
          <w:sz w:val="24"/>
          <w:szCs w:val="24"/>
        </w:rPr>
      </w:pPr>
    </w:p>
    <w:p w14:paraId="6612250C" w14:textId="5C1628AF" w:rsidR="003A7048" w:rsidRDefault="00266C0D" w:rsidP="00ED7BEC">
      <w:pPr>
        <w:wordWrap/>
        <w:spacing w:after="0" w:line="360" w:lineRule="auto"/>
        <w:rPr>
          <w:rFonts w:ascii="Book Antiqua" w:eastAsiaTheme="majorHAnsi" w:hAnsi="Book Antiqua" w:cs="Arial"/>
          <w:color w:val="000000" w:themeColor="text1"/>
          <w:sz w:val="24"/>
          <w:szCs w:val="24"/>
        </w:rPr>
      </w:pPr>
      <w:r w:rsidRPr="00266C0D">
        <w:rPr>
          <w:rFonts w:ascii="Book Antiqua" w:hAnsi="Book Antiqua" w:cs="Arial"/>
          <w:b/>
          <w:color w:val="000000" w:themeColor="text1"/>
          <w:sz w:val="24"/>
          <w:szCs w:val="24"/>
        </w:rPr>
        <w:t>Author contributions:</w:t>
      </w:r>
      <w:r>
        <w:rPr>
          <w:rFonts w:ascii="Book Antiqua" w:eastAsia="等线" w:hAnsi="Book Antiqua" w:cs="Arial" w:hint="eastAsia"/>
          <w:color w:val="000000" w:themeColor="text1"/>
          <w:sz w:val="24"/>
          <w:szCs w:val="24"/>
          <w:lang w:eastAsia="zh-CN"/>
        </w:rPr>
        <w:t xml:space="preserve"> </w:t>
      </w:r>
      <w:r w:rsidR="003A7048" w:rsidRPr="00ED7BEC">
        <w:rPr>
          <w:rFonts w:ascii="Book Antiqua" w:eastAsiaTheme="majorHAnsi" w:hAnsi="Book Antiqua" w:cs="Arial"/>
          <w:color w:val="000000" w:themeColor="text1"/>
          <w:sz w:val="24"/>
          <w:szCs w:val="24"/>
        </w:rPr>
        <w:t>Choe WH and Kim KJ contributed equally to this work</w:t>
      </w:r>
      <w:r>
        <w:rPr>
          <w:rFonts w:ascii="Book Antiqua" w:eastAsiaTheme="majorHAnsi" w:hAnsi="Book Antiqua" w:cs="Arial"/>
          <w:color w:val="000000" w:themeColor="text1"/>
          <w:sz w:val="24"/>
          <w:szCs w:val="24"/>
        </w:rPr>
        <w:t>;</w:t>
      </w:r>
      <w:r w:rsidR="003A7048" w:rsidRPr="00ED7BEC">
        <w:rPr>
          <w:rFonts w:ascii="Book Antiqua" w:eastAsiaTheme="majorHAnsi" w:hAnsi="Book Antiqua" w:cs="Arial"/>
          <w:color w:val="000000" w:themeColor="text1"/>
          <w:sz w:val="24"/>
          <w:szCs w:val="24"/>
        </w:rPr>
        <w:t xml:space="preserve"> Kim KJ and Kim BJ contributed to study conception and design</w:t>
      </w:r>
      <w:r>
        <w:rPr>
          <w:rFonts w:ascii="Book Antiqua" w:eastAsiaTheme="majorHAnsi" w:hAnsi="Book Antiqua" w:cs="Arial"/>
          <w:color w:val="000000" w:themeColor="text1"/>
          <w:sz w:val="24"/>
          <w:szCs w:val="24"/>
        </w:rPr>
        <w:t>, and</w:t>
      </w:r>
      <w:r w:rsidR="003A7048" w:rsidRPr="00ED7BEC">
        <w:rPr>
          <w:rFonts w:ascii="Book Antiqua" w:eastAsiaTheme="majorHAnsi" w:hAnsi="Book Antiqua" w:cs="Arial"/>
          <w:color w:val="000000" w:themeColor="text1"/>
          <w:sz w:val="24"/>
          <w:szCs w:val="24"/>
        </w:rPr>
        <w:t xml:space="preserve"> designed and </w:t>
      </w:r>
      <w:r w:rsidR="003A7048" w:rsidRPr="00ED7BEC">
        <w:rPr>
          <w:rFonts w:ascii="Book Antiqua" w:eastAsiaTheme="majorHAnsi" w:hAnsi="Book Antiqua" w:cs="Arial"/>
          <w:color w:val="000000" w:themeColor="text1"/>
          <w:sz w:val="24"/>
          <w:szCs w:val="24"/>
        </w:rPr>
        <w:lastRenderedPageBreak/>
        <w:t>performed experiments; Choe WH, Kim JH, and Kwon SY contributed to collection of clinical data; Choe WH, Kim KJ, Lee SY, Choi YM, and Kim BJ contributed to data acquisition, data analysis and interpretation; Choe WH, Kim KJ, Lee SY, Choi YM, Kwon SY, Kim JH, and Kim BJ contributed to writing of article, editing, reviewing and final approval of article.</w:t>
      </w:r>
    </w:p>
    <w:p w14:paraId="5923B87C" w14:textId="4A695100" w:rsidR="00266C0D" w:rsidRDefault="00266C0D" w:rsidP="00ED7BEC">
      <w:pPr>
        <w:wordWrap/>
        <w:spacing w:after="0" w:line="360" w:lineRule="auto"/>
        <w:rPr>
          <w:rFonts w:ascii="Book Antiqua" w:eastAsiaTheme="majorHAnsi" w:hAnsi="Book Antiqua" w:cs="Arial"/>
          <w:color w:val="000000" w:themeColor="text1"/>
          <w:sz w:val="24"/>
          <w:szCs w:val="24"/>
        </w:rPr>
      </w:pPr>
    </w:p>
    <w:p w14:paraId="427DBB79" w14:textId="27A999A9"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Institutional review board statement</w:t>
      </w:r>
      <w:r w:rsidRPr="005913DC">
        <w:rPr>
          <w:rFonts w:ascii="Book Antiqua" w:hAnsi="Book Antiqua" w:cs="Arial"/>
          <w:b/>
          <w:bCs/>
          <w:iCs/>
          <w:color w:val="000000" w:themeColor="text1"/>
          <w:sz w:val="24"/>
          <w:szCs w:val="24"/>
        </w:rPr>
        <w:t>:</w:t>
      </w:r>
      <w:r>
        <w:rPr>
          <w:rFonts w:ascii="Book Antiqua" w:eastAsia="等线" w:hAnsi="Book Antiqua" w:cs="Arial" w:hint="eastAsia"/>
          <w:color w:val="000000" w:themeColor="text1"/>
          <w:sz w:val="24"/>
          <w:szCs w:val="24"/>
          <w:lang w:eastAsia="zh-CN"/>
        </w:rPr>
        <w:t xml:space="preserve"> </w:t>
      </w:r>
      <w:r w:rsidR="00C33E2D" w:rsidRPr="00ED7BEC">
        <w:rPr>
          <w:rFonts w:ascii="Book Antiqua" w:eastAsiaTheme="majorHAnsi" w:hAnsi="Book Antiqua" w:cs="Arial"/>
          <w:color w:val="000000" w:themeColor="text1"/>
          <w:sz w:val="24"/>
          <w:szCs w:val="24"/>
        </w:rPr>
        <w:t>Based on the Declaration of Helsinki, the Institutional Review Board of Konkuk University Hospital approved the retrospective use of the clinical, biochemical, and radiographic data for the present study.</w:t>
      </w:r>
    </w:p>
    <w:p w14:paraId="3078BD5D" w14:textId="230571E1" w:rsidR="005913DC" w:rsidRDefault="005913DC" w:rsidP="00ED7BEC">
      <w:pPr>
        <w:wordWrap/>
        <w:spacing w:after="0" w:line="360" w:lineRule="auto"/>
        <w:rPr>
          <w:rFonts w:ascii="Book Antiqua" w:eastAsiaTheme="majorHAnsi" w:hAnsi="Book Antiqua" w:cs="Arial"/>
          <w:color w:val="000000" w:themeColor="text1"/>
          <w:sz w:val="24"/>
          <w:szCs w:val="24"/>
        </w:rPr>
      </w:pPr>
    </w:p>
    <w:p w14:paraId="6C8DE88C" w14:textId="2F039773"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Informed consent statement</w:t>
      </w:r>
      <w:r w:rsidRPr="005913DC">
        <w:rPr>
          <w:rFonts w:ascii="Book Antiqua" w:hAnsi="Book Antiqua" w:cs="Arial" w:hint="eastAsia"/>
          <w:b/>
          <w:bCs/>
          <w:iCs/>
          <w:color w:val="000000" w:themeColor="text1"/>
          <w:sz w:val="24"/>
          <w:szCs w:val="24"/>
        </w:rPr>
        <w:t>:</w:t>
      </w:r>
      <w:r>
        <w:rPr>
          <w:rFonts w:ascii="Book Antiqua" w:hAnsi="Book Antiqua" w:cs="Arial"/>
          <w:color w:val="000000" w:themeColor="text1"/>
          <w:sz w:val="24"/>
          <w:szCs w:val="24"/>
        </w:rPr>
        <w:t xml:space="preserve"> </w:t>
      </w:r>
      <w:r w:rsidR="00C33E2D" w:rsidRPr="00ED7BEC">
        <w:rPr>
          <w:rFonts w:ascii="Book Antiqua" w:eastAsiaTheme="majorHAnsi" w:hAnsi="Book Antiqua" w:cs="Arial"/>
          <w:color w:val="000000" w:themeColor="text1"/>
          <w:sz w:val="24"/>
          <w:szCs w:val="24"/>
        </w:rPr>
        <w:t>The requirements for informed consent were waived due to the retrospective design.</w:t>
      </w:r>
    </w:p>
    <w:p w14:paraId="37D5DE09" w14:textId="22B3CF25" w:rsidR="005913DC" w:rsidRDefault="005913DC" w:rsidP="00ED7BEC">
      <w:pPr>
        <w:wordWrap/>
        <w:spacing w:after="0" w:line="360" w:lineRule="auto"/>
        <w:rPr>
          <w:rFonts w:ascii="Book Antiqua" w:eastAsiaTheme="majorHAnsi" w:hAnsi="Book Antiqua" w:cs="Arial"/>
          <w:color w:val="000000" w:themeColor="text1"/>
          <w:sz w:val="24"/>
          <w:szCs w:val="24"/>
        </w:rPr>
      </w:pPr>
    </w:p>
    <w:p w14:paraId="1B1F29AA" w14:textId="684DD379"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Conflict-of-interest statement</w:t>
      </w:r>
      <w:r w:rsidRPr="005913DC">
        <w:rPr>
          <w:rFonts w:ascii="Book Antiqua" w:hAnsi="Book Antiqua" w:cs="Arial" w:hint="eastAsia"/>
          <w:b/>
          <w:bCs/>
          <w:iCs/>
          <w:color w:val="000000" w:themeColor="text1"/>
          <w:sz w:val="24"/>
          <w:szCs w:val="24"/>
        </w:rPr>
        <w:t>:</w:t>
      </w:r>
      <w:r>
        <w:rPr>
          <w:rFonts w:ascii="Book Antiqua" w:hAnsi="Book Antiqua" w:cs="Arial"/>
          <w:color w:val="000000" w:themeColor="text1"/>
          <w:sz w:val="24"/>
          <w:szCs w:val="24"/>
        </w:rPr>
        <w:t xml:space="preserve"> </w:t>
      </w:r>
      <w:r w:rsidR="00C33E2D" w:rsidRPr="00ED7BEC">
        <w:rPr>
          <w:rFonts w:ascii="Book Antiqua" w:eastAsiaTheme="majorHAnsi" w:hAnsi="Book Antiqua" w:cs="Arial"/>
          <w:color w:val="000000" w:themeColor="text1"/>
          <w:sz w:val="24"/>
          <w:szCs w:val="24"/>
        </w:rPr>
        <w:t>The authors declare they have no potential conflicts of interest.</w:t>
      </w:r>
    </w:p>
    <w:p w14:paraId="0CB6C32B" w14:textId="77777777" w:rsidR="005913DC" w:rsidRPr="005913DC" w:rsidRDefault="005913DC" w:rsidP="00ED7BEC">
      <w:pPr>
        <w:wordWrap/>
        <w:spacing w:after="0" w:line="360" w:lineRule="auto"/>
        <w:rPr>
          <w:rFonts w:ascii="Book Antiqua" w:hAnsi="Book Antiqua" w:cs="Arial"/>
          <w:color w:val="000000" w:themeColor="text1"/>
          <w:sz w:val="24"/>
          <w:szCs w:val="24"/>
        </w:rPr>
      </w:pPr>
    </w:p>
    <w:p w14:paraId="158E1A54" w14:textId="5A6A05E9" w:rsidR="00C33E2D" w:rsidRDefault="00C33E2D" w:rsidP="00ED7BEC">
      <w:pPr>
        <w:wordWrap/>
        <w:spacing w:after="0" w:line="360" w:lineRule="auto"/>
        <w:rPr>
          <w:rFonts w:ascii="Book Antiqua" w:eastAsiaTheme="majorHAnsi" w:hAnsi="Book Antiqua" w:cs="Arial"/>
          <w:color w:val="000000" w:themeColor="text1"/>
          <w:sz w:val="24"/>
          <w:szCs w:val="24"/>
        </w:rPr>
      </w:pPr>
      <w:r w:rsidRPr="00ED7BEC">
        <w:rPr>
          <w:rFonts w:ascii="Book Antiqua" w:eastAsiaTheme="majorHAnsi" w:hAnsi="Book Antiqua" w:cs="Arial"/>
          <w:b/>
          <w:color w:val="000000" w:themeColor="text1"/>
          <w:sz w:val="24"/>
          <w:szCs w:val="24"/>
        </w:rPr>
        <w:t>Data sharing statement</w:t>
      </w:r>
      <w:r w:rsidRPr="00ED7BEC">
        <w:rPr>
          <w:rFonts w:ascii="Book Antiqua" w:eastAsiaTheme="majorHAnsi" w:hAnsi="Book Antiqua" w:cs="Arial"/>
          <w:color w:val="000000" w:themeColor="text1"/>
          <w:sz w:val="24"/>
          <w:szCs w:val="24"/>
        </w:rPr>
        <w:t>: No additional data are available.</w:t>
      </w:r>
    </w:p>
    <w:p w14:paraId="3071ABD0" w14:textId="13D9212F" w:rsidR="005913DC" w:rsidRDefault="005913DC" w:rsidP="00ED7BEC">
      <w:pPr>
        <w:wordWrap/>
        <w:spacing w:after="0" w:line="360" w:lineRule="auto"/>
        <w:rPr>
          <w:rFonts w:ascii="Book Antiqua" w:eastAsiaTheme="majorHAnsi" w:hAnsi="Book Antiqua" w:cs="Arial"/>
          <w:color w:val="000000" w:themeColor="text1"/>
          <w:sz w:val="24"/>
          <w:szCs w:val="24"/>
        </w:rPr>
      </w:pPr>
    </w:p>
    <w:p w14:paraId="0794CB81" w14:textId="456CC8FC" w:rsidR="00C33E2D" w:rsidRDefault="005913DC" w:rsidP="005913DC">
      <w:pPr>
        <w:wordWrap/>
        <w:spacing w:after="0" w:line="360" w:lineRule="auto"/>
        <w:rPr>
          <w:rFonts w:ascii="Book Antiqua" w:eastAsia="Arial Unicode MS" w:hAnsi="Book Antiqua" w:cs="Arial"/>
          <w:color w:val="000000" w:themeColor="text1"/>
          <w:sz w:val="24"/>
          <w:szCs w:val="24"/>
        </w:rPr>
      </w:pPr>
      <w:r w:rsidRPr="005913DC">
        <w:rPr>
          <w:rFonts w:ascii="Book Antiqua" w:eastAsiaTheme="majorHAnsi" w:hAnsi="Book Antiqua" w:cs="Arial"/>
          <w:b/>
          <w:color w:val="000000" w:themeColor="text1"/>
          <w:sz w:val="24"/>
          <w:szCs w:val="24"/>
        </w:rPr>
        <w:t>STROBE statement</w:t>
      </w:r>
      <w:r w:rsidRPr="005913DC">
        <w:rPr>
          <w:rFonts w:ascii="Book Antiqua" w:eastAsiaTheme="majorHAnsi" w:hAnsi="Book Antiqua" w:cs="Arial" w:hint="eastAsia"/>
          <w:b/>
          <w:color w:val="000000" w:themeColor="text1"/>
          <w:sz w:val="24"/>
          <w:szCs w:val="24"/>
        </w:rPr>
        <w:t>:</w:t>
      </w:r>
      <w:r>
        <w:rPr>
          <w:rFonts w:ascii="Book Antiqua" w:eastAsia="等线" w:hAnsi="Book Antiqua" w:cs="Arial" w:hint="eastAsia"/>
          <w:b/>
          <w:color w:val="000000" w:themeColor="text1"/>
          <w:sz w:val="24"/>
          <w:szCs w:val="24"/>
          <w:lang w:eastAsia="zh-CN"/>
        </w:rPr>
        <w:t xml:space="preserve"> </w:t>
      </w:r>
      <w:r w:rsidR="00C33E2D" w:rsidRPr="00ED7BEC">
        <w:rPr>
          <w:rFonts w:ascii="Book Antiqua" w:eastAsia="Arial Unicode MS" w:hAnsi="Book Antiqua" w:cs="Arial"/>
          <w:color w:val="000000" w:themeColor="text1"/>
          <w:sz w:val="24"/>
          <w:szCs w:val="24"/>
        </w:rPr>
        <w:t>The authors have read and checked the STROBE checklist.</w:t>
      </w:r>
    </w:p>
    <w:p w14:paraId="79673A98" w14:textId="77777777" w:rsidR="005913DC" w:rsidRPr="005913DC" w:rsidRDefault="005913DC" w:rsidP="005913DC">
      <w:pPr>
        <w:wordWrap/>
        <w:spacing w:after="0" w:line="360" w:lineRule="auto"/>
        <w:rPr>
          <w:rFonts w:ascii="Book Antiqua" w:eastAsiaTheme="majorHAnsi" w:hAnsi="Book Antiqua" w:cs="Arial"/>
          <w:b/>
          <w:color w:val="000000" w:themeColor="text1"/>
          <w:sz w:val="24"/>
          <w:szCs w:val="24"/>
        </w:rPr>
      </w:pPr>
    </w:p>
    <w:p w14:paraId="7D23DEEC" w14:textId="77777777" w:rsidR="005913DC" w:rsidRPr="005913DC" w:rsidRDefault="005913DC" w:rsidP="005913DC">
      <w:pPr>
        <w:wordWrap/>
        <w:autoSpaceDE/>
        <w:autoSpaceDN/>
        <w:spacing w:after="0" w:line="360" w:lineRule="auto"/>
        <w:rPr>
          <w:rFonts w:ascii="Calibri" w:eastAsia="宋体" w:hAnsi="Calibri" w:cs="Times New Roman"/>
          <w:color w:val="000000"/>
          <w:sz w:val="24"/>
          <w:lang w:eastAsia="zh-CN"/>
        </w:rPr>
      </w:pPr>
      <w:r w:rsidRPr="005913DC">
        <w:rPr>
          <w:rFonts w:ascii="Book Antiqua" w:eastAsia="宋体" w:hAnsi="Book Antiqua" w:cs="Times New Roman"/>
          <w:b/>
          <w:color w:val="000000"/>
          <w:sz w:val="24"/>
          <w:lang w:eastAsia="zh-CN"/>
        </w:rPr>
        <w:t xml:space="preserve">Open-Access: </w:t>
      </w:r>
      <w:r w:rsidRPr="005913DC">
        <w:rPr>
          <w:rFonts w:ascii="Book Antiqua" w:eastAsia="宋体" w:hAnsi="Book Antiqua" w:cs="Times New Roman"/>
          <w:color w:val="000000"/>
          <w:sz w:val="24"/>
          <w:lang w:eastAsia="zh-CN"/>
        </w:rPr>
        <w:t>This article is an open-access</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article</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which was selected by an in-house editor and fully peer-reviewed by external reviewers. It is distributed</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in</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accordance</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023189" w14:textId="77777777" w:rsidR="000D422C" w:rsidRPr="00ED7BEC" w:rsidRDefault="000D422C" w:rsidP="00ED7BEC">
      <w:pPr>
        <w:wordWrap/>
        <w:spacing w:after="0" w:line="360" w:lineRule="auto"/>
        <w:rPr>
          <w:rFonts w:ascii="Book Antiqua" w:hAnsi="Book Antiqua" w:cs="Arial"/>
          <w:b/>
          <w:color w:val="000000" w:themeColor="text1"/>
          <w:sz w:val="24"/>
          <w:szCs w:val="24"/>
        </w:rPr>
      </w:pPr>
    </w:p>
    <w:p w14:paraId="53332085" w14:textId="4B3421A4" w:rsidR="00C33E2D" w:rsidRDefault="003A7048"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Manuscript source:</w:t>
      </w:r>
      <w:r w:rsidRPr="00ED7BEC">
        <w:rPr>
          <w:rFonts w:ascii="Book Antiqua" w:hAnsi="Book Antiqua" w:cs="Arial"/>
          <w:color w:val="000000" w:themeColor="text1"/>
          <w:sz w:val="24"/>
          <w:szCs w:val="24"/>
        </w:rPr>
        <w:t xml:space="preserve"> Unsolicited manuscript</w:t>
      </w:r>
    </w:p>
    <w:p w14:paraId="29FB5B22" w14:textId="2AE3F6ED" w:rsidR="005913DC" w:rsidRDefault="005913DC" w:rsidP="00ED7BEC">
      <w:pPr>
        <w:wordWrap/>
        <w:spacing w:after="0" w:line="360" w:lineRule="auto"/>
        <w:rPr>
          <w:rFonts w:ascii="Book Antiqua" w:hAnsi="Book Antiqua" w:cs="Arial"/>
          <w:color w:val="000000" w:themeColor="text1"/>
          <w:sz w:val="24"/>
          <w:szCs w:val="24"/>
        </w:rPr>
      </w:pPr>
    </w:p>
    <w:p w14:paraId="3DF9D3A2" w14:textId="5C3EAC88" w:rsidR="005913DC" w:rsidRPr="00ED7BEC" w:rsidRDefault="005913DC" w:rsidP="005913DC">
      <w:pPr>
        <w:wordWrap/>
        <w:spacing w:after="0" w:line="360" w:lineRule="auto"/>
        <w:rPr>
          <w:rFonts w:ascii="Book Antiqua" w:hAnsi="Book Antiqua" w:cs="Arial"/>
          <w:b/>
          <w:color w:val="000000" w:themeColor="text1"/>
          <w:sz w:val="24"/>
          <w:szCs w:val="24"/>
        </w:rPr>
      </w:pPr>
      <w:r w:rsidRPr="005913DC">
        <w:rPr>
          <w:rFonts w:ascii="Book Antiqua" w:hAnsi="Book Antiqua" w:cs="Arial"/>
          <w:b/>
          <w:color w:val="000000" w:themeColor="text1"/>
          <w:sz w:val="24"/>
          <w:szCs w:val="24"/>
        </w:rPr>
        <w:t>Corresponding author:</w:t>
      </w:r>
      <w:r>
        <w:rPr>
          <w:rFonts w:ascii="Book Antiqua" w:eastAsia="等线" w:hAnsi="Book Antiqua" w:cs="Arial" w:hint="eastAsia"/>
          <w:color w:val="000000" w:themeColor="text1"/>
          <w:sz w:val="24"/>
          <w:szCs w:val="24"/>
          <w:lang w:eastAsia="zh-CN"/>
        </w:rPr>
        <w:t xml:space="preserve"> </w:t>
      </w:r>
      <w:r w:rsidR="003A7048" w:rsidRPr="00ED7BEC">
        <w:rPr>
          <w:rFonts w:ascii="Book Antiqua" w:hAnsi="Book Antiqua" w:cs="Arial"/>
          <w:b/>
          <w:color w:val="000000" w:themeColor="text1"/>
          <w:sz w:val="24"/>
          <w:szCs w:val="24"/>
        </w:rPr>
        <w:t>Bum</w:t>
      </w:r>
      <w:r>
        <w:rPr>
          <w:rFonts w:ascii="Book Antiqua" w:hAnsi="Book Antiqua" w:cs="Arial"/>
          <w:b/>
          <w:color w:val="000000" w:themeColor="text1"/>
          <w:sz w:val="24"/>
          <w:szCs w:val="24"/>
        </w:rPr>
        <w:t xml:space="preserve"> </w:t>
      </w:r>
      <w:r w:rsidR="003A7048" w:rsidRPr="00ED7BEC">
        <w:rPr>
          <w:rFonts w:ascii="Book Antiqua" w:hAnsi="Book Antiqua" w:cs="Arial"/>
          <w:b/>
          <w:color w:val="000000" w:themeColor="text1"/>
          <w:sz w:val="24"/>
          <w:szCs w:val="24"/>
        </w:rPr>
        <w:t>Joon Kim</w:t>
      </w:r>
      <w:r>
        <w:rPr>
          <w:rFonts w:ascii="Book Antiqua" w:hAnsi="Book Antiqua" w:cs="Arial"/>
          <w:b/>
          <w:color w:val="000000" w:themeColor="text1"/>
          <w:sz w:val="24"/>
          <w:szCs w:val="24"/>
        </w:rPr>
        <w:t>,</w:t>
      </w:r>
      <w:r w:rsidR="003A7048" w:rsidRPr="00ED7BEC">
        <w:rPr>
          <w:rFonts w:ascii="Book Antiqua" w:hAnsi="Book Antiqua" w:cs="Arial"/>
          <w:b/>
          <w:color w:val="000000" w:themeColor="text1"/>
          <w:sz w:val="24"/>
          <w:szCs w:val="24"/>
        </w:rPr>
        <w:t xml:space="preserve"> PhD, Professor, </w:t>
      </w:r>
      <w:bookmarkStart w:id="5" w:name="OLE_LINK208"/>
      <w:r w:rsidRPr="00ED7BEC">
        <w:rPr>
          <w:rFonts w:ascii="Book Antiqua" w:hAnsi="Book Antiqua" w:cs="Arial"/>
          <w:color w:val="000000" w:themeColor="text1"/>
          <w:sz w:val="24"/>
          <w:szCs w:val="24"/>
        </w:rPr>
        <w:t xml:space="preserve">Department of Biomedical </w:t>
      </w:r>
      <w:r w:rsidRPr="00ED7BEC">
        <w:rPr>
          <w:rFonts w:ascii="Book Antiqua" w:hAnsi="Book Antiqua" w:cs="Arial"/>
          <w:color w:val="000000" w:themeColor="text1"/>
          <w:sz w:val="24"/>
          <w:szCs w:val="24"/>
        </w:rPr>
        <w:lastRenderedPageBreak/>
        <w:t>Sciences, Microbiology and Immunology, Liver Research Institute, Cancer Research Institute and SNUMRC, College of Medicine</w:t>
      </w:r>
      <w:bookmarkEnd w:id="5"/>
      <w:r w:rsidRPr="00ED7BEC">
        <w:rPr>
          <w:rFonts w:ascii="Book Antiqua" w:hAnsi="Book Antiqua" w:cs="Arial"/>
          <w:color w:val="000000" w:themeColor="text1"/>
          <w:sz w:val="24"/>
          <w:szCs w:val="24"/>
        </w:rPr>
        <w:t xml:space="preserve">, </w:t>
      </w:r>
      <w:bookmarkStart w:id="6" w:name="OLE_LINK209"/>
      <w:bookmarkStart w:id="7" w:name="OLE_LINK210"/>
      <w:r w:rsidRPr="00ED7BEC">
        <w:rPr>
          <w:rFonts w:ascii="Book Antiqua" w:hAnsi="Book Antiqua" w:cs="Arial"/>
          <w:color w:val="000000" w:themeColor="text1"/>
          <w:sz w:val="24"/>
          <w:szCs w:val="24"/>
        </w:rPr>
        <w:t>Seoul National University</w:t>
      </w:r>
      <w:bookmarkEnd w:id="6"/>
      <w:bookmarkEnd w:id="7"/>
      <w:r w:rsidRPr="00ED7BEC">
        <w:rPr>
          <w:rFonts w:ascii="Book Antiqua" w:hAnsi="Book Antiqua" w:cs="Arial"/>
          <w:color w:val="000000" w:themeColor="text1"/>
          <w:sz w:val="24"/>
          <w:szCs w:val="24"/>
        </w:rPr>
        <w:t xml:space="preserve">, </w:t>
      </w:r>
      <w:bookmarkStart w:id="8" w:name="OLE_LINK211"/>
      <w:bookmarkStart w:id="9" w:name="OLE_LINK212"/>
      <w:r w:rsidRPr="00ED7BEC">
        <w:rPr>
          <w:rFonts w:ascii="Book Antiqua" w:hAnsi="Book Antiqua" w:cs="Arial"/>
          <w:color w:val="000000" w:themeColor="text1"/>
          <w:sz w:val="24"/>
          <w:szCs w:val="24"/>
        </w:rPr>
        <w:t>103 Daehak-ro, Jongno-gu</w:t>
      </w:r>
      <w:bookmarkEnd w:id="8"/>
      <w:bookmarkEnd w:id="9"/>
      <w:r w:rsidRPr="00ED7BEC">
        <w:rPr>
          <w:rFonts w:ascii="Book Antiqua" w:hAnsi="Book Antiqua" w:cs="Arial"/>
          <w:color w:val="000000" w:themeColor="text1"/>
          <w:sz w:val="24"/>
          <w:szCs w:val="24"/>
        </w:rPr>
        <w:t xml:space="preserve">, Seoul </w:t>
      </w:r>
      <w:r w:rsidRPr="00ED7BEC">
        <w:rPr>
          <w:rFonts w:ascii="Book Antiqua" w:hAnsi="Book Antiqua"/>
          <w:color w:val="000000" w:themeColor="text1"/>
          <w:sz w:val="24"/>
          <w:szCs w:val="24"/>
          <w:lang w:eastAsia="zh-CN"/>
        </w:rPr>
        <w:t>03080</w:t>
      </w:r>
      <w:r w:rsidRPr="00ED7BEC">
        <w:rPr>
          <w:rFonts w:ascii="Book Antiqua" w:hAnsi="Book Antiqua" w:cs="Arial"/>
          <w:color w:val="000000" w:themeColor="text1"/>
          <w:sz w:val="24"/>
          <w:szCs w:val="24"/>
        </w:rPr>
        <w:t>, South Korea</w:t>
      </w:r>
      <w:r>
        <w:rPr>
          <w:rFonts w:ascii="Book Antiqua" w:hAnsi="Book Antiqua" w:cs="Arial"/>
          <w:color w:val="000000" w:themeColor="text1"/>
          <w:sz w:val="24"/>
          <w:szCs w:val="24"/>
        </w:rPr>
        <w:t xml:space="preserve">. </w:t>
      </w:r>
      <w:r w:rsidR="000D1AB6" w:rsidRPr="000D1AB6">
        <w:rPr>
          <w:rFonts w:ascii="Book Antiqua" w:hAnsi="Book Antiqua" w:cs="Arial"/>
          <w:color w:val="000000" w:themeColor="text1"/>
          <w:sz w:val="24"/>
          <w:szCs w:val="24"/>
        </w:rPr>
        <w:t>kbumjoon@snu.ac.kr</w:t>
      </w:r>
    </w:p>
    <w:p w14:paraId="072DF2E9" w14:textId="03F6645D" w:rsidR="003A7048" w:rsidRPr="00ED7BEC" w:rsidRDefault="005913DC" w:rsidP="00ED7BEC">
      <w:pPr>
        <w:wordWrap/>
        <w:spacing w:after="0" w:line="360" w:lineRule="auto"/>
        <w:rPr>
          <w:rFonts w:ascii="Book Antiqua" w:hAnsi="Book Antiqua" w:cs="Arial"/>
          <w:color w:val="000000" w:themeColor="text1"/>
          <w:sz w:val="24"/>
          <w:szCs w:val="24"/>
        </w:rPr>
      </w:pPr>
      <w:r w:rsidRPr="005913DC">
        <w:rPr>
          <w:rFonts w:ascii="Book Antiqua" w:eastAsia="宋体" w:hAnsi="Book Antiqua" w:cs="Times New Roman"/>
          <w:b/>
          <w:color w:val="000000"/>
          <w:sz w:val="24"/>
          <w:szCs w:val="24"/>
          <w:lang w:eastAsia="zh-CN"/>
        </w:rPr>
        <w:t>Telephone:</w:t>
      </w:r>
      <w:r w:rsidRPr="005913DC">
        <w:rPr>
          <w:rFonts w:ascii="Book Antiqua" w:eastAsia="宋体" w:hAnsi="Book Antiqua" w:cs="Times New Roman"/>
          <w:color w:val="000000"/>
          <w:sz w:val="24"/>
          <w:szCs w:val="24"/>
          <w:lang w:eastAsia="zh-CN"/>
        </w:rPr>
        <w:t xml:space="preserve"> </w:t>
      </w:r>
      <w:r w:rsidR="003A7048" w:rsidRPr="00ED7BEC">
        <w:rPr>
          <w:rFonts w:ascii="Book Antiqua" w:hAnsi="Book Antiqua" w:cs="Arial"/>
          <w:color w:val="000000" w:themeColor="text1"/>
          <w:sz w:val="24"/>
          <w:szCs w:val="24"/>
        </w:rPr>
        <w:t>+82</w:t>
      </w:r>
      <w:r>
        <w:rPr>
          <w:rFonts w:ascii="Book Antiqua" w:hAnsi="Book Antiqua" w:cs="Arial"/>
          <w:color w:val="000000" w:themeColor="text1"/>
          <w:sz w:val="24"/>
          <w:szCs w:val="24"/>
        </w:rPr>
        <w:t>-</w:t>
      </w:r>
      <w:r w:rsidR="003A7048" w:rsidRPr="00ED7BEC">
        <w:rPr>
          <w:rFonts w:ascii="Book Antiqua" w:hAnsi="Book Antiqua" w:cs="Arial"/>
          <w:color w:val="000000" w:themeColor="text1"/>
          <w:sz w:val="24"/>
          <w:szCs w:val="24"/>
        </w:rPr>
        <w:t>2</w:t>
      </w:r>
      <w:r>
        <w:rPr>
          <w:rFonts w:ascii="Book Antiqua" w:hAnsi="Book Antiqua" w:cs="Arial"/>
          <w:color w:val="000000" w:themeColor="text1"/>
          <w:sz w:val="24"/>
          <w:szCs w:val="24"/>
        </w:rPr>
        <w:t>-</w:t>
      </w:r>
      <w:r w:rsidR="003A7048" w:rsidRPr="00ED7BEC">
        <w:rPr>
          <w:rFonts w:ascii="Book Antiqua" w:hAnsi="Book Antiqua" w:cs="Arial"/>
          <w:color w:val="000000" w:themeColor="text1"/>
          <w:sz w:val="24"/>
          <w:szCs w:val="24"/>
        </w:rPr>
        <w:t>7408315</w:t>
      </w:r>
    </w:p>
    <w:p w14:paraId="08CC88A6" w14:textId="6B4162F2" w:rsidR="003A7048" w:rsidRPr="00ED7BEC" w:rsidRDefault="003A7048" w:rsidP="00ED7BEC">
      <w:pPr>
        <w:wordWrap/>
        <w:spacing w:after="0" w:line="360" w:lineRule="auto"/>
        <w:rPr>
          <w:rFonts w:ascii="Book Antiqua" w:hAnsi="Book Antiqua" w:cs="Arial"/>
          <w:color w:val="000000" w:themeColor="text1"/>
          <w:sz w:val="24"/>
          <w:szCs w:val="24"/>
        </w:rPr>
      </w:pPr>
      <w:r w:rsidRPr="005913DC">
        <w:rPr>
          <w:rFonts w:ascii="Book Antiqua" w:hAnsi="Book Antiqua" w:cs="Arial"/>
          <w:b/>
          <w:bCs/>
          <w:color w:val="000000" w:themeColor="text1"/>
          <w:sz w:val="24"/>
          <w:szCs w:val="24"/>
        </w:rPr>
        <w:t>Fax:</w:t>
      </w:r>
      <w:r w:rsidRPr="00ED7BEC">
        <w:rPr>
          <w:rFonts w:ascii="Book Antiqua" w:hAnsi="Book Antiqua" w:cs="Arial"/>
          <w:color w:val="000000" w:themeColor="text1"/>
          <w:sz w:val="24"/>
          <w:szCs w:val="24"/>
        </w:rPr>
        <w:t xml:space="preserve"> +82</w:t>
      </w:r>
      <w:r w:rsidR="005913D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2</w:t>
      </w:r>
      <w:r w:rsidR="005913D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7430881</w:t>
      </w:r>
    </w:p>
    <w:p w14:paraId="29A2FE08" w14:textId="77777777" w:rsidR="00442AC1" w:rsidRPr="00ED7BEC" w:rsidRDefault="00442AC1" w:rsidP="00ED7BEC">
      <w:pPr>
        <w:wordWrap/>
        <w:spacing w:after="0" w:line="360" w:lineRule="auto"/>
        <w:rPr>
          <w:rFonts w:ascii="Book Antiqua" w:hAnsi="Book Antiqua" w:cs="Arial"/>
          <w:color w:val="000000" w:themeColor="text1"/>
          <w:sz w:val="24"/>
          <w:szCs w:val="24"/>
        </w:rPr>
      </w:pPr>
    </w:p>
    <w:p w14:paraId="4CE46BEC" w14:textId="3C04A566"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bookmarkStart w:id="10" w:name="OLE_LINK75"/>
      <w:bookmarkStart w:id="11" w:name="OLE_LINK76"/>
      <w:bookmarkStart w:id="12" w:name="OLE_LINK269"/>
      <w:bookmarkStart w:id="13" w:name="OLE_LINK239"/>
      <w:r w:rsidRPr="005913DC">
        <w:rPr>
          <w:rFonts w:ascii="Book Antiqua" w:eastAsia="宋体" w:hAnsi="Book Antiqua" w:cs="Times New Roman"/>
          <w:b/>
          <w:sz w:val="24"/>
          <w:szCs w:val="24"/>
          <w:lang w:eastAsia="zh-CN"/>
        </w:rPr>
        <w:t xml:space="preserve">Received: </w:t>
      </w:r>
      <w:r>
        <w:rPr>
          <w:rFonts w:ascii="Book Antiqua" w:eastAsia="宋体" w:hAnsi="Book Antiqua" w:cs="Times New Roman"/>
          <w:sz w:val="24"/>
          <w:szCs w:val="24"/>
          <w:lang w:eastAsia="zh-CN"/>
        </w:rPr>
        <w:t>June</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913DC">
        <w:rPr>
          <w:rFonts w:ascii="Book Antiqua" w:eastAsia="宋体" w:hAnsi="Book Antiqua" w:cs="Times New Roman"/>
          <w:sz w:val="24"/>
          <w:szCs w:val="24"/>
          <w:lang w:eastAsia="zh-CN"/>
        </w:rPr>
        <w:t>, 2019</w:t>
      </w:r>
    </w:p>
    <w:p w14:paraId="720D1F56" w14:textId="5047BCB3"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Peer-review started: </w:t>
      </w:r>
      <w:r>
        <w:rPr>
          <w:rFonts w:ascii="Book Antiqua" w:eastAsia="宋体" w:hAnsi="Book Antiqua" w:cs="Times New Roman"/>
          <w:sz w:val="24"/>
          <w:szCs w:val="24"/>
          <w:lang w:eastAsia="zh-CN"/>
        </w:rPr>
        <w:t>June</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913DC">
        <w:rPr>
          <w:rFonts w:ascii="Book Antiqua" w:eastAsia="宋体" w:hAnsi="Book Antiqua" w:cs="Times New Roman"/>
          <w:sz w:val="24"/>
          <w:szCs w:val="24"/>
          <w:lang w:eastAsia="zh-CN"/>
        </w:rPr>
        <w:t>, 2019</w:t>
      </w:r>
    </w:p>
    <w:p w14:paraId="7C7827F1" w14:textId="2C85B1B4"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First decision: </w:t>
      </w:r>
      <w:r>
        <w:rPr>
          <w:rFonts w:ascii="Book Antiqua" w:eastAsia="宋体" w:hAnsi="Book Antiqua" w:cs="Times New Roman"/>
          <w:sz w:val="24"/>
          <w:szCs w:val="24"/>
          <w:lang w:eastAsia="zh-CN"/>
        </w:rPr>
        <w:t>July</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21</w:t>
      </w:r>
      <w:r w:rsidRPr="005913DC">
        <w:rPr>
          <w:rFonts w:ascii="Book Antiqua" w:eastAsia="宋体" w:hAnsi="Book Antiqua" w:cs="Times New Roman"/>
          <w:sz w:val="24"/>
          <w:szCs w:val="24"/>
          <w:lang w:eastAsia="zh-CN"/>
        </w:rPr>
        <w:t>, 2019</w:t>
      </w:r>
    </w:p>
    <w:p w14:paraId="28A13293" w14:textId="47D08EFA"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July</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30</w:t>
      </w:r>
      <w:r w:rsidRPr="005913DC">
        <w:rPr>
          <w:rFonts w:ascii="Book Antiqua" w:eastAsia="宋体" w:hAnsi="Book Antiqua" w:cs="Times New Roman"/>
          <w:sz w:val="24"/>
          <w:szCs w:val="24"/>
          <w:lang w:eastAsia="zh-CN"/>
        </w:rPr>
        <w:t>, 2019</w:t>
      </w:r>
    </w:p>
    <w:p w14:paraId="4B1E0C24" w14:textId="73E18E53" w:rsidR="005913DC" w:rsidRPr="005913DC" w:rsidRDefault="005913DC" w:rsidP="005913DC">
      <w:pPr>
        <w:wordWrap/>
        <w:autoSpaceDE/>
        <w:autoSpaceDN/>
        <w:spacing w:after="0" w:line="360" w:lineRule="auto"/>
        <w:rPr>
          <w:rFonts w:ascii="Book Antiqua" w:eastAsia="宋体" w:hAnsi="Book Antiqua" w:cs="Times New Roman"/>
          <w:color w:val="000000"/>
          <w:sz w:val="24"/>
          <w:szCs w:val="24"/>
          <w:lang w:eastAsia="zh-CN"/>
        </w:rPr>
      </w:pPr>
      <w:r w:rsidRPr="005913DC">
        <w:rPr>
          <w:rFonts w:ascii="Book Antiqua" w:eastAsia="宋体" w:hAnsi="Book Antiqua" w:cs="Times New Roman"/>
          <w:b/>
          <w:sz w:val="24"/>
          <w:szCs w:val="24"/>
          <w:lang w:eastAsia="zh-CN"/>
        </w:rPr>
        <w:t>Accepted:</w:t>
      </w:r>
      <w:r w:rsidR="00903C31" w:rsidRPr="00903C31">
        <w:t xml:space="preserve"> </w:t>
      </w:r>
      <w:r w:rsidR="00903C31" w:rsidRPr="00903C31">
        <w:rPr>
          <w:rFonts w:ascii="Book Antiqua" w:eastAsia="宋体" w:hAnsi="Book Antiqua" w:cs="Times New Roman"/>
          <w:sz w:val="24"/>
          <w:szCs w:val="24"/>
          <w:lang w:eastAsia="zh-CN"/>
        </w:rPr>
        <w:t>August 19, 2019</w:t>
      </w:r>
      <w:r w:rsidRPr="00903C31">
        <w:rPr>
          <w:rFonts w:ascii="Book Antiqua" w:eastAsia="宋体" w:hAnsi="Book Antiqua" w:cs="Times New Roman"/>
          <w:sz w:val="24"/>
          <w:szCs w:val="24"/>
          <w:lang w:eastAsia="zh-CN"/>
        </w:rPr>
        <w:t xml:space="preserve"> </w:t>
      </w:r>
    </w:p>
    <w:p w14:paraId="5AC499A4" w14:textId="77777777"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Article in press:</w:t>
      </w:r>
    </w:p>
    <w:p w14:paraId="05CD0E0D" w14:textId="2709FA71" w:rsidR="00AC1DBD"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Published online:</w:t>
      </w:r>
      <w:bookmarkEnd w:id="10"/>
      <w:bookmarkEnd w:id="11"/>
      <w:bookmarkEnd w:id="12"/>
      <w:bookmarkEnd w:id="13"/>
    </w:p>
    <w:p w14:paraId="26A0BBC0" w14:textId="77777777" w:rsidR="00033787" w:rsidRPr="00ED7BEC" w:rsidRDefault="00033787"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br w:type="page"/>
      </w:r>
    </w:p>
    <w:p w14:paraId="7F4F82F9" w14:textId="1E9BDD67" w:rsidR="008A60AC" w:rsidRPr="00ED7BEC" w:rsidRDefault="00F32E08"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Abstract</w:t>
      </w:r>
    </w:p>
    <w:p w14:paraId="28607C93"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BACKGROUND</w:t>
      </w:r>
    </w:p>
    <w:p w14:paraId="1897DF75" w14:textId="77777777"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Hepatitis B virus (HBV) DNA polymerase mutations usually occur to long term use of nucleos(t)ide analogues (NAs), but they can occur spontaneously in treatment-naïve chronic hepatitis B (CHB) patients. The naturally occurring HBV DNA polymerase mutations might complicate antiviral therapy with NAs, leading to the generation of drug-resistant viral mutants and disease progression. The most common substitutions are known to be YMDD-motif mutations, but their prevalence and the influence on antiviral therapy is unclear. </w:t>
      </w:r>
    </w:p>
    <w:p w14:paraId="15644CF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p>
    <w:p w14:paraId="43EA7CAC"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AIM</w:t>
      </w:r>
    </w:p>
    <w:p w14:paraId="15BDA881" w14:textId="40553DAD"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To investigate prevalence of the naturally occurring rtM204I mutations in treatment-naïve CHB genotype C2 patients and their influence on antiviral therapy</w:t>
      </w:r>
      <w:r w:rsidR="00F740E5">
        <w:rPr>
          <w:rFonts w:ascii="Book Antiqua" w:hAnsi="Book Antiqua" w:cs="Arial"/>
          <w:color w:val="000000" w:themeColor="text1"/>
          <w:sz w:val="24"/>
          <w:szCs w:val="24"/>
        </w:rPr>
        <w:t>.</w:t>
      </w:r>
    </w:p>
    <w:p w14:paraId="27F6246C" w14:textId="77777777" w:rsidR="008A60AC" w:rsidRPr="00ED7BEC" w:rsidRDefault="008A60AC" w:rsidP="00ED7BEC">
      <w:pPr>
        <w:wordWrap/>
        <w:spacing w:after="0" w:line="360" w:lineRule="auto"/>
        <w:rPr>
          <w:rFonts w:ascii="Book Antiqua" w:hAnsi="Book Antiqua" w:cs="Arial"/>
          <w:b/>
          <w:color w:val="000000" w:themeColor="text1"/>
          <w:sz w:val="24"/>
          <w:szCs w:val="24"/>
        </w:rPr>
      </w:pPr>
    </w:p>
    <w:p w14:paraId="28E0089F" w14:textId="77777777" w:rsidR="008A60AC" w:rsidRPr="00ED7BEC" w:rsidRDefault="008A60AC" w:rsidP="00ED7BEC">
      <w:pPr>
        <w:wordWrap/>
        <w:spacing w:after="0" w:line="360" w:lineRule="auto"/>
        <w:rPr>
          <w:rFonts w:ascii="Book Antiqua" w:hAnsi="Book Antiqua" w:cs="Arial"/>
          <w:i/>
          <w:color w:val="000000" w:themeColor="text1"/>
          <w:sz w:val="24"/>
          <w:szCs w:val="24"/>
        </w:rPr>
      </w:pPr>
      <w:r w:rsidRPr="00ED7BEC">
        <w:rPr>
          <w:rFonts w:ascii="Book Antiqua" w:hAnsi="Book Antiqua" w:cs="Arial"/>
          <w:b/>
          <w:i/>
          <w:color w:val="000000" w:themeColor="text1"/>
          <w:sz w:val="24"/>
          <w:szCs w:val="24"/>
        </w:rPr>
        <w:t>METHOD</w:t>
      </w:r>
    </w:p>
    <w:p w14:paraId="35B776E2" w14:textId="28AB0320"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 total of 410 treatment-naïve CHB patients infected with HBV genotype C2 strains were enrolled in this retrospective study. Among the 410 patients, 232 were treated with NAs for at least 12 mo. Significant fibrosis was defined as fibrosis-4 index &gt; 3.25 or aspartate aminotransferase to platelet ratio index &gt; 1.5. Complete viral response (CVR) during NAs was defined as undetectable serum HBV DNA (&lt; 24 IU/mL). The rtM204I variants were analyzed by a newly developed locked nucleotide probe (LNA probe) based real-time PCR (LNA-RT-PCR) method. </w:t>
      </w:r>
    </w:p>
    <w:p w14:paraId="5A587BA4" w14:textId="77777777" w:rsidR="008A60AC" w:rsidRPr="00ED7BEC" w:rsidRDefault="008A60AC" w:rsidP="00ED7BEC">
      <w:pPr>
        <w:wordWrap/>
        <w:spacing w:after="0" w:line="360" w:lineRule="auto"/>
        <w:rPr>
          <w:rFonts w:ascii="Book Antiqua" w:hAnsi="Book Antiqua" w:cs="Arial"/>
          <w:color w:val="000000" w:themeColor="text1"/>
          <w:sz w:val="24"/>
          <w:szCs w:val="24"/>
        </w:rPr>
      </w:pPr>
    </w:p>
    <w:p w14:paraId="0F8C1D9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RESULTS</w:t>
      </w:r>
    </w:p>
    <w:p w14:paraId="0D59047A" w14:textId="52BA0D46"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LNA-RT-PCR could discriminate rtM204I mutant-type (17 patients, 4.2%) from rtM204 wild-type (386 patients, 95.8%) in 403 of 410 patients (98.3% sensitivity). Multivariate analysis showed that naturally occurring rtM204I variants were more frequently detected in patients with significant fibrosis </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odd-ratio</w:t>
      </w:r>
      <w:r w:rsidR="00F740E5">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OR</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3.397, </w:t>
      </w:r>
      <w:r w:rsidR="00F740E5">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 xml:space="preserve">confidence-interval </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CI</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1.119</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10.319,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 0.031</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Of 232 patients receiving NAs, multivariate analysis revealed that achievement of CVR was reversely associated with naturally occurring rtM204I variants prior to NAs treatment (OR 0.014, </w:t>
      </w:r>
      <w:r w:rsidR="00F740E5">
        <w:rPr>
          <w:rFonts w:ascii="Book Antiqua" w:hAnsi="Book Antiqua" w:cs="Arial"/>
          <w:color w:val="000000" w:themeColor="text1"/>
          <w:sz w:val="24"/>
          <w:szCs w:val="24"/>
        </w:rPr>
        <w:t>95%</w:t>
      </w:r>
      <w:r w:rsidRPr="00ED7BEC">
        <w:rPr>
          <w:rFonts w:ascii="Book Antiqua" w:hAnsi="Book Antiqua" w:cs="Arial"/>
          <w:color w:val="000000" w:themeColor="text1"/>
          <w:sz w:val="24"/>
          <w:szCs w:val="24"/>
        </w:rPr>
        <w:t>CI 0.002</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lastRenderedPageBreak/>
        <w:t xml:space="preserve">0.096,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&lt; 0.001). Almost patients receiving tenofovir achieved CVR at 12 mo of tenofovir, irrespective of pre-existence of naturally occurring rtM204I mutations (CVR rates: patients with rtM204I, 100%; patients without rtM204I, 96.6%), whereas, pre-existence of naturally-occurring rtM204I-mutations prior to NAs significantly affects CVR rates in patients receiving entecavir (at 12 mo: </w:t>
      </w:r>
      <w:r w:rsidR="00F740E5" w:rsidRPr="00ED7BEC">
        <w:rPr>
          <w:rFonts w:ascii="Book Antiqua" w:hAnsi="Book Antiqua" w:cs="Arial"/>
          <w:color w:val="000000" w:themeColor="text1"/>
          <w:sz w:val="24"/>
          <w:szCs w:val="24"/>
        </w:rPr>
        <w:t>P</w:t>
      </w:r>
      <w:r w:rsidRPr="00ED7BEC">
        <w:rPr>
          <w:rFonts w:ascii="Book Antiqua" w:hAnsi="Book Antiqua" w:cs="Arial"/>
          <w:color w:val="000000" w:themeColor="text1"/>
          <w:sz w:val="24"/>
          <w:szCs w:val="24"/>
        </w:rPr>
        <w:t>atients with rtM204I, 16.7%; patients without rtM204I, 95.6%</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&lt; 0.001).</w:t>
      </w:r>
    </w:p>
    <w:p w14:paraId="2B0D7A23" w14:textId="77777777" w:rsidR="008A60AC" w:rsidRPr="00ED7BEC" w:rsidRDefault="008A60AC" w:rsidP="00ED7BEC">
      <w:pPr>
        <w:wordWrap/>
        <w:spacing w:after="0" w:line="360" w:lineRule="auto"/>
        <w:rPr>
          <w:rFonts w:ascii="Book Antiqua" w:hAnsi="Book Antiqua" w:cs="Arial"/>
          <w:color w:val="000000" w:themeColor="text1"/>
          <w:sz w:val="24"/>
          <w:szCs w:val="24"/>
        </w:rPr>
      </w:pPr>
    </w:p>
    <w:p w14:paraId="3F1364E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CONCLUSION</w:t>
      </w:r>
    </w:p>
    <w:p w14:paraId="661404F5" w14:textId="469C1058" w:rsidR="008A60A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The newly developed LNA-RT-PCR method could detect naturally occurring rtM204I mutations with high-sensitivity. Theses mutations were more frequent in patients with liver fibrosis. Tenofovir is a more suitable treatment than entecavir for CHB patients carrying the naturally occurring rtM204I mutations.</w:t>
      </w:r>
    </w:p>
    <w:p w14:paraId="6C2BD89B" w14:textId="6921ADF0" w:rsidR="00F740E5" w:rsidRDefault="00F740E5" w:rsidP="00ED7BEC">
      <w:pPr>
        <w:wordWrap/>
        <w:spacing w:after="0" w:line="360" w:lineRule="auto"/>
        <w:rPr>
          <w:rFonts w:ascii="Book Antiqua" w:hAnsi="Book Antiqua" w:cs="Arial"/>
          <w:color w:val="000000" w:themeColor="text1"/>
          <w:sz w:val="24"/>
          <w:szCs w:val="24"/>
        </w:rPr>
      </w:pPr>
    </w:p>
    <w:p w14:paraId="407BC12B" w14:textId="0B2B3F26" w:rsidR="008A60AC" w:rsidRPr="00F740E5" w:rsidRDefault="00F740E5" w:rsidP="00ED7BEC">
      <w:pPr>
        <w:wordWrap/>
        <w:spacing w:after="0" w:line="360" w:lineRule="auto"/>
        <w:rPr>
          <w:rFonts w:ascii="Book Antiqua" w:hAnsi="Book Antiqua" w:cs="Arial"/>
          <w:color w:val="000000" w:themeColor="text1"/>
          <w:sz w:val="24"/>
          <w:szCs w:val="24"/>
        </w:rPr>
      </w:pPr>
      <w:r w:rsidRPr="00F740E5">
        <w:rPr>
          <w:rFonts w:ascii="Book Antiqua" w:hAnsi="Book Antiqua" w:cs="Arial"/>
          <w:b/>
          <w:color w:val="000000" w:themeColor="text1"/>
          <w:sz w:val="24"/>
          <w:szCs w:val="24"/>
        </w:rPr>
        <w:t>Key words:</w:t>
      </w:r>
      <w:r>
        <w:rPr>
          <w:rFonts w:ascii="Book Antiqua" w:eastAsia="等线" w:hAnsi="Book Antiqua" w:cs="Arial" w:hint="eastAsia"/>
          <w:color w:val="000000" w:themeColor="text1"/>
          <w:sz w:val="24"/>
          <w:szCs w:val="24"/>
          <w:lang w:eastAsia="zh-CN"/>
        </w:rPr>
        <w:t xml:space="preserve"> </w:t>
      </w:r>
      <w:bookmarkStart w:id="14" w:name="OLE_LINK194"/>
      <w:bookmarkStart w:id="15" w:name="OLE_LINK195"/>
      <w:r w:rsidR="008A60AC" w:rsidRPr="00ED7BEC">
        <w:rPr>
          <w:rFonts w:ascii="Book Antiqua" w:eastAsia="Arial Unicode MS" w:hAnsi="Book Antiqua" w:cs="Arial"/>
          <w:color w:val="000000" w:themeColor="text1"/>
          <w:sz w:val="24"/>
          <w:szCs w:val="24"/>
        </w:rPr>
        <w:t>Chronic hepatitis B</w:t>
      </w:r>
      <w:bookmarkEnd w:id="14"/>
      <w:bookmarkEnd w:id="15"/>
      <w:r w:rsidR="008A60AC" w:rsidRPr="00ED7BEC">
        <w:rPr>
          <w:rFonts w:ascii="Book Antiqua" w:eastAsia="Arial Unicode MS" w:hAnsi="Book Antiqua" w:cs="Arial"/>
          <w:color w:val="000000" w:themeColor="text1"/>
          <w:sz w:val="24"/>
          <w:szCs w:val="24"/>
        </w:rPr>
        <w:t xml:space="preserve">; </w:t>
      </w:r>
      <w:bookmarkStart w:id="16" w:name="OLE_LINK196"/>
      <w:bookmarkStart w:id="17" w:name="OLE_LINK197"/>
      <w:r w:rsidR="008A60AC" w:rsidRPr="00ED7BEC">
        <w:rPr>
          <w:rFonts w:ascii="Book Antiqua" w:eastAsia="Arial Unicode MS" w:hAnsi="Book Antiqua" w:cs="Arial"/>
          <w:color w:val="000000" w:themeColor="text1"/>
          <w:sz w:val="24"/>
          <w:szCs w:val="24"/>
        </w:rPr>
        <w:t>Entecavir</w:t>
      </w:r>
      <w:bookmarkEnd w:id="16"/>
      <w:bookmarkEnd w:id="17"/>
      <w:r w:rsidR="008A60AC" w:rsidRPr="00ED7BEC">
        <w:rPr>
          <w:rFonts w:ascii="Book Antiqua" w:eastAsia="Arial Unicode MS" w:hAnsi="Book Antiqua" w:cs="Arial"/>
          <w:color w:val="000000" w:themeColor="text1"/>
          <w:sz w:val="24"/>
          <w:szCs w:val="24"/>
        </w:rPr>
        <w:t xml:space="preserve">; </w:t>
      </w:r>
      <w:bookmarkStart w:id="18" w:name="OLE_LINK199"/>
      <w:bookmarkStart w:id="19" w:name="OLE_LINK200"/>
      <w:r w:rsidR="008A60AC" w:rsidRPr="00ED7BEC">
        <w:rPr>
          <w:rFonts w:ascii="Book Antiqua" w:eastAsia="Arial Unicode MS" w:hAnsi="Book Antiqua" w:cs="Arial"/>
          <w:color w:val="000000" w:themeColor="text1"/>
          <w:sz w:val="24"/>
          <w:szCs w:val="24"/>
        </w:rPr>
        <w:t>Hepatitis B virus</w:t>
      </w:r>
      <w:bookmarkEnd w:id="18"/>
      <w:bookmarkEnd w:id="19"/>
      <w:r w:rsidR="008A60AC" w:rsidRPr="00ED7BEC">
        <w:rPr>
          <w:rFonts w:ascii="Book Antiqua" w:eastAsia="Arial Unicode MS" w:hAnsi="Book Antiqua" w:cs="Arial"/>
          <w:color w:val="000000" w:themeColor="text1"/>
          <w:sz w:val="24"/>
          <w:szCs w:val="24"/>
        </w:rPr>
        <w:t xml:space="preserve">; </w:t>
      </w:r>
      <w:bookmarkStart w:id="20" w:name="OLE_LINK201"/>
      <w:r w:rsidR="008A60AC" w:rsidRPr="00ED7BEC">
        <w:rPr>
          <w:rFonts w:ascii="Book Antiqua" w:eastAsia="Arial Unicode MS" w:hAnsi="Book Antiqua" w:cs="Arial"/>
          <w:color w:val="000000" w:themeColor="text1"/>
          <w:sz w:val="24"/>
          <w:szCs w:val="24"/>
        </w:rPr>
        <w:t>Liver fibrosis</w:t>
      </w:r>
      <w:bookmarkEnd w:id="20"/>
      <w:r w:rsidR="008A60AC" w:rsidRPr="00ED7BEC">
        <w:rPr>
          <w:rFonts w:ascii="Book Antiqua" w:eastAsia="Arial Unicode MS" w:hAnsi="Book Antiqua" w:cs="Arial"/>
          <w:color w:val="000000" w:themeColor="text1"/>
          <w:sz w:val="24"/>
          <w:szCs w:val="24"/>
        </w:rPr>
        <w:t xml:space="preserve">; </w:t>
      </w:r>
      <w:bookmarkStart w:id="21" w:name="OLE_LINK202"/>
      <w:bookmarkStart w:id="22" w:name="OLE_LINK203"/>
      <w:r w:rsidR="008A60AC" w:rsidRPr="00ED7BEC">
        <w:rPr>
          <w:rFonts w:ascii="Book Antiqua" w:eastAsia="Arial Unicode MS" w:hAnsi="Book Antiqua" w:cs="Arial"/>
          <w:color w:val="000000" w:themeColor="text1"/>
          <w:sz w:val="24"/>
          <w:szCs w:val="24"/>
        </w:rPr>
        <w:t>Mutation</w:t>
      </w:r>
      <w:bookmarkEnd w:id="21"/>
      <w:bookmarkEnd w:id="22"/>
      <w:r w:rsidR="008A60AC" w:rsidRPr="00ED7BEC">
        <w:rPr>
          <w:rFonts w:ascii="Book Antiqua" w:eastAsia="Arial Unicode MS" w:hAnsi="Book Antiqua" w:cs="Arial"/>
          <w:color w:val="000000" w:themeColor="text1"/>
          <w:sz w:val="24"/>
          <w:szCs w:val="24"/>
        </w:rPr>
        <w:t xml:space="preserve">; </w:t>
      </w:r>
      <w:bookmarkStart w:id="23" w:name="OLE_LINK205"/>
      <w:bookmarkStart w:id="24" w:name="OLE_LINK206"/>
      <w:r w:rsidR="008A60AC" w:rsidRPr="00ED7BEC">
        <w:rPr>
          <w:rFonts w:ascii="Book Antiqua" w:eastAsia="Arial Unicode MS" w:hAnsi="Book Antiqua" w:cs="Arial"/>
          <w:color w:val="000000" w:themeColor="text1"/>
          <w:sz w:val="24"/>
          <w:szCs w:val="24"/>
        </w:rPr>
        <w:t>Tenofovir</w:t>
      </w:r>
      <w:bookmarkEnd w:id="23"/>
      <w:bookmarkEnd w:id="24"/>
    </w:p>
    <w:p w14:paraId="66AE55F3" w14:textId="77777777" w:rsidR="008A60AC" w:rsidRPr="00ED7BEC" w:rsidRDefault="008A60AC" w:rsidP="00ED7BEC">
      <w:pPr>
        <w:wordWrap/>
        <w:spacing w:after="0" w:line="360" w:lineRule="auto"/>
        <w:rPr>
          <w:rFonts w:ascii="Book Antiqua" w:eastAsia="Arial Unicode MS" w:hAnsi="Book Antiqua" w:cs="Arial"/>
          <w:color w:val="000000" w:themeColor="text1"/>
          <w:sz w:val="24"/>
          <w:szCs w:val="24"/>
        </w:rPr>
      </w:pPr>
    </w:p>
    <w:p w14:paraId="4924487B" w14:textId="77777777" w:rsidR="008A60AC" w:rsidRPr="00ED7BEC" w:rsidRDefault="008A60AC" w:rsidP="00ED7BEC">
      <w:pPr>
        <w:wordWrap/>
        <w:adjustRightInd w:val="0"/>
        <w:snapToGrid w:val="0"/>
        <w:spacing w:after="0" w:line="360" w:lineRule="auto"/>
        <w:rPr>
          <w:rFonts w:ascii="Book Antiqua" w:eastAsia="宋体" w:hAnsi="Book Antiqua" w:cs="Times New Roman"/>
          <w:color w:val="000000" w:themeColor="text1"/>
          <w:kern w:val="0"/>
          <w:sz w:val="24"/>
          <w:szCs w:val="24"/>
          <w:lang w:eastAsia="zh-CN"/>
        </w:rPr>
      </w:pPr>
      <w:bookmarkStart w:id="25" w:name="OLE_LINK43"/>
      <w:bookmarkStart w:id="26" w:name="OLE_LINK65"/>
      <w:bookmarkStart w:id="27" w:name="OLE_LINK207"/>
      <w:r w:rsidRPr="00ED7BEC">
        <w:rPr>
          <w:rFonts w:ascii="Book Antiqua" w:eastAsia="宋体" w:hAnsi="Book Antiqua" w:cs="Times New Roman"/>
          <w:b/>
          <w:color w:val="000000" w:themeColor="text1"/>
          <w:kern w:val="0"/>
          <w:sz w:val="24"/>
          <w:szCs w:val="24"/>
          <w:lang w:eastAsia="zh-CN"/>
        </w:rPr>
        <w:t xml:space="preserve">© The Author(s) 2019. </w:t>
      </w:r>
      <w:r w:rsidRPr="00ED7BEC">
        <w:rPr>
          <w:rFonts w:ascii="Book Antiqua" w:eastAsia="宋体" w:hAnsi="Book Antiqua" w:cs="Times New Roman"/>
          <w:color w:val="000000" w:themeColor="text1"/>
          <w:kern w:val="0"/>
          <w:sz w:val="24"/>
          <w:szCs w:val="24"/>
          <w:lang w:eastAsia="zh-CN"/>
        </w:rPr>
        <w:t>Published by Baishideng Publishing Group Inc. All rights reserved.</w:t>
      </w:r>
      <w:bookmarkEnd w:id="25"/>
      <w:bookmarkEnd w:id="26"/>
    </w:p>
    <w:bookmarkEnd w:id="27"/>
    <w:p w14:paraId="0FFD8488" w14:textId="77777777" w:rsidR="008A60AC" w:rsidRPr="00ED7BEC" w:rsidRDefault="008A60AC" w:rsidP="00ED7BEC">
      <w:pPr>
        <w:wordWrap/>
        <w:spacing w:after="0" w:line="360" w:lineRule="auto"/>
        <w:rPr>
          <w:rFonts w:ascii="Book Antiqua" w:eastAsia="Arial Unicode MS" w:hAnsi="Book Antiqua" w:cs="Arial"/>
          <w:color w:val="000000" w:themeColor="text1"/>
          <w:sz w:val="24"/>
          <w:szCs w:val="24"/>
        </w:rPr>
      </w:pPr>
    </w:p>
    <w:p w14:paraId="0BD213D3" w14:textId="15223AF2" w:rsidR="008A60A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 xml:space="preserve">Core tip: </w:t>
      </w:r>
      <w:r w:rsidRPr="00ED7BEC">
        <w:rPr>
          <w:rFonts w:ascii="Book Antiqua" w:eastAsia="BatangChe" w:hAnsi="Book Antiqua" w:cs="Arial"/>
          <w:color w:val="000000" w:themeColor="text1"/>
          <w:sz w:val="24"/>
          <w:szCs w:val="24"/>
        </w:rPr>
        <w:t xml:space="preserve">Hepatitis B virus (HBV) DNA polymerase mutations have been known to be prevalent in treatment-naïve chronic hepatitis B (CHB) patients infected with HBV genotype C2 strains. </w:t>
      </w:r>
      <w:r w:rsidRPr="00ED7BEC">
        <w:rPr>
          <w:rFonts w:ascii="Book Antiqua" w:hAnsi="Book Antiqua" w:cs="Arial"/>
          <w:color w:val="000000" w:themeColor="text1"/>
          <w:sz w:val="24"/>
          <w:szCs w:val="24"/>
        </w:rPr>
        <w:t xml:space="preserve">The newly developed locked nucleotide probe based real-time PCR method could discriminate the naturally-occurring rtM204I mutations from wild type with high sensitivity in treatment-naïve patients. </w:t>
      </w:r>
      <w:r w:rsidRPr="00ED7BEC">
        <w:rPr>
          <w:rFonts w:ascii="Book Antiqua" w:eastAsia="BatangChe" w:hAnsi="Book Antiqua" w:cs="Arial"/>
          <w:color w:val="000000" w:themeColor="text1"/>
          <w:sz w:val="24"/>
          <w:szCs w:val="24"/>
        </w:rPr>
        <w:t xml:space="preserve">Multivariate analyses showed that the naturally-occurring rtM204I variants were more frequently pre-existed in patients with liver fibrosis, and the pre-existence of the naturally-occurring rtM204I variants were significantly associated with incomplete viral response to nucleos(t)ide analogues. </w:t>
      </w:r>
      <w:r w:rsidRPr="00ED7BEC">
        <w:rPr>
          <w:rFonts w:ascii="Book Antiqua" w:hAnsi="Book Antiqua" w:cs="Arial"/>
          <w:color w:val="000000" w:themeColor="text1"/>
          <w:sz w:val="24"/>
          <w:szCs w:val="24"/>
        </w:rPr>
        <w:t xml:space="preserve">Tenofovir is a more suitable </w:t>
      </w:r>
      <w:r w:rsidRPr="00ED7BEC">
        <w:rPr>
          <w:rFonts w:ascii="Book Antiqua" w:eastAsia="BatangChe" w:hAnsi="Book Antiqua" w:cs="Arial"/>
          <w:color w:val="000000" w:themeColor="text1"/>
          <w:sz w:val="24"/>
          <w:szCs w:val="24"/>
        </w:rPr>
        <w:t>nucleos(t)ide analogues</w:t>
      </w:r>
      <w:r w:rsidRPr="00ED7BEC">
        <w:rPr>
          <w:rFonts w:ascii="Book Antiqua" w:hAnsi="Book Antiqua" w:cs="Arial"/>
          <w:color w:val="000000" w:themeColor="text1"/>
          <w:sz w:val="24"/>
          <w:szCs w:val="24"/>
        </w:rPr>
        <w:t xml:space="preserve"> than entecavir for treatment-naïve CHB patients carrying the naturally occurring rtM204I mutations.</w:t>
      </w:r>
    </w:p>
    <w:p w14:paraId="0E3CB861" w14:textId="77777777" w:rsidR="00610109" w:rsidRDefault="00610109" w:rsidP="00610109">
      <w:pPr>
        <w:wordWrap/>
        <w:spacing w:after="0" w:line="360" w:lineRule="auto"/>
        <w:rPr>
          <w:rFonts w:ascii="Book Antiqua" w:hAnsi="Book Antiqua" w:cs="Arial"/>
          <w:b/>
          <w:color w:val="000000" w:themeColor="text1"/>
          <w:sz w:val="24"/>
          <w:szCs w:val="24"/>
        </w:rPr>
      </w:pPr>
    </w:p>
    <w:p w14:paraId="7403B59E" w14:textId="0BC79059" w:rsidR="002F4717" w:rsidRPr="00610109" w:rsidRDefault="00610109" w:rsidP="00ED7BEC">
      <w:pPr>
        <w:wordWrap/>
        <w:spacing w:after="0" w:line="360" w:lineRule="auto"/>
        <w:rPr>
          <w:rFonts w:ascii="Book Antiqua" w:hAnsi="Book Antiqua" w:cs="Arial"/>
          <w:bCs/>
          <w:color w:val="000000" w:themeColor="text1"/>
          <w:sz w:val="24"/>
          <w:szCs w:val="24"/>
        </w:rPr>
      </w:pPr>
      <w:r w:rsidRPr="00ED7BEC">
        <w:rPr>
          <w:rFonts w:ascii="Book Antiqua" w:hAnsi="Book Antiqua" w:cs="Arial"/>
          <w:color w:val="000000" w:themeColor="text1"/>
          <w:sz w:val="24"/>
          <w:szCs w:val="24"/>
        </w:rPr>
        <w:t>Choe WH</w:t>
      </w:r>
      <w:r>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Kim</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KJ, </w:t>
      </w:r>
      <w:r w:rsidRPr="00ED7BEC">
        <w:rPr>
          <w:rFonts w:ascii="Book Antiqua" w:hAnsi="Book Antiqua" w:cs="Arial"/>
          <w:color w:val="000000" w:themeColor="text1"/>
          <w:sz w:val="24"/>
          <w:szCs w:val="24"/>
        </w:rPr>
        <w:t>Lee</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SY, </w:t>
      </w:r>
      <w:r w:rsidRPr="00ED7BEC">
        <w:rPr>
          <w:rFonts w:ascii="Book Antiqua" w:hAnsi="Book Antiqua" w:cs="Arial"/>
          <w:color w:val="000000" w:themeColor="text1"/>
          <w:sz w:val="24"/>
          <w:szCs w:val="24"/>
        </w:rPr>
        <w:t>Choi</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YM, </w:t>
      </w:r>
      <w:r w:rsidRPr="00ED7BEC">
        <w:rPr>
          <w:rFonts w:ascii="Book Antiqua" w:hAnsi="Book Antiqua" w:cs="Arial"/>
          <w:color w:val="000000" w:themeColor="text1"/>
          <w:sz w:val="24"/>
          <w:szCs w:val="24"/>
        </w:rPr>
        <w:t>Kwon</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SY, </w:t>
      </w:r>
      <w:r w:rsidRPr="00ED7BEC">
        <w:rPr>
          <w:rFonts w:ascii="Book Antiqua" w:hAnsi="Book Antiqua" w:cs="Arial"/>
          <w:color w:val="000000" w:themeColor="text1"/>
          <w:sz w:val="24"/>
          <w:szCs w:val="24"/>
        </w:rPr>
        <w:t>Kim</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JH, </w:t>
      </w:r>
      <w:r w:rsidRPr="00ED7BEC">
        <w:rPr>
          <w:rFonts w:ascii="Book Antiqua" w:hAnsi="Book Antiqua" w:cs="Arial"/>
          <w:color w:val="000000" w:themeColor="text1"/>
          <w:sz w:val="24"/>
          <w:szCs w:val="24"/>
        </w:rPr>
        <w:t>Kim</w:t>
      </w:r>
      <w:r w:rsidRPr="00610109">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BJ. </w:t>
      </w:r>
      <w:r w:rsidRPr="00610109">
        <w:rPr>
          <w:rFonts w:ascii="Book Antiqua" w:hAnsi="Book Antiqua" w:cs="Arial"/>
          <w:bCs/>
          <w:color w:val="000000" w:themeColor="text1"/>
          <w:sz w:val="24"/>
          <w:szCs w:val="24"/>
        </w:rPr>
        <w:t xml:space="preserve">Tenofovir is a more </w:t>
      </w:r>
      <w:r w:rsidRPr="00610109">
        <w:rPr>
          <w:rFonts w:ascii="Book Antiqua" w:hAnsi="Book Antiqua" w:cs="Arial"/>
          <w:bCs/>
          <w:color w:val="000000" w:themeColor="text1"/>
          <w:sz w:val="24"/>
          <w:szCs w:val="24"/>
        </w:rPr>
        <w:lastRenderedPageBreak/>
        <w:t>suitable treatment than entecavir for chronic hepatitis B patients carrying naturally occurring rtM204I mutations</w:t>
      </w:r>
      <w:r>
        <w:rPr>
          <w:rFonts w:ascii="Book Antiqua" w:hAnsi="Book Antiqua" w:cs="Arial"/>
          <w:bCs/>
          <w:color w:val="000000" w:themeColor="text1"/>
          <w:sz w:val="24"/>
          <w:szCs w:val="24"/>
        </w:rPr>
        <w:t xml:space="preserve">. </w:t>
      </w:r>
      <w:r w:rsidRPr="00ED7BEC">
        <w:rPr>
          <w:rFonts w:ascii="Book Antiqua" w:eastAsiaTheme="majorHAnsi" w:hAnsi="Book Antiqua" w:cs="Arial"/>
          <w:i/>
          <w:iCs/>
          <w:color w:val="000000" w:themeColor="text1"/>
          <w:sz w:val="24"/>
          <w:szCs w:val="24"/>
        </w:rPr>
        <w:t>World J Gastroenterol</w:t>
      </w:r>
      <w:r>
        <w:rPr>
          <w:rFonts w:ascii="Book Antiqua" w:eastAsiaTheme="majorHAnsi" w:hAnsi="Book Antiqua" w:cs="Arial"/>
          <w:i/>
          <w:iCs/>
          <w:color w:val="000000" w:themeColor="text1"/>
          <w:sz w:val="24"/>
          <w:szCs w:val="24"/>
        </w:rPr>
        <w:t xml:space="preserve"> </w:t>
      </w:r>
      <w:r w:rsidRPr="00610109">
        <w:rPr>
          <w:rFonts w:ascii="Book Antiqua" w:eastAsiaTheme="majorHAnsi" w:hAnsi="Book Antiqua" w:cs="Arial"/>
          <w:color w:val="000000" w:themeColor="text1"/>
          <w:sz w:val="24"/>
          <w:szCs w:val="24"/>
        </w:rPr>
        <w:t>2019</w:t>
      </w:r>
      <w:r>
        <w:rPr>
          <w:rFonts w:ascii="Book Antiqua" w:eastAsiaTheme="majorHAnsi" w:hAnsi="Book Antiqua" w:cs="Arial"/>
          <w:color w:val="000000" w:themeColor="text1"/>
          <w:sz w:val="24"/>
          <w:szCs w:val="24"/>
        </w:rPr>
        <w:t>; In press</w:t>
      </w:r>
    </w:p>
    <w:p w14:paraId="4D5B5114" w14:textId="77777777" w:rsidR="008A60AC" w:rsidRPr="00ED7BEC" w:rsidRDefault="008A60AC" w:rsidP="00ED7BEC">
      <w:pPr>
        <w:widowControl/>
        <w:wordWrap/>
        <w:autoSpaceDE/>
        <w:autoSpaceDN/>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br w:type="page"/>
      </w:r>
    </w:p>
    <w:p w14:paraId="43424EA6" w14:textId="77777777" w:rsidR="00A02825" w:rsidRPr="00ED7BEC" w:rsidRDefault="002308A3"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INTRODUCTION</w:t>
      </w:r>
    </w:p>
    <w:p w14:paraId="61CFFCBC" w14:textId="16BDA1F5" w:rsidR="002308A3" w:rsidRPr="00ED7BEC" w:rsidRDefault="002308A3" w:rsidP="00485401">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Hepatitis B virus (HBV) infection is a global health issue because of its worldwide distribution and is a potential leading cause of adverse outcomes, including liver cirrhosis (LC), hepatic decompensation, and hepatocellular carcinoma (HCC)</w:t>
      </w:r>
      <w:r w:rsidRPr="00ED7BEC">
        <w:rPr>
          <w:rFonts w:ascii="Book Antiqua" w:hAnsi="Book Antiqua" w:cs="Arial"/>
          <w:color w:val="000000" w:themeColor="text1"/>
          <w:sz w:val="24"/>
          <w:szCs w:val="24"/>
          <w:vertAlign w:val="superscript"/>
        </w:rPr>
        <w:t>[1,2]</w:t>
      </w:r>
      <w:r w:rsidRPr="00ED7BEC">
        <w:rPr>
          <w:rFonts w:ascii="Book Antiqua" w:hAnsi="Book Antiqua" w:cs="Arial"/>
          <w:color w:val="000000" w:themeColor="text1"/>
          <w:sz w:val="24"/>
          <w:szCs w:val="24"/>
        </w:rPr>
        <w:t>. Nucleos(t)ide analogues (NAs) are recommended by international guidelines for suppressing HBV replication and have been shown to decrease the rate of complications</w:t>
      </w:r>
      <w:r w:rsidRPr="00ED7BEC">
        <w:rPr>
          <w:rFonts w:ascii="Book Antiqua" w:hAnsi="Book Antiqua" w:cs="Arial"/>
          <w:color w:val="000000" w:themeColor="text1"/>
          <w:sz w:val="24"/>
          <w:szCs w:val="24"/>
          <w:vertAlign w:val="superscript"/>
        </w:rPr>
        <w:t>[3,4]</w:t>
      </w:r>
      <w:r w:rsidRPr="00ED7BEC">
        <w:rPr>
          <w:rFonts w:ascii="Book Antiqua" w:hAnsi="Book Antiqua" w:cs="Arial"/>
          <w:color w:val="000000" w:themeColor="text1"/>
          <w:sz w:val="24"/>
          <w:szCs w:val="24"/>
        </w:rPr>
        <w:t>. While NAs are well tolerated and effective in suppressing viral replication, long-term treatment with oral antiviral drugs can lead to the emergence of drug resistance mutations</w:t>
      </w:r>
      <w:r w:rsidRPr="00ED7BEC">
        <w:rPr>
          <w:rFonts w:ascii="Book Antiqua" w:hAnsi="Book Antiqua" w:cs="Arial"/>
          <w:color w:val="000000" w:themeColor="text1"/>
          <w:sz w:val="24"/>
          <w:szCs w:val="24"/>
          <w:vertAlign w:val="superscript"/>
        </w:rPr>
        <w:t>[5]</w:t>
      </w:r>
      <w:r w:rsidRPr="00ED7BEC">
        <w:rPr>
          <w:rFonts w:ascii="Book Antiqua" w:hAnsi="Book Antiqua" w:cs="Arial"/>
          <w:color w:val="000000" w:themeColor="text1"/>
          <w:sz w:val="24"/>
          <w:szCs w:val="24"/>
        </w:rPr>
        <w:t>. For instance, rtM204I is a classic mutation reducing susceptibility to mono</w:t>
      </w:r>
      <w:r w:rsidR="008A60AC"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therapy by NAs with low genetic barriers, such as lamivudine (LAM), telbivudine (</w:t>
      </w:r>
      <w:bookmarkStart w:id="28" w:name="OLE_LINK189"/>
      <w:r w:rsidRPr="00ED7BEC">
        <w:rPr>
          <w:rFonts w:ascii="Book Antiqua" w:hAnsi="Book Antiqua" w:cs="Arial"/>
          <w:color w:val="000000" w:themeColor="text1"/>
          <w:sz w:val="24"/>
          <w:szCs w:val="24"/>
        </w:rPr>
        <w:t>L-dT</w:t>
      </w:r>
      <w:bookmarkEnd w:id="28"/>
      <w:r w:rsidRPr="00ED7BEC">
        <w:rPr>
          <w:rFonts w:ascii="Book Antiqua" w:hAnsi="Book Antiqua" w:cs="Arial"/>
          <w:color w:val="000000" w:themeColor="text1"/>
          <w:sz w:val="24"/>
          <w:szCs w:val="24"/>
        </w:rPr>
        <w:t>) and clevudine (CLV)</w:t>
      </w:r>
      <w:r w:rsidRPr="00ED7BEC">
        <w:rPr>
          <w:rFonts w:ascii="Book Antiqua" w:hAnsi="Book Antiqua" w:cs="Arial"/>
          <w:color w:val="000000" w:themeColor="text1"/>
          <w:sz w:val="24"/>
          <w:szCs w:val="24"/>
          <w:vertAlign w:val="superscript"/>
        </w:rPr>
        <w:t>[6]</w:t>
      </w:r>
      <w:r w:rsidRPr="00ED7BEC">
        <w:rPr>
          <w:rFonts w:ascii="Book Antiqua" w:hAnsi="Book Antiqua" w:cs="Arial"/>
          <w:color w:val="000000" w:themeColor="text1"/>
          <w:sz w:val="24"/>
          <w:szCs w:val="24"/>
        </w:rPr>
        <w:t>.</w:t>
      </w:r>
    </w:p>
    <w:p w14:paraId="031FAE9D" w14:textId="76BD28A6" w:rsidR="002308A3" w:rsidRPr="00ED7BEC" w:rsidRDefault="002308A3" w:rsidP="00485401">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HBV is an enveloped, partially double stranded DNA virus containing a genome that is approximately 3.2 kb in length and contains 4 overlapping open reading frames encoding the polymerase, core, surface antigen, and X protein</w:t>
      </w:r>
      <w:r w:rsidRPr="00ED7BEC">
        <w:rPr>
          <w:rFonts w:ascii="Book Antiqua" w:hAnsi="Book Antiqua" w:cs="Arial"/>
          <w:color w:val="000000" w:themeColor="text1"/>
          <w:sz w:val="24"/>
          <w:szCs w:val="24"/>
          <w:vertAlign w:val="superscript"/>
        </w:rPr>
        <w:t>[7]</w:t>
      </w:r>
      <w:r w:rsidRPr="00ED7BEC">
        <w:rPr>
          <w:rFonts w:ascii="Book Antiqua" w:hAnsi="Book Antiqua" w:cs="Arial"/>
          <w:color w:val="000000" w:themeColor="text1"/>
          <w:sz w:val="24"/>
          <w:szCs w:val="24"/>
        </w:rPr>
        <w:t>. The polymerase gene includes four domains, the terminal protein, spacer, ribonuclease H, and reverse transcriptase (RT) regions. The RT region replicates the HBV genome through its DNA polymerase activity using RNA intermediates as a template. Since the RT lacks proofreading activity during viral replication, the error rate of HBV genome synthesis has been found to be 10</w:t>
      </w:r>
      <w:r w:rsidRPr="00ED7BEC">
        <w:rPr>
          <w:rFonts w:ascii="Book Antiqua" w:hAnsi="Book Antiqua" w:cs="Arial"/>
          <w:color w:val="000000" w:themeColor="text1"/>
          <w:sz w:val="24"/>
          <w:szCs w:val="24"/>
          <w:vertAlign w:val="superscript"/>
        </w:rPr>
        <w:t>-7</w:t>
      </w:r>
      <w:r w:rsidRPr="00ED7BEC">
        <w:rPr>
          <w:rFonts w:ascii="Book Antiqua" w:hAnsi="Book Antiqua" w:cs="Arial"/>
          <w:color w:val="000000" w:themeColor="text1"/>
          <w:sz w:val="24"/>
          <w:szCs w:val="24"/>
        </w:rPr>
        <w:t xml:space="preserve"> per nucleotide, which is 10-fold higher than those of other DNA viruses</w:t>
      </w:r>
      <w:r w:rsidRPr="00ED7BEC">
        <w:rPr>
          <w:rFonts w:ascii="Book Antiqua" w:hAnsi="Book Antiqua" w:cs="Arial"/>
          <w:color w:val="000000" w:themeColor="text1"/>
          <w:sz w:val="24"/>
          <w:szCs w:val="24"/>
          <w:vertAlign w:val="superscript"/>
        </w:rPr>
        <w:t>[8]</w:t>
      </w:r>
      <w:r w:rsidRPr="00ED7BEC">
        <w:rPr>
          <w:rFonts w:ascii="Book Antiqua" w:hAnsi="Book Antiqua" w:cs="Arial"/>
          <w:color w:val="000000" w:themeColor="text1"/>
          <w:sz w:val="24"/>
          <w:szCs w:val="24"/>
        </w:rPr>
        <w:t>. The high rate of mutations in the HBV genome complicates antiviral therapy with NAs, leading to the generation of drug-resistant viral strains and disease progression</w:t>
      </w:r>
      <w:r w:rsidRPr="00ED7BEC">
        <w:rPr>
          <w:rFonts w:ascii="Book Antiqua" w:hAnsi="Book Antiqua" w:cs="Arial"/>
          <w:color w:val="000000" w:themeColor="text1"/>
          <w:sz w:val="24"/>
          <w:szCs w:val="24"/>
          <w:vertAlign w:val="superscript"/>
        </w:rPr>
        <w:t>[9]</w:t>
      </w:r>
      <w:r w:rsidRPr="00ED7BEC">
        <w:rPr>
          <w:rFonts w:ascii="Book Antiqua" w:hAnsi="Book Antiqua" w:cs="Arial"/>
          <w:color w:val="000000" w:themeColor="text1"/>
          <w:sz w:val="24"/>
          <w:szCs w:val="24"/>
        </w:rPr>
        <w:t>.</w:t>
      </w:r>
    </w:p>
    <w:p w14:paraId="717A693D" w14:textId="149CB644" w:rsidR="002308A3" w:rsidRPr="00ED7BEC" w:rsidRDefault="002308A3" w:rsidP="00485401">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Previous studies have reported the existence of HBV DNA polymerase mutations in chronic hepatitis B (CHB) individuals prior to NA treatment; however, the prevalence varies from 0 to 30%</w:t>
      </w:r>
      <w:r w:rsidRPr="00ED7BEC">
        <w:rPr>
          <w:rFonts w:ascii="Book Antiqua" w:hAnsi="Book Antiqua" w:cs="Arial"/>
          <w:color w:val="000000" w:themeColor="text1"/>
          <w:sz w:val="24"/>
          <w:szCs w:val="24"/>
          <w:vertAlign w:val="superscript"/>
        </w:rPr>
        <w:t>[10-13]</w:t>
      </w:r>
      <w:r w:rsidRPr="00ED7BEC">
        <w:rPr>
          <w:rFonts w:ascii="Book Antiqua" w:hAnsi="Book Antiqua" w:cs="Arial"/>
          <w:color w:val="000000" w:themeColor="text1"/>
          <w:sz w:val="24"/>
          <w:szCs w:val="24"/>
        </w:rPr>
        <w:t xml:space="preserve">. This wide range might may be due to several factors including different study designs, regions, ethnicities, mutation detection methods, sample sizes, </w:t>
      </w:r>
      <w:r w:rsidRPr="00ED7BEC">
        <w:rPr>
          <w:rFonts w:ascii="Book Antiqua" w:hAnsi="Book Antiqua" w:cs="Arial"/>
          <w:i/>
          <w:color w:val="000000" w:themeColor="text1"/>
          <w:sz w:val="24"/>
          <w:szCs w:val="24"/>
        </w:rPr>
        <w:t>etc</w:t>
      </w:r>
      <w:r w:rsidR="00485401">
        <w:rPr>
          <w:rFonts w:ascii="Book Antiqua" w:hAnsi="Book Antiqua" w:cs="Arial"/>
          <w:i/>
          <w:color w:val="000000" w:themeColor="text1"/>
          <w:sz w:val="24"/>
          <w:szCs w:val="24"/>
        </w:rPr>
        <w:t>.</w:t>
      </w:r>
      <w:r w:rsidRPr="00ED7BEC">
        <w:rPr>
          <w:rFonts w:ascii="Book Antiqua" w:hAnsi="Book Antiqua" w:cs="Arial"/>
          <w:color w:val="000000" w:themeColor="text1"/>
          <w:sz w:val="24"/>
          <w:szCs w:val="24"/>
          <w:vertAlign w:val="superscript"/>
        </w:rPr>
        <w:t>[9,14,15]</w:t>
      </w:r>
      <w:r w:rsidRPr="00ED7BEC">
        <w:rPr>
          <w:rFonts w:ascii="Book Antiqua" w:hAnsi="Book Antiqua" w:cs="Arial"/>
          <w:color w:val="000000" w:themeColor="text1"/>
          <w:sz w:val="24"/>
          <w:szCs w:val="24"/>
        </w:rPr>
        <w:t>. Because of the high replication rate of HBV, viral mutations, including mixed wild-type and mutant populations in a single host, are commonly seen, but a low sensitivity assay could not enable the discrimination between wild and mutant types.</w:t>
      </w:r>
    </w:p>
    <w:p w14:paraId="00244FD0" w14:textId="77777777" w:rsidR="002308A3" w:rsidRPr="00ED7BEC" w:rsidRDefault="002308A3" w:rsidP="00050D70">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lastRenderedPageBreak/>
        <w:t>The purpose of this study was to determine the prevalence and clinical characteristics of naturally occurring rtM204I mutations in treatment-naïve patients infected with HBV genotype C2 strains by using a newly developed locked nucleotide probe (LNA probe) based real time PCR (LNA-RT-PCR) method, which can detect subspecies at 5% of the circulating HBV population.</w:t>
      </w:r>
    </w:p>
    <w:p w14:paraId="0C169257" w14:textId="77777777" w:rsidR="002227A1" w:rsidRPr="00ED7BEC" w:rsidRDefault="002227A1" w:rsidP="00ED7BEC">
      <w:pPr>
        <w:wordWrap/>
        <w:spacing w:after="0" w:line="360" w:lineRule="auto"/>
        <w:rPr>
          <w:rFonts w:ascii="Book Antiqua" w:hAnsi="Book Antiqua" w:cs="Arial"/>
          <w:color w:val="000000" w:themeColor="text1"/>
          <w:sz w:val="24"/>
          <w:szCs w:val="24"/>
        </w:rPr>
      </w:pPr>
    </w:p>
    <w:p w14:paraId="58F8DACA" w14:textId="6D190AC2" w:rsidR="00A02825" w:rsidRPr="00ED7BEC" w:rsidRDefault="00A02825"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 xml:space="preserve">MATERIALS </w:t>
      </w:r>
      <w:r w:rsidR="00050D70">
        <w:rPr>
          <w:rFonts w:ascii="Book Antiqua" w:hAnsi="Book Antiqua" w:cs="Arial"/>
          <w:b/>
          <w:color w:val="000000" w:themeColor="text1"/>
          <w:sz w:val="24"/>
          <w:szCs w:val="24"/>
        </w:rPr>
        <w:t>AND</w:t>
      </w:r>
      <w:r w:rsidRPr="00ED7BEC">
        <w:rPr>
          <w:rFonts w:ascii="Book Antiqua" w:hAnsi="Book Antiqua" w:cs="Arial"/>
          <w:b/>
          <w:color w:val="000000" w:themeColor="text1"/>
          <w:sz w:val="24"/>
          <w:szCs w:val="24"/>
        </w:rPr>
        <w:t xml:space="preserve"> METHODS</w:t>
      </w:r>
    </w:p>
    <w:p w14:paraId="5DEE4EAA"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Primer and LNA probe design and real-time PCR</w:t>
      </w:r>
    </w:p>
    <w:p w14:paraId="1A4CB1C4" w14:textId="77777777" w:rsidR="00A02825" w:rsidRPr="00ED7BEC" w:rsidRDefault="00A02825" w:rsidP="00050D70">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We designed two different LNA probes for the specific simultaneous detection in a single reaction of wild type (WT) and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of HBV. We used LC PDS (version 2.0) software for the probe design and referred to the design guidelines of LNA manufacturer (Integrated DNA technologies). We attached two different reporter dyes, FAM to probe for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and Hex to probe for WT, respectively, to differentially identify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and WT HBV DNA. The primer and probe specificity for detection of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was further analyzed using Primer-Blast at NCBI (http://www.ncbi.nlm.nih.gov/tools/primer-blast/) and the Oligo software version 6.5. There were no PCR products formed by Primer-blast with the designed primer sequences in Homo sapiens, bacteria, and viruses other than HBV. Probe sequences were exclusively found in the amplicon sequence analyzed by the Oligo software with an HBV DNA sequence. The sequences of primers and LNA probes are shown in Figure 1</w:t>
      </w:r>
      <w:r w:rsidR="00264E59" w:rsidRPr="00ED7BEC">
        <w:rPr>
          <w:rFonts w:ascii="Book Antiqua" w:eastAsia="Arial Unicode MS" w:hAnsi="Book Antiqua" w:cs="Arial"/>
          <w:color w:val="000000" w:themeColor="text1"/>
          <w:sz w:val="24"/>
          <w:szCs w:val="24"/>
        </w:rPr>
        <w:t xml:space="preserve"> and Table 1</w:t>
      </w:r>
      <w:r w:rsidRPr="00ED7BEC">
        <w:rPr>
          <w:rFonts w:ascii="Book Antiqua" w:eastAsia="Arial Unicode MS" w:hAnsi="Book Antiqua" w:cs="Arial"/>
          <w:color w:val="000000" w:themeColor="text1"/>
          <w:sz w:val="24"/>
          <w:szCs w:val="24"/>
        </w:rPr>
        <w:t>. The LNA probes were purchased from Integrated DNA technologies, and primers from Macrogen.</w:t>
      </w:r>
    </w:p>
    <w:p w14:paraId="0B4C7629" w14:textId="282CADAD" w:rsidR="00A02825" w:rsidRPr="00ED7BEC" w:rsidRDefault="00A02825" w:rsidP="006B3F1A">
      <w:pPr>
        <w:wordWrap/>
        <w:spacing w:after="0" w:line="360" w:lineRule="auto"/>
        <w:ind w:firstLineChars="100" w:firstLine="252"/>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A LightCycler Version 96 system (Roche) was used for LNA probe-based real-time PCR, and two channels were used for the experiment. Optimal reaction mixture was established for the sensitive and specific detection of target sequences. A 10-μ</w:t>
      </w:r>
      <w:r w:rsidR="006B3F1A" w:rsidRPr="00ED7BEC">
        <w:rPr>
          <w:rFonts w:ascii="Book Antiqua" w:eastAsia="Arial Unicode MS" w:hAnsi="Book Antiqua" w:cs="Arial"/>
          <w:color w:val="000000" w:themeColor="text1"/>
          <w:sz w:val="24"/>
          <w:szCs w:val="24"/>
        </w:rPr>
        <w:t>L</w:t>
      </w:r>
      <w:r w:rsidRPr="00ED7BEC">
        <w:rPr>
          <w:rFonts w:ascii="Book Antiqua" w:eastAsia="Arial Unicode MS" w:hAnsi="Book Antiqua" w:cs="Arial"/>
          <w:color w:val="000000" w:themeColor="text1"/>
          <w:sz w:val="24"/>
          <w:szCs w:val="24"/>
        </w:rPr>
        <w:t xml:space="preserve"> reaction mixture was prepared for each sample as follows: 1 μl PCR reaction buffer for Taq (Bioneer E-3150 buffer), 4.25 mM MgCl2, 0.425 mM deoxynucleoside triphosphate mixture (Takara), 0.3 μM forward primer, 1 μM reverse primer, 0.25 μM LNA FAM probe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0.25 μM LNA Hex probe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0.6 </w:t>
      </w:r>
      <w:r w:rsidR="006B3F1A">
        <w:rPr>
          <w:rFonts w:ascii="Book Antiqua" w:eastAsia="Arial Unicode MS" w:hAnsi="Book Antiqua" w:cs="Arial"/>
          <w:color w:val="000000" w:themeColor="text1"/>
          <w:sz w:val="24"/>
          <w:szCs w:val="24"/>
        </w:rPr>
        <w:t>U</w:t>
      </w:r>
      <w:r w:rsidRPr="00ED7BEC">
        <w:rPr>
          <w:rFonts w:ascii="Book Antiqua" w:eastAsia="Arial Unicode MS" w:hAnsi="Book Antiqua" w:cs="Arial"/>
          <w:color w:val="000000" w:themeColor="text1"/>
          <w:sz w:val="24"/>
          <w:szCs w:val="24"/>
        </w:rPr>
        <w:t xml:space="preserve"> Hot Start Taq (Bioneer E-3150), 1 mg/m</w:t>
      </w:r>
      <w:r w:rsidR="006B3F1A" w:rsidRPr="00ED7BEC">
        <w:rPr>
          <w:rFonts w:ascii="Book Antiqua" w:eastAsia="Arial Unicode MS" w:hAnsi="Book Antiqua" w:cs="Arial"/>
          <w:color w:val="000000" w:themeColor="text1"/>
          <w:sz w:val="24"/>
          <w:szCs w:val="24"/>
        </w:rPr>
        <w:t>L</w:t>
      </w:r>
      <w:r w:rsidRPr="00ED7BEC">
        <w:rPr>
          <w:rFonts w:ascii="Book Antiqua" w:eastAsia="Arial Unicode MS" w:hAnsi="Book Antiqua" w:cs="Arial"/>
          <w:color w:val="000000" w:themeColor="text1"/>
          <w:sz w:val="24"/>
          <w:szCs w:val="24"/>
        </w:rPr>
        <w:t xml:space="preserve"> bovine serum albumin (Ambion, Lifetechnologies), 2 μ</w:t>
      </w:r>
      <w:r w:rsidR="006B3F1A" w:rsidRPr="00ED7BEC">
        <w:rPr>
          <w:rFonts w:ascii="Book Antiqua" w:eastAsia="Arial Unicode MS" w:hAnsi="Book Antiqua" w:cs="Arial"/>
          <w:color w:val="000000" w:themeColor="text1"/>
          <w:sz w:val="24"/>
          <w:szCs w:val="24"/>
        </w:rPr>
        <w:t>L</w:t>
      </w:r>
      <w:r w:rsidRPr="00ED7BEC">
        <w:rPr>
          <w:rFonts w:ascii="Book Antiqua" w:eastAsia="Arial Unicode MS" w:hAnsi="Book Antiqua" w:cs="Arial"/>
          <w:color w:val="000000" w:themeColor="text1"/>
          <w:sz w:val="24"/>
          <w:szCs w:val="24"/>
        </w:rPr>
        <w:t xml:space="preserve"> template DNA, and PCR-grade water (Roche). The cycling </w:t>
      </w:r>
      <w:r w:rsidRPr="00ED7BEC">
        <w:rPr>
          <w:rFonts w:ascii="Book Antiqua" w:eastAsia="Arial Unicode MS" w:hAnsi="Book Antiqua" w:cs="Arial"/>
          <w:color w:val="000000" w:themeColor="text1"/>
          <w:sz w:val="24"/>
          <w:szCs w:val="24"/>
        </w:rPr>
        <w:lastRenderedPageBreak/>
        <w:t>conditions were 300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15 cycles of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15 s at 58</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40 s at 75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followed by 32 cycles of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15 s at 47</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(single acquisition of fluorescence signals), 15 s at 62</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40 s at 75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at a ramping speed of 1.1</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°C/s. Melting curve analysis was subsequently continued without any pause by use of cycling for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60 s at 43</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the temperature was then increased from 43</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to 85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at a temperature transition rate of 0.17</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°C/s, during which the fluorescence signal was continuously acquired by three readings per</w:t>
      </w:r>
      <w:r w:rsidR="006B3F1A">
        <w:rPr>
          <w:rFonts w:ascii="Book Antiqua" w:eastAsia="Arial Unicode MS" w:hAnsi="Book Antiqua" w:cs="Arial"/>
          <w:color w:val="000000" w:themeColor="text1"/>
          <w:sz w:val="24"/>
          <w:szCs w:val="24"/>
        </w:rPr>
        <w:t xml:space="preserve"> </w:t>
      </w:r>
      <w:r w:rsidR="006B3F1A" w:rsidRPr="006B3F1A">
        <w:rPr>
          <w:rFonts w:ascii="Book Antiqua" w:eastAsia="Arial Unicode MS" w:hAnsi="Book Antiqua" w:cs="Arial"/>
          <w:color w:val="000000" w:themeColor="text1"/>
          <w:sz w:val="24"/>
          <w:szCs w:val="24"/>
        </w:rPr>
        <w:t>degrees Celsius</w:t>
      </w:r>
      <w:r w:rsidRPr="00ED7BEC">
        <w:rPr>
          <w:rFonts w:ascii="Book Antiqua" w:eastAsia="Arial Unicode MS" w:hAnsi="Book Antiqua" w:cs="Arial"/>
          <w:color w:val="000000" w:themeColor="text1"/>
          <w:sz w:val="24"/>
          <w:szCs w:val="24"/>
        </w:rPr>
        <w:t>. All the following LNA real-time PCR experiments were done in quadruplicate with positive control DNAs and mixtures of WT and rtM204I at a variety of ratios and concentrations as aforementioned. The experiments were all repeated to examine inter-assay reliability.</w:t>
      </w:r>
    </w:p>
    <w:p w14:paraId="0F5DC117" w14:textId="77777777" w:rsidR="00A02825" w:rsidRPr="00ED7BEC" w:rsidRDefault="00A02825" w:rsidP="00ED7BEC">
      <w:pPr>
        <w:wordWrap/>
        <w:spacing w:after="0" w:line="360" w:lineRule="auto"/>
        <w:rPr>
          <w:rFonts w:ascii="Book Antiqua" w:eastAsia="Arial Unicode MS" w:hAnsi="Book Antiqua" w:cs="Arial"/>
          <w:color w:val="000000" w:themeColor="text1"/>
          <w:sz w:val="24"/>
          <w:szCs w:val="24"/>
        </w:rPr>
      </w:pPr>
    </w:p>
    <w:p w14:paraId="1AC539B1"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Application of LNA real-time PCR to clinical samples</w:t>
      </w:r>
    </w:p>
    <w:p w14:paraId="1B4306D5" w14:textId="77777777" w:rsidR="00A02825" w:rsidRPr="00ED7BEC" w:rsidRDefault="00A02825" w:rsidP="006B3F1A">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DNAs of a total of 410 human sera were tested for the identification of WT and rtM204I variant of HBV RT gene by LNA real-time PCR in duplicate. Tm, melting peak height, and quantification cycle (Cq) produced by WT- and rtM204I -targeting LNA probes with a sample DNA were measured. Identification of WT and rtM204I variant was determined by comparing their Tm s obtained from their specific channel (FAM for rtM204I, HEX for WT) with their diagnostic Tm ranges obtained from standard assays. Positive identification of WT and rtM204I variant was recorded only when distinct melting peak formation with their diagnostic Tm is recognized.</w:t>
      </w:r>
    </w:p>
    <w:p w14:paraId="7569D073" w14:textId="3C06A485" w:rsidR="00A02825" w:rsidRPr="00ED7BEC" w:rsidRDefault="00A02825" w:rsidP="005E3746">
      <w:pPr>
        <w:wordWrap/>
        <w:spacing w:after="0" w:line="360" w:lineRule="auto"/>
        <w:ind w:firstLineChars="100" w:firstLine="252"/>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Throughout the real-time PCR assay, two rtM204I positive controls with high copies (2400000) and low copies (2400), two rtM204I positive controls with high copies (2400000) and low copies (2400), and two non-template controls were included in each run to monitor validity of Cqs, Tm s, and cross-contamination for </w:t>
      </w:r>
      <w:r w:rsidR="0025461C" w:rsidRPr="00ED7BEC">
        <w:rPr>
          <w:rFonts w:ascii="Book Antiqua" w:eastAsia="Arial Unicode MS" w:hAnsi="Book Antiqua" w:cs="Arial"/>
          <w:color w:val="000000" w:themeColor="text1"/>
          <w:sz w:val="24"/>
          <w:szCs w:val="24"/>
        </w:rPr>
        <w:t xml:space="preserve">inter-assays. Comparison of LNA </w:t>
      </w:r>
      <w:r w:rsidRPr="00ED7BEC">
        <w:rPr>
          <w:rFonts w:ascii="Book Antiqua" w:eastAsia="Arial Unicode MS" w:hAnsi="Book Antiqua" w:cs="Arial"/>
          <w:color w:val="000000" w:themeColor="text1"/>
          <w:sz w:val="24"/>
          <w:szCs w:val="24"/>
        </w:rPr>
        <w:t>real-time PCR and direct sequencing for identification of rtM204I variant and WT DNA.</w:t>
      </w:r>
    </w:p>
    <w:p w14:paraId="776EB905" w14:textId="77777777" w:rsidR="00A02825" w:rsidRPr="00ED7BEC" w:rsidRDefault="00A02825" w:rsidP="00ED7BEC">
      <w:pPr>
        <w:wordWrap/>
        <w:spacing w:after="0" w:line="360" w:lineRule="auto"/>
        <w:rPr>
          <w:rFonts w:ascii="Book Antiqua" w:hAnsi="Book Antiqua" w:cs="Arial"/>
          <w:b/>
          <w:color w:val="000000" w:themeColor="text1"/>
          <w:sz w:val="24"/>
          <w:szCs w:val="24"/>
        </w:rPr>
      </w:pPr>
    </w:p>
    <w:p w14:paraId="6DBCEEB9" w14:textId="77777777" w:rsidR="00A02825" w:rsidRPr="00ED7BEC" w:rsidRDefault="00A02825"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Study patients</w:t>
      </w:r>
    </w:p>
    <w:p w14:paraId="041F1D6E" w14:textId="5DA87573" w:rsidR="00A02825" w:rsidRPr="00ED7BEC" w:rsidRDefault="00A02825" w:rsidP="005E3746">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Data were collected retrospectively from a total of 410 treatment-naïve HBV patients who were followed in the Digestive Disease Center of Konkuk University Hospital, </w:t>
      </w:r>
      <w:r w:rsidRPr="00ED7BEC">
        <w:rPr>
          <w:rFonts w:ascii="Book Antiqua" w:hAnsi="Book Antiqua" w:cs="Arial"/>
          <w:color w:val="000000" w:themeColor="text1"/>
          <w:sz w:val="24"/>
          <w:szCs w:val="24"/>
        </w:rPr>
        <w:lastRenderedPageBreak/>
        <w:t xml:space="preserve">Korea, between March 2011 and February 2014. All of the patients were diagnosed with </w:t>
      </w:r>
      <w:r w:rsidR="00485401">
        <w:rPr>
          <w:rFonts w:ascii="Book Antiqua" w:hAnsi="Book Antiqua" w:cs="Arial"/>
          <w:color w:val="000000" w:themeColor="text1"/>
          <w:sz w:val="24"/>
          <w:szCs w:val="24"/>
        </w:rPr>
        <w:t>CHB</w:t>
      </w:r>
      <w:r w:rsidRPr="00ED7BEC">
        <w:rPr>
          <w:rFonts w:ascii="Book Antiqua" w:hAnsi="Book Antiqua" w:cs="Arial"/>
          <w:color w:val="000000" w:themeColor="text1"/>
          <w:sz w:val="24"/>
          <w:szCs w:val="24"/>
        </w:rPr>
        <w:t xml:space="preserve"> and confirmed to have not taken any NAs or interferon. The inclusion criteria for the CBH patients included hepatitis B surface antigen (HBsAg) positive for more than 6 months and HBV-DNA viral loads were detectable, while the exclusion criteria included hepatitis C virus or human immunodeficiency virus coinfection, autoimmune liver disease, and alcohol or drug abuse. Prior to antiviral treatments, sera were collected from patients for analyses of the pre-existence of antiviral variants prior to NAs. This study was approved by the Institutional Review Board of Konkuk University Hospital.</w:t>
      </w:r>
    </w:p>
    <w:p w14:paraId="38B8BFEE" w14:textId="77777777" w:rsidR="00A02825" w:rsidRPr="00ED7BEC" w:rsidRDefault="00A02825" w:rsidP="00ED7BEC">
      <w:pPr>
        <w:wordWrap/>
        <w:spacing w:after="0" w:line="360" w:lineRule="auto"/>
        <w:rPr>
          <w:rFonts w:ascii="Book Antiqua" w:hAnsi="Book Antiqua" w:cs="Arial"/>
          <w:i/>
          <w:color w:val="000000" w:themeColor="text1"/>
          <w:sz w:val="24"/>
          <w:szCs w:val="24"/>
        </w:rPr>
      </w:pPr>
    </w:p>
    <w:p w14:paraId="22A7E56E" w14:textId="77777777" w:rsidR="00A02825" w:rsidRPr="00ED7BEC" w:rsidRDefault="00A02825"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Clinical and laboratory parameters</w:t>
      </w:r>
    </w:p>
    <w:p w14:paraId="1E1969E1" w14:textId="394B5BCC" w:rsidR="00A02825" w:rsidRPr="00ED7BEC" w:rsidRDefault="00A02825" w:rsidP="005E3746">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In all cases, demographic, clinical, biochemical and virologic data were collected. A diagnosis of LC was made clinically when a patient had at least two of the following three criteria: cirrhotic configuration of the liver (nodular liver surface or caudate lobe hypertrophy) and/or splenomegaly confirmed on imaging studies, thrombocytopenia (&lt;</w:t>
      </w:r>
      <w:r w:rsidR="005E3746">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100000 platelets</w:t>
      </w:r>
      <w:r w:rsidR="005E3746">
        <w:rPr>
          <w:rFonts w:ascii="Book Antiqua" w:eastAsia="Batang" w:hAnsi="Book Antiqua" w:cs="Arial"/>
          <w:color w:val="000000" w:themeColor="text1"/>
          <w:sz w:val="24"/>
          <w:szCs w:val="24"/>
        </w:rPr>
        <w:t>/</w:t>
      </w:r>
      <w:r w:rsidRPr="00ED7BEC">
        <w:rPr>
          <w:rFonts w:ascii="Book Antiqua" w:hAnsi="Book Antiqua" w:cs="Arial"/>
          <w:color w:val="000000" w:themeColor="text1"/>
          <w:sz w:val="24"/>
          <w:szCs w:val="24"/>
        </w:rPr>
        <w:t>mm</w:t>
      </w:r>
      <w:r w:rsidRPr="00ED7BEC">
        <w:rPr>
          <w:rFonts w:ascii="Book Antiqua" w:hAnsi="Book Antiqua" w:cs="Arial"/>
          <w:color w:val="000000" w:themeColor="text1"/>
          <w:sz w:val="24"/>
          <w:szCs w:val="24"/>
          <w:vertAlign w:val="superscript"/>
        </w:rPr>
        <w:t>3</w:t>
      </w:r>
      <w:r w:rsidRPr="00ED7BEC">
        <w:rPr>
          <w:rFonts w:ascii="Book Antiqua" w:hAnsi="Book Antiqua" w:cs="Arial"/>
          <w:color w:val="000000" w:themeColor="text1"/>
          <w:sz w:val="24"/>
          <w:szCs w:val="24"/>
        </w:rPr>
        <w:t>), or the presence of varices detected by esophagogastroduodenoscopy. Liver fibrosis was assessed using noninvasive biomarkers to calculate two composite scores</w:t>
      </w:r>
      <w:r w:rsidRPr="00ED7BEC">
        <w:rPr>
          <w:rFonts w:ascii="Book Antiqua" w:hAnsi="Book Antiqua"/>
          <w:color w:val="000000" w:themeColor="text1"/>
          <w:sz w:val="24"/>
          <w:szCs w:val="24"/>
        </w:rPr>
        <w:t xml:space="preserve"> </w:t>
      </w:r>
      <w:r w:rsidRPr="00ED7BEC">
        <w:rPr>
          <w:rFonts w:ascii="Book Antiqua" w:hAnsi="Book Antiqua" w:cs="Arial"/>
          <w:color w:val="000000" w:themeColor="text1"/>
          <w:sz w:val="24"/>
          <w:szCs w:val="24"/>
        </w:rPr>
        <w:t xml:space="preserve">The Fibrosis-4 </w:t>
      </w:r>
      <w:r w:rsidR="005E3746" w:rsidRPr="00ED7BEC">
        <w:rPr>
          <w:rFonts w:ascii="Book Antiqua" w:hAnsi="Book Antiqua" w:cs="Arial"/>
          <w:color w:val="000000" w:themeColor="text1"/>
          <w:sz w:val="24"/>
          <w:szCs w:val="24"/>
        </w:rPr>
        <w:t>i</w:t>
      </w:r>
      <w:r w:rsidRPr="00ED7BEC">
        <w:rPr>
          <w:rFonts w:ascii="Book Antiqua" w:hAnsi="Book Antiqua" w:cs="Arial"/>
          <w:color w:val="000000" w:themeColor="text1"/>
          <w:sz w:val="24"/>
          <w:szCs w:val="24"/>
        </w:rPr>
        <w:t>ndex (FIB-4) score was calculated using age, aspartate aminotransferase (AST), alanine aminotransferase (ALT), and platelet count in the following formula: FIB-4 = [age (years) × AST (IU/L)] / [platelets (10</w:t>
      </w:r>
      <w:r w:rsidRPr="00ED7BEC">
        <w:rPr>
          <w:rFonts w:ascii="Book Antiqua" w:hAnsi="Book Antiqua" w:cs="Arial"/>
          <w:color w:val="000000" w:themeColor="text1"/>
          <w:sz w:val="24"/>
          <w:szCs w:val="24"/>
          <w:vertAlign w:val="superscript"/>
        </w:rPr>
        <w:t>9</w:t>
      </w:r>
      <w:r w:rsidRPr="00ED7BEC">
        <w:rPr>
          <w:rFonts w:ascii="Book Antiqua" w:hAnsi="Book Antiqua" w:cs="Arial"/>
          <w:color w:val="000000" w:themeColor="text1"/>
          <w:sz w:val="24"/>
          <w:szCs w:val="24"/>
        </w:rPr>
        <w:t>/L) × ALT (IU/L)]. The AST to platelet ratio index (APRI) score was calculated using AST and platelet counts in the following formula: APRI = [AST level (IU/L) / AST upper limit of normal (IU/L) / platelet count (109/L)] × 100. Significant fibrosis of liver was defined as FIB-4 &gt; 3.25 or APRI &gt; 1.5</w:t>
      </w:r>
      <w:r w:rsidRPr="00ED7BEC">
        <w:rPr>
          <w:rFonts w:ascii="Book Antiqua" w:hAnsi="Book Antiqua" w:cs="Arial"/>
          <w:color w:val="000000" w:themeColor="text1"/>
          <w:sz w:val="24"/>
          <w:szCs w:val="24"/>
          <w:vertAlign w:val="superscript"/>
        </w:rPr>
        <w:t>[16]</w:t>
      </w:r>
      <w:r w:rsidRPr="00ED7BEC">
        <w:rPr>
          <w:rFonts w:ascii="Book Antiqua" w:hAnsi="Book Antiqua" w:cs="Arial"/>
          <w:color w:val="000000" w:themeColor="text1"/>
          <w:sz w:val="24"/>
          <w:szCs w:val="24"/>
        </w:rPr>
        <w:t>. The diagnosis of HCC was made based on histological evidence or typical radiological findings (the presence of arterial phase enhancement and portal venous phase wash-out of a nodule 1 cm or more in size)</w:t>
      </w:r>
      <w:r w:rsidRPr="00ED7BEC">
        <w:rPr>
          <w:rFonts w:ascii="Book Antiqua" w:hAnsi="Book Antiqua" w:cs="Arial"/>
          <w:color w:val="000000" w:themeColor="text1"/>
          <w:sz w:val="24"/>
          <w:szCs w:val="24"/>
          <w:vertAlign w:val="superscript"/>
        </w:rPr>
        <w:t>[17]</w:t>
      </w:r>
      <w:r w:rsidRPr="00ED7BEC">
        <w:rPr>
          <w:rFonts w:ascii="Book Antiqua" w:hAnsi="Book Antiqua" w:cs="Arial"/>
          <w:color w:val="000000" w:themeColor="text1"/>
          <w:sz w:val="24"/>
          <w:szCs w:val="24"/>
        </w:rPr>
        <w:t>.</w:t>
      </w:r>
    </w:p>
    <w:p w14:paraId="4FFFAA10" w14:textId="2F1DAE8D" w:rsidR="00A02825" w:rsidRPr="00ED7BEC" w:rsidRDefault="00A02825" w:rsidP="00E24AAF">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A complete viral response (CVR) was regarded as HBV-DNA levels being lower than detectable levels (24 IU/mL) at 12 mo of antiviral therapy, and incomplete (suboptimal) responders were defined as individuals having detectable HBV-DNA levels after at least 12 mo of treatment</w:t>
      </w:r>
      <w:r w:rsidRPr="00ED7BEC">
        <w:rPr>
          <w:rFonts w:ascii="Book Antiqua" w:hAnsi="Book Antiqua" w:cs="Arial"/>
          <w:color w:val="000000" w:themeColor="text1"/>
          <w:sz w:val="24"/>
          <w:szCs w:val="24"/>
          <w:vertAlign w:val="superscript"/>
        </w:rPr>
        <w:t>[18]</w:t>
      </w:r>
      <w:r w:rsidRPr="00ED7BEC">
        <w:rPr>
          <w:rFonts w:ascii="Book Antiqua" w:hAnsi="Book Antiqua" w:cs="Arial"/>
          <w:color w:val="000000" w:themeColor="text1"/>
          <w:sz w:val="24"/>
          <w:szCs w:val="24"/>
        </w:rPr>
        <w:t>.</w:t>
      </w:r>
    </w:p>
    <w:p w14:paraId="1E2C130A" w14:textId="77777777" w:rsidR="00A02825" w:rsidRPr="00ED7BEC" w:rsidRDefault="00A02825" w:rsidP="00ED7BEC">
      <w:pPr>
        <w:wordWrap/>
        <w:spacing w:after="0" w:line="360" w:lineRule="auto"/>
        <w:rPr>
          <w:rFonts w:ascii="Book Antiqua" w:eastAsia="Arial Unicode MS" w:hAnsi="Book Antiqua" w:cs="Arial"/>
          <w:b/>
          <w:color w:val="000000" w:themeColor="text1"/>
          <w:sz w:val="24"/>
          <w:szCs w:val="24"/>
        </w:rPr>
      </w:pPr>
    </w:p>
    <w:p w14:paraId="1BE31757"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Statistical analysis</w:t>
      </w:r>
    </w:p>
    <w:p w14:paraId="72031AA0" w14:textId="1C236D2C" w:rsidR="00A02825" w:rsidRPr="00ED7BEC" w:rsidRDefault="00A02825" w:rsidP="00E24AAF">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Data were mainly expressed as the mean and standard deviation (SD). Fisher's exact test was used to compare categorical variables. One-way ANOVA and Duncan's multiple comparison tests were used to compare continuous variables among the groups, and Student's </w:t>
      </w:r>
      <w:r w:rsidRPr="00587E3C">
        <w:rPr>
          <w:rFonts w:ascii="Book Antiqua" w:eastAsia="Arial Unicode MS" w:hAnsi="Book Antiqua" w:cs="Arial"/>
          <w:i/>
          <w:iCs/>
          <w:color w:val="000000" w:themeColor="text1"/>
          <w:sz w:val="24"/>
          <w:szCs w:val="24"/>
        </w:rPr>
        <w:t>t</w:t>
      </w:r>
      <w:r w:rsidRPr="00ED7BEC">
        <w:rPr>
          <w:rFonts w:ascii="Book Antiqua" w:eastAsia="Arial Unicode MS" w:hAnsi="Book Antiqua" w:cs="Arial"/>
          <w:color w:val="000000" w:themeColor="text1"/>
          <w:sz w:val="24"/>
          <w:szCs w:val="24"/>
        </w:rPr>
        <w:t>-test was for the analysis between the groups. Logistic regression analyses were performed to identify the independent factors for the presence of naturally occurring rtM204I mutations, or antiviral responsiveness. The Statistical Package for Social Science (SPSS Inc., Chicago, IL, U</w:t>
      </w:r>
      <w:r w:rsidR="00587E3C">
        <w:rPr>
          <w:rFonts w:ascii="Book Antiqua" w:eastAsia="Arial Unicode MS" w:hAnsi="Book Antiqua" w:cs="Arial"/>
          <w:color w:val="000000" w:themeColor="text1"/>
          <w:sz w:val="24"/>
          <w:szCs w:val="24"/>
        </w:rPr>
        <w:t>nited States</w:t>
      </w:r>
      <w:r w:rsidRPr="00ED7BEC">
        <w:rPr>
          <w:rFonts w:ascii="Book Antiqua" w:eastAsia="Arial Unicode MS" w:hAnsi="Book Antiqua" w:cs="Arial"/>
          <w:color w:val="000000" w:themeColor="text1"/>
          <w:sz w:val="24"/>
          <w:szCs w:val="24"/>
        </w:rPr>
        <w:t>), version 15.0 was used for all analyses.</w:t>
      </w:r>
    </w:p>
    <w:p w14:paraId="7C216AE6" w14:textId="77777777" w:rsidR="00264E59" w:rsidRPr="00ED7BEC" w:rsidRDefault="00264E59" w:rsidP="00ED7BEC">
      <w:pPr>
        <w:wordWrap/>
        <w:spacing w:after="0" w:line="360" w:lineRule="auto"/>
        <w:rPr>
          <w:rFonts w:ascii="Book Antiqua" w:eastAsia="Arial Unicode MS" w:hAnsi="Book Antiqua" w:cs="Arial"/>
          <w:b/>
          <w:color w:val="000000" w:themeColor="text1"/>
          <w:sz w:val="24"/>
          <w:szCs w:val="24"/>
        </w:rPr>
      </w:pPr>
    </w:p>
    <w:p w14:paraId="290F06A5" w14:textId="77777777" w:rsidR="00F142C9" w:rsidRPr="00ED7BEC" w:rsidRDefault="00264E59"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RESULTS</w:t>
      </w:r>
    </w:p>
    <w:p w14:paraId="407EC2FB"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Determination of diagnostic Tm range for the identification of WT and rtM204I variants by LNA real-time PCR</w:t>
      </w:r>
    </w:p>
    <w:p w14:paraId="5A0AE542" w14:textId="2F2CA722" w:rsidR="00264E59" w:rsidRPr="00ED7BEC" w:rsidRDefault="00264E59" w:rsidP="00587E3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Identification of WT and rtM204I variants was performed by LNA real-time PCR melting curve analysis by the observation of melting peak formation and specific Tm measurements in the specified channels (</w:t>
      </w:r>
      <w:r w:rsidR="00B6362D" w:rsidRPr="00ED7BEC">
        <w:rPr>
          <w:rFonts w:ascii="Book Antiqua" w:hAnsi="Book Antiqua" w:cs="Arial"/>
          <w:color w:val="000000" w:themeColor="text1"/>
          <w:sz w:val="24"/>
          <w:szCs w:val="24"/>
        </w:rPr>
        <w:t>Figure 2, Table 2</w:t>
      </w:r>
      <w:r w:rsidRPr="00ED7BEC">
        <w:rPr>
          <w:rFonts w:ascii="Book Antiqua" w:hAnsi="Book Antiqua" w:cs="Arial"/>
          <w:color w:val="000000" w:themeColor="text1"/>
          <w:sz w:val="24"/>
          <w:szCs w:val="24"/>
        </w:rPr>
        <w:t>). LNA real-time PCR with samples of rtM204I positive control DNAs (</w:t>
      </w:r>
      <w:r w:rsidRPr="000605F3">
        <w:rPr>
          <w:rFonts w:ascii="Book Antiqua" w:hAnsi="Book Antiqua" w:cs="Arial"/>
          <w:i/>
          <w:iCs/>
          <w:color w:val="000000" w:themeColor="text1"/>
          <w:sz w:val="24"/>
          <w:szCs w:val="24"/>
        </w:rPr>
        <w:t>n</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48) in amounts ranging from 24 to 2400000 copies resulted in a 100% positive detection rate and 100% specificity showing a distinct melting peak formation at the FAM channel in all of the rtM204I control DNA samples with Tms ranging from 51.3 to 52.2</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(mean, 51.7 ± 0.2</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but no significant melting peak formation at the HEX channel (WT detection channel). LNA real-time PCR with samples of WT control DNAs (</w:t>
      </w:r>
      <w:r w:rsidRPr="000605F3">
        <w:rPr>
          <w:rFonts w:ascii="Book Antiqua" w:hAnsi="Book Antiqua" w:cs="Arial"/>
          <w:i/>
          <w:iCs/>
          <w:color w:val="000000" w:themeColor="text1"/>
          <w:sz w:val="24"/>
          <w:szCs w:val="24"/>
        </w:rPr>
        <w:t>n</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48) in amounts ranging from 24 to 2400000 copies resulted in a 95.8% positive detection rate and 100% specificity showing a distinct melting peak formation at the HEX channel in all of the WT control DNA samples with Tms ranging from 61.9 to 63.3</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(mean, 62.6 ± 0.4</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but no significant melting peak formation at the FAM channel (rtM204I detection channel). Two WT control DNA samples that had the lowest copy numbers were not detected. This suggests high sensitivity and specificity of our newly developed LNA RT-PCR assay.</w:t>
      </w:r>
    </w:p>
    <w:p w14:paraId="6F09F927"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6CA847C0"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lastRenderedPageBreak/>
        <w:t>Application of LNA real-time PCR to clinical samples</w:t>
      </w:r>
    </w:p>
    <w:p w14:paraId="0ED570E3" w14:textId="103D92CB" w:rsidR="00264E59" w:rsidRPr="00ED7BEC" w:rsidRDefault="00264E59" w:rsidP="000605F3">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Of 410 clinical samples tested in duplicate by our LNA real-time PCR method, 403 samples (98.3%) were positively identified as WT and/or rtM204I variants, with two samples found to be mixed with presumably unknown variants with non-typable Tms. Of the seven unidentified samples, two samples were amplified but non-typable due to their non-diagnostic melting temperatures (50.4</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57.9</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°C) at the HEX channel and five samples did not show any positive signals. Thus, only four samples among all clinical samples tested carried non-typable Tms in this study. </w:t>
      </w:r>
    </w:p>
    <w:p w14:paraId="2D5869BE" w14:textId="38C10A62" w:rsidR="00264E59" w:rsidRPr="00ED7BEC" w:rsidRDefault="00264E59" w:rsidP="00DD08BD">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Among the positively identified samples, all of the samples produced a distinct melting peak or peaks with a Tm or Tms being in the diagnostic Tm range for WT or rtM204I. Among all clinical samples, seventeen samples (4.1%) were identified as carrying rtM204I variants and among these samples, nine samples were rtM204I variant exclusively and eight samples were rtM204I variant coexistent with WT. Among these, in four samples, rtM204I was dominant over WT; in one sample, codominant; in three samples, WT was dominant over rtM204I (Table </w:t>
      </w:r>
      <w:r w:rsidR="00083A86" w:rsidRPr="00ED7BEC">
        <w:rPr>
          <w:rFonts w:ascii="Book Antiqua" w:hAnsi="Book Antiqua" w:cs="Arial"/>
          <w:color w:val="000000" w:themeColor="text1"/>
          <w:sz w:val="24"/>
          <w:szCs w:val="24"/>
        </w:rPr>
        <w:t>3</w:t>
      </w:r>
      <w:r w:rsidRPr="00ED7BEC">
        <w:rPr>
          <w:rFonts w:ascii="Book Antiqua" w:hAnsi="Book Antiqua" w:cs="Arial"/>
          <w:color w:val="000000" w:themeColor="text1"/>
          <w:sz w:val="24"/>
          <w:szCs w:val="24"/>
        </w:rPr>
        <w:t xml:space="preserve">). Overall, thirteen samples carried the rtM204I variant predominantly and one sample co-dominantly with WT. The majority of the clinical samples were </w:t>
      </w:r>
      <w:r w:rsidR="006B3F1A">
        <w:rPr>
          <w:rFonts w:ascii="Book Antiqua" w:hAnsi="Book Antiqua" w:cs="Arial"/>
          <w:color w:val="000000" w:themeColor="text1"/>
          <w:sz w:val="24"/>
          <w:szCs w:val="24"/>
        </w:rPr>
        <w:t>WT</w:t>
      </w:r>
      <w:r w:rsidRPr="00ED7BEC">
        <w:rPr>
          <w:rFonts w:ascii="Book Antiqua" w:hAnsi="Book Antiqua" w:cs="Arial"/>
          <w:color w:val="000000" w:themeColor="text1"/>
          <w:sz w:val="24"/>
          <w:szCs w:val="24"/>
        </w:rPr>
        <w:t xml:space="preserve">. </w:t>
      </w:r>
    </w:p>
    <w:p w14:paraId="33DD571F" w14:textId="39BF2024" w:rsidR="00264E59" w:rsidRPr="00ED7BEC" w:rsidRDefault="00264E59" w:rsidP="00DD08BD">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Three of the four samples that showed Tms out of the WT-diagnostic Tm range were sequenced by direct sequencing of their PCR products. The one sample with a Tm of 50.4</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was identified as a YVDD variant with a GTG codon and the other sample with a Tm of 57.9</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was YMDD but had a TAC codon for the Y amino acid. The third sample that showed three melting peaks was revealed to have an additional codon for isoleucine of rtM204I. The results of direct PCR sequencing of thirty clinical samples randomly chosen among positively identified samples by LNA real-time PCR had results identical to those of our LNA real-time PCR assay, proving its reliability for screening for pre-existing rtM204I variants from treatment naïve CHB patients (Fig</w:t>
      </w:r>
      <w:r w:rsidR="003D4324" w:rsidRPr="00ED7BEC">
        <w:rPr>
          <w:rFonts w:ascii="Book Antiqua" w:hAnsi="Book Antiqua" w:cs="Arial"/>
          <w:color w:val="000000" w:themeColor="text1"/>
          <w:sz w:val="24"/>
          <w:szCs w:val="24"/>
        </w:rPr>
        <w:t>ure</w:t>
      </w:r>
      <w:r w:rsidRPr="00ED7BEC">
        <w:rPr>
          <w:rFonts w:ascii="Book Antiqua" w:hAnsi="Book Antiqua" w:cs="Arial"/>
          <w:color w:val="000000" w:themeColor="text1"/>
          <w:sz w:val="24"/>
          <w:szCs w:val="24"/>
        </w:rPr>
        <w:t xml:space="preserve"> </w:t>
      </w:r>
      <w:r w:rsidR="00B6362D" w:rsidRPr="00ED7BEC">
        <w:rPr>
          <w:rFonts w:ascii="Book Antiqua" w:hAnsi="Book Antiqua" w:cs="Arial"/>
          <w:color w:val="000000" w:themeColor="text1"/>
          <w:sz w:val="24"/>
          <w:szCs w:val="24"/>
        </w:rPr>
        <w:t>3</w:t>
      </w:r>
      <w:r w:rsidRPr="00ED7BEC">
        <w:rPr>
          <w:rFonts w:ascii="Book Antiqua" w:hAnsi="Book Antiqua" w:cs="Arial"/>
          <w:color w:val="000000" w:themeColor="text1"/>
          <w:sz w:val="24"/>
          <w:szCs w:val="24"/>
        </w:rPr>
        <w:t>).</w:t>
      </w:r>
    </w:p>
    <w:p w14:paraId="4D640379"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10E6102D"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Baseline characteristics of enrolled 403 CHB patients typed by LNA real-time PCR</w:t>
      </w:r>
    </w:p>
    <w:p w14:paraId="6507524E" w14:textId="298A46A4"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Four hundred and three treatment-naïve patients with chronic HBV infection that could be typed by LNA real-time PCR comprising 244 men and 159 women with a </w:t>
      </w:r>
      <w:r w:rsidRPr="00ED7BEC">
        <w:rPr>
          <w:rFonts w:ascii="Book Antiqua" w:hAnsi="Book Antiqua" w:cs="Arial"/>
          <w:color w:val="000000" w:themeColor="text1"/>
          <w:sz w:val="24"/>
          <w:szCs w:val="24"/>
        </w:rPr>
        <w:lastRenderedPageBreak/>
        <w:t xml:space="preserve">mean age of 43.9 ± 12.5 years were included. </w:t>
      </w:r>
      <w:r w:rsidR="00B6362D" w:rsidRPr="00ED7BEC">
        <w:rPr>
          <w:rFonts w:ascii="Book Antiqua" w:hAnsi="Book Antiqua" w:cs="Arial"/>
          <w:color w:val="000000" w:themeColor="text1"/>
          <w:sz w:val="24"/>
          <w:szCs w:val="24"/>
        </w:rPr>
        <w:t xml:space="preserve">Baseline characteristics were shown in Table </w:t>
      </w:r>
      <w:r w:rsidR="00083A86" w:rsidRPr="00ED7BEC">
        <w:rPr>
          <w:rFonts w:ascii="Book Antiqua" w:hAnsi="Book Antiqua" w:cs="Arial"/>
          <w:color w:val="000000" w:themeColor="text1"/>
          <w:sz w:val="24"/>
          <w:szCs w:val="24"/>
        </w:rPr>
        <w:t>4</w:t>
      </w:r>
      <w:r w:rsidR="00B6362D" w:rsidRPr="00ED7BEC">
        <w:rPr>
          <w:rFonts w:ascii="Book Antiqua" w:hAnsi="Book Antiqua" w:cs="Arial"/>
          <w:color w:val="000000" w:themeColor="text1"/>
          <w:sz w:val="24"/>
          <w:szCs w:val="24"/>
        </w:rPr>
        <w:t>. T</w:t>
      </w:r>
      <w:r w:rsidRPr="00ED7BEC">
        <w:rPr>
          <w:rFonts w:ascii="Book Antiqua" w:hAnsi="Book Antiqua" w:cs="Arial"/>
          <w:color w:val="000000" w:themeColor="text1"/>
          <w:sz w:val="24"/>
          <w:szCs w:val="24"/>
        </w:rPr>
        <w:t xml:space="preserve">wo hundred thirty-eight (59.1%) patients had HBeAg-positive CHB and 165 (40.9%) patients had HBeAg-negative CHB. Eighty-seven patients had LC, and fifty-one patients had HCC. One hundred fifty-seven had significant fibrosis (defined as FIB-4 score &gt; 3.25, or APRI score &gt; 1.5). Of the 403 treatment-naïve patients, 232 patients were treated with NAs over a period of 1 year. </w:t>
      </w:r>
      <w:r w:rsidR="00B6362D" w:rsidRPr="00ED7BEC">
        <w:rPr>
          <w:rFonts w:ascii="Book Antiqua" w:hAnsi="Book Antiqua" w:cs="Arial"/>
          <w:color w:val="000000" w:themeColor="text1"/>
          <w:sz w:val="24"/>
          <w:szCs w:val="24"/>
        </w:rPr>
        <w:t>One-hundred ninety-two</w:t>
      </w:r>
      <w:r w:rsidRPr="00ED7BEC">
        <w:rPr>
          <w:rFonts w:ascii="Book Antiqua" w:hAnsi="Book Antiqua" w:cs="Arial"/>
          <w:color w:val="000000" w:themeColor="text1"/>
          <w:sz w:val="24"/>
          <w:szCs w:val="24"/>
        </w:rPr>
        <w:t xml:space="preserve"> patients were treated with agents that had a high genetic barrier to resistance (95 patients were treated with tenofovir, and 97 patients were tread with entecavir), and 40 patients were treated with low genetic barrier agents </w:t>
      </w:r>
      <w:r w:rsidR="00DD08BD">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9, 19, and 12 patients were treated with </w:t>
      </w:r>
      <w:r w:rsidRPr="00ED7BEC">
        <w:rPr>
          <w:rFonts w:ascii="Book Antiqua" w:hAnsi="Book Antiqua" w:cs="Arial"/>
          <w:color w:val="000000" w:themeColor="text1"/>
          <w:sz w:val="24"/>
          <w:szCs w:val="24"/>
        </w:rPr>
        <w:t xml:space="preserve">LAM, adefovir </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ADV</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25461C" w:rsidRPr="00ED7BEC">
        <w:rPr>
          <w:rFonts w:ascii="Book Antiqua" w:hAnsi="Book Antiqua" w:cs="Arial"/>
          <w:color w:val="000000" w:themeColor="text1"/>
          <w:sz w:val="24"/>
          <w:szCs w:val="24"/>
        </w:rPr>
        <w:t>and</w:t>
      </w:r>
      <w:r w:rsidRPr="00ED7BEC">
        <w:rPr>
          <w:rFonts w:ascii="Book Antiqua" w:hAnsi="Book Antiqua" w:cs="Arial"/>
          <w:color w:val="000000" w:themeColor="text1"/>
          <w:sz w:val="24"/>
          <w:szCs w:val="24"/>
        </w:rPr>
        <w:t xml:space="preserve"> LAM-ADV combination</w:t>
      </w:r>
      <w:r w:rsidR="0025461C" w:rsidRPr="00ED7BEC">
        <w:rPr>
          <w:rFonts w:ascii="Book Antiqua" w:hAnsi="Book Antiqua" w:cs="Arial"/>
          <w:color w:val="000000" w:themeColor="text1"/>
          <w:sz w:val="24"/>
          <w:szCs w:val="24"/>
        </w:rPr>
        <w:t>, respectively</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As it is well known that HBV genotype C is the universal type in almost all Korean chronic carriers, HBV genotyping is not routinely carried out in Korea. In our study, HBV genotyping was performed for 40 patients and all (100%) had genotype C2 strains.</w:t>
      </w:r>
    </w:p>
    <w:p w14:paraId="64ED70DF"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0410027E"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 xml:space="preserve">Association between pre-existence of rtM204I variants and patient characteristics </w:t>
      </w:r>
    </w:p>
    <w:p w14:paraId="753C4954" w14:textId="66319FE7"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pre-existing rtM204I variants prior to NAs were detected in 17 of 403 treatment-naïve CHB patients (4.2%). The pre-existing rtM204I variants were more frequently detected in subjects with higher FIB-4 scores. These variants were more often detected in subjects with significant fibrosis, </w:t>
      </w:r>
      <w:r w:rsidR="00485401">
        <w:rPr>
          <w:rFonts w:ascii="Book Antiqua" w:hAnsi="Book Antiqua" w:cs="Arial"/>
          <w:color w:val="000000" w:themeColor="text1"/>
          <w:sz w:val="24"/>
          <w:szCs w:val="24"/>
        </w:rPr>
        <w:t>LC</w:t>
      </w:r>
      <w:r w:rsidRPr="00ED7BEC">
        <w:rPr>
          <w:rFonts w:ascii="Book Antiqua" w:hAnsi="Book Antiqua" w:cs="Arial"/>
          <w:color w:val="000000" w:themeColor="text1"/>
          <w:sz w:val="24"/>
          <w:szCs w:val="24"/>
        </w:rPr>
        <w:t xml:space="preserve">, </w:t>
      </w:r>
      <w:r w:rsidR="003D4324" w:rsidRPr="00ED7BEC">
        <w:rPr>
          <w:rFonts w:ascii="Book Antiqua" w:hAnsi="Book Antiqua" w:cs="Arial"/>
          <w:color w:val="000000" w:themeColor="text1"/>
          <w:sz w:val="24"/>
          <w:szCs w:val="24"/>
        </w:rPr>
        <w:t xml:space="preserve">and </w:t>
      </w:r>
      <w:r w:rsidR="00485401">
        <w:rPr>
          <w:rFonts w:ascii="Book Antiqua" w:hAnsi="Book Antiqua" w:cs="Arial"/>
          <w:color w:val="000000" w:themeColor="text1"/>
          <w:sz w:val="24"/>
          <w:szCs w:val="24"/>
        </w:rPr>
        <w:t>HCC</w:t>
      </w:r>
      <w:r w:rsidR="003D4324"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(Table </w:t>
      </w:r>
      <w:r w:rsidR="00083A86" w:rsidRPr="00ED7BEC">
        <w:rPr>
          <w:rFonts w:ascii="Book Antiqua" w:hAnsi="Book Antiqua" w:cs="Arial"/>
          <w:color w:val="000000" w:themeColor="text1"/>
          <w:sz w:val="24"/>
          <w:szCs w:val="24"/>
        </w:rPr>
        <w:t>4</w:t>
      </w:r>
      <w:r w:rsidRPr="00ED7BEC">
        <w:rPr>
          <w:rFonts w:ascii="Book Antiqua" w:hAnsi="Book Antiqua" w:cs="Arial"/>
          <w:color w:val="000000" w:themeColor="text1"/>
          <w:sz w:val="24"/>
          <w:szCs w:val="24"/>
        </w:rPr>
        <w:t>)</w:t>
      </w:r>
      <w:r w:rsidR="003D4324"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Among the clinical factors (age, sex, HBeAg status, HBV-DNA titers, HBsAg quantitative levels, AST, ALT, total bilirubin, albumin, prothrombin time, platelet counts, presence of significant fibrosis, LC or HCC), univariate analysis showed that pre-existing rtM204I variants were more frequently detected in patients with significant fibrosis, or patients with </w:t>
      </w:r>
      <w:r w:rsidR="00485401">
        <w:rPr>
          <w:rFonts w:ascii="Book Antiqua" w:hAnsi="Book Antiqua" w:cs="Arial"/>
          <w:color w:val="000000" w:themeColor="text1"/>
          <w:sz w:val="24"/>
          <w:szCs w:val="24"/>
        </w:rPr>
        <w:t>HCC</w:t>
      </w:r>
      <w:r w:rsidRPr="00ED7BEC">
        <w:rPr>
          <w:rFonts w:ascii="Book Antiqua" w:hAnsi="Book Antiqua" w:cs="Arial"/>
          <w:color w:val="000000" w:themeColor="text1"/>
          <w:sz w:val="24"/>
          <w:szCs w:val="24"/>
        </w:rPr>
        <w:t>. Logistic multivariate analysis showed that pre-existing rtM204I variants were significantly more frequent in patients with significant fibrosis (odd ratio 3.397</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DD08BD">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confidence interval 1.119</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10.319</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DD08BD" w:rsidRPr="00DD08BD">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 0.031) (Table </w:t>
      </w:r>
      <w:r w:rsidR="00083A86" w:rsidRPr="00ED7BEC">
        <w:rPr>
          <w:rFonts w:ascii="Book Antiqua" w:hAnsi="Book Antiqua" w:cs="Arial"/>
          <w:color w:val="000000" w:themeColor="text1"/>
          <w:sz w:val="24"/>
          <w:szCs w:val="24"/>
        </w:rPr>
        <w:t>5</w:t>
      </w:r>
      <w:r w:rsidRPr="00ED7BEC">
        <w:rPr>
          <w:rFonts w:ascii="Book Antiqua" w:hAnsi="Book Antiqua" w:cs="Arial"/>
          <w:color w:val="000000" w:themeColor="text1"/>
          <w:sz w:val="24"/>
          <w:szCs w:val="24"/>
        </w:rPr>
        <w:t xml:space="preserve">). </w:t>
      </w:r>
    </w:p>
    <w:p w14:paraId="24D60624"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41B658D6"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 xml:space="preserve">Association between the pre-existence of rtM204I variants and antiviral responsiveness </w:t>
      </w:r>
    </w:p>
    <w:p w14:paraId="0B7AE7B5" w14:textId="3168A6E1"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Two hundred and thirty-two patients were treated with oral NAs over a period of 12 mo, and their antiviral responsiveness to NAS was evaluated. One hundred and </w:t>
      </w:r>
      <w:r w:rsidRPr="00ED7BEC">
        <w:rPr>
          <w:rFonts w:ascii="Book Antiqua" w:hAnsi="Book Antiqua" w:cs="Arial"/>
          <w:color w:val="000000" w:themeColor="text1"/>
          <w:sz w:val="24"/>
          <w:szCs w:val="24"/>
        </w:rPr>
        <w:lastRenderedPageBreak/>
        <w:t xml:space="preserve">ninety-nine patients achieved a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months of anti-HBV therapy, whereas thirty-three patients had suboptimal (incomplete) responses. Logistic multivariate regression analysis revealed that achievement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was reversely associated with higher HBV-DNA titers, treatment with low genetic barrier drugs, and, infection with pre-existing rtM204I variants prior to NAs (odds ratio 0.014, 95% confidence interval 0.002</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0.096, </w:t>
      </w:r>
      <w:r w:rsidR="00DD08BD" w:rsidRPr="00DD08BD">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&lt; 0.001; Table </w:t>
      </w:r>
      <w:r w:rsidR="00083A86" w:rsidRPr="00ED7BEC">
        <w:rPr>
          <w:rFonts w:ascii="Book Antiqua" w:hAnsi="Book Antiqua" w:cs="Arial"/>
          <w:color w:val="000000" w:themeColor="text1"/>
          <w:sz w:val="24"/>
          <w:szCs w:val="24"/>
        </w:rPr>
        <w:t>6</w:t>
      </w:r>
      <w:r w:rsidRPr="00ED7BEC">
        <w:rPr>
          <w:rFonts w:ascii="Book Antiqua" w:hAnsi="Book Antiqua" w:cs="Arial"/>
          <w:color w:val="000000" w:themeColor="text1"/>
          <w:sz w:val="24"/>
          <w:szCs w:val="24"/>
        </w:rPr>
        <w:t xml:space="preserve">). Figure </w:t>
      </w:r>
      <w:r w:rsidR="003D4324" w:rsidRPr="00ED7BEC">
        <w:rPr>
          <w:rFonts w:ascii="Book Antiqua" w:hAnsi="Book Antiqua" w:cs="Arial"/>
          <w:color w:val="000000" w:themeColor="text1"/>
          <w:sz w:val="24"/>
          <w:szCs w:val="24"/>
        </w:rPr>
        <w:t>4</w:t>
      </w:r>
      <w:r w:rsidRPr="00ED7BEC">
        <w:rPr>
          <w:rFonts w:ascii="Book Antiqua" w:hAnsi="Book Antiqua" w:cs="Arial"/>
          <w:color w:val="000000" w:themeColor="text1"/>
          <w:sz w:val="24"/>
          <w:szCs w:val="24"/>
        </w:rPr>
        <w:t xml:space="preserve"> shows the mean changes in the HBV-DNA level at each point. The decrease in HBV-DNA was significantly less prominent in patients infected with pre-existing rtM204I variants than in patients infected without pre-existing rtM204I variants</w:t>
      </w:r>
      <w:r w:rsidR="003D4324"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at 3, 6, 9, and 12 mo of antiviral treatments (all </w:t>
      </w:r>
      <w:r w:rsidR="00DD08BD" w:rsidRPr="00DD08BD">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0.05). </w:t>
      </w:r>
    </w:p>
    <w:p w14:paraId="0517B5B1" w14:textId="131B5189" w:rsidR="00264E59" w:rsidRPr="00ED7BEC" w:rsidRDefault="00264E59" w:rsidP="00DC650A">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Among 95 patients treated with tenofovir, all seven patients with pre-existing rtM204I variants (7/7, 100%) as well as almost patients without pre-existing rtM204I variants (85/88, 96.6%)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 of tenofovir. Among 97 patients treated with entecavir, only one of six patients with pre-existing rtM204I variants (1/6, 16.7%)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 of entecavir, whereas almost patients without pre-existing rtM204I variants (87/91, 95.6%)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 entecavir (87/91, 95.6%). Among 40 patients treated with low genetic barriers, one of four patients with pre-existing rtM204I variants (1/4, 25.0%) and </w:t>
      </w:r>
      <w:r w:rsidR="003D4324" w:rsidRPr="00ED7BEC">
        <w:rPr>
          <w:rFonts w:ascii="Book Antiqua" w:hAnsi="Book Antiqua" w:cs="Arial"/>
          <w:color w:val="000000" w:themeColor="text1"/>
          <w:sz w:val="24"/>
          <w:szCs w:val="24"/>
        </w:rPr>
        <w:t>h</w:t>
      </w:r>
      <w:r w:rsidRPr="00ED7BEC">
        <w:rPr>
          <w:rFonts w:ascii="Book Antiqua" w:hAnsi="Book Antiqua" w:cs="Arial"/>
          <w:color w:val="000000" w:themeColor="text1"/>
          <w:sz w:val="24"/>
          <w:szCs w:val="24"/>
        </w:rPr>
        <w:t xml:space="preserve">alf of patients without pre-existing rtM204I variants (18/36, 50.0%)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 of low genetic barriers.</w:t>
      </w:r>
    </w:p>
    <w:p w14:paraId="79A1FDD8" w14:textId="0BFA53F5" w:rsidR="00264E59" w:rsidRPr="00ED7BEC" w:rsidRDefault="00264E59" w:rsidP="00DC650A">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Table </w:t>
      </w:r>
      <w:r w:rsidR="00083A86" w:rsidRPr="00ED7BEC">
        <w:rPr>
          <w:rFonts w:ascii="Book Antiqua" w:hAnsi="Book Antiqua" w:cs="Arial"/>
          <w:color w:val="000000" w:themeColor="text1"/>
          <w:sz w:val="24"/>
          <w:szCs w:val="24"/>
        </w:rPr>
        <w:t>7</w:t>
      </w:r>
      <w:r w:rsidRPr="00ED7BEC">
        <w:rPr>
          <w:rFonts w:ascii="Book Antiqua" w:hAnsi="Book Antiqua" w:cs="Arial"/>
          <w:color w:val="000000" w:themeColor="text1"/>
          <w:sz w:val="24"/>
          <w:szCs w:val="24"/>
        </w:rPr>
        <w:t xml:space="preserve"> show</w:t>
      </w:r>
      <w:r w:rsidR="003D4324" w:rsidRPr="00ED7BEC">
        <w:rPr>
          <w:rFonts w:ascii="Book Antiqua" w:hAnsi="Book Antiqua" w:cs="Arial"/>
          <w:color w:val="000000" w:themeColor="text1"/>
          <w:sz w:val="24"/>
          <w:szCs w:val="24"/>
        </w:rPr>
        <w:t>s</w:t>
      </w:r>
      <w:r w:rsidRPr="00ED7BEC">
        <w:rPr>
          <w:rFonts w:ascii="Book Antiqua" w:hAnsi="Book Antiqua" w:cs="Arial"/>
          <w:color w:val="000000" w:themeColor="text1"/>
          <w:sz w:val="24"/>
          <w:szCs w:val="24"/>
        </w:rPr>
        <w:t xml:space="preserve"> the mean changes in the HBV-DNA levels and cumulative probabilities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in 17 patients with pre-existing rtM204I variants. The cumulative probability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 of tenofovir was significantly higher than those of entecavir and low genetic barriers (the </w:t>
      </w:r>
      <w:r w:rsidR="003D4324" w:rsidRPr="00ED7BEC">
        <w:rPr>
          <w:rFonts w:ascii="Book Antiqua" w:hAnsi="Book Antiqua" w:cs="Arial"/>
          <w:color w:val="000000" w:themeColor="text1"/>
          <w:sz w:val="24"/>
          <w:szCs w:val="24"/>
        </w:rPr>
        <w:t>Fisher’s exact</w:t>
      </w:r>
      <w:r w:rsidRPr="00ED7BEC">
        <w:rPr>
          <w:rFonts w:ascii="Book Antiqua" w:hAnsi="Book Antiqua" w:cs="Arial"/>
          <w:color w:val="000000" w:themeColor="text1"/>
          <w:sz w:val="24"/>
          <w:szCs w:val="24"/>
        </w:rPr>
        <w:t xml:space="preserve"> test: tenofovir vs entecavir, </w:t>
      </w:r>
      <w:r w:rsidR="00DC650A" w:rsidRPr="00DC650A">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0.005; tenofovir vs low genetic barrier, </w:t>
      </w:r>
      <w:r w:rsidR="00DC650A" w:rsidRPr="00DC650A">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0.024). </w:t>
      </w:r>
    </w:p>
    <w:p w14:paraId="569450A9" w14:textId="77777777" w:rsidR="00A02825" w:rsidRPr="00ED7BEC" w:rsidRDefault="00A02825" w:rsidP="00ED7BEC">
      <w:pPr>
        <w:wordWrap/>
        <w:spacing w:after="0" w:line="360" w:lineRule="auto"/>
        <w:rPr>
          <w:rFonts w:ascii="Book Antiqua" w:eastAsia="Arial Unicode MS" w:hAnsi="Book Antiqua" w:cs="Arial"/>
          <w:b/>
          <w:color w:val="000000" w:themeColor="text1"/>
          <w:sz w:val="24"/>
          <w:szCs w:val="24"/>
        </w:rPr>
      </w:pPr>
    </w:p>
    <w:p w14:paraId="12E753B7" w14:textId="77777777" w:rsidR="000260DD" w:rsidRPr="00ED7BEC" w:rsidRDefault="000260DD"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DISCUSSION</w:t>
      </w:r>
    </w:p>
    <w:p w14:paraId="4F8351AC" w14:textId="6F84AE5F" w:rsidR="000260DD" w:rsidRPr="00ED7BEC" w:rsidRDefault="000260DD" w:rsidP="00DC650A">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Although antiviral resistance mutations occur secondarily to long term use of NAs, they can occur spontaneously in NAs-naïve patients. Since the HBV genome lacks a proofreading function on the RT region of the DNA polymerase, mutations can naturally occur due to random incorrect substitution of nucleos(t)ides. The most common substitutions are methionine at amino acid position 204 to either isoleucine (rtM204I, YIDD mutations) or valine (rtM204V, YVDD mutations)</w:t>
      </w:r>
      <w:r w:rsidRPr="00ED7BEC">
        <w:rPr>
          <w:rFonts w:ascii="Book Antiqua" w:hAnsi="Book Antiqua" w:cs="Arial"/>
          <w:color w:val="000000" w:themeColor="text1"/>
          <w:sz w:val="24"/>
          <w:szCs w:val="24"/>
          <w:vertAlign w:val="superscript"/>
        </w:rPr>
        <w:t>[19,20]</w:t>
      </w:r>
      <w:r w:rsidRPr="00ED7BEC">
        <w:rPr>
          <w:rFonts w:ascii="Book Antiqua" w:hAnsi="Book Antiqua" w:cs="Arial"/>
          <w:color w:val="000000" w:themeColor="text1"/>
          <w:sz w:val="24"/>
          <w:szCs w:val="24"/>
        </w:rPr>
        <w:t xml:space="preserve">. Many studies </w:t>
      </w:r>
      <w:r w:rsidRPr="00ED7BEC">
        <w:rPr>
          <w:rFonts w:ascii="Book Antiqua" w:hAnsi="Book Antiqua" w:cs="Arial"/>
          <w:color w:val="000000" w:themeColor="text1"/>
          <w:sz w:val="24"/>
          <w:szCs w:val="24"/>
        </w:rPr>
        <w:lastRenderedPageBreak/>
        <w:t>have revealed that YMDD-motif mutations can emerge naturally in treatment-naïve CHB patients, but their reported prevalence vary greatly (0% to approximately 30%) or are even contradictory</w:t>
      </w:r>
      <w:r w:rsidRPr="00ED7BEC">
        <w:rPr>
          <w:rFonts w:ascii="Book Antiqua" w:hAnsi="Book Antiqua" w:cs="Arial"/>
          <w:color w:val="000000" w:themeColor="text1"/>
          <w:sz w:val="24"/>
          <w:szCs w:val="24"/>
          <w:vertAlign w:val="superscript"/>
        </w:rPr>
        <w:t>[10-13]</w:t>
      </w:r>
      <w:r w:rsidRPr="00ED7BEC">
        <w:rPr>
          <w:rFonts w:ascii="Book Antiqua" w:hAnsi="Book Antiqua" w:cs="Arial"/>
          <w:color w:val="000000" w:themeColor="text1"/>
          <w:sz w:val="24"/>
          <w:szCs w:val="24"/>
        </w:rPr>
        <w:t>.</w:t>
      </w:r>
    </w:p>
    <w:p w14:paraId="7BE1042E" w14:textId="502272A3"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Our group recently analyzed the RT region of the HBV polymerase by full-length HBV RT sequences in NAs-naive CHB patients, and we found that approximately 60% of them had antiviral resistant variants with substitutions at T184, M204, L180, or L80 prior to NAs therapy</w:t>
      </w:r>
      <w:r w:rsidRPr="00ED7BEC">
        <w:rPr>
          <w:rFonts w:ascii="Book Antiqua" w:hAnsi="Book Antiqua" w:cs="Arial"/>
          <w:color w:val="000000" w:themeColor="text1"/>
          <w:sz w:val="24"/>
          <w:szCs w:val="24"/>
          <w:vertAlign w:val="superscript"/>
        </w:rPr>
        <w:t>[14]</w:t>
      </w:r>
      <w:r w:rsidRPr="00ED7BEC">
        <w:rPr>
          <w:rFonts w:ascii="Book Antiqua" w:hAnsi="Book Antiqua" w:cs="Arial"/>
          <w:color w:val="000000" w:themeColor="text1"/>
          <w:sz w:val="24"/>
          <w:szCs w:val="24"/>
        </w:rPr>
        <w:t>. Among these variants, spontaneous rtM204I/V variants were detected in approximately 1.5% of NAs-native patients, and the rtM204I variant was the dominant type. Additionally, they were more frequently detected in patients with HCC than in patients without HCC. Thus, in this research, we focused on the spontaneous rtM204I variants, and they were evaluated using an LNA-RT-PCR method, which is a more sensitive method than sequence analysis. We also tripled the sample number of NAs-naïve patients with various phases of CHB genotype C infection.</w:t>
      </w:r>
    </w:p>
    <w:p w14:paraId="026A4A9B" w14:textId="4A8DF4C1"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In this study, we have confirmed that spontaneous rtM204I mutations exist in NAs-naïve patients with CHB genotype C infection, and their prevalence is approximately 4%. Spontaneous M204I mutations were more frequently detected in patients with higher scores on the FIB-4 index, which is considered to be a noninvasive marker of liver fibrosis, and multivariate analysis showed that pre-existing M204I mutations were more frequently detected in patients with significant fibrosis</w:t>
      </w:r>
      <w:r w:rsidRPr="00ED7BEC">
        <w:rPr>
          <w:rFonts w:ascii="Book Antiqua" w:hAnsi="Book Antiqua" w:cs="Arial"/>
          <w:color w:val="000000" w:themeColor="text1"/>
          <w:sz w:val="24"/>
          <w:szCs w:val="24"/>
          <w:vertAlign w:val="superscript"/>
        </w:rPr>
        <w:t>[21]</w:t>
      </w:r>
      <w:r w:rsidRPr="00ED7BEC">
        <w:rPr>
          <w:rFonts w:ascii="Book Antiqua" w:hAnsi="Book Antiqua" w:cs="Arial"/>
          <w:color w:val="000000" w:themeColor="text1"/>
          <w:sz w:val="24"/>
          <w:szCs w:val="24"/>
        </w:rPr>
        <w:t>. These data suggest that spontaneous rtM204I variants might be risk factors for the progression of liver fibrosis. Although the mechanism is unclear, a possible reason for the significant association between spontaneous rtM204I variants and liver fibrosis might also be related to HBV genotype C. Many studies have demonstrated that naturally occurring mutations, such as variants in the pre-S region, are associated with LC and HCC development in CHB patients, especially those infected with genotype C</w:t>
      </w:r>
      <w:r w:rsidRPr="00ED7BEC">
        <w:rPr>
          <w:rFonts w:ascii="Book Antiqua" w:hAnsi="Book Antiqua" w:cs="Arial"/>
          <w:color w:val="000000" w:themeColor="text1"/>
          <w:sz w:val="24"/>
          <w:szCs w:val="24"/>
          <w:vertAlign w:val="superscript"/>
        </w:rPr>
        <w:t>[22,23]</w:t>
      </w:r>
      <w:r w:rsidRPr="00ED7BEC">
        <w:rPr>
          <w:rFonts w:ascii="Book Antiqua" w:hAnsi="Book Antiqua" w:cs="Arial"/>
          <w:color w:val="000000" w:themeColor="text1"/>
          <w:sz w:val="24"/>
          <w:szCs w:val="24"/>
        </w:rPr>
        <w:t>. Hence, this study suggested that progression of fibrosis might be related to spontaneous occurrence of rtM204I mutations prior to NAs, as well as infection with naturally occurring pre-S variants, in treatment-naïve patients infected with HBV genotype C2 strains.</w:t>
      </w:r>
    </w:p>
    <w:p w14:paraId="42BCD362" w14:textId="6D761BAA"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lastRenderedPageBreak/>
        <w:t xml:space="preserve">Another finding of this study is that spontaneous rtM204I variants could affect antiviral responsiveness in treatment-naïve patients when they are treated with NAs. Our data showed that </w:t>
      </w:r>
      <w:r w:rsidR="00C75426" w:rsidRPr="00ED7BEC">
        <w:rPr>
          <w:rFonts w:ascii="Book Antiqua" w:hAnsi="Book Antiqua" w:cs="Arial"/>
          <w:color w:val="000000" w:themeColor="text1"/>
          <w:sz w:val="24"/>
          <w:szCs w:val="24"/>
        </w:rPr>
        <w:t>CVR rate</w:t>
      </w:r>
      <w:r w:rsidRPr="00ED7BEC">
        <w:rPr>
          <w:rFonts w:ascii="Book Antiqua" w:hAnsi="Book Antiqua" w:cs="Arial"/>
          <w:color w:val="000000" w:themeColor="text1"/>
          <w:sz w:val="24"/>
          <w:szCs w:val="24"/>
        </w:rPr>
        <w:t xml:space="preserve"> to antiviral therapy was significantly lower in patients </w:t>
      </w:r>
      <w:r w:rsidR="00C75426" w:rsidRPr="00ED7BEC">
        <w:rPr>
          <w:rFonts w:ascii="Book Antiqua" w:hAnsi="Book Antiqua" w:cs="Arial"/>
          <w:color w:val="000000" w:themeColor="text1"/>
          <w:sz w:val="24"/>
          <w:szCs w:val="24"/>
        </w:rPr>
        <w:t xml:space="preserve">infected </w:t>
      </w:r>
      <w:r w:rsidRPr="00ED7BEC">
        <w:rPr>
          <w:rFonts w:ascii="Book Antiqua" w:hAnsi="Book Antiqua" w:cs="Arial"/>
          <w:color w:val="000000" w:themeColor="text1"/>
          <w:sz w:val="24"/>
          <w:szCs w:val="24"/>
        </w:rPr>
        <w:t xml:space="preserve">with spontaneous rtM204I variants. Indeed, rtM204I variants are the predominant mutations causing resistance to NAs with low genetic barriers, such as </w:t>
      </w:r>
      <w:r w:rsidR="00485401">
        <w:rPr>
          <w:rFonts w:ascii="Book Antiqua" w:hAnsi="Book Antiqua" w:cs="Arial"/>
          <w:color w:val="000000" w:themeColor="text1"/>
          <w:sz w:val="24"/>
          <w:szCs w:val="24"/>
        </w:rPr>
        <w:t>LAM</w:t>
      </w:r>
      <w:r w:rsidRPr="00ED7BEC">
        <w:rPr>
          <w:rFonts w:ascii="Book Antiqua" w:hAnsi="Book Antiqua" w:cs="Arial"/>
          <w:color w:val="000000" w:themeColor="text1"/>
          <w:sz w:val="24"/>
          <w:szCs w:val="24"/>
        </w:rPr>
        <w:t xml:space="preserve">, </w:t>
      </w:r>
      <w:r w:rsidR="00485401" w:rsidRPr="00ED7BEC">
        <w:rPr>
          <w:rFonts w:ascii="Book Antiqua" w:hAnsi="Book Antiqua" w:cs="Arial"/>
          <w:color w:val="000000" w:themeColor="text1"/>
          <w:sz w:val="24"/>
          <w:szCs w:val="24"/>
        </w:rPr>
        <w:t>L-dT</w:t>
      </w:r>
      <w:r w:rsidRPr="00ED7BEC">
        <w:rPr>
          <w:rFonts w:ascii="Book Antiqua" w:hAnsi="Book Antiqua" w:cs="Arial"/>
          <w:color w:val="000000" w:themeColor="text1"/>
          <w:sz w:val="24"/>
          <w:szCs w:val="24"/>
        </w:rPr>
        <w:t xml:space="preserve">, and </w:t>
      </w:r>
      <w:r w:rsidR="00485401">
        <w:rPr>
          <w:rFonts w:ascii="Book Antiqua" w:hAnsi="Book Antiqua" w:cs="Arial"/>
          <w:color w:val="000000" w:themeColor="text1"/>
          <w:sz w:val="24"/>
          <w:szCs w:val="24"/>
        </w:rPr>
        <w:t>CLV</w:t>
      </w:r>
      <w:r w:rsidRPr="00ED7BEC">
        <w:rPr>
          <w:rFonts w:ascii="Book Antiqua" w:hAnsi="Book Antiqua" w:cs="Arial"/>
          <w:color w:val="000000" w:themeColor="text1"/>
          <w:sz w:val="24"/>
          <w:szCs w:val="24"/>
          <w:vertAlign w:val="superscript"/>
        </w:rPr>
        <w:t>[6,24]</w:t>
      </w:r>
      <w:r w:rsidRPr="00ED7BEC">
        <w:rPr>
          <w:rFonts w:ascii="Book Antiqua" w:hAnsi="Book Antiqua" w:cs="Arial"/>
          <w:color w:val="000000" w:themeColor="text1"/>
          <w:sz w:val="24"/>
          <w:szCs w:val="24"/>
        </w:rPr>
        <w:t>. These variants can also reduce the susceptibility to entecavir therapy and induce entecavir resistance</w:t>
      </w:r>
      <w:r w:rsidRPr="00ED7BEC">
        <w:rPr>
          <w:rFonts w:ascii="Book Antiqua" w:hAnsi="Book Antiqua" w:cs="Arial"/>
          <w:color w:val="000000" w:themeColor="text1"/>
          <w:sz w:val="24"/>
          <w:szCs w:val="24"/>
          <w:vertAlign w:val="superscript"/>
        </w:rPr>
        <w:t>[25]</w:t>
      </w:r>
      <w:r w:rsidRPr="00ED7BEC">
        <w:rPr>
          <w:rFonts w:ascii="Book Antiqua" w:hAnsi="Book Antiqua" w:cs="Arial"/>
          <w:color w:val="000000" w:themeColor="text1"/>
          <w:sz w:val="24"/>
          <w:szCs w:val="24"/>
        </w:rPr>
        <w:t xml:space="preserve">. This study also revealed that </w:t>
      </w:r>
      <w:r w:rsidR="00C75426" w:rsidRPr="00ED7BEC">
        <w:rPr>
          <w:rFonts w:ascii="Book Antiqua" w:hAnsi="Book Antiqua" w:cs="Arial"/>
          <w:color w:val="000000" w:themeColor="text1"/>
          <w:sz w:val="24"/>
          <w:szCs w:val="24"/>
        </w:rPr>
        <w:t>all seven</w:t>
      </w:r>
      <w:r w:rsidRPr="00ED7BEC">
        <w:rPr>
          <w:rFonts w:ascii="Book Antiqua" w:hAnsi="Book Antiqua" w:cs="Arial"/>
          <w:color w:val="000000" w:themeColor="text1"/>
          <w:sz w:val="24"/>
          <w:szCs w:val="24"/>
        </w:rPr>
        <w:t xml:space="preserve"> patients carrying pre-existing rtM204I mutations </w:t>
      </w:r>
      <w:r w:rsidR="00C75426" w:rsidRPr="00ED7BEC">
        <w:rPr>
          <w:rFonts w:ascii="Book Antiqua" w:hAnsi="Book Antiqua" w:cs="Arial"/>
          <w:color w:val="000000" w:themeColor="text1"/>
          <w:sz w:val="24"/>
          <w:szCs w:val="24"/>
        </w:rPr>
        <w:t>achieved CVR</w:t>
      </w:r>
      <w:r w:rsidRPr="00ED7BEC">
        <w:rPr>
          <w:rFonts w:ascii="Book Antiqua" w:hAnsi="Book Antiqua" w:cs="Arial"/>
          <w:color w:val="000000" w:themeColor="text1"/>
          <w:sz w:val="24"/>
          <w:szCs w:val="24"/>
        </w:rPr>
        <w:t xml:space="preserve"> to tenofovir, which can effectively suppress not only </w:t>
      </w:r>
      <w:r w:rsidR="006B3F1A">
        <w:rPr>
          <w:rFonts w:ascii="Book Antiqua" w:hAnsi="Book Antiqua" w:cs="Arial"/>
          <w:color w:val="000000" w:themeColor="text1"/>
          <w:sz w:val="24"/>
          <w:szCs w:val="24"/>
        </w:rPr>
        <w:t>WT</w:t>
      </w:r>
      <w:r w:rsidRPr="00ED7BEC">
        <w:rPr>
          <w:rFonts w:ascii="Book Antiqua" w:hAnsi="Book Antiqua" w:cs="Arial"/>
          <w:color w:val="000000" w:themeColor="text1"/>
          <w:sz w:val="24"/>
          <w:szCs w:val="24"/>
        </w:rPr>
        <w:t xml:space="preserve"> HBV strains but also rtM204I variants. In contrast, only one of </w:t>
      </w:r>
      <w:r w:rsidR="00C75426" w:rsidRPr="00ED7BEC">
        <w:rPr>
          <w:rFonts w:ascii="Book Antiqua" w:hAnsi="Book Antiqua" w:cs="Arial"/>
          <w:color w:val="000000" w:themeColor="text1"/>
          <w:sz w:val="24"/>
          <w:szCs w:val="24"/>
        </w:rPr>
        <w:t>six</w:t>
      </w:r>
      <w:r w:rsidRPr="00ED7BEC">
        <w:rPr>
          <w:rFonts w:ascii="Book Antiqua" w:hAnsi="Book Antiqua" w:cs="Arial"/>
          <w:color w:val="000000" w:themeColor="text1"/>
          <w:sz w:val="24"/>
          <w:szCs w:val="24"/>
        </w:rPr>
        <w:t xml:space="preserve"> patients carrying pre-existing rtM204I mutations </w:t>
      </w:r>
      <w:r w:rsidR="00C75426" w:rsidRPr="00ED7BEC">
        <w:rPr>
          <w:rFonts w:ascii="Book Antiqua" w:hAnsi="Book Antiqua" w:cs="Arial"/>
          <w:color w:val="000000" w:themeColor="text1"/>
          <w:sz w:val="24"/>
          <w:szCs w:val="24"/>
        </w:rPr>
        <w:t>achieved</w:t>
      </w:r>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at</w:t>
      </w:r>
      <w:r w:rsidRPr="00ED7BEC">
        <w:rPr>
          <w:rFonts w:ascii="Book Antiqua" w:hAnsi="Book Antiqua" w:cs="Arial"/>
          <w:color w:val="000000" w:themeColor="text1"/>
          <w:sz w:val="24"/>
          <w:szCs w:val="24"/>
        </w:rPr>
        <w:t xml:space="preserve"> 12 mo </w:t>
      </w:r>
      <w:r w:rsidR="00C75426" w:rsidRPr="00ED7BEC">
        <w:rPr>
          <w:rFonts w:ascii="Book Antiqua" w:hAnsi="Book Antiqua" w:cs="Arial"/>
          <w:color w:val="000000" w:themeColor="text1"/>
          <w:sz w:val="24"/>
          <w:szCs w:val="24"/>
        </w:rPr>
        <w:t>of</w:t>
      </w:r>
      <w:r w:rsidRPr="00ED7BEC">
        <w:rPr>
          <w:rFonts w:ascii="Book Antiqua" w:hAnsi="Book Antiqua" w:cs="Arial"/>
          <w:color w:val="000000" w:themeColor="text1"/>
          <w:sz w:val="24"/>
          <w:szCs w:val="24"/>
        </w:rPr>
        <w:t xml:space="preserve"> entecavir </w:t>
      </w:r>
      <w:r w:rsidR="00C75426" w:rsidRPr="00ED7BEC">
        <w:rPr>
          <w:rFonts w:ascii="Book Antiqua" w:hAnsi="Book Antiqua" w:cs="Arial"/>
          <w:color w:val="000000" w:themeColor="text1"/>
          <w:sz w:val="24"/>
          <w:szCs w:val="24"/>
        </w:rPr>
        <w:t>treatment, and one of four patients achieved CVR at 12 mo of</w:t>
      </w:r>
      <w:r w:rsidRPr="00ED7BEC">
        <w:rPr>
          <w:rFonts w:ascii="Book Antiqua" w:hAnsi="Book Antiqua" w:cs="Arial"/>
          <w:color w:val="000000" w:themeColor="text1"/>
          <w:sz w:val="24"/>
          <w:szCs w:val="24"/>
        </w:rPr>
        <w:t xml:space="preserve"> low genetic barrier agents. Therefore, tenofovir is the preferred treatment since its higher barrier to resistance provides the best chance for successful long-term therapy in </w:t>
      </w:r>
      <w:r w:rsidR="00C75426" w:rsidRPr="00ED7BEC">
        <w:rPr>
          <w:rFonts w:ascii="Book Antiqua" w:hAnsi="Book Antiqua" w:cs="Arial"/>
          <w:color w:val="000000" w:themeColor="text1"/>
          <w:sz w:val="24"/>
          <w:szCs w:val="24"/>
        </w:rPr>
        <w:t>treatment</w:t>
      </w:r>
      <w:r w:rsidRPr="00ED7BEC">
        <w:rPr>
          <w:rFonts w:ascii="Book Antiqua" w:hAnsi="Book Antiqua" w:cs="Arial"/>
          <w:color w:val="000000" w:themeColor="text1"/>
          <w:sz w:val="24"/>
          <w:szCs w:val="24"/>
        </w:rPr>
        <w:t xml:space="preserve">-naïve patients carrying spontaneous rtM204I variants. </w:t>
      </w:r>
    </w:p>
    <w:p w14:paraId="61061D7C" w14:textId="67103301"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Recently, a Korean population-based cohort study demonstrated that tenofovir treatment was associated with a significantly lower risk of HCC compared with entecavir treatment</w:t>
      </w:r>
      <w:r w:rsidRPr="00ED7BEC">
        <w:rPr>
          <w:rFonts w:ascii="Book Antiqua" w:hAnsi="Book Antiqua" w:cs="Arial"/>
          <w:color w:val="000000" w:themeColor="text1"/>
          <w:sz w:val="24"/>
          <w:szCs w:val="24"/>
          <w:vertAlign w:val="superscript"/>
        </w:rPr>
        <w:t>[</w:t>
      </w:r>
      <w:bookmarkStart w:id="29" w:name="_GoBack"/>
      <w:r w:rsidRPr="00ED7BEC">
        <w:rPr>
          <w:rFonts w:ascii="Book Antiqua" w:hAnsi="Book Antiqua" w:cs="Arial"/>
          <w:color w:val="000000" w:themeColor="text1"/>
          <w:sz w:val="24"/>
          <w:szCs w:val="24"/>
          <w:vertAlign w:val="superscript"/>
        </w:rPr>
        <w:t>26]</w:t>
      </w:r>
      <w:bookmarkEnd w:id="29"/>
      <w:r w:rsidR="00C75426"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This result might be related to the fact that tenofovir therapy can more effectively suppress HBV-DNA compared to entecavir therapy and consequently decrease the risk of LC progression or HCC development in Korean patients infected with HBV genotype C strains, some of whom have spontaneous rtM204I variants. </w:t>
      </w:r>
    </w:p>
    <w:p w14:paraId="42A60872" w14:textId="77777777" w:rsidR="002F4717"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In conclusion, the LNA-RT-PCR method can detect pre-existing rtM204I variants with high sensitivity in NAs-naïve CHB patients. rtM204I mutations can occur spontaneously with a rate of approximately 4% in </w:t>
      </w:r>
      <w:r w:rsidR="00C75426" w:rsidRPr="00ED7BEC">
        <w:rPr>
          <w:rFonts w:ascii="Book Antiqua" w:hAnsi="Book Antiqua" w:cs="Arial"/>
          <w:color w:val="000000" w:themeColor="text1"/>
          <w:sz w:val="24"/>
          <w:szCs w:val="24"/>
        </w:rPr>
        <w:t>treatment-naïve</w:t>
      </w:r>
      <w:r w:rsidRPr="00ED7BEC">
        <w:rPr>
          <w:rFonts w:ascii="Book Antiqua" w:hAnsi="Book Antiqua" w:cs="Arial"/>
          <w:color w:val="000000" w:themeColor="text1"/>
          <w:sz w:val="24"/>
          <w:szCs w:val="24"/>
        </w:rPr>
        <w:t xml:space="preserve"> patients infected with HBV genotype C2. </w:t>
      </w:r>
      <w:r w:rsidR="00C75426" w:rsidRPr="00ED7BEC">
        <w:rPr>
          <w:rFonts w:ascii="Book Antiqua" w:hAnsi="Book Antiqua" w:cs="Arial"/>
          <w:color w:val="000000" w:themeColor="text1"/>
          <w:sz w:val="24"/>
          <w:szCs w:val="24"/>
        </w:rPr>
        <w:t xml:space="preserve">The </w:t>
      </w:r>
      <w:r w:rsidRPr="00ED7BEC">
        <w:rPr>
          <w:rFonts w:ascii="Book Antiqua" w:hAnsi="Book Antiqua" w:cs="Arial"/>
          <w:color w:val="000000" w:themeColor="text1"/>
          <w:sz w:val="24"/>
          <w:szCs w:val="24"/>
        </w:rPr>
        <w:t>rtM204I variants more frequently pre-existed in patients</w:t>
      </w:r>
      <w:r w:rsidR="00C75426" w:rsidRPr="00ED7BEC">
        <w:rPr>
          <w:rFonts w:ascii="Book Antiqua" w:hAnsi="Book Antiqua" w:cs="Arial"/>
          <w:color w:val="000000" w:themeColor="text1"/>
          <w:sz w:val="24"/>
          <w:szCs w:val="24"/>
        </w:rPr>
        <w:t xml:space="preserve"> with significant fibrosis</w:t>
      </w:r>
      <w:r w:rsidRPr="00ED7BEC">
        <w:rPr>
          <w:rFonts w:ascii="Book Antiqua" w:hAnsi="Book Antiqua" w:cs="Arial"/>
          <w:color w:val="000000" w:themeColor="text1"/>
          <w:sz w:val="24"/>
          <w:szCs w:val="24"/>
        </w:rPr>
        <w:t xml:space="preserve">, and the pre-existence of rtM204I variants was associated with incomplete responses to NAs. </w:t>
      </w:r>
      <w:r w:rsidR="00FE0D2B" w:rsidRPr="00ED7BEC">
        <w:rPr>
          <w:rFonts w:ascii="Book Antiqua" w:hAnsi="Book Antiqua" w:cs="Arial"/>
          <w:color w:val="000000" w:themeColor="text1"/>
          <w:sz w:val="24"/>
          <w:szCs w:val="24"/>
        </w:rPr>
        <w:t>Therefore, t</w:t>
      </w:r>
      <w:r w:rsidRPr="00ED7BEC">
        <w:rPr>
          <w:rFonts w:ascii="Book Antiqua" w:hAnsi="Book Antiqua" w:cs="Arial"/>
          <w:color w:val="000000" w:themeColor="text1"/>
          <w:sz w:val="24"/>
          <w:szCs w:val="24"/>
        </w:rPr>
        <w:t>he detection of pre-existing rtM204I variants with the newly developed LNA-RT-PCR method could play a relevant role in the clinical management of NA-naïve patients with CHB genotype C2 infection.</w:t>
      </w:r>
    </w:p>
    <w:p w14:paraId="769ED48D" w14:textId="77777777" w:rsidR="00F54F33" w:rsidRPr="00ED7BEC" w:rsidRDefault="00F54F33" w:rsidP="00ED7BEC">
      <w:pPr>
        <w:wordWrap/>
        <w:adjustRightInd w:val="0"/>
        <w:snapToGrid w:val="0"/>
        <w:spacing w:after="0" w:line="360" w:lineRule="auto"/>
        <w:rPr>
          <w:rFonts w:ascii="Book Antiqua" w:hAnsi="Book Antiqua" w:cs="Arial"/>
          <w:color w:val="000000" w:themeColor="text1"/>
          <w:sz w:val="24"/>
          <w:szCs w:val="24"/>
        </w:rPr>
      </w:pPr>
      <w:bookmarkStart w:id="30" w:name="OLE_LINK151"/>
      <w:bookmarkStart w:id="31" w:name="OLE_LINK259"/>
    </w:p>
    <w:p w14:paraId="464D2EF1" w14:textId="77777777" w:rsidR="0025461C" w:rsidRPr="00ED7BEC" w:rsidRDefault="0025461C" w:rsidP="00ED7BEC">
      <w:pPr>
        <w:wordWrap/>
        <w:adjustRightInd w:val="0"/>
        <w:snapToGrid w:val="0"/>
        <w:spacing w:after="0" w:line="360" w:lineRule="auto"/>
        <w:rPr>
          <w:rFonts w:ascii="Book Antiqua" w:hAnsi="Book Antiqua"/>
          <w:b/>
          <w:caps/>
          <w:color w:val="000000" w:themeColor="text1"/>
          <w:sz w:val="24"/>
          <w:szCs w:val="24"/>
        </w:rPr>
      </w:pPr>
      <w:r w:rsidRPr="00ED7BEC">
        <w:rPr>
          <w:rFonts w:ascii="Book Antiqua" w:hAnsi="Book Antiqua" w:cs="Segoe UI"/>
          <w:b/>
          <w:caps/>
          <w:color w:val="000000" w:themeColor="text1"/>
          <w:sz w:val="24"/>
          <w:szCs w:val="24"/>
          <w:shd w:val="clear" w:color="auto" w:fill="FFFFFF"/>
        </w:rPr>
        <w:lastRenderedPageBreak/>
        <w:t xml:space="preserve">Article Highlights </w:t>
      </w:r>
    </w:p>
    <w:p w14:paraId="1A0EA7FF"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background</w:t>
      </w:r>
    </w:p>
    <w:p w14:paraId="3F4FB050" w14:textId="77777777"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Hepatitis B virus (HBV) DNA polymerase mutations usually occur to long term use of nucleos(t)ide analogues (NAs), but they can occur spontaneously in treatment-naïve chronic hepatitis B (CHB) patients. The naturally occurring HBV-DNA polymerase mutations might complicate antiviral therapy with NAs, leading to the generation of drug-resistant viral mutants and disease progression. The most common substitutions are known to be YMDD-motif mutations, but their prevalence and the influence on antiviral therapy is unclear. </w:t>
      </w:r>
    </w:p>
    <w:p w14:paraId="6F2BBC42" w14:textId="77777777" w:rsidR="0025461C" w:rsidRPr="00ED7BEC" w:rsidRDefault="0025461C" w:rsidP="00ED7BEC">
      <w:pPr>
        <w:wordWrap/>
        <w:adjustRightInd w:val="0"/>
        <w:snapToGrid w:val="0"/>
        <w:spacing w:after="0" w:line="360" w:lineRule="auto"/>
        <w:rPr>
          <w:rFonts w:ascii="Book Antiqua" w:hAnsi="Book Antiqua"/>
          <w:color w:val="000000" w:themeColor="text1"/>
          <w:sz w:val="24"/>
          <w:szCs w:val="24"/>
        </w:rPr>
      </w:pPr>
    </w:p>
    <w:p w14:paraId="7BE22FF3"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motivation</w:t>
      </w:r>
    </w:p>
    <w:p w14:paraId="2F5686C6" w14:textId="02632787" w:rsidR="0025461C" w:rsidRPr="00ED7BEC" w:rsidRDefault="0025461C" w:rsidP="00ED7BEC">
      <w:pPr>
        <w:wordWrap/>
        <w:adjustRightInd w:val="0"/>
        <w:snapToGrid w:val="0"/>
        <w:spacing w:after="0" w:line="360" w:lineRule="auto"/>
        <w:rPr>
          <w:rFonts w:ascii="Book Antiqua" w:hAnsi="Book Antiqua" w:cs="Arial"/>
          <w:color w:val="000000" w:themeColor="text1"/>
          <w:sz w:val="24"/>
          <w:szCs w:val="24"/>
        </w:rPr>
      </w:pPr>
      <w:r w:rsidRPr="00ED7BEC">
        <w:rPr>
          <w:rFonts w:ascii="Book Antiqua" w:eastAsia="BatangChe" w:hAnsi="Book Antiqua" w:cs="Arial"/>
          <w:color w:val="000000" w:themeColor="text1"/>
          <w:sz w:val="24"/>
          <w:szCs w:val="24"/>
        </w:rPr>
        <w:t xml:space="preserve">HBV DNA polymerase mutations have been known to be prevalent in treatment-naïve CHB patients infected with HBV genotype C2 strains. But there is still controversy regarding prevalence of the naturally occurring </w:t>
      </w:r>
      <w:r w:rsidRPr="00ED7BEC">
        <w:rPr>
          <w:rFonts w:ascii="Book Antiqua" w:hAnsi="Book Antiqua" w:cs="Arial"/>
          <w:color w:val="000000" w:themeColor="text1"/>
          <w:sz w:val="24"/>
          <w:szCs w:val="24"/>
        </w:rPr>
        <w:t xml:space="preserve">rtM204I mutations prior to antiviral treatments. Moreover, the clinical characteristics of the </w:t>
      </w:r>
      <w:r w:rsidRPr="00ED7BEC">
        <w:rPr>
          <w:rFonts w:ascii="Book Antiqua" w:eastAsia="BatangChe" w:hAnsi="Book Antiqua" w:cs="Arial"/>
          <w:color w:val="000000" w:themeColor="text1"/>
          <w:sz w:val="24"/>
          <w:szCs w:val="24"/>
        </w:rPr>
        <w:t xml:space="preserve">naturally occurring </w:t>
      </w:r>
      <w:r w:rsidRPr="00ED7BEC">
        <w:rPr>
          <w:rFonts w:ascii="Book Antiqua" w:hAnsi="Book Antiqua" w:cs="Arial"/>
          <w:color w:val="000000" w:themeColor="text1"/>
          <w:sz w:val="24"/>
          <w:szCs w:val="24"/>
        </w:rPr>
        <w:t xml:space="preserve">rtM204I mutations have not been fully elucidated. </w:t>
      </w:r>
    </w:p>
    <w:p w14:paraId="257D1965" w14:textId="77777777" w:rsidR="0025461C" w:rsidRPr="00ED7BEC" w:rsidRDefault="0025461C" w:rsidP="00ED7BEC">
      <w:pPr>
        <w:wordWrap/>
        <w:adjustRightInd w:val="0"/>
        <w:snapToGrid w:val="0"/>
        <w:spacing w:after="0" w:line="360" w:lineRule="auto"/>
        <w:rPr>
          <w:rFonts w:ascii="Book Antiqua" w:hAnsi="Book Antiqua"/>
          <w:b/>
          <w:color w:val="000000" w:themeColor="text1"/>
          <w:sz w:val="24"/>
          <w:szCs w:val="24"/>
        </w:rPr>
      </w:pPr>
    </w:p>
    <w:p w14:paraId="4B440BC3"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objectives</w:t>
      </w:r>
    </w:p>
    <w:p w14:paraId="0C840A0A" w14:textId="77777777" w:rsidR="0025461C" w:rsidRPr="00ED7BEC" w:rsidRDefault="0025461C" w:rsidP="007075C3">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The objective of this study was to determine the prevalence and clinical characteristics of naturally occurring rtM204I mutations in treatment-naïve patients infected with HBV genotype C2 strains by using a newly developed locked nucleotide probe (LNA probe) based real time PCR (LNA-RT-PCR) method, which can detect subspecies at 5% of the circulating HBV population.</w:t>
      </w:r>
    </w:p>
    <w:p w14:paraId="4081DF13" w14:textId="77777777" w:rsidR="0025461C" w:rsidRPr="00ED7BEC" w:rsidRDefault="0025461C" w:rsidP="00ED7BEC">
      <w:pPr>
        <w:widowControl/>
        <w:wordWrap/>
        <w:autoSpaceDE/>
        <w:autoSpaceDN/>
        <w:adjustRightInd w:val="0"/>
        <w:snapToGrid w:val="0"/>
        <w:spacing w:after="0" w:line="360" w:lineRule="auto"/>
        <w:rPr>
          <w:rFonts w:ascii="Book Antiqua" w:hAnsi="Book Antiqua"/>
          <w:b/>
          <w:color w:val="000000" w:themeColor="text1"/>
          <w:sz w:val="24"/>
          <w:szCs w:val="24"/>
        </w:rPr>
      </w:pPr>
    </w:p>
    <w:p w14:paraId="5157B3A5"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methods</w:t>
      </w:r>
    </w:p>
    <w:p w14:paraId="2C938F51" w14:textId="53D35BBB"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retrospective study enrolled a total of 410 treatment-naïve CHB patients infected with HBV genotype C2 strains. Among the 410 patients, 232 were treated with NAs for at least 12 mo. Significant fibrosis was defined as fibrosis-4 index &gt; </w:t>
      </w:r>
      <w:r w:rsidR="00F54F33" w:rsidRPr="00ED7BEC">
        <w:rPr>
          <w:rFonts w:ascii="Book Antiqua" w:hAnsi="Book Antiqua" w:cs="Arial"/>
          <w:color w:val="000000" w:themeColor="text1"/>
          <w:sz w:val="24"/>
          <w:szCs w:val="24"/>
        </w:rPr>
        <w:t xml:space="preserve">3.25 or aspartate </w:t>
      </w:r>
      <w:r w:rsidRPr="00ED7BEC">
        <w:rPr>
          <w:rFonts w:ascii="Book Antiqua" w:hAnsi="Book Antiqua" w:cs="Arial"/>
          <w:color w:val="000000" w:themeColor="text1"/>
          <w:sz w:val="24"/>
          <w:szCs w:val="24"/>
        </w:rPr>
        <w:t>aminotransferase</w:t>
      </w:r>
      <w:r w:rsidR="00F54F33"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to platelet ratio index &gt; 1.5. Complete viral response (CVR) during NAs was defined as undetectable serum HBV DNA (&lt; 24 IU/mL). The rtM204I variants were analyzed by a newly developed LNA RT-PCR method. </w:t>
      </w:r>
    </w:p>
    <w:p w14:paraId="33EDF01E" w14:textId="77777777" w:rsidR="0025461C" w:rsidRPr="00ED7BEC" w:rsidRDefault="0025461C" w:rsidP="00ED7BEC">
      <w:pPr>
        <w:wordWrap/>
        <w:adjustRightInd w:val="0"/>
        <w:snapToGrid w:val="0"/>
        <w:spacing w:after="0" w:line="360" w:lineRule="auto"/>
        <w:rPr>
          <w:rFonts w:ascii="Book Antiqua" w:hAnsi="Book Antiqua"/>
          <w:b/>
          <w:color w:val="000000" w:themeColor="text1"/>
          <w:sz w:val="24"/>
          <w:szCs w:val="24"/>
        </w:rPr>
      </w:pPr>
    </w:p>
    <w:p w14:paraId="4A2172A2"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results</w:t>
      </w:r>
    </w:p>
    <w:p w14:paraId="0037927D" w14:textId="7C391CE1"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LNA-RT-PCR could discriminate rtM204I mutant-type (17 patients, 4.2%) from rtM204 wild-type (386 patients, 95.8%) in 403 of 410 patients (98.3% sensitivity). Multivariate analysis showed that naturally occurring rtM204I variants were more frequently detected in patients with significant fibrosis </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odd-ratio</w:t>
      </w:r>
      <w:r w:rsidR="00FB0030">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OR</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3.397, </w:t>
      </w:r>
      <w:r w:rsidR="00FB0030">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 xml:space="preserve">confidence-interval </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CI</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1.119</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10.319,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 0.031</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Of 232 patients receiving NAs, multivariate analysis revealed that achievement of CVR was reversely associated with naturally occurring rtM204I variants prior to NAs treatment (OR 0.014, </w:t>
      </w:r>
      <w:r w:rsidR="00FB0030">
        <w:rPr>
          <w:rFonts w:ascii="Book Antiqua" w:hAnsi="Book Antiqua" w:cs="Arial"/>
          <w:color w:val="000000" w:themeColor="text1"/>
          <w:sz w:val="24"/>
          <w:szCs w:val="24"/>
        </w:rPr>
        <w:t>95%</w:t>
      </w:r>
      <w:r w:rsidRPr="00ED7BEC">
        <w:rPr>
          <w:rFonts w:ascii="Book Antiqua" w:hAnsi="Book Antiqua" w:cs="Arial"/>
          <w:color w:val="000000" w:themeColor="text1"/>
          <w:sz w:val="24"/>
          <w:szCs w:val="24"/>
        </w:rPr>
        <w:t>CI 0.002</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0.096,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 0.001). Almost patients receiving tenofovir achieved CVR at 12 mo of tenofovir, irrespective of pre-existence of naturally occurring rtM204I mutations (CVR rates: patients with rtM204I, 100%; patients without rtM204I, 96.6%), whereas, pre-existence of naturally-occurring rtM204I-mutations prior to NAs significantly affects CVR rates in patients receiving entecavir (at 12 mo: </w:t>
      </w:r>
      <w:r w:rsidR="00FB0030" w:rsidRPr="00ED7BEC">
        <w:rPr>
          <w:rFonts w:ascii="Book Antiqua" w:hAnsi="Book Antiqua" w:cs="Arial"/>
          <w:color w:val="000000" w:themeColor="text1"/>
          <w:sz w:val="24"/>
          <w:szCs w:val="24"/>
        </w:rPr>
        <w:t>P</w:t>
      </w:r>
      <w:r w:rsidRPr="00ED7BEC">
        <w:rPr>
          <w:rFonts w:ascii="Book Antiqua" w:hAnsi="Book Antiqua" w:cs="Arial"/>
          <w:color w:val="000000" w:themeColor="text1"/>
          <w:sz w:val="24"/>
          <w:szCs w:val="24"/>
        </w:rPr>
        <w:t>atients with rtM204I, 16.7%; patients without rtM204I, 95.6%</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 0.001).</w:t>
      </w:r>
    </w:p>
    <w:p w14:paraId="6EFB6C85" w14:textId="77777777" w:rsidR="0025461C" w:rsidRPr="00ED7BEC" w:rsidRDefault="0025461C" w:rsidP="00ED7BEC">
      <w:pPr>
        <w:wordWrap/>
        <w:adjustRightInd w:val="0"/>
        <w:snapToGrid w:val="0"/>
        <w:spacing w:after="0" w:line="360" w:lineRule="auto"/>
        <w:rPr>
          <w:rFonts w:ascii="Book Antiqua" w:hAnsi="Book Antiqua" w:cs="Segoe UI"/>
          <w:color w:val="000000" w:themeColor="text1"/>
          <w:sz w:val="24"/>
          <w:szCs w:val="24"/>
          <w:shd w:val="clear" w:color="auto" w:fill="FFFFFF"/>
        </w:rPr>
      </w:pPr>
    </w:p>
    <w:p w14:paraId="3E7F237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b/>
          <w:i/>
          <w:color w:val="000000" w:themeColor="text1"/>
          <w:sz w:val="24"/>
          <w:szCs w:val="24"/>
        </w:rPr>
        <w:t>Research conclusions</w:t>
      </w:r>
    </w:p>
    <w:p w14:paraId="2E80DC9C" w14:textId="77777777" w:rsidR="0025461C" w:rsidRPr="00ED7BEC" w:rsidRDefault="0025461C" w:rsidP="00ED7BEC">
      <w:pPr>
        <w:wordWrap/>
        <w:adjustRightInd w:val="0"/>
        <w:snapToGrid w:val="0"/>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newly developed LNA-RT-PCR method can detect pre-existing rtM204I variants with high sensitivity in NAs-naïve CHB patients. rtM204I mutations can occur spontaneously with a rate of approximately 4% in treatment-naïve patients infected with HBV genotype C2. The rtM204I variants more frequently pre-existed in patients with significant fibrosis, and the pre-existence of rtM204I variants was associated with incomplete responses to NAs. Tenofovir is a more suitable treatment than entecavir for CHB patients carrying the naturally occurring rtM204I mutations. </w:t>
      </w:r>
    </w:p>
    <w:p w14:paraId="209C059F"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p>
    <w:p w14:paraId="1C905A0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cs="Segoe UI"/>
          <w:b/>
          <w:i/>
          <w:color w:val="000000" w:themeColor="text1"/>
          <w:sz w:val="24"/>
          <w:szCs w:val="24"/>
          <w:shd w:val="clear" w:color="auto" w:fill="FFFFFF"/>
        </w:rPr>
        <w:t>Research perspectives</w:t>
      </w:r>
    </w:p>
    <w:bookmarkEnd w:id="30"/>
    <w:bookmarkEnd w:id="31"/>
    <w:p w14:paraId="68DAEAB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cs="Arial"/>
          <w:color w:val="000000" w:themeColor="text1"/>
          <w:sz w:val="24"/>
          <w:szCs w:val="24"/>
        </w:rPr>
        <w:t xml:space="preserve">The detection of pre-existing rtM204I variants with the newly developed LNA-RT-PCR method could play a relevant role in the clinical management of NA-naïve patients with CHB genotype C2 infection. Further prospective studies should be performed to verify our conclusions. </w:t>
      </w:r>
    </w:p>
    <w:p w14:paraId="12658E80" w14:textId="77777777" w:rsidR="005913DC" w:rsidRPr="006B4681" w:rsidRDefault="005913DC" w:rsidP="00ED7BEC">
      <w:pPr>
        <w:wordWrap/>
        <w:spacing w:after="0" w:line="360" w:lineRule="auto"/>
        <w:rPr>
          <w:rFonts w:ascii="Book Antiqua" w:hAnsi="Book Antiqua" w:cs="Arial"/>
          <w:color w:val="000000" w:themeColor="text1"/>
          <w:sz w:val="24"/>
          <w:szCs w:val="24"/>
        </w:rPr>
      </w:pPr>
    </w:p>
    <w:p w14:paraId="0F5D21A9" w14:textId="77777777" w:rsidR="000C605E" w:rsidRPr="00ED7BEC" w:rsidRDefault="000C605E"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lastRenderedPageBreak/>
        <w:br w:type="page"/>
      </w:r>
    </w:p>
    <w:p w14:paraId="02E1145C" w14:textId="77777777" w:rsidR="003D13D9" w:rsidRPr="00ED7BEC" w:rsidRDefault="003D13D9"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REFERENCES</w:t>
      </w:r>
    </w:p>
    <w:p w14:paraId="62EFBBB0"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 </w:t>
      </w:r>
      <w:r w:rsidRPr="00A40AE7">
        <w:rPr>
          <w:rFonts w:ascii="Book Antiqua" w:eastAsia="等线" w:hAnsi="Book Antiqua" w:cs="Times New Roman"/>
          <w:b/>
          <w:sz w:val="24"/>
          <w:szCs w:val="24"/>
          <w:lang w:eastAsia="zh-CN"/>
        </w:rPr>
        <w:t>Dienstag JL</w:t>
      </w:r>
      <w:r w:rsidRPr="00A40AE7">
        <w:rPr>
          <w:rFonts w:ascii="Book Antiqua" w:eastAsia="等线" w:hAnsi="Book Antiqua" w:cs="Times New Roman"/>
          <w:sz w:val="24"/>
          <w:szCs w:val="24"/>
          <w:lang w:eastAsia="zh-CN"/>
        </w:rPr>
        <w:t xml:space="preserve">. Hepatitis B virus infection. </w:t>
      </w:r>
      <w:r w:rsidRPr="00A40AE7">
        <w:rPr>
          <w:rFonts w:ascii="Book Antiqua" w:eastAsia="等线" w:hAnsi="Book Antiqua" w:cs="Times New Roman"/>
          <w:i/>
          <w:sz w:val="24"/>
          <w:szCs w:val="24"/>
          <w:lang w:eastAsia="zh-CN"/>
        </w:rPr>
        <w:t>N Engl J Med</w:t>
      </w:r>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359</w:t>
      </w:r>
      <w:r w:rsidRPr="00A40AE7">
        <w:rPr>
          <w:rFonts w:ascii="Book Antiqua" w:eastAsia="等线" w:hAnsi="Book Antiqua" w:cs="Times New Roman"/>
          <w:sz w:val="24"/>
          <w:szCs w:val="24"/>
          <w:lang w:eastAsia="zh-CN"/>
        </w:rPr>
        <w:t>: 1486-1500 [PMID: 18832247 DOI: 10.1056/NEJMra0801644]</w:t>
      </w:r>
    </w:p>
    <w:p w14:paraId="2200488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 </w:t>
      </w:r>
      <w:r w:rsidRPr="00A40AE7">
        <w:rPr>
          <w:rFonts w:ascii="Book Antiqua" w:eastAsia="等线" w:hAnsi="Book Antiqua" w:cs="Times New Roman"/>
          <w:b/>
          <w:sz w:val="24"/>
          <w:szCs w:val="24"/>
          <w:lang w:eastAsia="zh-CN"/>
        </w:rPr>
        <w:t>Wong GL</w:t>
      </w:r>
      <w:r w:rsidRPr="00A40AE7">
        <w:rPr>
          <w:rFonts w:ascii="Book Antiqua" w:eastAsia="等线" w:hAnsi="Book Antiqua" w:cs="Times New Roman"/>
          <w:sz w:val="24"/>
          <w:szCs w:val="24"/>
          <w:lang w:eastAsia="zh-CN"/>
        </w:rPr>
        <w:t xml:space="preserve">. Management of chronic hepatitis B patients in immunetolerant phase: What latest guidelines recommend. </w:t>
      </w:r>
      <w:r w:rsidRPr="00A40AE7">
        <w:rPr>
          <w:rFonts w:ascii="Book Antiqua" w:eastAsia="等线" w:hAnsi="Book Antiqua" w:cs="Times New Roman"/>
          <w:i/>
          <w:sz w:val="24"/>
          <w:szCs w:val="24"/>
          <w:lang w:eastAsia="zh-CN"/>
        </w:rPr>
        <w:t>Clin Mol Hepatol</w:t>
      </w:r>
      <w:r w:rsidRPr="00A40AE7">
        <w:rPr>
          <w:rFonts w:ascii="Book Antiqua" w:eastAsia="等线" w:hAnsi="Book Antiqua" w:cs="Times New Roman"/>
          <w:sz w:val="24"/>
          <w:szCs w:val="24"/>
          <w:lang w:eastAsia="zh-CN"/>
        </w:rPr>
        <w:t xml:space="preserve"> 2018; </w:t>
      </w:r>
      <w:r w:rsidRPr="00A40AE7">
        <w:rPr>
          <w:rFonts w:ascii="Book Antiqua" w:eastAsia="等线" w:hAnsi="Book Antiqua" w:cs="Times New Roman"/>
          <w:b/>
          <w:sz w:val="24"/>
          <w:szCs w:val="24"/>
          <w:lang w:eastAsia="zh-CN"/>
        </w:rPr>
        <w:t>24</w:t>
      </w:r>
      <w:r w:rsidRPr="00A40AE7">
        <w:rPr>
          <w:rFonts w:ascii="Book Antiqua" w:eastAsia="等线" w:hAnsi="Book Antiqua" w:cs="Times New Roman"/>
          <w:sz w:val="24"/>
          <w:szCs w:val="24"/>
          <w:lang w:eastAsia="zh-CN"/>
        </w:rPr>
        <w:t>: 108-113 [PMID: 29353469 DOI: 10.3350/cmh.2017.0068]</w:t>
      </w:r>
    </w:p>
    <w:p w14:paraId="7FEBF521" w14:textId="40B2F0E1"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3 </w:t>
      </w:r>
      <w:r w:rsidRPr="00A40AE7">
        <w:rPr>
          <w:rFonts w:ascii="Book Antiqua" w:eastAsia="等线" w:hAnsi="Book Antiqua" w:cs="Times New Roman"/>
          <w:b/>
          <w:sz w:val="24"/>
          <w:szCs w:val="24"/>
          <w:lang w:eastAsia="zh-CN"/>
        </w:rPr>
        <w:t>European Association for the Study of the Liver</w:t>
      </w:r>
      <w:r w:rsidRPr="005D09BD">
        <w:rPr>
          <w:rFonts w:ascii="Book Antiqua" w:eastAsia="等线" w:hAnsi="Book Antiqua" w:cs="Times New Roman"/>
          <w:bCs/>
          <w:sz w:val="24"/>
          <w:szCs w:val="24"/>
          <w:lang w:eastAsia="zh-CN"/>
        </w:rPr>
        <w:t>.</w:t>
      </w:r>
      <w:r w:rsidR="005D09BD" w:rsidRPr="005D09BD">
        <w:rPr>
          <w:rFonts w:ascii="Book Antiqua" w:eastAsia="等线" w:hAnsi="Book Antiqua" w:cs="Times New Roman"/>
          <w:bCs/>
          <w:sz w:val="24"/>
          <w:szCs w:val="24"/>
          <w:lang w:eastAsia="zh-CN"/>
        </w:rPr>
        <w:t xml:space="preserve"> </w:t>
      </w:r>
      <w:r w:rsidRPr="00A40AE7">
        <w:rPr>
          <w:rFonts w:ascii="Book Antiqua" w:eastAsia="等线" w:hAnsi="Book Antiqua" w:cs="Times New Roman"/>
          <w:sz w:val="24"/>
          <w:szCs w:val="24"/>
          <w:lang w:eastAsia="zh-CN"/>
        </w:rPr>
        <w:t xml:space="preserve">EASL 2017 Clinical Practice Guidelines on the management of hepatitis B virus infection. </w:t>
      </w:r>
      <w:r w:rsidRPr="00A40AE7">
        <w:rPr>
          <w:rFonts w:ascii="Book Antiqua" w:eastAsia="等线" w:hAnsi="Book Antiqua" w:cs="Times New Roman"/>
          <w:i/>
          <w:sz w:val="24"/>
          <w:szCs w:val="24"/>
          <w:lang w:eastAsia="zh-CN"/>
        </w:rPr>
        <w:t>J Hepatol</w:t>
      </w:r>
      <w:r w:rsidRPr="00A40AE7">
        <w:rPr>
          <w:rFonts w:ascii="Book Antiqua" w:eastAsia="等线" w:hAnsi="Book Antiqua" w:cs="Times New Roman"/>
          <w:sz w:val="24"/>
          <w:szCs w:val="24"/>
          <w:lang w:eastAsia="zh-CN"/>
        </w:rPr>
        <w:t xml:space="preserve"> 2017; </w:t>
      </w:r>
      <w:r w:rsidRPr="00A40AE7">
        <w:rPr>
          <w:rFonts w:ascii="Book Antiqua" w:eastAsia="等线" w:hAnsi="Book Antiqua" w:cs="Times New Roman"/>
          <w:b/>
          <w:sz w:val="24"/>
          <w:szCs w:val="24"/>
          <w:lang w:eastAsia="zh-CN"/>
        </w:rPr>
        <w:t>67</w:t>
      </w:r>
      <w:r w:rsidRPr="00A40AE7">
        <w:rPr>
          <w:rFonts w:ascii="Book Antiqua" w:eastAsia="等线" w:hAnsi="Book Antiqua" w:cs="Times New Roman"/>
          <w:sz w:val="24"/>
          <w:szCs w:val="24"/>
          <w:lang w:eastAsia="zh-CN"/>
        </w:rPr>
        <w:t>: 370-398 [PMID: 28427875 DOI: 10.1016/j.jhep.2017.03.021]</w:t>
      </w:r>
    </w:p>
    <w:p w14:paraId="1A27DDC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4 </w:t>
      </w:r>
      <w:r w:rsidRPr="00A40AE7">
        <w:rPr>
          <w:rFonts w:ascii="Book Antiqua" w:eastAsia="等线" w:hAnsi="Book Antiqua" w:cs="Times New Roman"/>
          <w:b/>
          <w:sz w:val="24"/>
          <w:szCs w:val="24"/>
          <w:lang w:eastAsia="zh-CN"/>
        </w:rPr>
        <w:t>Terrault NA</w:t>
      </w:r>
      <w:r w:rsidRPr="00A40AE7">
        <w:rPr>
          <w:rFonts w:ascii="Book Antiqua" w:eastAsia="等线" w:hAnsi="Book Antiqua" w:cs="Times New Roman"/>
          <w:sz w:val="24"/>
          <w:szCs w:val="24"/>
          <w:lang w:eastAsia="zh-CN"/>
        </w:rPr>
        <w:t xml:space="preserve">, Bzowej NH, Chang KM, Hwang JP, Jonas MM, Murad MH; American Association for the Study of Liver Diseases. AASLD guidelines for treatment of chronic hepatitis B. </w:t>
      </w:r>
      <w:r w:rsidRPr="00A40AE7">
        <w:rPr>
          <w:rFonts w:ascii="Book Antiqua" w:eastAsia="等线" w:hAnsi="Book Antiqua" w:cs="Times New Roman"/>
          <w:i/>
          <w:sz w:val="24"/>
          <w:szCs w:val="24"/>
          <w:lang w:eastAsia="zh-CN"/>
        </w:rPr>
        <w:t>Hepatology</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63</w:t>
      </w:r>
      <w:r w:rsidRPr="00A40AE7">
        <w:rPr>
          <w:rFonts w:ascii="Book Antiqua" w:eastAsia="等线" w:hAnsi="Book Antiqua" w:cs="Times New Roman"/>
          <w:sz w:val="24"/>
          <w:szCs w:val="24"/>
          <w:lang w:eastAsia="zh-CN"/>
        </w:rPr>
        <w:t>: 261-283 [PMID: 26566064 DOI: 10.1002/hep.28156]</w:t>
      </w:r>
    </w:p>
    <w:p w14:paraId="0673558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5 </w:t>
      </w:r>
      <w:r w:rsidRPr="00A40AE7">
        <w:rPr>
          <w:rFonts w:ascii="Book Antiqua" w:eastAsia="等线" w:hAnsi="Book Antiqua" w:cs="Times New Roman"/>
          <w:b/>
          <w:sz w:val="24"/>
          <w:szCs w:val="24"/>
          <w:lang w:eastAsia="zh-CN"/>
        </w:rPr>
        <w:t>Pawlotsky JM</w:t>
      </w:r>
      <w:r w:rsidRPr="00A40AE7">
        <w:rPr>
          <w:rFonts w:ascii="Book Antiqua" w:eastAsia="等线" w:hAnsi="Book Antiqua" w:cs="Times New Roman"/>
          <w:sz w:val="24"/>
          <w:szCs w:val="24"/>
          <w:lang w:eastAsia="zh-CN"/>
        </w:rPr>
        <w:t xml:space="preserve">, Dusheiko G, Hatzakis A, Lau D, Lau G, Liang TJ, Locarnini S, Martin P, Richman DD, Zoulim F. Virologic monitoring of hepatitis B virus therapy in clinical trials and practice: Recommendations for a standardized approach. </w:t>
      </w:r>
      <w:r w:rsidRPr="00A40AE7">
        <w:rPr>
          <w:rFonts w:ascii="Book Antiqua" w:eastAsia="等线" w:hAnsi="Book Antiqua" w:cs="Times New Roman"/>
          <w:i/>
          <w:sz w:val="24"/>
          <w:szCs w:val="24"/>
          <w:lang w:eastAsia="zh-CN"/>
        </w:rPr>
        <w:t>Gastroenterology</w:t>
      </w:r>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134</w:t>
      </w:r>
      <w:r w:rsidRPr="00A40AE7">
        <w:rPr>
          <w:rFonts w:ascii="Book Antiqua" w:eastAsia="等线" w:hAnsi="Book Antiqua" w:cs="Times New Roman"/>
          <w:sz w:val="24"/>
          <w:szCs w:val="24"/>
          <w:lang w:eastAsia="zh-CN"/>
        </w:rPr>
        <w:t>: 405-415 [PMID: 18242209 DOI: 10.1053/j.gastro.2007.11.036]</w:t>
      </w:r>
    </w:p>
    <w:p w14:paraId="11A53E7E"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6 </w:t>
      </w:r>
      <w:r w:rsidRPr="00A40AE7">
        <w:rPr>
          <w:rFonts w:ascii="Book Antiqua" w:eastAsia="等线" w:hAnsi="Book Antiqua" w:cs="Times New Roman"/>
          <w:b/>
          <w:sz w:val="24"/>
          <w:szCs w:val="24"/>
          <w:lang w:eastAsia="zh-CN"/>
        </w:rPr>
        <w:t>Bartholomeusz A</w:t>
      </w:r>
      <w:r w:rsidRPr="00A40AE7">
        <w:rPr>
          <w:rFonts w:ascii="Book Antiqua" w:eastAsia="等线" w:hAnsi="Book Antiqua" w:cs="Times New Roman"/>
          <w:sz w:val="24"/>
          <w:szCs w:val="24"/>
          <w:lang w:eastAsia="zh-CN"/>
        </w:rPr>
        <w:t xml:space="preserve">, Locarnini SA. Antiviral drug resistance: Clinical consequences and molecular aspects. </w:t>
      </w:r>
      <w:r w:rsidRPr="00A40AE7">
        <w:rPr>
          <w:rFonts w:ascii="Book Antiqua" w:eastAsia="等线" w:hAnsi="Book Antiqua" w:cs="Times New Roman"/>
          <w:i/>
          <w:sz w:val="24"/>
          <w:szCs w:val="24"/>
          <w:lang w:eastAsia="zh-CN"/>
        </w:rPr>
        <w:t>Semin Liver Dis</w:t>
      </w:r>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26</w:t>
      </w:r>
      <w:r w:rsidRPr="00A40AE7">
        <w:rPr>
          <w:rFonts w:ascii="Book Antiqua" w:eastAsia="等线" w:hAnsi="Book Antiqua" w:cs="Times New Roman"/>
          <w:sz w:val="24"/>
          <w:szCs w:val="24"/>
          <w:lang w:eastAsia="zh-CN"/>
        </w:rPr>
        <w:t>: 162-170 [PMID: 16673294 DOI: 10.1055/s-2006-939758]</w:t>
      </w:r>
    </w:p>
    <w:p w14:paraId="0B5B1376"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7 </w:t>
      </w:r>
      <w:r w:rsidRPr="00A40AE7">
        <w:rPr>
          <w:rFonts w:ascii="Book Antiqua" w:eastAsia="等线" w:hAnsi="Book Antiqua" w:cs="Times New Roman"/>
          <w:b/>
          <w:sz w:val="24"/>
          <w:szCs w:val="24"/>
          <w:lang w:eastAsia="zh-CN"/>
        </w:rPr>
        <w:t>Glebe D</w:t>
      </w:r>
      <w:r w:rsidRPr="00A40AE7">
        <w:rPr>
          <w:rFonts w:ascii="Book Antiqua" w:eastAsia="等线" w:hAnsi="Book Antiqua" w:cs="Times New Roman"/>
          <w:sz w:val="24"/>
          <w:szCs w:val="24"/>
          <w:lang w:eastAsia="zh-CN"/>
        </w:rPr>
        <w:t xml:space="preserve">, Bremer CM. The molecular virology of hepatitis B virus. </w:t>
      </w:r>
      <w:r w:rsidRPr="00A40AE7">
        <w:rPr>
          <w:rFonts w:ascii="Book Antiqua" w:eastAsia="等线" w:hAnsi="Book Antiqua" w:cs="Times New Roman"/>
          <w:i/>
          <w:sz w:val="24"/>
          <w:szCs w:val="24"/>
          <w:lang w:eastAsia="zh-CN"/>
        </w:rPr>
        <w:t>Semin Liver Dis</w:t>
      </w:r>
      <w:r w:rsidRPr="00A40AE7">
        <w:rPr>
          <w:rFonts w:ascii="Book Antiqua" w:eastAsia="等线" w:hAnsi="Book Antiqua" w:cs="Times New Roman"/>
          <w:sz w:val="24"/>
          <w:szCs w:val="24"/>
          <w:lang w:eastAsia="zh-CN"/>
        </w:rPr>
        <w:t xml:space="preserve"> 2013; </w:t>
      </w:r>
      <w:r w:rsidRPr="00A40AE7">
        <w:rPr>
          <w:rFonts w:ascii="Book Antiqua" w:eastAsia="等线" w:hAnsi="Book Antiqua" w:cs="Times New Roman"/>
          <w:b/>
          <w:sz w:val="24"/>
          <w:szCs w:val="24"/>
          <w:lang w:eastAsia="zh-CN"/>
        </w:rPr>
        <w:t>33</w:t>
      </w:r>
      <w:r w:rsidRPr="00A40AE7">
        <w:rPr>
          <w:rFonts w:ascii="Book Antiqua" w:eastAsia="等线" w:hAnsi="Book Antiqua" w:cs="Times New Roman"/>
          <w:sz w:val="24"/>
          <w:szCs w:val="24"/>
          <w:lang w:eastAsia="zh-CN"/>
        </w:rPr>
        <w:t>: 103-112 [PMID: 23749666 DOI: 10.1055/s-0033-1345717]</w:t>
      </w:r>
    </w:p>
    <w:p w14:paraId="4006455F"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8 </w:t>
      </w:r>
      <w:r w:rsidRPr="00A40AE7">
        <w:rPr>
          <w:rFonts w:ascii="Book Antiqua" w:eastAsia="等线" w:hAnsi="Book Antiqua" w:cs="Times New Roman"/>
          <w:b/>
          <w:sz w:val="24"/>
          <w:szCs w:val="24"/>
          <w:lang w:eastAsia="zh-CN"/>
        </w:rPr>
        <w:t>Locarnini S</w:t>
      </w:r>
      <w:r w:rsidRPr="00A40AE7">
        <w:rPr>
          <w:rFonts w:ascii="Book Antiqua" w:eastAsia="等线" w:hAnsi="Book Antiqua" w:cs="Times New Roman"/>
          <w:sz w:val="24"/>
          <w:szCs w:val="24"/>
          <w:lang w:eastAsia="zh-CN"/>
        </w:rPr>
        <w:t xml:space="preserve">, Zoulim F. Molecular genetics of HBV infection. </w:t>
      </w:r>
      <w:r w:rsidRPr="00A40AE7">
        <w:rPr>
          <w:rFonts w:ascii="Book Antiqua" w:eastAsia="等线" w:hAnsi="Book Antiqua" w:cs="Times New Roman"/>
          <w:i/>
          <w:sz w:val="24"/>
          <w:szCs w:val="24"/>
          <w:lang w:eastAsia="zh-CN"/>
        </w:rPr>
        <w:t>Antivir Ther</w:t>
      </w:r>
      <w:r w:rsidRPr="00A40AE7">
        <w:rPr>
          <w:rFonts w:ascii="Book Antiqua" w:eastAsia="等线" w:hAnsi="Book Antiqua" w:cs="Times New Roman"/>
          <w:sz w:val="24"/>
          <w:szCs w:val="24"/>
          <w:lang w:eastAsia="zh-CN"/>
        </w:rPr>
        <w:t xml:space="preserve"> 2010; </w:t>
      </w:r>
      <w:r w:rsidRPr="00A40AE7">
        <w:rPr>
          <w:rFonts w:ascii="Book Antiqua" w:eastAsia="等线" w:hAnsi="Book Antiqua" w:cs="Times New Roman"/>
          <w:b/>
          <w:sz w:val="24"/>
          <w:szCs w:val="24"/>
          <w:lang w:eastAsia="zh-CN"/>
        </w:rPr>
        <w:t>15 Suppl 3</w:t>
      </w:r>
      <w:r w:rsidRPr="00A40AE7">
        <w:rPr>
          <w:rFonts w:ascii="Book Antiqua" w:eastAsia="等线" w:hAnsi="Book Antiqua" w:cs="Times New Roman"/>
          <w:sz w:val="24"/>
          <w:szCs w:val="24"/>
          <w:lang w:eastAsia="zh-CN"/>
        </w:rPr>
        <w:t>: 3-14 [PMID: 21041899 DOI: 10.3851/IMP1619]</w:t>
      </w:r>
    </w:p>
    <w:p w14:paraId="4BA02D7F"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9 </w:t>
      </w:r>
      <w:r w:rsidRPr="00A40AE7">
        <w:rPr>
          <w:rFonts w:ascii="Book Antiqua" w:eastAsia="等线" w:hAnsi="Book Antiqua" w:cs="Times New Roman"/>
          <w:b/>
          <w:sz w:val="24"/>
          <w:szCs w:val="24"/>
          <w:lang w:eastAsia="zh-CN"/>
        </w:rPr>
        <w:t>Kim BJ</w:t>
      </w:r>
      <w:r w:rsidRPr="00A40AE7">
        <w:rPr>
          <w:rFonts w:ascii="Book Antiqua" w:eastAsia="等线" w:hAnsi="Book Antiqua" w:cs="Times New Roman"/>
          <w:sz w:val="24"/>
          <w:szCs w:val="24"/>
          <w:lang w:eastAsia="zh-CN"/>
        </w:rPr>
        <w:t xml:space="preserve">. Hepatitis B virus mutations related to liver disease progression of Korean patients. </w:t>
      </w:r>
      <w:r w:rsidRPr="00A40AE7">
        <w:rPr>
          <w:rFonts w:ascii="Book Antiqua" w:eastAsia="等线" w:hAnsi="Book Antiqua" w:cs="Times New Roman"/>
          <w:i/>
          <w:sz w:val="24"/>
          <w:szCs w:val="24"/>
          <w:lang w:eastAsia="zh-CN"/>
        </w:rPr>
        <w:t>World J Gastroenterol</w:t>
      </w:r>
      <w:r w:rsidRPr="00A40AE7">
        <w:rPr>
          <w:rFonts w:ascii="Book Antiqua" w:eastAsia="等线" w:hAnsi="Book Antiqua" w:cs="Times New Roman"/>
          <w:sz w:val="24"/>
          <w:szCs w:val="24"/>
          <w:lang w:eastAsia="zh-CN"/>
        </w:rPr>
        <w:t xml:space="preserve"> 2014; </w:t>
      </w:r>
      <w:r w:rsidRPr="00A40AE7">
        <w:rPr>
          <w:rFonts w:ascii="Book Antiqua" w:eastAsia="等线" w:hAnsi="Book Antiqua" w:cs="Times New Roman"/>
          <w:b/>
          <w:sz w:val="24"/>
          <w:szCs w:val="24"/>
          <w:lang w:eastAsia="zh-CN"/>
        </w:rPr>
        <w:t>20</w:t>
      </w:r>
      <w:r w:rsidRPr="00A40AE7">
        <w:rPr>
          <w:rFonts w:ascii="Book Antiqua" w:eastAsia="等线" w:hAnsi="Book Antiqua" w:cs="Times New Roman"/>
          <w:sz w:val="24"/>
          <w:szCs w:val="24"/>
          <w:lang w:eastAsia="zh-CN"/>
        </w:rPr>
        <w:t>: 460-467 [PMID: 24574714 DOI: 10.3748/wjg.v20.i2.460]</w:t>
      </w:r>
    </w:p>
    <w:p w14:paraId="5AFE2EC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10 </w:t>
      </w:r>
      <w:r w:rsidRPr="00A40AE7">
        <w:rPr>
          <w:rFonts w:ascii="Book Antiqua" w:eastAsia="等线" w:hAnsi="Book Antiqua" w:cs="Times New Roman"/>
          <w:b/>
          <w:sz w:val="24"/>
          <w:szCs w:val="24"/>
          <w:lang w:eastAsia="zh-CN"/>
        </w:rPr>
        <w:t>Tan Y</w:t>
      </w:r>
      <w:r w:rsidRPr="00A40AE7">
        <w:rPr>
          <w:rFonts w:ascii="Book Antiqua" w:eastAsia="等线" w:hAnsi="Book Antiqua" w:cs="Times New Roman"/>
          <w:sz w:val="24"/>
          <w:szCs w:val="24"/>
          <w:lang w:eastAsia="zh-CN"/>
        </w:rPr>
        <w:t xml:space="preserve">, Ding K, Su J, Trinh X, Peng Z, Gong Y, Chen L, Cui Q, Lei N, Chen X, Yu R. The naturally occurring YMDD mutation among patients chronically infected HBV and untreated with lamivudine: A systematic review and meta-analysis. </w:t>
      </w:r>
      <w:r w:rsidRPr="00A40AE7">
        <w:rPr>
          <w:rFonts w:ascii="Book Antiqua" w:eastAsia="等线" w:hAnsi="Book Antiqua" w:cs="Times New Roman"/>
          <w:i/>
          <w:sz w:val="24"/>
          <w:szCs w:val="24"/>
          <w:lang w:eastAsia="zh-CN"/>
        </w:rPr>
        <w:t>PLoS One</w:t>
      </w:r>
      <w:r w:rsidRPr="00A40AE7">
        <w:rPr>
          <w:rFonts w:ascii="Book Antiqua" w:eastAsia="等线" w:hAnsi="Book Antiqua" w:cs="Times New Roman"/>
          <w:sz w:val="24"/>
          <w:szCs w:val="24"/>
          <w:lang w:eastAsia="zh-CN"/>
        </w:rPr>
        <w:t xml:space="preserve"> </w:t>
      </w:r>
      <w:r w:rsidRPr="00A40AE7">
        <w:rPr>
          <w:rFonts w:ascii="Book Antiqua" w:eastAsia="等线" w:hAnsi="Book Antiqua" w:cs="Times New Roman"/>
          <w:sz w:val="24"/>
          <w:szCs w:val="24"/>
          <w:lang w:eastAsia="zh-CN"/>
        </w:rPr>
        <w:lastRenderedPageBreak/>
        <w:t xml:space="preserve">2012; </w:t>
      </w:r>
      <w:r w:rsidRPr="00A40AE7">
        <w:rPr>
          <w:rFonts w:ascii="Book Antiqua" w:eastAsia="等线" w:hAnsi="Book Antiqua" w:cs="Times New Roman"/>
          <w:b/>
          <w:sz w:val="24"/>
          <w:szCs w:val="24"/>
          <w:lang w:eastAsia="zh-CN"/>
        </w:rPr>
        <w:t>7</w:t>
      </w:r>
      <w:r w:rsidRPr="00A40AE7">
        <w:rPr>
          <w:rFonts w:ascii="Book Antiqua" w:eastAsia="等线" w:hAnsi="Book Antiqua" w:cs="Times New Roman"/>
          <w:sz w:val="24"/>
          <w:szCs w:val="24"/>
          <w:lang w:eastAsia="zh-CN"/>
        </w:rPr>
        <w:t>: e32789 [PMID: 22479339 DOI: 10.1371/journal.pone.0032789]</w:t>
      </w:r>
    </w:p>
    <w:p w14:paraId="6454CF9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11 </w:t>
      </w:r>
      <w:r w:rsidRPr="00A40AE7">
        <w:rPr>
          <w:rFonts w:ascii="Book Antiqua" w:eastAsia="等线" w:hAnsi="Book Antiqua" w:cs="Times New Roman"/>
          <w:b/>
          <w:sz w:val="24"/>
          <w:szCs w:val="24"/>
          <w:lang w:eastAsia="zh-CN"/>
        </w:rPr>
        <w:t>Heo J</w:t>
      </w:r>
      <w:r w:rsidRPr="00A40AE7">
        <w:rPr>
          <w:rFonts w:ascii="Book Antiqua" w:eastAsia="等线" w:hAnsi="Book Antiqua" w:cs="Times New Roman"/>
          <w:sz w:val="24"/>
          <w:szCs w:val="24"/>
          <w:lang w:eastAsia="zh-CN"/>
        </w:rPr>
        <w:t xml:space="preserve">, Cho M, Kim HH, Shin YM, Jang HJ, Park HK, Kim CM, Kim GH, Kang DH, Song GA, Yang US. Detection of YMDD motif mutants by oligonucleotide chips in lamivudine-untreated patients with chronic hepatitis B virus infection. </w:t>
      </w:r>
      <w:r w:rsidRPr="00A40AE7">
        <w:rPr>
          <w:rFonts w:ascii="Book Antiqua" w:eastAsia="等线" w:hAnsi="Book Antiqua" w:cs="Times New Roman"/>
          <w:i/>
          <w:sz w:val="24"/>
          <w:szCs w:val="24"/>
          <w:lang w:eastAsia="zh-CN"/>
        </w:rPr>
        <w:t>J Korean Med Sci</w:t>
      </w:r>
      <w:r w:rsidRPr="00A40AE7">
        <w:rPr>
          <w:rFonts w:ascii="Book Antiqua" w:eastAsia="等线" w:hAnsi="Book Antiqua" w:cs="Times New Roman"/>
          <w:sz w:val="24"/>
          <w:szCs w:val="24"/>
          <w:lang w:eastAsia="zh-CN"/>
        </w:rPr>
        <w:t xml:space="preserve"> 2004; </w:t>
      </w:r>
      <w:r w:rsidRPr="00A40AE7">
        <w:rPr>
          <w:rFonts w:ascii="Book Antiqua" w:eastAsia="等线" w:hAnsi="Book Antiqua" w:cs="Times New Roman"/>
          <w:b/>
          <w:sz w:val="24"/>
          <w:szCs w:val="24"/>
          <w:lang w:eastAsia="zh-CN"/>
        </w:rPr>
        <w:t>19</w:t>
      </w:r>
      <w:r w:rsidRPr="00A40AE7">
        <w:rPr>
          <w:rFonts w:ascii="Book Antiqua" w:eastAsia="等线" w:hAnsi="Book Antiqua" w:cs="Times New Roman"/>
          <w:sz w:val="24"/>
          <w:szCs w:val="24"/>
          <w:lang w:eastAsia="zh-CN"/>
        </w:rPr>
        <w:t>: 541-546 [PMID: 15308845 DOI: 10.3346/jkms.2004.19.4.541]</w:t>
      </w:r>
    </w:p>
    <w:p w14:paraId="24AC00F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12 </w:t>
      </w:r>
      <w:r w:rsidRPr="00A40AE7">
        <w:rPr>
          <w:rFonts w:ascii="Book Antiqua" w:eastAsia="等线" w:hAnsi="Book Antiqua" w:cs="Times New Roman"/>
          <w:b/>
          <w:sz w:val="24"/>
          <w:szCs w:val="24"/>
          <w:lang w:eastAsia="zh-CN"/>
        </w:rPr>
        <w:t>Horgan M</w:t>
      </w:r>
      <w:r w:rsidRPr="00A40AE7">
        <w:rPr>
          <w:rFonts w:ascii="Book Antiqua" w:eastAsia="等线" w:hAnsi="Book Antiqua" w:cs="Times New Roman"/>
          <w:sz w:val="24"/>
          <w:szCs w:val="24"/>
          <w:lang w:eastAsia="zh-CN"/>
        </w:rPr>
        <w:t xml:space="preserve">, Brannigan E, Crowley B, Levis J, Fanning LJ. Hepatitis B genotype and YMDD profiles in an untreated Irish population. </w:t>
      </w:r>
      <w:r w:rsidRPr="00A40AE7">
        <w:rPr>
          <w:rFonts w:ascii="Book Antiqua" w:eastAsia="等线" w:hAnsi="Book Antiqua" w:cs="Times New Roman"/>
          <w:i/>
          <w:sz w:val="24"/>
          <w:szCs w:val="24"/>
          <w:lang w:eastAsia="zh-CN"/>
        </w:rPr>
        <w:t>J Clin Virol</w:t>
      </w:r>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35</w:t>
      </w:r>
      <w:r w:rsidRPr="00A40AE7">
        <w:rPr>
          <w:rFonts w:ascii="Book Antiqua" w:eastAsia="等线" w:hAnsi="Book Antiqua" w:cs="Times New Roman"/>
          <w:sz w:val="24"/>
          <w:szCs w:val="24"/>
          <w:lang w:eastAsia="zh-CN"/>
        </w:rPr>
        <w:t>: 203-204 [PMID: 16213785 DOI: 10.1016/j.jcv.2005.08.004]</w:t>
      </w:r>
    </w:p>
    <w:p w14:paraId="75AEA16E"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13 </w:t>
      </w:r>
      <w:r w:rsidRPr="00A40AE7">
        <w:rPr>
          <w:rFonts w:ascii="Book Antiqua" w:eastAsia="等线" w:hAnsi="Book Antiqua" w:cs="Times New Roman"/>
          <w:b/>
          <w:sz w:val="24"/>
          <w:szCs w:val="24"/>
          <w:lang w:eastAsia="zh-CN"/>
        </w:rPr>
        <w:t>Kirishima T</w:t>
      </w:r>
      <w:r w:rsidRPr="00A40AE7">
        <w:rPr>
          <w:rFonts w:ascii="Book Antiqua" w:eastAsia="等线" w:hAnsi="Book Antiqua" w:cs="Times New Roman"/>
          <w:sz w:val="24"/>
          <w:szCs w:val="24"/>
          <w:lang w:eastAsia="zh-CN"/>
        </w:rPr>
        <w:t xml:space="preserve">, Okanoue T, Daimon Y, Itoh Y, Nakamura H, Morita A, Toyama T, Minami M. Detection of YMDD mutant using a novel sensitive method in chronic liver disease type B patients before and during lamivudine treatment. </w:t>
      </w:r>
      <w:r w:rsidRPr="00A40AE7">
        <w:rPr>
          <w:rFonts w:ascii="Book Antiqua" w:eastAsia="等线" w:hAnsi="Book Antiqua" w:cs="Times New Roman"/>
          <w:i/>
          <w:sz w:val="24"/>
          <w:szCs w:val="24"/>
          <w:lang w:eastAsia="zh-CN"/>
        </w:rPr>
        <w:t>J Hepatol</w:t>
      </w:r>
      <w:r w:rsidRPr="00A40AE7">
        <w:rPr>
          <w:rFonts w:ascii="Book Antiqua" w:eastAsia="等线" w:hAnsi="Book Antiqua" w:cs="Times New Roman"/>
          <w:sz w:val="24"/>
          <w:szCs w:val="24"/>
          <w:lang w:eastAsia="zh-CN"/>
        </w:rPr>
        <w:t xml:space="preserve"> 2002; </w:t>
      </w:r>
      <w:r w:rsidRPr="00A40AE7">
        <w:rPr>
          <w:rFonts w:ascii="Book Antiqua" w:eastAsia="等线" w:hAnsi="Book Antiqua" w:cs="Times New Roman"/>
          <w:b/>
          <w:sz w:val="24"/>
          <w:szCs w:val="24"/>
          <w:lang w:eastAsia="zh-CN"/>
        </w:rPr>
        <w:t>37</w:t>
      </w:r>
      <w:r w:rsidRPr="00A40AE7">
        <w:rPr>
          <w:rFonts w:ascii="Book Antiqua" w:eastAsia="等线" w:hAnsi="Book Antiqua" w:cs="Times New Roman"/>
          <w:sz w:val="24"/>
          <w:szCs w:val="24"/>
          <w:lang w:eastAsia="zh-CN"/>
        </w:rPr>
        <w:t>: 259-265 [PMID: 12127432 DOI: 10.1016/S0168-8278(02)00145-9]</w:t>
      </w:r>
    </w:p>
    <w:p w14:paraId="4773E9A7"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14 </w:t>
      </w:r>
      <w:r w:rsidRPr="00A40AE7">
        <w:rPr>
          <w:rFonts w:ascii="Book Antiqua" w:eastAsia="等线" w:hAnsi="Book Antiqua" w:cs="Times New Roman"/>
          <w:b/>
          <w:sz w:val="24"/>
          <w:szCs w:val="24"/>
          <w:lang w:eastAsia="zh-CN"/>
        </w:rPr>
        <w:t>Choi YM</w:t>
      </w:r>
      <w:r w:rsidRPr="00A40AE7">
        <w:rPr>
          <w:rFonts w:ascii="Book Antiqua" w:eastAsia="等线" w:hAnsi="Book Antiqua" w:cs="Times New Roman"/>
          <w:sz w:val="24"/>
          <w:szCs w:val="24"/>
          <w:lang w:eastAsia="zh-CN"/>
        </w:rPr>
        <w:t xml:space="preserve">, Lee SY, Kim BJ. Naturally occurring hepatitis B virus reverse transcriptase mutations related to potential antiviral drug resistance and liver disease progression. </w:t>
      </w:r>
      <w:r w:rsidRPr="00A40AE7">
        <w:rPr>
          <w:rFonts w:ascii="Book Antiqua" w:eastAsia="等线" w:hAnsi="Book Antiqua" w:cs="Times New Roman"/>
          <w:i/>
          <w:sz w:val="24"/>
          <w:szCs w:val="24"/>
          <w:lang w:eastAsia="zh-CN"/>
        </w:rPr>
        <w:t>World J Gastroenterol</w:t>
      </w:r>
      <w:r w:rsidRPr="00A40AE7">
        <w:rPr>
          <w:rFonts w:ascii="Book Antiqua" w:eastAsia="等线" w:hAnsi="Book Antiqua" w:cs="Times New Roman"/>
          <w:sz w:val="24"/>
          <w:szCs w:val="24"/>
          <w:lang w:eastAsia="zh-CN"/>
        </w:rPr>
        <w:t xml:space="preserve"> 2018; </w:t>
      </w:r>
      <w:r w:rsidRPr="00A40AE7">
        <w:rPr>
          <w:rFonts w:ascii="Book Antiqua" w:eastAsia="等线" w:hAnsi="Book Antiqua" w:cs="Times New Roman"/>
          <w:b/>
          <w:sz w:val="24"/>
          <w:szCs w:val="24"/>
          <w:lang w:eastAsia="zh-CN"/>
        </w:rPr>
        <w:t>24</w:t>
      </w:r>
      <w:r w:rsidRPr="00A40AE7">
        <w:rPr>
          <w:rFonts w:ascii="Book Antiqua" w:eastAsia="等线" w:hAnsi="Book Antiqua" w:cs="Times New Roman"/>
          <w:sz w:val="24"/>
          <w:szCs w:val="24"/>
          <w:lang w:eastAsia="zh-CN"/>
        </w:rPr>
        <w:t>: 1708-1724 [PMID: 29713126 DOI: 10.3748/wjg.v24.i16.1708]</w:t>
      </w:r>
    </w:p>
    <w:p w14:paraId="44D78CB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15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xml:space="preserve">, Jee YM, Song BC, Hyun JW, Mun HS, Kim HJ, Oh EJ, Yoon JH, Kim YJ, Lee HS, Hwang ES, Cha CY, Kook YH, Kim BJ. Analysis of hepatitis B virus quasispecies distribution in a Korean chronic patient based on the full genome sequences. </w:t>
      </w:r>
      <w:r w:rsidRPr="00A40AE7">
        <w:rPr>
          <w:rFonts w:ascii="Book Antiqua" w:eastAsia="等线" w:hAnsi="Book Antiqua" w:cs="Times New Roman"/>
          <w:i/>
          <w:sz w:val="24"/>
          <w:szCs w:val="24"/>
          <w:lang w:eastAsia="zh-CN"/>
        </w:rPr>
        <w:t>J Med Virol</w:t>
      </w:r>
      <w:r w:rsidRPr="00A40AE7">
        <w:rPr>
          <w:rFonts w:ascii="Book Antiqua" w:eastAsia="等线" w:hAnsi="Book Antiqua" w:cs="Times New Roman"/>
          <w:sz w:val="24"/>
          <w:szCs w:val="24"/>
          <w:lang w:eastAsia="zh-CN"/>
        </w:rPr>
        <w:t xml:space="preserve"> 2007; </w:t>
      </w:r>
      <w:r w:rsidRPr="00A40AE7">
        <w:rPr>
          <w:rFonts w:ascii="Book Antiqua" w:eastAsia="等线" w:hAnsi="Book Antiqua" w:cs="Times New Roman"/>
          <w:b/>
          <w:sz w:val="24"/>
          <w:szCs w:val="24"/>
          <w:lang w:eastAsia="zh-CN"/>
        </w:rPr>
        <w:t>79</w:t>
      </w:r>
      <w:r w:rsidRPr="00A40AE7">
        <w:rPr>
          <w:rFonts w:ascii="Book Antiqua" w:eastAsia="等线" w:hAnsi="Book Antiqua" w:cs="Times New Roman"/>
          <w:sz w:val="24"/>
          <w:szCs w:val="24"/>
          <w:lang w:eastAsia="zh-CN"/>
        </w:rPr>
        <w:t>: 212-219 [PMID: 17245716 DOI: 10.1002/jmv.20789]</w:t>
      </w:r>
    </w:p>
    <w:p w14:paraId="1C3D917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16 </w:t>
      </w:r>
      <w:r w:rsidRPr="00A40AE7">
        <w:rPr>
          <w:rFonts w:ascii="Book Antiqua" w:eastAsia="等线" w:hAnsi="Book Antiqua" w:cs="Times New Roman"/>
          <w:b/>
          <w:sz w:val="24"/>
          <w:szCs w:val="24"/>
          <w:lang w:eastAsia="zh-CN"/>
        </w:rPr>
        <w:t>Xiao G</w:t>
      </w:r>
      <w:r w:rsidRPr="00A40AE7">
        <w:rPr>
          <w:rFonts w:ascii="Book Antiqua" w:eastAsia="等线" w:hAnsi="Book Antiqua" w:cs="Times New Roman"/>
          <w:sz w:val="24"/>
          <w:szCs w:val="24"/>
          <w:lang w:eastAsia="zh-CN"/>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A40AE7">
        <w:rPr>
          <w:rFonts w:ascii="Book Antiqua" w:eastAsia="等线" w:hAnsi="Book Antiqua" w:cs="Times New Roman"/>
          <w:i/>
          <w:sz w:val="24"/>
          <w:szCs w:val="24"/>
          <w:lang w:eastAsia="zh-CN"/>
        </w:rPr>
        <w:t>Hepatology</w:t>
      </w:r>
      <w:r w:rsidRPr="00A40AE7">
        <w:rPr>
          <w:rFonts w:ascii="Book Antiqua" w:eastAsia="等线" w:hAnsi="Book Antiqua" w:cs="Times New Roman"/>
          <w:sz w:val="24"/>
          <w:szCs w:val="24"/>
          <w:lang w:eastAsia="zh-CN"/>
        </w:rPr>
        <w:t xml:space="preserve"> 2015; </w:t>
      </w:r>
      <w:r w:rsidRPr="00A40AE7">
        <w:rPr>
          <w:rFonts w:ascii="Book Antiqua" w:eastAsia="等线" w:hAnsi="Book Antiqua" w:cs="Times New Roman"/>
          <w:b/>
          <w:sz w:val="24"/>
          <w:szCs w:val="24"/>
          <w:lang w:eastAsia="zh-CN"/>
        </w:rPr>
        <w:t>61</w:t>
      </w:r>
      <w:r w:rsidRPr="00A40AE7">
        <w:rPr>
          <w:rFonts w:ascii="Book Antiqua" w:eastAsia="等线" w:hAnsi="Book Antiqua" w:cs="Times New Roman"/>
          <w:sz w:val="24"/>
          <w:szCs w:val="24"/>
          <w:lang w:eastAsia="zh-CN"/>
        </w:rPr>
        <w:t>: 292-302 [PMID: 25132233 DOI: 10.1002/hep.27382]</w:t>
      </w:r>
    </w:p>
    <w:p w14:paraId="01030F7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17 </w:t>
      </w:r>
      <w:r w:rsidRPr="00A40AE7">
        <w:rPr>
          <w:rFonts w:ascii="Book Antiqua" w:eastAsia="等线" w:hAnsi="Book Antiqua" w:cs="Times New Roman"/>
          <w:b/>
          <w:sz w:val="24"/>
          <w:szCs w:val="24"/>
          <w:lang w:eastAsia="zh-CN"/>
        </w:rPr>
        <w:t>Yu SJ</w:t>
      </w:r>
      <w:r w:rsidRPr="00A40AE7">
        <w:rPr>
          <w:rFonts w:ascii="Book Antiqua" w:eastAsia="等线" w:hAnsi="Book Antiqua" w:cs="Times New Roman"/>
          <w:sz w:val="24"/>
          <w:szCs w:val="24"/>
          <w:lang w:eastAsia="zh-CN"/>
        </w:rPr>
        <w:t xml:space="preserve">. A concise review of updated guidelines regarding the management of hepatocellular carcinoma around the world: 2010-2016. </w:t>
      </w:r>
      <w:r w:rsidRPr="00A40AE7">
        <w:rPr>
          <w:rFonts w:ascii="Book Antiqua" w:eastAsia="等线" w:hAnsi="Book Antiqua" w:cs="Times New Roman"/>
          <w:i/>
          <w:sz w:val="24"/>
          <w:szCs w:val="24"/>
          <w:lang w:eastAsia="zh-CN"/>
        </w:rPr>
        <w:t>Clin Mol Hepatol</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22</w:t>
      </w:r>
      <w:r w:rsidRPr="00A40AE7">
        <w:rPr>
          <w:rFonts w:ascii="Book Antiqua" w:eastAsia="等线" w:hAnsi="Book Antiqua" w:cs="Times New Roman"/>
          <w:sz w:val="24"/>
          <w:szCs w:val="24"/>
          <w:lang w:eastAsia="zh-CN"/>
        </w:rPr>
        <w:t>: 7-17 [PMID: 27044761 DOI: 10.3350/cmh.2016.22.1.7]</w:t>
      </w:r>
    </w:p>
    <w:p w14:paraId="6D747A9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18 </w:t>
      </w:r>
      <w:r w:rsidRPr="00A40AE7">
        <w:rPr>
          <w:rFonts w:ascii="Book Antiqua" w:eastAsia="等线" w:hAnsi="Book Antiqua" w:cs="Times New Roman"/>
          <w:b/>
          <w:sz w:val="24"/>
          <w:szCs w:val="24"/>
          <w:lang w:eastAsia="zh-CN"/>
        </w:rPr>
        <w:t>Sarin SK</w:t>
      </w:r>
      <w:r w:rsidRPr="00A40AE7">
        <w:rPr>
          <w:rFonts w:ascii="Book Antiqua" w:eastAsia="等线" w:hAnsi="Book Antiqua" w:cs="Times New Roman"/>
          <w:sz w:val="24"/>
          <w:szCs w:val="24"/>
          <w:lang w:eastAsia="zh-CN"/>
        </w:rPr>
        <w:t xml:space="preserve">, Kumar M, Lau GK, Abbas Z, Chan HL, Chen CJ, Chen DS, Chen HL, Chen PJ, Chien RN, Dokmeci AK, Gane E, Hou JL, Jafri W, Jia J, Kim JH, Lai CL, Lee HC, Lim SG, Liu CJ, Locarnini S, Al Mahtab M, Mohamed R, Omata M, Park J, </w:t>
      </w:r>
      <w:r w:rsidRPr="00A40AE7">
        <w:rPr>
          <w:rFonts w:ascii="Book Antiqua" w:eastAsia="等线" w:hAnsi="Book Antiqua" w:cs="Times New Roman"/>
          <w:sz w:val="24"/>
          <w:szCs w:val="24"/>
          <w:lang w:eastAsia="zh-CN"/>
        </w:rPr>
        <w:lastRenderedPageBreak/>
        <w:t xml:space="preserve">Piratvisuth T, Sharma BC, Sollano J, Wang FS, Wei L, Yuen MF, Zheng SS, Kao JH. Asian-Pacific clinical practice guidelines on the management of hepatitis B: A 2015 update. </w:t>
      </w:r>
      <w:r w:rsidRPr="00A40AE7">
        <w:rPr>
          <w:rFonts w:ascii="Book Antiqua" w:eastAsia="等线" w:hAnsi="Book Antiqua" w:cs="Times New Roman"/>
          <w:i/>
          <w:sz w:val="24"/>
          <w:szCs w:val="24"/>
          <w:lang w:eastAsia="zh-CN"/>
        </w:rPr>
        <w:t>Hepatol Int</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10</w:t>
      </w:r>
      <w:r w:rsidRPr="00A40AE7">
        <w:rPr>
          <w:rFonts w:ascii="Book Antiqua" w:eastAsia="等线" w:hAnsi="Book Antiqua" w:cs="Times New Roman"/>
          <w:sz w:val="24"/>
          <w:szCs w:val="24"/>
          <w:lang w:eastAsia="zh-CN"/>
        </w:rPr>
        <w:t>: 1-98 [PMID: 26563120 DOI: 10.1007/s12072-015-9675-4]</w:t>
      </w:r>
    </w:p>
    <w:p w14:paraId="28905F4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19 </w:t>
      </w:r>
      <w:r w:rsidRPr="00A40AE7">
        <w:rPr>
          <w:rFonts w:ascii="Book Antiqua" w:eastAsia="等线" w:hAnsi="Book Antiqua" w:cs="Times New Roman"/>
          <w:b/>
          <w:sz w:val="24"/>
          <w:szCs w:val="24"/>
          <w:lang w:eastAsia="zh-CN"/>
        </w:rPr>
        <w:t>Tsubota A</w:t>
      </w:r>
      <w:r w:rsidRPr="00A40AE7">
        <w:rPr>
          <w:rFonts w:ascii="Book Antiqua" w:eastAsia="等线" w:hAnsi="Book Antiqua" w:cs="Times New Roman"/>
          <w:sz w:val="24"/>
          <w:szCs w:val="24"/>
          <w:lang w:eastAsia="zh-CN"/>
        </w:rPr>
        <w:t xml:space="preserve">. How do naturally occurring YMDD-motif mutants influence the clinical course of lamivudine-naïve patients with chronic hepatitis B virus infection? </w:t>
      </w:r>
      <w:r w:rsidRPr="00A40AE7">
        <w:rPr>
          <w:rFonts w:ascii="Book Antiqua" w:eastAsia="等线" w:hAnsi="Book Antiqua" w:cs="Times New Roman"/>
          <w:i/>
          <w:sz w:val="24"/>
          <w:szCs w:val="24"/>
          <w:lang w:eastAsia="zh-CN"/>
        </w:rPr>
        <w:t>J Gastroenterol Hepatol</w:t>
      </w:r>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21</w:t>
      </w:r>
      <w:r w:rsidRPr="00A40AE7">
        <w:rPr>
          <w:rFonts w:ascii="Book Antiqua" w:eastAsia="等线" w:hAnsi="Book Antiqua" w:cs="Times New Roman"/>
          <w:sz w:val="24"/>
          <w:szCs w:val="24"/>
          <w:lang w:eastAsia="zh-CN"/>
        </w:rPr>
        <w:t>: 1769-1771 [PMID: 17074012 DOI: 10.1111/j.1440-1746.2006.04768.x]</w:t>
      </w:r>
    </w:p>
    <w:p w14:paraId="45A328F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20 </w:t>
      </w:r>
      <w:r w:rsidRPr="00A40AE7">
        <w:rPr>
          <w:rFonts w:ascii="Book Antiqua" w:eastAsia="等线" w:hAnsi="Book Antiqua" w:cs="Times New Roman"/>
          <w:b/>
          <w:sz w:val="24"/>
          <w:szCs w:val="24"/>
          <w:lang w:eastAsia="zh-CN"/>
        </w:rPr>
        <w:t>Keeffe EB</w:t>
      </w:r>
      <w:r w:rsidRPr="00A40AE7">
        <w:rPr>
          <w:rFonts w:ascii="Book Antiqua" w:eastAsia="等线" w:hAnsi="Book Antiqua" w:cs="Times New Roman"/>
          <w:sz w:val="24"/>
          <w:szCs w:val="24"/>
          <w:lang w:eastAsia="zh-CN"/>
        </w:rPr>
        <w:t xml:space="preserve">, Dieterich DT, Pawlotsky JM, Benhamou Y. Chronic hepatitis B: Preventing, detecting, and managing viral resistance. </w:t>
      </w:r>
      <w:r w:rsidRPr="00A40AE7">
        <w:rPr>
          <w:rFonts w:ascii="Book Antiqua" w:eastAsia="等线" w:hAnsi="Book Antiqua" w:cs="Times New Roman"/>
          <w:i/>
          <w:sz w:val="24"/>
          <w:szCs w:val="24"/>
          <w:lang w:eastAsia="zh-CN"/>
        </w:rPr>
        <w:t>Clin Gastroenterol Hepatol</w:t>
      </w:r>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6</w:t>
      </w:r>
      <w:r w:rsidRPr="00A40AE7">
        <w:rPr>
          <w:rFonts w:ascii="Book Antiqua" w:eastAsia="等线" w:hAnsi="Book Antiqua" w:cs="Times New Roman"/>
          <w:sz w:val="24"/>
          <w:szCs w:val="24"/>
          <w:lang w:eastAsia="zh-CN"/>
        </w:rPr>
        <w:t>: 268-274 [PMID: 18328434 DOI: 10.1016/j.cgh.2007.12.043]</w:t>
      </w:r>
    </w:p>
    <w:p w14:paraId="1F684CB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21 </w:t>
      </w:r>
      <w:r w:rsidRPr="00A40AE7">
        <w:rPr>
          <w:rFonts w:ascii="Book Antiqua" w:eastAsia="等线" w:hAnsi="Book Antiqua" w:cs="Times New Roman"/>
          <w:b/>
          <w:sz w:val="24"/>
          <w:szCs w:val="24"/>
          <w:lang w:eastAsia="zh-CN"/>
        </w:rPr>
        <w:t>Houot M</w:t>
      </w:r>
      <w:r w:rsidRPr="00A40AE7">
        <w:rPr>
          <w:rFonts w:ascii="Book Antiqua" w:eastAsia="等线" w:hAnsi="Book Antiqua" w:cs="Times New Roman"/>
          <w:sz w:val="24"/>
          <w:szCs w:val="24"/>
          <w:lang w:eastAsia="zh-CN"/>
        </w:rPr>
        <w:t xml:space="preserve">, Ngo Y, Munteanu M, Marque S, Poynard T. Systematic review with meta-analysis: Direct comparisons of biomarkers for the diagnosis of fibrosis in chronic hepatitis C and B. </w:t>
      </w:r>
      <w:r w:rsidRPr="00A40AE7">
        <w:rPr>
          <w:rFonts w:ascii="Book Antiqua" w:eastAsia="等线" w:hAnsi="Book Antiqua" w:cs="Times New Roman"/>
          <w:i/>
          <w:sz w:val="24"/>
          <w:szCs w:val="24"/>
          <w:lang w:eastAsia="zh-CN"/>
        </w:rPr>
        <w:t>Aliment Pharmacol Ther</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43</w:t>
      </w:r>
      <w:r w:rsidRPr="00A40AE7">
        <w:rPr>
          <w:rFonts w:ascii="Book Antiqua" w:eastAsia="等线" w:hAnsi="Book Antiqua" w:cs="Times New Roman"/>
          <w:sz w:val="24"/>
          <w:szCs w:val="24"/>
          <w:lang w:eastAsia="zh-CN"/>
        </w:rPr>
        <w:t>: 16-29 [PMID: 26516104 DOI: 10.1111/apt.13446]</w:t>
      </w:r>
    </w:p>
    <w:p w14:paraId="7F5434B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22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xml:space="preserve">, Kim BJ. Association of preS/S Mutations with Occult Hepatitis B Virus (HBV) Infection in South Korea: Transmission Potential of Distinct Occult HBV Variants. </w:t>
      </w:r>
      <w:r w:rsidRPr="00A40AE7">
        <w:rPr>
          <w:rFonts w:ascii="Book Antiqua" w:eastAsia="等线" w:hAnsi="Book Antiqua" w:cs="Times New Roman"/>
          <w:i/>
          <w:sz w:val="24"/>
          <w:szCs w:val="24"/>
          <w:lang w:eastAsia="zh-CN"/>
        </w:rPr>
        <w:t>Int J Mol Sci</w:t>
      </w:r>
      <w:r w:rsidRPr="00A40AE7">
        <w:rPr>
          <w:rFonts w:ascii="Book Antiqua" w:eastAsia="等线" w:hAnsi="Book Antiqua" w:cs="Times New Roman"/>
          <w:sz w:val="24"/>
          <w:szCs w:val="24"/>
          <w:lang w:eastAsia="zh-CN"/>
        </w:rPr>
        <w:t xml:space="preserve"> 2015; </w:t>
      </w:r>
      <w:r w:rsidRPr="00A40AE7">
        <w:rPr>
          <w:rFonts w:ascii="Book Antiqua" w:eastAsia="等线" w:hAnsi="Book Antiqua" w:cs="Times New Roman"/>
          <w:b/>
          <w:sz w:val="24"/>
          <w:szCs w:val="24"/>
          <w:lang w:eastAsia="zh-CN"/>
        </w:rPr>
        <w:t>16</w:t>
      </w:r>
      <w:r w:rsidRPr="00A40AE7">
        <w:rPr>
          <w:rFonts w:ascii="Book Antiqua" w:eastAsia="等线" w:hAnsi="Book Antiqua" w:cs="Times New Roman"/>
          <w:sz w:val="24"/>
          <w:szCs w:val="24"/>
          <w:lang w:eastAsia="zh-CN"/>
        </w:rPr>
        <w:t>: 13595-13609 [PMID: 26084041 DOI: 10.3390/ijms160613595]</w:t>
      </w:r>
    </w:p>
    <w:p w14:paraId="5C78273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23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xml:space="preserve">, Lee SA, Do SY, Kim BJ. Precore/core region mutations of hepatitis B virus related to clinical severity. </w:t>
      </w:r>
      <w:r w:rsidRPr="00A40AE7">
        <w:rPr>
          <w:rFonts w:ascii="Book Antiqua" w:eastAsia="等线" w:hAnsi="Book Antiqua" w:cs="Times New Roman"/>
          <w:i/>
          <w:sz w:val="24"/>
          <w:szCs w:val="24"/>
          <w:lang w:eastAsia="zh-CN"/>
        </w:rPr>
        <w:t>World J Gastroenterol</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22</w:t>
      </w:r>
      <w:r w:rsidRPr="00A40AE7">
        <w:rPr>
          <w:rFonts w:ascii="Book Antiqua" w:eastAsia="等线" w:hAnsi="Book Antiqua" w:cs="Times New Roman"/>
          <w:sz w:val="24"/>
          <w:szCs w:val="24"/>
          <w:lang w:eastAsia="zh-CN"/>
        </w:rPr>
        <w:t>: 4287-4296 [PMID: 27158197 DOI: 10.3748/wjg.v22.i17.4287]</w:t>
      </w:r>
    </w:p>
    <w:p w14:paraId="0884C92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24 </w:t>
      </w:r>
      <w:r w:rsidRPr="00A40AE7">
        <w:rPr>
          <w:rFonts w:ascii="Book Antiqua" w:eastAsia="等线" w:hAnsi="Book Antiqua" w:cs="Times New Roman"/>
          <w:b/>
          <w:sz w:val="24"/>
          <w:szCs w:val="24"/>
          <w:lang w:eastAsia="zh-CN"/>
        </w:rPr>
        <w:t>Zeng Y</w:t>
      </w:r>
      <w:r w:rsidRPr="00A40AE7">
        <w:rPr>
          <w:rFonts w:ascii="Book Antiqua" w:eastAsia="等线" w:hAnsi="Book Antiqua" w:cs="Times New Roman"/>
          <w:sz w:val="24"/>
          <w:szCs w:val="24"/>
          <w:lang w:eastAsia="zh-CN"/>
        </w:rPr>
        <w:t xml:space="preserve">, Li D, Wang W, Su M, Lin J, Chen H, Jiang L, Chen J, Yang B, Ou Q. Establishment of real time allele specific locked nucleic acid quantitative PCR for detection of HBV YIDD (ATT) mutation and evaluation of its application. </w:t>
      </w:r>
      <w:r w:rsidRPr="00A40AE7">
        <w:rPr>
          <w:rFonts w:ascii="Book Antiqua" w:eastAsia="等线" w:hAnsi="Book Antiqua" w:cs="Times New Roman"/>
          <w:i/>
          <w:sz w:val="24"/>
          <w:szCs w:val="24"/>
          <w:lang w:eastAsia="zh-CN"/>
        </w:rPr>
        <w:t>PLoS One</w:t>
      </w:r>
      <w:r w:rsidRPr="00A40AE7">
        <w:rPr>
          <w:rFonts w:ascii="Book Antiqua" w:eastAsia="等线" w:hAnsi="Book Antiqua" w:cs="Times New Roman"/>
          <w:sz w:val="24"/>
          <w:szCs w:val="24"/>
          <w:lang w:eastAsia="zh-CN"/>
        </w:rPr>
        <w:t xml:space="preserve"> 2014; </w:t>
      </w:r>
      <w:r w:rsidRPr="00A40AE7">
        <w:rPr>
          <w:rFonts w:ascii="Book Antiqua" w:eastAsia="等线" w:hAnsi="Book Antiqua" w:cs="Times New Roman"/>
          <w:b/>
          <w:sz w:val="24"/>
          <w:szCs w:val="24"/>
          <w:lang w:eastAsia="zh-CN"/>
        </w:rPr>
        <w:t>9</w:t>
      </w:r>
      <w:r w:rsidRPr="00A40AE7">
        <w:rPr>
          <w:rFonts w:ascii="Book Antiqua" w:eastAsia="等线" w:hAnsi="Book Antiqua" w:cs="Times New Roman"/>
          <w:sz w:val="24"/>
          <w:szCs w:val="24"/>
          <w:lang w:eastAsia="zh-CN"/>
        </w:rPr>
        <w:t>: e90029 [PMID: 24587198 DOI: 10.1371/journal.pone.0090029]</w:t>
      </w:r>
    </w:p>
    <w:p w14:paraId="692515F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25 </w:t>
      </w:r>
      <w:r w:rsidRPr="00A40AE7">
        <w:rPr>
          <w:rFonts w:ascii="Book Antiqua" w:eastAsia="等线" w:hAnsi="Book Antiqua" w:cs="Times New Roman"/>
          <w:b/>
          <w:sz w:val="24"/>
          <w:szCs w:val="24"/>
          <w:lang w:eastAsia="zh-CN"/>
        </w:rPr>
        <w:t>Gish R</w:t>
      </w:r>
      <w:r w:rsidRPr="00A40AE7">
        <w:rPr>
          <w:rFonts w:ascii="Book Antiqua" w:eastAsia="等线" w:hAnsi="Book Antiqua" w:cs="Times New Roman"/>
          <w:sz w:val="24"/>
          <w:szCs w:val="24"/>
          <w:lang w:eastAsia="zh-CN"/>
        </w:rPr>
        <w:t xml:space="preserve">, Jia JD, Locarnini S, Zoulim F. Selection of chronic hepatitis B therapy with high barrier to resistance. </w:t>
      </w:r>
      <w:r w:rsidRPr="00A40AE7">
        <w:rPr>
          <w:rFonts w:ascii="Book Antiqua" w:eastAsia="等线" w:hAnsi="Book Antiqua" w:cs="Times New Roman"/>
          <w:i/>
          <w:sz w:val="24"/>
          <w:szCs w:val="24"/>
          <w:lang w:eastAsia="zh-CN"/>
        </w:rPr>
        <w:t>Lancet Infect Dis</w:t>
      </w:r>
      <w:r w:rsidRPr="00A40AE7">
        <w:rPr>
          <w:rFonts w:ascii="Book Antiqua" w:eastAsia="等线" w:hAnsi="Book Antiqua" w:cs="Times New Roman"/>
          <w:sz w:val="24"/>
          <w:szCs w:val="24"/>
          <w:lang w:eastAsia="zh-CN"/>
        </w:rPr>
        <w:t xml:space="preserve"> 2012; </w:t>
      </w:r>
      <w:r w:rsidRPr="00A40AE7">
        <w:rPr>
          <w:rFonts w:ascii="Book Antiqua" w:eastAsia="等线" w:hAnsi="Book Antiqua" w:cs="Times New Roman"/>
          <w:b/>
          <w:sz w:val="24"/>
          <w:szCs w:val="24"/>
          <w:lang w:eastAsia="zh-CN"/>
        </w:rPr>
        <w:t>12</w:t>
      </w:r>
      <w:r w:rsidRPr="00A40AE7">
        <w:rPr>
          <w:rFonts w:ascii="Book Antiqua" w:eastAsia="等线" w:hAnsi="Book Antiqua" w:cs="Times New Roman"/>
          <w:sz w:val="24"/>
          <w:szCs w:val="24"/>
          <w:lang w:eastAsia="zh-CN"/>
        </w:rPr>
        <w:t>: 341-353 [PMID: 22326017 DOI: 10.1016/S1473-3099(11)70314-0]</w:t>
      </w:r>
    </w:p>
    <w:p w14:paraId="4EC94F5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26 </w:t>
      </w:r>
      <w:r w:rsidRPr="00A40AE7">
        <w:rPr>
          <w:rFonts w:ascii="Book Antiqua" w:eastAsia="等线" w:hAnsi="Book Antiqua" w:cs="Times New Roman"/>
          <w:b/>
          <w:sz w:val="24"/>
          <w:szCs w:val="24"/>
          <w:lang w:eastAsia="zh-CN"/>
        </w:rPr>
        <w:t>Choi J</w:t>
      </w:r>
      <w:r w:rsidRPr="00A40AE7">
        <w:rPr>
          <w:rFonts w:ascii="Book Antiqua" w:eastAsia="等线" w:hAnsi="Book Antiqua" w:cs="Times New Roman"/>
          <w:sz w:val="24"/>
          <w:szCs w:val="24"/>
          <w:lang w:eastAsia="zh-CN"/>
        </w:rPr>
        <w:t xml:space="preserve">, Kim HJ, Lee J, Cho S, Ko MJ, Lim YS. Risk of Hepatocellular Carcinoma in Patients Treated With Entecavir vs Tenofovir for Chronic Hepatitis B: A Korean </w:t>
      </w:r>
      <w:r w:rsidRPr="00A40AE7">
        <w:rPr>
          <w:rFonts w:ascii="Book Antiqua" w:eastAsia="等线" w:hAnsi="Book Antiqua" w:cs="Times New Roman"/>
          <w:sz w:val="24"/>
          <w:szCs w:val="24"/>
          <w:lang w:eastAsia="zh-CN"/>
        </w:rPr>
        <w:lastRenderedPageBreak/>
        <w:t xml:space="preserve">Nationwide Cohort Study. </w:t>
      </w:r>
      <w:r w:rsidRPr="00A40AE7">
        <w:rPr>
          <w:rFonts w:ascii="Book Antiqua" w:eastAsia="等线" w:hAnsi="Book Antiqua" w:cs="Times New Roman"/>
          <w:i/>
          <w:sz w:val="24"/>
          <w:szCs w:val="24"/>
          <w:lang w:eastAsia="zh-CN"/>
        </w:rPr>
        <w:t>JAMA Oncol</w:t>
      </w:r>
      <w:r w:rsidRPr="00A40AE7">
        <w:rPr>
          <w:rFonts w:ascii="Book Antiqua" w:eastAsia="等线" w:hAnsi="Book Antiqua" w:cs="Times New Roman"/>
          <w:sz w:val="24"/>
          <w:szCs w:val="24"/>
          <w:lang w:eastAsia="zh-CN"/>
        </w:rPr>
        <w:t xml:space="preserve"> 2019; </w:t>
      </w:r>
      <w:r w:rsidRPr="00A40AE7">
        <w:rPr>
          <w:rFonts w:ascii="Book Antiqua" w:eastAsia="等线" w:hAnsi="Book Antiqua" w:cs="Times New Roman"/>
          <w:b/>
          <w:sz w:val="24"/>
          <w:szCs w:val="24"/>
          <w:lang w:eastAsia="zh-CN"/>
        </w:rPr>
        <w:t>5</w:t>
      </w:r>
      <w:r w:rsidRPr="00A40AE7">
        <w:rPr>
          <w:rFonts w:ascii="Book Antiqua" w:eastAsia="等线" w:hAnsi="Book Antiqua" w:cs="Times New Roman"/>
          <w:sz w:val="24"/>
          <w:szCs w:val="24"/>
          <w:lang w:eastAsia="zh-CN"/>
        </w:rPr>
        <w:t>: 30-36 [PMID: 30267080 DOI: 10.1001/jamaoncol.2018.4070]</w:t>
      </w:r>
    </w:p>
    <w:p w14:paraId="4EF81675" w14:textId="271756A6" w:rsidR="00A40AE7" w:rsidRPr="00A40AE7" w:rsidRDefault="00A40AE7" w:rsidP="00A40AE7">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32" w:name="OLE_LINK139"/>
      <w:bookmarkStart w:id="33" w:name="OLE_LINK140"/>
      <w:bookmarkStart w:id="34" w:name="OLE_LINK287"/>
      <w:bookmarkStart w:id="35" w:name="OLE_LINK288"/>
      <w:bookmarkStart w:id="36" w:name="OLE_LINK70"/>
      <w:bookmarkStart w:id="37" w:name="OLE_LINK110"/>
      <w:bookmarkStart w:id="38" w:name="OLE_LINK109"/>
      <w:bookmarkStart w:id="39" w:name="OLE_LINK138"/>
      <w:bookmarkStart w:id="40" w:name="OLE_LINK72"/>
      <w:bookmarkStart w:id="41" w:name="OLE_LINK116"/>
      <w:bookmarkStart w:id="42" w:name="OLE_LINK95"/>
      <w:bookmarkStart w:id="43" w:name="OLE_LINK118"/>
      <w:bookmarkStart w:id="44" w:name="OLE_LINK198"/>
      <w:bookmarkStart w:id="45" w:name="OLE_LINK154"/>
      <w:bookmarkStart w:id="46" w:name="OLE_LINK251"/>
      <w:bookmarkStart w:id="47" w:name="OLE_LINK167"/>
      <w:bookmarkStart w:id="48" w:name="OLE_LINK126"/>
      <w:bookmarkStart w:id="49" w:name="OLE_LINK234"/>
      <w:bookmarkStart w:id="50" w:name="OLE_LINK157"/>
      <w:bookmarkStart w:id="51" w:name="OLE_LINK187"/>
      <w:bookmarkStart w:id="52" w:name="OLE_LINK204"/>
      <w:bookmarkStart w:id="53" w:name="OLE_LINK255"/>
      <w:bookmarkStart w:id="54" w:name="OLE_LINK229"/>
      <w:bookmarkStart w:id="55" w:name="OLE_LINK268"/>
      <w:bookmarkStart w:id="56" w:name="OLE_LINK310"/>
      <w:bookmarkStart w:id="57" w:name="OLE_LINK338"/>
      <w:bookmarkStart w:id="58" w:name="OLE_LINK340"/>
      <w:bookmarkStart w:id="59" w:name="OLE_LINK264"/>
      <w:bookmarkStart w:id="60" w:name="OLE_LINK345"/>
      <w:bookmarkStart w:id="61" w:name="OLE_LINK256"/>
      <w:bookmarkStart w:id="62" w:name="OLE_LINK299"/>
      <w:bookmarkStart w:id="63" w:name="OLE_LINK265"/>
      <w:bookmarkStart w:id="64" w:name="OLE_LINK254"/>
      <w:bookmarkStart w:id="65" w:name="OLE_LINK357"/>
      <w:bookmarkStart w:id="66" w:name="OLE_LINK382"/>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bookmarkStart w:id="80" w:name="OLE_LINK436"/>
      <w:bookmarkStart w:id="81" w:name="OLE_LINK421"/>
      <w:bookmarkStart w:id="82" w:name="OLE_LINK426"/>
      <w:bookmarkStart w:id="83" w:name="OLE_LINK456"/>
      <w:bookmarkStart w:id="84" w:name="OLE_LINK505"/>
      <w:bookmarkStart w:id="85" w:name="OLE_LINK490"/>
      <w:bookmarkStart w:id="86" w:name="OLE_LINK531"/>
      <w:bookmarkStart w:id="87" w:name="OLE_LINK460"/>
      <w:bookmarkStart w:id="88" w:name="OLE_LINK463"/>
      <w:bookmarkStart w:id="89" w:name="OLE_LINK487"/>
      <w:bookmarkStart w:id="90" w:name="OLE_LINK515"/>
      <w:bookmarkStart w:id="91" w:name="OLE_LINK509"/>
      <w:bookmarkStart w:id="92" w:name="OLE_LINK538"/>
      <w:bookmarkStart w:id="93" w:name="OLE_LINK606"/>
      <w:bookmarkStart w:id="94" w:name="OLE_LINK662"/>
      <w:bookmarkStart w:id="95" w:name="OLE_LINK663"/>
      <w:bookmarkStart w:id="96" w:name="OLE_LINK738"/>
      <w:bookmarkStart w:id="97" w:name="OLE_LINK666"/>
      <w:bookmarkStart w:id="98" w:name="OLE_LINK667"/>
      <w:bookmarkStart w:id="99" w:name="OLE_LINK672"/>
      <w:bookmarkStart w:id="100" w:name="OLE_LINK727"/>
      <w:bookmarkStart w:id="101" w:name="OLE_LINK703"/>
      <w:bookmarkStart w:id="102" w:name="OLE_LINK765"/>
      <w:bookmarkStart w:id="103" w:name="OLE_LINK724"/>
      <w:bookmarkStart w:id="104" w:name="OLE_LINK771"/>
      <w:bookmarkStart w:id="105" w:name="OLE_LINK879"/>
      <w:bookmarkStart w:id="106" w:name="OLE_LINK903"/>
      <w:bookmarkStart w:id="107" w:name="OLE_LINK880"/>
      <w:bookmarkStart w:id="108" w:name="OLE_LINK944"/>
      <w:bookmarkStart w:id="109" w:name="OLE_LINK881"/>
      <w:bookmarkStart w:id="110" w:name="OLE_LINK882"/>
      <w:bookmarkStart w:id="111" w:name="OLE_LINK883"/>
      <w:bookmarkStart w:id="112" w:name="OLE_LINK884"/>
      <w:bookmarkStart w:id="113" w:name="OLE_LINK907"/>
      <w:bookmarkStart w:id="114" w:name="OLE_LINK941"/>
      <w:bookmarkStart w:id="115" w:name="OLE_LINK886"/>
      <w:bookmarkStart w:id="116" w:name="OLE_LINK887"/>
      <w:bookmarkStart w:id="117" w:name="OLE_LINK918"/>
      <w:bookmarkStart w:id="118" w:name="OLE_LINK894"/>
      <w:bookmarkStart w:id="119" w:name="OLE_LINK899"/>
      <w:bookmarkStart w:id="120" w:name="OLE_LINK953"/>
      <w:bookmarkStart w:id="121" w:name="OLE_LINK954"/>
      <w:bookmarkStart w:id="122" w:name="OLE_LINK977"/>
      <w:bookmarkStart w:id="123" w:name="OLE_LINK978"/>
      <w:bookmarkStart w:id="124" w:name="OLE_LINK1034"/>
      <w:bookmarkStart w:id="125" w:name="OLE_LINK991"/>
      <w:bookmarkStart w:id="126" w:name="OLE_LINK1013"/>
      <w:bookmarkStart w:id="127" w:name="OLE_LINK1022"/>
      <w:bookmarkStart w:id="128" w:name="OLE_LINK1030"/>
      <w:bookmarkStart w:id="129" w:name="OLE_LINK1063"/>
      <w:bookmarkStart w:id="130" w:name="OLE_LINK1009"/>
      <w:bookmarkStart w:id="131" w:name="OLE_LINK1064"/>
      <w:bookmarkStart w:id="132" w:name="OLE_LINK1035"/>
      <w:bookmarkStart w:id="133" w:name="OLE_LINK1012"/>
      <w:r w:rsidRPr="00A40AE7">
        <w:rPr>
          <w:rFonts w:ascii="Book Antiqua" w:eastAsia="宋体" w:hAnsi="Book Antiqua" w:cs="Times New Roman"/>
          <w:b/>
          <w:bCs/>
          <w:color w:val="000000"/>
          <w:sz w:val="24"/>
          <w:szCs w:val="24"/>
          <w:lang w:eastAsia="zh-CN"/>
        </w:rPr>
        <w:t>P-Reviewer:</w:t>
      </w:r>
      <w:r w:rsidRPr="00A40AE7">
        <w:rPr>
          <w:rFonts w:ascii="Book Antiqua" w:eastAsia="宋体" w:hAnsi="Book Antiqua" w:cs="Times New Roman"/>
          <w:bCs/>
          <w:color w:val="000000"/>
          <w:sz w:val="24"/>
          <w:szCs w:val="24"/>
          <w:lang w:eastAsia="zh-CN"/>
        </w:rPr>
        <w:t xml:space="preserve"> Jain</w:t>
      </w:r>
      <w:r>
        <w:rPr>
          <w:rFonts w:ascii="Book Antiqua" w:eastAsia="宋体" w:hAnsi="Book Antiqua" w:cs="Times New Roman"/>
          <w:bCs/>
          <w:color w:val="000000"/>
          <w:sz w:val="24"/>
          <w:szCs w:val="24"/>
          <w:lang w:eastAsia="zh-CN"/>
        </w:rPr>
        <w:t xml:space="preserve"> M, </w:t>
      </w:r>
      <w:r w:rsidRPr="00A40AE7">
        <w:rPr>
          <w:rFonts w:ascii="Book Antiqua" w:eastAsia="宋体" w:hAnsi="Book Antiqua" w:cs="Times New Roman"/>
          <w:bCs/>
          <w:color w:val="000000"/>
          <w:sz w:val="24"/>
          <w:szCs w:val="24"/>
          <w:lang w:eastAsia="zh-CN"/>
        </w:rPr>
        <w:t>Komatsu</w:t>
      </w:r>
      <w:r>
        <w:rPr>
          <w:rFonts w:ascii="Book Antiqua" w:eastAsia="宋体" w:hAnsi="Book Antiqua" w:cs="Times New Roman"/>
          <w:bCs/>
          <w:color w:val="000000"/>
          <w:sz w:val="24"/>
          <w:szCs w:val="24"/>
          <w:lang w:eastAsia="zh-CN"/>
        </w:rPr>
        <w:t xml:space="preserve"> H, </w:t>
      </w:r>
      <w:r w:rsidRPr="00A40AE7">
        <w:rPr>
          <w:rFonts w:ascii="Book Antiqua" w:eastAsia="宋体" w:hAnsi="Book Antiqua" w:cs="Times New Roman"/>
          <w:bCs/>
          <w:color w:val="000000"/>
          <w:sz w:val="24"/>
          <w:szCs w:val="24"/>
          <w:lang w:eastAsia="zh-CN"/>
        </w:rPr>
        <w:t>Xu</w:t>
      </w:r>
      <w:r>
        <w:rPr>
          <w:rFonts w:ascii="Book Antiqua" w:eastAsia="宋体" w:hAnsi="Book Antiqua" w:cs="Times New Roman"/>
          <w:bCs/>
          <w:color w:val="000000"/>
          <w:sz w:val="24"/>
          <w:szCs w:val="24"/>
          <w:lang w:eastAsia="zh-CN"/>
        </w:rPr>
        <w:t xml:space="preserve"> XY, </w:t>
      </w:r>
      <w:r w:rsidRPr="00A40AE7">
        <w:rPr>
          <w:rFonts w:ascii="Book Antiqua" w:eastAsia="宋体" w:hAnsi="Book Antiqua" w:cs="Times New Roman"/>
          <w:bCs/>
          <w:color w:val="000000"/>
          <w:sz w:val="24"/>
          <w:szCs w:val="24"/>
          <w:lang w:eastAsia="zh-CN"/>
        </w:rPr>
        <w:t>Zheng</w:t>
      </w:r>
      <w:r>
        <w:rPr>
          <w:rFonts w:ascii="Book Antiqua" w:eastAsia="宋体" w:hAnsi="Book Antiqua" w:cs="Times New Roman"/>
          <w:bCs/>
          <w:color w:val="000000"/>
          <w:sz w:val="24"/>
          <w:szCs w:val="24"/>
          <w:lang w:eastAsia="zh-CN"/>
        </w:rPr>
        <w:t xml:space="preserve"> SJ </w:t>
      </w:r>
      <w:r w:rsidRPr="00A40AE7">
        <w:rPr>
          <w:rFonts w:ascii="Book Antiqua" w:eastAsia="宋体" w:hAnsi="Book Antiqua" w:cs="Times New Roman"/>
          <w:b/>
          <w:bCs/>
          <w:color w:val="000000"/>
          <w:sz w:val="24"/>
          <w:szCs w:val="24"/>
          <w:lang w:eastAsia="zh-CN"/>
        </w:rPr>
        <w:t>S-Editor:</w:t>
      </w:r>
      <w:r w:rsidRPr="00A40AE7">
        <w:rPr>
          <w:rFonts w:ascii="Book Antiqua" w:eastAsia="宋体" w:hAnsi="Book Antiqua" w:cs="Times New Roman"/>
          <w:color w:val="000000"/>
          <w:sz w:val="24"/>
          <w:szCs w:val="24"/>
          <w:lang w:eastAsia="zh-CN"/>
        </w:rPr>
        <w:t xml:space="preserve"> Yan JP</w:t>
      </w:r>
    </w:p>
    <w:p w14:paraId="1E826DD5" w14:textId="77777777" w:rsidR="00A40AE7" w:rsidRPr="00A40AE7" w:rsidRDefault="00A40AE7" w:rsidP="00A40AE7">
      <w:pPr>
        <w:wordWrap/>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A40AE7">
        <w:rPr>
          <w:rFonts w:ascii="Book Antiqua" w:eastAsia="宋体" w:hAnsi="Book Antiqua" w:cs="Times New Roman"/>
          <w:b/>
          <w:bCs/>
          <w:color w:val="000000"/>
          <w:sz w:val="24"/>
          <w:szCs w:val="24"/>
          <w:lang w:eastAsia="zh-CN"/>
        </w:rPr>
        <w:t>L-Editor:</w:t>
      </w:r>
      <w:r w:rsidRPr="00A40AE7">
        <w:rPr>
          <w:rFonts w:ascii="Book Antiqua" w:eastAsia="宋体" w:hAnsi="Book Antiqua" w:cs="Times New Roman"/>
          <w:color w:val="000000"/>
          <w:sz w:val="24"/>
          <w:szCs w:val="24"/>
          <w:lang w:eastAsia="zh-CN"/>
        </w:rPr>
        <w:t xml:space="preserve"> </w:t>
      </w:r>
      <w:r w:rsidRPr="00A40AE7">
        <w:rPr>
          <w:rFonts w:ascii="Book Antiqua" w:eastAsia="宋体" w:hAnsi="Book Antiqua" w:cs="Times New Roman"/>
          <w:b/>
          <w:bCs/>
          <w:color w:val="000000"/>
          <w:sz w:val="24"/>
          <w:szCs w:val="24"/>
          <w:lang w:eastAsia="zh-CN"/>
        </w:rPr>
        <w:t>E-Editor:</w:t>
      </w:r>
    </w:p>
    <w:bookmarkEnd w:id="32"/>
    <w:bookmarkEnd w:id="33"/>
    <w:p w14:paraId="2E7D9E4A" w14:textId="5BEC5EEE" w:rsidR="00A40AE7" w:rsidRPr="00A40AE7" w:rsidRDefault="00A40AE7" w:rsidP="00A40AE7">
      <w:pPr>
        <w:widowControl/>
        <w:wordWrap/>
        <w:autoSpaceDE/>
        <w:autoSpaceDN/>
        <w:spacing w:after="0" w:line="360" w:lineRule="auto"/>
        <w:rPr>
          <w:rFonts w:ascii="Book Antiqua" w:eastAsia="宋体" w:hAnsi="Book Antiqua" w:cs="宋体"/>
          <w:kern w:val="0"/>
          <w:sz w:val="24"/>
          <w:szCs w:val="24"/>
          <w:lang w:eastAsia="zh-CN"/>
        </w:rPr>
      </w:pPr>
      <w:r w:rsidRPr="00A40AE7">
        <w:rPr>
          <w:rFonts w:ascii="Book Antiqua" w:eastAsia="宋体" w:hAnsi="Book Antiqua" w:cs="宋体"/>
          <w:b/>
          <w:kern w:val="0"/>
          <w:sz w:val="24"/>
          <w:szCs w:val="24"/>
          <w:lang w:eastAsia="zh-CN"/>
        </w:rPr>
        <w:t xml:space="preserve">Specialty type: </w:t>
      </w:r>
      <w:r w:rsidRPr="00A40AE7">
        <w:rPr>
          <w:rFonts w:ascii="Book Antiqua" w:eastAsia="微软雅黑" w:hAnsi="Book Antiqua" w:cs="宋体"/>
          <w:kern w:val="0"/>
          <w:sz w:val="24"/>
          <w:szCs w:val="24"/>
          <w:lang w:eastAsia="zh-CN"/>
        </w:rPr>
        <w:t>Gastroenterology and hepatology</w:t>
      </w:r>
      <w:r w:rsidRPr="00A40AE7">
        <w:rPr>
          <w:rFonts w:ascii="Book Antiqua" w:eastAsia="宋体" w:hAnsi="Book Antiqua" w:cs="宋体"/>
          <w:kern w:val="0"/>
          <w:sz w:val="24"/>
          <w:szCs w:val="24"/>
          <w:lang w:eastAsia="zh-CN"/>
        </w:rPr>
        <w:t xml:space="preserve"> </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Country of origin: </w:t>
      </w:r>
      <w:r w:rsidRPr="00A40AE7">
        <w:rPr>
          <w:rFonts w:ascii="Book Antiqua" w:eastAsia="宋体" w:hAnsi="Book Antiqua" w:cs="宋体"/>
          <w:kern w:val="0"/>
          <w:sz w:val="24"/>
          <w:szCs w:val="24"/>
          <w:lang w:eastAsia="zh-CN"/>
        </w:rPr>
        <w:t>South Korea</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Peer-review report classification</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A (Excellent): </w:t>
      </w:r>
      <w:r>
        <w:rPr>
          <w:rFonts w:ascii="Book Antiqua" w:eastAsia="宋体" w:hAnsi="Book Antiqua" w:cs="宋体"/>
          <w:kern w:val="0"/>
          <w:sz w:val="24"/>
          <w:szCs w:val="24"/>
          <w:lang w:eastAsia="zh-CN"/>
        </w:rPr>
        <w:t>0</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B (Very good): </w:t>
      </w:r>
      <w:r w:rsidRPr="00A40AE7">
        <w:rPr>
          <w:rFonts w:ascii="Book Antiqua" w:eastAsia="宋体" w:hAnsi="Book Antiqua" w:cs="宋体"/>
          <w:kern w:val="0"/>
          <w:sz w:val="24"/>
          <w:szCs w:val="24"/>
          <w:lang w:eastAsia="zh-CN"/>
        </w:rPr>
        <w:t>B</w:t>
      </w:r>
      <w:r>
        <w:rPr>
          <w:rFonts w:ascii="Book Antiqua" w:eastAsia="宋体" w:hAnsi="Book Antiqua" w:cs="宋体"/>
          <w:kern w:val="0"/>
          <w:sz w:val="24"/>
          <w:szCs w:val="24"/>
          <w:lang w:eastAsia="zh-CN"/>
        </w:rPr>
        <w:t>, B</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C (Good): </w:t>
      </w:r>
      <w:r>
        <w:rPr>
          <w:rFonts w:ascii="Book Antiqua" w:eastAsia="宋体" w:hAnsi="Book Antiqua" w:cs="宋体"/>
          <w:kern w:val="0"/>
          <w:sz w:val="24"/>
          <w:szCs w:val="24"/>
          <w:lang w:eastAsia="zh-CN"/>
        </w:rPr>
        <w:t>C</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D (Fair): </w:t>
      </w:r>
      <w:r>
        <w:rPr>
          <w:rFonts w:ascii="Book Antiqua" w:eastAsia="宋体" w:hAnsi="Book Antiqua" w:cs="宋体"/>
          <w:kern w:val="0"/>
          <w:sz w:val="24"/>
          <w:szCs w:val="24"/>
          <w:lang w:eastAsia="zh-CN"/>
        </w:rPr>
        <w:t>D</w:t>
      </w:r>
      <w:r w:rsidRPr="00A40AE7">
        <w:rPr>
          <w:rFonts w:ascii="Book Antiqua" w:eastAsia="宋体" w:hAnsi="Book Antiqua" w:cs="宋体"/>
          <w:b/>
          <w:kern w:val="0"/>
          <w:sz w:val="24"/>
          <w:szCs w:val="24"/>
          <w:lang w:eastAsia="zh-CN"/>
        </w:rPr>
        <w:br/>
        <w:t xml:space="preserve">Grade E (Poor): </w:t>
      </w:r>
      <w:r w:rsidRPr="00A40AE7">
        <w:rPr>
          <w:rFonts w:ascii="Book Antiqua" w:eastAsia="宋体" w:hAnsi="Book Antiqua" w:cs="宋体"/>
          <w:kern w:val="0"/>
          <w:sz w:val="24"/>
          <w:szCs w:val="24"/>
          <w:lang w:eastAsia="zh-CN"/>
        </w:rPr>
        <w:t>0</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0A9833EB" w14:textId="77777777" w:rsidR="00A40AE7" w:rsidRPr="00A40AE7" w:rsidRDefault="00A40AE7" w:rsidP="00A40AE7">
      <w:pPr>
        <w:widowControl/>
        <w:wordWrap/>
        <w:autoSpaceDE/>
        <w:autoSpaceDN/>
        <w:spacing w:after="0" w:line="360" w:lineRule="auto"/>
        <w:rPr>
          <w:rFonts w:ascii="Book Antiqua" w:hAnsi="Book Antiqua" w:cs="Arial"/>
          <w:color w:val="000000" w:themeColor="text1"/>
          <w:sz w:val="24"/>
          <w:szCs w:val="24"/>
        </w:rPr>
      </w:pPr>
    </w:p>
    <w:p w14:paraId="3EE523ED" w14:textId="77777777" w:rsidR="009E5AE7" w:rsidRDefault="00F54F33" w:rsidP="00ED7BEC">
      <w:pPr>
        <w:widowControl/>
        <w:wordWrap/>
        <w:autoSpaceDE/>
        <w:autoSpaceDN/>
        <w:spacing w:after="0" w:line="360" w:lineRule="auto"/>
        <w:rPr>
          <w:rFonts w:ascii="Book Antiqua" w:hAnsi="Book Antiqua" w:cs="Arial"/>
          <w:color w:val="000000" w:themeColor="text1"/>
          <w:sz w:val="24"/>
          <w:szCs w:val="24"/>
        </w:rPr>
        <w:sectPr w:rsidR="009E5AE7" w:rsidSect="003D6013">
          <w:pgSz w:w="11906" w:h="16838"/>
          <w:pgMar w:top="1701" w:right="1440"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6BC31B78" w14:textId="6EACF4F7" w:rsidR="00A57F4B" w:rsidRPr="009E5AE7" w:rsidRDefault="00A57F4B" w:rsidP="00ED7BEC">
      <w:pPr>
        <w:widowControl/>
        <w:wordWrap/>
        <w:autoSpaceDE/>
        <w:autoSpaceDN/>
        <w:spacing w:after="0" w:line="360" w:lineRule="auto"/>
        <w:rPr>
          <w:rFonts w:ascii="Book Antiqua" w:hAnsi="Book Antiqua" w:cstheme="minorHAnsi"/>
          <w:b/>
          <w:color w:val="000000" w:themeColor="text1"/>
          <w:sz w:val="24"/>
          <w:szCs w:val="24"/>
        </w:rPr>
      </w:pPr>
      <w:r w:rsidRPr="009E5AE7">
        <w:rPr>
          <w:rFonts w:ascii="Book Antiqua" w:hAnsi="Book Antiqua" w:cstheme="minorHAnsi"/>
          <w:b/>
          <w:color w:val="000000" w:themeColor="text1"/>
          <w:sz w:val="24"/>
          <w:szCs w:val="24"/>
        </w:rPr>
        <w:lastRenderedPageBreak/>
        <w:t>Table 1 Primers and LNA probes deve</w:t>
      </w:r>
      <w:r w:rsidR="009B4192" w:rsidRPr="009E5AE7">
        <w:rPr>
          <w:rFonts w:ascii="Book Antiqua" w:hAnsi="Book Antiqua" w:cstheme="minorHAnsi"/>
          <w:b/>
          <w:color w:val="000000" w:themeColor="text1"/>
          <w:sz w:val="24"/>
          <w:szCs w:val="24"/>
        </w:rPr>
        <w:t xml:space="preserve">loped for identification of </w:t>
      </w:r>
      <w:r w:rsidR="004C223D" w:rsidRPr="009E5AE7">
        <w:rPr>
          <w:rFonts w:ascii="Book Antiqua" w:hAnsi="Book Antiqua" w:cstheme="minorHAnsi"/>
          <w:b/>
          <w:color w:val="000000" w:themeColor="text1"/>
          <w:sz w:val="24"/>
          <w:szCs w:val="24"/>
        </w:rPr>
        <w:t xml:space="preserve">hepatitis B virus </w:t>
      </w:r>
      <w:r w:rsidR="009B4192" w:rsidRPr="009E5AE7">
        <w:rPr>
          <w:rFonts w:ascii="Book Antiqua" w:hAnsi="Book Antiqua" w:cstheme="minorHAnsi"/>
          <w:b/>
          <w:color w:val="000000" w:themeColor="text1"/>
          <w:sz w:val="24"/>
          <w:szCs w:val="24"/>
        </w:rPr>
        <w:t>wild type (YMDD) and rtM204I</w:t>
      </w:r>
      <w:r w:rsidRPr="009E5AE7">
        <w:rPr>
          <w:rFonts w:ascii="Book Antiqua" w:hAnsi="Book Antiqua" w:cstheme="minorHAnsi"/>
          <w:b/>
          <w:color w:val="000000" w:themeColor="text1"/>
          <w:sz w:val="24"/>
          <w:szCs w:val="24"/>
        </w:rPr>
        <w:t xml:space="preserve"> variants</w:t>
      </w:r>
      <w:r w:rsidR="009B4192" w:rsidRPr="009E5AE7">
        <w:rPr>
          <w:rFonts w:ascii="Book Antiqua" w:hAnsi="Book Antiqua" w:cstheme="minorHAnsi"/>
          <w:b/>
          <w:color w:val="000000" w:themeColor="text1"/>
          <w:sz w:val="24"/>
          <w:szCs w:val="24"/>
        </w:rPr>
        <w:t xml:space="preserve"> (YIDD)</w:t>
      </w:r>
      <w:r w:rsidRPr="009E5AE7">
        <w:rPr>
          <w:rFonts w:ascii="Book Antiqua" w:hAnsi="Book Antiqua" w:cstheme="minorHAnsi"/>
          <w:b/>
          <w:color w:val="000000" w:themeColor="text1"/>
          <w:sz w:val="24"/>
          <w:szCs w:val="24"/>
        </w:rPr>
        <w:t xml:space="preserve"> by real-time PCR</w:t>
      </w:r>
    </w:p>
    <w:tbl>
      <w:tblPr>
        <w:tblW w:w="1363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768"/>
        <w:gridCol w:w="5539"/>
        <w:gridCol w:w="1599"/>
        <w:gridCol w:w="2487"/>
        <w:gridCol w:w="1243"/>
      </w:tblGrid>
      <w:tr w:rsidR="00ED7BEC" w:rsidRPr="00ED7BEC" w14:paraId="7D46679D" w14:textId="77777777" w:rsidTr="009E5AE7">
        <w:trPr>
          <w:trHeight w:val="413"/>
        </w:trPr>
        <w:tc>
          <w:tcPr>
            <w:tcW w:w="2768" w:type="dxa"/>
            <w:tcBorders>
              <w:bottom w:val="single" w:sz="4" w:space="0" w:color="auto"/>
            </w:tcBorders>
          </w:tcPr>
          <w:p w14:paraId="3701BAD7" w14:textId="77777777"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br w:type="page"/>
              <w:t>Primer/Probe</w:t>
            </w:r>
          </w:p>
        </w:tc>
        <w:tc>
          <w:tcPr>
            <w:tcW w:w="5539" w:type="dxa"/>
            <w:tcBorders>
              <w:bottom w:val="single" w:sz="4" w:space="0" w:color="auto"/>
            </w:tcBorders>
          </w:tcPr>
          <w:p w14:paraId="58698CDE" w14:textId="329AC959"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 xml:space="preserve">Sequence </w:t>
            </w:r>
            <w:r w:rsidRPr="009E5AE7">
              <w:rPr>
                <w:rFonts w:ascii="Book Antiqua" w:hAnsi="Book Antiqua" w:cstheme="minorHAnsi"/>
                <w:b/>
                <w:bCs/>
                <w:color w:val="000000" w:themeColor="text1"/>
                <w:sz w:val="24"/>
                <w:szCs w:val="24"/>
                <w:lang w:val="it-IT"/>
              </w:rPr>
              <w:t>(5'</w:t>
            </w:r>
            <w:r w:rsidR="009E5AE7">
              <w:rPr>
                <w:rFonts w:ascii="Book Antiqua" w:hAnsi="Book Antiqua" w:cstheme="minorHAnsi"/>
                <w:b/>
                <w:bCs/>
                <w:color w:val="000000" w:themeColor="text1"/>
                <w:sz w:val="24"/>
                <w:szCs w:val="24"/>
                <w:lang w:val="it-IT"/>
              </w:rPr>
              <w:t>-</w:t>
            </w:r>
            <w:r w:rsidRPr="009E5AE7">
              <w:rPr>
                <w:rFonts w:ascii="Book Antiqua" w:hAnsi="Book Antiqua" w:cstheme="minorHAnsi"/>
                <w:b/>
                <w:bCs/>
                <w:color w:val="000000" w:themeColor="text1"/>
                <w:sz w:val="24"/>
                <w:szCs w:val="24"/>
                <w:lang w:val="it-IT"/>
              </w:rPr>
              <w:t>3')</w:t>
            </w:r>
            <w:r w:rsidRPr="009E5AE7">
              <w:rPr>
                <w:rFonts w:ascii="Book Antiqua" w:hAnsi="Book Antiqua" w:cstheme="minorHAnsi"/>
                <w:b/>
                <w:bCs/>
                <w:i/>
                <w:color w:val="000000" w:themeColor="text1"/>
                <w:kern w:val="0"/>
                <w:sz w:val="24"/>
                <w:szCs w:val="24"/>
                <w:vertAlign w:val="superscript"/>
              </w:rPr>
              <w:t xml:space="preserve"> </w:t>
            </w:r>
            <w:r w:rsidR="000B66BF" w:rsidRPr="009E5AE7">
              <w:rPr>
                <w:rFonts w:ascii="Book Antiqua" w:hAnsi="Book Antiqua" w:cstheme="minorHAnsi"/>
                <w:b/>
                <w:bCs/>
                <w:color w:val="000000" w:themeColor="text1"/>
                <w:kern w:val="0"/>
                <w:sz w:val="24"/>
                <w:szCs w:val="24"/>
                <w:vertAlign w:val="superscript"/>
              </w:rPr>
              <w:t>1</w:t>
            </w:r>
          </w:p>
        </w:tc>
        <w:tc>
          <w:tcPr>
            <w:tcW w:w="1599" w:type="dxa"/>
            <w:tcBorders>
              <w:bottom w:val="single" w:sz="4" w:space="0" w:color="auto"/>
            </w:tcBorders>
          </w:tcPr>
          <w:p w14:paraId="644DF46B" w14:textId="77777777" w:rsidR="00A57F4B" w:rsidRPr="009E5AE7" w:rsidRDefault="00A57F4B" w:rsidP="00ED7BEC">
            <w:pPr>
              <w:wordWrap/>
              <w:spacing w:after="0" w:line="360" w:lineRule="auto"/>
              <w:ind w:firstLineChars="50" w:firstLine="120"/>
              <w:rPr>
                <w:rFonts w:ascii="Book Antiqua" w:hAnsi="Book Antiqua" w:cstheme="minorHAnsi"/>
                <w:b/>
                <w:bCs/>
                <w:color w:val="000000" w:themeColor="text1"/>
                <w:sz w:val="24"/>
                <w:szCs w:val="24"/>
                <w:vertAlign w:val="superscript"/>
              </w:rPr>
            </w:pPr>
            <w:r w:rsidRPr="00AF6821">
              <w:rPr>
                <w:rFonts w:ascii="Book Antiqua" w:hAnsi="Book Antiqua" w:cstheme="minorHAnsi"/>
                <w:b/>
                <w:bCs/>
                <w:i/>
                <w:color w:val="000000" w:themeColor="text1"/>
                <w:sz w:val="24"/>
                <w:szCs w:val="24"/>
              </w:rPr>
              <w:t>T</w:t>
            </w:r>
            <w:r w:rsidRPr="00AF6821">
              <w:rPr>
                <w:rFonts w:ascii="Book Antiqua" w:hAnsi="Book Antiqua" w:cstheme="minorHAnsi"/>
                <w:b/>
                <w:bCs/>
                <w:i/>
                <w:color w:val="000000" w:themeColor="text1"/>
                <w:sz w:val="24"/>
                <w:szCs w:val="24"/>
                <w:vertAlign w:val="subscript"/>
              </w:rPr>
              <w:t>m</w:t>
            </w:r>
            <w:r w:rsidRPr="009E5AE7">
              <w:rPr>
                <w:rFonts w:ascii="Book Antiqua" w:hAnsi="Book Antiqua" w:cstheme="minorHAnsi"/>
                <w:b/>
                <w:bCs/>
                <w:i/>
                <w:color w:val="000000" w:themeColor="text1"/>
                <w:sz w:val="24"/>
                <w:szCs w:val="24"/>
                <w:vertAlign w:val="subscript"/>
              </w:rPr>
              <w:t xml:space="preserve"> </w:t>
            </w:r>
            <w:r w:rsidRPr="009E5AE7">
              <w:rPr>
                <w:rFonts w:ascii="Book Antiqua" w:hAnsi="Book Antiqua" w:cstheme="minorHAnsi"/>
                <w:b/>
                <w:bCs/>
                <w:color w:val="000000" w:themeColor="text1"/>
                <w:sz w:val="24"/>
                <w:szCs w:val="24"/>
                <w:lang w:val="it-IT"/>
              </w:rPr>
              <w:t>(°C)</w:t>
            </w:r>
            <w:r w:rsidR="000B66BF" w:rsidRPr="009E5AE7">
              <w:rPr>
                <w:rFonts w:ascii="Book Antiqua" w:hAnsi="Book Antiqua" w:cstheme="minorHAnsi"/>
                <w:b/>
                <w:bCs/>
                <w:color w:val="000000" w:themeColor="text1"/>
                <w:kern w:val="0"/>
                <w:sz w:val="24"/>
                <w:szCs w:val="24"/>
                <w:vertAlign w:val="superscript"/>
              </w:rPr>
              <w:t>2</w:t>
            </w:r>
          </w:p>
        </w:tc>
        <w:tc>
          <w:tcPr>
            <w:tcW w:w="2487" w:type="dxa"/>
            <w:tcBorders>
              <w:bottom w:val="single" w:sz="4" w:space="0" w:color="auto"/>
            </w:tcBorders>
          </w:tcPr>
          <w:p w14:paraId="1DA6898F" w14:textId="77777777"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 xml:space="preserve">Target </w:t>
            </w:r>
          </w:p>
        </w:tc>
        <w:tc>
          <w:tcPr>
            <w:tcW w:w="1243" w:type="dxa"/>
            <w:tcBorders>
              <w:bottom w:val="single" w:sz="4" w:space="0" w:color="auto"/>
            </w:tcBorders>
          </w:tcPr>
          <w:p w14:paraId="18F800E1" w14:textId="77777777" w:rsidR="00A57F4B" w:rsidRPr="009E5AE7" w:rsidRDefault="009B4192"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Channel</w:t>
            </w:r>
          </w:p>
        </w:tc>
      </w:tr>
      <w:tr w:rsidR="00ED7BEC" w:rsidRPr="00ED7BEC" w14:paraId="5817AFD1" w14:textId="77777777" w:rsidTr="009E5AE7">
        <w:trPr>
          <w:trHeight w:val="434"/>
        </w:trPr>
        <w:tc>
          <w:tcPr>
            <w:tcW w:w="8307" w:type="dxa"/>
            <w:gridSpan w:val="2"/>
            <w:tcBorders>
              <w:bottom w:val="nil"/>
            </w:tcBorders>
          </w:tcPr>
          <w:p w14:paraId="1101F4DD" w14:textId="69CE9602" w:rsidR="00A57F4B" w:rsidRPr="009E5AE7" w:rsidRDefault="00A57F4B" w:rsidP="00ED7BEC">
            <w:pPr>
              <w:wordWrap/>
              <w:spacing w:after="0" w:line="360" w:lineRule="auto"/>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Primers (product: 127</w:t>
            </w:r>
            <w:r w:rsidR="009E5AE7" w:rsidRPr="009E5AE7">
              <w:rPr>
                <w:rFonts w:ascii="Book Antiqua" w:hAnsi="Book Antiqua" w:cstheme="minorHAnsi"/>
                <w:iCs/>
                <w:color w:val="000000" w:themeColor="text1"/>
                <w:sz w:val="24"/>
                <w:szCs w:val="24"/>
              </w:rPr>
              <w:t xml:space="preserve"> </w:t>
            </w:r>
            <w:r w:rsidRPr="009E5AE7">
              <w:rPr>
                <w:rFonts w:ascii="Book Antiqua" w:hAnsi="Book Antiqua" w:cstheme="minorHAnsi"/>
                <w:iCs/>
                <w:color w:val="000000" w:themeColor="text1"/>
                <w:sz w:val="24"/>
                <w:szCs w:val="24"/>
              </w:rPr>
              <w:t>bp)</w:t>
            </w:r>
          </w:p>
        </w:tc>
        <w:tc>
          <w:tcPr>
            <w:tcW w:w="1599" w:type="dxa"/>
            <w:tcBorders>
              <w:bottom w:val="nil"/>
            </w:tcBorders>
          </w:tcPr>
          <w:p w14:paraId="131B7B75"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2487" w:type="dxa"/>
            <w:tcBorders>
              <w:bottom w:val="nil"/>
            </w:tcBorders>
          </w:tcPr>
          <w:p w14:paraId="205C01A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243" w:type="dxa"/>
            <w:tcBorders>
              <w:bottom w:val="nil"/>
            </w:tcBorders>
          </w:tcPr>
          <w:p w14:paraId="04B969A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42545106" w14:textId="77777777" w:rsidTr="009E5AE7">
        <w:trPr>
          <w:trHeight w:val="424"/>
        </w:trPr>
        <w:tc>
          <w:tcPr>
            <w:tcW w:w="2768" w:type="dxa"/>
            <w:tcBorders>
              <w:top w:val="nil"/>
              <w:bottom w:val="nil"/>
            </w:tcBorders>
          </w:tcPr>
          <w:p w14:paraId="1FC0D7F1"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Forward</w:t>
            </w:r>
          </w:p>
        </w:tc>
        <w:tc>
          <w:tcPr>
            <w:tcW w:w="5539" w:type="dxa"/>
            <w:tcBorders>
              <w:top w:val="nil"/>
              <w:bottom w:val="nil"/>
            </w:tcBorders>
          </w:tcPr>
          <w:p w14:paraId="44290B6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TGGGCCTCAGTCCGTTTCT</w:t>
            </w:r>
          </w:p>
        </w:tc>
        <w:tc>
          <w:tcPr>
            <w:tcW w:w="1599" w:type="dxa"/>
            <w:tcBorders>
              <w:top w:val="nil"/>
              <w:bottom w:val="nil"/>
            </w:tcBorders>
          </w:tcPr>
          <w:p w14:paraId="75A80406" w14:textId="77777777"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65.4 </w:t>
            </w:r>
          </w:p>
        </w:tc>
        <w:tc>
          <w:tcPr>
            <w:tcW w:w="2487" w:type="dxa"/>
            <w:tcBorders>
              <w:top w:val="nil"/>
              <w:bottom w:val="nil"/>
            </w:tcBorders>
          </w:tcPr>
          <w:p w14:paraId="49AF598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HBV RT gene</w:t>
            </w:r>
          </w:p>
        </w:tc>
        <w:tc>
          <w:tcPr>
            <w:tcW w:w="1243" w:type="dxa"/>
            <w:tcBorders>
              <w:top w:val="nil"/>
              <w:bottom w:val="nil"/>
            </w:tcBorders>
          </w:tcPr>
          <w:p w14:paraId="670B94B2"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77A96C47" w14:textId="77777777" w:rsidTr="009E5AE7">
        <w:trPr>
          <w:trHeight w:val="869"/>
        </w:trPr>
        <w:tc>
          <w:tcPr>
            <w:tcW w:w="2768" w:type="dxa"/>
            <w:tcBorders>
              <w:top w:val="nil"/>
              <w:bottom w:val="nil"/>
            </w:tcBorders>
          </w:tcPr>
          <w:p w14:paraId="37B51D49"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Reverse</w:t>
            </w:r>
          </w:p>
        </w:tc>
        <w:tc>
          <w:tcPr>
            <w:tcW w:w="5539" w:type="dxa"/>
            <w:tcBorders>
              <w:top w:val="nil"/>
              <w:bottom w:val="nil"/>
            </w:tcBorders>
          </w:tcPr>
          <w:p w14:paraId="3A3145A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TGTACAGACTTGGCCCCCAAWAC</w:t>
            </w:r>
          </w:p>
        </w:tc>
        <w:tc>
          <w:tcPr>
            <w:tcW w:w="1599" w:type="dxa"/>
            <w:tcBorders>
              <w:top w:val="nil"/>
              <w:bottom w:val="nil"/>
            </w:tcBorders>
          </w:tcPr>
          <w:p w14:paraId="0F49B9C3" w14:textId="02619849"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65.2</w:t>
            </w:r>
            <w:r w:rsidR="009E5AE7">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66.1</w:t>
            </w:r>
          </w:p>
        </w:tc>
        <w:tc>
          <w:tcPr>
            <w:tcW w:w="2487" w:type="dxa"/>
            <w:tcBorders>
              <w:top w:val="nil"/>
              <w:bottom w:val="nil"/>
            </w:tcBorders>
          </w:tcPr>
          <w:p w14:paraId="1A683A1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HBV RT gene</w:t>
            </w:r>
          </w:p>
        </w:tc>
        <w:tc>
          <w:tcPr>
            <w:tcW w:w="1243" w:type="dxa"/>
            <w:tcBorders>
              <w:top w:val="nil"/>
              <w:bottom w:val="nil"/>
            </w:tcBorders>
          </w:tcPr>
          <w:p w14:paraId="2B8A674B"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508B06D1" w14:textId="77777777" w:rsidTr="009E5AE7">
        <w:trPr>
          <w:trHeight w:val="424"/>
        </w:trPr>
        <w:tc>
          <w:tcPr>
            <w:tcW w:w="2768" w:type="dxa"/>
            <w:tcBorders>
              <w:top w:val="nil"/>
              <w:bottom w:val="nil"/>
            </w:tcBorders>
          </w:tcPr>
          <w:p w14:paraId="39ABDD4C" w14:textId="77777777" w:rsidR="00A57F4B" w:rsidRPr="009E5AE7" w:rsidRDefault="00A57F4B" w:rsidP="00ED7BEC">
            <w:pPr>
              <w:wordWrap/>
              <w:spacing w:after="0" w:line="360" w:lineRule="auto"/>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LNA Probes</w:t>
            </w:r>
          </w:p>
        </w:tc>
        <w:tc>
          <w:tcPr>
            <w:tcW w:w="5539" w:type="dxa"/>
            <w:tcBorders>
              <w:top w:val="nil"/>
              <w:bottom w:val="nil"/>
            </w:tcBorders>
          </w:tcPr>
          <w:p w14:paraId="1155900B"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599" w:type="dxa"/>
            <w:tcBorders>
              <w:top w:val="nil"/>
              <w:bottom w:val="nil"/>
            </w:tcBorders>
          </w:tcPr>
          <w:p w14:paraId="1A83AAE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2487" w:type="dxa"/>
            <w:tcBorders>
              <w:top w:val="nil"/>
              <w:bottom w:val="nil"/>
            </w:tcBorders>
          </w:tcPr>
          <w:p w14:paraId="483FF62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243" w:type="dxa"/>
            <w:tcBorders>
              <w:top w:val="nil"/>
              <w:bottom w:val="nil"/>
            </w:tcBorders>
          </w:tcPr>
          <w:p w14:paraId="58D3CDCD"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32606310" w14:textId="77777777" w:rsidTr="009E5AE7">
        <w:trPr>
          <w:trHeight w:val="595"/>
        </w:trPr>
        <w:tc>
          <w:tcPr>
            <w:tcW w:w="2768" w:type="dxa"/>
            <w:tcBorders>
              <w:top w:val="nil"/>
              <w:bottom w:val="nil"/>
            </w:tcBorders>
          </w:tcPr>
          <w:p w14:paraId="00915580"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YMDD</w:t>
            </w:r>
          </w:p>
        </w:tc>
        <w:tc>
          <w:tcPr>
            <w:tcW w:w="5539" w:type="dxa"/>
            <w:tcBorders>
              <w:top w:val="nil"/>
              <w:bottom w:val="nil"/>
            </w:tcBorders>
          </w:tcPr>
          <w:p w14:paraId="6289AD3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eastAsia="Dotum" w:hAnsi="Book Antiqua" w:cstheme="minorHAnsi"/>
                <w:color w:val="000000" w:themeColor="text1"/>
                <w:kern w:val="0"/>
                <w:sz w:val="24"/>
                <w:szCs w:val="24"/>
              </w:rPr>
              <w:t>5' HEX-TAT+A+T+G+G+AT+GAT- 3' IB®FQ</w:t>
            </w:r>
          </w:p>
        </w:tc>
        <w:tc>
          <w:tcPr>
            <w:tcW w:w="1599" w:type="dxa"/>
            <w:tcBorders>
              <w:top w:val="nil"/>
              <w:bottom w:val="nil"/>
            </w:tcBorders>
          </w:tcPr>
          <w:p w14:paraId="56C827FF" w14:textId="77777777" w:rsidR="00A57F4B" w:rsidRPr="00ED7BEC" w:rsidRDefault="00A57F4B" w:rsidP="00ED7BEC">
            <w:pPr>
              <w:wordWrap/>
              <w:spacing w:after="0" w:line="360" w:lineRule="auto"/>
              <w:ind w:firstLineChars="50" w:firstLine="126"/>
              <w:rPr>
                <w:rFonts w:ascii="Book Antiqua" w:hAnsi="Book Antiqua" w:cstheme="minorHAnsi"/>
                <w:color w:val="000000" w:themeColor="text1"/>
                <w:sz w:val="24"/>
                <w:szCs w:val="24"/>
              </w:rPr>
            </w:pPr>
            <w:r w:rsidRPr="00ED7BEC">
              <w:rPr>
                <w:rFonts w:ascii="Book Antiqua" w:eastAsia="Dotum" w:hAnsi="Book Antiqua" w:cstheme="minorHAnsi"/>
                <w:color w:val="000000" w:themeColor="text1"/>
                <w:kern w:val="0"/>
                <w:sz w:val="24"/>
                <w:szCs w:val="24"/>
              </w:rPr>
              <w:t>58</w:t>
            </w:r>
          </w:p>
        </w:tc>
        <w:tc>
          <w:tcPr>
            <w:tcW w:w="2487" w:type="dxa"/>
            <w:tcBorders>
              <w:top w:val="nil"/>
              <w:bottom w:val="nil"/>
            </w:tcBorders>
          </w:tcPr>
          <w:p w14:paraId="57B34C55" w14:textId="77777777" w:rsidR="00A57F4B" w:rsidRPr="00ED7BEC" w:rsidRDefault="009B4192"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YMDD </w:t>
            </w:r>
            <w:r w:rsidR="00A57F4B" w:rsidRPr="00ED7BEC">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wild type</w:t>
            </w:r>
            <w:r w:rsidR="00A57F4B" w:rsidRPr="00ED7BEC">
              <w:rPr>
                <w:rFonts w:ascii="Book Antiqua" w:hAnsi="Book Antiqua" w:cstheme="minorHAnsi"/>
                <w:color w:val="000000" w:themeColor="text1"/>
                <w:sz w:val="24"/>
                <w:szCs w:val="24"/>
              </w:rPr>
              <w:t>)</w:t>
            </w:r>
          </w:p>
        </w:tc>
        <w:tc>
          <w:tcPr>
            <w:tcW w:w="1243" w:type="dxa"/>
            <w:tcBorders>
              <w:top w:val="nil"/>
              <w:bottom w:val="nil"/>
            </w:tcBorders>
          </w:tcPr>
          <w:p w14:paraId="14844BE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HEX</w:t>
            </w:r>
          </w:p>
        </w:tc>
      </w:tr>
      <w:tr w:rsidR="00ED7BEC" w:rsidRPr="00ED7BEC" w14:paraId="2D0214AA" w14:textId="77777777" w:rsidTr="009E5AE7">
        <w:trPr>
          <w:trHeight w:val="561"/>
        </w:trPr>
        <w:tc>
          <w:tcPr>
            <w:tcW w:w="2768" w:type="dxa"/>
            <w:tcBorders>
              <w:top w:val="nil"/>
              <w:bottom w:val="single" w:sz="4" w:space="0" w:color="auto"/>
            </w:tcBorders>
          </w:tcPr>
          <w:p w14:paraId="36C5329B"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eastAsia="Dotum" w:hAnsi="Book Antiqua" w:cstheme="minorHAnsi"/>
                <w:iCs/>
                <w:color w:val="000000" w:themeColor="text1"/>
                <w:kern w:val="0"/>
                <w:sz w:val="24"/>
                <w:szCs w:val="24"/>
              </w:rPr>
              <w:t>YIDD</w:t>
            </w:r>
          </w:p>
        </w:tc>
        <w:tc>
          <w:tcPr>
            <w:tcW w:w="5539" w:type="dxa"/>
            <w:tcBorders>
              <w:top w:val="nil"/>
              <w:bottom w:val="single" w:sz="4" w:space="0" w:color="auto"/>
            </w:tcBorders>
          </w:tcPr>
          <w:p w14:paraId="46333D53" w14:textId="77777777" w:rsidR="00A57F4B" w:rsidRPr="00ED7BEC" w:rsidRDefault="00A57F4B" w:rsidP="00ED7BEC">
            <w:pPr>
              <w:wordWrap/>
              <w:spacing w:after="0" w:line="360" w:lineRule="auto"/>
              <w:rPr>
                <w:rFonts w:ascii="Book Antiqua" w:hAnsi="Book Antiqua" w:cstheme="minorHAnsi"/>
                <w:i/>
                <w:color w:val="000000" w:themeColor="text1"/>
                <w:sz w:val="24"/>
                <w:szCs w:val="24"/>
                <w:vertAlign w:val="superscript"/>
              </w:rPr>
            </w:pPr>
            <w:r w:rsidRPr="00ED7BEC">
              <w:rPr>
                <w:rFonts w:ascii="Book Antiqua" w:eastAsia="Dotum" w:hAnsi="Book Antiqua" w:cstheme="minorHAnsi"/>
                <w:color w:val="000000" w:themeColor="text1"/>
                <w:kern w:val="0"/>
                <w:sz w:val="24"/>
                <w:szCs w:val="24"/>
              </w:rPr>
              <w:t>5' 6-FAM-TAT+A+T+T+G+AT+GAT- 3' IB®FQ</w:t>
            </w:r>
          </w:p>
        </w:tc>
        <w:tc>
          <w:tcPr>
            <w:tcW w:w="1599" w:type="dxa"/>
            <w:tcBorders>
              <w:top w:val="nil"/>
              <w:bottom w:val="single" w:sz="4" w:space="0" w:color="auto"/>
            </w:tcBorders>
          </w:tcPr>
          <w:p w14:paraId="36C46AE6" w14:textId="77777777"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53</w:t>
            </w:r>
          </w:p>
        </w:tc>
        <w:tc>
          <w:tcPr>
            <w:tcW w:w="2487" w:type="dxa"/>
            <w:tcBorders>
              <w:top w:val="nil"/>
              <w:bottom w:val="single" w:sz="4" w:space="0" w:color="auto"/>
            </w:tcBorders>
          </w:tcPr>
          <w:p w14:paraId="2845D9EA"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w:t>
            </w:r>
          </w:p>
        </w:tc>
        <w:tc>
          <w:tcPr>
            <w:tcW w:w="1243" w:type="dxa"/>
            <w:tcBorders>
              <w:top w:val="nil"/>
              <w:bottom w:val="single" w:sz="4" w:space="0" w:color="auto"/>
            </w:tcBorders>
          </w:tcPr>
          <w:p w14:paraId="1AC5B01D"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FAM</w:t>
            </w:r>
          </w:p>
        </w:tc>
      </w:tr>
    </w:tbl>
    <w:p w14:paraId="5BA5925E" w14:textId="031391B3" w:rsidR="00A57F4B" w:rsidRPr="009E5AE7" w:rsidRDefault="009B4192" w:rsidP="00ED7BEC">
      <w:pPr>
        <w:widowControl/>
        <w:wordWrap/>
        <w:autoSpaceDE/>
        <w:autoSpaceDN/>
        <w:spacing w:after="0" w:line="360" w:lineRule="auto"/>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0"/>
          <w:sz w:val="24"/>
          <w:szCs w:val="24"/>
          <w:vertAlign w:val="superscript"/>
        </w:rPr>
        <w:t>1</w:t>
      </w:r>
      <w:r w:rsidR="00A57F4B" w:rsidRPr="00ED7BEC">
        <w:rPr>
          <w:rFonts w:ascii="Book Antiqua" w:hAnsi="Book Antiqua" w:cstheme="minorHAnsi"/>
          <w:color w:val="000000" w:themeColor="text1"/>
          <w:kern w:val="0"/>
          <w:sz w:val="24"/>
          <w:szCs w:val="24"/>
        </w:rPr>
        <w:t>LNA nucleotides are written +A, +C, +T or +G</w:t>
      </w:r>
      <w:r w:rsidR="009E5AE7">
        <w:rPr>
          <w:rFonts w:ascii="Book Antiqua" w:hAnsi="Book Antiqua" w:cstheme="minorHAnsi"/>
          <w:color w:val="000000" w:themeColor="text1"/>
          <w:kern w:val="0"/>
          <w:sz w:val="24"/>
          <w:szCs w:val="24"/>
        </w:rPr>
        <w:t>;</w:t>
      </w:r>
      <w:r w:rsidR="009E5AE7">
        <w:rPr>
          <w:rFonts w:ascii="Book Antiqua" w:eastAsia="等线" w:hAnsi="Book Antiqua" w:cstheme="minorHAnsi" w:hint="eastAsia"/>
          <w:color w:val="000000" w:themeColor="text1"/>
          <w:kern w:val="0"/>
          <w:sz w:val="24"/>
          <w:szCs w:val="24"/>
          <w:lang w:eastAsia="zh-CN"/>
        </w:rPr>
        <w:t xml:space="preserve"> </w:t>
      </w:r>
      <w:r w:rsidRPr="00ED7BEC">
        <w:rPr>
          <w:rFonts w:ascii="Book Antiqua" w:hAnsi="Book Antiqua" w:cstheme="minorHAnsi"/>
          <w:color w:val="000000" w:themeColor="text1"/>
          <w:kern w:val="0"/>
          <w:sz w:val="24"/>
          <w:szCs w:val="24"/>
          <w:vertAlign w:val="superscript"/>
        </w:rPr>
        <w:t>2</w:t>
      </w:r>
      <w:r w:rsidR="00A57F4B" w:rsidRPr="00ED7BEC">
        <w:rPr>
          <w:rFonts w:ascii="Book Antiqua" w:eastAsia="Dotum" w:hAnsi="Book Antiqua" w:cstheme="minorHAnsi"/>
          <w:color w:val="000000" w:themeColor="text1"/>
          <w:kern w:val="0"/>
          <w:sz w:val="24"/>
          <w:szCs w:val="24"/>
        </w:rPr>
        <w:t xml:space="preserve">Primer </w:t>
      </w:r>
      <w:r w:rsidR="00311CBF" w:rsidRPr="00ED7BEC">
        <w:rPr>
          <w:rFonts w:ascii="Book Antiqua" w:eastAsia="Dotum" w:hAnsi="Book Antiqua" w:cstheme="minorHAnsi"/>
          <w:color w:val="000000" w:themeColor="text1"/>
          <w:kern w:val="0"/>
          <w:sz w:val="24"/>
          <w:szCs w:val="24"/>
        </w:rPr>
        <w:t>melting temperature</w:t>
      </w:r>
      <w:r w:rsidR="00A57F4B" w:rsidRPr="00ED7BEC">
        <w:rPr>
          <w:rFonts w:ascii="Book Antiqua" w:eastAsia="Dotum" w:hAnsi="Book Antiqua" w:cstheme="minorHAnsi"/>
          <w:color w:val="000000" w:themeColor="text1"/>
          <w:kern w:val="0"/>
          <w:sz w:val="24"/>
          <w:szCs w:val="24"/>
        </w:rPr>
        <w:t xml:space="preserve"> was calculated by using LC PDS software V 2.0 and probe </w:t>
      </w:r>
      <w:r w:rsidR="00311CBF" w:rsidRPr="00ED7BEC">
        <w:rPr>
          <w:rFonts w:ascii="Book Antiqua" w:eastAsia="Dotum" w:hAnsi="Book Antiqua" w:cstheme="minorHAnsi"/>
          <w:color w:val="000000" w:themeColor="text1"/>
          <w:kern w:val="0"/>
          <w:sz w:val="24"/>
          <w:szCs w:val="24"/>
        </w:rPr>
        <w:t>melting temperature</w:t>
      </w:r>
      <w:r w:rsidR="00A57F4B" w:rsidRPr="00ED7BEC">
        <w:rPr>
          <w:rFonts w:ascii="Book Antiqua" w:eastAsia="Dotum" w:hAnsi="Book Antiqua" w:cstheme="minorHAnsi"/>
          <w:color w:val="000000" w:themeColor="text1"/>
          <w:kern w:val="0"/>
          <w:sz w:val="24"/>
          <w:szCs w:val="24"/>
        </w:rPr>
        <w:t xml:space="preserve"> by </w:t>
      </w:r>
      <w:hyperlink r:id="rId8" w:history="1">
        <w:r w:rsidR="009E5AE7" w:rsidRPr="001C49A7">
          <w:rPr>
            <w:rStyle w:val="af"/>
            <w:rFonts w:ascii="Book Antiqua" w:eastAsia="Malgun Gothic" w:hAnsi="Book Antiqua" w:cstheme="minorHAnsi"/>
            <w:kern w:val="0"/>
            <w:sz w:val="24"/>
            <w:szCs w:val="24"/>
          </w:rPr>
          <w:t>https://www.exiqon.com/ls/pages/exiqontmpredictiontool.aspx</w:t>
        </w:r>
      </w:hyperlink>
      <w:r w:rsidR="009E5AE7">
        <w:rPr>
          <w:rFonts w:ascii="Book Antiqua" w:eastAsia="Malgun Gothic" w:hAnsi="Book Antiqua" w:cstheme="minorHAnsi"/>
          <w:color w:val="000000" w:themeColor="text1"/>
          <w:kern w:val="0"/>
          <w:sz w:val="24"/>
          <w:szCs w:val="24"/>
        </w:rPr>
        <w:t>.</w:t>
      </w:r>
      <w:r w:rsidR="009E5AE7">
        <w:rPr>
          <w:rFonts w:ascii="Book Antiqua" w:eastAsia="等线" w:hAnsi="Book Antiqua" w:cstheme="minorHAnsi" w:hint="eastAsia"/>
          <w:color w:val="000000" w:themeColor="text1"/>
          <w:kern w:val="0"/>
          <w:sz w:val="24"/>
          <w:szCs w:val="24"/>
          <w:lang w:eastAsia="zh-CN"/>
        </w:rPr>
        <w:t xml:space="preserve"> </w:t>
      </w:r>
      <w:r w:rsidR="00A57F4B" w:rsidRPr="00AF6821">
        <w:rPr>
          <w:rFonts w:ascii="Book Antiqua" w:eastAsia="Dotum" w:hAnsi="Book Antiqua" w:cstheme="minorHAnsi"/>
          <w:i/>
          <w:color w:val="000000" w:themeColor="text1"/>
          <w:kern w:val="0"/>
          <w:sz w:val="24"/>
          <w:szCs w:val="24"/>
        </w:rPr>
        <w:t>T</w:t>
      </w:r>
      <w:r w:rsidR="00A57F4B" w:rsidRPr="00AF6821">
        <w:rPr>
          <w:rFonts w:ascii="Book Antiqua" w:eastAsia="Dotum" w:hAnsi="Book Antiqua" w:cstheme="minorHAnsi"/>
          <w:i/>
          <w:color w:val="000000" w:themeColor="text1"/>
          <w:kern w:val="0"/>
          <w:sz w:val="24"/>
          <w:szCs w:val="24"/>
          <w:vertAlign w:val="subscript"/>
        </w:rPr>
        <w:t>m</w:t>
      </w:r>
      <w:r w:rsidRPr="009E5AE7">
        <w:rPr>
          <w:rFonts w:ascii="Book Antiqua" w:eastAsia="Dotum" w:hAnsi="Book Antiqua" w:cstheme="minorHAnsi"/>
          <w:iCs/>
          <w:color w:val="000000" w:themeColor="text1"/>
          <w:kern w:val="0"/>
          <w:sz w:val="24"/>
          <w:szCs w:val="24"/>
        </w:rPr>
        <w:t>:</w:t>
      </w:r>
      <w:r w:rsidR="00A57F4B" w:rsidRPr="00ED7BEC">
        <w:rPr>
          <w:rFonts w:ascii="Book Antiqua" w:eastAsia="Dotum" w:hAnsi="Book Antiqua" w:cstheme="minorHAnsi"/>
          <w:color w:val="000000" w:themeColor="text1"/>
          <w:kern w:val="0"/>
          <w:sz w:val="24"/>
          <w:szCs w:val="24"/>
        </w:rPr>
        <w:t xml:space="preserve"> </w:t>
      </w:r>
      <w:r w:rsidR="009E5AE7" w:rsidRPr="00ED7BEC">
        <w:rPr>
          <w:rFonts w:ascii="Book Antiqua" w:eastAsia="Dotum" w:hAnsi="Book Antiqua" w:cstheme="minorHAnsi"/>
          <w:color w:val="000000" w:themeColor="text1"/>
          <w:kern w:val="0"/>
          <w:sz w:val="24"/>
          <w:szCs w:val="24"/>
        </w:rPr>
        <w:t>M</w:t>
      </w:r>
      <w:r w:rsidR="00A57F4B" w:rsidRPr="00ED7BEC">
        <w:rPr>
          <w:rFonts w:ascii="Book Antiqua" w:eastAsia="Dotum" w:hAnsi="Book Antiqua" w:cstheme="minorHAnsi"/>
          <w:color w:val="000000" w:themeColor="text1"/>
          <w:kern w:val="0"/>
          <w:sz w:val="24"/>
          <w:szCs w:val="24"/>
        </w:rPr>
        <w:t xml:space="preserve">elting temperature; </w:t>
      </w:r>
      <w:r w:rsidRPr="00ED7BEC">
        <w:rPr>
          <w:rFonts w:ascii="Book Antiqua" w:eastAsia="Dotum" w:hAnsi="Book Antiqua" w:cstheme="minorHAnsi"/>
          <w:color w:val="000000" w:themeColor="text1"/>
          <w:kern w:val="0"/>
          <w:sz w:val="24"/>
          <w:szCs w:val="24"/>
        </w:rPr>
        <w:t>RT</w:t>
      </w:r>
      <w:r w:rsidR="009E5AE7">
        <w:rPr>
          <w:rFonts w:ascii="Book Antiqua" w:eastAsia="Dotum" w:hAnsi="Book Antiqua" w:cstheme="minorHAnsi"/>
          <w:color w:val="000000" w:themeColor="text1"/>
          <w:kern w:val="0"/>
          <w:sz w:val="24"/>
          <w:szCs w:val="24"/>
        </w:rPr>
        <w:t>:</w:t>
      </w:r>
      <w:r w:rsidRPr="00ED7BEC">
        <w:rPr>
          <w:rFonts w:ascii="Book Antiqua" w:eastAsia="Dotum" w:hAnsi="Book Antiqua" w:cstheme="minorHAnsi"/>
          <w:color w:val="000000" w:themeColor="text1"/>
          <w:kern w:val="0"/>
          <w:sz w:val="24"/>
          <w:szCs w:val="24"/>
        </w:rPr>
        <w:t xml:space="preserve"> </w:t>
      </w:r>
      <w:r w:rsidR="009E5AE7" w:rsidRPr="00ED7BEC">
        <w:rPr>
          <w:rFonts w:ascii="Book Antiqua" w:eastAsia="Dotum" w:hAnsi="Book Antiqua" w:cstheme="minorHAnsi"/>
          <w:color w:val="000000" w:themeColor="text1"/>
          <w:kern w:val="0"/>
          <w:sz w:val="24"/>
          <w:szCs w:val="24"/>
        </w:rPr>
        <w:t>R</w:t>
      </w:r>
      <w:r w:rsidRPr="00ED7BEC">
        <w:rPr>
          <w:rFonts w:ascii="Book Antiqua" w:eastAsia="Dotum" w:hAnsi="Book Antiqua" w:cstheme="minorHAnsi"/>
          <w:color w:val="000000" w:themeColor="text1"/>
          <w:kern w:val="0"/>
          <w:sz w:val="24"/>
          <w:szCs w:val="24"/>
        </w:rPr>
        <w:t>everse transcriptase</w:t>
      </w:r>
      <w:r w:rsidR="009E5AE7">
        <w:rPr>
          <w:rFonts w:ascii="Book Antiqua" w:eastAsia="Dotum" w:hAnsi="Book Antiqua" w:cstheme="minorHAnsi"/>
          <w:color w:val="000000" w:themeColor="text1"/>
          <w:kern w:val="0"/>
          <w:sz w:val="24"/>
          <w:szCs w:val="24"/>
        </w:rPr>
        <w:t xml:space="preserve">; HBV: </w:t>
      </w:r>
      <w:r w:rsidR="009E5AE7" w:rsidRPr="00ED7BEC">
        <w:rPr>
          <w:rFonts w:ascii="Book Antiqua" w:hAnsi="Book Antiqua" w:cs="Arial"/>
          <w:color w:val="000000" w:themeColor="text1"/>
          <w:sz w:val="24"/>
          <w:szCs w:val="24"/>
        </w:rPr>
        <w:t>Hepatitis B virus</w:t>
      </w:r>
      <w:r w:rsidR="009E5AE7">
        <w:rPr>
          <w:rFonts w:ascii="Book Antiqua" w:hAnsi="Book Antiqua" w:cs="Arial"/>
          <w:color w:val="000000" w:themeColor="text1"/>
          <w:sz w:val="24"/>
          <w:szCs w:val="24"/>
        </w:rPr>
        <w:t>.</w:t>
      </w:r>
    </w:p>
    <w:p w14:paraId="79ED0A9E"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p w14:paraId="15BD53E0" w14:textId="77777777" w:rsidR="00A57F4B" w:rsidRPr="00ED7BEC" w:rsidRDefault="00A57F4B"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br w:type="page"/>
      </w:r>
    </w:p>
    <w:p w14:paraId="1B477140" w14:textId="2B66F4C4" w:rsidR="00A57F4B" w:rsidRPr="00AF6821" w:rsidRDefault="00A57F4B" w:rsidP="00ED7BEC">
      <w:pPr>
        <w:wordWrap/>
        <w:spacing w:after="0" w:line="360" w:lineRule="auto"/>
        <w:rPr>
          <w:rFonts w:ascii="Book Antiqua" w:eastAsia="Dotum" w:hAnsi="Book Antiqua" w:cstheme="minorHAnsi"/>
          <w:b/>
          <w:color w:val="000000" w:themeColor="text1"/>
          <w:kern w:val="0"/>
          <w:sz w:val="24"/>
          <w:szCs w:val="24"/>
        </w:rPr>
      </w:pPr>
      <w:r w:rsidRPr="00AF6821">
        <w:rPr>
          <w:rFonts w:ascii="Book Antiqua" w:eastAsia="Dotum" w:hAnsi="Book Antiqua" w:cstheme="minorHAnsi"/>
          <w:b/>
          <w:color w:val="000000" w:themeColor="text1"/>
          <w:kern w:val="0"/>
          <w:sz w:val="24"/>
          <w:szCs w:val="24"/>
        </w:rPr>
        <w:lastRenderedPageBreak/>
        <w:t xml:space="preserve">Table </w:t>
      </w:r>
      <w:r w:rsidR="0033045F" w:rsidRPr="00AF6821">
        <w:rPr>
          <w:rFonts w:ascii="Book Antiqua" w:eastAsia="Dotum" w:hAnsi="Book Antiqua" w:cstheme="minorHAnsi"/>
          <w:b/>
          <w:color w:val="000000" w:themeColor="text1"/>
          <w:kern w:val="0"/>
          <w:sz w:val="24"/>
          <w:szCs w:val="24"/>
        </w:rPr>
        <w:t>2</w:t>
      </w:r>
      <w:r w:rsidRPr="00AF6821">
        <w:rPr>
          <w:rFonts w:ascii="Book Antiqua" w:eastAsia="Dotum" w:hAnsi="Book Antiqua" w:cstheme="minorHAnsi"/>
          <w:b/>
          <w:color w:val="000000" w:themeColor="text1"/>
          <w:kern w:val="0"/>
          <w:sz w:val="24"/>
          <w:szCs w:val="24"/>
        </w:rPr>
        <w:t xml:space="preserve"> Measurement of melting temperatures of </w:t>
      </w:r>
      <w:r w:rsidR="004C223D" w:rsidRPr="00AF6821">
        <w:rPr>
          <w:rFonts w:ascii="Book Antiqua" w:eastAsia="Dotum" w:hAnsi="Book Antiqua" w:cstheme="minorHAnsi"/>
          <w:b/>
          <w:color w:val="000000" w:themeColor="text1"/>
          <w:kern w:val="0"/>
          <w:sz w:val="24"/>
          <w:szCs w:val="24"/>
        </w:rPr>
        <w:t xml:space="preserve">hepatitis B virus </w:t>
      </w:r>
      <w:r w:rsidR="009B4192" w:rsidRPr="00AF6821">
        <w:rPr>
          <w:rFonts w:ascii="Book Antiqua" w:eastAsia="Dotum" w:hAnsi="Book Antiqua" w:cstheme="minorHAnsi"/>
          <w:b/>
          <w:color w:val="000000" w:themeColor="text1"/>
          <w:kern w:val="0"/>
          <w:sz w:val="24"/>
          <w:szCs w:val="24"/>
        </w:rPr>
        <w:t xml:space="preserve">wild type (YMDD) </w:t>
      </w:r>
      <w:r w:rsidR="004C223D" w:rsidRPr="00AF6821">
        <w:rPr>
          <w:rFonts w:ascii="Book Antiqua" w:eastAsia="Dotum" w:hAnsi="Book Antiqua" w:cstheme="minorHAnsi"/>
          <w:b/>
          <w:color w:val="000000" w:themeColor="text1"/>
          <w:kern w:val="0"/>
          <w:sz w:val="24"/>
          <w:szCs w:val="24"/>
        </w:rPr>
        <w:t>and</w:t>
      </w:r>
      <w:r w:rsidR="009B4192" w:rsidRPr="00AF6821">
        <w:rPr>
          <w:rFonts w:ascii="Book Antiqua" w:eastAsia="Dotum" w:hAnsi="Book Antiqua" w:cstheme="minorHAnsi"/>
          <w:b/>
          <w:color w:val="000000" w:themeColor="text1"/>
          <w:kern w:val="0"/>
          <w:sz w:val="24"/>
          <w:szCs w:val="24"/>
        </w:rPr>
        <w:t xml:space="preserve"> rtM204I variants (YIDD</w:t>
      </w:r>
      <w:r w:rsidR="009B4192" w:rsidRPr="00AF6821">
        <w:rPr>
          <w:rFonts w:ascii="Book Antiqua" w:hAnsi="Book Antiqua" w:cstheme="minorHAnsi"/>
          <w:b/>
          <w:color w:val="000000" w:themeColor="text1"/>
          <w:sz w:val="24"/>
          <w:szCs w:val="24"/>
        </w:rPr>
        <w:t xml:space="preserve">) </w:t>
      </w:r>
      <w:r w:rsidRPr="00AF6821">
        <w:rPr>
          <w:rFonts w:ascii="Book Antiqua" w:hAnsi="Book Antiqua" w:cstheme="minorHAnsi"/>
          <w:b/>
          <w:color w:val="000000" w:themeColor="text1"/>
          <w:sz w:val="24"/>
          <w:szCs w:val="24"/>
        </w:rPr>
        <w:t>by LNA real-time PCR</w:t>
      </w:r>
    </w:p>
    <w:tbl>
      <w:tblPr>
        <w:tblStyle w:val="a7"/>
        <w:tblW w:w="14901" w:type="dxa"/>
        <w:tblInd w:w="-709"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6487"/>
        <w:gridCol w:w="709"/>
        <w:gridCol w:w="709"/>
        <w:gridCol w:w="2551"/>
        <w:gridCol w:w="426"/>
        <w:gridCol w:w="708"/>
        <w:gridCol w:w="851"/>
        <w:gridCol w:w="2460"/>
      </w:tblGrid>
      <w:tr w:rsidR="00ED7BEC" w:rsidRPr="00ED7BEC" w14:paraId="3B85BBA8" w14:textId="77777777" w:rsidTr="00AF6821">
        <w:trPr>
          <w:trHeight w:val="555"/>
        </w:trPr>
        <w:tc>
          <w:tcPr>
            <w:tcW w:w="6487" w:type="dxa"/>
            <w:tcBorders>
              <w:bottom w:val="nil"/>
            </w:tcBorders>
          </w:tcPr>
          <w:p w14:paraId="38FBF52B" w14:textId="5D303C7F" w:rsidR="009B4192" w:rsidRPr="00AF6821" w:rsidRDefault="009B4192" w:rsidP="00AF6821">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Sample (copies, number of samples </w:t>
            </w:r>
            <w:r w:rsidRPr="00AF6821">
              <w:rPr>
                <w:rFonts w:ascii="Book Antiqua" w:hAnsi="Book Antiqua" w:cstheme="minorHAnsi"/>
                <w:b/>
                <w:bCs/>
                <w:i/>
                <w:iCs/>
                <w:color w:val="000000" w:themeColor="text1"/>
                <w:sz w:val="24"/>
                <w:szCs w:val="24"/>
              </w:rPr>
              <w:t>n</w:t>
            </w:r>
            <w:r w:rsidRPr="00AF6821">
              <w:rPr>
                <w:rFonts w:ascii="Book Antiqua" w:hAnsi="Book Antiqua" w:cstheme="minorHAnsi"/>
                <w:b/>
                <w:bCs/>
                <w:color w:val="000000" w:themeColor="text1"/>
                <w:sz w:val="24"/>
                <w:szCs w:val="24"/>
              </w:rPr>
              <w:t>)</w:t>
            </w:r>
          </w:p>
        </w:tc>
        <w:tc>
          <w:tcPr>
            <w:tcW w:w="3969" w:type="dxa"/>
            <w:gridSpan w:val="3"/>
            <w:tcBorders>
              <w:bottom w:val="single" w:sz="4" w:space="0" w:color="auto"/>
            </w:tcBorders>
          </w:tcPr>
          <w:p w14:paraId="34F93575" w14:textId="3C833F8E"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Measured </w:t>
            </w:r>
            <w:r w:rsidRPr="00AF6821">
              <w:rPr>
                <w:rFonts w:ascii="Book Antiqua" w:hAnsi="Book Antiqua" w:cstheme="minorHAnsi"/>
                <w:b/>
                <w:bCs/>
                <w:i/>
                <w:color w:val="000000" w:themeColor="text1"/>
                <w:sz w:val="24"/>
                <w:szCs w:val="24"/>
              </w:rPr>
              <w:t>T</w:t>
            </w:r>
            <w:r w:rsidRPr="00AF6821">
              <w:rPr>
                <w:rFonts w:ascii="Book Antiqua" w:hAnsi="Book Antiqua" w:cstheme="minorHAnsi"/>
                <w:b/>
                <w:bCs/>
                <w:i/>
                <w:color w:val="000000" w:themeColor="text1"/>
                <w:sz w:val="24"/>
                <w:szCs w:val="24"/>
                <w:vertAlign w:val="subscript"/>
              </w:rPr>
              <w:t>m</w:t>
            </w:r>
            <w:r w:rsidRPr="00AF6821">
              <w:rPr>
                <w:rFonts w:ascii="Book Antiqua" w:hAnsi="Book Antiqua" w:cstheme="minorHAnsi"/>
                <w:b/>
                <w:bCs/>
                <w:color w:val="000000" w:themeColor="text1"/>
                <w:sz w:val="24"/>
                <w:szCs w:val="24"/>
              </w:rPr>
              <w:t xml:space="preserve"> (°C) at </w:t>
            </w:r>
            <w:r w:rsidR="00AF6821" w:rsidRPr="00AF6821">
              <w:rPr>
                <w:rFonts w:ascii="Book Antiqua" w:hAnsi="Book Antiqua" w:cstheme="minorHAnsi"/>
                <w:b/>
                <w:bCs/>
                <w:color w:val="000000" w:themeColor="text1"/>
                <w:sz w:val="24"/>
                <w:szCs w:val="24"/>
              </w:rPr>
              <w:t>c</w:t>
            </w:r>
            <w:r w:rsidRPr="00AF6821">
              <w:rPr>
                <w:rFonts w:ascii="Book Antiqua" w:hAnsi="Book Antiqua" w:cstheme="minorHAnsi"/>
                <w:b/>
                <w:bCs/>
                <w:color w:val="000000" w:themeColor="text1"/>
                <w:sz w:val="24"/>
                <w:szCs w:val="24"/>
              </w:rPr>
              <w:t>hannel</w:t>
            </w:r>
          </w:p>
        </w:tc>
        <w:tc>
          <w:tcPr>
            <w:tcW w:w="426" w:type="dxa"/>
            <w:tcBorders>
              <w:bottom w:val="single" w:sz="4" w:space="0" w:color="auto"/>
            </w:tcBorders>
          </w:tcPr>
          <w:p w14:paraId="5784A43E"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4019" w:type="dxa"/>
            <w:gridSpan w:val="3"/>
            <w:tcBorders>
              <w:bottom w:val="single" w:sz="4" w:space="0" w:color="auto"/>
            </w:tcBorders>
          </w:tcPr>
          <w:p w14:paraId="169DB71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r>
      <w:tr w:rsidR="00ED7BEC" w:rsidRPr="00ED7BEC" w14:paraId="3EF5D6B4" w14:textId="77777777" w:rsidTr="00AF6821">
        <w:trPr>
          <w:trHeight w:val="327"/>
        </w:trPr>
        <w:tc>
          <w:tcPr>
            <w:tcW w:w="6487" w:type="dxa"/>
            <w:tcBorders>
              <w:top w:val="nil"/>
              <w:bottom w:val="nil"/>
            </w:tcBorders>
          </w:tcPr>
          <w:p w14:paraId="147CEEC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3969" w:type="dxa"/>
            <w:gridSpan w:val="3"/>
            <w:tcBorders>
              <w:top w:val="single" w:sz="4" w:space="0" w:color="auto"/>
              <w:bottom w:val="single" w:sz="4" w:space="0" w:color="auto"/>
            </w:tcBorders>
          </w:tcPr>
          <w:p w14:paraId="17E029F9"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FAM</w:t>
            </w:r>
          </w:p>
        </w:tc>
        <w:tc>
          <w:tcPr>
            <w:tcW w:w="426" w:type="dxa"/>
            <w:tcBorders>
              <w:top w:val="single" w:sz="4" w:space="0" w:color="auto"/>
              <w:bottom w:val="nil"/>
            </w:tcBorders>
          </w:tcPr>
          <w:p w14:paraId="0DB6F05B"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4019" w:type="dxa"/>
            <w:gridSpan w:val="3"/>
            <w:tcBorders>
              <w:top w:val="single" w:sz="4" w:space="0" w:color="auto"/>
              <w:bottom w:val="single" w:sz="4" w:space="0" w:color="auto"/>
            </w:tcBorders>
          </w:tcPr>
          <w:p w14:paraId="3E2F7DB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HEX</w:t>
            </w:r>
          </w:p>
        </w:tc>
      </w:tr>
      <w:tr w:rsidR="00ED7BEC" w:rsidRPr="00ED7BEC" w14:paraId="51D59F80" w14:textId="77777777" w:rsidTr="00AF6821">
        <w:trPr>
          <w:trHeight w:val="327"/>
        </w:trPr>
        <w:tc>
          <w:tcPr>
            <w:tcW w:w="6487" w:type="dxa"/>
            <w:tcBorders>
              <w:top w:val="nil"/>
              <w:bottom w:val="single" w:sz="4" w:space="0" w:color="auto"/>
            </w:tcBorders>
          </w:tcPr>
          <w:p w14:paraId="783A845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709" w:type="dxa"/>
            <w:tcBorders>
              <w:top w:val="single" w:sz="4" w:space="0" w:color="auto"/>
              <w:bottom w:val="single" w:sz="4" w:space="0" w:color="auto"/>
            </w:tcBorders>
          </w:tcPr>
          <w:p w14:paraId="77F3EC59"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Min</w:t>
            </w:r>
          </w:p>
        </w:tc>
        <w:tc>
          <w:tcPr>
            <w:tcW w:w="709" w:type="dxa"/>
            <w:tcBorders>
              <w:top w:val="single" w:sz="4" w:space="0" w:color="auto"/>
              <w:bottom w:val="single" w:sz="4" w:space="0" w:color="auto"/>
            </w:tcBorders>
          </w:tcPr>
          <w:p w14:paraId="63BEFE2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Max</w:t>
            </w:r>
          </w:p>
        </w:tc>
        <w:tc>
          <w:tcPr>
            <w:tcW w:w="2551" w:type="dxa"/>
            <w:tcBorders>
              <w:top w:val="single" w:sz="4" w:space="0" w:color="auto"/>
              <w:bottom w:val="single" w:sz="4" w:space="0" w:color="auto"/>
            </w:tcBorders>
          </w:tcPr>
          <w:p w14:paraId="312906B2"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Mean ± SD </w:t>
            </w:r>
          </w:p>
          <w:p w14:paraId="0DF29D0E"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(number of positives)</w:t>
            </w:r>
            <w:r w:rsidRPr="00AF6821">
              <w:rPr>
                <w:rFonts w:ascii="Book Antiqua" w:eastAsia="Gulim" w:hAnsi="Book Antiqua" w:cstheme="minorHAnsi"/>
                <w:b/>
                <w:bCs/>
                <w:i/>
                <w:color w:val="000000" w:themeColor="text1"/>
                <w:sz w:val="24"/>
                <w:szCs w:val="24"/>
                <w:vertAlign w:val="superscript"/>
              </w:rPr>
              <w:t xml:space="preserve"> </w:t>
            </w:r>
          </w:p>
        </w:tc>
        <w:tc>
          <w:tcPr>
            <w:tcW w:w="426" w:type="dxa"/>
            <w:tcBorders>
              <w:top w:val="nil"/>
              <w:bottom w:val="single" w:sz="4" w:space="0" w:color="auto"/>
            </w:tcBorders>
          </w:tcPr>
          <w:p w14:paraId="2F7FD304"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708" w:type="dxa"/>
            <w:tcBorders>
              <w:top w:val="single" w:sz="4" w:space="0" w:color="auto"/>
              <w:bottom w:val="single" w:sz="4" w:space="0" w:color="auto"/>
            </w:tcBorders>
          </w:tcPr>
          <w:p w14:paraId="55CF0B6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Min</w:t>
            </w:r>
          </w:p>
        </w:tc>
        <w:tc>
          <w:tcPr>
            <w:tcW w:w="851" w:type="dxa"/>
            <w:tcBorders>
              <w:top w:val="single" w:sz="4" w:space="0" w:color="auto"/>
              <w:bottom w:val="single" w:sz="4" w:space="0" w:color="auto"/>
            </w:tcBorders>
          </w:tcPr>
          <w:p w14:paraId="02F47AA8"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Max</w:t>
            </w:r>
          </w:p>
        </w:tc>
        <w:tc>
          <w:tcPr>
            <w:tcW w:w="2460" w:type="dxa"/>
            <w:tcBorders>
              <w:top w:val="single" w:sz="4" w:space="0" w:color="auto"/>
              <w:bottom w:val="single" w:sz="4" w:space="0" w:color="auto"/>
            </w:tcBorders>
          </w:tcPr>
          <w:p w14:paraId="78124084"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Mean ± SD </w:t>
            </w:r>
          </w:p>
          <w:p w14:paraId="6F41FEB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(number of positives)</w:t>
            </w:r>
          </w:p>
        </w:tc>
      </w:tr>
      <w:tr w:rsidR="00ED7BEC" w:rsidRPr="00ED7BEC" w14:paraId="15C89B4D" w14:textId="77777777" w:rsidTr="00AF6821">
        <w:trPr>
          <w:trHeight w:val="517"/>
        </w:trPr>
        <w:tc>
          <w:tcPr>
            <w:tcW w:w="6487" w:type="dxa"/>
            <w:tcBorders>
              <w:top w:val="single" w:sz="4" w:space="0" w:color="auto"/>
              <w:bottom w:val="nil"/>
              <w:right w:val="nil"/>
            </w:tcBorders>
          </w:tcPr>
          <w:p w14:paraId="50B30723" w14:textId="7A297436"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positive control DNA</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Pr="00AF6821">
              <w:rPr>
                <w:rFonts w:ascii="Book Antiqua" w:hAnsi="Book Antiqua" w:cstheme="minorHAnsi"/>
                <w:i/>
                <w:iCs/>
                <w:color w:val="000000" w:themeColor="text1"/>
                <w:sz w:val="24"/>
                <w:szCs w:val="24"/>
              </w:rPr>
              <w:t>n</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48)</w:t>
            </w:r>
          </w:p>
        </w:tc>
        <w:tc>
          <w:tcPr>
            <w:tcW w:w="709" w:type="dxa"/>
            <w:tcBorders>
              <w:top w:val="single" w:sz="4" w:space="0" w:color="auto"/>
              <w:left w:val="nil"/>
              <w:bottom w:val="nil"/>
            </w:tcBorders>
          </w:tcPr>
          <w:p w14:paraId="7F25A6F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51.3</w:t>
            </w:r>
          </w:p>
        </w:tc>
        <w:tc>
          <w:tcPr>
            <w:tcW w:w="709" w:type="dxa"/>
            <w:tcBorders>
              <w:top w:val="single" w:sz="4" w:space="0" w:color="auto"/>
              <w:bottom w:val="nil"/>
            </w:tcBorders>
          </w:tcPr>
          <w:p w14:paraId="62848A4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52.2</w:t>
            </w:r>
          </w:p>
        </w:tc>
        <w:tc>
          <w:tcPr>
            <w:tcW w:w="2551" w:type="dxa"/>
            <w:tcBorders>
              <w:top w:val="single" w:sz="4" w:space="0" w:color="auto"/>
              <w:bottom w:val="nil"/>
            </w:tcBorders>
          </w:tcPr>
          <w:p w14:paraId="4770C6B3" w14:textId="49772818"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51.7 ± 0.2 (48, 100%)</w:t>
            </w:r>
          </w:p>
        </w:tc>
        <w:tc>
          <w:tcPr>
            <w:tcW w:w="426" w:type="dxa"/>
            <w:tcBorders>
              <w:top w:val="single" w:sz="4" w:space="0" w:color="auto"/>
              <w:bottom w:val="nil"/>
            </w:tcBorders>
          </w:tcPr>
          <w:p w14:paraId="4C83AA9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single" w:sz="4" w:space="0" w:color="auto"/>
              <w:bottom w:val="nil"/>
            </w:tcBorders>
          </w:tcPr>
          <w:p w14:paraId="7234AD2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851" w:type="dxa"/>
            <w:tcBorders>
              <w:top w:val="single" w:sz="4" w:space="0" w:color="auto"/>
              <w:bottom w:val="nil"/>
            </w:tcBorders>
          </w:tcPr>
          <w:p w14:paraId="69E3E83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460" w:type="dxa"/>
            <w:tcBorders>
              <w:top w:val="single" w:sz="4" w:space="0" w:color="auto"/>
              <w:bottom w:val="nil"/>
            </w:tcBorders>
          </w:tcPr>
          <w:p w14:paraId="67507C9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r w:rsidR="00ED7BEC" w:rsidRPr="00ED7BEC" w14:paraId="5843F39F" w14:textId="77777777" w:rsidTr="00AF6821">
        <w:trPr>
          <w:trHeight w:val="562"/>
        </w:trPr>
        <w:tc>
          <w:tcPr>
            <w:tcW w:w="6487" w:type="dxa"/>
            <w:tcBorders>
              <w:top w:val="nil"/>
              <w:bottom w:val="nil"/>
              <w:right w:val="nil"/>
            </w:tcBorders>
          </w:tcPr>
          <w:p w14:paraId="6A297890" w14:textId="235C3142"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positive control DNA</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Pr="00AF6821">
              <w:rPr>
                <w:rFonts w:ascii="Book Antiqua" w:hAnsi="Book Antiqua" w:cstheme="minorHAnsi"/>
                <w:i/>
                <w:iCs/>
                <w:color w:val="000000" w:themeColor="text1"/>
                <w:sz w:val="24"/>
                <w:szCs w:val="24"/>
              </w:rPr>
              <w:t>n</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48)</w:t>
            </w:r>
          </w:p>
        </w:tc>
        <w:tc>
          <w:tcPr>
            <w:tcW w:w="709" w:type="dxa"/>
            <w:tcBorders>
              <w:top w:val="nil"/>
              <w:left w:val="nil"/>
              <w:bottom w:val="nil"/>
            </w:tcBorders>
          </w:tcPr>
          <w:p w14:paraId="540314D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09" w:type="dxa"/>
            <w:tcBorders>
              <w:top w:val="nil"/>
              <w:bottom w:val="nil"/>
            </w:tcBorders>
          </w:tcPr>
          <w:p w14:paraId="15433E7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551" w:type="dxa"/>
            <w:tcBorders>
              <w:top w:val="nil"/>
              <w:bottom w:val="nil"/>
            </w:tcBorders>
          </w:tcPr>
          <w:p w14:paraId="4FC13F1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426" w:type="dxa"/>
            <w:tcBorders>
              <w:top w:val="nil"/>
              <w:bottom w:val="nil"/>
            </w:tcBorders>
          </w:tcPr>
          <w:p w14:paraId="439D3A1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01CAE9D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61.9</w:t>
            </w:r>
          </w:p>
        </w:tc>
        <w:tc>
          <w:tcPr>
            <w:tcW w:w="851" w:type="dxa"/>
            <w:tcBorders>
              <w:top w:val="nil"/>
              <w:bottom w:val="nil"/>
            </w:tcBorders>
          </w:tcPr>
          <w:p w14:paraId="607A84C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63.3</w:t>
            </w:r>
          </w:p>
        </w:tc>
        <w:tc>
          <w:tcPr>
            <w:tcW w:w="2460" w:type="dxa"/>
            <w:tcBorders>
              <w:top w:val="nil"/>
              <w:bottom w:val="nil"/>
            </w:tcBorders>
          </w:tcPr>
          <w:p w14:paraId="77963389" w14:textId="43618A5F"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62.6 ± 0.4 (46, 95.8%)</w:t>
            </w:r>
          </w:p>
        </w:tc>
      </w:tr>
      <w:tr w:rsidR="00ED7BEC" w:rsidRPr="00ED7BEC" w14:paraId="10C407A3" w14:textId="77777777" w:rsidTr="00AF6821">
        <w:trPr>
          <w:trHeight w:val="570"/>
        </w:trPr>
        <w:tc>
          <w:tcPr>
            <w:tcW w:w="6487" w:type="dxa"/>
            <w:tcBorders>
              <w:top w:val="nil"/>
              <w:bottom w:val="nil"/>
              <w:right w:val="nil"/>
            </w:tcBorders>
          </w:tcPr>
          <w:p w14:paraId="30B9E907" w14:textId="317EE5FE" w:rsidR="009B4192" w:rsidRPr="00ED7BEC" w:rsidRDefault="009B4192" w:rsidP="00AF6821">
            <w:pPr>
              <w:wordWrap/>
              <w:spacing w:line="360" w:lineRule="auto"/>
              <w:ind w:left="360" w:hangingChars="150" w:hanging="360"/>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and WT standard mixtures</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280)</w:t>
            </w:r>
          </w:p>
        </w:tc>
        <w:tc>
          <w:tcPr>
            <w:tcW w:w="709" w:type="dxa"/>
            <w:tcBorders>
              <w:top w:val="nil"/>
              <w:left w:val="nil"/>
              <w:bottom w:val="nil"/>
            </w:tcBorders>
          </w:tcPr>
          <w:p w14:paraId="672D883C"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50.1</w:t>
            </w:r>
          </w:p>
        </w:tc>
        <w:tc>
          <w:tcPr>
            <w:tcW w:w="709" w:type="dxa"/>
            <w:tcBorders>
              <w:top w:val="nil"/>
              <w:bottom w:val="nil"/>
            </w:tcBorders>
          </w:tcPr>
          <w:p w14:paraId="58D045B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52.6</w:t>
            </w:r>
          </w:p>
        </w:tc>
        <w:tc>
          <w:tcPr>
            <w:tcW w:w="2551" w:type="dxa"/>
            <w:tcBorders>
              <w:top w:val="nil"/>
              <w:bottom w:val="nil"/>
            </w:tcBorders>
          </w:tcPr>
          <w:p w14:paraId="5E365BFF" w14:textId="62545824"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51.5 ± 0.3</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(280, 100%)</w:t>
            </w:r>
          </w:p>
        </w:tc>
        <w:tc>
          <w:tcPr>
            <w:tcW w:w="426" w:type="dxa"/>
            <w:tcBorders>
              <w:top w:val="nil"/>
              <w:bottom w:val="nil"/>
            </w:tcBorders>
          </w:tcPr>
          <w:p w14:paraId="6674323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12B6FCA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61.9</w:t>
            </w:r>
          </w:p>
        </w:tc>
        <w:tc>
          <w:tcPr>
            <w:tcW w:w="851" w:type="dxa"/>
            <w:tcBorders>
              <w:top w:val="nil"/>
              <w:bottom w:val="nil"/>
            </w:tcBorders>
          </w:tcPr>
          <w:p w14:paraId="1107BE5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64.0</w:t>
            </w:r>
          </w:p>
        </w:tc>
        <w:tc>
          <w:tcPr>
            <w:tcW w:w="2460" w:type="dxa"/>
            <w:tcBorders>
              <w:top w:val="nil"/>
              <w:bottom w:val="nil"/>
            </w:tcBorders>
          </w:tcPr>
          <w:p w14:paraId="131E698D" w14:textId="100641CC"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63.0 ± 0.4 (280, 100%) </w:t>
            </w:r>
          </w:p>
        </w:tc>
      </w:tr>
      <w:tr w:rsidR="00ED7BEC" w:rsidRPr="00ED7BEC" w14:paraId="46D9090B" w14:textId="77777777" w:rsidTr="00AF6821">
        <w:trPr>
          <w:trHeight w:val="436"/>
        </w:trPr>
        <w:tc>
          <w:tcPr>
            <w:tcW w:w="6487" w:type="dxa"/>
            <w:tcBorders>
              <w:top w:val="nil"/>
              <w:bottom w:val="nil"/>
              <w:right w:val="nil"/>
            </w:tcBorders>
          </w:tcPr>
          <w:p w14:paraId="19C2B115" w14:textId="6C49FC17"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and WT standard mixtures</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xml:space="preserve">(24,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56)</w:t>
            </w:r>
          </w:p>
        </w:tc>
        <w:tc>
          <w:tcPr>
            <w:tcW w:w="709" w:type="dxa"/>
            <w:tcBorders>
              <w:top w:val="nil"/>
              <w:left w:val="nil"/>
              <w:bottom w:val="nil"/>
            </w:tcBorders>
          </w:tcPr>
          <w:p w14:paraId="5D1039C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49.9</w:t>
            </w:r>
          </w:p>
        </w:tc>
        <w:tc>
          <w:tcPr>
            <w:tcW w:w="709" w:type="dxa"/>
            <w:tcBorders>
              <w:top w:val="nil"/>
              <w:bottom w:val="nil"/>
            </w:tcBorders>
          </w:tcPr>
          <w:p w14:paraId="5286A97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51.9</w:t>
            </w:r>
          </w:p>
        </w:tc>
        <w:tc>
          <w:tcPr>
            <w:tcW w:w="2551" w:type="dxa"/>
            <w:tcBorders>
              <w:top w:val="nil"/>
              <w:bottom w:val="nil"/>
            </w:tcBorders>
          </w:tcPr>
          <w:p w14:paraId="54EA7774" w14:textId="4BF87035"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51.2 ± 0.5</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(45, 80.3%)</w:t>
            </w:r>
          </w:p>
        </w:tc>
        <w:tc>
          <w:tcPr>
            <w:tcW w:w="426" w:type="dxa"/>
            <w:tcBorders>
              <w:top w:val="nil"/>
              <w:bottom w:val="nil"/>
            </w:tcBorders>
          </w:tcPr>
          <w:p w14:paraId="41F589C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03B3CC6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60.9</w:t>
            </w:r>
          </w:p>
        </w:tc>
        <w:tc>
          <w:tcPr>
            <w:tcW w:w="851" w:type="dxa"/>
            <w:tcBorders>
              <w:top w:val="nil"/>
              <w:bottom w:val="nil"/>
            </w:tcBorders>
          </w:tcPr>
          <w:p w14:paraId="23B5198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63.8</w:t>
            </w:r>
          </w:p>
        </w:tc>
        <w:tc>
          <w:tcPr>
            <w:tcW w:w="2460" w:type="dxa"/>
            <w:tcBorders>
              <w:top w:val="nil"/>
              <w:bottom w:val="nil"/>
            </w:tcBorders>
          </w:tcPr>
          <w:p w14:paraId="212C983C" w14:textId="161F5BC4"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63.0 ± 0.5</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(44, 78.6%)</w:t>
            </w:r>
          </w:p>
        </w:tc>
      </w:tr>
      <w:tr w:rsidR="00ED7BEC" w:rsidRPr="00ED7BEC" w14:paraId="735CDF51" w14:textId="77777777" w:rsidTr="00AF6821">
        <w:trPr>
          <w:trHeight w:val="542"/>
        </w:trPr>
        <w:tc>
          <w:tcPr>
            <w:tcW w:w="6487" w:type="dxa"/>
            <w:tcBorders>
              <w:top w:val="nil"/>
              <w:bottom w:val="nil"/>
              <w:right w:val="nil"/>
            </w:tcBorders>
          </w:tcPr>
          <w:p w14:paraId="0F3CBD45" w14:textId="1EE5CE56" w:rsidR="009B4192" w:rsidRPr="00ED7BEC" w:rsidRDefault="009B4192" w:rsidP="00ED7BEC">
            <w:pPr>
              <w:wordWrap/>
              <w:spacing w:line="360" w:lineRule="auto"/>
              <w:jc w:val="both"/>
              <w:rPr>
                <w:rFonts w:ascii="Book Antiqua" w:hAnsi="Book Antiqua" w:cstheme="minorHAnsi"/>
                <w:color w:val="000000" w:themeColor="text1"/>
                <w:sz w:val="24"/>
                <w:szCs w:val="24"/>
                <w:vertAlign w:val="superscript"/>
              </w:rPr>
            </w:pPr>
            <w:r w:rsidRPr="00ED7BEC">
              <w:rPr>
                <w:rFonts w:ascii="Book Antiqua" w:hAnsi="Book Antiqua" w:cstheme="minorHAnsi"/>
                <w:color w:val="000000" w:themeColor="text1"/>
                <w:sz w:val="24"/>
                <w:szCs w:val="24"/>
              </w:rPr>
              <w:t>YIDD of clinical samples in duplicate</w:t>
            </w:r>
            <w:r w:rsidRPr="00ED7BEC">
              <w:rPr>
                <w:rFonts w:ascii="Book Antiqua" w:hAnsi="Book Antiqua" w:cstheme="minorHAnsi"/>
                <w:color w:val="000000" w:themeColor="text1"/>
                <w:sz w:val="24"/>
                <w:szCs w:val="24"/>
                <w:vertAlign w:val="superscript"/>
              </w:rPr>
              <w:t xml:space="preserve"> </w:t>
            </w:r>
            <w:r w:rsidRPr="00ED7BEC">
              <w:rPr>
                <w:rFonts w:ascii="Book Antiqua" w:hAnsi="Book Antiqua" w:cstheme="minorHAnsi"/>
                <w:color w:val="000000" w:themeColor="text1"/>
                <w:sz w:val="24"/>
                <w:szCs w:val="24"/>
              </w:rPr>
              <w:t>(82</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180000,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17)</w:t>
            </w:r>
          </w:p>
        </w:tc>
        <w:tc>
          <w:tcPr>
            <w:tcW w:w="709" w:type="dxa"/>
            <w:tcBorders>
              <w:top w:val="nil"/>
              <w:left w:val="nil"/>
              <w:bottom w:val="nil"/>
            </w:tcBorders>
          </w:tcPr>
          <w:p w14:paraId="2835C47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49.6</w:t>
            </w:r>
          </w:p>
        </w:tc>
        <w:tc>
          <w:tcPr>
            <w:tcW w:w="709" w:type="dxa"/>
            <w:tcBorders>
              <w:top w:val="nil"/>
              <w:bottom w:val="nil"/>
            </w:tcBorders>
          </w:tcPr>
          <w:p w14:paraId="31BF4FF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51.9</w:t>
            </w:r>
          </w:p>
        </w:tc>
        <w:tc>
          <w:tcPr>
            <w:tcW w:w="2551" w:type="dxa"/>
            <w:tcBorders>
              <w:top w:val="nil"/>
              <w:bottom w:val="nil"/>
            </w:tcBorders>
          </w:tcPr>
          <w:p w14:paraId="136A9F4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51.3 ± 0.5</w:t>
            </w:r>
          </w:p>
        </w:tc>
        <w:tc>
          <w:tcPr>
            <w:tcW w:w="426" w:type="dxa"/>
            <w:tcBorders>
              <w:top w:val="nil"/>
              <w:bottom w:val="nil"/>
            </w:tcBorders>
          </w:tcPr>
          <w:p w14:paraId="7C6E232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2846F19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851" w:type="dxa"/>
            <w:tcBorders>
              <w:top w:val="nil"/>
              <w:bottom w:val="nil"/>
            </w:tcBorders>
          </w:tcPr>
          <w:p w14:paraId="44AE519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460" w:type="dxa"/>
            <w:tcBorders>
              <w:top w:val="nil"/>
              <w:bottom w:val="nil"/>
            </w:tcBorders>
          </w:tcPr>
          <w:p w14:paraId="6E7E039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r w:rsidR="00ED7BEC" w:rsidRPr="00ED7BEC" w14:paraId="23E537D7" w14:textId="77777777" w:rsidTr="00AF6821">
        <w:trPr>
          <w:trHeight w:val="874"/>
        </w:trPr>
        <w:tc>
          <w:tcPr>
            <w:tcW w:w="6487" w:type="dxa"/>
            <w:tcBorders>
              <w:top w:val="nil"/>
              <w:bottom w:val="nil"/>
              <w:right w:val="nil"/>
            </w:tcBorders>
          </w:tcPr>
          <w:p w14:paraId="4CF0256E" w14:textId="2FDEBAF6"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of clinical samples in duplicate (65</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13000000,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397)</w:t>
            </w:r>
          </w:p>
        </w:tc>
        <w:tc>
          <w:tcPr>
            <w:tcW w:w="709" w:type="dxa"/>
            <w:tcBorders>
              <w:top w:val="nil"/>
              <w:left w:val="nil"/>
              <w:bottom w:val="nil"/>
              <w:right w:val="nil"/>
            </w:tcBorders>
          </w:tcPr>
          <w:p w14:paraId="33D8C24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09" w:type="dxa"/>
            <w:tcBorders>
              <w:top w:val="nil"/>
              <w:left w:val="nil"/>
              <w:bottom w:val="nil"/>
              <w:right w:val="nil"/>
            </w:tcBorders>
          </w:tcPr>
          <w:p w14:paraId="1DA2FFE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551" w:type="dxa"/>
            <w:tcBorders>
              <w:top w:val="nil"/>
              <w:left w:val="nil"/>
              <w:bottom w:val="nil"/>
              <w:right w:val="nil"/>
            </w:tcBorders>
          </w:tcPr>
          <w:p w14:paraId="11402B6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426" w:type="dxa"/>
            <w:tcBorders>
              <w:top w:val="nil"/>
              <w:left w:val="nil"/>
              <w:bottom w:val="nil"/>
            </w:tcBorders>
          </w:tcPr>
          <w:p w14:paraId="65CD797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16B89CE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61.1</w:t>
            </w:r>
          </w:p>
        </w:tc>
        <w:tc>
          <w:tcPr>
            <w:tcW w:w="851" w:type="dxa"/>
            <w:tcBorders>
              <w:top w:val="nil"/>
              <w:bottom w:val="nil"/>
            </w:tcBorders>
          </w:tcPr>
          <w:p w14:paraId="4368DE6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64.0</w:t>
            </w:r>
          </w:p>
        </w:tc>
        <w:tc>
          <w:tcPr>
            <w:tcW w:w="2460" w:type="dxa"/>
            <w:tcBorders>
              <w:top w:val="nil"/>
              <w:bottom w:val="nil"/>
            </w:tcBorders>
          </w:tcPr>
          <w:p w14:paraId="2928F90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62.8 ± 0.3</w:t>
            </w:r>
          </w:p>
        </w:tc>
      </w:tr>
      <w:tr w:rsidR="00ED7BEC" w:rsidRPr="00ED7BEC" w14:paraId="35F269F2" w14:textId="77777777" w:rsidTr="00AF6821">
        <w:trPr>
          <w:trHeight w:val="535"/>
        </w:trPr>
        <w:tc>
          <w:tcPr>
            <w:tcW w:w="6487" w:type="dxa"/>
            <w:tcBorders>
              <w:top w:val="nil"/>
              <w:bottom w:val="nil"/>
              <w:right w:val="nil"/>
            </w:tcBorders>
          </w:tcPr>
          <w:p w14:paraId="2B9BE77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and unidentified mixture of clinical sample</w:t>
            </w:r>
          </w:p>
        </w:tc>
        <w:tc>
          <w:tcPr>
            <w:tcW w:w="709" w:type="dxa"/>
            <w:tcBorders>
              <w:top w:val="nil"/>
              <w:left w:val="nil"/>
              <w:bottom w:val="nil"/>
              <w:right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590B99C5" w14:textId="77777777" w:rsidTr="00AF6821">
              <w:trPr>
                <w:trHeight w:val="441"/>
              </w:trPr>
              <w:tc>
                <w:tcPr>
                  <w:tcW w:w="3820" w:type="dxa"/>
                  <w:tcBorders>
                    <w:top w:val="nil"/>
                    <w:bottom w:val="nil"/>
                  </w:tcBorders>
                </w:tcPr>
                <w:p w14:paraId="170C324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49F08F8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CBFE6F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2D16FBD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left w:val="nil"/>
              <w:bottom w:val="nil"/>
              <w:right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3D9AF923" w14:textId="77777777" w:rsidTr="00AF6821">
              <w:trPr>
                <w:trHeight w:val="441"/>
              </w:trPr>
              <w:tc>
                <w:tcPr>
                  <w:tcW w:w="3820" w:type="dxa"/>
                  <w:tcBorders>
                    <w:top w:val="nil"/>
                    <w:bottom w:val="nil"/>
                  </w:tcBorders>
                </w:tcPr>
                <w:p w14:paraId="65C79EA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361E2D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3ECC45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7D54790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left w:val="nil"/>
              <w:bottom w:val="nil"/>
              <w:right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27E97E86" w14:textId="77777777" w:rsidTr="00AF6821">
              <w:trPr>
                <w:trHeight w:val="441"/>
              </w:trPr>
              <w:tc>
                <w:tcPr>
                  <w:tcW w:w="3820" w:type="dxa"/>
                  <w:tcBorders>
                    <w:top w:val="nil"/>
                    <w:bottom w:val="nil"/>
                  </w:tcBorders>
                </w:tcPr>
                <w:p w14:paraId="2CB3B5B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054E315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3C717D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3A7AD1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left w:val="nil"/>
              <w:bottom w:val="nil"/>
            </w:tcBorders>
          </w:tcPr>
          <w:p w14:paraId="12A890C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67C7871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6C97A61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10CCE8C1" w14:textId="4C101EE8"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62.9 ± 0.1</w:t>
            </w:r>
          </w:p>
          <w:p w14:paraId="2009E06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49.3 ± 0.1</w:t>
            </w:r>
          </w:p>
        </w:tc>
      </w:tr>
      <w:tr w:rsidR="00ED7BEC" w:rsidRPr="00ED7BEC" w14:paraId="3FA83BA6" w14:textId="77777777" w:rsidTr="00AF6821">
        <w:trPr>
          <w:trHeight w:val="441"/>
        </w:trPr>
        <w:tc>
          <w:tcPr>
            <w:tcW w:w="6487" w:type="dxa"/>
            <w:tcBorders>
              <w:top w:val="nil"/>
              <w:bottom w:val="nil"/>
              <w:right w:val="nil"/>
            </w:tcBorders>
          </w:tcPr>
          <w:p w14:paraId="2FD727E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YVDD</w:t>
            </w:r>
            <w:r w:rsidRPr="00ED7BEC">
              <w:rPr>
                <w:rFonts w:ascii="Book Antiqua" w:hAnsi="Book Antiqua" w:cstheme="minorHAnsi"/>
                <w:color w:val="000000" w:themeColor="text1"/>
                <w:sz w:val="24"/>
                <w:szCs w:val="24"/>
                <w:vertAlign w:val="superscript"/>
              </w:rPr>
              <w:t>1</w:t>
            </w:r>
          </w:p>
        </w:tc>
        <w:tc>
          <w:tcPr>
            <w:tcW w:w="709" w:type="dxa"/>
            <w:tcBorders>
              <w:top w:val="nil"/>
              <w:left w:val="nil"/>
              <w:bottom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56A32709" w14:textId="77777777" w:rsidTr="00AF6821">
              <w:trPr>
                <w:trHeight w:val="441"/>
              </w:trPr>
              <w:tc>
                <w:tcPr>
                  <w:tcW w:w="3820" w:type="dxa"/>
                  <w:tcBorders>
                    <w:top w:val="nil"/>
                    <w:bottom w:val="nil"/>
                  </w:tcBorders>
                </w:tcPr>
                <w:p w14:paraId="6C23A61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2EA75E8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65E328D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C1D571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179C52E0" w14:textId="77777777" w:rsidTr="00AF6821">
              <w:trPr>
                <w:trHeight w:val="441"/>
              </w:trPr>
              <w:tc>
                <w:tcPr>
                  <w:tcW w:w="3820" w:type="dxa"/>
                  <w:tcBorders>
                    <w:top w:val="nil"/>
                    <w:bottom w:val="nil"/>
                  </w:tcBorders>
                </w:tcPr>
                <w:p w14:paraId="1CA1F60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0C673B2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6F547F1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632413C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nil"/>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00788AE7" w14:textId="77777777" w:rsidTr="00AF6821">
              <w:trPr>
                <w:trHeight w:val="441"/>
              </w:trPr>
              <w:tc>
                <w:tcPr>
                  <w:tcW w:w="3820" w:type="dxa"/>
                  <w:tcBorders>
                    <w:top w:val="nil"/>
                    <w:bottom w:val="nil"/>
                  </w:tcBorders>
                </w:tcPr>
                <w:p w14:paraId="7A184A5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10E874D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40D6835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2B75768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bottom w:val="nil"/>
            </w:tcBorders>
          </w:tcPr>
          <w:p w14:paraId="545175E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5426231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561CC94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29626AC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50.4 ± 0.0</w:t>
            </w:r>
          </w:p>
        </w:tc>
      </w:tr>
      <w:tr w:rsidR="00ED7BEC" w:rsidRPr="00ED7BEC" w14:paraId="1C2D4620" w14:textId="77777777" w:rsidTr="00AF6821">
        <w:trPr>
          <w:trHeight w:val="874"/>
        </w:trPr>
        <w:tc>
          <w:tcPr>
            <w:tcW w:w="6487" w:type="dxa"/>
            <w:tcBorders>
              <w:top w:val="nil"/>
              <w:bottom w:val="nil"/>
              <w:right w:val="nil"/>
            </w:tcBorders>
          </w:tcPr>
          <w:p w14:paraId="34052ED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and YIDD with ATT/A codon</w:t>
            </w:r>
            <w:r w:rsidRPr="00ED7BEC">
              <w:rPr>
                <w:rFonts w:ascii="Book Antiqua" w:hAnsi="Book Antiqua" w:cstheme="minorHAnsi"/>
                <w:color w:val="000000" w:themeColor="text1"/>
                <w:sz w:val="24"/>
                <w:szCs w:val="24"/>
                <w:vertAlign w:val="superscript"/>
              </w:rPr>
              <w:t>1</w:t>
            </w:r>
          </w:p>
        </w:tc>
        <w:tc>
          <w:tcPr>
            <w:tcW w:w="709" w:type="dxa"/>
            <w:tcBorders>
              <w:top w:val="nil"/>
              <w:left w:val="nil"/>
              <w:bottom w:val="nil"/>
            </w:tcBorders>
          </w:tcPr>
          <w:p w14:paraId="45E2B84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nil"/>
            </w:tcBorders>
          </w:tcPr>
          <w:p w14:paraId="25C49B9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nil"/>
            </w:tcBorders>
          </w:tcPr>
          <w:p w14:paraId="0292C0B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51.4 ± 0.0</w:t>
            </w:r>
          </w:p>
        </w:tc>
        <w:tc>
          <w:tcPr>
            <w:tcW w:w="426" w:type="dxa"/>
            <w:tcBorders>
              <w:top w:val="nil"/>
              <w:bottom w:val="nil"/>
            </w:tcBorders>
          </w:tcPr>
          <w:p w14:paraId="52F8B8F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2ADC152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58243F9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01A8C6E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62.4 ± 0.2,</w:t>
            </w:r>
          </w:p>
          <w:p w14:paraId="42E311C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50.6 ± 0.0</w:t>
            </w:r>
          </w:p>
        </w:tc>
      </w:tr>
      <w:tr w:rsidR="00ED7BEC" w:rsidRPr="00ED7BEC" w14:paraId="52CA6F45" w14:textId="77777777" w:rsidTr="00AF6821">
        <w:trPr>
          <w:trHeight w:val="441"/>
        </w:trPr>
        <w:tc>
          <w:tcPr>
            <w:tcW w:w="6487" w:type="dxa"/>
            <w:tcBorders>
              <w:top w:val="nil"/>
              <w:bottom w:val="single" w:sz="4" w:space="0" w:color="auto"/>
              <w:right w:val="nil"/>
            </w:tcBorders>
          </w:tcPr>
          <w:p w14:paraId="0FE8083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eastAsia="Malgun Gothic" w:hAnsi="Book Antiqua" w:cstheme="minorHAnsi"/>
                <w:color w:val="000000" w:themeColor="text1"/>
                <w:sz w:val="24"/>
                <w:szCs w:val="24"/>
              </w:rPr>
              <w:lastRenderedPageBreak/>
              <w:t>YMDD with Y of TA</w:t>
            </w:r>
            <w:r w:rsidRPr="00ED7BEC">
              <w:rPr>
                <w:rFonts w:ascii="Book Antiqua" w:eastAsia="Malgun Gothic" w:hAnsi="Book Antiqua" w:cstheme="minorHAnsi"/>
                <w:b/>
                <w:color w:val="000000" w:themeColor="text1"/>
                <w:sz w:val="24"/>
                <w:szCs w:val="24"/>
              </w:rPr>
              <w:t>C</w:t>
            </w:r>
            <w:r w:rsidRPr="00ED7BEC">
              <w:rPr>
                <w:rFonts w:ascii="Book Antiqua" w:eastAsia="Malgun Gothic" w:hAnsi="Book Antiqua" w:cstheme="minorHAnsi"/>
                <w:color w:val="000000" w:themeColor="text1"/>
                <w:sz w:val="24"/>
                <w:szCs w:val="24"/>
              </w:rPr>
              <w:t xml:space="preserve"> codon</w:t>
            </w:r>
            <w:r w:rsidRPr="00ED7BEC">
              <w:rPr>
                <w:rFonts w:ascii="Book Antiqua" w:eastAsia="Malgun Gothic" w:hAnsi="Book Antiqua" w:cstheme="minorHAnsi"/>
                <w:color w:val="000000" w:themeColor="text1"/>
                <w:sz w:val="24"/>
                <w:szCs w:val="24"/>
                <w:vertAlign w:val="superscript"/>
              </w:rPr>
              <w:t>1</w:t>
            </w:r>
          </w:p>
        </w:tc>
        <w:tc>
          <w:tcPr>
            <w:tcW w:w="709" w:type="dxa"/>
            <w:tcBorders>
              <w:top w:val="nil"/>
              <w:left w:val="nil"/>
              <w:bottom w:val="single" w:sz="4" w:space="0" w:color="auto"/>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6CC2E280" w14:textId="77777777" w:rsidTr="00AF6821">
              <w:trPr>
                <w:trHeight w:val="441"/>
              </w:trPr>
              <w:tc>
                <w:tcPr>
                  <w:tcW w:w="3820" w:type="dxa"/>
                  <w:tcBorders>
                    <w:top w:val="nil"/>
                    <w:bottom w:val="nil"/>
                  </w:tcBorders>
                </w:tcPr>
                <w:p w14:paraId="5390614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64F1A4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548968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0B782A3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single" w:sz="4" w:space="0" w:color="auto"/>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2991AE79" w14:textId="77777777" w:rsidTr="00AF6821">
              <w:trPr>
                <w:trHeight w:val="441"/>
              </w:trPr>
              <w:tc>
                <w:tcPr>
                  <w:tcW w:w="3820" w:type="dxa"/>
                  <w:tcBorders>
                    <w:top w:val="nil"/>
                    <w:bottom w:val="nil"/>
                  </w:tcBorders>
                </w:tcPr>
                <w:p w14:paraId="1BF807B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154C2CB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65BC49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54DF14B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single" w:sz="4" w:space="0" w:color="auto"/>
            </w:tcBorders>
          </w:tcPr>
          <w:tbl>
            <w:tblPr>
              <w:tblStyle w:val="a7"/>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6B4E9F12" w14:textId="77777777" w:rsidTr="00AF6821">
              <w:trPr>
                <w:trHeight w:val="441"/>
              </w:trPr>
              <w:tc>
                <w:tcPr>
                  <w:tcW w:w="3820" w:type="dxa"/>
                  <w:tcBorders>
                    <w:top w:val="nil"/>
                    <w:bottom w:val="nil"/>
                  </w:tcBorders>
                </w:tcPr>
                <w:p w14:paraId="0D2AE2F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4151C47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78EB05E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239773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bottom w:val="single" w:sz="4" w:space="0" w:color="auto"/>
            </w:tcBorders>
          </w:tcPr>
          <w:p w14:paraId="31A0492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single" w:sz="4" w:space="0" w:color="auto"/>
            </w:tcBorders>
          </w:tcPr>
          <w:p w14:paraId="6D246ABC"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single" w:sz="4" w:space="0" w:color="auto"/>
            </w:tcBorders>
          </w:tcPr>
          <w:p w14:paraId="291FA64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single" w:sz="4" w:space="0" w:color="auto"/>
            </w:tcBorders>
          </w:tcPr>
          <w:p w14:paraId="3E3A047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57.9 ± 0.2</w:t>
            </w:r>
          </w:p>
        </w:tc>
      </w:tr>
    </w:tbl>
    <w:p w14:paraId="3986992A" w14:textId="197DC094" w:rsidR="004C223D" w:rsidRPr="00AF6821" w:rsidRDefault="004C223D" w:rsidP="00AF6821">
      <w:pPr>
        <w:wordWrap/>
        <w:adjustRightInd w:val="0"/>
        <w:spacing w:after="0" w:line="360" w:lineRule="auto"/>
        <w:ind w:left="1" w:firstLineChars="1" w:firstLine="2"/>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vertAlign w:val="superscript"/>
        </w:rPr>
        <w:t>1</w:t>
      </w:r>
      <w:r w:rsidRPr="00ED7BEC">
        <w:rPr>
          <w:rFonts w:ascii="Book Antiqua" w:hAnsi="Book Antiqua" w:cstheme="minorHAnsi"/>
          <w:color w:val="000000" w:themeColor="text1"/>
          <w:sz w:val="24"/>
          <w:szCs w:val="24"/>
        </w:rPr>
        <w:t>The variants were identified by direct sequencing of PCR products.</w:t>
      </w:r>
      <w:r w:rsidR="00AF6821">
        <w:rPr>
          <w:rFonts w:ascii="Book Antiqua" w:eastAsia="等线" w:hAnsi="Book Antiqua" w:cstheme="minorHAnsi" w:hint="eastAsia"/>
          <w:color w:val="000000" w:themeColor="text1"/>
          <w:sz w:val="24"/>
          <w:szCs w:val="24"/>
          <w:lang w:eastAsia="zh-CN"/>
        </w:rPr>
        <w:t xml:space="preserve"> </w:t>
      </w:r>
      <w:r w:rsidRPr="00ED7BEC">
        <w:rPr>
          <w:rFonts w:ascii="Book Antiqua" w:hAnsi="Book Antiqua" w:cstheme="minorHAnsi"/>
          <w:color w:val="000000" w:themeColor="text1"/>
          <w:sz w:val="24"/>
          <w:szCs w:val="24"/>
        </w:rPr>
        <w:t xml:space="preserve">(-) indicates no significant </w:t>
      </w:r>
      <w:r w:rsidR="00AF6821" w:rsidRPr="00ED7BEC">
        <w:rPr>
          <w:rFonts w:ascii="Book Antiqua" w:eastAsia="Dotum" w:hAnsi="Book Antiqua" w:cstheme="minorHAnsi"/>
          <w:color w:val="000000" w:themeColor="text1"/>
          <w:kern w:val="0"/>
          <w:sz w:val="24"/>
          <w:szCs w:val="24"/>
        </w:rPr>
        <w:t>melting temperature</w:t>
      </w:r>
      <w:r w:rsidR="00AF6821" w:rsidRP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kern w:val="0"/>
          <w:sz w:val="24"/>
          <w:szCs w:val="24"/>
        </w:rPr>
        <w:t xml:space="preserve">SD: standard deviation; </w:t>
      </w:r>
      <w:r w:rsidRPr="00ED7BEC">
        <w:rPr>
          <w:rFonts w:ascii="Book Antiqua" w:eastAsia="Dotum" w:hAnsi="Book Antiqua" w:cstheme="minorHAnsi"/>
          <w:i/>
          <w:color w:val="000000" w:themeColor="text1"/>
          <w:kern w:val="0"/>
          <w:sz w:val="24"/>
          <w:szCs w:val="24"/>
        </w:rPr>
        <w:t>T</w:t>
      </w:r>
      <w:r w:rsidRPr="00ED7BEC">
        <w:rPr>
          <w:rFonts w:ascii="Book Antiqua" w:eastAsia="Dotum" w:hAnsi="Book Antiqua" w:cstheme="minorHAnsi"/>
          <w:i/>
          <w:color w:val="000000" w:themeColor="text1"/>
          <w:kern w:val="0"/>
          <w:sz w:val="24"/>
          <w:szCs w:val="24"/>
          <w:vertAlign w:val="subscript"/>
        </w:rPr>
        <w:t>m</w:t>
      </w:r>
      <w:r w:rsidRPr="00ED7BEC">
        <w:rPr>
          <w:rFonts w:ascii="Book Antiqua" w:eastAsia="Dotum" w:hAnsi="Book Antiqua" w:cstheme="minorHAnsi"/>
          <w:color w:val="000000" w:themeColor="text1"/>
          <w:kern w:val="0"/>
          <w:sz w:val="24"/>
          <w:szCs w:val="24"/>
        </w:rPr>
        <w:t xml:space="preserve">: </w:t>
      </w:r>
      <w:r w:rsidR="00AF6821" w:rsidRPr="00ED7BEC">
        <w:rPr>
          <w:rFonts w:ascii="Book Antiqua" w:eastAsia="Dotum" w:hAnsi="Book Antiqua" w:cstheme="minorHAnsi"/>
          <w:color w:val="000000" w:themeColor="text1"/>
          <w:kern w:val="0"/>
          <w:sz w:val="24"/>
          <w:szCs w:val="24"/>
        </w:rPr>
        <w:t>M</w:t>
      </w:r>
      <w:r w:rsidRPr="00ED7BEC">
        <w:rPr>
          <w:rFonts w:ascii="Book Antiqua" w:eastAsia="Dotum" w:hAnsi="Book Antiqua" w:cstheme="minorHAnsi"/>
          <w:color w:val="000000" w:themeColor="text1"/>
          <w:kern w:val="0"/>
          <w:sz w:val="24"/>
          <w:szCs w:val="24"/>
        </w:rPr>
        <w:t>elting temperature.</w:t>
      </w:r>
    </w:p>
    <w:p w14:paraId="7BAEC4A9" w14:textId="77777777" w:rsidR="00A57F4B" w:rsidRPr="00ED7BEC" w:rsidRDefault="00A57F4B" w:rsidP="00ED7BEC">
      <w:pPr>
        <w:wordWrap/>
        <w:adjustRightInd w:val="0"/>
        <w:spacing w:after="0" w:line="360" w:lineRule="auto"/>
        <w:ind w:left="1" w:firstLineChars="1" w:firstLine="2"/>
        <w:rPr>
          <w:rFonts w:ascii="Book Antiqua" w:hAnsi="Book Antiqua" w:cstheme="minorHAnsi"/>
          <w:color w:val="000000" w:themeColor="text1"/>
          <w:kern w:val="0"/>
          <w:sz w:val="24"/>
          <w:szCs w:val="24"/>
        </w:rPr>
      </w:pPr>
    </w:p>
    <w:p w14:paraId="04AE72E7" w14:textId="77777777" w:rsidR="00070635" w:rsidRDefault="00A57F4B" w:rsidP="00ED7BEC">
      <w:pPr>
        <w:widowControl/>
        <w:wordWrap/>
        <w:autoSpaceDE/>
        <w:autoSpaceDN/>
        <w:spacing w:after="0" w:line="360" w:lineRule="auto"/>
        <w:rPr>
          <w:rFonts w:ascii="Book Antiqua" w:hAnsi="Book Antiqua" w:cs="Arial"/>
          <w:color w:val="000000" w:themeColor="text1"/>
          <w:sz w:val="24"/>
          <w:szCs w:val="24"/>
        </w:rPr>
        <w:sectPr w:rsidR="00070635" w:rsidSect="009E5AE7">
          <w:headerReference w:type="default" r:id="rId9"/>
          <w:pgSz w:w="16838" w:h="11906" w:orient="landscape"/>
          <w:pgMar w:top="1440" w:right="1701"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03D8722A" w14:textId="143863F8" w:rsidR="00A57F4B" w:rsidRPr="00070635" w:rsidRDefault="00A57F4B" w:rsidP="00ED7BEC">
      <w:pPr>
        <w:widowControl/>
        <w:wordWrap/>
        <w:autoSpaceDE/>
        <w:autoSpaceDN/>
        <w:spacing w:after="0" w:line="360" w:lineRule="auto"/>
        <w:rPr>
          <w:rFonts w:ascii="Book Antiqua" w:hAnsi="Book Antiqua" w:cstheme="majorHAnsi"/>
          <w:b/>
          <w:color w:val="000000" w:themeColor="text1"/>
          <w:sz w:val="24"/>
          <w:szCs w:val="24"/>
        </w:rPr>
      </w:pPr>
      <w:r w:rsidRPr="00070635">
        <w:rPr>
          <w:rFonts w:ascii="Book Antiqua" w:hAnsi="Book Antiqua" w:cstheme="majorHAnsi"/>
          <w:b/>
          <w:color w:val="000000" w:themeColor="text1"/>
          <w:sz w:val="24"/>
          <w:szCs w:val="24"/>
        </w:rPr>
        <w:lastRenderedPageBreak/>
        <w:t xml:space="preserve">Table </w:t>
      </w:r>
      <w:r w:rsidR="0033045F" w:rsidRPr="00070635">
        <w:rPr>
          <w:rFonts w:ascii="Book Antiqua" w:hAnsi="Book Antiqua" w:cstheme="majorHAnsi"/>
          <w:b/>
          <w:color w:val="000000" w:themeColor="text1"/>
          <w:sz w:val="24"/>
          <w:szCs w:val="24"/>
        </w:rPr>
        <w:t>3</w:t>
      </w:r>
      <w:r w:rsidRPr="00070635">
        <w:rPr>
          <w:rFonts w:ascii="Book Antiqua" w:hAnsi="Book Antiqua" w:cstheme="majorHAnsi"/>
          <w:b/>
          <w:color w:val="000000" w:themeColor="text1"/>
          <w:sz w:val="24"/>
          <w:szCs w:val="24"/>
        </w:rPr>
        <w:t xml:space="preserve"> Rates of positive detection of </w:t>
      </w:r>
      <w:r w:rsidR="004C223D" w:rsidRPr="00070635">
        <w:rPr>
          <w:rFonts w:ascii="Book Antiqua" w:hAnsi="Book Antiqua" w:cstheme="majorHAnsi"/>
          <w:b/>
          <w:color w:val="000000" w:themeColor="text1"/>
          <w:sz w:val="24"/>
          <w:szCs w:val="24"/>
        </w:rPr>
        <w:t xml:space="preserve">hepatitis B virus wild type (YMDD) </w:t>
      </w:r>
      <w:r w:rsidRPr="00070635">
        <w:rPr>
          <w:rFonts w:ascii="Book Antiqua" w:hAnsi="Book Antiqua" w:cstheme="majorHAnsi"/>
          <w:b/>
          <w:color w:val="000000" w:themeColor="text1"/>
          <w:sz w:val="24"/>
          <w:szCs w:val="24"/>
        </w:rPr>
        <w:t xml:space="preserve">and </w:t>
      </w:r>
      <w:r w:rsidR="004C223D" w:rsidRPr="00070635">
        <w:rPr>
          <w:rFonts w:ascii="Book Antiqua" w:hAnsi="Book Antiqua" w:cstheme="majorHAnsi"/>
          <w:b/>
          <w:color w:val="000000" w:themeColor="text1"/>
          <w:sz w:val="24"/>
          <w:szCs w:val="24"/>
        </w:rPr>
        <w:t>rtM204I variant (</w:t>
      </w:r>
      <w:r w:rsidRPr="00070635">
        <w:rPr>
          <w:rFonts w:ascii="Book Antiqua" w:hAnsi="Book Antiqua" w:cstheme="majorHAnsi"/>
          <w:b/>
          <w:color w:val="000000" w:themeColor="text1"/>
          <w:sz w:val="24"/>
          <w:szCs w:val="24"/>
        </w:rPr>
        <w:t>YIDD</w:t>
      </w:r>
      <w:r w:rsidR="004C223D" w:rsidRPr="00070635">
        <w:rPr>
          <w:rFonts w:ascii="Book Antiqua" w:hAnsi="Book Antiqua" w:cstheme="majorHAnsi"/>
          <w:b/>
          <w:color w:val="000000" w:themeColor="text1"/>
          <w:sz w:val="24"/>
          <w:szCs w:val="24"/>
        </w:rPr>
        <w:t>)</w:t>
      </w:r>
      <w:r w:rsidRPr="00070635">
        <w:rPr>
          <w:rFonts w:ascii="Book Antiqua" w:hAnsi="Book Antiqua" w:cstheme="majorHAnsi"/>
          <w:b/>
          <w:color w:val="000000" w:themeColor="text1"/>
          <w:sz w:val="24"/>
          <w:szCs w:val="24"/>
        </w:rPr>
        <w:t xml:space="preserve"> in 410 samples by LNA real-time PCR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5"/>
        <w:gridCol w:w="1796"/>
      </w:tblGrid>
      <w:tr w:rsidR="00ED7BEC" w:rsidRPr="00ED7BEC" w14:paraId="266F820A" w14:textId="77777777" w:rsidTr="00A57F4B">
        <w:tc>
          <w:tcPr>
            <w:tcW w:w="5245" w:type="dxa"/>
            <w:tcBorders>
              <w:top w:val="single" w:sz="4" w:space="0" w:color="auto"/>
              <w:bottom w:val="single" w:sz="4" w:space="0" w:color="auto"/>
            </w:tcBorders>
            <w:vAlign w:val="center"/>
          </w:tcPr>
          <w:p w14:paraId="21A072A0" w14:textId="77777777" w:rsidR="00A57F4B" w:rsidRPr="00070635" w:rsidRDefault="00A57F4B" w:rsidP="00ED7BEC">
            <w:pPr>
              <w:widowControl/>
              <w:wordWrap/>
              <w:autoSpaceDE/>
              <w:autoSpaceDN/>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Type of detection</w:t>
            </w:r>
          </w:p>
        </w:tc>
        <w:tc>
          <w:tcPr>
            <w:tcW w:w="1985" w:type="dxa"/>
            <w:tcBorders>
              <w:top w:val="single" w:sz="4" w:space="0" w:color="auto"/>
              <w:bottom w:val="single" w:sz="4" w:space="0" w:color="auto"/>
            </w:tcBorders>
            <w:vAlign w:val="center"/>
          </w:tcPr>
          <w:p w14:paraId="235A34E6" w14:textId="77777777" w:rsidR="00A57F4B" w:rsidRPr="00070635" w:rsidRDefault="00A57F4B" w:rsidP="00ED7BEC">
            <w:pPr>
              <w:wordWrap/>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 xml:space="preserve">No. of samples </w:t>
            </w:r>
          </w:p>
        </w:tc>
        <w:tc>
          <w:tcPr>
            <w:tcW w:w="1796" w:type="dxa"/>
            <w:tcBorders>
              <w:top w:val="single" w:sz="4" w:space="0" w:color="auto"/>
              <w:bottom w:val="single" w:sz="4" w:space="0" w:color="auto"/>
            </w:tcBorders>
            <w:vAlign w:val="center"/>
          </w:tcPr>
          <w:p w14:paraId="56AC2E0D" w14:textId="77777777" w:rsidR="00A57F4B" w:rsidRPr="00070635" w:rsidRDefault="00A57F4B" w:rsidP="00ED7BEC">
            <w:pPr>
              <w:wordWrap/>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Percentage</w:t>
            </w:r>
          </w:p>
        </w:tc>
      </w:tr>
      <w:tr w:rsidR="00ED7BEC" w:rsidRPr="00ED7BEC" w14:paraId="4A7FF2AD" w14:textId="77777777" w:rsidTr="00A57F4B">
        <w:tc>
          <w:tcPr>
            <w:tcW w:w="5245" w:type="dxa"/>
            <w:tcBorders>
              <w:top w:val="single" w:sz="4" w:space="0" w:color="auto"/>
            </w:tcBorders>
            <w:vAlign w:val="center"/>
          </w:tcPr>
          <w:p w14:paraId="1EDC80E4"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Clinical samples</w:t>
            </w:r>
          </w:p>
        </w:tc>
        <w:tc>
          <w:tcPr>
            <w:tcW w:w="1985" w:type="dxa"/>
            <w:tcBorders>
              <w:top w:val="single" w:sz="4" w:space="0" w:color="auto"/>
            </w:tcBorders>
            <w:vAlign w:val="center"/>
          </w:tcPr>
          <w:p w14:paraId="0C497AB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410</w:t>
            </w:r>
          </w:p>
        </w:tc>
        <w:tc>
          <w:tcPr>
            <w:tcW w:w="1796" w:type="dxa"/>
            <w:tcBorders>
              <w:top w:val="single" w:sz="4" w:space="0" w:color="auto"/>
            </w:tcBorders>
            <w:vAlign w:val="center"/>
          </w:tcPr>
          <w:p w14:paraId="79F516F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100%</w:t>
            </w:r>
          </w:p>
        </w:tc>
      </w:tr>
      <w:tr w:rsidR="00ED7BEC" w:rsidRPr="00ED7BEC" w14:paraId="59DB1867" w14:textId="77777777" w:rsidTr="00A57F4B">
        <w:tc>
          <w:tcPr>
            <w:tcW w:w="5245" w:type="dxa"/>
            <w:vAlign w:val="center"/>
          </w:tcPr>
          <w:p w14:paraId="298DBFF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Identified</w:t>
            </w:r>
          </w:p>
        </w:tc>
        <w:tc>
          <w:tcPr>
            <w:tcW w:w="1985" w:type="dxa"/>
            <w:vAlign w:val="center"/>
          </w:tcPr>
          <w:p w14:paraId="3E0A873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403</w:t>
            </w:r>
          </w:p>
        </w:tc>
        <w:tc>
          <w:tcPr>
            <w:tcW w:w="1796" w:type="dxa"/>
            <w:vAlign w:val="center"/>
          </w:tcPr>
          <w:p w14:paraId="34F298C2"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98.3%</w:t>
            </w:r>
          </w:p>
        </w:tc>
      </w:tr>
      <w:tr w:rsidR="00ED7BEC" w:rsidRPr="00ED7BEC" w14:paraId="5493C828" w14:textId="77777777" w:rsidTr="00A57F4B">
        <w:tc>
          <w:tcPr>
            <w:tcW w:w="5245" w:type="dxa"/>
            <w:vAlign w:val="center"/>
          </w:tcPr>
          <w:p w14:paraId="4543FDA9" w14:textId="77777777" w:rsidR="00A57F4B" w:rsidRPr="00ED7BEC" w:rsidRDefault="00A57F4B" w:rsidP="00ED7BEC">
            <w:pPr>
              <w:wordWrap/>
              <w:spacing w:line="360" w:lineRule="auto"/>
              <w:ind w:firstLineChars="150" w:firstLine="360"/>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YIDD </w:t>
            </w:r>
          </w:p>
        </w:tc>
        <w:tc>
          <w:tcPr>
            <w:tcW w:w="1985" w:type="dxa"/>
            <w:vAlign w:val="center"/>
          </w:tcPr>
          <w:p w14:paraId="5C6718D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17</w:t>
            </w:r>
          </w:p>
        </w:tc>
        <w:tc>
          <w:tcPr>
            <w:tcW w:w="1796" w:type="dxa"/>
            <w:vAlign w:val="center"/>
          </w:tcPr>
          <w:p w14:paraId="7A3168F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4.1%</w:t>
            </w:r>
          </w:p>
        </w:tc>
      </w:tr>
      <w:tr w:rsidR="00ED7BEC" w:rsidRPr="00ED7BEC" w14:paraId="24F73996" w14:textId="77777777" w:rsidTr="00A57F4B">
        <w:tc>
          <w:tcPr>
            <w:tcW w:w="5245" w:type="dxa"/>
            <w:vAlign w:val="center"/>
          </w:tcPr>
          <w:p w14:paraId="447281DE"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exclusively</w:t>
            </w:r>
          </w:p>
        </w:tc>
        <w:tc>
          <w:tcPr>
            <w:tcW w:w="1985" w:type="dxa"/>
            <w:vAlign w:val="center"/>
          </w:tcPr>
          <w:p w14:paraId="77ED0B98"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w:t>
            </w:r>
          </w:p>
        </w:tc>
        <w:tc>
          <w:tcPr>
            <w:tcW w:w="1796" w:type="dxa"/>
            <w:vAlign w:val="center"/>
          </w:tcPr>
          <w:p w14:paraId="5BE2C047"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2.2%</w:t>
            </w:r>
          </w:p>
        </w:tc>
      </w:tr>
      <w:tr w:rsidR="00ED7BEC" w:rsidRPr="00ED7BEC" w14:paraId="174C6008" w14:textId="77777777" w:rsidTr="00A57F4B">
        <w:tc>
          <w:tcPr>
            <w:tcW w:w="5245" w:type="dxa"/>
            <w:vAlign w:val="center"/>
          </w:tcPr>
          <w:p w14:paraId="3B690882"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 YMDD </w:t>
            </w:r>
          </w:p>
        </w:tc>
        <w:tc>
          <w:tcPr>
            <w:tcW w:w="1985" w:type="dxa"/>
            <w:vAlign w:val="center"/>
          </w:tcPr>
          <w:p w14:paraId="477834F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w:t>
            </w:r>
          </w:p>
        </w:tc>
        <w:tc>
          <w:tcPr>
            <w:tcW w:w="1796" w:type="dxa"/>
            <w:vAlign w:val="center"/>
          </w:tcPr>
          <w:p w14:paraId="699514D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0.7%</w:t>
            </w:r>
          </w:p>
        </w:tc>
      </w:tr>
      <w:tr w:rsidR="00ED7BEC" w:rsidRPr="00ED7BEC" w14:paraId="3142BE3A" w14:textId="77777777" w:rsidTr="00A57F4B">
        <w:tc>
          <w:tcPr>
            <w:tcW w:w="5245" w:type="dxa"/>
            <w:vAlign w:val="center"/>
          </w:tcPr>
          <w:p w14:paraId="680CDF08" w14:textId="7288537C"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 YMDD +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with ATA codon</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50D524B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1BEEBFD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2E59ED26" w14:textId="77777777" w:rsidTr="00A57F4B">
        <w:tc>
          <w:tcPr>
            <w:tcW w:w="5245" w:type="dxa"/>
            <w:vAlign w:val="center"/>
          </w:tcPr>
          <w:p w14:paraId="68887B1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 </w:t>
            </w:r>
            <w:r w:rsidRPr="00ED7BEC">
              <w:rPr>
                <w:rFonts w:ascii="Book Antiqua" w:eastAsia="Malgun Gothic" w:hAnsi="Book Antiqua" w:cstheme="majorHAnsi"/>
                <w:b/>
                <w:color w:val="000000" w:themeColor="text1"/>
                <w:sz w:val="24"/>
                <w:szCs w:val="24"/>
              </w:rPr>
              <w:t>YMDD</w:t>
            </w:r>
          </w:p>
        </w:tc>
        <w:tc>
          <w:tcPr>
            <w:tcW w:w="1985" w:type="dxa"/>
            <w:vAlign w:val="center"/>
          </w:tcPr>
          <w:p w14:paraId="56E791F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0CD6FAA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0.5%</w:t>
            </w:r>
          </w:p>
        </w:tc>
      </w:tr>
      <w:tr w:rsidR="00ED7BEC" w:rsidRPr="00ED7BEC" w14:paraId="048A66E6" w14:textId="77777777" w:rsidTr="00A57F4B">
        <w:tc>
          <w:tcPr>
            <w:tcW w:w="5245" w:type="dxa"/>
            <w:vAlign w:val="center"/>
          </w:tcPr>
          <w:p w14:paraId="4AEB8B8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 </w:t>
            </w:r>
            <w:r w:rsidRPr="00ED7BEC">
              <w:rPr>
                <w:rFonts w:ascii="Book Antiqua" w:eastAsia="Malgun Gothic" w:hAnsi="Book Antiqua" w:cstheme="majorHAnsi"/>
                <w:b/>
                <w:color w:val="000000" w:themeColor="text1"/>
                <w:sz w:val="24"/>
                <w:szCs w:val="24"/>
              </w:rPr>
              <w:t>YMDD</w:t>
            </w:r>
            <w:r w:rsidRPr="00ED7BEC">
              <w:rPr>
                <w:rFonts w:ascii="Book Antiqua" w:eastAsia="Malgun Gothic" w:hAnsi="Book Antiqua" w:cstheme="majorHAnsi"/>
                <w:color w:val="000000" w:themeColor="text1"/>
                <w:sz w:val="24"/>
                <w:szCs w:val="24"/>
              </w:rPr>
              <w:t xml:space="preserve"> </w:t>
            </w:r>
          </w:p>
        </w:tc>
        <w:tc>
          <w:tcPr>
            <w:tcW w:w="1985" w:type="dxa"/>
            <w:vAlign w:val="center"/>
          </w:tcPr>
          <w:p w14:paraId="49552AF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w:t>
            </w:r>
          </w:p>
        </w:tc>
        <w:tc>
          <w:tcPr>
            <w:tcW w:w="1796" w:type="dxa"/>
            <w:vAlign w:val="center"/>
          </w:tcPr>
          <w:p w14:paraId="635D120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0.7%</w:t>
            </w:r>
          </w:p>
        </w:tc>
      </w:tr>
      <w:tr w:rsidR="00ED7BEC" w:rsidRPr="00ED7BEC" w14:paraId="3D1050B4" w14:textId="77777777" w:rsidTr="00A57F4B">
        <w:trPr>
          <w:trHeight w:val="441"/>
        </w:trPr>
        <w:tc>
          <w:tcPr>
            <w:tcW w:w="5245" w:type="dxa"/>
            <w:vAlign w:val="center"/>
          </w:tcPr>
          <w:p w14:paraId="4C9A47C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YMDD </w:t>
            </w:r>
          </w:p>
        </w:tc>
        <w:tc>
          <w:tcPr>
            <w:tcW w:w="1985" w:type="dxa"/>
            <w:vAlign w:val="center"/>
          </w:tcPr>
          <w:p w14:paraId="55C1001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394</w:t>
            </w:r>
          </w:p>
        </w:tc>
        <w:tc>
          <w:tcPr>
            <w:tcW w:w="1796" w:type="dxa"/>
            <w:vAlign w:val="center"/>
          </w:tcPr>
          <w:p w14:paraId="682DB89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96.3%</w:t>
            </w:r>
          </w:p>
        </w:tc>
      </w:tr>
      <w:tr w:rsidR="00ED7BEC" w:rsidRPr="00ED7BEC" w14:paraId="494064EA" w14:textId="77777777" w:rsidTr="00A57F4B">
        <w:tc>
          <w:tcPr>
            <w:tcW w:w="5245" w:type="dxa"/>
            <w:vAlign w:val="center"/>
          </w:tcPr>
          <w:p w14:paraId="35F4D1E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YMDD exclusively</w:t>
            </w:r>
          </w:p>
        </w:tc>
        <w:tc>
          <w:tcPr>
            <w:tcW w:w="1985" w:type="dxa"/>
            <w:vAlign w:val="center"/>
          </w:tcPr>
          <w:p w14:paraId="0C261DF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385</w:t>
            </w:r>
          </w:p>
        </w:tc>
        <w:tc>
          <w:tcPr>
            <w:tcW w:w="1796" w:type="dxa"/>
            <w:vAlign w:val="center"/>
          </w:tcPr>
          <w:p w14:paraId="2D58F87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93.9%</w:t>
            </w:r>
          </w:p>
        </w:tc>
      </w:tr>
      <w:tr w:rsidR="00ED7BEC" w:rsidRPr="00ED7BEC" w14:paraId="2E80FD03" w14:textId="77777777" w:rsidTr="00A57F4B">
        <w:tc>
          <w:tcPr>
            <w:tcW w:w="5245" w:type="dxa"/>
            <w:vAlign w:val="center"/>
          </w:tcPr>
          <w:p w14:paraId="466C38A1" w14:textId="77777777" w:rsidR="00A57F4B" w:rsidRPr="00ED7BEC" w:rsidRDefault="00A57F4B" w:rsidP="00ED7BEC">
            <w:pPr>
              <w:wordWrap/>
              <w:spacing w:line="360" w:lineRule="auto"/>
              <w:ind w:firstLineChars="150" w:firstLine="360"/>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YMDD + </w:t>
            </w:r>
            <w:r w:rsidRPr="00ED7BEC">
              <w:rPr>
                <w:rFonts w:ascii="Book Antiqua" w:eastAsia="Malgun Gothic" w:hAnsi="Book Antiqua" w:cstheme="majorHAnsi"/>
                <w:b/>
                <w:color w:val="000000" w:themeColor="text1"/>
                <w:sz w:val="24"/>
                <w:szCs w:val="24"/>
              </w:rPr>
              <w:t>unknown variant</w:t>
            </w:r>
          </w:p>
        </w:tc>
        <w:tc>
          <w:tcPr>
            <w:tcW w:w="1985" w:type="dxa"/>
            <w:vAlign w:val="center"/>
          </w:tcPr>
          <w:p w14:paraId="40C5473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6B4AC55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62ED8BCA" w14:textId="77777777" w:rsidTr="00A57F4B">
        <w:tc>
          <w:tcPr>
            <w:tcW w:w="5245" w:type="dxa"/>
            <w:vAlign w:val="center"/>
          </w:tcPr>
          <w:p w14:paraId="2577194F"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Unidentified</w:t>
            </w:r>
          </w:p>
        </w:tc>
        <w:tc>
          <w:tcPr>
            <w:tcW w:w="1985" w:type="dxa"/>
            <w:vAlign w:val="center"/>
          </w:tcPr>
          <w:p w14:paraId="6512AE8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7</w:t>
            </w:r>
          </w:p>
        </w:tc>
        <w:tc>
          <w:tcPr>
            <w:tcW w:w="1796" w:type="dxa"/>
            <w:vAlign w:val="center"/>
          </w:tcPr>
          <w:p w14:paraId="18BE988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1.7%</w:t>
            </w:r>
          </w:p>
        </w:tc>
      </w:tr>
      <w:tr w:rsidR="00ED7BEC" w:rsidRPr="00ED7BEC" w14:paraId="49F8034E" w14:textId="77777777" w:rsidTr="00A57F4B">
        <w:tc>
          <w:tcPr>
            <w:tcW w:w="5245" w:type="dxa"/>
            <w:vAlign w:val="center"/>
          </w:tcPr>
          <w:p w14:paraId="4E18B90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Non-target </w:t>
            </w:r>
            <w:r w:rsidRPr="00ED7BEC">
              <w:rPr>
                <w:rFonts w:ascii="Book Antiqua" w:eastAsia="Malgun Gothic" w:hAnsi="Book Antiqua" w:cstheme="majorHAnsi"/>
                <w:i/>
                <w:color w:val="000000" w:themeColor="text1"/>
                <w:sz w:val="24"/>
                <w:szCs w:val="24"/>
              </w:rPr>
              <w:t>T</w:t>
            </w:r>
            <w:r w:rsidRPr="00ED7BEC">
              <w:rPr>
                <w:rFonts w:ascii="Book Antiqua" w:eastAsia="Malgun Gothic" w:hAnsi="Book Antiqua" w:cstheme="majorHAnsi"/>
                <w:color w:val="000000" w:themeColor="text1"/>
                <w:sz w:val="24"/>
                <w:szCs w:val="24"/>
                <w:vertAlign w:val="subscript"/>
              </w:rPr>
              <w:t>m</w:t>
            </w:r>
          </w:p>
        </w:tc>
        <w:tc>
          <w:tcPr>
            <w:tcW w:w="1985" w:type="dxa"/>
            <w:vAlign w:val="center"/>
          </w:tcPr>
          <w:p w14:paraId="257FD41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2</w:t>
            </w:r>
          </w:p>
        </w:tc>
        <w:tc>
          <w:tcPr>
            <w:tcW w:w="1796" w:type="dxa"/>
            <w:vAlign w:val="center"/>
          </w:tcPr>
          <w:p w14:paraId="33F7F17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0.5%</w:t>
            </w:r>
          </w:p>
        </w:tc>
      </w:tr>
      <w:tr w:rsidR="00ED7BEC" w:rsidRPr="00ED7BEC" w14:paraId="1034918F" w14:textId="77777777" w:rsidTr="00A57F4B">
        <w:tc>
          <w:tcPr>
            <w:tcW w:w="5245" w:type="dxa"/>
            <w:vAlign w:val="center"/>
          </w:tcPr>
          <w:p w14:paraId="4AA39855" w14:textId="49DD09FE"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HEX 50.4</w:t>
            </w:r>
            <w:r w:rsidR="00070635">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color w:val="000000" w:themeColor="text1"/>
                <w:sz w:val="24"/>
                <w:szCs w:val="24"/>
              </w:rPr>
              <w:t>°C; Y</w:t>
            </w:r>
            <w:r w:rsidRPr="00ED7BEC">
              <w:rPr>
                <w:rFonts w:ascii="Book Antiqua" w:eastAsia="Malgun Gothic" w:hAnsi="Book Antiqua" w:cstheme="majorHAnsi"/>
                <w:b/>
                <w:color w:val="000000" w:themeColor="text1"/>
                <w:sz w:val="24"/>
                <w:szCs w:val="24"/>
              </w:rPr>
              <w:t>V</w:t>
            </w:r>
            <w:r w:rsidRPr="00ED7BEC">
              <w:rPr>
                <w:rFonts w:ascii="Book Antiqua" w:eastAsia="Malgun Gothic" w:hAnsi="Book Antiqua" w:cstheme="majorHAnsi"/>
                <w:color w:val="000000" w:themeColor="text1"/>
                <w:sz w:val="24"/>
                <w:szCs w:val="24"/>
              </w:rPr>
              <w:t>DD</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0117DC4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0B6A831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64A03B5C" w14:textId="77777777" w:rsidTr="00A57F4B">
        <w:tc>
          <w:tcPr>
            <w:tcW w:w="5245" w:type="dxa"/>
            <w:vAlign w:val="center"/>
          </w:tcPr>
          <w:p w14:paraId="4BC0C565" w14:textId="3FD543B8"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HEX 57.9</w:t>
            </w:r>
            <w:r w:rsidR="00070635">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color w:val="000000" w:themeColor="text1"/>
                <w:sz w:val="24"/>
                <w:szCs w:val="24"/>
              </w:rPr>
              <w:t>°C; YMDD with Y of TA</w:t>
            </w:r>
            <w:r w:rsidRPr="00ED7BEC">
              <w:rPr>
                <w:rFonts w:ascii="Book Antiqua" w:eastAsia="Malgun Gothic" w:hAnsi="Book Antiqua" w:cstheme="majorHAnsi"/>
                <w:b/>
                <w:color w:val="000000" w:themeColor="text1"/>
                <w:sz w:val="24"/>
                <w:szCs w:val="24"/>
              </w:rPr>
              <w:t>C</w:t>
            </w:r>
            <w:r w:rsidRPr="00ED7BEC">
              <w:rPr>
                <w:rFonts w:ascii="Book Antiqua" w:eastAsia="Malgun Gothic" w:hAnsi="Book Antiqua" w:cstheme="majorHAnsi"/>
                <w:color w:val="000000" w:themeColor="text1"/>
                <w:sz w:val="24"/>
                <w:szCs w:val="24"/>
              </w:rPr>
              <w:t xml:space="preserve"> codon</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3D619CD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64CB4197"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02E39889" w14:textId="77777777" w:rsidTr="00A57F4B">
        <w:tc>
          <w:tcPr>
            <w:tcW w:w="5245" w:type="dxa"/>
            <w:tcBorders>
              <w:bottom w:val="single" w:sz="4" w:space="0" w:color="auto"/>
            </w:tcBorders>
            <w:vAlign w:val="center"/>
          </w:tcPr>
          <w:p w14:paraId="72121BC6"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No positive signal</w:t>
            </w:r>
          </w:p>
        </w:tc>
        <w:tc>
          <w:tcPr>
            <w:tcW w:w="1985" w:type="dxa"/>
            <w:tcBorders>
              <w:bottom w:val="single" w:sz="4" w:space="0" w:color="auto"/>
            </w:tcBorders>
            <w:vAlign w:val="center"/>
          </w:tcPr>
          <w:p w14:paraId="3BC07596"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5</w:t>
            </w:r>
          </w:p>
        </w:tc>
        <w:tc>
          <w:tcPr>
            <w:tcW w:w="1796" w:type="dxa"/>
            <w:tcBorders>
              <w:bottom w:val="single" w:sz="4" w:space="0" w:color="auto"/>
            </w:tcBorders>
            <w:vAlign w:val="center"/>
          </w:tcPr>
          <w:p w14:paraId="616BE2A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1.2%</w:t>
            </w:r>
          </w:p>
        </w:tc>
      </w:tr>
    </w:tbl>
    <w:p w14:paraId="1811925C" w14:textId="2CE1BE20" w:rsidR="004C223D" w:rsidRPr="00070635" w:rsidRDefault="004C223D" w:rsidP="00070635">
      <w:pPr>
        <w:wordWrap/>
        <w:adjustRightInd w:val="0"/>
        <w:spacing w:after="0" w:line="360" w:lineRule="auto"/>
        <w:ind w:left="1" w:firstLineChars="1" w:firstLine="2"/>
        <w:rPr>
          <w:rFonts w:ascii="Book Antiqua" w:hAnsi="Book Antiqua" w:cstheme="minorHAnsi"/>
          <w:color w:val="000000" w:themeColor="text1"/>
          <w:sz w:val="24"/>
          <w:szCs w:val="24"/>
        </w:rPr>
      </w:pPr>
      <w:r w:rsidRPr="00ED7BEC">
        <w:rPr>
          <w:rFonts w:ascii="Book Antiqua" w:hAnsi="Book Antiqua" w:cstheme="majorHAnsi"/>
          <w:color w:val="000000" w:themeColor="text1"/>
          <w:sz w:val="24"/>
          <w:szCs w:val="24"/>
        </w:rPr>
        <w:t>Bold type indicates dominant form</w:t>
      </w:r>
      <w:r w:rsidR="00070635">
        <w:rPr>
          <w:rFonts w:ascii="Book Antiqua" w:eastAsia="等线" w:hAnsi="Book Antiqua" w:cstheme="majorHAnsi" w:hint="eastAsia"/>
          <w:color w:val="000000" w:themeColor="text1"/>
          <w:sz w:val="24"/>
          <w:szCs w:val="24"/>
          <w:lang w:eastAsia="zh-CN"/>
        </w:rPr>
        <w:t>.</w:t>
      </w:r>
      <w:r w:rsidR="00070635">
        <w:rPr>
          <w:rFonts w:ascii="Book Antiqua" w:eastAsia="等线" w:hAnsi="Book Antiqua" w:cstheme="majorHAnsi"/>
          <w:color w:val="000000" w:themeColor="text1"/>
          <w:sz w:val="24"/>
          <w:szCs w:val="24"/>
          <w:lang w:eastAsia="zh-CN"/>
        </w:rPr>
        <w:t xml:space="preserve"> </w:t>
      </w:r>
      <w:r w:rsidRPr="00ED7BEC">
        <w:rPr>
          <w:rFonts w:ascii="Book Antiqua" w:hAnsi="Book Antiqua" w:cstheme="majorHAnsi"/>
          <w:color w:val="000000" w:themeColor="text1"/>
          <w:sz w:val="24"/>
          <w:szCs w:val="24"/>
          <w:vertAlign w:val="superscript"/>
        </w:rPr>
        <w:t>1</w:t>
      </w:r>
      <w:r w:rsidRPr="00ED7BEC">
        <w:rPr>
          <w:rFonts w:ascii="Book Antiqua" w:hAnsi="Book Antiqua" w:cstheme="majorHAnsi"/>
          <w:color w:val="000000" w:themeColor="text1"/>
          <w:sz w:val="24"/>
          <w:szCs w:val="24"/>
        </w:rPr>
        <w:t>The variants were</w:t>
      </w:r>
      <w:r w:rsidRPr="00ED7BEC">
        <w:rPr>
          <w:rFonts w:ascii="Book Antiqua" w:eastAsia="Malgun Gothic" w:hAnsi="Book Antiqua" w:cstheme="majorHAnsi"/>
          <w:color w:val="000000" w:themeColor="text1"/>
          <w:sz w:val="24"/>
          <w:szCs w:val="24"/>
        </w:rPr>
        <w:t xml:space="preserve"> identified by direct sequencing of PCR products.</w:t>
      </w:r>
      <w:r w:rsidR="00070635">
        <w:rPr>
          <w:rFonts w:ascii="Book Antiqua" w:eastAsia="Malgun Gothic" w:hAnsi="Book Antiqua" w:cstheme="majorHAnsi"/>
          <w:color w:val="000000" w:themeColor="text1"/>
          <w:sz w:val="24"/>
          <w:szCs w:val="24"/>
        </w:rPr>
        <w:t xml:space="preserve"> </w:t>
      </w:r>
      <w:r w:rsidR="00070635" w:rsidRPr="00ED7BEC">
        <w:rPr>
          <w:rFonts w:ascii="Book Antiqua" w:eastAsia="Dotum" w:hAnsi="Book Antiqua" w:cstheme="minorHAnsi"/>
          <w:i/>
          <w:color w:val="000000" w:themeColor="text1"/>
          <w:kern w:val="0"/>
          <w:sz w:val="24"/>
          <w:szCs w:val="24"/>
        </w:rPr>
        <w:t>T</w:t>
      </w:r>
      <w:r w:rsidR="00070635" w:rsidRPr="00ED7BEC">
        <w:rPr>
          <w:rFonts w:ascii="Book Antiqua" w:eastAsia="Dotum" w:hAnsi="Book Antiqua" w:cstheme="minorHAnsi"/>
          <w:i/>
          <w:color w:val="000000" w:themeColor="text1"/>
          <w:kern w:val="0"/>
          <w:sz w:val="24"/>
          <w:szCs w:val="24"/>
          <w:vertAlign w:val="subscript"/>
        </w:rPr>
        <w:t>m</w:t>
      </w:r>
      <w:r w:rsidR="00070635" w:rsidRPr="00ED7BEC">
        <w:rPr>
          <w:rFonts w:ascii="Book Antiqua" w:eastAsia="Dotum" w:hAnsi="Book Antiqua" w:cstheme="minorHAnsi"/>
          <w:color w:val="000000" w:themeColor="text1"/>
          <w:kern w:val="0"/>
          <w:sz w:val="24"/>
          <w:szCs w:val="24"/>
        </w:rPr>
        <w:t>: Melting temperature.</w:t>
      </w:r>
    </w:p>
    <w:p w14:paraId="752882D9" w14:textId="77777777" w:rsidR="00A57F4B" w:rsidRPr="00ED7BEC" w:rsidRDefault="00A57F4B"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br w:type="page"/>
      </w:r>
    </w:p>
    <w:p w14:paraId="2E30BE36" w14:textId="6B479C8D" w:rsidR="0033045F" w:rsidRPr="00070635" w:rsidRDefault="0033045F" w:rsidP="00ED7BEC">
      <w:pPr>
        <w:widowControl/>
        <w:wordWrap/>
        <w:autoSpaceDE/>
        <w:autoSpaceDN/>
        <w:spacing w:after="0" w:line="360" w:lineRule="auto"/>
        <w:rPr>
          <w:rFonts w:ascii="Book Antiqua" w:hAnsi="Book Antiqua" w:cstheme="majorHAnsi"/>
          <w:b/>
          <w:color w:val="000000" w:themeColor="text1"/>
          <w:sz w:val="24"/>
          <w:szCs w:val="24"/>
        </w:rPr>
      </w:pPr>
      <w:r w:rsidRPr="00070635">
        <w:rPr>
          <w:rFonts w:ascii="Book Antiqua" w:hAnsi="Book Antiqua" w:cstheme="majorHAnsi"/>
          <w:b/>
          <w:color w:val="000000" w:themeColor="text1"/>
          <w:sz w:val="24"/>
          <w:szCs w:val="24"/>
        </w:rPr>
        <w:lastRenderedPageBreak/>
        <w:t>Table 4 Baseline characteristics of 403 treatment-naïve patients with chronic hepatitis B</w:t>
      </w:r>
    </w:p>
    <w:tbl>
      <w:tblPr>
        <w:tblStyle w:val="1"/>
        <w:tblW w:w="9070" w:type="dxa"/>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10"/>
        <w:gridCol w:w="2137"/>
        <w:gridCol w:w="1855"/>
        <w:gridCol w:w="968"/>
      </w:tblGrid>
      <w:tr w:rsidR="00ED7BEC" w:rsidRPr="00070635" w14:paraId="6AB73223" w14:textId="77777777" w:rsidTr="00783BBD">
        <w:trPr>
          <w:trHeight w:val="627"/>
          <w:jc w:val="center"/>
        </w:trPr>
        <w:tc>
          <w:tcPr>
            <w:tcW w:w="4110" w:type="dxa"/>
            <w:tcBorders>
              <w:top w:val="single" w:sz="4" w:space="0" w:color="auto"/>
              <w:bottom w:val="single" w:sz="4" w:space="0" w:color="auto"/>
            </w:tcBorders>
            <w:tcMar>
              <w:top w:w="57" w:type="dxa"/>
              <w:bottom w:w="57" w:type="dxa"/>
            </w:tcMar>
            <w:vAlign w:val="center"/>
          </w:tcPr>
          <w:p w14:paraId="1EFDEF5E" w14:textId="77777777" w:rsidR="0033045F" w:rsidRPr="00070635" w:rsidRDefault="0033045F"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Characteristics</w:t>
            </w:r>
          </w:p>
        </w:tc>
        <w:tc>
          <w:tcPr>
            <w:tcW w:w="2137" w:type="dxa"/>
            <w:tcBorders>
              <w:top w:val="single" w:sz="4" w:space="0" w:color="auto"/>
              <w:bottom w:val="single" w:sz="4" w:space="0" w:color="auto"/>
            </w:tcBorders>
            <w:vAlign w:val="center"/>
          </w:tcPr>
          <w:p w14:paraId="0E838C8D" w14:textId="36878580" w:rsidR="0033045F" w:rsidRPr="00070635" w:rsidRDefault="0033045F" w:rsidP="00070635">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Pre-existing rtM204I</w:t>
            </w:r>
            <w:r w:rsidR="00070635">
              <w:rPr>
                <w:rFonts w:ascii="Book Antiqua" w:hAnsi="Book Antiqua" w:cstheme="majorHAnsi"/>
                <w:b/>
                <w:bCs/>
                <w:color w:val="000000" w:themeColor="text1"/>
                <w:sz w:val="24"/>
                <w:szCs w:val="24"/>
              </w:rPr>
              <w:t xml:space="preserve"> </w:t>
            </w:r>
            <w:r w:rsidR="00070635" w:rsidRPr="00070635">
              <w:rPr>
                <w:rFonts w:ascii="Book Antiqua" w:hAnsi="Book Antiqua" w:cstheme="majorHAnsi"/>
                <w:b/>
                <w:bCs/>
                <w:i/>
                <w:iCs/>
                <w:color w:val="000000" w:themeColor="text1"/>
                <w:sz w:val="24"/>
                <w:szCs w:val="24"/>
              </w:rPr>
              <w:t>n</w:t>
            </w:r>
            <w:r w:rsidRPr="00070635">
              <w:rPr>
                <w:rFonts w:ascii="Book Antiqua" w:hAnsi="Book Antiqua" w:cstheme="majorHAnsi"/>
                <w:b/>
                <w:bCs/>
                <w:color w:val="000000" w:themeColor="text1"/>
                <w:sz w:val="24"/>
                <w:szCs w:val="24"/>
              </w:rPr>
              <w:t xml:space="preserve"> = 17</w:t>
            </w:r>
          </w:p>
        </w:tc>
        <w:tc>
          <w:tcPr>
            <w:tcW w:w="1855" w:type="dxa"/>
            <w:tcBorders>
              <w:top w:val="single" w:sz="4" w:space="0" w:color="auto"/>
              <w:bottom w:val="single" w:sz="4" w:space="0" w:color="auto"/>
            </w:tcBorders>
            <w:vAlign w:val="center"/>
          </w:tcPr>
          <w:p w14:paraId="67B3A2FC" w14:textId="77777777" w:rsidR="0033045F" w:rsidRPr="00070635" w:rsidRDefault="0033045F"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Wild type rtM204</w:t>
            </w:r>
          </w:p>
          <w:p w14:paraId="71808C5D" w14:textId="4CB0D0DE" w:rsidR="0033045F" w:rsidRPr="00070635" w:rsidRDefault="00070635"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i/>
                <w:iCs/>
                <w:color w:val="000000" w:themeColor="text1"/>
                <w:sz w:val="24"/>
                <w:szCs w:val="24"/>
              </w:rPr>
              <w:t>n</w:t>
            </w:r>
            <w:r w:rsidR="0033045F" w:rsidRPr="00070635">
              <w:rPr>
                <w:rFonts w:ascii="Book Antiqua" w:hAnsi="Book Antiqua" w:cstheme="majorHAnsi"/>
                <w:b/>
                <w:bCs/>
                <w:color w:val="000000" w:themeColor="text1"/>
                <w:sz w:val="24"/>
                <w:szCs w:val="24"/>
              </w:rPr>
              <w:t xml:space="preserve"> = 386</w:t>
            </w:r>
          </w:p>
        </w:tc>
        <w:tc>
          <w:tcPr>
            <w:tcW w:w="968" w:type="dxa"/>
            <w:tcBorders>
              <w:top w:val="single" w:sz="4" w:space="0" w:color="auto"/>
              <w:bottom w:val="single" w:sz="4" w:space="0" w:color="auto"/>
            </w:tcBorders>
            <w:tcMar>
              <w:top w:w="57" w:type="dxa"/>
              <w:bottom w:w="57" w:type="dxa"/>
            </w:tcMar>
            <w:vAlign w:val="center"/>
          </w:tcPr>
          <w:p w14:paraId="6B95BE6C" w14:textId="0F2B9836" w:rsidR="0033045F" w:rsidRPr="00070635" w:rsidRDefault="00070635" w:rsidP="00ED7BEC">
            <w:pPr>
              <w:widowControl/>
              <w:wordWrap/>
              <w:autoSpaceDE/>
              <w:autoSpaceDN/>
              <w:spacing w:line="360" w:lineRule="auto"/>
              <w:jc w:val="both"/>
              <w:rPr>
                <w:rFonts w:ascii="Book Antiqua" w:hAnsi="Book Antiqua" w:cstheme="majorHAnsi"/>
                <w:b/>
                <w:bCs/>
                <w:i/>
                <w:iCs/>
                <w:color w:val="000000" w:themeColor="text1"/>
                <w:sz w:val="24"/>
                <w:szCs w:val="24"/>
              </w:rPr>
            </w:pPr>
            <w:r w:rsidRPr="00070635">
              <w:rPr>
                <w:rFonts w:ascii="Book Antiqua" w:hAnsi="Book Antiqua" w:cstheme="majorHAnsi"/>
                <w:b/>
                <w:bCs/>
                <w:i/>
                <w:iCs/>
                <w:color w:val="000000" w:themeColor="text1"/>
                <w:sz w:val="24"/>
                <w:szCs w:val="24"/>
              </w:rPr>
              <w:t>P</w:t>
            </w:r>
            <w:r w:rsidR="0024114A">
              <w:rPr>
                <w:rFonts w:ascii="Book Antiqua" w:hAnsi="Book Antiqua" w:cstheme="majorHAnsi"/>
                <w:b/>
                <w:bCs/>
                <w:i/>
                <w:iCs/>
                <w:color w:val="000000" w:themeColor="text1"/>
                <w:sz w:val="24"/>
                <w:szCs w:val="24"/>
              </w:rPr>
              <w:t xml:space="preserve"> </w:t>
            </w:r>
            <w:r w:rsidR="0024114A" w:rsidRPr="0024114A">
              <w:rPr>
                <w:rFonts w:ascii="Book Antiqua" w:hAnsi="Book Antiqua" w:cstheme="majorHAnsi"/>
                <w:b/>
                <w:bCs/>
                <w:color w:val="000000" w:themeColor="text1"/>
                <w:sz w:val="24"/>
                <w:szCs w:val="24"/>
              </w:rPr>
              <w:t>value</w:t>
            </w:r>
          </w:p>
        </w:tc>
      </w:tr>
      <w:tr w:rsidR="00ED7BEC" w:rsidRPr="00ED7BEC" w14:paraId="0B66E50D" w14:textId="77777777" w:rsidTr="00783BBD">
        <w:trPr>
          <w:trHeight w:val="454"/>
          <w:jc w:val="center"/>
        </w:trPr>
        <w:tc>
          <w:tcPr>
            <w:tcW w:w="4110" w:type="dxa"/>
            <w:tcBorders>
              <w:top w:val="single" w:sz="4" w:space="0" w:color="auto"/>
            </w:tcBorders>
            <w:tcMar>
              <w:top w:w="57" w:type="dxa"/>
              <w:bottom w:w="57" w:type="dxa"/>
            </w:tcMar>
            <w:vAlign w:val="center"/>
          </w:tcPr>
          <w:p w14:paraId="110B6121" w14:textId="05E7B221"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Gender (M/F)</w:t>
            </w:r>
          </w:p>
        </w:tc>
        <w:tc>
          <w:tcPr>
            <w:tcW w:w="2137" w:type="dxa"/>
            <w:tcBorders>
              <w:top w:val="single" w:sz="4" w:space="0" w:color="auto"/>
            </w:tcBorders>
            <w:vAlign w:val="center"/>
          </w:tcPr>
          <w:p w14:paraId="7C99DE7D" w14:textId="6E947E69"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14/3</w:t>
            </w:r>
          </w:p>
        </w:tc>
        <w:tc>
          <w:tcPr>
            <w:tcW w:w="1855" w:type="dxa"/>
            <w:tcBorders>
              <w:top w:val="single" w:sz="4" w:space="0" w:color="auto"/>
            </w:tcBorders>
            <w:vAlign w:val="center"/>
          </w:tcPr>
          <w:p w14:paraId="35F967C2" w14:textId="2B2CA364"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230/156</w:t>
            </w:r>
          </w:p>
        </w:tc>
        <w:tc>
          <w:tcPr>
            <w:tcW w:w="968" w:type="dxa"/>
            <w:tcBorders>
              <w:top w:val="single" w:sz="4" w:space="0" w:color="auto"/>
            </w:tcBorders>
            <w:tcMar>
              <w:top w:w="57" w:type="dxa"/>
              <w:bottom w:w="57" w:type="dxa"/>
            </w:tcMar>
            <w:vAlign w:val="center"/>
          </w:tcPr>
          <w:p w14:paraId="3C0E4B2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0.060</w:t>
            </w:r>
          </w:p>
        </w:tc>
      </w:tr>
      <w:tr w:rsidR="00ED7BEC" w:rsidRPr="00ED7BEC" w14:paraId="361EC622" w14:textId="77777777" w:rsidTr="00783BBD">
        <w:trPr>
          <w:trHeight w:val="454"/>
          <w:jc w:val="center"/>
        </w:trPr>
        <w:tc>
          <w:tcPr>
            <w:tcW w:w="4110" w:type="dxa"/>
            <w:tcMar>
              <w:top w:w="57" w:type="dxa"/>
              <w:bottom w:w="57" w:type="dxa"/>
            </w:tcMar>
            <w:vAlign w:val="center"/>
          </w:tcPr>
          <w:p w14:paraId="056DE630" w14:textId="062A271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Age (yr)</w:t>
            </w:r>
          </w:p>
        </w:tc>
        <w:tc>
          <w:tcPr>
            <w:tcW w:w="2137" w:type="dxa"/>
            <w:vAlign w:val="center"/>
          </w:tcPr>
          <w:p w14:paraId="6424775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48.8 ± 9.3</w:t>
            </w:r>
          </w:p>
        </w:tc>
        <w:tc>
          <w:tcPr>
            <w:tcW w:w="1855" w:type="dxa"/>
            <w:vAlign w:val="center"/>
          </w:tcPr>
          <w:p w14:paraId="6602E50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43.7 ± 12.6</w:t>
            </w:r>
          </w:p>
        </w:tc>
        <w:tc>
          <w:tcPr>
            <w:tcW w:w="968" w:type="dxa"/>
            <w:tcMar>
              <w:top w:w="57" w:type="dxa"/>
              <w:bottom w:w="57" w:type="dxa"/>
            </w:tcMar>
            <w:vAlign w:val="center"/>
          </w:tcPr>
          <w:p w14:paraId="1819F02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0.101</w:t>
            </w:r>
          </w:p>
        </w:tc>
      </w:tr>
      <w:tr w:rsidR="00ED7BEC" w:rsidRPr="00ED7BEC" w14:paraId="10AF6FAA" w14:textId="77777777" w:rsidTr="00783BBD">
        <w:trPr>
          <w:trHeight w:val="454"/>
          <w:jc w:val="center"/>
        </w:trPr>
        <w:tc>
          <w:tcPr>
            <w:tcW w:w="4110" w:type="dxa"/>
            <w:tcMar>
              <w:top w:w="57" w:type="dxa"/>
              <w:bottom w:w="57" w:type="dxa"/>
            </w:tcMar>
            <w:vAlign w:val="center"/>
          </w:tcPr>
          <w:p w14:paraId="55A3E882" w14:textId="64F2E6F8"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HBeAg (positive/negative)</w:t>
            </w:r>
          </w:p>
        </w:tc>
        <w:tc>
          <w:tcPr>
            <w:tcW w:w="2137" w:type="dxa"/>
            <w:vAlign w:val="center"/>
          </w:tcPr>
          <w:p w14:paraId="0C1B9B1F" w14:textId="513A336D"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10/7</w:t>
            </w:r>
          </w:p>
        </w:tc>
        <w:tc>
          <w:tcPr>
            <w:tcW w:w="1855" w:type="dxa"/>
            <w:vAlign w:val="center"/>
          </w:tcPr>
          <w:p w14:paraId="1A1AAA36" w14:textId="15C2B016"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228/158</w:t>
            </w:r>
          </w:p>
        </w:tc>
        <w:tc>
          <w:tcPr>
            <w:tcW w:w="968" w:type="dxa"/>
            <w:tcMar>
              <w:top w:w="57" w:type="dxa"/>
              <w:bottom w:w="57" w:type="dxa"/>
            </w:tcMar>
            <w:vAlign w:val="center"/>
          </w:tcPr>
          <w:p w14:paraId="0C00AB1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0.984</w:t>
            </w:r>
          </w:p>
        </w:tc>
      </w:tr>
      <w:tr w:rsidR="00ED7BEC" w:rsidRPr="00ED7BEC" w14:paraId="08688D87" w14:textId="77777777" w:rsidTr="00783BBD">
        <w:trPr>
          <w:trHeight w:val="454"/>
          <w:jc w:val="center"/>
        </w:trPr>
        <w:tc>
          <w:tcPr>
            <w:tcW w:w="4110" w:type="dxa"/>
            <w:tcMar>
              <w:top w:w="57" w:type="dxa"/>
              <w:bottom w:w="57" w:type="dxa"/>
            </w:tcMar>
            <w:vAlign w:val="center"/>
          </w:tcPr>
          <w:p w14:paraId="355B80F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lang w:val="es-ES"/>
              </w:rPr>
            </w:pPr>
            <w:r w:rsidRPr="00ED7BEC">
              <w:rPr>
                <w:rFonts w:ascii="Book Antiqua" w:hAnsi="Book Antiqua" w:cstheme="majorHAnsi"/>
                <w:color w:val="000000" w:themeColor="text1"/>
                <w:kern w:val="24"/>
                <w:sz w:val="24"/>
                <w:szCs w:val="24"/>
                <w:lang w:val="es-ES"/>
              </w:rPr>
              <w:t>HBV-DNA (log</w:t>
            </w:r>
            <w:r w:rsidRPr="00ED7BEC">
              <w:rPr>
                <w:rFonts w:ascii="Book Antiqua" w:hAnsi="Book Antiqua" w:cstheme="majorHAnsi"/>
                <w:color w:val="000000" w:themeColor="text1"/>
                <w:kern w:val="24"/>
                <w:position w:val="-5"/>
                <w:sz w:val="24"/>
                <w:szCs w:val="24"/>
                <w:vertAlign w:val="subscript"/>
                <w:lang w:val="es-ES"/>
              </w:rPr>
              <w:t>10</w:t>
            </w:r>
            <w:r w:rsidRPr="00ED7BEC">
              <w:rPr>
                <w:rFonts w:ascii="Book Antiqua" w:hAnsi="Book Antiqua" w:cstheme="majorHAnsi"/>
                <w:color w:val="000000" w:themeColor="text1"/>
                <w:kern w:val="24"/>
                <w:sz w:val="24"/>
                <w:szCs w:val="24"/>
                <w:lang w:val="es-ES"/>
              </w:rPr>
              <w:t xml:space="preserve"> IU/mL)</w:t>
            </w:r>
          </w:p>
        </w:tc>
        <w:tc>
          <w:tcPr>
            <w:tcW w:w="2137" w:type="dxa"/>
            <w:vAlign w:val="center"/>
          </w:tcPr>
          <w:p w14:paraId="12700E2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6.33 ± 0.66</w:t>
            </w:r>
          </w:p>
        </w:tc>
        <w:tc>
          <w:tcPr>
            <w:tcW w:w="1855" w:type="dxa"/>
            <w:vAlign w:val="center"/>
          </w:tcPr>
          <w:p w14:paraId="6FDCAAE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6.06 ± 1.77</w:t>
            </w:r>
          </w:p>
        </w:tc>
        <w:tc>
          <w:tcPr>
            <w:tcW w:w="968" w:type="dxa"/>
            <w:tcMar>
              <w:top w:w="57" w:type="dxa"/>
              <w:bottom w:w="57" w:type="dxa"/>
            </w:tcMar>
            <w:vAlign w:val="center"/>
          </w:tcPr>
          <w:p w14:paraId="7F94BEC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0.519</w:t>
            </w:r>
          </w:p>
        </w:tc>
      </w:tr>
      <w:tr w:rsidR="00ED7BEC" w:rsidRPr="00ED7BEC" w14:paraId="1986EBE9" w14:textId="77777777" w:rsidTr="00783BBD">
        <w:trPr>
          <w:trHeight w:val="454"/>
          <w:jc w:val="center"/>
        </w:trPr>
        <w:tc>
          <w:tcPr>
            <w:tcW w:w="4110" w:type="dxa"/>
            <w:tcMar>
              <w:top w:w="57" w:type="dxa"/>
              <w:bottom w:w="57" w:type="dxa"/>
            </w:tcMar>
            <w:vAlign w:val="center"/>
          </w:tcPr>
          <w:p w14:paraId="2E0A196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 xml:space="preserve">qHBsAg (log </w:t>
            </w:r>
            <w:r w:rsidRPr="00ED7BEC">
              <w:rPr>
                <w:rFonts w:ascii="Book Antiqua" w:hAnsi="Book Antiqua" w:cstheme="majorHAnsi"/>
                <w:color w:val="000000" w:themeColor="text1"/>
                <w:kern w:val="24"/>
                <w:position w:val="-5"/>
                <w:sz w:val="24"/>
                <w:szCs w:val="24"/>
                <w:vertAlign w:val="subscript"/>
              </w:rPr>
              <w:t>10</w:t>
            </w:r>
            <w:r w:rsidRPr="00ED7BEC">
              <w:rPr>
                <w:rFonts w:ascii="Book Antiqua" w:hAnsi="Book Antiqua" w:cstheme="majorHAnsi"/>
                <w:color w:val="000000" w:themeColor="text1"/>
                <w:kern w:val="24"/>
                <w:sz w:val="24"/>
                <w:szCs w:val="24"/>
              </w:rPr>
              <w:t xml:space="preserve"> IU/mL)</w:t>
            </w:r>
          </w:p>
        </w:tc>
        <w:tc>
          <w:tcPr>
            <w:tcW w:w="2137" w:type="dxa"/>
            <w:vAlign w:val="center"/>
          </w:tcPr>
          <w:p w14:paraId="547E834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3.43 ± 0.30</w:t>
            </w:r>
          </w:p>
        </w:tc>
        <w:tc>
          <w:tcPr>
            <w:tcW w:w="1855" w:type="dxa"/>
            <w:vAlign w:val="center"/>
          </w:tcPr>
          <w:p w14:paraId="148001D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3.59 ± 0.70</w:t>
            </w:r>
          </w:p>
        </w:tc>
        <w:tc>
          <w:tcPr>
            <w:tcW w:w="968" w:type="dxa"/>
            <w:tcMar>
              <w:top w:w="57" w:type="dxa"/>
              <w:bottom w:w="57" w:type="dxa"/>
            </w:tcMar>
            <w:vAlign w:val="center"/>
          </w:tcPr>
          <w:p w14:paraId="0DD4031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0.334</w:t>
            </w:r>
          </w:p>
        </w:tc>
      </w:tr>
      <w:tr w:rsidR="00ED7BEC" w:rsidRPr="00ED7BEC" w14:paraId="4E976F3D" w14:textId="77777777" w:rsidTr="00783BBD">
        <w:trPr>
          <w:trHeight w:val="454"/>
          <w:jc w:val="center"/>
        </w:trPr>
        <w:tc>
          <w:tcPr>
            <w:tcW w:w="4110" w:type="dxa"/>
            <w:tcMar>
              <w:top w:w="57" w:type="dxa"/>
              <w:bottom w:w="57" w:type="dxa"/>
            </w:tcMar>
            <w:vAlign w:val="center"/>
          </w:tcPr>
          <w:p w14:paraId="681514B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AST (IU/L)</w:t>
            </w:r>
          </w:p>
        </w:tc>
        <w:tc>
          <w:tcPr>
            <w:tcW w:w="2137" w:type="dxa"/>
            <w:vAlign w:val="center"/>
          </w:tcPr>
          <w:p w14:paraId="0BC8D73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104.7 ± 40.9</w:t>
            </w:r>
          </w:p>
        </w:tc>
        <w:tc>
          <w:tcPr>
            <w:tcW w:w="1855" w:type="dxa"/>
            <w:vAlign w:val="center"/>
          </w:tcPr>
          <w:p w14:paraId="32F478C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78.7 ± 65.2</w:t>
            </w:r>
          </w:p>
        </w:tc>
        <w:tc>
          <w:tcPr>
            <w:tcW w:w="968" w:type="dxa"/>
            <w:tcMar>
              <w:top w:w="57" w:type="dxa"/>
              <w:bottom w:w="57" w:type="dxa"/>
            </w:tcMar>
            <w:vAlign w:val="center"/>
          </w:tcPr>
          <w:p w14:paraId="67CA151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0.103</w:t>
            </w:r>
          </w:p>
        </w:tc>
      </w:tr>
      <w:tr w:rsidR="00ED7BEC" w:rsidRPr="00ED7BEC" w14:paraId="34B1EE91" w14:textId="77777777" w:rsidTr="00783BBD">
        <w:trPr>
          <w:trHeight w:val="454"/>
          <w:jc w:val="center"/>
        </w:trPr>
        <w:tc>
          <w:tcPr>
            <w:tcW w:w="4110" w:type="dxa"/>
            <w:tcMar>
              <w:top w:w="57" w:type="dxa"/>
              <w:bottom w:w="57" w:type="dxa"/>
            </w:tcMar>
            <w:vAlign w:val="center"/>
          </w:tcPr>
          <w:p w14:paraId="229362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ALT (IU/L)</w:t>
            </w:r>
          </w:p>
        </w:tc>
        <w:tc>
          <w:tcPr>
            <w:tcW w:w="2137" w:type="dxa"/>
            <w:vAlign w:val="center"/>
          </w:tcPr>
          <w:p w14:paraId="0B2C60E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77.8 ± 29.4</w:t>
            </w:r>
          </w:p>
        </w:tc>
        <w:tc>
          <w:tcPr>
            <w:tcW w:w="1855" w:type="dxa"/>
            <w:vAlign w:val="center"/>
          </w:tcPr>
          <w:p w14:paraId="408F48B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85.4 ± 84.1</w:t>
            </w:r>
          </w:p>
        </w:tc>
        <w:tc>
          <w:tcPr>
            <w:tcW w:w="968" w:type="dxa"/>
            <w:tcMar>
              <w:top w:w="57" w:type="dxa"/>
              <w:bottom w:w="57" w:type="dxa"/>
            </w:tcMar>
            <w:vAlign w:val="center"/>
          </w:tcPr>
          <w:p w14:paraId="53E5DF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0.709</w:t>
            </w:r>
          </w:p>
        </w:tc>
      </w:tr>
      <w:tr w:rsidR="00ED7BEC" w:rsidRPr="00ED7BEC" w14:paraId="7A9E9704" w14:textId="77777777" w:rsidTr="00783BBD">
        <w:trPr>
          <w:trHeight w:val="454"/>
          <w:jc w:val="center"/>
        </w:trPr>
        <w:tc>
          <w:tcPr>
            <w:tcW w:w="4110" w:type="dxa"/>
            <w:tcMar>
              <w:top w:w="57" w:type="dxa"/>
              <w:bottom w:w="57" w:type="dxa"/>
            </w:tcMar>
            <w:vAlign w:val="center"/>
          </w:tcPr>
          <w:p w14:paraId="291A0E7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Total bilirubin (mg/dL)</w:t>
            </w:r>
          </w:p>
        </w:tc>
        <w:tc>
          <w:tcPr>
            <w:tcW w:w="2137" w:type="dxa"/>
            <w:vAlign w:val="center"/>
          </w:tcPr>
          <w:p w14:paraId="67AA94C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0.93 ± 0.33</w:t>
            </w:r>
          </w:p>
        </w:tc>
        <w:tc>
          <w:tcPr>
            <w:tcW w:w="1855" w:type="dxa"/>
            <w:vAlign w:val="center"/>
          </w:tcPr>
          <w:p w14:paraId="161A2EB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0.88 ± 0.60</w:t>
            </w:r>
          </w:p>
        </w:tc>
        <w:tc>
          <w:tcPr>
            <w:tcW w:w="968" w:type="dxa"/>
            <w:tcMar>
              <w:top w:w="57" w:type="dxa"/>
              <w:bottom w:w="57" w:type="dxa"/>
            </w:tcMar>
            <w:vAlign w:val="center"/>
          </w:tcPr>
          <w:p w14:paraId="057F2AE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0.743</w:t>
            </w:r>
          </w:p>
        </w:tc>
      </w:tr>
      <w:tr w:rsidR="00ED7BEC" w:rsidRPr="00ED7BEC" w14:paraId="60933C45" w14:textId="77777777" w:rsidTr="00783BBD">
        <w:trPr>
          <w:trHeight w:val="454"/>
          <w:jc w:val="center"/>
        </w:trPr>
        <w:tc>
          <w:tcPr>
            <w:tcW w:w="4110" w:type="dxa"/>
            <w:tcMar>
              <w:top w:w="57" w:type="dxa"/>
              <w:bottom w:w="57" w:type="dxa"/>
            </w:tcMar>
            <w:vAlign w:val="center"/>
          </w:tcPr>
          <w:p w14:paraId="31147B4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Albumin (g/dL)</w:t>
            </w:r>
          </w:p>
        </w:tc>
        <w:tc>
          <w:tcPr>
            <w:tcW w:w="2137" w:type="dxa"/>
            <w:vAlign w:val="center"/>
          </w:tcPr>
          <w:p w14:paraId="79C9176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4.02 ± 0.43</w:t>
            </w:r>
          </w:p>
        </w:tc>
        <w:tc>
          <w:tcPr>
            <w:tcW w:w="1855" w:type="dxa"/>
            <w:vAlign w:val="center"/>
          </w:tcPr>
          <w:p w14:paraId="3293730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0.52</w:t>
            </w:r>
          </w:p>
        </w:tc>
        <w:tc>
          <w:tcPr>
            <w:tcW w:w="968" w:type="dxa"/>
            <w:tcMar>
              <w:top w:w="57" w:type="dxa"/>
              <w:bottom w:w="57" w:type="dxa"/>
            </w:tcMar>
            <w:vAlign w:val="center"/>
          </w:tcPr>
          <w:p w14:paraId="5DB0BEC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0.338</w:t>
            </w:r>
          </w:p>
        </w:tc>
      </w:tr>
      <w:tr w:rsidR="00ED7BEC" w:rsidRPr="00ED7BEC" w14:paraId="15ABBAA7" w14:textId="77777777" w:rsidTr="00783BBD">
        <w:trPr>
          <w:trHeight w:val="454"/>
          <w:jc w:val="center"/>
        </w:trPr>
        <w:tc>
          <w:tcPr>
            <w:tcW w:w="4110" w:type="dxa"/>
            <w:tcMar>
              <w:top w:w="57" w:type="dxa"/>
              <w:bottom w:w="57" w:type="dxa"/>
            </w:tcMar>
            <w:vAlign w:val="center"/>
          </w:tcPr>
          <w:p w14:paraId="0B7BFF7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Prothrombin time (INR)</w:t>
            </w:r>
          </w:p>
        </w:tc>
        <w:tc>
          <w:tcPr>
            <w:tcW w:w="2137" w:type="dxa"/>
            <w:vAlign w:val="center"/>
          </w:tcPr>
          <w:p w14:paraId="2F03DD8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1.07 ± 0.10</w:t>
            </w:r>
          </w:p>
        </w:tc>
        <w:tc>
          <w:tcPr>
            <w:tcW w:w="1855" w:type="dxa"/>
            <w:vAlign w:val="center"/>
          </w:tcPr>
          <w:p w14:paraId="4257775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1.02 ± 0.16</w:t>
            </w:r>
          </w:p>
        </w:tc>
        <w:tc>
          <w:tcPr>
            <w:tcW w:w="968" w:type="dxa"/>
            <w:tcMar>
              <w:top w:w="57" w:type="dxa"/>
              <w:bottom w:w="57" w:type="dxa"/>
            </w:tcMar>
            <w:vAlign w:val="center"/>
          </w:tcPr>
          <w:p w14:paraId="3089130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0.246</w:t>
            </w:r>
          </w:p>
        </w:tc>
      </w:tr>
      <w:tr w:rsidR="00ED7BEC" w:rsidRPr="00ED7BEC" w14:paraId="4D422403" w14:textId="77777777" w:rsidTr="00783BBD">
        <w:trPr>
          <w:trHeight w:val="454"/>
          <w:jc w:val="center"/>
        </w:trPr>
        <w:tc>
          <w:tcPr>
            <w:tcW w:w="4110" w:type="dxa"/>
            <w:tcMar>
              <w:top w:w="57" w:type="dxa"/>
              <w:bottom w:w="57" w:type="dxa"/>
            </w:tcMar>
            <w:vAlign w:val="center"/>
          </w:tcPr>
          <w:p w14:paraId="78245A9A" w14:textId="69C927C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Platelet count (</w:t>
            </w:r>
            <w:r w:rsidR="00783BBD">
              <w:rPr>
                <w:rFonts w:ascii="Book Antiqua" w:hAnsi="Book Antiqua" w:cstheme="majorHAnsi"/>
                <w:color w:val="000000" w:themeColor="text1"/>
                <w:kern w:val="24"/>
                <w:sz w:val="24"/>
                <w:szCs w:val="24"/>
              </w:rPr>
              <w:t xml:space="preserve">× </w:t>
            </w:r>
            <w:r w:rsidRPr="00ED7BEC">
              <w:rPr>
                <w:rFonts w:ascii="Book Antiqua" w:hAnsi="Book Antiqua" w:cstheme="majorHAnsi"/>
                <w:color w:val="000000" w:themeColor="text1"/>
                <w:kern w:val="24"/>
                <w:sz w:val="24"/>
                <w:szCs w:val="24"/>
              </w:rPr>
              <w:t>10</w:t>
            </w:r>
            <w:r w:rsidRPr="00ED7BEC">
              <w:rPr>
                <w:rFonts w:ascii="Book Antiqua" w:hAnsi="Book Antiqua" w:cstheme="majorHAnsi"/>
                <w:color w:val="000000" w:themeColor="text1"/>
                <w:kern w:val="24"/>
                <w:position w:val="6"/>
                <w:sz w:val="24"/>
                <w:szCs w:val="24"/>
                <w:vertAlign w:val="superscript"/>
              </w:rPr>
              <w:t>3</w:t>
            </w:r>
            <w:r w:rsidRPr="00ED7BEC">
              <w:rPr>
                <w:rFonts w:ascii="Book Antiqua" w:hAnsi="Book Antiqua" w:cstheme="majorHAnsi"/>
                <w:color w:val="000000" w:themeColor="text1"/>
                <w:kern w:val="24"/>
                <w:sz w:val="24"/>
                <w:szCs w:val="24"/>
              </w:rPr>
              <w:t>/mm</w:t>
            </w:r>
            <w:r w:rsidRPr="00ED7BEC">
              <w:rPr>
                <w:rFonts w:ascii="Book Antiqua" w:hAnsi="Book Antiqua" w:cstheme="majorHAnsi"/>
                <w:color w:val="000000" w:themeColor="text1"/>
                <w:kern w:val="24"/>
                <w:position w:val="6"/>
                <w:sz w:val="24"/>
                <w:szCs w:val="24"/>
                <w:vertAlign w:val="superscript"/>
              </w:rPr>
              <w:t>3</w:t>
            </w:r>
            <w:r w:rsidRPr="00ED7BEC">
              <w:rPr>
                <w:rFonts w:ascii="Book Antiqua" w:hAnsi="Book Antiqua" w:cstheme="majorHAnsi"/>
                <w:color w:val="000000" w:themeColor="text1"/>
                <w:kern w:val="24"/>
                <w:sz w:val="24"/>
                <w:szCs w:val="24"/>
              </w:rPr>
              <w:t>)</w:t>
            </w:r>
          </w:p>
        </w:tc>
        <w:tc>
          <w:tcPr>
            <w:tcW w:w="2137" w:type="dxa"/>
            <w:vAlign w:val="center"/>
          </w:tcPr>
          <w:p w14:paraId="25B4C02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155.7 ± 55.6</w:t>
            </w:r>
          </w:p>
        </w:tc>
        <w:tc>
          <w:tcPr>
            <w:tcW w:w="1855" w:type="dxa"/>
            <w:vAlign w:val="center"/>
          </w:tcPr>
          <w:p w14:paraId="223C7BE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181.4 ± 64.4</w:t>
            </w:r>
          </w:p>
        </w:tc>
        <w:tc>
          <w:tcPr>
            <w:tcW w:w="968" w:type="dxa"/>
            <w:tcMar>
              <w:top w:w="57" w:type="dxa"/>
              <w:bottom w:w="57" w:type="dxa"/>
            </w:tcMar>
            <w:vAlign w:val="center"/>
          </w:tcPr>
          <w:p w14:paraId="0569F75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0.106</w:t>
            </w:r>
          </w:p>
        </w:tc>
      </w:tr>
      <w:tr w:rsidR="00ED7BEC" w:rsidRPr="00ED7BEC" w14:paraId="456FB94F" w14:textId="77777777" w:rsidTr="00783BBD">
        <w:trPr>
          <w:trHeight w:val="454"/>
          <w:jc w:val="center"/>
        </w:trPr>
        <w:tc>
          <w:tcPr>
            <w:tcW w:w="4110" w:type="dxa"/>
            <w:tcMar>
              <w:top w:w="57" w:type="dxa"/>
              <w:bottom w:w="57" w:type="dxa"/>
            </w:tcMar>
            <w:vAlign w:val="center"/>
          </w:tcPr>
          <w:p w14:paraId="7D6C606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FIB-4</w:t>
            </w:r>
          </w:p>
        </w:tc>
        <w:tc>
          <w:tcPr>
            <w:tcW w:w="2137" w:type="dxa"/>
            <w:vAlign w:val="center"/>
          </w:tcPr>
          <w:p w14:paraId="41BB3D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4.38 ± 2.33</w:t>
            </w:r>
          </w:p>
        </w:tc>
        <w:tc>
          <w:tcPr>
            <w:tcW w:w="1855" w:type="dxa"/>
            <w:vAlign w:val="center"/>
          </w:tcPr>
          <w:p w14:paraId="4721789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2.91 ± 2.92</w:t>
            </w:r>
          </w:p>
        </w:tc>
        <w:tc>
          <w:tcPr>
            <w:tcW w:w="968" w:type="dxa"/>
            <w:tcMar>
              <w:top w:w="57" w:type="dxa"/>
              <w:bottom w:w="57" w:type="dxa"/>
            </w:tcMar>
            <w:vAlign w:val="center"/>
          </w:tcPr>
          <w:p w14:paraId="6A1BBEB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0.041</w:t>
            </w:r>
          </w:p>
        </w:tc>
      </w:tr>
      <w:tr w:rsidR="00ED7BEC" w:rsidRPr="00ED7BEC" w14:paraId="705E0E7B" w14:textId="77777777" w:rsidTr="00783BBD">
        <w:trPr>
          <w:trHeight w:val="454"/>
          <w:jc w:val="center"/>
        </w:trPr>
        <w:tc>
          <w:tcPr>
            <w:tcW w:w="4110" w:type="dxa"/>
            <w:tcMar>
              <w:top w:w="57" w:type="dxa"/>
              <w:bottom w:w="57" w:type="dxa"/>
            </w:tcMar>
            <w:vAlign w:val="center"/>
          </w:tcPr>
          <w:p w14:paraId="6A24F532"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APRI</w:t>
            </w:r>
          </w:p>
        </w:tc>
        <w:tc>
          <w:tcPr>
            <w:tcW w:w="2137" w:type="dxa"/>
            <w:vAlign w:val="center"/>
          </w:tcPr>
          <w:p w14:paraId="26DF75C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1.94 ± 0.98</w:t>
            </w:r>
          </w:p>
        </w:tc>
        <w:tc>
          <w:tcPr>
            <w:tcW w:w="1855" w:type="dxa"/>
            <w:vAlign w:val="center"/>
          </w:tcPr>
          <w:p w14:paraId="65B61B5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1.34 ± 1.35</w:t>
            </w:r>
          </w:p>
        </w:tc>
        <w:tc>
          <w:tcPr>
            <w:tcW w:w="968" w:type="dxa"/>
            <w:tcMar>
              <w:top w:w="57" w:type="dxa"/>
              <w:bottom w:w="57" w:type="dxa"/>
            </w:tcMar>
            <w:vAlign w:val="center"/>
          </w:tcPr>
          <w:p w14:paraId="164501A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0.068</w:t>
            </w:r>
          </w:p>
        </w:tc>
      </w:tr>
      <w:tr w:rsidR="00ED7BEC" w:rsidRPr="00ED7BEC" w14:paraId="7298989F" w14:textId="77777777" w:rsidTr="00783BBD">
        <w:trPr>
          <w:trHeight w:val="454"/>
          <w:jc w:val="center"/>
        </w:trPr>
        <w:tc>
          <w:tcPr>
            <w:tcW w:w="4110" w:type="dxa"/>
            <w:tcMar>
              <w:top w:w="57" w:type="dxa"/>
              <w:bottom w:w="57" w:type="dxa"/>
            </w:tcMar>
            <w:vAlign w:val="center"/>
          </w:tcPr>
          <w:p w14:paraId="635E6D35" w14:textId="521DC2F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Significant fibrosis</w:t>
            </w:r>
            <w:r w:rsidR="004C223D" w:rsidRPr="00ED7BEC">
              <w:rPr>
                <w:rFonts w:ascii="Book Antiqua" w:eastAsia="Malgun Gothic" w:hAnsi="Book Antiqua" w:cstheme="majorHAnsi"/>
                <w:color w:val="000000" w:themeColor="text1"/>
                <w:kern w:val="24"/>
                <w:sz w:val="24"/>
                <w:szCs w:val="24"/>
                <w:vertAlign w:val="superscript"/>
              </w:rPr>
              <w:t>1</w:t>
            </w:r>
            <w:r w:rsidRPr="00ED7BEC">
              <w:rPr>
                <w:rFonts w:ascii="Book Antiqua" w:hAnsi="Book Antiqua" w:cstheme="majorHAnsi"/>
                <w:color w:val="000000" w:themeColor="text1"/>
                <w:kern w:val="24"/>
                <w:sz w:val="24"/>
                <w:szCs w:val="24"/>
              </w:rPr>
              <w:t xml:space="preserve"> (presence/absence)</w:t>
            </w:r>
          </w:p>
        </w:tc>
        <w:tc>
          <w:tcPr>
            <w:tcW w:w="2137" w:type="dxa"/>
            <w:vAlign w:val="center"/>
          </w:tcPr>
          <w:p w14:paraId="38907314" w14:textId="059375DF"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12/5</w:t>
            </w:r>
          </w:p>
        </w:tc>
        <w:tc>
          <w:tcPr>
            <w:tcW w:w="1855" w:type="dxa"/>
            <w:vAlign w:val="center"/>
          </w:tcPr>
          <w:p w14:paraId="189BA487" w14:textId="5E64FA18"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145/241</w:t>
            </w:r>
          </w:p>
        </w:tc>
        <w:tc>
          <w:tcPr>
            <w:tcW w:w="968" w:type="dxa"/>
            <w:tcMar>
              <w:top w:w="57" w:type="dxa"/>
              <w:bottom w:w="57" w:type="dxa"/>
            </w:tcMar>
            <w:vAlign w:val="center"/>
          </w:tcPr>
          <w:p w14:paraId="260395D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0.006</w:t>
            </w:r>
          </w:p>
        </w:tc>
      </w:tr>
      <w:tr w:rsidR="00ED7BEC" w:rsidRPr="00ED7BEC" w14:paraId="158B8F08" w14:textId="77777777" w:rsidTr="00783BBD">
        <w:trPr>
          <w:trHeight w:val="454"/>
          <w:jc w:val="center"/>
        </w:trPr>
        <w:tc>
          <w:tcPr>
            <w:tcW w:w="4110" w:type="dxa"/>
            <w:tcMar>
              <w:top w:w="57" w:type="dxa"/>
              <w:bottom w:w="57" w:type="dxa"/>
            </w:tcMar>
            <w:vAlign w:val="center"/>
          </w:tcPr>
          <w:p w14:paraId="6323F017" w14:textId="6C94C42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Liver cirrhosis (presence/absence)</w:t>
            </w:r>
          </w:p>
        </w:tc>
        <w:tc>
          <w:tcPr>
            <w:tcW w:w="2137" w:type="dxa"/>
            <w:vAlign w:val="center"/>
          </w:tcPr>
          <w:p w14:paraId="74BE8495" w14:textId="150F4384"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7/10</w:t>
            </w:r>
          </w:p>
        </w:tc>
        <w:tc>
          <w:tcPr>
            <w:tcW w:w="1855" w:type="dxa"/>
            <w:vAlign w:val="center"/>
          </w:tcPr>
          <w:p w14:paraId="4BF14D5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80 / 306</w:t>
            </w:r>
          </w:p>
        </w:tc>
        <w:tc>
          <w:tcPr>
            <w:tcW w:w="968" w:type="dxa"/>
            <w:tcMar>
              <w:top w:w="57" w:type="dxa"/>
              <w:bottom w:w="57" w:type="dxa"/>
            </w:tcMar>
            <w:vAlign w:val="center"/>
          </w:tcPr>
          <w:p w14:paraId="03314E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0.045</w:t>
            </w:r>
          </w:p>
        </w:tc>
      </w:tr>
      <w:tr w:rsidR="00ED7BEC" w:rsidRPr="00ED7BEC" w14:paraId="615547C8" w14:textId="77777777" w:rsidTr="00783BBD">
        <w:trPr>
          <w:trHeight w:val="454"/>
          <w:jc w:val="center"/>
        </w:trPr>
        <w:tc>
          <w:tcPr>
            <w:tcW w:w="4110" w:type="dxa"/>
            <w:tcMar>
              <w:top w:w="57" w:type="dxa"/>
              <w:bottom w:w="57" w:type="dxa"/>
            </w:tcMar>
            <w:vAlign w:val="center"/>
          </w:tcPr>
          <w:p w14:paraId="25FADEA2" w14:textId="6161F226"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HCC (presence/absence)</w:t>
            </w:r>
          </w:p>
        </w:tc>
        <w:tc>
          <w:tcPr>
            <w:tcW w:w="2137" w:type="dxa"/>
            <w:vAlign w:val="center"/>
          </w:tcPr>
          <w:p w14:paraId="243BA43A" w14:textId="12C6D5D3"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5/12</w:t>
            </w:r>
          </w:p>
        </w:tc>
        <w:tc>
          <w:tcPr>
            <w:tcW w:w="1855" w:type="dxa"/>
            <w:vAlign w:val="center"/>
          </w:tcPr>
          <w:p w14:paraId="1F18017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46 / 340</w:t>
            </w:r>
          </w:p>
        </w:tc>
        <w:tc>
          <w:tcPr>
            <w:tcW w:w="968" w:type="dxa"/>
            <w:tcMar>
              <w:top w:w="57" w:type="dxa"/>
              <w:bottom w:w="57" w:type="dxa"/>
            </w:tcMar>
            <w:vAlign w:val="center"/>
          </w:tcPr>
          <w:p w14:paraId="76FCF52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0.034</w:t>
            </w:r>
          </w:p>
        </w:tc>
      </w:tr>
    </w:tbl>
    <w:p w14:paraId="342AA9E8" w14:textId="5148CE7F" w:rsidR="004C223D" w:rsidRDefault="004C223D"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eastAsia="Malgun Gothic" w:hAnsi="Book Antiqua" w:cstheme="majorHAnsi"/>
          <w:color w:val="000000" w:themeColor="text1"/>
          <w:kern w:val="24"/>
          <w:sz w:val="24"/>
          <w:szCs w:val="24"/>
          <w:vertAlign w:val="superscript"/>
        </w:rPr>
        <w:t>1</w:t>
      </w:r>
      <w:r w:rsidR="0033045F" w:rsidRPr="00ED7BEC">
        <w:rPr>
          <w:rFonts w:ascii="Book Antiqua" w:hAnsi="Book Antiqua" w:cstheme="majorHAnsi"/>
          <w:color w:val="000000" w:themeColor="text1"/>
          <w:kern w:val="24"/>
          <w:sz w:val="24"/>
          <w:szCs w:val="24"/>
        </w:rPr>
        <w:t>Significant fibrosis</w:t>
      </w:r>
      <w:r w:rsidR="0033045F" w:rsidRPr="00ED7BEC">
        <w:rPr>
          <w:rFonts w:ascii="Book Antiqua" w:eastAsia="Malgun Gothic" w:hAnsi="Book Antiqua" w:cstheme="majorHAnsi"/>
          <w:color w:val="000000" w:themeColor="text1"/>
          <w:kern w:val="24"/>
          <w:sz w:val="24"/>
          <w:szCs w:val="24"/>
        </w:rPr>
        <w:t xml:space="preserve"> was defined as </w:t>
      </w:r>
      <w:r w:rsidR="00783BBD" w:rsidRPr="00ED7BEC">
        <w:rPr>
          <w:rFonts w:ascii="Book Antiqua" w:hAnsi="Book Antiqua" w:cs="Arial"/>
          <w:color w:val="000000" w:themeColor="text1"/>
          <w:sz w:val="24"/>
          <w:szCs w:val="24"/>
        </w:rPr>
        <w:t>aspartate aminotransferase</w:t>
      </w:r>
      <w:r w:rsidR="00783BBD" w:rsidRPr="00ED7BEC">
        <w:rPr>
          <w:rFonts w:ascii="Book Antiqua" w:hAnsi="Book Antiqua" w:cstheme="majorHAnsi"/>
          <w:color w:val="000000" w:themeColor="text1"/>
          <w:sz w:val="24"/>
          <w:szCs w:val="24"/>
        </w:rPr>
        <w:t xml:space="preserve"> to platelet ratio index</w:t>
      </w:r>
      <w:r w:rsidRPr="00ED7BEC">
        <w:rPr>
          <w:rFonts w:ascii="Book Antiqua" w:eastAsia="Malgun Gothic" w:hAnsi="Book Antiqua" w:cstheme="majorHAnsi"/>
          <w:color w:val="000000" w:themeColor="text1"/>
          <w:kern w:val="24"/>
          <w:sz w:val="24"/>
          <w:szCs w:val="24"/>
        </w:rPr>
        <w:t xml:space="preserve"> </w:t>
      </w:r>
      <w:r w:rsidR="0033045F" w:rsidRPr="00ED7BEC">
        <w:rPr>
          <w:rFonts w:ascii="Book Antiqua" w:eastAsia="Malgun Gothic" w:hAnsi="Book Antiqua" w:cstheme="majorHAnsi"/>
          <w:color w:val="000000" w:themeColor="text1"/>
          <w:kern w:val="24"/>
          <w:sz w:val="24"/>
          <w:szCs w:val="24"/>
        </w:rPr>
        <w:t xml:space="preserve">&gt; 1.5 or </w:t>
      </w:r>
      <w:r w:rsidR="00783BBD" w:rsidRPr="00ED7BEC">
        <w:rPr>
          <w:rFonts w:ascii="Book Antiqua" w:hAnsi="Book Antiqua" w:cstheme="majorHAnsi"/>
          <w:color w:val="000000" w:themeColor="text1"/>
          <w:sz w:val="24"/>
          <w:szCs w:val="24"/>
        </w:rPr>
        <w:t>fibrosis-4 index</w:t>
      </w:r>
      <w:r w:rsidR="0033045F" w:rsidRPr="00ED7BEC">
        <w:rPr>
          <w:rFonts w:ascii="Book Antiqua" w:eastAsia="Malgun Gothic" w:hAnsi="Book Antiqua" w:cstheme="majorHAnsi"/>
          <w:color w:val="000000" w:themeColor="text1"/>
          <w:kern w:val="24"/>
          <w:sz w:val="24"/>
          <w:szCs w:val="24"/>
        </w:rPr>
        <w:t xml:space="preserve"> &gt; 3.25.</w:t>
      </w:r>
      <w:r w:rsidR="00783BBD">
        <w:rPr>
          <w:rFonts w:ascii="Book Antiqua" w:eastAsia="等线" w:hAnsi="Book Antiqua" w:cstheme="majorHAnsi" w:hint="eastAsia"/>
          <w:color w:val="000000" w:themeColor="text1"/>
          <w:sz w:val="24"/>
          <w:szCs w:val="24"/>
          <w:lang w:eastAsia="zh-CN"/>
        </w:rPr>
        <w:t xml:space="preserve"> </w:t>
      </w:r>
      <w:r w:rsidRPr="00ED7BEC">
        <w:rPr>
          <w:rFonts w:ascii="Book Antiqua" w:hAnsi="Book Antiqua" w:cstheme="majorHAnsi"/>
          <w:color w:val="000000" w:themeColor="text1"/>
          <w:sz w:val="24"/>
          <w:szCs w:val="24"/>
        </w:rPr>
        <w:t xml:space="preserve">ALT: </w:t>
      </w:r>
      <w:r w:rsidR="00783BBD"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lanine aminotransferase; APRI: </w:t>
      </w:r>
      <w:r w:rsidR="00783BBD" w:rsidRPr="00ED7BEC">
        <w:rPr>
          <w:rFonts w:ascii="Book Antiqua" w:hAnsi="Book Antiqua" w:cs="Arial"/>
          <w:color w:val="000000" w:themeColor="text1"/>
          <w:sz w:val="24"/>
          <w:szCs w:val="24"/>
        </w:rPr>
        <w:t>Aspartate aminotransferase</w:t>
      </w:r>
      <w:r w:rsidRPr="00ED7BEC">
        <w:rPr>
          <w:rFonts w:ascii="Book Antiqua" w:hAnsi="Book Antiqua" w:cstheme="majorHAnsi"/>
          <w:color w:val="000000" w:themeColor="text1"/>
          <w:sz w:val="24"/>
          <w:szCs w:val="24"/>
        </w:rPr>
        <w:t xml:space="preserve"> to </w:t>
      </w:r>
      <w:r w:rsidR="00783BBD" w:rsidRPr="00ED7BEC">
        <w:rPr>
          <w:rFonts w:ascii="Book Antiqua" w:hAnsi="Book Antiqua" w:cstheme="majorHAnsi"/>
          <w:color w:val="000000" w:themeColor="text1"/>
          <w:sz w:val="24"/>
          <w:szCs w:val="24"/>
        </w:rPr>
        <w:t>platelet ratio index</w:t>
      </w:r>
      <w:r w:rsidRPr="00ED7BEC">
        <w:rPr>
          <w:rFonts w:ascii="Book Antiqua" w:hAnsi="Book Antiqua" w:cstheme="majorHAnsi"/>
          <w:color w:val="000000" w:themeColor="text1"/>
          <w:sz w:val="24"/>
          <w:szCs w:val="24"/>
        </w:rPr>
        <w:t xml:space="preserve">; AST: </w:t>
      </w:r>
      <w:r w:rsidR="00783BBD"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spartate aminotransferase; FIB-4: </w:t>
      </w:r>
      <w:r w:rsidRPr="00ED7BEC">
        <w:rPr>
          <w:rFonts w:ascii="Book Antiqua" w:hAnsi="Book Antiqua" w:cstheme="majorHAnsi"/>
          <w:color w:val="000000" w:themeColor="text1"/>
          <w:sz w:val="24"/>
          <w:szCs w:val="24"/>
        </w:rPr>
        <w:lastRenderedPageBreak/>
        <w:t xml:space="preserve">Fibrosis-4 Index; HCC: </w:t>
      </w:r>
      <w:r w:rsidR="00783BBD" w:rsidRPr="00ED7BEC">
        <w:rPr>
          <w:rFonts w:ascii="Book Antiqua" w:hAnsi="Book Antiqua" w:cstheme="majorHAnsi"/>
          <w:color w:val="000000" w:themeColor="text1"/>
          <w:sz w:val="24"/>
          <w:szCs w:val="24"/>
        </w:rPr>
        <w:t>H</w:t>
      </w:r>
      <w:r w:rsidRPr="00ED7BEC">
        <w:rPr>
          <w:rFonts w:ascii="Book Antiqua" w:hAnsi="Book Antiqua" w:cstheme="majorHAnsi"/>
          <w:color w:val="000000" w:themeColor="text1"/>
          <w:sz w:val="24"/>
          <w:szCs w:val="24"/>
        </w:rPr>
        <w:t xml:space="preserve">epatocellular carcinoma; INR: </w:t>
      </w:r>
      <w:r w:rsidR="00783BBD" w:rsidRPr="00ED7BEC">
        <w:rPr>
          <w:rFonts w:ascii="Book Antiqua" w:hAnsi="Book Antiqua" w:cstheme="majorHAnsi"/>
          <w:color w:val="000000" w:themeColor="text1"/>
          <w:sz w:val="24"/>
          <w:szCs w:val="24"/>
        </w:rPr>
        <w:t>I</w:t>
      </w:r>
      <w:r w:rsidRPr="00ED7BEC">
        <w:rPr>
          <w:rFonts w:ascii="Book Antiqua" w:hAnsi="Book Antiqua" w:cstheme="majorHAnsi"/>
          <w:color w:val="000000" w:themeColor="text1"/>
          <w:sz w:val="24"/>
          <w:szCs w:val="24"/>
        </w:rPr>
        <w:t xml:space="preserve">nternational normalized ratio; qHBsAg: </w:t>
      </w:r>
      <w:r w:rsidR="00783BBD" w:rsidRPr="00ED7BEC">
        <w:rPr>
          <w:rFonts w:ascii="Book Antiqua" w:hAnsi="Book Antiqua" w:cstheme="majorHAnsi"/>
          <w:color w:val="000000" w:themeColor="text1"/>
          <w:sz w:val="24"/>
          <w:szCs w:val="24"/>
        </w:rPr>
        <w:t>Q</w:t>
      </w:r>
      <w:r w:rsidRPr="00ED7BEC">
        <w:rPr>
          <w:rFonts w:ascii="Book Antiqua" w:hAnsi="Book Antiqua" w:cstheme="majorHAnsi"/>
          <w:color w:val="000000" w:themeColor="text1"/>
          <w:sz w:val="24"/>
          <w:szCs w:val="24"/>
        </w:rPr>
        <w:t xml:space="preserve">uantitative </w:t>
      </w:r>
      <w:r w:rsidR="00783BBD" w:rsidRPr="00ED7BEC">
        <w:rPr>
          <w:rFonts w:ascii="Book Antiqua" w:hAnsi="Book Antiqua" w:cs="Arial"/>
          <w:color w:val="000000" w:themeColor="text1"/>
          <w:sz w:val="24"/>
          <w:szCs w:val="24"/>
        </w:rPr>
        <w:t>hepatitis B surface antigen</w:t>
      </w:r>
      <w:r w:rsidRPr="00ED7BEC">
        <w:rPr>
          <w:rFonts w:ascii="Book Antiqua" w:hAnsi="Book Antiqua" w:cstheme="majorHAnsi"/>
          <w:color w:val="000000" w:themeColor="text1"/>
          <w:sz w:val="24"/>
          <w:szCs w:val="24"/>
        </w:rPr>
        <w:t xml:space="preserve"> levels</w:t>
      </w:r>
      <w:r w:rsidR="00783BBD">
        <w:rPr>
          <w:rFonts w:ascii="Book Antiqua" w:hAnsi="Book Antiqua" w:cstheme="majorHAnsi"/>
          <w:color w:val="000000" w:themeColor="text1"/>
          <w:sz w:val="24"/>
          <w:szCs w:val="24"/>
        </w:rPr>
        <w:t xml:space="preserve">; HBV: </w:t>
      </w:r>
      <w:r w:rsidR="00783BBD" w:rsidRPr="00ED7BEC">
        <w:rPr>
          <w:rFonts w:ascii="Book Antiqua" w:hAnsi="Book Antiqua" w:cs="Arial"/>
          <w:color w:val="000000" w:themeColor="text1"/>
          <w:sz w:val="24"/>
          <w:szCs w:val="24"/>
        </w:rPr>
        <w:t>Hepatitis B</w:t>
      </w:r>
      <w:r w:rsidR="00783BBD">
        <w:rPr>
          <w:rFonts w:ascii="Book Antiqua" w:hAnsi="Book Antiqua" w:cs="Arial"/>
          <w:color w:val="000000" w:themeColor="text1"/>
          <w:sz w:val="24"/>
          <w:szCs w:val="24"/>
        </w:rPr>
        <w:t xml:space="preserve"> virus. </w:t>
      </w:r>
    </w:p>
    <w:p w14:paraId="02BDB825" w14:textId="434E1472" w:rsidR="00070635" w:rsidRDefault="00070635" w:rsidP="00ED7BEC">
      <w:pPr>
        <w:widowControl/>
        <w:wordWrap/>
        <w:autoSpaceDE/>
        <w:autoSpaceDN/>
        <w:spacing w:after="0" w:line="360" w:lineRule="auto"/>
        <w:rPr>
          <w:rFonts w:ascii="Book Antiqua" w:hAnsi="Book Antiqua" w:cstheme="majorHAnsi"/>
          <w:color w:val="000000" w:themeColor="text1"/>
          <w:sz w:val="24"/>
          <w:szCs w:val="24"/>
        </w:rPr>
      </w:pPr>
    </w:p>
    <w:p w14:paraId="2CDC7652" w14:textId="77777777" w:rsidR="00C965DB" w:rsidRDefault="00070635">
      <w:pPr>
        <w:widowControl/>
        <w:wordWrap/>
        <w:autoSpaceDE/>
        <w:autoSpaceDN/>
        <w:rPr>
          <w:rFonts w:ascii="Book Antiqua" w:hAnsi="Book Antiqua" w:cstheme="majorHAnsi"/>
          <w:color w:val="000000" w:themeColor="text1"/>
          <w:sz w:val="24"/>
          <w:szCs w:val="24"/>
        </w:rPr>
        <w:sectPr w:rsidR="00C965DB" w:rsidSect="00070635">
          <w:headerReference w:type="default" r:id="rId10"/>
          <w:pgSz w:w="11906" w:h="16838"/>
          <w:pgMar w:top="1701" w:right="1440" w:bottom="1440" w:left="1440" w:header="851" w:footer="992" w:gutter="0"/>
          <w:cols w:space="425"/>
          <w:docGrid w:linePitch="360"/>
        </w:sectPr>
      </w:pPr>
      <w:r>
        <w:rPr>
          <w:rFonts w:ascii="Book Antiqua" w:hAnsi="Book Antiqua" w:cstheme="majorHAnsi"/>
          <w:color w:val="000000" w:themeColor="text1"/>
          <w:sz w:val="24"/>
          <w:szCs w:val="24"/>
        </w:rPr>
        <w:br w:type="page"/>
      </w:r>
    </w:p>
    <w:p w14:paraId="63C4F87B" w14:textId="2C075812" w:rsidR="0033045F" w:rsidRPr="00C965DB" w:rsidRDefault="0033045F" w:rsidP="00ED7BEC">
      <w:pPr>
        <w:wordWrap/>
        <w:spacing w:after="0" w:line="360" w:lineRule="auto"/>
        <w:rPr>
          <w:rFonts w:ascii="Book Antiqua" w:hAnsi="Book Antiqua" w:cstheme="minorHAnsi"/>
          <w:b/>
          <w:color w:val="000000" w:themeColor="text1"/>
          <w:sz w:val="24"/>
          <w:szCs w:val="24"/>
        </w:rPr>
      </w:pPr>
      <w:r w:rsidRPr="00C965DB">
        <w:rPr>
          <w:rFonts w:ascii="Book Antiqua" w:hAnsi="Book Antiqua" w:cstheme="minorHAnsi"/>
          <w:b/>
          <w:color w:val="000000" w:themeColor="text1"/>
          <w:sz w:val="24"/>
          <w:szCs w:val="24"/>
        </w:rPr>
        <w:lastRenderedPageBreak/>
        <w:t xml:space="preserve">Table 5 Independent factors for pre-existing rtM204I variants in treatment-naïve chronic hepatitis B patients </w:t>
      </w:r>
    </w:p>
    <w:tbl>
      <w:tblPr>
        <w:tblStyle w:val="2"/>
        <w:tblW w:w="13543" w:type="dxa"/>
        <w:jc w:val="center"/>
        <w:tblBorders>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53"/>
        <w:gridCol w:w="1430"/>
        <w:gridCol w:w="1706"/>
        <w:gridCol w:w="940"/>
        <w:gridCol w:w="1984"/>
        <w:gridCol w:w="993"/>
        <w:gridCol w:w="674"/>
        <w:gridCol w:w="1713"/>
        <w:gridCol w:w="850"/>
      </w:tblGrid>
      <w:tr w:rsidR="00ED7BEC" w:rsidRPr="00ED7BEC" w14:paraId="3AD36BA1" w14:textId="77777777" w:rsidTr="000E1CE0">
        <w:trPr>
          <w:trHeight w:val="454"/>
          <w:jc w:val="center"/>
        </w:trPr>
        <w:tc>
          <w:tcPr>
            <w:tcW w:w="3253" w:type="dxa"/>
            <w:vMerge w:val="restart"/>
            <w:tcBorders>
              <w:top w:val="single" w:sz="4" w:space="0" w:color="auto"/>
              <w:bottom w:val="nil"/>
            </w:tcBorders>
            <w:tcMar>
              <w:top w:w="28" w:type="dxa"/>
              <w:bottom w:w="28" w:type="dxa"/>
            </w:tcMar>
            <w:vAlign w:val="center"/>
          </w:tcPr>
          <w:p w14:paraId="167D604D" w14:textId="77777777" w:rsidR="0033045F" w:rsidRPr="00C965DB" w:rsidRDefault="0033045F" w:rsidP="00ED7BEC">
            <w:pPr>
              <w:wordWrap/>
              <w:spacing w:line="360" w:lineRule="auto"/>
              <w:jc w:val="both"/>
              <w:rPr>
                <w:rFonts w:ascii="Book Antiqua" w:hAnsi="Book Antiqua" w:cstheme="minorHAnsi"/>
                <w:b/>
                <w:bCs/>
                <w:color w:val="000000" w:themeColor="text1"/>
                <w:sz w:val="24"/>
                <w:szCs w:val="24"/>
              </w:rPr>
            </w:pPr>
          </w:p>
        </w:tc>
        <w:tc>
          <w:tcPr>
            <w:tcW w:w="1430" w:type="dxa"/>
            <w:vMerge w:val="restart"/>
            <w:tcBorders>
              <w:top w:val="single" w:sz="4" w:space="0" w:color="auto"/>
              <w:bottom w:val="nil"/>
            </w:tcBorders>
            <w:vAlign w:val="center"/>
          </w:tcPr>
          <w:p w14:paraId="65AF0669" w14:textId="7F632EFF" w:rsidR="0033045F" w:rsidRPr="00C965DB" w:rsidRDefault="0033045F" w:rsidP="00C965DB">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ajorHAnsi"/>
                <w:b/>
                <w:bCs/>
                <w:color w:val="000000" w:themeColor="text1"/>
                <w:sz w:val="24"/>
                <w:szCs w:val="24"/>
              </w:rPr>
              <w:t>Pre-existing rtM204I</w:t>
            </w:r>
            <w:r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i/>
                <w:iCs/>
                <w:color w:val="000000" w:themeColor="text1"/>
                <w:kern w:val="24"/>
                <w:sz w:val="24"/>
                <w:szCs w:val="24"/>
              </w:rPr>
              <w:t>n</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17)</w:t>
            </w:r>
          </w:p>
        </w:tc>
        <w:tc>
          <w:tcPr>
            <w:tcW w:w="1706" w:type="dxa"/>
            <w:vMerge w:val="restart"/>
            <w:tcBorders>
              <w:top w:val="single" w:sz="4" w:space="0" w:color="auto"/>
              <w:bottom w:val="nil"/>
            </w:tcBorders>
            <w:vAlign w:val="center"/>
          </w:tcPr>
          <w:p w14:paraId="0695DD9D"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inorHAnsi"/>
                <w:b/>
                <w:bCs/>
                <w:color w:val="000000" w:themeColor="text1"/>
                <w:kern w:val="24"/>
                <w:sz w:val="24"/>
                <w:szCs w:val="24"/>
              </w:rPr>
              <w:t xml:space="preserve">Wild type rtM204 </w:t>
            </w:r>
          </w:p>
          <w:p w14:paraId="3E637FFD" w14:textId="26086CC9"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inorHAnsi"/>
                <w:b/>
                <w:bCs/>
                <w:color w:val="000000" w:themeColor="text1"/>
                <w:kern w:val="24"/>
                <w:sz w:val="24"/>
                <w:szCs w:val="24"/>
              </w:rPr>
              <w:t>(</w:t>
            </w:r>
            <w:r w:rsidRPr="00C965DB">
              <w:rPr>
                <w:rFonts w:ascii="Book Antiqua" w:hAnsi="Book Antiqua" w:cstheme="minorHAnsi"/>
                <w:b/>
                <w:bCs/>
                <w:i/>
                <w:iCs/>
                <w:color w:val="000000" w:themeColor="text1"/>
                <w:kern w:val="24"/>
                <w:sz w:val="24"/>
                <w:szCs w:val="24"/>
              </w:rPr>
              <w:t>n</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386)</w:t>
            </w:r>
          </w:p>
        </w:tc>
        <w:tc>
          <w:tcPr>
            <w:tcW w:w="3917" w:type="dxa"/>
            <w:gridSpan w:val="3"/>
            <w:tcBorders>
              <w:top w:val="single" w:sz="4" w:space="0" w:color="auto"/>
              <w:bottom w:val="single" w:sz="4" w:space="0" w:color="auto"/>
            </w:tcBorders>
            <w:tcMar>
              <w:top w:w="28" w:type="dxa"/>
              <w:bottom w:w="28" w:type="dxa"/>
            </w:tcMar>
            <w:vAlign w:val="center"/>
          </w:tcPr>
          <w:p w14:paraId="0A31F058" w14:textId="0E7A3514" w:rsidR="0033045F" w:rsidRPr="00C965DB" w:rsidRDefault="00C965DB"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U</w:t>
            </w:r>
            <w:r w:rsidR="0033045F" w:rsidRPr="00C965DB">
              <w:rPr>
                <w:rFonts w:ascii="Book Antiqua" w:hAnsi="Book Antiqua" w:cstheme="minorHAnsi"/>
                <w:b/>
                <w:bCs/>
                <w:color w:val="000000" w:themeColor="text1"/>
                <w:kern w:val="24"/>
                <w:sz w:val="24"/>
                <w:szCs w:val="24"/>
              </w:rPr>
              <w:t>nivariate</w:t>
            </w:r>
          </w:p>
        </w:tc>
        <w:tc>
          <w:tcPr>
            <w:tcW w:w="3237" w:type="dxa"/>
            <w:gridSpan w:val="3"/>
            <w:tcBorders>
              <w:top w:val="single" w:sz="4" w:space="0" w:color="auto"/>
              <w:bottom w:val="single" w:sz="4" w:space="0" w:color="auto"/>
            </w:tcBorders>
            <w:tcMar>
              <w:top w:w="28" w:type="dxa"/>
              <w:bottom w:w="28" w:type="dxa"/>
            </w:tcMar>
            <w:vAlign w:val="center"/>
          </w:tcPr>
          <w:p w14:paraId="38DE14DE" w14:textId="65EA96DE" w:rsidR="0033045F" w:rsidRPr="00C965DB" w:rsidRDefault="00C965DB"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M</w:t>
            </w:r>
            <w:r w:rsidR="0033045F" w:rsidRPr="00C965DB">
              <w:rPr>
                <w:rFonts w:ascii="Book Antiqua" w:hAnsi="Book Antiqua" w:cstheme="minorHAnsi"/>
                <w:b/>
                <w:bCs/>
                <w:color w:val="000000" w:themeColor="text1"/>
                <w:kern w:val="24"/>
                <w:sz w:val="24"/>
                <w:szCs w:val="24"/>
              </w:rPr>
              <w:t>ultivariate</w:t>
            </w:r>
          </w:p>
        </w:tc>
      </w:tr>
      <w:tr w:rsidR="00ED7BEC" w:rsidRPr="00ED7BEC" w14:paraId="2786A1BA" w14:textId="77777777" w:rsidTr="000E1CE0">
        <w:trPr>
          <w:trHeight w:val="454"/>
          <w:jc w:val="center"/>
        </w:trPr>
        <w:tc>
          <w:tcPr>
            <w:tcW w:w="3253" w:type="dxa"/>
            <w:vMerge/>
            <w:tcBorders>
              <w:top w:val="nil"/>
              <w:bottom w:val="single" w:sz="4" w:space="0" w:color="auto"/>
            </w:tcBorders>
            <w:tcMar>
              <w:top w:w="28" w:type="dxa"/>
              <w:bottom w:w="28" w:type="dxa"/>
            </w:tcMar>
            <w:vAlign w:val="center"/>
          </w:tcPr>
          <w:p w14:paraId="5BD4D74E"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sz w:val="24"/>
                <w:szCs w:val="24"/>
              </w:rPr>
            </w:pPr>
          </w:p>
        </w:tc>
        <w:tc>
          <w:tcPr>
            <w:tcW w:w="1430" w:type="dxa"/>
            <w:vMerge/>
            <w:tcBorders>
              <w:top w:val="nil"/>
              <w:bottom w:val="single" w:sz="4" w:space="0" w:color="auto"/>
            </w:tcBorders>
            <w:vAlign w:val="center"/>
          </w:tcPr>
          <w:p w14:paraId="0F54A0AF"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1706" w:type="dxa"/>
            <w:vMerge/>
            <w:tcBorders>
              <w:top w:val="nil"/>
              <w:bottom w:val="single" w:sz="4" w:space="0" w:color="auto"/>
            </w:tcBorders>
            <w:vAlign w:val="center"/>
          </w:tcPr>
          <w:p w14:paraId="3CA508C8"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940" w:type="dxa"/>
            <w:tcBorders>
              <w:top w:val="single" w:sz="4" w:space="0" w:color="auto"/>
              <w:bottom w:val="single" w:sz="4" w:space="0" w:color="auto"/>
            </w:tcBorders>
            <w:tcMar>
              <w:top w:w="28" w:type="dxa"/>
              <w:bottom w:w="28" w:type="dxa"/>
            </w:tcMar>
            <w:vAlign w:val="center"/>
          </w:tcPr>
          <w:p w14:paraId="224EA4C5"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OR</w:t>
            </w:r>
          </w:p>
        </w:tc>
        <w:tc>
          <w:tcPr>
            <w:tcW w:w="1984" w:type="dxa"/>
            <w:tcBorders>
              <w:top w:val="single" w:sz="4" w:space="0" w:color="auto"/>
              <w:bottom w:val="single" w:sz="4" w:space="0" w:color="auto"/>
            </w:tcBorders>
            <w:tcMar>
              <w:top w:w="28" w:type="dxa"/>
              <w:bottom w:w="28" w:type="dxa"/>
            </w:tcMar>
            <w:vAlign w:val="center"/>
          </w:tcPr>
          <w:p w14:paraId="3E13D150" w14:textId="2C421038"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95%CI</w:t>
            </w:r>
          </w:p>
        </w:tc>
        <w:tc>
          <w:tcPr>
            <w:tcW w:w="993" w:type="dxa"/>
            <w:tcBorders>
              <w:top w:val="single" w:sz="4" w:space="0" w:color="auto"/>
              <w:bottom w:val="single" w:sz="4" w:space="0" w:color="auto"/>
            </w:tcBorders>
            <w:tcMar>
              <w:top w:w="28" w:type="dxa"/>
              <w:bottom w:w="28" w:type="dxa"/>
            </w:tcMar>
            <w:vAlign w:val="center"/>
          </w:tcPr>
          <w:p w14:paraId="1951C94D" w14:textId="5CEFDD43" w:rsidR="0033045F" w:rsidRPr="00C965DB" w:rsidRDefault="00C965DB"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965DB">
              <w:rPr>
                <w:rFonts w:ascii="Book Antiqua" w:hAnsi="Book Antiqua" w:cstheme="minorHAnsi"/>
                <w:b/>
                <w:bCs/>
                <w:i/>
                <w:iCs/>
                <w:color w:val="000000" w:themeColor="text1"/>
                <w:kern w:val="24"/>
                <w:sz w:val="24"/>
                <w:szCs w:val="24"/>
              </w:rPr>
              <w:t>P</w:t>
            </w:r>
            <w:r w:rsidR="00307CA0">
              <w:rPr>
                <w:rFonts w:ascii="Book Antiqua" w:hAnsi="Book Antiqua" w:cstheme="majorHAnsi"/>
                <w:b/>
                <w:bCs/>
                <w:color w:val="000000" w:themeColor="text1"/>
                <w:sz w:val="24"/>
                <w:szCs w:val="24"/>
              </w:rPr>
              <w:t xml:space="preserve"> </w:t>
            </w:r>
            <w:r w:rsidR="0024114A" w:rsidRPr="0024114A">
              <w:rPr>
                <w:rFonts w:ascii="Book Antiqua" w:hAnsi="Book Antiqua" w:cstheme="majorHAnsi"/>
                <w:b/>
                <w:bCs/>
                <w:color w:val="000000" w:themeColor="text1"/>
                <w:sz w:val="24"/>
                <w:szCs w:val="24"/>
              </w:rPr>
              <w:t>value</w:t>
            </w:r>
          </w:p>
        </w:tc>
        <w:tc>
          <w:tcPr>
            <w:tcW w:w="674" w:type="dxa"/>
            <w:tcBorders>
              <w:top w:val="single" w:sz="4" w:space="0" w:color="auto"/>
              <w:bottom w:val="single" w:sz="4" w:space="0" w:color="auto"/>
            </w:tcBorders>
            <w:tcMar>
              <w:top w:w="28" w:type="dxa"/>
              <w:bottom w:w="28" w:type="dxa"/>
            </w:tcMar>
            <w:vAlign w:val="center"/>
          </w:tcPr>
          <w:p w14:paraId="71A43D47"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OR</w:t>
            </w:r>
          </w:p>
        </w:tc>
        <w:tc>
          <w:tcPr>
            <w:tcW w:w="1713" w:type="dxa"/>
            <w:tcBorders>
              <w:top w:val="single" w:sz="4" w:space="0" w:color="auto"/>
              <w:bottom w:val="single" w:sz="4" w:space="0" w:color="auto"/>
            </w:tcBorders>
            <w:tcMar>
              <w:top w:w="28" w:type="dxa"/>
              <w:bottom w:w="28" w:type="dxa"/>
            </w:tcMar>
            <w:vAlign w:val="center"/>
          </w:tcPr>
          <w:p w14:paraId="44CFB05F"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95%CI</w:t>
            </w:r>
          </w:p>
        </w:tc>
        <w:tc>
          <w:tcPr>
            <w:tcW w:w="850" w:type="dxa"/>
            <w:tcBorders>
              <w:top w:val="single" w:sz="4" w:space="0" w:color="auto"/>
              <w:bottom w:val="single" w:sz="4" w:space="0" w:color="auto"/>
            </w:tcBorders>
            <w:tcMar>
              <w:top w:w="28" w:type="dxa"/>
              <w:bottom w:w="28" w:type="dxa"/>
            </w:tcMar>
            <w:vAlign w:val="center"/>
          </w:tcPr>
          <w:p w14:paraId="6EAE15C9" w14:textId="7E798974" w:rsidR="0033045F" w:rsidRPr="00C965DB" w:rsidRDefault="00C965DB"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965DB">
              <w:rPr>
                <w:rFonts w:ascii="Book Antiqua" w:hAnsi="Book Antiqua" w:cstheme="minorHAnsi"/>
                <w:b/>
                <w:bCs/>
                <w:i/>
                <w:iCs/>
                <w:color w:val="000000" w:themeColor="text1"/>
                <w:kern w:val="24"/>
                <w:sz w:val="24"/>
                <w:szCs w:val="24"/>
              </w:rPr>
              <w:t>P</w:t>
            </w:r>
            <w:r w:rsidR="0024114A" w:rsidRPr="0024114A">
              <w:rPr>
                <w:rFonts w:ascii="Book Antiqua" w:hAnsi="Book Antiqua" w:cstheme="majorHAnsi"/>
                <w:b/>
                <w:bCs/>
                <w:color w:val="000000" w:themeColor="text1"/>
                <w:sz w:val="24"/>
                <w:szCs w:val="24"/>
              </w:rPr>
              <w:t xml:space="preserve"> value</w:t>
            </w:r>
          </w:p>
        </w:tc>
      </w:tr>
      <w:tr w:rsidR="00ED7BEC" w:rsidRPr="00ED7BEC" w14:paraId="1FB31590" w14:textId="77777777" w:rsidTr="000E1CE0">
        <w:trPr>
          <w:trHeight w:val="454"/>
          <w:jc w:val="center"/>
        </w:trPr>
        <w:tc>
          <w:tcPr>
            <w:tcW w:w="3253" w:type="dxa"/>
            <w:tcBorders>
              <w:top w:val="single" w:sz="4" w:space="0" w:color="auto"/>
            </w:tcBorders>
            <w:tcMar>
              <w:top w:w="28" w:type="dxa"/>
              <w:bottom w:w="28" w:type="dxa"/>
            </w:tcMar>
            <w:vAlign w:val="center"/>
          </w:tcPr>
          <w:p w14:paraId="72F73103" w14:textId="68546868"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Gender (male)</w:t>
            </w:r>
          </w:p>
        </w:tc>
        <w:tc>
          <w:tcPr>
            <w:tcW w:w="1430" w:type="dxa"/>
            <w:tcBorders>
              <w:top w:val="single" w:sz="4" w:space="0" w:color="auto"/>
            </w:tcBorders>
            <w:vAlign w:val="center"/>
          </w:tcPr>
          <w:p w14:paraId="1020352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14 (82.4%)</w:t>
            </w:r>
          </w:p>
        </w:tc>
        <w:tc>
          <w:tcPr>
            <w:tcW w:w="1706" w:type="dxa"/>
            <w:tcBorders>
              <w:top w:val="single" w:sz="4" w:space="0" w:color="auto"/>
            </w:tcBorders>
            <w:vAlign w:val="center"/>
          </w:tcPr>
          <w:p w14:paraId="3EA3025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230 (59.6%)</w:t>
            </w:r>
          </w:p>
        </w:tc>
        <w:tc>
          <w:tcPr>
            <w:tcW w:w="940" w:type="dxa"/>
            <w:tcBorders>
              <w:top w:val="single" w:sz="4" w:space="0" w:color="auto"/>
            </w:tcBorders>
            <w:tcMar>
              <w:top w:w="28" w:type="dxa"/>
              <w:bottom w:w="28" w:type="dxa"/>
            </w:tcMar>
            <w:vAlign w:val="center"/>
          </w:tcPr>
          <w:p w14:paraId="0E9D84C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3.165</w:t>
            </w:r>
          </w:p>
        </w:tc>
        <w:tc>
          <w:tcPr>
            <w:tcW w:w="1984" w:type="dxa"/>
            <w:tcBorders>
              <w:top w:val="single" w:sz="4" w:space="0" w:color="auto"/>
            </w:tcBorders>
            <w:tcMar>
              <w:top w:w="28" w:type="dxa"/>
              <w:bottom w:w="28" w:type="dxa"/>
            </w:tcMar>
            <w:vAlign w:val="center"/>
          </w:tcPr>
          <w:p w14:paraId="4BFC3AA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(0.895-11.197)</w:t>
            </w:r>
          </w:p>
        </w:tc>
        <w:tc>
          <w:tcPr>
            <w:tcW w:w="993" w:type="dxa"/>
            <w:tcBorders>
              <w:top w:val="single" w:sz="4" w:space="0" w:color="auto"/>
            </w:tcBorders>
            <w:tcMar>
              <w:top w:w="28" w:type="dxa"/>
              <w:bottom w:w="28" w:type="dxa"/>
            </w:tcMar>
            <w:vAlign w:val="center"/>
          </w:tcPr>
          <w:p w14:paraId="26623F5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0.074</w:t>
            </w:r>
          </w:p>
        </w:tc>
        <w:tc>
          <w:tcPr>
            <w:tcW w:w="674" w:type="dxa"/>
            <w:tcBorders>
              <w:top w:val="single" w:sz="4" w:space="0" w:color="auto"/>
            </w:tcBorders>
            <w:tcMar>
              <w:top w:w="28" w:type="dxa"/>
              <w:bottom w:w="28" w:type="dxa"/>
            </w:tcMar>
            <w:vAlign w:val="center"/>
          </w:tcPr>
          <w:p w14:paraId="22254C1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Borders>
              <w:top w:val="single" w:sz="4" w:space="0" w:color="auto"/>
            </w:tcBorders>
            <w:tcMar>
              <w:top w:w="28" w:type="dxa"/>
              <w:bottom w:w="28" w:type="dxa"/>
            </w:tcMar>
            <w:vAlign w:val="center"/>
          </w:tcPr>
          <w:p w14:paraId="0BE5EE5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Borders>
              <w:top w:val="single" w:sz="4" w:space="0" w:color="auto"/>
            </w:tcBorders>
            <w:tcMar>
              <w:top w:w="28" w:type="dxa"/>
              <w:bottom w:w="28" w:type="dxa"/>
            </w:tcMar>
            <w:vAlign w:val="center"/>
          </w:tcPr>
          <w:p w14:paraId="0EF6735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E57DBAA" w14:textId="77777777" w:rsidTr="000E1CE0">
        <w:trPr>
          <w:trHeight w:val="454"/>
          <w:jc w:val="center"/>
        </w:trPr>
        <w:tc>
          <w:tcPr>
            <w:tcW w:w="3253" w:type="dxa"/>
            <w:tcMar>
              <w:top w:w="28" w:type="dxa"/>
              <w:bottom w:w="28" w:type="dxa"/>
            </w:tcMar>
            <w:vAlign w:val="center"/>
          </w:tcPr>
          <w:p w14:paraId="344F0A0F" w14:textId="65B27CCB"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Age, yr</w:t>
            </w:r>
          </w:p>
        </w:tc>
        <w:tc>
          <w:tcPr>
            <w:tcW w:w="1430" w:type="dxa"/>
            <w:vAlign w:val="center"/>
          </w:tcPr>
          <w:p w14:paraId="5741A5A2"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48.8 ± 9.3</w:t>
            </w:r>
          </w:p>
        </w:tc>
        <w:tc>
          <w:tcPr>
            <w:tcW w:w="1706" w:type="dxa"/>
            <w:vAlign w:val="center"/>
          </w:tcPr>
          <w:p w14:paraId="0C7C1CE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43.7 ± 12.6</w:t>
            </w:r>
          </w:p>
        </w:tc>
        <w:tc>
          <w:tcPr>
            <w:tcW w:w="940" w:type="dxa"/>
            <w:tcMar>
              <w:top w:w="28" w:type="dxa"/>
              <w:bottom w:w="28" w:type="dxa"/>
            </w:tcMar>
            <w:vAlign w:val="center"/>
          </w:tcPr>
          <w:p w14:paraId="106EB1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1.033</w:t>
            </w:r>
          </w:p>
        </w:tc>
        <w:tc>
          <w:tcPr>
            <w:tcW w:w="1984" w:type="dxa"/>
            <w:tcMar>
              <w:top w:w="28" w:type="dxa"/>
              <w:bottom w:w="28" w:type="dxa"/>
            </w:tcMar>
            <w:vAlign w:val="center"/>
          </w:tcPr>
          <w:p w14:paraId="019F297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(0.993-1.074)</w:t>
            </w:r>
          </w:p>
        </w:tc>
        <w:tc>
          <w:tcPr>
            <w:tcW w:w="993" w:type="dxa"/>
            <w:tcMar>
              <w:top w:w="28" w:type="dxa"/>
              <w:bottom w:w="28" w:type="dxa"/>
            </w:tcMar>
            <w:vAlign w:val="center"/>
          </w:tcPr>
          <w:p w14:paraId="5205DA7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0.105</w:t>
            </w:r>
          </w:p>
        </w:tc>
        <w:tc>
          <w:tcPr>
            <w:tcW w:w="674" w:type="dxa"/>
            <w:tcMar>
              <w:top w:w="28" w:type="dxa"/>
              <w:bottom w:w="28" w:type="dxa"/>
            </w:tcMar>
            <w:vAlign w:val="center"/>
          </w:tcPr>
          <w:p w14:paraId="459B288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6C6F914C"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0F25F5E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B6338B7" w14:textId="77777777" w:rsidTr="000E1CE0">
        <w:trPr>
          <w:trHeight w:val="454"/>
          <w:jc w:val="center"/>
        </w:trPr>
        <w:tc>
          <w:tcPr>
            <w:tcW w:w="3253" w:type="dxa"/>
            <w:tcMar>
              <w:top w:w="28" w:type="dxa"/>
              <w:bottom w:w="28" w:type="dxa"/>
            </w:tcMar>
            <w:vAlign w:val="center"/>
          </w:tcPr>
          <w:p w14:paraId="4B92D17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HBeAg status (positive)</w:t>
            </w:r>
          </w:p>
        </w:tc>
        <w:tc>
          <w:tcPr>
            <w:tcW w:w="1430" w:type="dxa"/>
            <w:vAlign w:val="center"/>
          </w:tcPr>
          <w:p w14:paraId="5A7996D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 (58.8%)</w:t>
            </w:r>
          </w:p>
        </w:tc>
        <w:tc>
          <w:tcPr>
            <w:tcW w:w="1706" w:type="dxa"/>
            <w:vAlign w:val="center"/>
          </w:tcPr>
          <w:p w14:paraId="059DB30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228 (59.1%)</w:t>
            </w:r>
          </w:p>
        </w:tc>
        <w:tc>
          <w:tcPr>
            <w:tcW w:w="940" w:type="dxa"/>
            <w:tcMar>
              <w:top w:w="28" w:type="dxa"/>
              <w:bottom w:w="28" w:type="dxa"/>
            </w:tcMar>
            <w:vAlign w:val="center"/>
          </w:tcPr>
          <w:p w14:paraId="0DEA722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0.990</w:t>
            </w:r>
          </w:p>
        </w:tc>
        <w:tc>
          <w:tcPr>
            <w:tcW w:w="1984" w:type="dxa"/>
            <w:tcMar>
              <w:top w:w="28" w:type="dxa"/>
              <w:bottom w:w="28" w:type="dxa"/>
            </w:tcMar>
            <w:vAlign w:val="center"/>
          </w:tcPr>
          <w:p w14:paraId="762A351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(0.369-2.656)</w:t>
            </w:r>
          </w:p>
        </w:tc>
        <w:tc>
          <w:tcPr>
            <w:tcW w:w="993" w:type="dxa"/>
            <w:tcMar>
              <w:top w:w="28" w:type="dxa"/>
              <w:bottom w:w="28" w:type="dxa"/>
            </w:tcMar>
            <w:vAlign w:val="center"/>
          </w:tcPr>
          <w:p w14:paraId="4C443F1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0.984</w:t>
            </w:r>
          </w:p>
        </w:tc>
        <w:tc>
          <w:tcPr>
            <w:tcW w:w="674" w:type="dxa"/>
            <w:tcMar>
              <w:top w:w="28" w:type="dxa"/>
              <w:bottom w:w="28" w:type="dxa"/>
            </w:tcMar>
            <w:vAlign w:val="center"/>
          </w:tcPr>
          <w:p w14:paraId="713495E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09672B7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55FA38D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393FEDDC" w14:textId="77777777" w:rsidTr="000E1CE0">
        <w:trPr>
          <w:trHeight w:val="454"/>
          <w:jc w:val="center"/>
        </w:trPr>
        <w:tc>
          <w:tcPr>
            <w:tcW w:w="3253" w:type="dxa"/>
            <w:tcMar>
              <w:top w:w="28" w:type="dxa"/>
              <w:bottom w:w="28" w:type="dxa"/>
            </w:tcMar>
            <w:vAlign w:val="center"/>
          </w:tcPr>
          <w:p w14:paraId="2883AF8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lang w:val="es-ES"/>
              </w:rPr>
            </w:pPr>
            <w:r w:rsidRPr="00ED7BEC">
              <w:rPr>
                <w:rFonts w:ascii="Book Antiqua" w:hAnsi="Book Antiqua" w:cstheme="minorHAnsi"/>
                <w:color w:val="000000" w:themeColor="text1"/>
                <w:kern w:val="24"/>
                <w:sz w:val="24"/>
                <w:szCs w:val="24"/>
                <w:lang w:val="es-ES"/>
              </w:rPr>
              <w:t>HBV-DNA, log</w:t>
            </w:r>
            <w:r w:rsidRPr="00ED7BEC">
              <w:rPr>
                <w:rFonts w:ascii="Book Antiqua" w:hAnsi="Book Antiqua" w:cstheme="minorHAnsi"/>
                <w:color w:val="000000" w:themeColor="text1"/>
                <w:kern w:val="24"/>
                <w:position w:val="-5"/>
                <w:sz w:val="24"/>
                <w:szCs w:val="24"/>
                <w:vertAlign w:val="subscript"/>
                <w:lang w:val="es-ES"/>
              </w:rPr>
              <w:t>10</w:t>
            </w:r>
            <w:r w:rsidRPr="00ED7BEC">
              <w:rPr>
                <w:rFonts w:ascii="Book Antiqua" w:hAnsi="Book Antiqua" w:cstheme="minorHAnsi"/>
                <w:color w:val="000000" w:themeColor="text1"/>
                <w:kern w:val="24"/>
                <w:sz w:val="24"/>
                <w:szCs w:val="24"/>
                <w:lang w:val="es-ES"/>
              </w:rPr>
              <w:t xml:space="preserve"> IU/mL</w:t>
            </w:r>
          </w:p>
        </w:tc>
        <w:tc>
          <w:tcPr>
            <w:tcW w:w="1430" w:type="dxa"/>
            <w:vAlign w:val="center"/>
          </w:tcPr>
          <w:p w14:paraId="5EF2A3C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6.33 ± 0.66</w:t>
            </w:r>
          </w:p>
        </w:tc>
        <w:tc>
          <w:tcPr>
            <w:tcW w:w="1706" w:type="dxa"/>
            <w:vAlign w:val="center"/>
          </w:tcPr>
          <w:p w14:paraId="1D8267F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6.06 ± 1.77</w:t>
            </w:r>
          </w:p>
        </w:tc>
        <w:tc>
          <w:tcPr>
            <w:tcW w:w="940" w:type="dxa"/>
            <w:tcMar>
              <w:top w:w="28" w:type="dxa"/>
              <w:bottom w:w="28" w:type="dxa"/>
            </w:tcMar>
            <w:vAlign w:val="center"/>
          </w:tcPr>
          <w:p w14:paraId="2EDBDBB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1.098</w:t>
            </w:r>
          </w:p>
        </w:tc>
        <w:tc>
          <w:tcPr>
            <w:tcW w:w="1984" w:type="dxa"/>
            <w:tcMar>
              <w:top w:w="28" w:type="dxa"/>
              <w:bottom w:w="28" w:type="dxa"/>
            </w:tcMar>
            <w:vAlign w:val="center"/>
          </w:tcPr>
          <w:p w14:paraId="43895CB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(0.827-1.458)</w:t>
            </w:r>
          </w:p>
        </w:tc>
        <w:tc>
          <w:tcPr>
            <w:tcW w:w="993" w:type="dxa"/>
            <w:tcMar>
              <w:top w:w="28" w:type="dxa"/>
              <w:bottom w:w="28" w:type="dxa"/>
            </w:tcMar>
            <w:vAlign w:val="center"/>
          </w:tcPr>
          <w:p w14:paraId="07B6B2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0.519</w:t>
            </w:r>
          </w:p>
        </w:tc>
        <w:tc>
          <w:tcPr>
            <w:tcW w:w="674" w:type="dxa"/>
            <w:tcMar>
              <w:top w:w="28" w:type="dxa"/>
              <w:bottom w:w="28" w:type="dxa"/>
            </w:tcMar>
            <w:vAlign w:val="center"/>
          </w:tcPr>
          <w:p w14:paraId="06F504B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00C1949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1D6EA8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2DF6B31" w14:textId="77777777" w:rsidTr="000E1CE0">
        <w:trPr>
          <w:trHeight w:val="454"/>
          <w:jc w:val="center"/>
        </w:trPr>
        <w:tc>
          <w:tcPr>
            <w:tcW w:w="3253" w:type="dxa"/>
            <w:tcMar>
              <w:top w:w="28" w:type="dxa"/>
              <w:bottom w:w="28" w:type="dxa"/>
            </w:tcMar>
            <w:vAlign w:val="center"/>
          </w:tcPr>
          <w:p w14:paraId="6494DFDB" w14:textId="0B6A66A5"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qHBsAg, log</w:t>
            </w:r>
            <w:r w:rsidRPr="00ED7BEC">
              <w:rPr>
                <w:rFonts w:ascii="Book Antiqua" w:hAnsi="Book Antiqua" w:cstheme="minorHAnsi"/>
                <w:color w:val="000000" w:themeColor="text1"/>
                <w:kern w:val="24"/>
                <w:position w:val="-5"/>
                <w:sz w:val="24"/>
                <w:szCs w:val="24"/>
                <w:vertAlign w:val="subscript"/>
              </w:rPr>
              <w:t>10</w:t>
            </w:r>
            <w:r w:rsidRPr="00ED7BEC">
              <w:rPr>
                <w:rFonts w:ascii="Book Antiqua" w:hAnsi="Book Antiqua" w:cstheme="minorHAnsi"/>
                <w:color w:val="000000" w:themeColor="text1"/>
                <w:kern w:val="24"/>
                <w:sz w:val="24"/>
                <w:szCs w:val="24"/>
              </w:rPr>
              <w:t xml:space="preserve"> IU/mL</w:t>
            </w:r>
          </w:p>
        </w:tc>
        <w:tc>
          <w:tcPr>
            <w:tcW w:w="1430" w:type="dxa"/>
            <w:vAlign w:val="center"/>
          </w:tcPr>
          <w:p w14:paraId="3E5CCF4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3.43 ± 0.30</w:t>
            </w:r>
          </w:p>
        </w:tc>
        <w:tc>
          <w:tcPr>
            <w:tcW w:w="1706" w:type="dxa"/>
            <w:vAlign w:val="center"/>
          </w:tcPr>
          <w:p w14:paraId="098937F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3.59 ± 0.70</w:t>
            </w:r>
          </w:p>
        </w:tc>
        <w:tc>
          <w:tcPr>
            <w:tcW w:w="940" w:type="dxa"/>
            <w:tcMar>
              <w:top w:w="28" w:type="dxa"/>
              <w:bottom w:w="28" w:type="dxa"/>
            </w:tcMar>
            <w:vAlign w:val="center"/>
          </w:tcPr>
          <w:p w14:paraId="70345EF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0.555</w:t>
            </w:r>
          </w:p>
        </w:tc>
        <w:tc>
          <w:tcPr>
            <w:tcW w:w="1984" w:type="dxa"/>
            <w:tcMar>
              <w:top w:w="28" w:type="dxa"/>
              <w:bottom w:w="28" w:type="dxa"/>
            </w:tcMar>
            <w:vAlign w:val="center"/>
          </w:tcPr>
          <w:p w14:paraId="242BDC9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(0.336-0.916)</w:t>
            </w:r>
          </w:p>
        </w:tc>
        <w:tc>
          <w:tcPr>
            <w:tcW w:w="993" w:type="dxa"/>
            <w:tcMar>
              <w:top w:w="28" w:type="dxa"/>
              <w:bottom w:w="28" w:type="dxa"/>
            </w:tcMar>
            <w:vAlign w:val="center"/>
          </w:tcPr>
          <w:p w14:paraId="41BB0D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0.021</w:t>
            </w:r>
          </w:p>
        </w:tc>
        <w:tc>
          <w:tcPr>
            <w:tcW w:w="674" w:type="dxa"/>
            <w:tcMar>
              <w:top w:w="28" w:type="dxa"/>
              <w:bottom w:w="28" w:type="dxa"/>
            </w:tcMar>
            <w:vAlign w:val="center"/>
          </w:tcPr>
          <w:p w14:paraId="3FEFED3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726CDDE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5589CF3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08EA9A71" w14:textId="77777777" w:rsidTr="000E1CE0">
        <w:trPr>
          <w:trHeight w:val="454"/>
          <w:jc w:val="center"/>
        </w:trPr>
        <w:tc>
          <w:tcPr>
            <w:tcW w:w="3253" w:type="dxa"/>
            <w:tcMar>
              <w:top w:w="28" w:type="dxa"/>
              <w:bottom w:w="28" w:type="dxa"/>
            </w:tcMar>
            <w:vAlign w:val="center"/>
          </w:tcPr>
          <w:p w14:paraId="701FF41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AST, IU/L</w:t>
            </w:r>
          </w:p>
        </w:tc>
        <w:tc>
          <w:tcPr>
            <w:tcW w:w="1430" w:type="dxa"/>
            <w:vAlign w:val="center"/>
          </w:tcPr>
          <w:p w14:paraId="14E4068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104.7 ± 40.9</w:t>
            </w:r>
          </w:p>
        </w:tc>
        <w:tc>
          <w:tcPr>
            <w:tcW w:w="1706" w:type="dxa"/>
            <w:vAlign w:val="center"/>
          </w:tcPr>
          <w:p w14:paraId="0ADB196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78.7 ± 65.2</w:t>
            </w:r>
          </w:p>
        </w:tc>
        <w:tc>
          <w:tcPr>
            <w:tcW w:w="940" w:type="dxa"/>
            <w:tcMar>
              <w:top w:w="28" w:type="dxa"/>
              <w:bottom w:w="28" w:type="dxa"/>
            </w:tcMar>
            <w:vAlign w:val="center"/>
          </w:tcPr>
          <w:p w14:paraId="126931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1.005</w:t>
            </w:r>
          </w:p>
        </w:tc>
        <w:tc>
          <w:tcPr>
            <w:tcW w:w="1984" w:type="dxa"/>
            <w:tcMar>
              <w:top w:w="28" w:type="dxa"/>
              <w:bottom w:w="28" w:type="dxa"/>
            </w:tcMar>
            <w:vAlign w:val="center"/>
          </w:tcPr>
          <w:p w14:paraId="6899C2E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(0.999-1.011)</w:t>
            </w:r>
          </w:p>
        </w:tc>
        <w:tc>
          <w:tcPr>
            <w:tcW w:w="993" w:type="dxa"/>
            <w:tcMar>
              <w:top w:w="28" w:type="dxa"/>
              <w:bottom w:w="28" w:type="dxa"/>
            </w:tcMar>
            <w:vAlign w:val="center"/>
          </w:tcPr>
          <w:p w14:paraId="6DD689A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0.109</w:t>
            </w:r>
          </w:p>
        </w:tc>
        <w:tc>
          <w:tcPr>
            <w:tcW w:w="674" w:type="dxa"/>
            <w:tcMar>
              <w:top w:w="28" w:type="dxa"/>
              <w:bottom w:w="28" w:type="dxa"/>
            </w:tcMar>
            <w:vAlign w:val="center"/>
          </w:tcPr>
          <w:p w14:paraId="5A6CC4C8"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19C60E2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E193A9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EBE9BF4" w14:textId="77777777" w:rsidTr="000E1CE0">
        <w:trPr>
          <w:trHeight w:val="454"/>
          <w:jc w:val="center"/>
        </w:trPr>
        <w:tc>
          <w:tcPr>
            <w:tcW w:w="3253" w:type="dxa"/>
            <w:tcMar>
              <w:top w:w="28" w:type="dxa"/>
              <w:bottom w:w="28" w:type="dxa"/>
            </w:tcMar>
            <w:vAlign w:val="center"/>
          </w:tcPr>
          <w:p w14:paraId="2B3388C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ALT, IU/L</w:t>
            </w:r>
          </w:p>
        </w:tc>
        <w:tc>
          <w:tcPr>
            <w:tcW w:w="1430" w:type="dxa"/>
            <w:vAlign w:val="center"/>
          </w:tcPr>
          <w:p w14:paraId="7312850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77.8 ± 29.4</w:t>
            </w:r>
          </w:p>
        </w:tc>
        <w:tc>
          <w:tcPr>
            <w:tcW w:w="1706" w:type="dxa"/>
            <w:vAlign w:val="center"/>
          </w:tcPr>
          <w:p w14:paraId="2885E5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85.4 ± 84.1</w:t>
            </w:r>
          </w:p>
        </w:tc>
        <w:tc>
          <w:tcPr>
            <w:tcW w:w="940" w:type="dxa"/>
            <w:tcMar>
              <w:top w:w="28" w:type="dxa"/>
              <w:bottom w:w="28" w:type="dxa"/>
            </w:tcMar>
            <w:vAlign w:val="center"/>
          </w:tcPr>
          <w:p w14:paraId="33B06A6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0.999</w:t>
            </w:r>
          </w:p>
        </w:tc>
        <w:tc>
          <w:tcPr>
            <w:tcW w:w="1984" w:type="dxa"/>
            <w:tcMar>
              <w:top w:w="28" w:type="dxa"/>
              <w:bottom w:w="28" w:type="dxa"/>
            </w:tcMar>
            <w:vAlign w:val="center"/>
          </w:tcPr>
          <w:p w14:paraId="11EECCF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(0.992-1.005)</w:t>
            </w:r>
          </w:p>
        </w:tc>
        <w:tc>
          <w:tcPr>
            <w:tcW w:w="993" w:type="dxa"/>
            <w:tcMar>
              <w:top w:w="28" w:type="dxa"/>
              <w:bottom w:w="28" w:type="dxa"/>
            </w:tcMar>
            <w:vAlign w:val="center"/>
          </w:tcPr>
          <w:p w14:paraId="113A91A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0.709</w:t>
            </w:r>
          </w:p>
        </w:tc>
        <w:tc>
          <w:tcPr>
            <w:tcW w:w="674" w:type="dxa"/>
            <w:tcMar>
              <w:top w:w="28" w:type="dxa"/>
              <w:bottom w:w="28" w:type="dxa"/>
            </w:tcMar>
            <w:vAlign w:val="center"/>
          </w:tcPr>
          <w:p w14:paraId="0EF3612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29E3F88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29C32712"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4445D4AF" w14:textId="77777777" w:rsidTr="000E1CE0">
        <w:trPr>
          <w:trHeight w:val="454"/>
          <w:jc w:val="center"/>
        </w:trPr>
        <w:tc>
          <w:tcPr>
            <w:tcW w:w="3253" w:type="dxa"/>
            <w:tcMar>
              <w:top w:w="28" w:type="dxa"/>
              <w:bottom w:w="28" w:type="dxa"/>
            </w:tcMar>
            <w:vAlign w:val="center"/>
          </w:tcPr>
          <w:p w14:paraId="3171C53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Total bilirubin, mg/dL</w:t>
            </w:r>
          </w:p>
        </w:tc>
        <w:tc>
          <w:tcPr>
            <w:tcW w:w="1430" w:type="dxa"/>
            <w:vAlign w:val="center"/>
          </w:tcPr>
          <w:p w14:paraId="74A8C10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0.93 ± 0.33</w:t>
            </w:r>
          </w:p>
        </w:tc>
        <w:tc>
          <w:tcPr>
            <w:tcW w:w="1706" w:type="dxa"/>
            <w:vAlign w:val="center"/>
          </w:tcPr>
          <w:p w14:paraId="0902EE4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0.88 ± 0.60</w:t>
            </w:r>
          </w:p>
        </w:tc>
        <w:tc>
          <w:tcPr>
            <w:tcW w:w="940" w:type="dxa"/>
            <w:tcMar>
              <w:top w:w="28" w:type="dxa"/>
              <w:bottom w:w="28" w:type="dxa"/>
            </w:tcMar>
            <w:vAlign w:val="center"/>
          </w:tcPr>
          <w:p w14:paraId="507C22F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1.140</w:t>
            </w:r>
          </w:p>
        </w:tc>
        <w:tc>
          <w:tcPr>
            <w:tcW w:w="1984" w:type="dxa"/>
            <w:tcMar>
              <w:top w:w="28" w:type="dxa"/>
              <w:bottom w:w="28" w:type="dxa"/>
            </w:tcMar>
            <w:vAlign w:val="center"/>
          </w:tcPr>
          <w:p w14:paraId="45570DC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(0.522-2.487)</w:t>
            </w:r>
          </w:p>
        </w:tc>
        <w:tc>
          <w:tcPr>
            <w:tcW w:w="993" w:type="dxa"/>
            <w:tcMar>
              <w:top w:w="28" w:type="dxa"/>
              <w:bottom w:w="28" w:type="dxa"/>
            </w:tcMar>
            <w:vAlign w:val="center"/>
          </w:tcPr>
          <w:p w14:paraId="37B8DBF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0.742</w:t>
            </w:r>
          </w:p>
        </w:tc>
        <w:tc>
          <w:tcPr>
            <w:tcW w:w="674" w:type="dxa"/>
            <w:tcMar>
              <w:top w:w="28" w:type="dxa"/>
              <w:bottom w:w="28" w:type="dxa"/>
            </w:tcMar>
            <w:vAlign w:val="center"/>
          </w:tcPr>
          <w:p w14:paraId="49DB8DE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06E0152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D98A6D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1BE6DE72" w14:textId="77777777" w:rsidTr="000E1CE0">
        <w:trPr>
          <w:trHeight w:val="454"/>
          <w:jc w:val="center"/>
        </w:trPr>
        <w:tc>
          <w:tcPr>
            <w:tcW w:w="3253" w:type="dxa"/>
            <w:tcMar>
              <w:top w:w="28" w:type="dxa"/>
              <w:bottom w:w="28" w:type="dxa"/>
            </w:tcMar>
            <w:vAlign w:val="center"/>
          </w:tcPr>
          <w:p w14:paraId="45FD0F1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Albumin, g/dL</w:t>
            </w:r>
          </w:p>
        </w:tc>
        <w:tc>
          <w:tcPr>
            <w:tcW w:w="1430" w:type="dxa"/>
            <w:vAlign w:val="center"/>
          </w:tcPr>
          <w:p w14:paraId="1838FD8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4.02 ± 0.43</w:t>
            </w:r>
          </w:p>
        </w:tc>
        <w:tc>
          <w:tcPr>
            <w:tcW w:w="1706" w:type="dxa"/>
            <w:vAlign w:val="center"/>
          </w:tcPr>
          <w:p w14:paraId="5D6347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0.52</w:t>
            </w:r>
          </w:p>
        </w:tc>
        <w:tc>
          <w:tcPr>
            <w:tcW w:w="940" w:type="dxa"/>
            <w:tcMar>
              <w:top w:w="28" w:type="dxa"/>
              <w:bottom w:w="28" w:type="dxa"/>
            </w:tcMar>
            <w:vAlign w:val="center"/>
          </w:tcPr>
          <w:p w14:paraId="44B0BA2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0.655</w:t>
            </w:r>
          </w:p>
        </w:tc>
        <w:tc>
          <w:tcPr>
            <w:tcW w:w="1984" w:type="dxa"/>
            <w:tcMar>
              <w:top w:w="28" w:type="dxa"/>
              <w:bottom w:w="28" w:type="dxa"/>
            </w:tcMar>
            <w:vAlign w:val="center"/>
          </w:tcPr>
          <w:p w14:paraId="4AE2B04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(0.275-1.559)</w:t>
            </w:r>
          </w:p>
        </w:tc>
        <w:tc>
          <w:tcPr>
            <w:tcW w:w="993" w:type="dxa"/>
            <w:tcMar>
              <w:top w:w="28" w:type="dxa"/>
              <w:bottom w:w="28" w:type="dxa"/>
            </w:tcMar>
            <w:vAlign w:val="center"/>
          </w:tcPr>
          <w:p w14:paraId="7591778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0.339</w:t>
            </w:r>
          </w:p>
        </w:tc>
        <w:tc>
          <w:tcPr>
            <w:tcW w:w="674" w:type="dxa"/>
            <w:tcMar>
              <w:top w:w="28" w:type="dxa"/>
              <w:bottom w:w="28" w:type="dxa"/>
            </w:tcMar>
            <w:vAlign w:val="center"/>
          </w:tcPr>
          <w:p w14:paraId="68A3207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5520D4C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67900A4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2907FE5C" w14:textId="77777777" w:rsidTr="000E1CE0">
        <w:trPr>
          <w:trHeight w:val="454"/>
          <w:jc w:val="center"/>
        </w:trPr>
        <w:tc>
          <w:tcPr>
            <w:tcW w:w="3253" w:type="dxa"/>
            <w:tcMar>
              <w:top w:w="28" w:type="dxa"/>
              <w:bottom w:w="28" w:type="dxa"/>
            </w:tcMar>
            <w:vAlign w:val="center"/>
          </w:tcPr>
          <w:p w14:paraId="02F08C0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Prothrombin time, INR</w:t>
            </w:r>
          </w:p>
        </w:tc>
        <w:tc>
          <w:tcPr>
            <w:tcW w:w="1430" w:type="dxa"/>
            <w:vAlign w:val="center"/>
          </w:tcPr>
          <w:p w14:paraId="6139203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1.07 ± 0.10</w:t>
            </w:r>
          </w:p>
        </w:tc>
        <w:tc>
          <w:tcPr>
            <w:tcW w:w="1706" w:type="dxa"/>
            <w:vAlign w:val="center"/>
          </w:tcPr>
          <w:p w14:paraId="6794D95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1.02 ± 0.16</w:t>
            </w:r>
          </w:p>
        </w:tc>
        <w:tc>
          <w:tcPr>
            <w:tcW w:w="940" w:type="dxa"/>
            <w:tcMar>
              <w:top w:w="28" w:type="dxa"/>
              <w:bottom w:w="28" w:type="dxa"/>
            </w:tcMar>
            <w:vAlign w:val="center"/>
          </w:tcPr>
          <w:p w14:paraId="54637BE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4.625</w:t>
            </w:r>
          </w:p>
        </w:tc>
        <w:tc>
          <w:tcPr>
            <w:tcW w:w="1984" w:type="dxa"/>
            <w:tcMar>
              <w:top w:w="28" w:type="dxa"/>
              <w:bottom w:w="28" w:type="dxa"/>
            </w:tcMar>
            <w:vAlign w:val="center"/>
          </w:tcPr>
          <w:p w14:paraId="07964DA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(0.339-63.020)</w:t>
            </w:r>
          </w:p>
        </w:tc>
        <w:tc>
          <w:tcPr>
            <w:tcW w:w="993" w:type="dxa"/>
            <w:tcMar>
              <w:top w:w="28" w:type="dxa"/>
              <w:bottom w:w="28" w:type="dxa"/>
            </w:tcMar>
            <w:vAlign w:val="center"/>
          </w:tcPr>
          <w:p w14:paraId="2C2EB52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0.250</w:t>
            </w:r>
          </w:p>
        </w:tc>
        <w:tc>
          <w:tcPr>
            <w:tcW w:w="674" w:type="dxa"/>
            <w:tcMar>
              <w:top w:w="28" w:type="dxa"/>
              <w:bottom w:w="28" w:type="dxa"/>
            </w:tcMar>
            <w:vAlign w:val="center"/>
          </w:tcPr>
          <w:p w14:paraId="16E746D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4195AB7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25E04D7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C1AD14F" w14:textId="77777777" w:rsidTr="000E1CE0">
        <w:trPr>
          <w:trHeight w:val="454"/>
          <w:jc w:val="center"/>
        </w:trPr>
        <w:tc>
          <w:tcPr>
            <w:tcW w:w="3253" w:type="dxa"/>
            <w:tcMar>
              <w:top w:w="28" w:type="dxa"/>
              <w:bottom w:w="28" w:type="dxa"/>
            </w:tcMar>
            <w:vAlign w:val="center"/>
          </w:tcPr>
          <w:p w14:paraId="32B5D123" w14:textId="04640C8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Platelet count, </w:t>
            </w:r>
            <w:r w:rsidR="000E1CE0">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10</w:t>
            </w:r>
            <w:r w:rsidRPr="00ED7BEC">
              <w:rPr>
                <w:rFonts w:ascii="Book Antiqua" w:hAnsi="Book Antiqua" w:cstheme="minorHAnsi"/>
                <w:color w:val="000000" w:themeColor="text1"/>
                <w:kern w:val="24"/>
                <w:position w:val="6"/>
                <w:sz w:val="24"/>
                <w:szCs w:val="24"/>
                <w:vertAlign w:val="superscript"/>
              </w:rPr>
              <w:t>3</w:t>
            </w:r>
            <w:r w:rsidRPr="00ED7BEC">
              <w:rPr>
                <w:rFonts w:ascii="Book Antiqua" w:hAnsi="Book Antiqua" w:cstheme="minorHAnsi"/>
                <w:color w:val="000000" w:themeColor="text1"/>
                <w:kern w:val="24"/>
                <w:sz w:val="24"/>
                <w:szCs w:val="24"/>
              </w:rPr>
              <w:t>/mm</w:t>
            </w:r>
            <w:r w:rsidRPr="00ED7BEC">
              <w:rPr>
                <w:rFonts w:ascii="Book Antiqua" w:hAnsi="Book Antiqua" w:cstheme="minorHAnsi"/>
                <w:color w:val="000000" w:themeColor="text1"/>
                <w:kern w:val="24"/>
                <w:position w:val="6"/>
                <w:sz w:val="24"/>
                <w:szCs w:val="24"/>
                <w:vertAlign w:val="superscript"/>
              </w:rPr>
              <w:t>3</w:t>
            </w:r>
          </w:p>
        </w:tc>
        <w:tc>
          <w:tcPr>
            <w:tcW w:w="1430" w:type="dxa"/>
            <w:vAlign w:val="center"/>
          </w:tcPr>
          <w:p w14:paraId="0424EAA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155.7 ± 55.6</w:t>
            </w:r>
          </w:p>
        </w:tc>
        <w:tc>
          <w:tcPr>
            <w:tcW w:w="1706" w:type="dxa"/>
            <w:vAlign w:val="center"/>
          </w:tcPr>
          <w:p w14:paraId="174AF8B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181.4 ± 64.4</w:t>
            </w:r>
          </w:p>
        </w:tc>
        <w:tc>
          <w:tcPr>
            <w:tcW w:w="940" w:type="dxa"/>
            <w:tcMar>
              <w:top w:w="28" w:type="dxa"/>
              <w:bottom w:w="28" w:type="dxa"/>
            </w:tcMar>
            <w:vAlign w:val="center"/>
          </w:tcPr>
          <w:p w14:paraId="3233409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0.993</w:t>
            </w:r>
          </w:p>
        </w:tc>
        <w:tc>
          <w:tcPr>
            <w:tcW w:w="1984" w:type="dxa"/>
            <w:tcMar>
              <w:top w:w="28" w:type="dxa"/>
              <w:bottom w:w="28" w:type="dxa"/>
            </w:tcMar>
            <w:vAlign w:val="center"/>
          </w:tcPr>
          <w:p w14:paraId="7342CE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(0.985-1.001)</w:t>
            </w:r>
          </w:p>
        </w:tc>
        <w:tc>
          <w:tcPr>
            <w:tcW w:w="993" w:type="dxa"/>
            <w:tcMar>
              <w:top w:w="28" w:type="dxa"/>
              <w:bottom w:w="28" w:type="dxa"/>
            </w:tcMar>
            <w:vAlign w:val="center"/>
          </w:tcPr>
          <w:p w14:paraId="64FBF42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0.108</w:t>
            </w:r>
          </w:p>
        </w:tc>
        <w:tc>
          <w:tcPr>
            <w:tcW w:w="674" w:type="dxa"/>
            <w:tcMar>
              <w:top w:w="28" w:type="dxa"/>
              <w:bottom w:w="28" w:type="dxa"/>
            </w:tcMar>
            <w:vAlign w:val="center"/>
          </w:tcPr>
          <w:p w14:paraId="30D28E0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18A07BA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FB4F4A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5531C34C" w14:textId="77777777" w:rsidTr="000E1CE0">
        <w:trPr>
          <w:trHeight w:val="454"/>
          <w:jc w:val="center"/>
        </w:trPr>
        <w:tc>
          <w:tcPr>
            <w:tcW w:w="3253" w:type="dxa"/>
            <w:tcMar>
              <w:top w:w="28" w:type="dxa"/>
              <w:bottom w:w="28" w:type="dxa"/>
            </w:tcMar>
            <w:vAlign w:val="center"/>
          </w:tcPr>
          <w:p w14:paraId="6BDC9C5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Significant fibrosis</w:t>
            </w:r>
            <w:r w:rsidR="004C223D" w:rsidRPr="000E1CE0">
              <w:rPr>
                <w:rFonts w:ascii="Book Antiqua" w:eastAsia="Malgun Gothic" w:hAnsi="Book Antiqua" w:cstheme="majorHAnsi"/>
                <w:color w:val="000000" w:themeColor="text1"/>
                <w:kern w:val="24"/>
                <w:sz w:val="24"/>
                <w:szCs w:val="24"/>
                <w:vertAlign w:val="superscript"/>
              </w:rPr>
              <w:t>1</w:t>
            </w:r>
          </w:p>
        </w:tc>
        <w:tc>
          <w:tcPr>
            <w:tcW w:w="1430" w:type="dxa"/>
            <w:vAlign w:val="center"/>
          </w:tcPr>
          <w:p w14:paraId="09668AE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12 (70.6%)</w:t>
            </w:r>
          </w:p>
        </w:tc>
        <w:tc>
          <w:tcPr>
            <w:tcW w:w="1706" w:type="dxa"/>
            <w:vAlign w:val="center"/>
          </w:tcPr>
          <w:p w14:paraId="3DEA822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145 (37.6%)</w:t>
            </w:r>
          </w:p>
        </w:tc>
        <w:tc>
          <w:tcPr>
            <w:tcW w:w="940" w:type="dxa"/>
            <w:tcMar>
              <w:top w:w="28" w:type="dxa"/>
              <w:bottom w:w="28" w:type="dxa"/>
            </w:tcMar>
            <w:vAlign w:val="center"/>
          </w:tcPr>
          <w:p w14:paraId="688EDBC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3.989</w:t>
            </w:r>
          </w:p>
        </w:tc>
        <w:tc>
          <w:tcPr>
            <w:tcW w:w="1984" w:type="dxa"/>
            <w:tcMar>
              <w:top w:w="28" w:type="dxa"/>
              <w:bottom w:w="28" w:type="dxa"/>
            </w:tcMar>
            <w:vAlign w:val="center"/>
          </w:tcPr>
          <w:p w14:paraId="4B92D03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(1.377-11.553)</w:t>
            </w:r>
          </w:p>
        </w:tc>
        <w:tc>
          <w:tcPr>
            <w:tcW w:w="993" w:type="dxa"/>
            <w:tcMar>
              <w:top w:w="28" w:type="dxa"/>
              <w:bottom w:w="28" w:type="dxa"/>
            </w:tcMar>
            <w:vAlign w:val="center"/>
          </w:tcPr>
          <w:p w14:paraId="5A4B97A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0.011</w:t>
            </w:r>
          </w:p>
        </w:tc>
        <w:tc>
          <w:tcPr>
            <w:tcW w:w="674" w:type="dxa"/>
            <w:tcMar>
              <w:top w:w="28" w:type="dxa"/>
              <w:bottom w:w="28" w:type="dxa"/>
            </w:tcMar>
            <w:vAlign w:val="center"/>
          </w:tcPr>
          <w:p w14:paraId="210636F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3.397</w:t>
            </w:r>
          </w:p>
        </w:tc>
        <w:tc>
          <w:tcPr>
            <w:tcW w:w="1713" w:type="dxa"/>
            <w:tcMar>
              <w:top w:w="28" w:type="dxa"/>
              <w:bottom w:w="28" w:type="dxa"/>
            </w:tcMar>
            <w:vAlign w:val="center"/>
          </w:tcPr>
          <w:p w14:paraId="067866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(1.119-10.319)</w:t>
            </w:r>
          </w:p>
        </w:tc>
        <w:tc>
          <w:tcPr>
            <w:tcW w:w="850" w:type="dxa"/>
            <w:tcMar>
              <w:top w:w="28" w:type="dxa"/>
              <w:bottom w:w="28" w:type="dxa"/>
            </w:tcMar>
            <w:vAlign w:val="center"/>
          </w:tcPr>
          <w:p w14:paraId="540B6BC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0.031</w:t>
            </w:r>
          </w:p>
        </w:tc>
      </w:tr>
      <w:tr w:rsidR="00ED7BEC" w:rsidRPr="00ED7BEC" w14:paraId="64CEB83F" w14:textId="77777777" w:rsidTr="000E1CE0">
        <w:trPr>
          <w:trHeight w:val="454"/>
          <w:jc w:val="center"/>
        </w:trPr>
        <w:tc>
          <w:tcPr>
            <w:tcW w:w="3253" w:type="dxa"/>
            <w:tcMar>
              <w:top w:w="28" w:type="dxa"/>
              <w:bottom w:w="28" w:type="dxa"/>
            </w:tcMar>
            <w:vAlign w:val="center"/>
          </w:tcPr>
          <w:p w14:paraId="711E21E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lastRenderedPageBreak/>
              <w:t>Liver cirrhosis</w:t>
            </w:r>
          </w:p>
        </w:tc>
        <w:tc>
          <w:tcPr>
            <w:tcW w:w="1430" w:type="dxa"/>
            <w:vAlign w:val="center"/>
          </w:tcPr>
          <w:p w14:paraId="2C08BA2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7 (41.2%)</w:t>
            </w:r>
          </w:p>
        </w:tc>
        <w:tc>
          <w:tcPr>
            <w:tcW w:w="1706" w:type="dxa"/>
            <w:vAlign w:val="center"/>
          </w:tcPr>
          <w:p w14:paraId="65DAF6A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80 (20.7%)</w:t>
            </w:r>
          </w:p>
        </w:tc>
        <w:tc>
          <w:tcPr>
            <w:tcW w:w="940" w:type="dxa"/>
            <w:tcMar>
              <w:top w:w="28" w:type="dxa"/>
              <w:bottom w:w="28" w:type="dxa"/>
            </w:tcMar>
            <w:vAlign w:val="center"/>
          </w:tcPr>
          <w:p w14:paraId="1C349E1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2.677</w:t>
            </w:r>
          </w:p>
        </w:tc>
        <w:tc>
          <w:tcPr>
            <w:tcW w:w="1984" w:type="dxa"/>
            <w:tcMar>
              <w:top w:w="28" w:type="dxa"/>
              <w:bottom w:w="28" w:type="dxa"/>
            </w:tcMar>
            <w:vAlign w:val="center"/>
          </w:tcPr>
          <w:p w14:paraId="29A187C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(0.988-7.255)</w:t>
            </w:r>
          </w:p>
        </w:tc>
        <w:tc>
          <w:tcPr>
            <w:tcW w:w="993" w:type="dxa"/>
            <w:tcMar>
              <w:top w:w="28" w:type="dxa"/>
              <w:bottom w:w="28" w:type="dxa"/>
            </w:tcMar>
            <w:vAlign w:val="center"/>
          </w:tcPr>
          <w:p w14:paraId="34E303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0.053</w:t>
            </w:r>
          </w:p>
        </w:tc>
        <w:tc>
          <w:tcPr>
            <w:tcW w:w="674" w:type="dxa"/>
            <w:tcMar>
              <w:top w:w="28" w:type="dxa"/>
              <w:bottom w:w="28" w:type="dxa"/>
            </w:tcMar>
            <w:vAlign w:val="center"/>
          </w:tcPr>
          <w:p w14:paraId="03F8420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660973C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13ACBCA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59B65EAF" w14:textId="77777777" w:rsidTr="000E1CE0">
        <w:trPr>
          <w:trHeight w:val="454"/>
          <w:jc w:val="center"/>
        </w:trPr>
        <w:tc>
          <w:tcPr>
            <w:tcW w:w="3253" w:type="dxa"/>
            <w:tcMar>
              <w:top w:w="28" w:type="dxa"/>
              <w:bottom w:w="28" w:type="dxa"/>
            </w:tcMar>
            <w:vAlign w:val="center"/>
          </w:tcPr>
          <w:p w14:paraId="697F37B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HCC</w:t>
            </w:r>
          </w:p>
        </w:tc>
        <w:tc>
          <w:tcPr>
            <w:tcW w:w="1430" w:type="dxa"/>
            <w:vAlign w:val="center"/>
          </w:tcPr>
          <w:p w14:paraId="5088E7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5 (29.4%)</w:t>
            </w:r>
          </w:p>
        </w:tc>
        <w:tc>
          <w:tcPr>
            <w:tcW w:w="1706" w:type="dxa"/>
            <w:vAlign w:val="center"/>
          </w:tcPr>
          <w:p w14:paraId="2F13F44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46 (11.9%)</w:t>
            </w:r>
          </w:p>
        </w:tc>
        <w:tc>
          <w:tcPr>
            <w:tcW w:w="940" w:type="dxa"/>
            <w:tcMar>
              <w:top w:w="28" w:type="dxa"/>
              <w:bottom w:w="28" w:type="dxa"/>
            </w:tcMar>
            <w:vAlign w:val="center"/>
          </w:tcPr>
          <w:p w14:paraId="2B8FF20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3.080</w:t>
            </w:r>
          </w:p>
        </w:tc>
        <w:tc>
          <w:tcPr>
            <w:tcW w:w="1984" w:type="dxa"/>
            <w:tcMar>
              <w:top w:w="28" w:type="dxa"/>
              <w:bottom w:w="28" w:type="dxa"/>
            </w:tcMar>
            <w:vAlign w:val="center"/>
          </w:tcPr>
          <w:p w14:paraId="4C440DD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(1.038-9.139)</w:t>
            </w:r>
          </w:p>
        </w:tc>
        <w:tc>
          <w:tcPr>
            <w:tcW w:w="993" w:type="dxa"/>
            <w:tcMar>
              <w:top w:w="28" w:type="dxa"/>
              <w:bottom w:w="28" w:type="dxa"/>
            </w:tcMar>
            <w:vAlign w:val="center"/>
          </w:tcPr>
          <w:p w14:paraId="69D4E10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0.043</w:t>
            </w:r>
          </w:p>
        </w:tc>
        <w:tc>
          <w:tcPr>
            <w:tcW w:w="674" w:type="dxa"/>
            <w:tcMar>
              <w:top w:w="28" w:type="dxa"/>
              <w:bottom w:w="28" w:type="dxa"/>
            </w:tcMar>
            <w:vAlign w:val="center"/>
          </w:tcPr>
          <w:p w14:paraId="26C8B7A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1.961</w:t>
            </w:r>
          </w:p>
        </w:tc>
        <w:tc>
          <w:tcPr>
            <w:tcW w:w="1713" w:type="dxa"/>
            <w:tcMar>
              <w:top w:w="28" w:type="dxa"/>
              <w:bottom w:w="28" w:type="dxa"/>
            </w:tcMar>
            <w:vAlign w:val="center"/>
          </w:tcPr>
          <w:p w14:paraId="7D3A8F2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(0.626-6.143)</w:t>
            </w:r>
          </w:p>
        </w:tc>
        <w:tc>
          <w:tcPr>
            <w:tcW w:w="850" w:type="dxa"/>
            <w:tcMar>
              <w:top w:w="28" w:type="dxa"/>
              <w:bottom w:w="28" w:type="dxa"/>
            </w:tcMar>
            <w:vAlign w:val="center"/>
          </w:tcPr>
          <w:p w14:paraId="4A91E2C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0.248</w:t>
            </w:r>
          </w:p>
        </w:tc>
      </w:tr>
    </w:tbl>
    <w:p w14:paraId="3A788719" w14:textId="06D4730B" w:rsidR="0033045F" w:rsidRPr="000E1CE0" w:rsidRDefault="004C223D" w:rsidP="000E1CE0">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eastAsia="Malgun Gothic" w:hAnsi="Book Antiqua" w:cstheme="majorHAnsi"/>
          <w:color w:val="000000" w:themeColor="text1"/>
          <w:kern w:val="24"/>
          <w:sz w:val="24"/>
          <w:szCs w:val="24"/>
          <w:vertAlign w:val="superscript"/>
        </w:rPr>
        <w:t>1</w:t>
      </w:r>
      <w:r w:rsidR="0033045F" w:rsidRPr="00ED7BEC">
        <w:rPr>
          <w:rFonts w:ascii="Book Antiqua" w:hAnsi="Book Antiqua" w:cstheme="majorHAnsi"/>
          <w:color w:val="000000" w:themeColor="text1"/>
          <w:kern w:val="24"/>
          <w:sz w:val="24"/>
          <w:szCs w:val="24"/>
        </w:rPr>
        <w:t>Significant fibrosis</w:t>
      </w:r>
      <w:r w:rsidR="0033045F" w:rsidRPr="00ED7BEC">
        <w:rPr>
          <w:rFonts w:ascii="Book Antiqua" w:eastAsia="Malgun Gothic" w:hAnsi="Book Antiqua" w:cstheme="majorHAnsi"/>
          <w:color w:val="000000" w:themeColor="text1"/>
          <w:kern w:val="24"/>
          <w:sz w:val="24"/>
          <w:szCs w:val="24"/>
        </w:rPr>
        <w:t xml:space="preserve"> was defined as </w:t>
      </w:r>
      <w:r w:rsidR="000E1CE0" w:rsidRPr="00ED7BEC">
        <w:rPr>
          <w:rFonts w:ascii="Book Antiqua" w:hAnsi="Book Antiqua" w:cs="Arial"/>
          <w:color w:val="000000" w:themeColor="text1"/>
          <w:sz w:val="24"/>
          <w:szCs w:val="24"/>
        </w:rPr>
        <w:t>aspartate aminotransferase</w:t>
      </w:r>
      <w:r w:rsidR="000E1CE0" w:rsidRPr="00ED7BEC">
        <w:rPr>
          <w:rFonts w:ascii="Book Antiqua" w:hAnsi="Book Antiqua" w:cstheme="majorHAnsi"/>
          <w:color w:val="000000" w:themeColor="text1"/>
          <w:sz w:val="24"/>
          <w:szCs w:val="24"/>
        </w:rPr>
        <w:t xml:space="preserve"> to platelet ratio index</w:t>
      </w:r>
      <w:r w:rsidR="0033045F" w:rsidRPr="00ED7BEC">
        <w:rPr>
          <w:rFonts w:ascii="Book Antiqua" w:eastAsia="Malgun Gothic" w:hAnsi="Book Antiqua" w:cstheme="majorHAnsi"/>
          <w:color w:val="000000" w:themeColor="text1"/>
          <w:kern w:val="24"/>
          <w:sz w:val="24"/>
          <w:szCs w:val="24"/>
        </w:rPr>
        <w:t xml:space="preserve"> &gt; 1.5 or </w:t>
      </w:r>
      <w:r w:rsidR="000E1CE0" w:rsidRPr="00ED7BEC">
        <w:rPr>
          <w:rFonts w:ascii="Book Antiqua" w:hAnsi="Book Antiqua" w:cstheme="majorHAnsi"/>
          <w:color w:val="000000" w:themeColor="text1"/>
          <w:sz w:val="24"/>
          <w:szCs w:val="24"/>
        </w:rPr>
        <w:t>fibrosis-4 index</w:t>
      </w:r>
      <w:r w:rsidR="000E1CE0" w:rsidRPr="00ED7BEC">
        <w:rPr>
          <w:rFonts w:ascii="Book Antiqua" w:eastAsia="Malgun Gothic" w:hAnsi="Book Antiqua" w:cstheme="majorHAnsi"/>
          <w:color w:val="000000" w:themeColor="text1"/>
          <w:kern w:val="24"/>
          <w:sz w:val="24"/>
          <w:szCs w:val="24"/>
        </w:rPr>
        <w:t xml:space="preserve"> </w:t>
      </w:r>
      <w:r w:rsidR="0033045F" w:rsidRPr="00ED7BEC">
        <w:rPr>
          <w:rFonts w:ascii="Book Antiqua" w:eastAsia="Malgun Gothic" w:hAnsi="Book Antiqua" w:cstheme="majorHAnsi"/>
          <w:color w:val="000000" w:themeColor="text1"/>
          <w:kern w:val="24"/>
          <w:sz w:val="24"/>
          <w:szCs w:val="24"/>
        </w:rPr>
        <w:t>&gt; 3.25.</w:t>
      </w:r>
      <w:r w:rsidR="000E1CE0">
        <w:rPr>
          <w:rFonts w:ascii="Book Antiqua" w:eastAsia="等线" w:hAnsi="Book Antiqua" w:cstheme="majorHAnsi" w:hint="eastAsia"/>
          <w:color w:val="000000" w:themeColor="text1"/>
          <w:sz w:val="24"/>
          <w:szCs w:val="24"/>
          <w:lang w:eastAsia="zh-CN"/>
        </w:rPr>
        <w:t xml:space="preserve"> </w:t>
      </w:r>
      <w:r w:rsidR="000E1CE0" w:rsidRPr="00ED7BEC">
        <w:rPr>
          <w:rFonts w:ascii="Book Antiqua" w:hAnsi="Book Antiqua" w:cstheme="majorHAnsi"/>
          <w:color w:val="000000" w:themeColor="text1"/>
          <w:sz w:val="24"/>
          <w:szCs w:val="24"/>
        </w:rPr>
        <w:t xml:space="preserve">ALT: Alanine aminotransferase; APRI: </w:t>
      </w:r>
      <w:r w:rsidR="000E1CE0" w:rsidRPr="00ED7BEC">
        <w:rPr>
          <w:rFonts w:ascii="Book Antiqua" w:hAnsi="Book Antiqua" w:cs="Arial"/>
          <w:color w:val="000000" w:themeColor="text1"/>
          <w:sz w:val="24"/>
          <w:szCs w:val="24"/>
        </w:rPr>
        <w:t>Aspartate aminotransferase</w:t>
      </w:r>
      <w:r w:rsidR="000E1CE0" w:rsidRPr="00ED7BEC">
        <w:rPr>
          <w:rFonts w:ascii="Book Antiqua" w:hAnsi="Book Antiqua" w:cstheme="majorHAnsi"/>
          <w:color w:val="000000" w:themeColor="text1"/>
          <w:sz w:val="24"/>
          <w:szCs w:val="24"/>
        </w:rPr>
        <w:t xml:space="preserve"> to platelet ratio index; AST: Aspartate aminotransferase; FIB-4: Fibrosis-4 Index; HCC: Hepatocellular carcinoma; INR: International normalized ratio; qHBsAg: Quantitative </w:t>
      </w:r>
      <w:r w:rsidR="000E1CE0" w:rsidRPr="00ED7BEC">
        <w:rPr>
          <w:rFonts w:ascii="Book Antiqua" w:hAnsi="Book Antiqua" w:cs="Arial"/>
          <w:color w:val="000000" w:themeColor="text1"/>
          <w:sz w:val="24"/>
          <w:szCs w:val="24"/>
        </w:rPr>
        <w:t>hepatitis B surface antigen</w:t>
      </w:r>
      <w:r w:rsidR="000E1CE0" w:rsidRPr="00ED7BEC">
        <w:rPr>
          <w:rFonts w:ascii="Book Antiqua" w:hAnsi="Book Antiqua" w:cstheme="majorHAnsi"/>
          <w:color w:val="000000" w:themeColor="text1"/>
          <w:sz w:val="24"/>
          <w:szCs w:val="24"/>
        </w:rPr>
        <w:t xml:space="preserve"> levels</w:t>
      </w:r>
      <w:r w:rsidR="000E1CE0">
        <w:rPr>
          <w:rFonts w:ascii="Book Antiqua" w:hAnsi="Book Antiqua" w:cstheme="majorHAnsi"/>
          <w:color w:val="000000" w:themeColor="text1"/>
          <w:sz w:val="24"/>
          <w:szCs w:val="24"/>
        </w:rPr>
        <w:t xml:space="preserve">; HBV: </w:t>
      </w:r>
      <w:r w:rsidR="000E1CE0" w:rsidRPr="00ED7BEC">
        <w:rPr>
          <w:rFonts w:ascii="Book Antiqua" w:hAnsi="Book Antiqua" w:cs="Arial"/>
          <w:color w:val="000000" w:themeColor="text1"/>
          <w:sz w:val="24"/>
          <w:szCs w:val="24"/>
        </w:rPr>
        <w:t>Hepatitis B</w:t>
      </w:r>
      <w:r w:rsidR="000E1CE0">
        <w:rPr>
          <w:rFonts w:ascii="Book Antiqua" w:hAnsi="Book Antiqua" w:cs="Arial"/>
          <w:color w:val="000000" w:themeColor="text1"/>
          <w:sz w:val="24"/>
          <w:szCs w:val="24"/>
        </w:rPr>
        <w:t xml:space="preserve"> virus. </w:t>
      </w:r>
    </w:p>
    <w:p w14:paraId="3CE399BB" w14:textId="77777777" w:rsidR="0033045F" w:rsidRPr="00ED7BEC" w:rsidRDefault="0033045F"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br w:type="page"/>
      </w:r>
    </w:p>
    <w:p w14:paraId="028D7800" w14:textId="1674EFAE" w:rsidR="0033045F" w:rsidRPr="00C56C68" w:rsidRDefault="0033045F" w:rsidP="00ED7BEC">
      <w:pPr>
        <w:wordWrap/>
        <w:spacing w:after="0" w:line="360" w:lineRule="auto"/>
        <w:rPr>
          <w:rFonts w:ascii="Book Antiqua" w:hAnsi="Book Antiqua" w:cstheme="minorHAnsi"/>
          <w:b/>
          <w:color w:val="000000" w:themeColor="text1"/>
          <w:sz w:val="24"/>
          <w:szCs w:val="24"/>
        </w:rPr>
      </w:pPr>
      <w:r w:rsidRPr="00C56C68">
        <w:rPr>
          <w:rFonts w:ascii="Book Antiqua" w:hAnsi="Book Antiqua" w:cstheme="minorHAnsi"/>
          <w:b/>
          <w:color w:val="000000" w:themeColor="text1"/>
          <w:sz w:val="24"/>
          <w:szCs w:val="24"/>
        </w:rPr>
        <w:lastRenderedPageBreak/>
        <w:t>Table 6 Independent factors for complete response at 12 mo of antiviral therapy in 232 patients who were treated with nucleos</w:t>
      </w:r>
      <w:r w:rsidR="00C56C68" w:rsidRPr="00C56C68">
        <w:rPr>
          <w:rFonts w:ascii="Book Antiqua" w:hAnsi="Book Antiqua" w:cstheme="minorHAnsi"/>
          <w:b/>
          <w:color w:val="000000" w:themeColor="text1"/>
          <w:sz w:val="24"/>
          <w:szCs w:val="24"/>
        </w:rPr>
        <w:t>(</w:t>
      </w:r>
      <w:r w:rsidRPr="00C56C68">
        <w:rPr>
          <w:rFonts w:ascii="Book Antiqua" w:hAnsi="Book Antiqua" w:cstheme="minorHAnsi"/>
          <w:b/>
          <w:color w:val="000000" w:themeColor="text1"/>
          <w:sz w:val="24"/>
          <w:szCs w:val="24"/>
        </w:rPr>
        <w:t>t</w:t>
      </w:r>
      <w:r w:rsidR="00C56C68" w:rsidRPr="00C56C68">
        <w:rPr>
          <w:rFonts w:ascii="Book Antiqua" w:hAnsi="Book Antiqua" w:cstheme="minorHAnsi"/>
          <w:b/>
          <w:color w:val="000000" w:themeColor="text1"/>
          <w:sz w:val="24"/>
          <w:szCs w:val="24"/>
        </w:rPr>
        <w:t>)</w:t>
      </w:r>
      <w:r w:rsidRPr="00C56C68">
        <w:rPr>
          <w:rFonts w:ascii="Book Antiqua" w:hAnsi="Book Antiqua" w:cstheme="minorHAnsi"/>
          <w:b/>
          <w:color w:val="000000" w:themeColor="text1"/>
          <w:sz w:val="24"/>
          <w:szCs w:val="24"/>
        </w:rPr>
        <w:t>ide analogues</w:t>
      </w:r>
    </w:p>
    <w:tbl>
      <w:tblPr>
        <w:tblStyle w:val="3"/>
        <w:tblW w:w="13627" w:type="dxa"/>
        <w:jc w:val="center"/>
        <w:tblBorders>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690"/>
        <w:gridCol w:w="1684"/>
        <w:gridCol w:w="1852"/>
        <w:gridCol w:w="913"/>
        <w:gridCol w:w="1659"/>
        <w:gridCol w:w="1090"/>
        <w:gridCol w:w="903"/>
        <w:gridCol w:w="1826"/>
        <w:gridCol w:w="1010"/>
      </w:tblGrid>
      <w:tr w:rsidR="00ED7BEC" w:rsidRPr="00ED7BEC" w14:paraId="185E51AF" w14:textId="77777777" w:rsidTr="00C56C68">
        <w:trPr>
          <w:trHeight w:val="457"/>
          <w:jc w:val="center"/>
        </w:trPr>
        <w:tc>
          <w:tcPr>
            <w:tcW w:w="2690" w:type="dxa"/>
            <w:vMerge w:val="restart"/>
            <w:tcBorders>
              <w:top w:val="single" w:sz="4" w:space="0" w:color="auto"/>
              <w:bottom w:val="nil"/>
            </w:tcBorders>
            <w:tcMar>
              <w:top w:w="28" w:type="dxa"/>
              <w:bottom w:w="28" w:type="dxa"/>
            </w:tcMar>
            <w:vAlign w:val="center"/>
          </w:tcPr>
          <w:p w14:paraId="08413C0B" w14:textId="77777777" w:rsidR="0033045F" w:rsidRPr="00C56C68" w:rsidRDefault="0033045F" w:rsidP="00ED7BEC">
            <w:pPr>
              <w:wordWrap/>
              <w:spacing w:line="360" w:lineRule="auto"/>
              <w:jc w:val="both"/>
              <w:rPr>
                <w:rFonts w:ascii="Book Antiqua" w:hAnsi="Book Antiqua" w:cstheme="minorHAnsi"/>
                <w:b/>
                <w:bCs/>
                <w:color w:val="000000" w:themeColor="text1"/>
                <w:sz w:val="24"/>
                <w:szCs w:val="24"/>
              </w:rPr>
            </w:pPr>
          </w:p>
        </w:tc>
        <w:tc>
          <w:tcPr>
            <w:tcW w:w="1684" w:type="dxa"/>
            <w:vMerge w:val="restart"/>
            <w:tcBorders>
              <w:top w:val="single" w:sz="4" w:space="0" w:color="auto"/>
              <w:bottom w:val="nil"/>
            </w:tcBorders>
            <w:vAlign w:val="center"/>
          </w:tcPr>
          <w:p w14:paraId="7B2EC32D" w14:textId="6421EC2D" w:rsidR="0033045F" w:rsidRPr="00C56C68" w:rsidRDefault="0033045F" w:rsidP="00C56C68">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ajorHAnsi"/>
                <w:b/>
                <w:bCs/>
                <w:color w:val="000000" w:themeColor="text1"/>
                <w:sz w:val="24"/>
                <w:szCs w:val="24"/>
              </w:rPr>
              <w:t>Complete response</w:t>
            </w:r>
            <w:r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i/>
                <w:iCs/>
                <w:color w:val="000000" w:themeColor="text1"/>
                <w:kern w:val="24"/>
                <w:sz w:val="24"/>
                <w:szCs w:val="24"/>
              </w:rPr>
              <w:t>n</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199)</w:t>
            </w:r>
          </w:p>
        </w:tc>
        <w:tc>
          <w:tcPr>
            <w:tcW w:w="1852" w:type="dxa"/>
            <w:vMerge w:val="restart"/>
            <w:tcBorders>
              <w:top w:val="single" w:sz="4" w:space="0" w:color="auto"/>
              <w:bottom w:val="nil"/>
            </w:tcBorders>
            <w:vAlign w:val="center"/>
          </w:tcPr>
          <w:p w14:paraId="4C02977F"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inorHAnsi"/>
                <w:b/>
                <w:bCs/>
                <w:color w:val="000000" w:themeColor="text1"/>
                <w:kern w:val="24"/>
                <w:sz w:val="24"/>
                <w:szCs w:val="24"/>
              </w:rPr>
              <w:t>Incomplete response</w:t>
            </w:r>
          </w:p>
          <w:p w14:paraId="1A7AD09C" w14:textId="6F7C5461"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inorHAnsi"/>
                <w:b/>
                <w:bCs/>
                <w:color w:val="000000" w:themeColor="text1"/>
                <w:kern w:val="24"/>
                <w:sz w:val="24"/>
                <w:szCs w:val="24"/>
              </w:rPr>
              <w:t>(</w:t>
            </w:r>
            <w:r w:rsidRPr="00C56C68">
              <w:rPr>
                <w:rFonts w:ascii="Book Antiqua" w:hAnsi="Book Antiqua" w:cstheme="minorHAnsi"/>
                <w:b/>
                <w:bCs/>
                <w:i/>
                <w:iCs/>
                <w:color w:val="000000" w:themeColor="text1"/>
                <w:kern w:val="24"/>
                <w:sz w:val="24"/>
                <w:szCs w:val="24"/>
              </w:rPr>
              <w:t>n</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33)</w:t>
            </w:r>
          </w:p>
        </w:tc>
        <w:tc>
          <w:tcPr>
            <w:tcW w:w="3662" w:type="dxa"/>
            <w:gridSpan w:val="3"/>
            <w:tcBorders>
              <w:top w:val="single" w:sz="4" w:space="0" w:color="auto"/>
              <w:bottom w:val="single" w:sz="4" w:space="0" w:color="auto"/>
            </w:tcBorders>
            <w:tcMar>
              <w:top w:w="28" w:type="dxa"/>
              <w:bottom w:w="28" w:type="dxa"/>
            </w:tcMar>
            <w:vAlign w:val="center"/>
          </w:tcPr>
          <w:p w14:paraId="74A1B29B" w14:textId="19D3EDC4" w:rsidR="0033045F" w:rsidRPr="00C56C68" w:rsidRDefault="00C56C68"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U</w:t>
            </w:r>
            <w:r w:rsidR="0033045F" w:rsidRPr="00C56C68">
              <w:rPr>
                <w:rFonts w:ascii="Book Antiqua" w:hAnsi="Book Antiqua" w:cstheme="minorHAnsi"/>
                <w:b/>
                <w:bCs/>
                <w:color w:val="000000" w:themeColor="text1"/>
                <w:kern w:val="24"/>
                <w:sz w:val="24"/>
                <w:szCs w:val="24"/>
              </w:rPr>
              <w:t>nivariate</w:t>
            </w:r>
          </w:p>
        </w:tc>
        <w:tc>
          <w:tcPr>
            <w:tcW w:w="3739" w:type="dxa"/>
            <w:gridSpan w:val="3"/>
            <w:tcBorders>
              <w:top w:val="single" w:sz="4" w:space="0" w:color="auto"/>
              <w:bottom w:val="single" w:sz="4" w:space="0" w:color="auto"/>
            </w:tcBorders>
            <w:tcMar>
              <w:top w:w="28" w:type="dxa"/>
              <w:bottom w:w="28" w:type="dxa"/>
            </w:tcMar>
            <w:vAlign w:val="center"/>
          </w:tcPr>
          <w:p w14:paraId="7A4DDE83" w14:textId="4817C848" w:rsidR="0033045F" w:rsidRPr="00C56C68" w:rsidRDefault="00C56C68"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M</w:t>
            </w:r>
            <w:r w:rsidR="0033045F" w:rsidRPr="00C56C68">
              <w:rPr>
                <w:rFonts w:ascii="Book Antiqua" w:hAnsi="Book Antiqua" w:cstheme="minorHAnsi"/>
                <w:b/>
                <w:bCs/>
                <w:color w:val="000000" w:themeColor="text1"/>
                <w:kern w:val="24"/>
                <w:sz w:val="24"/>
                <w:szCs w:val="24"/>
              </w:rPr>
              <w:t>ultivariate</w:t>
            </w:r>
          </w:p>
        </w:tc>
      </w:tr>
      <w:tr w:rsidR="00ED7BEC" w:rsidRPr="00ED7BEC" w14:paraId="02863964" w14:textId="77777777" w:rsidTr="00C56C68">
        <w:trPr>
          <w:trHeight w:val="457"/>
          <w:jc w:val="center"/>
        </w:trPr>
        <w:tc>
          <w:tcPr>
            <w:tcW w:w="2690" w:type="dxa"/>
            <w:vMerge/>
            <w:tcBorders>
              <w:top w:val="nil"/>
              <w:bottom w:val="single" w:sz="4" w:space="0" w:color="auto"/>
            </w:tcBorders>
            <w:tcMar>
              <w:top w:w="28" w:type="dxa"/>
              <w:bottom w:w="28" w:type="dxa"/>
            </w:tcMar>
            <w:vAlign w:val="center"/>
          </w:tcPr>
          <w:p w14:paraId="7570776B"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sz w:val="24"/>
                <w:szCs w:val="24"/>
              </w:rPr>
            </w:pPr>
          </w:p>
        </w:tc>
        <w:tc>
          <w:tcPr>
            <w:tcW w:w="1684" w:type="dxa"/>
            <w:vMerge/>
            <w:tcBorders>
              <w:top w:val="nil"/>
              <w:bottom w:val="single" w:sz="4" w:space="0" w:color="auto"/>
            </w:tcBorders>
            <w:vAlign w:val="center"/>
          </w:tcPr>
          <w:p w14:paraId="76A243B2"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1852" w:type="dxa"/>
            <w:vMerge/>
            <w:tcBorders>
              <w:top w:val="nil"/>
              <w:bottom w:val="single" w:sz="4" w:space="0" w:color="auto"/>
            </w:tcBorders>
            <w:vAlign w:val="center"/>
          </w:tcPr>
          <w:p w14:paraId="4A0BFF5F"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913" w:type="dxa"/>
            <w:tcBorders>
              <w:top w:val="single" w:sz="4" w:space="0" w:color="auto"/>
              <w:bottom w:val="single" w:sz="4" w:space="0" w:color="auto"/>
            </w:tcBorders>
            <w:tcMar>
              <w:top w:w="28" w:type="dxa"/>
              <w:bottom w:w="28" w:type="dxa"/>
            </w:tcMar>
            <w:vAlign w:val="center"/>
          </w:tcPr>
          <w:p w14:paraId="4950B528"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OR</w:t>
            </w:r>
          </w:p>
        </w:tc>
        <w:tc>
          <w:tcPr>
            <w:tcW w:w="1659" w:type="dxa"/>
            <w:tcBorders>
              <w:top w:val="single" w:sz="4" w:space="0" w:color="auto"/>
              <w:bottom w:val="single" w:sz="4" w:space="0" w:color="auto"/>
            </w:tcBorders>
            <w:tcMar>
              <w:top w:w="28" w:type="dxa"/>
              <w:bottom w:w="28" w:type="dxa"/>
            </w:tcMar>
            <w:vAlign w:val="center"/>
          </w:tcPr>
          <w:p w14:paraId="38428A9C" w14:textId="59D0E8A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95%CI</w:t>
            </w:r>
          </w:p>
        </w:tc>
        <w:tc>
          <w:tcPr>
            <w:tcW w:w="1090" w:type="dxa"/>
            <w:tcBorders>
              <w:top w:val="single" w:sz="4" w:space="0" w:color="auto"/>
              <w:bottom w:val="single" w:sz="4" w:space="0" w:color="auto"/>
            </w:tcBorders>
            <w:tcMar>
              <w:top w:w="28" w:type="dxa"/>
              <w:bottom w:w="28" w:type="dxa"/>
            </w:tcMar>
            <w:vAlign w:val="center"/>
          </w:tcPr>
          <w:p w14:paraId="6BCC5CA9" w14:textId="18709247" w:rsidR="0033045F" w:rsidRPr="00C56C68" w:rsidRDefault="00C56C68"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56C68">
              <w:rPr>
                <w:rFonts w:ascii="Book Antiqua" w:hAnsi="Book Antiqua" w:cstheme="minorHAnsi"/>
                <w:b/>
                <w:bCs/>
                <w:i/>
                <w:iCs/>
                <w:color w:val="000000" w:themeColor="text1"/>
                <w:kern w:val="24"/>
                <w:sz w:val="24"/>
                <w:szCs w:val="24"/>
              </w:rPr>
              <w:t>P</w:t>
            </w:r>
            <w:r w:rsidR="00C4063D" w:rsidRPr="0024114A">
              <w:rPr>
                <w:rFonts w:ascii="Book Antiqua" w:hAnsi="Book Antiqua" w:cstheme="majorHAnsi"/>
                <w:b/>
                <w:bCs/>
                <w:color w:val="000000" w:themeColor="text1"/>
                <w:sz w:val="24"/>
                <w:szCs w:val="24"/>
              </w:rPr>
              <w:t xml:space="preserve"> value</w:t>
            </w:r>
          </w:p>
        </w:tc>
        <w:tc>
          <w:tcPr>
            <w:tcW w:w="903" w:type="dxa"/>
            <w:tcBorders>
              <w:top w:val="single" w:sz="4" w:space="0" w:color="auto"/>
              <w:bottom w:val="single" w:sz="4" w:space="0" w:color="auto"/>
            </w:tcBorders>
            <w:tcMar>
              <w:top w:w="28" w:type="dxa"/>
              <w:bottom w:w="28" w:type="dxa"/>
            </w:tcMar>
            <w:vAlign w:val="center"/>
          </w:tcPr>
          <w:p w14:paraId="1A0B9F01"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OR</w:t>
            </w:r>
          </w:p>
        </w:tc>
        <w:tc>
          <w:tcPr>
            <w:tcW w:w="1826" w:type="dxa"/>
            <w:tcBorders>
              <w:top w:val="single" w:sz="4" w:space="0" w:color="auto"/>
              <w:bottom w:val="single" w:sz="4" w:space="0" w:color="auto"/>
            </w:tcBorders>
            <w:tcMar>
              <w:top w:w="28" w:type="dxa"/>
              <w:bottom w:w="28" w:type="dxa"/>
            </w:tcMar>
            <w:vAlign w:val="center"/>
          </w:tcPr>
          <w:p w14:paraId="4ADFBA83"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95%CI</w:t>
            </w:r>
          </w:p>
        </w:tc>
        <w:tc>
          <w:tcPr>
            <w:tcW w:w="1010" w:type="dxa"/>
            <w:tcBorders>
              <w:top w:val="single" w:sz="4" w:space="0" w:color="auto"/>
              <w:bottom w:val="single" w:sz="4" w:space="0" w:color="auto"/>
            </w:tcBorders>
            <w:tcMar>
              <w:top w:w="28" w:type="dxa"/>
              <w:bottom w:w="28" w:type="dxa"/>
            </w:tcMar>
            <w:vAlign w:val="center"/>
          </w:tcPr>
          <w:p w14:paraId="04030291" w14:textId="2734BCE0" w:rsidR="0033045F" w:rsidRPr="00C56C68" w:rsidRDefault="00C56C68"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56C68">
              <w:rPr>
                <w:rFonts w:ascii="Book Antiqua" w:hAnsi="Book Antiqua" w:cstheme="minorHAnsi"/>
                <w:b/>
                <w:bCs/>
                <w:i/>
                <w:iCs/>
                <w:color w:val="000000" w:themeColor="text1"/>
                <w:kern w:val="24"/>
                <w:sz w:val="24"/>
                <w:szCs w:val="24"/>
              </w:rPr>
              <w:t>P</w:t>
            </w:r>
            <w:r w:rsidR="00C4063D" w:rsidRPr="0024114A">
              <w:rPr>
                <w:rFonts w:ascii="Book Antiqua" w:hAnsi="Book Antiqua" w:cstheme="majorHAnsi"/>
                <w:b/>
                <w:bCs/>
                <w:color w:val="000000" w:themeColor="text1"/>
                <w:sz w:val="24"/>
                <w:szCs w:val="24"/>
              </w:rPr>
              <w:t xml:space="preserve"> value</w:t>
            </w:r>
          </w:p>
        </w:tc>
      </w:tr>
      <w:tr w:rsidR="00ED7BEC" w:rsidRPr="00ED7BEC" w14:paraId="31DD1EA4" w14:textId="77777777" w:rsidTr="00C56C68">
        <w:trPr>
          <w:trHeight w:val="457"/>
          <w:jc w:val="center"/>
        </w:trPr>
        <w:tc>
          <w:tcPr>
            <w:tcW w:w="2690" w:type="dxa"/>
            <w:tcBorders>
              <w:top w:val="single" w:sz="4" w:space="0" w:color="auto"/>
            </w:tcBorders>
            <w:tcMar>
              <w:top w:w="28" w:type="dxa"/>
              <w:bottom w:w="28" w:type="dxa"/>
            </w:tcMar>
            <w:vAlign w:val="center"/>
          </w:tcPr>
          <w:p w14:paraId="72545418" w14:textId="536B3E35"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Gender (male)</w:t>
            </w:r>
          </w:p>
        </w:tc>
        <w:tc>
          <w:tcPr>
            <w:tcW w:w="1684" w:type="dxa"/>
            <w:tcBorders>
              <w:top w:val="single" w:sz="4" w:space="0" w:color="auto"/>
            </w:tcBorders>
            <w:vAlign w:val="center"/>
          </w:tcPr>
          <w:p w14:paraId="282B01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130 (65.3%)</w:t>
            </w:r>
          </w:p>
        </w:tc>
        <w:tc>
          <w:tcPr>
            <w:tcW w:w="1852" w:type="dxa"/>
            <w:tcBorders>
              <w:top w:val="single" w:sz="4" w:space="0" w:color="auto"/>
            </w:tcBorders>
            <w:vAlign w:val="center"/>
          </w:tcPr>
          <w:p w14:paraId="14DFA20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20 (60.6%)</w:t>
            </w:r>
          </w:p>
        </w:tc>
        <w:tc>
          <w:tcPr>
            <w:tcW w:w="913" w:type="dxa"/>
            <w:tcBorders>
              <w:top w:val="single" w:sz="4" w:space="0" w:color="auto"/>
            </w:tcBorders>
            <w:tcMar>
              <w:top w:w="28" w:type="dxa"/>
              <w:bottom w:w="28" w:type="dxa"/>
            </w:tcMar>
            <w:vAlign w:val="center"/>
          </w:tcPr>
          <w:p w14:paraId="6256BEB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1.225</w:t>
            </w:r>
          </w:p>
        </w:tc>
        <w:tc>
          <w:tcPr>
            <w:tcW w:w="1659" w:type="dxa"/>
            <w:tcBorders>
              <w:top w:val="single" w:sz="4" w:space="0" w:color="auto"/>
            </w:tcBorders>
            <w:tcMar>
              <w:top w:w="28" w:type="dxa"/>
              <w:bottom w:w="28" w:type="dxa"/>
            </w:tcMar>
            <w:vAlign w:val="center"/>
          </w:tcPr>
          <w:p w14:paraId="34DEDE0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(0.575-2.610)</w:t>
            </w:r>
          </w:p>
        </w:tc>
        <w:tc>
          <w:tcPr>
            <w:tcW w:w="1090" w:type="dxa"/>
            <w:tcBorders>
              <w:top w:val="single" w:sz="4" w:space="0" w:color="auto"/>
            </w:tcBorders>
            <w:tcMar>
              <w:top w:w="28" w:type="dxa"/>
              <w:bottom w:w="28" w:type="dxa"/>
            </w:tcMar>
            <w:vAlign w:val="center"/>
          </w:tcPr>
          <w:p w14:paraId="64F875D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0.600</w:t>
            </w:r>
          </w:p>
        </w:tc>
        <w:tc>
          <w:tcPr>
            <w:tcW w:w="903" w:type="dxa"/>
            <w:tcBorders>
              <w:top w:val="single" w:sz="4" w:space="0" w:color="auto"/>
            </w:tcBorders>
            <w:tcMar>
              <w:top w:w="28" w:type="dxa"/>
              <w:bottom w:w="28" w:type="dxa"/>
            </w:tcMar>
            <w:vAlign w:val="center"/>
          </w:tcPr>
          <w:p w14:paraId="2ACD243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Borders>
              <w:top w:val="single" w:sz="4" w:space="0" w:color="auto"/>
            </w:tcBorders>
            <w:tcMar>
              <w:top w:w="28" w:type="dxa"/>
              <w:bottom w:w="28" w:type="dxa"/>
            </w:tcMar>
            <w:vAlign w:val="center"/>
          </w:tcPr>
          <w:p w14:paraId="1AF29EB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Borders>
              <w:top w:val="single" w:sz="4" w:space="0" w:color="auto"/>
            </w:tcBorders>
            <w:tcMar>
              <w:top w:w="28" w:type="dxa"/>
              <w:bottom w:w="28" w:type="dxa"/>
            </w:tcMar>
            <w:vAlign w:val="center"/>
          </w:tcPr>
          <w:p w14:paraId="68C03C7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613C5D70" w14:textId="77777777" w:rsidTr="00C56C68">
        <w:trPr>
          <w:trHeight w:val="457"/>
          <w:jc w:val="center"/>
        </w:trPr>
        <w:tc>
          <w:tcPr>
            <w:tcW w:w="2690" w:type="dxa"/>
            <w:tcMar>
              <w:top w:w="28" w:type="dxa"/>
              <w:bottom w:w="28" w:type="dxa"/>
            </w:tcMar>
            <w:vAlign w:val="center"/>
          </w:tcPr>
          <w:p w14:paraId="0AED38E5" w14:textId="02F84A4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Age, yr</w:t>
            </w:r>
          </w:p>
        </w:tc>
        <w:tc>
          <w:tcPr>
            <w:tcW w:w="1684" w:type="dxa"/>
            <w:vAlign w:val="center"/>
          </w:tcPr>
          <w:p w14:paraId="49AC6F5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kern w:val="24"/>
                <w:sz w:val="24"/>
                <w:szCs w:val="24"/>
              </w:rPr>
              <w:t>47.3 ± 11.9</w:t>
            </w:r>
          </w:p>
        </w:tc>
        <w:tc>
          <w:tcPr>
            <w:tcW w:w="1852" w:type="dxa"/>
            <w:vAlign w:val="center"/>
          </w:tcPr>
          <w:p w14:paraId="77379D96"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kern w:val="24"/>
                <w:sz w:val="24"/>
                <w:szCs w:val="24"/>
              </w:rPr>
              <w:t>43.6 ± 10.9</w:t>
            </w:r>
          </w:p>
        </w:tc>
        <w:tc>
          <w:tcPr>
            <w:tcW w:w="913" w:type="dxa"/>
            <w:tcMar>
              <w:top w:w="28" w:type="dxa"/>
              <w:bottom w:w="28" w:type="dxa"/>
            </w:tcMar>
            <w:vAlign w:val="center"/>
          </w:tcPr>
          <w:p w14:paraId="2BA58CE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1.028</w:t>
            </w:r>
          </w:p>
        </w:tc>
        <w:tc>
          <w:tcPr>
            <w:tcW w:w="1659" w:type="dxa"/>
            <w:tcMar>
              <w:top w:w="28" w:type="dxa"/>
              <w:bottom w:w="28" w:type="dxa"/>
            </w:tcMar>
            <w:vAlign w:val="center"/>
          </w:tcPr>
          <w:p w14:paraId="091BA59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(0.996-1.062)</w:t>
            </w:r>
          </w:p>
        </w:tc>
        <w:tc>
          <w:tcPr>
            <w:tcW w:w="1090" w:type="dxa"/>
            <w:tcMar>
              <w:top w:w="28" w:type="dxa"/>
              <w:bottom w:w="28" w:type="dxa"/>
            </w:tcMar>
            <w:vAlign w:val="center"/>
          </w:tcPr>
          <w:p w14:paraId="04ABFDE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0.087</w:t>
            </w:r>
          </w:p>
        </w:tc>
        <w:tc>
          <w:tcPr>
            <w:tcW w:w="903" w:type="dxa"/>
            <w:tcMar>
              <w:top w:w="28" w:type="dxa"/>
              <w:bottom w:w="28" w:type="dxa"/>
            </w:tcMar>
            <w:vAlign w:val="center"/>
          </w:tcPr>
          <w:p w14:paraId="55393ACC"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0F918BD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5DAD6D06"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451E79F" w14:textId="77777777" w:rsidTr="00C56C68">
        <w:trPr>
          <w:trHeight w:val="457"/>
          <w:jc w:val="center"/>
        </w:trPr>
        <w:tc>
          <w:tcPr>
            <w:tcW w:w="2690" w:type="dxa"/>
            <w:tcMar>
              <w:top w:w="28" w:type="dxa"/>
              <w:bottom w:w="28" w:type="dxa"/>
            </w:tcMar>
            <w:vAlign w:val="center"/>
          </w:tcPr>
          <w:p w14:paraId="63D97ED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HBeAg status (positive)</w:t>
            </w:r>
          </w:p>
        </w:tc>
        <w:tc>
          <w:tcPr>
            <w:tcW w:w="1684" w:type="dxa"/>
            <w:vAlign w:val="center"/>
          </w:tcPr>
          <w:p w14:paraId="29E48A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106 (53.3%)</w:t>
            </w:r>
          </w:p>
        </w:tc>
        <w:tc>
          <w:tcPr>
            <w:tcW w:w="1852" w:type="dxa"/>
            <w:vAlign w:val="center"/>
          </w:tcPr>
          <w:p w14:paraId="3F9C5CA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30 (90.9%)</w:t>
            </w:r>
          </w:p>
        </w:tc>
        <w:tc>
          <w:tcPr>
            <w:tcW w:w="913" w:type="dxa"/>
            <w:tcMar>
              <w:top w:w="28" w:type="dxa"/>
              <w:bottom w:w="28" w:type="dxa"/>
            </w:tcMar>
            <w:vAlign w:val="center"/>
          </w:tcPr>
          <w:p w14:paraId="6C9BA18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0.114</w:t>
            </w:r>
          </w:p>
        </w:tc>
        <w:tc>
          <w:tcPr>
            <w:tcW w:w="1659" w:type="dxa"/>
            <w:tcMar>
              <w:top w:w="28" w:type="dxa"/>
              <w:bottom w:w="28" w:type="dxa"/>
            </w:tcMar>
            <w:vAlign w:val="center"/>
          </w:tcPr>
          <w:p w14:paraId="2991761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(0.034-0.386)</w:t>
            </w:r>
          </w:p>
        </w:tc>
        <w:tc>
          <w:tcPr>
            <w:tcW w:w="1090" w:type="dxa"/>
            <w:tcMar>
              <w:top w:w="28" w:type="dxa"/>
              <w:bottom w:w="28" w:type="dxa"/>
            </w:tcMar>
            <w:vAlign w:val="center"/>
          </w:tcPr>
          <w:p w14:paraId="4C6D12EC" w14:textId="26EB0A8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0F7BC02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0.438</w:t>
            </w:r>
          </w:p>
        </w:tc>
        <w:tc>
          <w:tcPr>
            <w:tcW w:w="1826" w:type="dxa"/>
            <w:tcMar>
              <w:top w:w="28" w:type="dxa"/>
              <w:bottom w:w="28" w:type="dxa"/>
            </w:tcMar>
            <w:vAlign w:val="center"/>
          </w:tcPr>
          <w:p w14:paraId="1987588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(0.086-2.226)</w:t>
            </w:r>
          </w:p>
        </w:tc>
        <w:tc>
          <w:tcPr>
            <w:tcW w:w="1010" w:type="dxa"/>
            <w:tcMar>
              <w:top w:w="28" w:type="dxa"/>
              <w:bottom w:w="28" w:type="dxa"/>
            </w:tcMar>
            <w:vAlign w:val="center"/>
          </w:tcPr>
          <w:p w14:paraId="785C345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0.320</w:t>
            </w:r>
          </w:p>
        </w:tc>
      </w:tr>
      <w:tr w:rsidR="00ED7BEC" w:rsidRPr="00ED7BEC" w14:paraId="4A0D48B1" w14:textId="77777777" w:rsidTr="00C56C68">
        <w:trPr>
          <w:trHeight w:val="457"/>
          <w:jc w:val="center"/>
        </w:trPr>
        <w:tc>
          <w:tcPr>
            <w:tcW w:w="2690" w:type="dxa"/>
            <w:tcMar>
              <w:top w:w="28" w:type="dxa"/>
              <w:bottom w:w="28" w:type="dxa"/>
            </w:tcMar>
            <w:vAlign w:val="center"/>
          </w:tcPr>
          <w:p w14:paraId="552F80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lang w:val="es-ES"/>
              </w:rPr>
            </w:pPr>
            <w:r w:rsidRPr="00ED7BEC">
              <w:rPr>
                <w:rFonts w:ascii="Book Antiqua" w:hAnsi="Book Antiqua" w:cstheme="minorHAnsi"/>
                <w:color w:val="000000" w:themeColor="text1"/>
                <w:kern w:val="24"/>
                <w:sz w:val="24"/>
                <w:szCs w:val="24"/>
                <w:lang w:val="es-ES"/>
              </w:rPr>
              <w:t>HBV-DNA, log</w:t>
            </w:r>
            <w:r w:rsidRPr="00ED7BEC">
              <w:rPr>
                <w:rFonts w:ascii="Book Antiqua" w:hAnsi="Book Antiqua" w:cstheme="minorHAnsi"/>
                <w:color w:val="000000" w:themeColor="text1"/>
                <w:kern w:val="24"/>
                <w:position w:val="-5"/>
                <w:sz w:val="24"/>
                <w:szCs w:val="24"/>
                <w:vertAlign w:val="subscript"/>
                <w:lang w:val="es-ES"/>
              </w:rPr>
              <w:t>10</w:t>
            </w:r>
            <w:r w:rsidRPr="00ED7BEC">
              <w:rPr>
                <w:rFonts w:ascii="Book Antiqua" w:hAnsi="Book Antiqua" w:cstheme="minorHAnsi"/>
                <w:color w:val="000000" w:themeColor="text1"/>
                <w:kern w:val="24"/>
                <w:sz w:val="24"/>
                <w:szCs w:val="24"/>
                <w:lang w:val="es-ES"/>
              </w:rPr>
              <w:t xml:space="preserve"> IU/mL</w:t>
            </w:r>
          </w:p>
        </w:tc>
        <w:tc>
          <w:tcPr>
            <w:tcW w:w="1684" w:type="dxa"/>
            <w:vAlign w:val="center"/>
          </w:tcPr>
          <w:p w14:paraId="1A6C06B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5.97 ± 1.40</w:t>
            </w:r>
          </w:p>
        </w:tc>
        <w:tc>
          <w:tcPr>
            <w:tcW w:w="1852" w:type="dxa"/>
            <w:vAlign w:val="center"/>
          </w:tcPr>
          <w:p w14:paraId="3D4B868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7.69 ± 1.13</w:t>
            </w:r>
          </w:p>
        </w:tc>
        <w:tc>
          <w:tcPr>
            <w:tcW w:w="913" w:type="dxa"/>
            <w:tcMar>
              <w:top w:w="28" w:type="dxa"/>
              <w:bottom w:w="28" w:type="dxa"/>
            </w:tcMar>
            <w:vAlign w:val="center"/>
          </w:tcPr>
          <w:p w14:paraId="1575E62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0.402</w:t>
            </w:r>
          </w:p>
        </w:tc>
        <w:tc>
          <w:tcPr>
            <w:tcW w:w="1659" w:type="dxa"/>
            <w:tcMar>
              <w:top w:w="28" w:type="dxa"/>
              <w:bottom w:w="28" w:type="dxa"/>
            </w:tcMar>
            <w:vAlign w:val="center"/>
          </w:tcPr>
          <w:p w14:paraId="670A531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(0.290-0.559)</w:t>
            </w:r>
          </w:p>
        </w:tc>
        <w:tc>
          <w:tcPr>
            <w:tcW w:w="1090" w:type="dxa"/>
            <w:tcMar>
              <w:top w:w="28" w:type="dxa"/>
              <w:bottom w:w="28" w:type="dxa"/>
            </w:tcMar>
            <w:vAlign w:val="center"/>
          </w:tcPr>
          <w:p w14:paraId="12223754" w14:textId="6D9FB8B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45B15E2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0.185</w:t>
            </w:r>
          </w:p>
        </w:tc>
        <w:tc>
          <w:tcPr>
            <w:tcW w:w="1826" w:type="dxa"/>
            <w:tcMar>
              <w:top w:w="28" w:type="dxa"/>
              <w:bottom w:w="28" w:type="dxa"/>
            </w:tcMar>
            <w:vAlign w:val="center"/>
          </w:tcPr>
          <w:p w14:paraId="40766A7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(0.083-0.412)</w:t>
            </w:r>
          </w:p>
        </w:tc>
        <w:tc>
          <w:tcPr>
            <w:tcW w:w="1010" w:type="dxa"/>
            <w:tcMar>
              <w:top w:w="28" w:type="dxa"/>
              <w:bottom w:w="28" w:type="dxa"/>
            </w:tcMar>
            <w:vAlign w:val="center"/>
          </w:tcPr>
          <w:p w14:paraId="19E03992" w14:textId="21FEFB0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r w:rsidR="00ED7BEC" w:rsidRPr="00ED7BEC" w14:paraId="4A7FB3A6" w14:textId="77777777" w:rsidTr="00C56C68">
        <w:trPr>
          <w:trHeight w:val="457"/>
          <w:jc w:val="center"/>
        </w:trPr>
        <w:tc>
          <w:tcPr>
            <w:tcW w:w="2690" w:type="dxa"/>
            <w:tcMar>
              <w:top w:w="28" w:type="dxa"/>
              <w:bottom w:w="28" w:type="dxa"/>
            </w:tcMar>
            <w:vAlign w:val="center"/>
          </w:tcPr>
          <w:p w14:paraId="7AAA800B" w14:textId="0A4626FD"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qHBsAg, log</w:t>
            </w:r>
            <w:r w:rsidRPr="00ED7BEC">
              <w:rPr>
                <w:rFonts w:ascii="Book Antiqua" w:hAnsi="Book Antiqua" w:cstheme="minorHAnsi"/>
                <w:color w:val="000000" w:themeColor="text1"/>
                <w:kern w:val="24"/>
                <w:position w:val="-5"/>
                <w:sz w:val="24"/>
                <w:szCs w:val="24"/>
                <w:vertAlign w:val="subscript"/>
              </w:rPr>
              <w:t>10</w:t>
            </w:r>
            <w:r w:rsidRPr="00ED7BEC">
              <w:rPr>
                <w:rFonts w:ascii="Book Antiqua" w:hAnsi="Book Antiqua" w:cstheme="minorHAnsi"/>
                <w:color w:val="000000" w:themeColor="text1"/>
                <w:kern w:val="24"/>
                <w:sz w:val="24"/>
                <w:szCs w:val="24"/>
              </w:rPr>
              <w:t xml:space="preserve"> IU/mL</w:t>
            </w:r>
          </w:p>
        </w:tc>
        <w:tc>
          <w:tcPr>
            <w:tcW w:w="1684" w:type="dxa"/>
            <w:vAlign w:val="center"/>
          </w:tcPr>
          <w:p w14:paraId="79FF2CB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3.46 ± 0.57</w:t>
            </w:r>
          </w:p>
        </w:tc>
        <w:tc>
          <w:tcPr>
            <w:tcW w:w="1852" w:type="dxa"/>
            <w:vAlign w:val="center"/>
          </w:tcPr>
          <w:p w14:paraId="4D63591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3.89 ± 0.74</w:t>
            </w:r>
          </w:p>
        </w:tc>
        <w:tc>
          <w:tcPr>
            <w:tcW w:w="913" w:type="dxa"/>
            <w:tcMar>
              <w:top w:w="28" w:type="dxa"/>
              <w:bottom w:w="28" w:type="dxa"/>
            </w:tcMar>
            <w:vAlign w:val="center"/>
          </w:tcPr>
          <w:p w14:paraId="775DEE3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0.270</w:t>
            </w:r>
          </w:p>
        </w:tc>
        <w:tc>
          <w:tcPr>
            <w:tcW w:w="1659" w:type="dxa"/>
            <w:tcMar>
              <w:top w:w="28" w:type="dxa"/>
              <w:bottom w:w="28" w:type="dxa"/>
            </w:tcMar>
            <w:vAlign w:val="center"/>
          </w:tcPr>
          <w:p w14:paraId="6988C7E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(0.134-0.544)</w:t>
            </w:r>
          </w:p>
        </w:tc>
        <w:tc>
          <w:tcPr>
            <w:tcW w:w="1090" w:type="dxa"/>
            <w:tcMar>
              <w:top w:w="28" w:type="dxa"/>
              <w:bottom w:w="28" w:type="dxa"/>
            </w:tcMar>
            <w:vAlign w:val="center"/>
          </w:tcPr>
          <w:p w14:paraId="3F693EE2" w14:textId="237DA9E2"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439E41C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1.492</w:t>
            </w:r>
          </w:p>
        </w:tc>
        <w:tc>
          <w:tcPr>
            <w:tcW w:w="1826" w:type="dxa"/>
            <w:tcMar>
              <w:top w:w="28" w:type="dxa"/>
              <w:bottom w:w="28" w:type="dxa"/>
            </w:tcMar>
            <w:vAlign w:val="center"/>
          </w:tcPr>
          <w:p w14:paraId="294DB1A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(0.501-4.447)</w:t>
            </w:r>
          </w:p>
        </w:tc>
        <w:tc>
          <w:tcPr>
            <w:tcW w:w="1010" w:type="dxa"/>
            <w:tcMar>
              <w:top w:w="28" w:type="dxa"/>
              <w:bottom w:w="28" w:type="dxa"/>
            </w:tcMar>
            <w:vAlign w:val="center"/>
          </w:tcPr>
          <w:p w14:paraId="24A4348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0.473</w:t>
            </w:r>
          </w:p>
        </w:tc>
      </w:tr>
      <w:tr w:rsidR="00ED7BEC" w:rsidRPr="00ED7BEC" w14:paraId="3B39A3DC" w14:textId="77777777" w:rsidTr="00C56C68">
        <w:trPr>
          <w:trHeight w:val="457"/>
          <w:jc w:val="center"/>
        </w:trPr>
        <w:tc>
          <w:tcPr>
            <w:tcW w:w="2690" w:type="dxa"/>
            <w:tcMar>
              <w:top w:w="28" w:type="dxa"/>
              <w:bottom w:w="28" w:type="dxa"/>
            </w:tcMar>
            <w:vAlign w:val="center"/>
          </w:tcPr>
          <w:p w14:paraId="201BBF4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AST, IU/L</w:t>
            </w:r>
          </w:p>
        </w:tc>
        <w:tc>
          <w:tcPr>
            <w:tcW w:w="1684" w:type="dxa"/>
            <w:vAlign w:val="center"/>
          </w:tcPr>
          <w:p w14:paraId="63859D5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94.6 ± 69.5</w:t>
            </w:r>
          </w:p>
        </w:tc>
        <w:tc>
          <w:tcPr>
            <w:tcW w:w="1852" w:type="dxa"/>
            <w:vAlign w:val="center"/>
          </w:tcPr>
          <w:p w14:paraId="17F22CA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83.0 ± 47.2</w:t>
            </w:r>
          </w:p>
        </w:tc>
        <w:tc>
          <w:tcPr>
            <w:tcW w:w="913" w:type="dxa"/>
            <w:tcMar>
              <w:top w:w="28" w:type="dxa"/>
              <w:bottom w:w="28" w:type="dxa"/>
            </w:tcMar>
            <w:vAlign w:val="center"/>
          </w:tcPr>
          <w:p w14:paraId="40A8144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1.003</w:t>
            </w:r>
          </w:p>
        </w:tc>
        <w:tc>
          <w:tcPr>
            <w:tcW w:w="1659" w:type="dxa"/>
            <w:tcMar>
              <w:top w:w="28" w:type="dxa"/>
              <w:bottom w:w="28" w:type="dxa"/>
            </w:tcMar>
            <w:vAlign w:val="center"/>
          </w:tcPr>
          <w:p w14:paraId="0B1DD8A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(0.997-1.009)</w:t>
            </w:r>
          </w:p>
        </w:tc>
        <w:tc>
          <w:tcPr>
            <w:tcW w:w="1090" w:type="dxa"/>
            <w:tcMar>
              <w:top w:w="28" w:type="dxa"/>
              <w:bottom w:w="28" w:type="dxa"/>
            </w:tcMar>
            <w:vAlign w:val="center"/>
          </w:tcPr>
          <w:p w14:paraId="130E679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0.361</w:t>
            </w:r>
          </w:p>
        </w:tc>
        <w:tc>
          <w:tcPr>
            <w:tcW w:w="903" w:type="dxa"/>
            <w:tcMar>
              <w:top w:w="28" w:type="dxa"/>
              <w:bottom w:w="28" w:type="dxa"/>
            </w:tcMar>
            <w:vAlign w:val="center"/>
          </w:tcPr>
          <w:p w14:paraId="2AA9310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37C98D5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4A4103B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9EF8275" w14:textId="77777777" w:rsidTr="00C56C68">
        <w:trPr>
          <w:trHeight w:val="457"/>
          <w:jc w:val="center"/>
        </w:trPr>
        <w:tc>
          <w:tcPr>
            <w:tcW w:w="2690" w:type="dxa"/>
            <w:tcMar>
              <w:top w:w="28" w:type="dxa"/>
              <w:bottom w:w="28" w:type="dxa"/>
            </w:tcMar>
            <w:vAlign w:val="center"/>
          </w:tcPr>
          <w:p w14:paraId="2D4FF0D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ALT, IU/L</w:t>
            </w:r>
          </w:p>
        </w:tc>
        <w:tc>
          <w:tcPr>
            <w:tcW w:w="1684" w:type="dxa"/>
            <w:vAlign w:val="center"/>
          </w:tcPr>
          <w:p w14:paraId="6ED7FBC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103.5 ± 92.7</w:t>
            </w:r>
          </w:p>
        </w:tc>
        <w:tc>
          <w:tcPr>
            <w:tcW w:w="1852" w:type="dxa"/>
            <w:vAlign w:val="center"/>
          </w:tcPr>
          <w:p w14:paraId="6EE271D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91.6 ± 57.5</w:t>
            </w:r>
          </w:p>
        </w:tc>
        <w:tc>
          <w:tcPr>
            <w:tcW w:w="913" w:type="dxa"/>
            <w:tcMar>
              <w:top w:w="28" w:type="dxa"/>
              <w:bottom w:w="28" w:type="dxa"/>
            </w:tcMar>
            <w:vAlign w:val="center"/>
          </w:tcPr>
          <w:p w14:paraId="0036CEE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1.002</w:t>
            </w:r>
          </w:p>
        </w:tc>
        <w:tc>
          <w:tcPr>
            <w:tcW w:w="1659" w:type="dxa"/>
            <w:tcMar>
              <w:top w:w="28" w:type="dxa"/>
              <w:bottom w:w="28" w:type="dxa"/>
            </w:tcMar>
            <w:vAlign w:val="center"/>
          </w:tcPr>
          <w:p w14:paraId="51AB4C0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(0.997-1.006)</w:t>
            </w:r>
          </w:p>
        </w:tc>
        <w:tc>
          <w:tcPr>
            <w:tcW w:w="1090" w:type="dxa"/>
            <w:tcMar>
              <w:top w:w="28" w:type="dxa"/>
              <w:bottom w:w="28" w:type="dxa"/>
            </w:tcMar>
            <w:vAlign w:val="center"/>
          </w:tcPr>
          <w:p w14:paraId="338F9A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0.474</w:t>
            </w:r>
          </w:p>
        </w:tc>
        <w:tc>
          <w:tcPr>
            <w:tcW w:w="903" w:type="dxa"/>
            <w:tcMar>
              <w:top w:w="28" w:type="dxa"/>
              <w:bottom w:w="28" w:type="dxa"/>
            </w:tcMar>
            <w:vAlign w:val="center"/>
          </w:tcPr>
          <w:p w14:paraId="2714FAB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6AE27E0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0E0A3DB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24E7805" w14:textId="77777777" w:rsidTr="00C56C68">
        <w:trPr>
          <w:trHeight w:val="457"/>
          <w:jc w:val="center"/>
        </w:trPr>
        <w:tc>
          <w:tcPr>
            <w:tcW w:w="2690" w:type="dxa"/>
            <w:tcMar>
              <w:top w:w="28" w:type="dxa"/>
              <w:bottom w:w="28" w:type="dxa"/>
            </w:tcMar>
            <w:vAlign w:val="center"/>
          </w:tcPr>
          <w:p w14:paraId="346C93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Total bilirubin, mg/dL</w:t>
            </w:r>
          </w:p>
        </w:tc>
        <w:tc>
          <w:tcPr>
            <w:tcW w:w="1684" w:type="dxa"/>
            <w:vAlign w:val="center"/>
          </w:tcPr>
          <w:p w14:paraId="44665CC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0.95 ± 0.57</w:t>
            </w:r>
          </w:p>
        </w:tc>
        <w:tc>
          <w:tcPr>
            <w:tcW w:w="1852" w:type="dxa"/>
            <w:vAlign w:val="center"/>
          </w:tcPr>
          <w:p w14:paraId="2601E0C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0.76 ± 0.30</w:t>
            </w:r>
          </w:p>
        </w:tc>
        <w:tc>
          <w:tcPr>
            <w:tcW w:w="913" w:type="dxa"/>
            <w:tcMar>
              <w:top w:w="28" w:type="dxa"/>
              <w:bottom w:w="28" w:type="dxa"/>
            </w:tcMar>
            <w:vAlign w:val="center"/>
          </w:tcPr>
          <w:p w14:paraId="3118619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2.201</w:t>
            </w:r>
          </w:p>
        </w:tc>
        <w:tc>
          <w:tcPr>
            <w:tcW w:w="1659" w:type="dxa"/>
            <w:tcMar>
              <w:top w:w="28" w:type="dxa"/>
              <w:bottom w:w="28" w:type="dxa"/>
            </w:tcMar>
            <w:vAlign w:val="center"/>
          </w:tcPr>
          <w:p w14:paraId="0F64EC5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(0.964-5.024)</w:t>
            </w:r>
          </w:p>
        </w:tc>
        <w:tc>
          <w:tcPr>
            <w:tcW w:w="1090" w:type="dxa"/>
            <w:tcMar>
              <w:top w:w="28" w:type="dxa"/>
              <w:bottom w:w="28" w:type="dxa"/>
            </w:tcMar>
            <w:vAlign w:val="center"/>
          </w:tcPr>
          <w:p w14:paraId="2DCCBE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0.061</w:t>
            </w:r>
          </w:p>
        </w:tc>
        <w:tc>
          <w:tcPr>
            <w:tcW w:w="903" w:type="dxa"/>
            <w:tcMar>
              <w:top w:w="28" w:type="dxa"/>
              <w:bottom w:w="28" w:type="dxa"/>
            </w:tcMar>
            <w:vAlign w:val="center"/>
          </w:tcPr>
          <w:p w14:paraId="22B1FAC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20EE20A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6A66516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6464CBCA" w14:textId="77777777" w:rsidTr="00C56C68">
        <w:trPr>
          <w:trHeight w:val="457"/>
          <w:jc w:val="center"/>
        </w:trPr>
        <w:tc>
          <w:tcPr>
            <w:tcW w:w="2690" w:type="dxa"/>
            <w:tcMar>
              <w:top w:w="28" w:type="dxa"/>
              <w:bottom w:w="28" w:type="dxa"/>
            </w:tcMar>
            <w:vAlign w:val="center"/>
          </w:tcPr>
          <w:p w14:paraId="475F453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Albumin, g/dL</w:t>
            </w:r>
          </w:p>
        </w:tc>
        <w:tc>
          <w:tcPr>
            <w:tcW w:w="1684" w:type="dxa"/>
            <w:vAlign w:val="center"/>
          </w:tcPr>
          <w:p w14:paraId="2CEF09F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4.06 ± 0.53</w:t>
            </w:r>
          </w:p>
        </w:tc>
        <w:tc>
          <w:tcPr>
            <w:tcW w:w="1852" w:type="dxa"/>
            <w:vAlign w:val="center"/>
          </w:tcPr>
          <w:p w14:paraId="695D873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0.44</w:t>
            </w:r>
          </w:p>
        </w:tc>
        <w:tc>
          <w:tcPr>
            <w:tcW w:w="913" w:type="dxa"/>
            <w:tcMar>
              <w:top w:w="28" w:type="dxa"/>
              <w:bottom w:w="28" w:type="dxa"/>
            </w:tcMar>
            <w:vAlign w:val="center"/>
          </w:tcPr>
          <w:p w14:paraId="441A38C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0.743</w:t>
            </w:r>
          </w:p>
        </w:tc>
        <w:tc>
          <w:tcPr>
            <w:tcW w:w="1659" w:type="dxa"/>
            <w:tcMar>
              <w:top w:w="28" w:type="dxa"/>
              <w:bottom w:w="28" w:type="dxa"/>
            </w:tcMar>
            <w:vAlign w:val="center"/>
          </w:tcPr>
          <w:p w14:paraId="3D02042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(0.351-1.573)</w:t>
            </w:r>
          </w:p>
        </w:tc>
        <w:tc>
          <w:tcPr>
            <w:tcW w:w="1090" w:type="dxa"/>
            <w:tcMar>
              <w:top w:w="28" w:type="dxa"/>
              <w:bottom w:w="28" w:type="dxa"/>
            </w:tcMar>
            <w:vAlign w:val="center"/>
          </w:tcPr>
          <w:p w14:paraId="1166841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0.438</w:t>
            </w:r>
          </w:p>
        </w:tc>
        <w:tc>
          <w:tcPr>
            <w:tcW w:w="903" w:type="dxa"/>
            <w:tcMar>
              <w:top w:w="28" w:type="dxa"/>
              <w:bottom w:w="28" w:type="dxa"/>
            </w:tcMar>
            <w:vAlign w:val="center"/>
          </w:tcPr>
          <w:p w14:paraId="24E749F8"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580D651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14ED0851"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BD2A9A3" w14:textId="77777777" w:rsidTr="00C56C68">
        <w:trPr>
          <w:trHeight w:val="457"/>
          <w:jc w:val="center"/>
        </w:trPr>
        <w:tc>
          <w:tcPr>
            <w:tcW w:w="2690" w:type="dxa"/>
            <w:tcMar>
              <w:top w:w="28" w:type="dxa"/>
              <w:bottom w:w="28" w:type="dxa"/>
            </w:tcMar>
            <w:vAlign w:val="center"/>
          </w:tcPr>
          <w:p w14:paraId="09EADF5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Prothrombin time, INR</w:t>
            </w:r>
          </w:p>
        </w:tc>
        <w:tc>
          <w:tcPr>
            <w:tcW w:w="1684" w:type="dxa"/>
            <w:vAlign w:val="center"/>
          </w:tcPr>
          <w:p w14:paraId="1287207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1.05 ± 0.16</w:t>
            </w:r>
          </w:p>
        </w:tc>
        <w:tc>
          <w:tcPr>
            <w:tcW w:w="1852" w:type="dxa"/>
            <w:vAlign w:val="center"/>
          </w:tcPr>
          <w:p w14:paraId="64F450F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1.01 ± 0.10</w:t>
            </w:r>
          </w:p>
        </w:tc>
        <w:tc>
          <w:tcPr>
            <w:tcW w:w="913" w:type="dxa"/>
            <w:tcMar>
              <w:top w:w="28" w:type="dxa"/>
              <w:bottom w:w="28" w:type="dxa"/>
            </w:tcMar>
            <w:vAlign w:val="center"/>
          </w:tcPr>
          <w:p w14:paraId="0BD3CDC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8.323</w:t>
            </w:r>
          </w:p>
        </w:tc>
        <w:tc>
          <w:tcPr>
            <w:tcW w:w="1659" w:type="dxa"/>
            <w:tcMar>
              <w:top w:w="28" w:type="dxa"/>
              <w:bottom w:w="28" w:type="dxa"/>
            </w:tcMar>
            <w:vAlign w:val="center"/>
          </w:tcPr>
          <w:p w14:paraId="578948C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(0.444-155.931)</w:t>
            </w:r>
          </w:p>
        </w:tc>
        <w:tc>
          <w:tcPr>
            <w:tcW w:w="1090" w:type="dxa"/>
            <w:tcMar>
              <w:top w:w="28" w:type="dxa"/>
              <w:bottom w:w="28" w:type="dxa"/>
            </w:tcMar>
            <w:vAlign w:val="center"/>
          </w:tcPr>
          <w:p w14:paraId="48B9775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0.156</w:t>
            </w:r>
          </w:p>
        </w:tc>
        <w:tc>
          <w:tcPr>
            <w:tcW w:w="903" w:type="dxa"/>
            <w:tcMar>
              <w:top w:w="28" w:type="dxa"/>
              <w:bottom w:w="28" w:type="dxa"/>
            </w:tcMar>
            <w:vAlign w:val="center"/>
          </w:tcPr>
          <w:p w14:paraId="0E254E22"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483320E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6C83153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6359200" w14:textId="77777777" w:rsidTr="00C56C68">
        <w:trPr>
          <w:trHeight w:val="457"/>
          <w:jc w:val="center"/>
        </w:trPr>
        <w:tc>
          <w:tcPr>
            <w:tcW w:w="2690" w:type="dxa"/>
            <w:tcMar>
              <w:top w:w="28" w:type="dxa"/>
              <w:bottom w:w="28" w:type="dxa"/>
            </w:tcMar>
            <w:vAlign w:val="center"/>
          </w:tcPr>
          <w:p w14:paraId="5BC2C262" w14:textId="34DEECC2"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lastRenderedPageBreak/>
              <w:t xml:space="preserve">Platelet count, </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10</w:t>
            </w:r>
            <w:r w:rsidRPr="00ED7BEC">
              <w:rPr>
                <w:rFonts w:ascii="Book Antiqua" w:hAnsi="Book Antiqua" w:cstheme="minorHAnsi"/>
                <w:color w:val="000000" w:themeColor="text1"/>
                <w:kern w:val="24"/>
                <w:position w:val="6"/>
                <w:sz w:val="24"/>
                <w:szCs w:val="24"/>
                <w:vertAlign w:val="superscript"/>
              </w:rPr>
              <w:t>3</w:t>
            </w:r>
            <w:r w:rsidRPr="00ED7BEC">
              <w:rPr>
                <w:rFonts w:ascii="Book Antiqua" w:hAnsi="Book Antiqua" w:cstheme="minorHAnsi"/>
                <w:color w:val="000000" w:themeColor="text1"/>
                <w:kern w:val="24"/>
                <w:sz w:val="24"/>
                <w:szCs w:val="24"/>
              </w:rPr>
              <w:t>/mm</w:t>
            </w:r>
            <w:r w:rsidRPr="00ED7BEC">
              <w:rPr>
                <w:rFonts w:ascii="Book Antiqua" w:hAnsi="Book Antiqua" w:cstheme="minorHAnsi"/>
                <w:color w:val="000000" w:themeColor="text1"/>
                <w:kern w:val="24"/>
                <w:position w:val="6"/>
                <w:sz w:val="24"/>
                <w:szCs w:val="24"/>
                <w:vertAlign w:val="superscript"/>
              </w:rPr>
              <w:t>3</w:t>
            </w:r>
          </w:p>
        </w:tc>
        <w:tc>
          <w:tcPr>
            <w:tcW w:w="1684" w:type="dxa"/>
            <w:vAlign w:val="center"/>
          </w:tcPr>
          <w:p w14:paraId="59A8004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164.6 ± 63.8</w:t>
            </w:r>
          </w:p>
        </w:tc>
        <w:tc>
          <w:tcPr>
            <w:tcW w:w="1852" w:type="dxa"/>
            <w:vAlign w:val="center"/>
          </w:tcPr>
          <w:p w14:paraId="1D201D2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182.6 ± 53.0</w:t>
            </w:r>
          </w:p>
        </w:tc>
        <w:tc>
          <w:tcPr>
            <w:tcW w:w="913" w:type="dxa"/>
            <w:tcMar>
              <w:top w:w="28" w:type="dxa"/>
              <w:bottom w:w="28" w:type="dxa"/>
            </w:tcMar>
            <w:vAlign w:val="center"/>
          </w:tcPr>
          <w:p w14:paraId="740B4E3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0.995</w:t>
            </w:r>
          </w:p>
        </w:tc>
        <w:tc>
          <w:tcPr>
            <w:tcW w:w="1659" w:type="dxa"/>
            <w:tcMar>
              <w:top w:w="28" w:type="dxa"/>
              <w:bottom w:w="28" w:type="dxa"/>
            </w:tcMar>
            <w:vAlign w:val="center"/>
          </w:tcPr>
          <w:p w14:paraId="70C36C4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(0.990-1.001)</w:t>
            </w:r>
          </w:p>
        </w:tc>
        <w:tc>
          <w:tcPr>
            <w:tcW w:w="1090" w:type="dxa"/>
            <w:tcMar>
              <w:top w:w="28" w:type="dxa"/>
              <w:bottom w:w="28" w:type="dxa"/>
            </w:tcMar>
            <w:vAlign w:val="center"/>
          </w:tcPr>
          <w:p w14:paraId="141E3F9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0.128</w:t>
            </w:r>
          </w:p>
        </w:tc>
        <w:tc>
          <w:tcPr>
            <w:tcW w:w="903" w:type="dxa"/>
            <w:tcMar>
              <w:top w:w="28" w:type="dxa"/>
              <w:bottom w:w="28" w:type="dxa"/>
            </w:tcMar>
            <w:vAlign w:val="center"/>
          </w:tcPr>
          <w:p w14:paraId="677AE65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70E45B71"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0395003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7E750E0" w14:textId="77777777" w:rsidTr="00C56C68">
        <w:trPr>
          <w:trHeight w:val="457"/>
          <w:jc w:val="center"/>
        </w:trPr>
        <w:tc>
          <w:tcPr>
            <w:tcW w:w="2690" w:type="dxa"/>
            <w:tcMar>
              <w:top w:w="28" w:type="dxa"/>
              <w:bottom w:w="28" w:type="dxa"/>
            </w:tcMar>
            <w:vAlign w:val="center"/>
          </w:tcPr>
          <w:p w14:paraId="502ECBF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Significant fibrosis</w:t>
            </w:r>
          </w:p>
        </w:tc>
        <w:tc>
          <w:tcPr>
            <w:tcW w:w="1684" w:type="dxa"/>
            <w:vAlign w:val="center"/>
          </w:tcPr>
          <w:p w14:paraId="2E528A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105 (52.8%)</w:t>
            </w:r>
          </w:p>
        </w:tc>
        <w:tc>
          <w:tcPr>
            <w:tcW w:w="1852" w:type="dxa"/>
            <w:vAlign w:val="center"/>
          </w:tcPr>
          <w:p w14:paraId="2F86389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13 (39.4%)</w:t>
            </w:r>
          </w:p>
        </w:tc>
        <w:tc>
          <w:tcPr>
            <w:tcW w:w="913" w:type="dxa"/>
            <w:tcMar>
              <w:top w:w="28" w:type="dxa"/>
              <w:bottom w:w="28" w:type="dxa"/>
            </w:tcMar>
            <w:vAlign w:val="center"/>
          </w:tcPr>
          <w:p w14:paraId="4B34B61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1.718</w:t>
            </w:r>
          </w:p>
        </w:tc>
        <w:tc>
          <w:tcPr>
            <w:tcW w:w="1659" w:type="dxa"/>
            <w:tcMar>
              <w:top w:w="28" w:type="dxa"/>
              <w:bottom w:w="28" w:type="dxa"/>
            </w:tcMar>
            <w:vAlign w:val="center"/>
          </w:tcPr>
          <w:p w14:paraId="403B738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(0.810-3.644)</w:t>
            </w:r>
          </w:p>
        </w:tc>
        <w:tc>
          <w:tcPr>
            <w:tcW w:w="1090" w:type="dxa"/>
            <w:tcMar>
              <w:top w:w="28" w:type="dxa"/>
              <w:bottom w:w="28" w:type="dxa"/>
            </w:tcMar>
            <w:vAlign w:val="center"/>
          </w:tcPr>
          <w:p w14:paraId="43CB67E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0.158</w:t>
            </w:r>
          </w:p>
        </w:tc>
        <w:tc>
          <w:tcPr>
            <w:tcW w:w="903" w:type="dxa"/>
            <w:tcMar>
              <w:top w:w="28" w:type="dxa"/>
              <w:bottom w:w="28" w:type="dxa"/>
            </w:tcMar>
            <w:vAlign w:val="center"/>
          </w:tcPr>
          <w:p w14:paraId="6D5D86F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380FBC9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4EC21D3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FF79D6B" w14:textId="77777777" w:rsidTr="00C56C68">
        <w:trPr>
          <w:trHeight w:val="457"/>
          <w:jc w:val="center"/>
        </w:trPr>
        <w:tc>
          <w:tcPr>
            <w:tcW w:w="2690" w:type="dxa"/>
            <w:tcMar>
              <w:top w:w="28" w:type="dxa"/>
              <w:bottom w:w="28" w:type="dxa"/>
            </w:tcMar>
            <w:vAlign w:val="center"/>
          </w:tcPr>
          <w:p w14:paraId="501653F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Liver cirrhosis</w:t>
            </w:r>
          </w:p>
        </w:tc>
        <w:tc>
          <w:tcPr>
            <w:tcW w:w="1684" w:type="dxa"/>
            <w:vAlign w:val="center"/>
          </w:tcPr>
          <w:p w14:paraId="039F82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58 (29.1%)</w:t>
            </w:r>
          </w:p>
        </w:tc>
        <w:tc>
          <w:tcPr>
            <w:tcW w:w="1852" w:type="dxa"/>
            <w:vAlign w:val="center"/>
          </w:tcPr>
          <w:p w14:paraId="195B27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6 (18.2%)</w:t>
            </w:r>
          </w:p>
        </w:tc>
        <w:tc>
          <w:tcPr>
            <w:tcW w:w="913" w:type="dxa"/>
            <w:tcMar>
              <w:top w:w="28" w:type="dxa"/>
              <w:bottom w:w="28" w:type="dxa"/>
            </w:tcMar>
            <w:vAlign w:val="center"/>
          </w:tcPr>
          <w:p w14:paraId="590171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1.851</w:t>
            </w:r>
          </w:p>
        </w:tc>
        <w:tc>
          <w:tcPr>
            <w:tcW w:w="1659" w:type="dxa"/>
            <w:tcMar>
              <w:top w:w="28" w:type="dxa"/>
              <w:bottom w:w="28" w:type="dxa"/>
            </w:tcMar>
            <w:vAlign w:val="center"/>
          </w:tcPr>
          <w:p w14:paraId="2769324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(0.726-4.720)</w:t>
            </w:r>
          </w:p>
        </w:tc>
        <w:tc>
          <w:tcPr>
            <w:tcW w:w="1090" w:type="dxa"/>
            <w:tcMar>
              <w:top w:w="28" w:type="dxa"/>
              <w:bottom w:w="28" w:type="dxa"/>
            </w:tcMar>
            <w:vAlign w:val="center"/>
          </w:tcPr>
          <w:p w14:paraId="09B977F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0.197</w:t>
            </w:r>
          </w:p>
        </w:tc>
        <w:tc>
          <w:tcPr>
            <w:tcW w:w="903" w:type="dxa"/>
            <w:tcMar>
              <w:top w:w="28" w:type="dxa"/>
              <w:bottom w:w="28" w:type="dxa"/>
            </w:tcMar>
            <w:vAlign w:val="center"/>
          </w:tcPr>
          <w:p w14:paraId="2B3B6FA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22384E3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651D4BF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05DA550B" w14:textId="77777777" w:rsidTr="00C56C68">
        <w:trPr>
          <w:trHeight w:val="457"/>
          <w:jc w:val="center"/>
        </w:trPr>
        <w:tc>
          <w:tcPr>
            <w:tcW w:w="2690" w:type="dxa"/>
            <w:tcMar>
              <w:top w:w="28" w:type="dxa"/>
              <w:bottom w:w="28" w:type="dxa"/>
            </w:tcMar>
            <w:vAlign w:val="center"/>
          </w:tcPr>
          <w:p w14:paraId="495EDA2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HCC</w:t>
            </w:r>
          </w:p>
        </w:tc>
        <w:tc>
          <w:tcPr>
            <w:tcW w:w="1684" w:type="dxa"/>
            <w:vAlign w:val="center"/>
          </w:tcPr>
          <w:p w14:paraId="56E4D50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33 (16.6%)</w:t>
            </w:r>
          </w:p>
        </w:tc>
        <w:tc>
          <w:tcPr>
            <w:tcW w:w="1852" w:type="dxa"/>
            <w:vAlign w:val="center"/>
          </w:tcPr>
          <w:p w14:paraId="23CE325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 (9.1%)</w:t>
            </w:r>
          </w:p>
        </w:tc>
        <w:tc>
          <w:tcPr>
            <w:tcW w:w="913" w:type="dxa"/>
            <w:tcMar>
              <w:top w:w="28" w:type="dxa"/>
              <w:bottom w:w="28" w:type="dxa"/>
            </w:tcMar>
            <w:vAlign w:val="center"/>
          </w:tcPr>
          <w:p w14:paraId="386EB6B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1.988</w:t>
            </w:r>
          </w:p>
        </w:tc>
        <w:tc>
          <w:tcPr>
            <w:tcW w:w="1659" w:type="dxa"/>
            <w:tcMar>
              <w:top w:w="28" w:type="dxa"/>
              <w:bottom w:w="28" w:type="dxa"/>
            </w:tcMar>
            <w:vAlign w:val="center"/>
          </w:tcPr>
          <w:p w14:paraId="0A641BF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(0.573-6.899)</w:t>
            </w:r>
          </w:p>
        </w:tc>
        <w:tc>
          <w:tcPr>
            <w:tcW w:w="1090" w:type="dxa"/>
            <w:tcMar>
              <w:top w:w="28" w:type="dxa"/>
              <w:bottom w:w="28" w:type="dxa"/>
            </w:tcMar>
            <w:vAlign w:val="center"/>
          </w:tcPr>
          <w:p w14:paraId="3D90AC6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0.279</w:t>
            </w:r>
          </w:p>
        </w:tc>
        <w:tc>
          <w:tcPr>
            <w:tcW w:w="903" w:type="dxa"/>
            <w:tcMar>
              <w:top w:w="28" w:type="dxa"/>
              <w:bottom w:w="28" w:type="dxa"/>
            </w:tcMar>
            <w:vAlign w:val="center"/>
          </w:tcPr>
          <w:p w14:paraId="723248E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0E229D5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60FA855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77C18A3" w14:textId="77777777" w:rsidTr="00C56C68">
        <w:trPr>
          <w:trHeight w:val="457"/>
          <w:jc w:val="center"/>
        </w:trPr>
        <w:tc>
          <w:tcPr>
            <w:tcW w:w="2690" w:type="dxa"/>
            <w:tcMar>
              <w:top w:w="28" w:type="dxa"/>
              <w:bottom w:w="28" w:type="dxa"/>
            </w:tcMar>
            <w:vAlign w:val="center"/>
          </w:tcPr>
          <w:p w14:paraId="23FD32D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High genetic barrier </w:t>
            </w:r>
          </w:p>
        </w:tc>
        <w:tc>
          <w:tcPr>
            <w:tcW w:w="1684" w:type="dxa"/>
            <w:vAlign w:val="center"/>
          </w:tcPr>
          <w:p w14:paraId="4393D2D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180 (90.5%)</w:t>
            </w:r>
          </w:p>
        </w:tc>
        <w:tc>
          <w:tcPr>
            <w:tcW w:w="1852" w:type="dxa"/>
            <w:vAlign w:val="center"/>
          </w:tcPr>
          <w:p w14:paraId="190B9A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12 (36.4%)</w:t>
            </w:r>
          </w:p>
        </w:tc>
        <w:tc>
          <w:tcPr>
            <w:tcW w:w="913" w:type="dxa"/>
            <w:tcMar>
              <w:top w:w="28" w:type="dxa"/>
              <w:bottom w:w="28" w:type="dxa"/>
            </w:tcMar>
            <w:vAlign w:val="center"/>
          </w:tcPr>
          <w:p w14:paraId="6D20F34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16.579</w:t>
            </w:r>
          </w:p>
        </w:tc>
        <w:tc>
          <w:tcPr>
            <w:tcW w:w="1659" w:type="dxa"/>
            <w:tcMar>
              <w:top w:w="28" w:type="dxa"/>
              <w:bottom w:w="28" w:type="dxa"/>
            </w:tcMar>
            <w:vAlign w:val="center"/>
          </w:tcPr>
          <w:p w14:paraId="2421EAD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(7.069-38.882)</w:t>
            </w:r>
          </w:p>
        </w:tc>
        <w:tc>
          <w:tcPr>
            <w:tcW w:w="1090" w:type="dxa"/>
            <w:tcMar>
              <w:top w:w="28" w:type="dxa"/>
              <w:bottom w:w="28" w:type="dxa"/>
            </w:tcMar>
            <w:vAlign w:val="center"/>
          </w:tcPr>
          <w:p w14:paraId="443B4AA4" w14:textId="2ED1302D"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31AB5E2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82.076</w:t>
            </w:r>
          </w:p>
        </w:tc>
        <w:tc>
          <w:tcPr>
            <w:tcW w:w="1826" w:type="dxa"/>
            <w:tcMar>
              <w:top w:w="28" w:type="dxa"/>
              <w:bottom w:w="28" w:type="dxa"/>
            </w:tcMar>
            <w:vAlign w:val="center"/>
          </w:tcPr>
          <w:p w14:paraId="1648D41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(14.945-450.760)</w:t>
            </w:r>
          </w:p>
        </w:tc>
        <w:tc>
          <w:tcPr>
            <w:tcW w:w="1010" w:type="dxa"/>
            <w:tcMar>
              <w:top w:w="28" w:type="dxa"/>
              <w:bottom w:w="28" w:type="dxa"/>
            </w:tcMar>
            <w:vAlign w:val="center"/>
          </w:tcPr>
          <w:p w14:paraId="02FC635A" w14:textId="583DDB7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r w:rsidR="00ED7BEC" w:rsidRPr="00ED7BEC" w14:paraId="153E2ACC" w14:textId="77777777" w:rsidTr="00C56C68">
        <w:trPr>
          <w:trHeight w:val="457"/>
          <w:jc w:val="center"/>
        </w:trPr>
        <w:tc>
          <w:tcPr>
            <w:tcW w:w="2690" w:type="dxa"/>
            <w:tcMar>
              <w:top w:w="28" w:type="dxa"/>
              <w:bottom w:w="28" w:type="dxa"/>
            </w:tcMar>
            <w:vAlign w:val="center"/>
          </w:tcPr>
          <w:p w14:paraId="5EC9EDB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Pre-existing rtM204I</w:t>
            </w:r>
          </w:p>
        </w:tc>
        <w:tc>
          <w:tcPr>
            <w:tcW w:w="1684" w:type="dxa"/>
            <w:vAlign w:val="center"/>
          </w:tcPr>
          <w:p w14:paraId="03B2A2A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9 (4.5%)</w:t>
            </w:r>
          </w:p>
        </w:tc>
        <w:tc>
          <w:tcPr>
            <w:tcW w:w="1852" w:type="dxa"/>
            <w:vAlign w:val="center"/>
          </w:tcPr>
          <w:p w14:paraId="7716106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8 (24.2%)</w:t>
            </w:r>
          </w:p>
        </w:tc>
        <w:tc>
          <w:tcPr>
            <w:tcW w:w="913" w:type="dxa"/>
            <w:tcMar>
              <w:top w:w="28" w:type="dxa"/>
              <w:bottom w:w="28" w:type="dxa"/>
            </w:tcMar>
            <w:vAlign w:val="center"/>
          </w:tcPr>
          <w:p w14:paraId="2480C47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0.148</w:t>
            </w:r>
          </w:p>
        </w:tc>
        <w:tc>
          <w:tcPr>
            <w:tcW w:w="1659" w:type="dxa"/>
            <w:tcMar>
              <w:top w:w="28" w:type="dxa"/>
              <w:bottom w:w="28" w:type="dxa"/>
            </w:tcMar>
            <w:vAlign w:val="center"/>
          </w:tcPr>
          <w:p w14:paraId="7AFE032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(0.052-0.419)</w:t>
            </w:r>
          </w:p>
        </w:tc>
        <w:tc>
          <w:tcPr>
            <w:tcW w:w="1090" w:type="dxa"/>
            <w:tcMar>
              <w:top w:w="28" w:type="dxa"/>
              <w:bottom w:w="28" w:type="dxa"/>
            </w:tcMar>
            <w:vAlign w:val="center"/>
          </w:tcPr>
          <w:p w14:paraId="7DCB43DB" w14:textId="2A31EC2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79F7295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0.014</w:t>
            </w:r>
          </w:p>
        </w:tc>
        <w:tc>
          <w:tcPr>
            <w:tcW w:w="1826" w:type="dxa"/>
            <w:tcMar>
              <w:top w:w="28" w:type="dxa"/>
              <w:bottom w:w="28" w:type="dxa"/>
            </w:tcMar>
            <w:vAlign w:val="center"/>
          </w:tcPr>
          <w:p w14:paraId="19FA918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(0.002-0.096)</w:t>
            </w:r>
          </w:p>
        </w:tc>
        <w:tc>
          <w:tcPr>
            <w:tcW w:w="1010" w:type="dxa"/>
            <w:tcMar>
              <w:top w:w="28" w:type="dxa"/>
              <w:bottom w:w="28" w:type="dxa"/>
            </w:tcMar>
            <w:vAlign w:val="center"/>
          </w:tcPr>
          <w:p w14:paraId="3CAEB40D" w14:textId="5819B774"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bl>
    <w:p w14:paraId="4DC5245B" w14:textId="2E42694E" w:rsidR="0033045F" w:rsidRPr="00C56C68" w:rsidRDefault="004C223D" w:rsidP="00C56C68">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t xml:space="preserve">ALT: </w:t>
      </w:r>
      <w:r w:rsidR="00C56C68"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lanine aminotransferase; AST: </w:t>
      </w:r>
      <w:r w:rsidR="00C56C68"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spartate aminotransferase; INR: </w:t>
      </w:r>
      <w:r w:rsidR="00C56C68" w:rsidRPr="00ED7BEC">
        <w:rPr>
          <w:rFonts w:ascii="Book Antiqua" w:hAnsi="Book Antiqua" w:cstheme="majorHAnsi"/>
          <w:color w:val="000000" w:themeColor="text1"/>
          <w:sz w:val="24"/>
          <w:szCs w:val="24"/>
        </w:rPr>
        <w:t>I</w:t>
      </w:r>
      <w:r w:rsidRPr="00ED7BEC">
        <w:rPr>
          <w:rFonts w:ascii="Book Antiqua" w:hAnsi="Book Antiqua" w:cstheme="majorHAnsi"/>
          <w:color w:val="000000" w:themeColor="text1"/>
          <w:sz w:val="24"/>
          <w:szCs w:val="24"/>
        </w:rPr>
        <w:t xml:space="preserve">nternational normalized ratio; </w:t>
      </w:r>
      <w:r w:rsidR="00C56C68" w:rsidRPr="00ED7BEC">
        <w:rPr>
          <w:rFonts w:ascii="Book Antiqua" w:hAnsi="Book Antiqua" w:cstheme="majorHAnsi"/>
          <w:color w:val="000000" w:themeColor="text1"/>
          <w:sz w:val="24"/>
          <w:szCs w:val="24"/>
        </w:rPr>
        <w:t xml:space="preserve">qHBsAg: Quantitative </w:t>
      </w:r>
      <w:r w:rsidR="00C56C68" w:rsidRPr="00ED7BEC">
        <w:rPr>
          <w:rFonts w:ascii="Book Antiqua" w:hAnsi="Book Antiqua" w:cs="Arial"/>
          <w:color w:val="000000" w:themeColor="text1"/>
          <w:sz w:val="24"/>
          <w:szCs w:val="24"/>
        </w:rPr>
        <w:t>hepatitis B surface antigen</w:t>
      </w:r>
      <w:r w:rsidR="00C56C68" w:rsidRPr="00ED7BEC">
        <w:rPr>
          <w:rFonts w:ascii="Book Antiqua" w:hAnsi="Book Antiqua" w:cstheme="majorHAnsi"/>
          <w:color w:val="000000" w:themeColor="text1"/>
          <w:sz w:val="24"/>
          <w:szCs w:val="24"/>
        </w:rPr>
        <w:t xml:space="preserve"> levels</w:t>
      </w:r>
      <w:r w:rsidR="00C56C68">
        <w:rPr>
          <w:rFonts w:ascii="Book Antiqua" w:hAnsi="Book Antiqua" w:cstheme="majorHAnsi"/>
          <w:color w:val="000000" w:themeColor="text1"/>
          <w:sz w:val="24"/>
          <w:szCs w:val="24"/>
        </w:rPr>
        <w:t xml:space="preserve">; HBV: </w:t>
      </w:r>
      <w:r w:rsidR="00C56C68" w:rsidRPr="00ED7BEC">
        <w:rPr>
          <w:rFonts w:ascii="Book Antiqua" w:hAnsi="Book Antiqua" w:cs="Arial"/>
          <w:color w:val="000000" w:themeColor="text1"/>
          <w:sz w:val="24"/>
          <w:szCs w:val="24"/>
        </w:rPr>
        <w:t>Hepatitis B</w:t>
      </w:r>
      <w:r w:rsidR="00C56C68">
        <w:rPr>
          <w:rFonts w:ascii="Book Antiqua" w:hAnsi="Book Antiqua" w:cs="Arial"/>
          <w:color w:val="000000" w:themeColor="text1"/>
          <w:sz w:val="24"/>
          <w:szCs w:val="24"/>
        </w:rPr>
        <w:t xml:space="preserve"> virus; </w:t>
      </w:r>
      <w:r w:rsidR="00C56C68" w:rsidRPr="00ED7BEC">
        <w:rPr>
          <w:rFonts w:ascii="Book Antiqua" w:hAnsi="Book Antiqua" w:cstheme="majorHAnsi"/>
          <w:color w:val="000000" w:themeColor="text1"/>
          <w:sz w:val="24"/>
          <w:szCs w:val="24"/>
        </w:rPr>
        <w:t>HCC: Hepatocellular carcinoma</w:t>
      </w:r>
      <w:r w:rsidR="00C56C68">
        <w:rPr>
          <w:rFonts w:ascii="Book Antiqua" w:hAnsi="Book Antiqua" w:cstheme="majorHAnsi"/>
          <w:color w:val="000000" w:themeColor="text1"/>
          <w:sz w:val="24"/>
          <w:szCs w:val="24"/>
        </w:rPr>
        <w:t>.</w:t>
      </w:r>
      <w:r w:rsidR="00C56C68">
        <w:rPr>
          <w:rFonts w:ascii="Book Antiqua" w:hAnsi="Book Antiqua" w:cs="Arial"/>
          <w:color w:val="000000" w:themeColor="text1"/>
          <w:sz w:val="24"/>
          <w:szCs w:val="24"/>
        </w:rPr>
        <w:t xml:space="preserve"> </w:t>
      </w:r>
    </w:p>
    <w:p w14:paraId="1F108ECD" w14:textId="099C2740" w:rsidR="00C56C68" w:rsidRDefault="00C56C68">
      <w:pPr>
        <w:widowControl/>
        <w:wordWrap/>
        <w:autoSpaceDE/>
        <w:autoSpaceDN/>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59431CD9" w14:textId="6491A048" w:rsidR="0033045F" w:rsidRPr="003F3DAE" w:rsidRDefault="0033045F" w:rsidP="00ED7BEC">
      <w:pPr>
        <w:wordWrap/>
        <w:spacing w:after="0" w:line="360" w:lineRule="auto"/>
        <w:rPr>
          <w:rFonts w:ascii="Book Antiqua" w:hAnsi="Book Antiqua"/>
          <w:b/>
          <w:color w:val="000000" w:themeColor="text1"/>
          <w:sz w:val="24"/>
          <w:szCs w:val="24"/>
        </w:rPr>
      </w:pPr>
      <w:r w:rsidRPr="003F3DAE">
        <w:rPr>
          <w:rFonts w:ascii="Book Antiqua" w:hAnsi="Book Antiqua"/>
          <w:b/>
          <w:color w:val="000000" w:themeColor="text1"/>
          <w:sz w:val="24"/>
          <w:szCs w:val="24"/>
        </w:rPr>
        <w:lastRenderedPageBreak/>
        <w:t>Table 7 Treatment responses during nucleos</w:t>
      </w:r>
      <w:r w:rsidR="003F3DAE">
        <w:rPr>
          <w:rFonts w:ascii="Book Antiqua" w:hAnsi="Book Antiqua"/>
          <w:b/>
          <w:color w:val="000000" w:themeColor="text1"/>
          <w:sz w:val="24"/>
          <w:szCs w:val="24"/>
        </w:rPr>
        <w:t>(</w:t>
      </w:r>
      <w:r w:rsidRPr="003F3DAE">
        <w:rPr>
          <w:rFonts w:ascii="Book Antiqua" w:hAnsi="Book Antiqua"/>
          <w:b/>
          <w:color w:val="000000" w:themeColor="text1"/>
          <w:sz w:val="24"/>
          <w:szCs w:val="24"/>
        </w:rPr>
        <w:t>t</w:t>
      </w:r>
      <w:r w:rsidR="003F3DAE">
        <w:rPr>
          <w:rFonts w:ascii="Book Antiqua" w:hAnsi="Book Antiqua"/>
          <w:b/>
          <w:color w:val="000000" w:themeColor="text1"/>
          <w:sz w:val="24"/>
          <w:szCs w:val="24"/>
        </w:rPr>
        <w:t>)</w:t>
      </w:r>
      <w:r w:rsidRPr="003F3DAE">
        <w:rPr>
          <w:rFonts w:ascii="Book Antiqua" w:hAnsi="Book Antiqua"/>
          <w:b/>
          <w:color w:val="000000" w:themeColor="text1"/>
          <w:sz w:val="24"/>
          <w:szCs w:val="24"/>
        </w:rPr>
        <w:t>ide analogues in patients with pre-existing rtM204I variants</w:t>
      </w:r>
    </w:p>
    <w:tbl>
      <w:tblPr>
        <w:tblStyle w:val="4"/>
        <w:tblW w:w="11651" w:type="dxa"/>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5"/>
        <w:gridCol w:w="2476"/>
        <w:gridCol w:w="2476"/>
        <w:gridCol w:w="2476"/>
        <w:gridCol w:w="1528"/>
      </w:tblGrid>
      <w:tr w:rsidR="00ED7BEC" w:rsidRPr="00ED7BEC" w14:paraId="7CEB4F00" w14:textId="77777777" w:rsidTr="003F3DAE">
        <w:trPr>
          <w:trHeight w:val="1131"/>
          <w:jc w:val="center"/>
        </w:trPr>
        <w:tc>
          <w:tcPr>
            <w:tcW w:w="2695" w:type="dxa"/>
            <w:tcBorders>
              <w:top w:val="single" w:sz="4" w:space="0" w:color="auto"/>
              <w:bottom w:val="single" w:sz="4" w:space="0" w:color="auto"/>
            </w:tcBorders>
            <w:vAlign w:val="center"/>
          </w:tcPr>
          <w:p w14:paraId="7EB68A85" w14:textId="77777777" w:rsidR="004C223D" w:rsidRPr="003F3DAE" w:rsidRDefault="004C223D"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Outcome</w:t>
            </w:r>
          </w:p>
        </w:tc>
        <w:tc>
          <w:tcPr>
            <w:tcW w:w="2476" w:type="dxa"/>
            <w:tcBorders>
              <w:top w:val="single" w:sz="4" w:space="0" w:color="auto"/>
              <w:bottom w:val="single" w:sz="4" w:space="0" w:color="auto"/>
            </w:tcBorders>
            <w:vAlign w:val="center"/>
          </w:tcPr>
          <w:p w14:paraId="3BECFA6A" w14:textId="77777777" w:rsidR="004C223D"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T</w:t>
            </w:r>
            <w:r w:rsidR="004C223D" w:rsidRPr="003F3DAE">
              <w:rPr>
                <w:rFonts w:ascii="Book Antiqua" w:hAnsi="Book Antiqua"/>
                <w:b/>
                <w:bCs/>
                <w:color w:val="000000" w:themeColor="text1"/>
                <w:sz w:val="24"/>
                <w:szCs w:val="24"/>
              </w:rPr>
              <w:t>enofovir</w:t>
            </w:r>
          </w:p>
          <w:p w14:paraId="0D4F9625"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7)</w:t>
            </w:r>
          </w:p>
        </w:tc>
        <w:tc>
          <w:tcPr>
            <w:tcW w:w="2476" w:type="dxa"/>
            <w:tcBorders>
              <w:top w:val="single" w:sz="4" w:space="0" w:color="auto"/>
              <w:bottom w:val="single" w:sz="4" w:space="0" w:color="auto"/>
            </w:tcBorders>
            <w:vAlign w:val="center"/>
          </w:tcPr>
          <w:p w14:paraId="413FB08E" w14:textId="77777777" w:rsidR="004C223D"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E</w:t>
            </w:r>
            <w:r w:rsidR="004C223D" w:rsidRPr="003F3DAE">
              <w:rPr>
                <w:rFonts w:ascii="Book Antiqua" w:hAnsi="Book Antiqua"/>
                <w:b/>
                <w:bCs/>
                <w:color w:val="000000" w:themeColor="text1"/>
                <w:sz w:val="24"/>
                <w:szCs w:val="24"/>
              </w:rPr>
              <w:t>ntecavir</w:t>
            </w:r>
          </w:p>
          <w:p w14:paraId="43650A62"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6)</w:t>
            </w:r>
          </w:p>
        </w:tc>
        <w:tc>
          <w:tcPr>
            <w:tcW w:w="2476" w:type="dxa"/>
            <w:tcBorders>
              <w:top w:val="single" w:sz="4" w:space="0" w:color="auto"/>
              <w:bottom w:val="single" w:sz="4" w:space="0" w:color="auto"/>
            </w:tcBorders>
            <w:vAlign w:val="center"/>
          </w:tcPr>
          <w:p w14:paraId="164C206E" w14:textId="77777777" w:rsidR="004C223D" w:rsidRPr="003F3DAE" w:rsidRDefault="004C223D"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Low genetic barriers</w:t>
            </w:r>
            <w:r w:rsidR="005469A7" w:rsidRPr="003F3DAE">
              <w:rPr>
                <w:rFonts w:ascii="Book Antiqua" w:hAnsi="Book Antiqua"/>
                <w:b/>
                <w:bCs/>
                <w:color w:val="000000" w:themeColor="text1"/>
                <w:sz w:val="24"/>
                <w:szCs w:val="24"/>
                <w:vertAlign w:val="superscript"/>
              </w:rPr>
              <w:t>1</w:t>
            </w:r>
          </w:p>
          <w:p w14:paraId="0184D2BD"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4)</w:t>
            </w:r>
          </w:p>
        </w:tc>
        <w:tc>
          <w:tcPr>
            <w:tcW w:w="1526" w:type="dxa"/>
            <w:tcBorders>
              <w:top w:val="single" w:sz="4" w:space="0" w:color="auto"/>
              <w:bottom w:val="single" w:sz="4" w:space="0" w:color="auto"/>
            </w:tcBorders>
            <w:vAlign w:val="center"/>
          </w:tcPr>
          <w:p w14:paraId="5F9547AB" w14:textId="4BE9ABEC" w:rsidR="004C223D" w:rsidRPr="003F3DAE" w:rsidRDefault="003F3DAE" w:rsidP="00ED7BEC">
            <w:pPr>
              <w:wordWrap/>
              <w:spacing w:line="360" w:lineRule="auto"/>
              <w:jc w:val="both"/>
              <w:rPr>
                <w:rFonts w:ascii="Book Antiqua" w:hAnsi="Book Antiqua"/>
                <w:b/>
                <w:bCs/>
                <w:i/>
                <w:iCs/>
                <w:color w:val="000000" w:themeColor="text1"/>
                <w:sz w:val="24"/>
                <w:szCs w:val="24"/>
              </w:rPr>
            </w:pPr>
            <w:r w:rsidRPr="003F3DAE">
              <w:rPr>
                <w:rFonts w:ascii="Book Antiqua" w:hAnsi="Book Antiqua"/>
                <w:b/>
                <w:bCs/>
                <w:i/>
                <w:iCs/>
                <w:color w:val="000000" w:themeColor="text1"/>
                <w:sz w:val="24"/>
                <w:szCs w:val="24"/>
              </w:rPr>
              <w:t>P</w:t>
            </w:r>
            <w:r w:rsidR="003652B3" w:rsidRPr="0024114A">
              <w:rPr>
                <w:rFonts w:ascii="Book Antiqua" w:hAnsi="Book Antiqua" w:cstheme="majorHAnsi"/>
                <w:b/>
                <w:bCs/>
                <w:color w:val="000000" w:themeColor="text1"/>
                <w:sz w:val="24"/>
                <w:szCs w:val="24"/>
              </w:rPr>
              <w:t xml:space="preserve"> value</w:t>
            </w:r>
          </w:p>
        </w:tc>
      </w:tr>
      <w:tr w:rsidR="00ED7BEC" w:rsidRPr="00ED7BEC" w14:paraId="189489A9" w14:textId="77777777" w:rsidTr="003F3DAE">
        <w:trPr>
          <w:trHeight w:val="450"/>
          <w:jc w:val="center"/>
        </w:trPr>
        <w:tc>
          <w:tcPr>
            <w:tcW w:w="11651" w:type="dxa"/>
            <w:gridSpan w:val="5"/>
            <w:tcBorders>
              <w:top w:val="single" w:sz="4" w:space="0" w:color="auto"/>
            </w:tcBorders>
            <w:vAlign w:val="center"/>
          </w:tcPr>
          <w:p w14:paraId="6A429D2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Reduction of HBV-DNA (log</w:t>
            </w:r>
            <w:r w:rsidRPr="003F3DAE">
              <w:rPr>
                <w:rFonts w:ascii="Book Antiqua" w:hAnsi="Book Antiqua"/>
                <w:color w:val="000000" w:themeColor="text1"/>
                <w:sz w:val="24"/>
                <w:szCs w:val="24"/>
                <w:vertAlign w:val="subscript"/>
              </w:rPr>
              <w:t>10</w:t>
            </w:r>
            <w:r w:rsidRPr="00ED7BEC">
              <w:rPr>
                <w:rFonts w:ascii="Book Antiqua" w:hAnsi="Book Antiqua"/>
                <w:color w:val="000000" w:themeColor="text1"/>
                <w:sz w:val="24"/>
                <w:szCs w:val="24"/>
              </w:rPr>
              <w:t xml:space="preserve"> IU/mL), mean </w:t>
            </w:r>
            <w:r w:rsidRPr="00ED7BEC">
              <w:rPr>
                <w:rFonts w:ascii="Book Antiqua" w:hAnsi="Book Antiqua" w:cstheme="majorHAnsi"/>
                <w:color w:val="000000" w:themeColor="text1"/>
                <w:kern w:val="24"/>
                <w:sz w:val="24"/>
                <w:szCs w:val="24"/>
              </w:rPr>
              <w:t>± SD</w:t>
            </w:r>
          </w:p>
        </w:tc>
      </w:tr>
      <w:tr w:rsidR="00ED7BEC" w:rsidRPr="00ED7BEC" w14:paraId="5BCCF54E" w14:textId="77777777" w:rsidTr="003F3DAE">
        <w:trPr>
          <w:trHeight w:val="450"/>
          <w:jc w:val="center"/>
        </w:trPr>
        <w:tc>
          <w:tcPr>
            <w:tcW w:w="2695" w:type="dxa"/>
            <w:vAlign w:val="center"/>
          </w:tcPr>
          <w:p w14:paraId="1571E8B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3</w:t>
            </w:r>
          </w:p>
        </w:tc>
        <w:tc>
          <w:tcPr>
            <w:tcW w:w="2476" w:type="dxa"/>
            <w:vAlign w:val="center"/>
          </w:tcPr>
          <w:p w14:paraId="4DF9A9E4"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-3.22 ± 0.74</w:t>
            </w:r>
          </w:p>
        </w:tc>
        <w:tc>
          <w:tcPr>
            <w:tcW w:w="2476" w:type="dxa"/>
            <w:vAlign w:val="center"/>
          </w:tcPr>
          <w:p w14:paraId="7DF781DE"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-2.12 ± 0.53</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1B3E0D06"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-2.22 ± 0.40</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36865DE5"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0.011</w:t>
            </w:r>
          </w:p>
        </w:tc>
      </w:tr>
      <w:tr w:rsidR="00ED7BEC" w:rsidRPr="00ED7BEC" w14:paraId="7DA61FA6" w14:textId="77777777" w:rsidTr="003F3DAE">
        <w:trPr>
          <w:trHeight w:val="450"/>
          <w:jc w:val="center"/>
        </w:trPr>
        <w:tc>
          <w:tcPr>
            <w:tcW w:w="2695" w:type="dxa"/>
            <w:vAlign w:val="center"/>
          </w:tcPr>
          <w:p w14:paraId="60EB866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6</w:t>
            </w:r>
          </w:p>
        </w:tc>
        <w:tc>
          <w:tcPr>
            <w:tcW w:w="2476" w:type="dxa"/>
            <w:vAlign w:val="center"/>
          </w:tcPr>
          <w:p w14:paraId="468F174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-3.97 ± 0.75</w:t>
            </w:r>
          </w:p>
        </w:tc>
        <w:tc>
          <w:tcPr>
            <w:tcW w:w="2476" w:type="dxa"/>
            <w:vAlign w:val="center"/>
          </w:tcPr>
          <w:p w14:paraId="7A7D933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-2.71 ± 0.43</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3E850E8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-2.92 ± 0.51</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118A31D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0.005</w:t>
            </w:r>
          </w:p>
        </w:tc>
      </w:tr>
      <w:tr w:rsidR="00ED7BEC" w:rsidRPr="00ED7BEC" w14:paraId="46ADFAEB" w14:textId="77777777" w:rsidTr="003F3DAE">
        <w:trPr>
          <w:trHeight w:val="450"/>
          <w:jc w:val="center"/>
        </w:trPr>
        <w:tc>
          <w:tcPr>
            <w:tcW w:w="2695" w:type="dxa"/>
            <w:vAlign w:val="center"/>
          </w:tcPr>
          <w:p w14:paraId="691925C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9</w:t>
            </w:r>
          </w:p>
        </w:tc>
        <w:tc>
          <w:tcPr>
            <w:tcW w:w="2476" w:type="dxa"/>
            <w:vAlign w:val="center"/>
          </w:tcPr>
          <w:p w14:paraId="04CA4019"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-4.44 ± 0.70</w:t>
            </w:r>
          </w:p>
        </w:tc>
        <w:tc>
          <w:tcPr>
            <w:tcW w:w="2476" w:type="dxa"/>
            <w:vAlign w:val="center"/>
          </w:tcPr>
          <w:p w14:paraId="5E09B08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-3.33 ± 0.48</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34C64D1D"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-3.28 ± 0.35</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3689271B"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0.004</w:t>
            </w:r>
          </w:p>
        </w:tc>
      </w:tr>
      <w:tr w:rsidR="00ED7BEC" w:rsidRPr="00ED7BEC" w14:paraId="0118BB8A" w14:textId="77777777" w:rsidTr="003F3DAE">
        <w:trPr>
          <w:trHeight w:val="439"/>
          <w:jc w:val="center"/>
        </w:trPr>
        <w:tc>
          <w:tcPr>
            <w:tcW w:w="2695" w:type="dxa"/>
            <w:tcBorders>
              <w:bottom w:val="nil"/>
            </w:tcBorders>
            <w:vAlign w:val="center"/>
          </w:tcPr>
          <w:p w14:paraId="1B7FE77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12</w:t>
            </w:r>
          </w:p>
        </w:tc>
        <w:tc>
          <w:tcPr>
            <w:tcW w:w="2476" w:type="dxa"/>
            <w:tcBorders>
              <w:bottom w:val="nil"/>
            </w:tcBorders>
            <w:vAlign w:val="center"/>
          </w:tcPr>
          <w:p w14:paraId="14E038E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-4.75 ± 0.59</w:t>
            </w:r>
          </w:p>
        </w:tc>
        <w:tc>
          <w:tcPr>
            <w:tcW w:w="2476" w:type="dxa"/>
            <w:tcBorders>
              <w:bottom w:val="nil"/>
            </w:tcBorders>
            <w:vAlign w:val="center"/>
          </w:tcPr>
          <w:p w14:paraId="78F46409"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-3.65 ± 0.43</w:t>
            </w:r>
            <w:r w:rsidR="00073824" w:rsidRPr="00ED7BEC">
              <w:rPr>
                <w:rFonts w:ascii="Book Antiqua" w:eastAsia="Malgun Gothic" w:hAnsi="Book Antiqua"/>
                <w:color w:val="000000" w:themeColor="text1"/>
                <w:sz w:val="24"/>
                <w:szCs w:val="24"/>
                <w:vertAlign w:val="superscript"/>
              </w:rPr>
              <w:t>2</w:t>
            </w:r>
          </w:p>
        </w:tc>
        <w:tc>
          <w:tcPr>
            <w:tcW w:w="2476" w:type="dxa"/>
            <w:tcBorders>
              <w:bottom w:val="nil"/>
            </w:tcBorders>
            <w:vAlign w:val="center"/>
          </w:tcPr>
          <w:p w14:paraId="52AEB736"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-3.52 ± 0.60</w:t>
            </w:r>
            <w:r w:rsidR="00073824" w:rsidRPr="00ED7BEC">
              <w:rPr>
                <w:rFonts w:ascii="Book Antiqua" w:eastAsia="Malgun Gothic" w:hAnsi="Book Antiqua"/>
                <w:color w:val="000000" w:themeColor="text1"/>
                <w:sz w:val="24"/>
                <w:szCs w:val="24"/>
                <w:vertAlign w:val="superscript"/>
              </w:rPr>
              <w:t>2</w:t>
            </w:r>
          </w:p>
        </w:tc>
        <w:tc>
          <w:tcPr>
            <w:tcW w:w="1526" w:type="dxa"/>
            <w:tcBorders>
              <w:bottom w:val="nil"/>
            </w:tcBorders>
            <w:vAlign w:val="center"/>
          </w:tcPr>
          <w:p w14:paraId="13B77BE5"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0.003</w:t>
            </w:r>
          </w:p>
        </w:tc>
      </w:tr>
      <w:tr w:rsidR="00ED7BEC" w:rsidRPr="00ED7BEC" w14:paraId="0D554BA9" w14:textId="77777777" w:rsidTr="003F3DAE">
        <w:trPr>
          <w:trHeight w:val="450"/>
          <w:jc w:val="center"/>
        </w:trPr>
        <w:tc>
          <w:tcPr>
            <w:tcW w:w="11651" w:type="dxa"/>
            <w:gridSpan w:val="5"/>
            <w:tcBorders>
              <w:top w:val="nil"/>
              <w:bottom w:val="nil"/>
            </w:tcBorders>
            <w:vAlign w:val="center"/>
          </w:tcPr>
          <w:p w14:paraId="2CDF4B37"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Complete virologic response, cumulative incidence</w:t>
            </w:r>
          </w:p>
        </w:tc>
      </w:tr>
      <w:tr w:rsidR="00ED7BEC" w:rsidRPr="00ED7BEC" w14:paraId="0C7B723E" w14:textId="77777777" w:rsidTr="003F3DAE">
        <w:trPr>
          <w:trHeight w:val="450"/>
          <w:jc w:val="center"/>
        </w:trPr>
        <w:tc>
          <w:tcPr>
            <w:tcW w:w="2695" w:type="dxa"/>
            <w:tcBorders>
              <w:top w:val="nil"/>
              <w:bottom w:val="single" w:sz="4" w:space="0" w:color="auto"/>
            </w:tcBorders>
            <w:vAlign w:val="center"/>
          </w:tcPr>
          <w:p w14:paraId="1C4446B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12</w:t>
            </w:r>
          </w:p>
        </w:tc>
        <w:tc>
          <w:tcPr>
            <w:tcW w:w="2476" w:type="dxa"/>
            <w:tcBorders>
              <w:top w:val="nil"/>
              <w:bottom w:val="single" w:sz="4" w:space="0" w:color="auto"/>
            </w:tcBorders>
            <w:vAlign w:val="center"/>
          </w:tcPr>
          <w:p w14:paraId="025A5C3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100%</w:t>
            </w:r>
          </w:p>
        </w:tc>
        <w:tc>
          <w:tcPr>
            <w:tcW w:w="2476" w:type="dxa"/>
            <w:tcBorders>
              <w:top w:val="nil"/>
              <w:bottom w:val="single" w:sz="4" w:space="0" w:color="auto"/>
            </w:tcBorders>
            <w:vAlign w:val="center"/>
          </w:tcPr>
          <w:p w14:paraId="5F8FCDB4"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16.7%</w:t>
            </w:r>
            <w:r w:rsidR="00073824" w:rsidRPr="00ED7BEC">
              <w:rPr>
                <w:rFonts w:ascii="Book Antiqua" w:eastAsia="Malgun Gothic" w:hAnsi="Book Antiqua"/>
                <w:color w:val="000000" w:themeColor="text1"/>
                <w:sz w:val="24"/>
                <w:szCs w:val="24"/>
                <w:vertAlign w:val="superscript"/>
              </w:rPr>
              <w:t>2</w:t>
            </w:r>
          </w:p>
        </w:tc>
        <w:tc>
          <w:tcPr>
            <w:tcW w:w="2476" w:type="dxa"/>
            <w:tcBorders>
              <w:top w:val="nil"/>
              <w:bottom w:val="single" w:sz="4" w:space="0" w:color="auto"/>
            </w:tcBorders>
            <w:vAlign w:val="center"/>
          </w:tcPr>
          <w:p w14:paraId="2AD36B4B"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25%</w:t>
            </w:r>
            <w:r w:rsidR="00073824" w:rsidRPr="00ED7BEC">
              <w:rPr>
                <w:rFonts w:ascii="Book Antiqua" w:eastAsia="Malgun Gothic" w:hAnsi="Book Antiqua"/>
                <w:color w:val="000000" w:themeColor="text1"/>
                <w:sz w:val="24"/>
                <w:szCs w:val="24"/>
                <w:vertAlign w:val="superscript"/>
              </w:rPr>
              <w:t>2</w:t>
            </w:r>
          </w:p>
        </w:tc>
        <w:tc>
          <w:tcPr>
            <w:tcW w:w="1526" w:type="dxa"/>
            <w:tcBorders>
              <w:top w:val="nil"/>
              <w:bottom w:val="single" w:sz="4" w:space="0" w:color="auto"/>
            </w:tcBorders>
            <w:vAlign w:val="center"/>
          </w:tcPr>
          <w:p w14:paraId="0BC7D67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0.021</w:t>
            </w:r>
          </w:p>
        </w:tc>
      </w:tr>
    </w:tbl>
    <w:p w14:paraId="2A33F851" w14:textId="4BCF05EE" w:rsidR="0033045F" w:rsidRPr="00ED7BEC" w:rsidRDefault="00073824" w:rsidP="003F3DAE">
      <w:pPr>
        <w:wordWrap/>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vertAlign w:val="superscript"/>
        </w:rPr>
        <w:t>1</w:t>
      </w:r>
      <w:r w:rsidRPr="00ED7BEC">
        <w:rPr>
          <w:rFonts w:ascii="Book Antiqua" w:hAnsi="Book Antiqua" w:cstheme="majorHAnsi"/>
          <w:color w:val="000000" w:themeColor="text1"/>
          <w:sz w:val="24"/>
          <w:szCs w:val="24"/>
        </w:rPr>
        <w:t>The low genetic barriers include lamivudine, adefovir, or combination of lamivudine and adefovir</w:t>
      </w:r>
      <w:r w:rsidR="003F3DAE">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w:t>
      </w:r>
      <w:r w:rsidR="003F3DAE" w:rsidRPr="00ED7BEC">
        <w:rPr>
          <w:rFonts w:ascii="Book Antiqua" w:hAnsi="Book Antiqua" w:cstheme="majorHAnsi"/>
          <w:color w:val="000000" w:themeColor="text1"/>
          <w:sz w:val="24"/>
          <w:szCs w:val="24"/>
          <w:vertAlign w:val="superscript"/>
        </w:rPr>
        <w:t>2</w:t>
      </w:r>
      <w:r w:rsidR="003F3DAE" w:rsidRPr="00ED7BEC">
        <w:rPr>
          <w:rFonts w:ascii="Book Antiqua" w:hAnsi="Book Antiqua" w:cstheme="majorHAnsi"/>
          <w:color w:val="000000" w:themeColor="text1"/>
          <w:sz w:val="24"/>
          <w:szCs w:val="24"/>
        </w:rPr>
        <w:t>The same number of superscript</w:t>
      </w:r>
      <w:r w:rsidR="003F3DAE">
        <w:rPr>
          <w:rFonts w:ascii="Book Antiqua" w:hAnsi="Book Antiqua" w:cstheme="majorHAnsi"/>
          <w:color w:val="000000" w:themeColor="text1"/>
          <w:sz w:val="24"/>
          <w:szCs w:val="24"/>
        </w:rPr>
        <w:t>ed</w:t>
      </w:r>
      <w:r w:rsidR="003F3DAE" w:rsidRPr="00ED7BEC">
        <w:rPr>
          <w:rFonts w:ascii="Book Antiqua" w:hAnsi="Book Antiqua" w:cstheme="majorHAnsi"/>
          <w:color w:val="000000" w:themeColor="text1"/>
          <w:sz w:val="24"/>
          <w:szCs w:val="24"/>
        </w:rPr>
        <w:t xml:space="preserve"> indicates non-specific difference between groups.</w:t>
      </w:r>
      <w:r w:rsidR="003F3DAE">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 xml:space="preserve">The continuous variables were tested by one-way ANOVA among groups, and categorical variables were tested by Fisher’s exact test. </w:t>
      </w:r>
      <w:r w:rsidR="002742DE" w:rsidRPr="00ED7BEC">
        <w:rPr>
          <w:rFonts w:ascii="Book Antiqua" w:hAnsi="Book Antiqua" w:cstheme="minorHAnsi"/>
          <w:color w:val="000000" w:themeColor="text1"/>
          <w:kern w:val="0"/>
          <w:sz w:val="24"/>
          <w:szCs w:val="24"/>
        </w:rPr>
        <w:t>SD: standard deviation</w:t>
      </w:r>
      <w:r w:rsidR="003F3DAE">
        <w:rPr>
          <w:rFonts w:ascii="Book Antiqua" w:hAnsi="Book Antiqua" w:cstheme="minorHAnsi"/>
          <w:color w:val="000000" w:themeColor="text1"/>
          <w:kern w:val="0"/>
          <w:sz w:val="24"/>
          <w:szCs w:val="24"/>
        </w:rPr>
        <w:t xml:space="preserve">; </w:t>
      </w:r>
      <w:r w:rsidR="003F3DAE">
        <w:rPr>
          <w:rFonts w:ascii="Book Antiqua" w:hAnsi="Book Antiqua" w:cstheme="majorHAnsi"/>
          <w:color w:val="000000" w:themeColor="text1"/>
          <w:sz w:val="24"/>
          <w:szCs w:val="24"/>
        </w:rPr>
        <w:t xml:space="preserve">HBV: </w:t>
      </w:r>
      <w:r w:rsidR="003F3DAE" w:rsidRPr="00ED7BEC">
        <w:rPr>
          <w:rFonts w:ascii="Book Antiqua" w:hAnsi="Book Antiqua" w:cs="Arial"/>
          <w:color w:val="000000" w:themeColor="text1"/>
          <w:sz w:val="24"/>
          <w:szCs w:val="24"/>
        </w:rPr>
        <w:t>Hepatitis B</w:t>
      </w:r>
      <w:r w:rsidR="003F3DAE">
        <w:rPr>
          <w:rFonts w:ascii="Book Antiqua" w:hAnsi="Book Antiqua" w:cs="Arial"/>
          <w:color w:val="000000" w:themeColor="text1"/>
          <w:sz w:val="24"/>
          <w:szCs w:val="24"/>
        </w:rPr>
        <w:t xml:space="preserve"> virus.</w:t>
      </w:r>
    </w:p>
    <w:p w14:paraId="2F7E4E99" w14:textId="77777777" w:rsidR="00E37B39" w:rsidRDefault="00E93D22" w:rsidP="00ED7BEC">
      <w:pPr>
        <w:widowControl/>
        <w:wordWrap/>
        <w:autoSpaceDE/>
        <w:autoSpaceDN/>
        <w:spacing w:after="0" w:line="360" w:lineRule="auto"/>
        <w:rPr>
          <w:rFonts w:ascii="Book Antiqua" w:hAnsi="Book Antiqua" w:cs="Arial"/>
          <w:color w:val="000000" w:themeColor="text1"/>
          <w:sz w:val="24"/>
          <w:szCs w:val="24"/>
        </w:rPr>
        <w:sectPr w:rsidR="00E37B39" w:rsidSect="00C965DB">
          <w:headerReference w:type="default" r:id="rId11"/>
          <w:pgSz w:w="16838" w:h="11906" w:orient="landscape"/>
          <w:pgMar w:top="1440" w:right="1701"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5B1BC621" w14:textId="29006CD8" w:rsidR="00E37B39" w:rsidRPr="00ED7BEC" w:rsidRDefault="00E37B39"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noProof/>
          <w:color w:val="000000" w:themeColor="text1"/>
          <w:sz w:val="24"/>
          <w:szCs w:val="24"/>
          <w:lang w:eastAsia="zh-CN"/>
        </w:rPr>
        <w:lastRenderedPageBreak/>
        <w:drawing>
          <wp:inline distT="0" distB="0" distL="0" distR="0" wp14:anchorId="5C25E4A1" wp14:editId="592C1C98">
            <wp:extent cx="5731510" cy="4128135"/>
            <wp:effectExtent l="0" t="0" r="0" b="0"/>
            <wp:docPr id="9" name="그림 8" descr="Figur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1.jpg"/>
                    <pic:cNvPicPr/>
                  </pic:nvPicPr>
                  <pic:blipFill>
                    <a:blip r:embed="rId12" cstate="print"/>
                    <a:stretch>
                      <a:fillRect/>
                    </a:stretch>
                  </pic:blipFill>
                  <pic:spPr>
                    <a:xfrm>
                      <a:off x="0" y="0"/>
                      <a:ext cx="5731510" cy="4128135"/>
                    </a:xfrm>
                    <a:prstGeom prst="rect">
                      <a:avLst/>
                    </a:prstGeom>
                  </pic:spPr>
                </pic:pic>
              </a:graphicData>
            </a:graphic>
          </wp:inline>
        </w:drawing>
      </w:r>
    </w:p>
    <w:p w14:paraId="2ED2E394" w14:textId="67BDAA17" w:rsidR="00B254F1" w:rsidRPr="00ED7BEC" w:rsidRDefault="00E93D22" w:rsidP="00ED7BEC">
      <w:pPr>
        <w:wordWrap/>
        <w:adjustRightInd w:val="0"/>
        <w:spacing w:after="0" w:line="360" w:lineRule="auto"/>
        <w:rPr>
          <w:rFonts w:ascii="Book Antiqua" w:hAnsi="Book Antiqua" w:cstheme="majorHAnsi"/>
          <w:color w:val="000000" w:themeColor="text1"/>
          <w:kern w:val="0"/>
          <w:sz w:val="24"/>
          <w:szCs w:val="24"/>
        </w:rPr>
      </w:pPr>
      <w:r w:rsidRPr="00E37B39">
        <w:rPr>
          <w:rFonts w:ascii="Book Antiqua" w:hAnsi="Book Antiqua" w:cs="Arial"/>
          <w:b/>
          <w:color w:val="000000" w:themeColor="text1"/>
          <w:sz w:val="24"/>
          <w:szCs w:val="24"/>
        </w:rPr>
        <w:t xml:space="preserve">Figure 1 </w:t>
      </w:r>
      <w:r w:rsidR="00B254F1" w:rsidRPr="00E37B39">
        <w:rPr>
          <w:rFonts w:ascii="Book Antiqua" w:hAnsi="Book Antiqua" w:cstheme="majorHAnsi"/>
          <w:b/>
          <w:color w:val="000000" w:themeColor="text1"/>
          <w:sz w:val="24"/>
          <w:szCs w:val="24"/>
        </w:rPr>
        <w:t xml:space="preserve">Primer and LNA-probe positions designed for the detection of </w:t>
      </w:r>
      <w:r w:rsidR="00E37B39" w:rsidRPr="00E37B39">
        <w:rPr>
          <w:rFonts w:ascii="Book Antiqua" w:hAnsi="Book Antiqua" w:cs="Arial"/>
          <w:b/>
          <w:bCs/>
          <w:color w:val="000000" w:themeColor="text1"/>
          <w:sz w:val="24"/>
          <w:szCs w:val="24"/>
        </w:rPr>
        <w:t>hepatitis B virus</w:t>
      </w:r>
      <w:r w:rsidR="00B254F1" w:rsidRPr="00E37B39">
        <w:rPr>
          <w:rFonts w:ascii="Book Antiqua" w:hAnsi="Book Antiqua" w:cstheme="majorHAnsi"/>
          <w:b/>
          <w:color w:val="000000" w:themeColor="text1"/>
          <w:sz w:val="24"/>
          <w:szCs w:val="24"/>
        </w:rPr>
        <w:t xml:space="preserve"> rtM204I </w:t>
      </w:r>
      <w:r w:rsidR="0016664B" w:rsidRPr="00E37B39">
        <w:rPr>
          <w:rFonts w:ascii="Book Antiqua" w:hAnsi="Book Antiqua" w:cstheme="majorHAnsi"/>
          <w:b/>
          <w:color w:val="000000" w:themeColor="text1"/>
          <w:sz w:val="24"/>
          <w:szCs w:val="24"/>
        </w:rPr>
        <w:t xml:space="preserve">(YIDD) </w:t>
      </w:r>
      <w:r w:rsidR="00B254F1" w:rsidRPr="00E37B39">
        <w:rPr>
          <w:rFonts w:ascii="Book Antiqua" w:hAnsi="Book Antiqua" w:cstheme="majorHAnsi"/>
          <w:b/>
          <w:color w:val="000000" w:themeColor="text1"/>
          <w:sz w:val="24"/>
          <w:szCs w:val="24"/>
        </w:rPr>
        <w:t xml:space="preserve">variant and rtM204 </w:t>
      </w:r>
      <w:r w:rsidR="0016664B" w:rsidRPr="00E37B39">
        <w:rPr>
          <w:rFonts w:ascii="Book Antiqua" w:hAnsi="Book Antiqua" w:cstheme="majorHAnsi"/>
          <w:b/>
          <w:color w:val="000000" w:themeColor="text1"/>
          <w:sz w:val="24"/>
          <w:szCs w:val="24"/>
        </w:rPr>
        <w:t xml:space="preserve">(YMDD) </w:t>
      </w:r>
      <w:r w:rsidR="00B254F1" w:rsidRPr="00E37B39">
        <w:rPr>
          <w:rFonts w:ascii="Book Antiqua" w:hAnsi="Book Antiqua" w:cstheme="majorHAnsi"/>
          <w:b/>
          <w:color w:val="000000" w:themeColor="text1"/>
          <w:sz w:val="24"/>
          <w:szCs w:val="24"/>
        </w:rPr>
        <w:t>wild type.</w:t>
      </w:r>
      <w:r w:rsidR="00B254F1" w:rsidRPr="00ED7BEC">
        <w:rPr>
          <w:rFonts w:ascii="Book Antiqua" w:hAnsi="Book Antiqua" w:cstheme="majorHAnsi"/>
          <w:color w:val="000000" w:themeColor="text1"/>
          <w:sz w:val="24"/>
          <w:szCs w:val="24"/>
        </w:rPr>
        <w:t xml:space="preserve"> </w:t>
      </w:r>
      <w:r w:rsidR="00B254F1" w:rsidRPr="00ED7BEC">
        <w:rPr>
          <w:rFonts w:ascii="Book Antiqua" w:hAnsi="Book Antiqua" w:cstheme="majorHAnsi"/>
          <w:color w:val="000000" w:themeColor="text1"/>
          <w:kern w:val="0"/>
          <w:sz w:val="24"/>
          <w:szCs w:val="24"/>
        </w:rPr>
        <w:t xml:space="preserve">Arrows indicate the primer positions. Underlines indicate the probe positions. The numbers designate the nucleotide position on the </w:t>
      </w:r>
      <w:r w:rsidR="001A39B6" w:rsidRPr="001A39B6">
        <w:rPr>
          <w:rFonts w:ascii="Book Antiqua" w:hAnsi="Book Antiqua" w:cs="Arial"/>
          <w:color w:val="000000" w:themeColor="text1"/>
          <w:sz w:val="24"/>
          <w:szCs w:val="24"/>
        </w:rPr>
        <w:t>hepatitis B virus</w:t>
      </w:r>
      <w:r w:rsidR="00B254F1" w:rsidRPr="00ED7BEC">
        <w:rPr>
          <w:rFonts w:ascii="Book Antiqua" w:hAnsi="Book Antiqua" w:cstheme="majorHAnsi"/>
          <w:color w:val="000000" w:themeColor="text1"/>
          <w:kern w:val="0"/>
          <w:sz w:val="24"/>
          <w:szCs w:val="24"/>
        </w:rPr>
        <w:t xml:space="preserve"> reverse transcriptase gene sequence. Boldface bases denote the different bases. The box represents the codon and amino acid sequences of the rtM204 </w:t>
      </w:r>
      <w:r w:rsidR="0016664B" w:rsidRPr="00ED7BEC">
        <w:rPr>
          <w:rFonts w:ascii="Book Antiqua" w:hAnsi="Book Antiqua" w:cstheme="majorHAnsi"/>
          <w:color w:val="000000" w:themeColor="text1"/>
          <w:kern w:val="0"/>
          <w:sz w:val="24"/>
          <w:szCs w:val="24"/>
        </w:rPr>
        <w:t xml:space="preserve">(YMDD) </w:t>
      </w:r>
      <w:r w:rsidR="00B254F1" w:rsidRPr="00ED7BEC">
        <w:rPr>
          <w:rFonts w:ascii="Book Antiqua" w:hAnsi="Book Antiqua" w:cstheme="majorHAnsi"/>
          <w:color w:val="000000" w:themeColor="text1"/>
          <w:kern w:val="0"/>
          <w:sz w:val="24"/>
          <w:szCs w:val="24"/>
        </w:rPr>
        <w:t xml:space="preserve">wild type and rtM204I </w:t>
      </w:r>
      <w:r w:rsidR="0016664B" w:rsidRPr="00ED7BEC">
        <w:rPr>
          <w:rFonts w:ascii="Book Antiqua" w:hAnsi="Book Antiqua" w:cstheme="majorHAnsi"/>
          <w:color w:val="000000" w:themeColor="text1"/>
          <w:kern w:val="0"/>
          <w:sz w:val="24"/>
          <w:szCs w:val="24"/>
        </w:rPr>
        <w:t xml:space="preserve">(YIDD) </w:t>
      </w:r>
      <w:r w:rsidR="00B254F1" w:rsidRPr="00ED7BEC">
        <w:rPr>
          <w:rFonts w:ascii="Book Antiqua" w:hAnsi="Book Antiqua" w:cstheme="majorHAnsi"/>
          <w:color w:val="000000" w:themeColor="text1"/>
          <w:kern w:val="0"/>
          <w:sz w:val="24"/>
          <w:szCs w:val="24"/>
        </w:rPr>
        <w:t>variant. This single nucleotide difference is the basis of their discriminative identification by LNA probes in this study. The amino acid sequence is shown as the one-letter amino acid symbols.</w:t>
      </w:r>
      <w:r w:rsidR="001A39B6">
        <w:rPr>
          <w:rFonts w:ascii="Book Antiqua" w:hAnsi="Book Antiqua" w:cstheme="majorHAnsi"/>
          <w:color w:val="000000" w:themeColor="text1"/>
          <w:kern w:val="0"/>
          <w:sz w:val="24"/>
          <w:szCs w:val="24"/>
        </w:rPr>
        <w:t xml:space="preserve"> WT: Wild type.</w:t>
      </w:r>
    </w:p>
    <w:p w14:paraId="6B71747D" w14:textId="75A43BA6" w:rsidR="00DC2B61" w:rsidRDefault="00DC2B61" w:rsidP="00ED7BEC">
      <w:pPr>
        <w:wordWrap/>
        <w:adjustRightInd w:val="0"/>
        <w:spacing w:after="0" w:line="360" w:lineRule="auto"/>
        <w:rPr>
          <w:rFonts w:ascii="Book Antiqua" w:hAnsi="Book Antiqua" w:cstheme="majorHAnsi"/>
          <w:color w:val="000000" w:themeColor="text1"/>
          <w:kern w:val="0"/>
          <w:sz w:val="24"/>
          <w:szCs w:val="24"/>
        </w:rPr>
      </w:pPr>
    </w:p>
    <w:p w14:paraId="38914D43" w14:textId="394DC3DB" w:rsidR="00E37B39" w:rsidRDefault="00E37B39">
      <w:pPr>
        <w:widowControl/>
        <w:wordWrap/>
        <w:autoSpaceDE/>
        <w:autoSpaceDN/>
        <w:rPr>
          <w:rFonts w:ascii="Book Antiqua" w:hAnsi="Book Antiqua" w:cstheme="majorHAnsi"/>
          <w:color w:val="000000" w:themeColor="text1"/>
          <w:kern w:val="0"/>
          <w:sz w:val="24"/>
          <w:szCs w:val="24"/>
        </w:rPr>
      </w:pPr>
      <w:r>
        <w:rPr>
          <w:rFonts w:ascii="Book Antiqua" w:hAnsi="Book Antiqua" w:cstheme="majorHAnsi"/>
          <w:color w:val="000000" w:themeColor="text1"/>
          <w:kern w:val="0"/>
          <w:sz w:val="24"/>
          <w:szCs w:val="24"/>
        </w:rPr>
        <w:br w:type="page"/>
      </w:r>
    </w:p>
    <w:p w14:paraId="770CE3E9" w14:textId="0AE27918" w:rsidR="00E37B39" w:rsidRPr="00396755" w:rsidRDefault="00396755" w:rsidP="00396755">
      <w:pPr>
        <w:widowControl/>
        <w:wordWrap/>
        <w:autoSpaceDE/>
        <w:autoSpaceDN/>
        <w:spacing w:after="0" w:line="360" w:lineRule="auto"/>
        <w:ind w:left="425" w:hangingChars="177" w:hanging="425"/>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762C6520" wp14:editId="48B399EF">
            <wp:extent cx="5721985" cy="39103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3910330"/>
                    </a:xfrm>
                    <a:prstGeom prst="rect">
                      <a:avLst/>
                    </a:prstGeom>
                    <a:noFill/>
                    <a:ln>
                      <a:noFill/>
                    </a:ln>
                  </pic:spPr>
                </pic:pic>
              </a:graphicData>
            </a:graphic>
          </wp:inline>
        </w:drawing>
      </w:r>
    </w:p>
    <w:p w14:paraId="51EC8C68" w14:textId="0133F541" w:rsidR="00DC2B61" w:rsidRDefault="00B254F1" w:rsidP="00ED7BEC">
      <w:pPr>
        <w:wordWrap/>
        <w:spacing w:after="0" w:line="360" w:lineRule="auto"/>
        <w:rPr>
          <w:rFonts w:ascii="Book Antiqua" w:hAnsi="Book Antiqua" w:cstheme="majorHAnsi"/>
          <w:color w:val="000000" w:themeColor="text1"/>
          <w:sz w:val="24"/>
          <w:szCs w:val="24"/>
        </w:rPr>
      </w:pPr>
      <w:r w:rsidRPr="0074324A">
        <w:rPr>
          <w:rFonts w:ascii="Book Antiqua" w:hAnsi="Book Antiqua" w:cstheme="majorHAnsi"/>
          <w:b/>
          <w:color w:val="000000" w:themeColor="text1"/>
          <w:sz w:val="24"/>
          <w:szCs w:val="24"/>
        </w:rPr>
        <w:t xml:space="preserve">Figure 2 LNA real-time PCR for identification of </w:t>
      </w:r>
      <w:r w:rsidR="0074324A" w:rsidRPr="0074324A">
        <w:rPr>
          <w:rFonts w:ascii="Book Antiqua" w:hAnsi="Book Antiqua" w:cs="Arial"/>
          <w:b/>
          <w:color w:val="000000" w:themeColor="text1"/>
          <w:sz w:val="24"/>
          <w:szCs w:val="24"/>
        </w:rPr>
        <w:t>hepatitis B virus</w:t>
      </w:r>
      <w:r w:rsidRPr="0074324A">
        <w:rPr>
          <w:rFonts w:ascii="Book Antiqua" w:hAnsi="Book Antiqua" w:cstheme="majorHAnsi"/>
          <w:b/>
          <w:color w:val="000000" w:themeColor="text1"/>
          <w:sz w:val="24"/>
          <w:szCs w:val="24"/>
        </w:rPr>
        <w:t xml:space="preserve"> rtM204I </w:t>
      </w:r>
      <w:r w:rsidR="0016664B" w:rsidRPr="0074324A">
        <w:rPr>
          <w:rFonts w:ascii="Book Antiqua" w:hAnsi="Book Antiqua" w:cstheme="majorHAnsi"/>
          <w:b/>
          <w:color w:val="000000" w:themeColor="text1"/>
          <w:sz w:val="24"/>
          <w:szCs w:val="24"/>
        </w:rPr>
        <w:t xml:space="preserve">(YIDD) </w:t>
      </w:r>
      <w:r w:rsidRPr="0074324A">
        <w:rPr>
          <w:rFonts w:ascii="Book Antiqua" w:hAnsi="Book Antiqua" w:cstheme="majorHAnsi"/>
          <w:b/>
          <w:color w:val="000000" w:themeColor="text1"/>
          <w:sz w:val="24"/>
          <w:szCs w:val="24"/>
        </w:rPr>
        <w:t xml:space="preserve">variant and rtM204 </w:t>
      </w:r>
      <w:r w:rsidR="0016664B" w:rsidRPr="0074324A">
        <w:rPr>
          <w:rFonts w:ascii="Book Antiqua" w:hAnsi="Book Antiqua" w:cstheme="majorHAnsi"/>
          <w:b/>
          <w:color w:val="000000" w:themeColor="text1"/>
          <w:sz w:val="24"/>
          <w:szCs w:val="24"/>
        </w:rPr>
        <w:t xml:space="preserve">(YMDD) </w:t>
      </w:r>
      <w:r w:rsidRPr="0074324A">
        <w:rPr>
          <w:rFonts w:ascii="Book Antiqua" w:hAnsi="Book Antiqua" w:cstheme="majorHAnsi"/>
          <w:b/>
          <w:color w:val="000000" w:themeColor="text1"/>
          <w:sz w:val="24"/>
          <w:szCs w:val="24"/>
        </w:rPr>
        <w:t>wild type.</w:t>
      </w:r>
      <w:r w:rsidRPr="00ED7BEC">
        <w:rPr>
          <w:rFonts w:ascii="Book Antiqua" w:hAnsi="Book Antiqua" w:cstheme="majorHAnsi"/>
          <w:color w:val="000000" w:themeColor="text1"/>
          <w:sz w:val="24"/>
          <w:szCs w:val="24"/>
        </w:rPr>
        <w:t xml:space="preserve"> Amplification curves were shown on the left, melting peaks on the right. With YIDD variant DNA templates (A), YIDD specific signals at FAM channel (solid) were detected showing their dominant amplifications with minimal cross signals of amplification generated by a weak YMDD probe cross hybridization and distinct melting temperatures different from those of YMDD DNA with no significant cross signals on melting. For WT DNA templates (B), YMDD specific signals at HEX 6 channel (dashed) were detected showing their exclusive amplifications and distinct </w:t>
      </w:r>
      <w:r w:rsidRPr="00ED7BEC">
        <w:rPr>
          <w:rFonts w:ascii="Book Antiqua" w:hAnsi="Book Antiqua" w:cstheme="majorHAnsi"/>
          <w:i/>
          <w:color w:val="000000" w:themeColor="text1"/>
          <w:sz w:val="24"/>
          <w:szCs w:val="24"/>
        </w:rPr>
        <w:t>T</w:t>
      </w:r>
      <w:r w:rsidRPr="00ED7BEC">
        <w:rPr>
          <w:rFonts w:ascii="Book Antiqua" w:hAnsi="Book Antiqua" w:cstheme="majorHAnsi"/>
          <w:color w:val="000000" w:themeColor="text1"/>
          <w:sz w:val="24"/>
          <w:szCs w:val="24"/>
          <w:vertAlign w:val="subscript"/>
        </w:rPr>
        <w:t>m</w:t>
      </w:r>
      <w:r w:rsidRPr="00ED7BEC">
        <w:rPr>
          <w:rFonts w:ascii="Book Antiqua" w:hAnsi="Book Antiqua" w:cstheme="majorHAnsi"/>
          <w:color w:val="000000" w:themeColor="text1"/>
          <w:sz w:val="24"/>
          <w:szCs w:val="24"/>
        </w:rPr>
        <w:t>s different from those of YIDD with no cross signals.</w:t>
      </w:r>
      <w:r w:rsidR="0074324A">
        <w:rPr>
          <w:rFonts w:ascii="Book Antiqua" w:hAnsi="Book Antiqua" w:cstheme="majorHAnsi"/>
          <w:color w:val="000000" w:themeColor="text1"/>
          <w:sz w:val="24"/>
          <w:szCs w:val="24"/>
        </w:rPr>
        <w:t xml:space="preserve"> </w:t>
      </w:r>
      <w:r w:rsidR="0074324A">
        <w:rPr>
          <w:rFonts w:ascii="Book Antiqua" w:hAnsi="Book Antiqua" w:cstheme="majorHAnsi"/>
          <w:color w:val="000000" w:themeColor="text1"/>
          <w:kern w:val="0"/>
          <w:sz w:val="24"/>
          <w:szCs w:val="24"/>
        </w:rPr>
        <w:t>WT: Wild type.</w:t>
      </w:r>
    </w:p>
    <w:p w14:paraId="63A69909" w14:textId="0949E868" w:rsidR="00E37B39" w:rsidRDefault="00E37B39">
      <w:pPr>
        <w:widowControl/>
        <w:wordWrap/>
        <w:autoSpaceDE/>
        <w:autoSpaceDN/>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2EE7F8A8" w14:textId="0991DA02" w:rsidR="00E37B39" w:rsidRPr="00ED7BEC" w:rsidRDefault="00E37B39" w:rsidP="00ED7BEC">
      <w:pPr>
        <w:wordWrap/>
        <w:spacing w:after="0" w:line="360" w:lineRule="auto"/>
        <w:rPr>
          <w:rFonts w:ascii="Book Antiqua" w:hAnsi="Book Antiqua" w:cstheme="majorHAnsi"/>
          <w:color w:val="000000" w:themeColor="text1"/>
          <w:sz w:val="24"/>
          <w:szCs w:val="24"/>
        </w:rPr>
      </w:pPr>
      <w:r w:rsidRPr="00ED7BEC">
        <w:rPr>
          <w:rFonts w:ascii="Book Antiqua" w:hAnsi="Book Antiqua" w:cs="Arial"/>
          <w:noProof/>
          <w:color w:val="000000" w:themeColor="text1"/>
          <w:sz w:val="24"/>
          <w:szCs w:val="24"/>
          <w:lang w:eastAsia="zh-CN"/>
        </w:rPr>
        <w:lastRenderedPageBreak/>
        <w:drawing>
          <wp:inline distT="0" distB="0" distL="0" distR="0" wp14:anchorId="36CC5458" wp14:editId="3899D841">
            <wp:extent cx="3632940" cy="5765792"/>
            <wp:effectExtent l="0" t="0" r="0" b="0"/>
            <wp:docPr id="6" name="그림 5" descr="Figure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3.jpg"/>
                    <pic:cNvPicPr/>
                  </pic:nvPicPr>
                  <pic:blipFill>
                    <a:blip r:embed="rId14" cstate="print"/>
                    <a:stretch>
                      <a:fillRect/>
                    </a:stretch>
                  </pic:blipFill>
                  <pic:spPr>
                    <a:xfrm>
                      <a:off x="0" y="0"/>
                      <a:ext cx="3638464" cy="5774559"/>
                    </a:xfrm>
                    <a:prstGeom prst="rect">
                      <a:avLst/>
                    </a:prstGeom>
                  </pic:spPr>
                </pic:pic>
              </a:graphicData>
            </a:graphic>
          </wp:inline>
        </w:drawing>
      </w:r>
    </w:p>
    <w:p w14:paraId="76CF4B8A" w14:textId="672B5F36" w:rsidR="00C329CB" w:rsidRDefault="00B254F1" w:rsidP="00E37B39">
      <w:pPr>
        <w:wordWrap/>
        <w:spacing w:after="0" w:line="360" w:lineRule="auto"/>
        <w:rPr>
          <w:rFonts w:ascii="Book Antiqua" w:hAnsi="Book Antiqua" w:cstheme="majorHAnsi"/>
          <w:color w:val="000000" w:themeColor="text1"/>
          <w:sz w:val="24"/>
          <w:szCs w:val="24"/>
        </w:rPr>
      </w:pPr>
      <w:r w:rsidRPr="00C329CB">
        <w:rPr>
          <w:rFonts w:ascii="Book Antiqua" w:hAnsi="Book Antiqua" w:cstheme="majorHAnsi"/>
          <w:b/>
          <w:color w:val="000000" w:themeColor="text1"/>
          <w:sz w:val="24"/>
          <w:szCs w:val="24"/>
        </w:rPr>
        <w:t xml:space="preserve">Figure 3 Confirmation of LNA real-time PCR identification results of </w:t>
      </w:r>
      <w:r w:rsidR="00C329CB" w:rsidRPr="00C329CB">
        <w:rPr>
          <w:rFonts w:ascii="Book Antiqua" w:hAnsi="Book Antiqua" w:cs="Arial"/>
          <w:b/>
          <w:color w:val="000000" w:themeColor="text1"/>
          <w:sz w:val="24"/>
          <w:szCs w:val="24"/>
        </w:rPr>
        <w:t>hepatitis B virus</w:t>
      </w:r>
      <w:r w:rsidRPr="00C329CB">
        <w:rPr>
          <w:rFonts w:ascii="Book Antiqua" w:hAnsi="Book Antiqua" w:cstheme="majorHAnsi"/>
          <w:b/>
          <w:color w:val="000000" w:themeColor="text1"/>
          <w:sz w:val="24"/>
          <w:szCs w:val="24"/>
        </w:rPr>
        <w:t xml:space="preserve"> rtM204I</w:t>
      </w:r>
      <w:r w:rsidR="0016664B" w:rsidRPr="00C329CB">
        <w:rPr>
          <w:rFonts w:ascii="Book Antiqua" w:hAnsi="Book Antiqua" w:cstheme="majorHAnsi"/>
          <w:b/>
          <w:color w:val="000000" w:themeColor="text1"/>
          <w:sz w:val="24"/>
          <w:szCs w:val="24"/>
        </w:rPr>
        <w:t xml:space="preserve"> (YIDD)</w:t>
      </w:r>
      <w:r w:rsidRPr="00C329CB">
        <w:rPr>
          <w:rFonts w:ascii="Book Antiqua" w:hAnsi="Book Antiqua" w:cstheme="majorHAnsi"/>
          <w:b/>
          <w:color w:val="000000" w:themeColor="text1"/>
          <w:sz w:val="24"/>
          <w:szCs w:val="24"/>
        </w:rPr>
        <w:t xml:space="preserve"> variant and rtM204 </w:t>
      </w:r>
      <w:r w:rsidR="0016664B" w:rsidRPr="00C329CB">
        <w:rPr>
          <w:rFonts w:ascii="Book Antiqua" w:hAnsi="Book Antiqua" w:cstheme="majorHAnsi"/>
          <w:b/>
          <w:color w:val="000000" w:themeColor="text1"/>
          <w:sz w:val="24"/>
          <w:szCs w:val="24"/>
        </w:rPr>
        <w:t xml:space="preserve">(YMDD) </w:t>
      </w:r>
      <w:r w:rsidRPr="00C329CB">
        <w:rPr>
          <w:rFonts w:ascii="Book Antiqua" w:hAnsi="Book Antiqua" w:cstheme="majorHAnsi"/>
          <w:b/>
          <w:color w:val="000000" w:themeColor="text1"/>
          <w:sz w:val="24"/>
          <w:szCs w:val="24"/>
        </w:rPr>
        <w:t>wild type by direct sequencing.</w:t>
      </w:r>
      <w:r w:rsidRPr="00ED7BEC">
        <w:rPr>
          <w:rFonts w:ascii="Book Antiqua" w:hAnsi="Book Antiqua" w:cstheme="majorHAnsi"/>
          <w:color w:val="000000" w:themeColor="text1"/>
          <w:sz w:val="24"/>
          <w:szCs w:val="24"/>
        </w:rPr>
        <w:t xml:space="preserve"> Nucleotide bases are shown in the parenthesis. Lower case letters represent the base in a lower amount relative to the dominant variant. Bold indicates the target amino acid and bases.</w:t>
      </w:r>
    </w:p>
    <w:p w14:paraId="75830B89" w14:textId="0109FA2D" w:rsidR="00E37B39" w:rsidRDefault="00E37B39" w:rsidP="00E37B39">
      <w:pPr>
        <w:wordWrap/>
        <w:spacing w:after="0" w:line="360" w:lineRule="auto"/>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28D16BC1" w14:textId="64D6FA6C" w:rsidR="00E37B39"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03FEA581" wp14:editId="6BBE41D5">
            <wp:extent cx="2799822" cy="20812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34" cy="2117006"/>
                    </a:xfrm>
                    <a:prstGeom prst="rect">
                      <a:avLst/>
                    </a:prstGeom>
                    <a:noFill/>
                    <a:ln>
                      <a:noFill/>
                    </a:ln>
                  </pic:spPr>
                </pic:pic>
              </a:graphicData>
            </a:graphic>
          </wp:inline>
        </w:drawing>
      </w:r>
    </w:p>
    <w:p w14:paraId="63D50CA0" w14:textId="7CF08834"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C13D775" wp14:editId="43DC1339">
            <wp:extent cx="2827347" cy="1993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9629" cy="2002536"/>
                    </a:xfrm>
                    <a:prstGeom prst="rect">
                      <a:avLst/>
                    </a:prstGeom>
                    <a:noFill/>
                    <a:ln>
                      <a:noFill/>
                    </a:ln>
                  </pic:spPr>
                </pic:pic>
              </a:graphicData>
            </a:graphic>
          </wp:inline>
        </w:drawing>
      </w:r>
    </w:p>
    <w:p w14:paraId="32A62E99" w14:textId="6BC7C60E"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2C1DF04" wp14:editId="4450D352">
            <wp:extent cx="2799715" cy="196797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4210" cy="1978161"/>
                    </a:xfrm>
                    <a:prstGeom prst="rect">
                      <a:avLst/>
                    </a:prstGeom>
                    <a:noFill/>
                    <a:ln>
                      <a:noFill/>
                    </a:ln>
                  </pic:spPr>
                </pic:pic>
              </a:graphicData>
            </a:graphic>
          </wp:inline>
        </w:drawing>
      </w:r>
    </w:p>
    <w:p w14:paraId="6A05FC0C" w14:textId="2992DB6D"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5C18386A" wp14:editId="48658F5F">
            <wp:extent cx="2827020" cy="20434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4231" cy="2070375"/>
                    </a:xfrm>
                    <a:prstGeom prst="rect">
                      <a:avLst/>
                    </a:prstGeom>
                    <a:noFill/>
                    <a:ln>
                      <a:noFill/>
                    </a:ln>
                  </pic:spPr>
                </pic:pic>
              </a:graphicData>
            </a:graphic>
          </wp:inline>
        </w:drawing>
      </w:r>
    </w:p>
    <w:p w14:paraId="2AA63322" w14:textId="77777777" w:rsidR="00396755" w:rsidRPr="00ED7BEC" w:rsidRDefault="00396755" w:rsidP="00ED7BEC">
      <w:pPr>
        <w:wordWrap/>
        <w:spacing w:after="0" w:line="360" w:lineRule="auto"/>
        <w:rPr>
          <w:rFonts w:ascii="Book Antiqua" w:hAnsi="Book Antiqua" w:cstheme="majorHAnsi"/>
          <w:color w:val="000000" w:themeColor="text1"/>
          <w:sz w:val="24"/>
          <w:szCs w:val="24"/>
        </w:rPr>
      </w:pPr>
    </w:p>
    <w:p w14:paraId="5EE7D871" w14:textId="544FE4A4" w:rsidR="00CA40D7" w:rsidRPr="00317B2D" w:rsidRDefault="00B254F1" w:rsidP="00E37B39">
      <w:pPr>
        <w:widowControl/>
        <w:wordWrap/>
        <w:autoSpaceDE/>
        <w:autoSpaceDN/>
        <w:spacing w:after="0" w:line="360" w:lineRule="auto"/>
        <w:rPr>
          <w:rFonts w:ascii="Book Antiqua" w:hAnsi="Book Antiqua" w:cstheme="majorHAnsi"/>
          <w:color w:val="000000" w:themeColor="text1"/>
          <w:sz w:val="24"/>
          <w:szCs w:val="24"/>
        </w:rPr>
      </w:pPr>
      <w:r w:rsidRPr="00317B2D">
        <w:rPr>
          <w:rFonts w:ascii="Book Antiqua" w:hAnsi="Book Antiqua" w:cstheme="majorHAnsi"/>
          <w:b/>
          <w:color w:val="000000" w:themeColor="text1"/>
          <w:sz w:val="24"/>
          <w:szCs w:val="24"/>
        </w:rPr>
        <w:lastRenderedPageBreak/>
        <w:t xml:space="preserve">Figure </w:t>
      </w:r>
      <w:r w:rsidR="006A79BC" w:rsidRPr="00317B2D">
        <w:rPr>
          <w:rFonts w:ascii="Book Antiqua" w:hAnsi="Book Antiqua" w:cstheme="majorHAnsi"/>
          <w:b/>
          <w:color w:val="000000" w:themeColor="text1"/>
          <w:sz w:val="24"/>
          <w:szCs w:val="24"/>
        </w:rPr>
        <w:t>4</w:t>
      </w:r>
      <w:r w:rsidRPr="00317B2D">
        <w:rPr>
          <w:rFonts w:ascii="Book Antiqua" w:hAnsi="Book Antiqua" w:cstheme="majorHAnsi"/>
          <w:b/>
          <w:color w:val="000000" w:themeColor="text1"/>
          <w:sz w:val="24"/>
          <w:szCs w:val="24"/>
        </w:rPr>
        <w:t xml:space="preserve"> Changes in mean log values of the serum </w:t>
      </w:r>
      <w:r w:rsidR="00317B2D" w:rsidRPr="00317B2D">
        <w:rPr>
          <w:rFonts w:ascii="Book Antiqua" w:hAnsi="Book Antiqua" w:cs="Arial"/>
          <w:b/>
          <w:color w:val="000000" w:themeColor="text1"/>
          <w:sz w:val="24"/>
          <w:szCs w:val="24"/>
        </w:rPr>
        <w:t>hepatitis B virus</w:t>
      </w:r>
      <w:r w:rsidRPr="00317B2D">
        <w:rPr>
          <w:rFonts w:ascii="Book Antiqua" w:hAnsi="Book Antiqua" w:cstheme="majorHAnsi"/>
          <w:b/>
          <w:color w:val="000000" w:themeColor="text1"/>
          <w:sz w:val="24"/>
          <w:szCs w:val="24"/>
        </w:rPr>
        <w:t xml:space="preserve"> DNA levels from baseline during nucleos</w:t>
      </w:r>
      <w:r w:rsidR="00317B2D" w:rsidRPr="00317B2D">
        <w:rPr>
          <w:rFonts w:ascii="Book Antiqua" w:hAnsi="Book Antiqua" w:cstheme="majorHAnsi"/>
          <w:b/>
          <w:color w:val="000000" w:themeColor="text1"/>
          <w:sz w:val="24"/>
          <w:szCs w:val="24"/>
        </w:rPr>
        <w:t>(</w:t>
      </w:r>
      <w:r w:rsidRPr="00317B2D">
        <w:rPr>
          <w:rFonts w:ascii="Book Antiqua" w:hAnsi="Book Antiqua" w:cstheme="majorHAnsi"/>
          <w:b/>
          <w:color w:val="000000" w:themeColor="text1"/>
          <w:sz w:val="24"/>
          <w:szCs w:val="24"/>
        </w:rPr>
        <w:t>t</w:t>
      </w:r>
      <w:r w:rsidR="00317B2D" w:rsidRPr="00317B2D">
        <w:rPr>
          <w:rFonts w:ascii="Book Antiqua" w:hAnsi="Book Antiqua" w:cstheme="majorHAnsi"/>
          <w:b/>
          <w:color w:val="000000" w:themeColor="text1"/>
          <w:sz w:val="24"/>
          <w:szCs w:val="24"/>
        </w:rPr>
        <w:t>)</w:t>
      </w:r>
      <w:r w:rsidRPr="00317B2D">
        <w:rPr>
          <w:rFonts w:ascii="Book Antiqua" w:hAnsi="Book Antiqua" w:cstheme="majorHAnsi"/>
          <w:b/>
          <w:color w:val="000000" w:themeColor="text1"/>
          <w:sz w:val="24"/>
          <w:szCs w:val="24"/>
        </w:rPr>
        <w:t>ide analogues</w:t>
      </w:r>
      <w:r w:rsidR="00B246FF" w:rsidRPr="00317B2D">
        <w:rPr>
          <w:rFonts w:ascii="Book Antiqua" w:hAnsi="Book Antiqua" w:cstheme="majorHAnsi"/>
          <w:b/>
          <w:color w:val="000000" w:themeColor="text1"/>
          <w:sz w:val="24"/>
          <w:szCs w:val="24"/>
        </w:rPr>
        <w:t xml:space="preserve"> </w:t>
      </w:r>
      <w:r w:rsidRPr="00317B2D">
        <w:rPr>
          <w:rFonts w:ascii="Book Antiqua" w:hAnsi="Book Antiqua" w:cstheme="majorHAnsi"/>
          <w:b/>
          <w:color w:val="000000" w:themeColor="text1"/>
          <w:sz w:val="24"/>
          <w:szCs w:val="24"/>
        </w:rPr>
        <w:t>treatment.</w:t>
      </w:r>
      <w:r w:rsidRPr="00ED7BEC">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A</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 xml:space="preserve">The decrease in </w:t>
      </w:r>
      <w:r w:rsidR="00317B2D" w:rsidRPr="00317B2D">
        <w:rPr>
          <w:rFonts w:ascii="Book Antiqua" w:hAnsi="Book Antiqua" w:cs="Arial"/>
          <w:bCs/>
          <w:color w:val="000000" w:themeColor="text1"/>
          <w:sz w:val="24"/>
          <w:szCs w:val="24"/>
        </w:rPr>
        <w:t>hepatitis B virus</w:t>
      </w:r>
      <w:r w:rsidR="00317B2D" w:rsidRPr="00317B2D">
        <w:rPr>
          <w:rFonts w:ascii="Book Antiqua" w:hAnsi="Book Antiqua" w:cstheme="majorHAnsi"/>
          <w:bCs/>
          <w:color w:val="000000" w:themeColor="text1"/>
          <w:sz w:val="24"/>
          <w:szCs w:val="24"/>
        </w:rPr>
        <w:t xml:space="preserve"> (</w:t>
      </w:r>
      <w:r w:rsidRPr="00ED7BEC">
        <w:rPr>
          <w:rFonts w:ascii="Book Antiqua" w:hAnsi="Book Antiqua" w:cstheme="majorHAnsi"/>
          <w:color w:val="000000" w:themeColor="text1"/>
          <w:sz w:val="24"/>
          <w:szCs w:val="24"/>
        </w:rPr>
        <w:t>HBV</w:t>
      </w:r>
      <w:r w:rsidR="00317B2D">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DNA was significantly less prominent in patients infected with naturally occurring rtM204I variants than in patients without pre-existing rtM204I variants at </w:t>
      </w:r>
      <w:r w:rsidR="00B246FF" w:rsidRPr="00ED7BEC">
        <w:rPr>
          <w:rFonts w:ascii="Book Antiqua" w:hAnsi="Book Antiqua" w:cstheme="majorHAnsi"/>
          <w:color w:val="000000" w:themeColor="text1"/>
          <w:sz w:val="24"/>
          <w:szCs w:val="24"/>
        </w:rPr>
        <w:t xml:space="preserve">3, 6, 9, 12, 15 mo of </w:t>
      </w:r>
      <w:r w:rsidR="00317B2D" w:rsidRPr="00ED7BEC">
        <w:rPr>
          <w:rFonts w:ascii="Book Antiqua" w:hAnsi="Book Antiqua" w:cstheme="majorHAnsi"/>
          <w:color w:val="000000" w:themeColor="text1"/>
          <w:sz w:val="24"/>
          <w:szCs w:val="24"/>
        </w:rPr>
        <w:t>nucleos</w:t>
      </w:r>
      <w:r w:rsidR="00317B2D">
        <w:rPr>
          <w:rFonts w:ascii="Book Antiqua" w:hAnsi="Book Antiqua" w:cstheme="majorHAnsi"/>
          <w:color w:val="000000" w:themeColor="text1"/>
          <w:sz w:val="24"/>
          <w:szCs w:val="24"/>
        </w:rPr>
        <w:t>(</w:t>
      </w:r>
      <w:r w:rsidR="00317B2D" w:rsidRPr="00ED7BEC">
        <w:rPr>
          <w:rFonts w:ascii="Book Antiqua" w:hAnsi="Book Antiqua" w:cstheme="majorHAnsi"/>
          <w:color w:val="000000" w:themeColor="text1"/>
          <w:sz w:val="24"/>
          <w:szCs w:val="24"/>
        </w:rPr>
        <w:t>t</w:t>
      </w:r>
      <w:r w:rsidR="00317B2D">
        <w:rPr>
          <w:rFonts w:ascii="Book Antiqua" w:hAnsi="Book Antiqua" w:cstheme="majorHAnsi"/>
          <w:color w:val="000000" w:themeColor="text1"/>
          <w:sz w:val="24"/>
          <w:szCs w:val="24"/>
        </w:rPr>
        <w:t>)</w:t>
      </w:r>
      <w:r w:rsidR="00317B2D" w:rsidRPr="00ED7BEC">
        <w:rPr>
          <w:rFonts w:ascii="Book Antiqua" w:hAnsi="Book Antiqua" w:cstheme="majorHAnsi"/>
          <w:color w:val="000000" w:themeColor="text1"/>
          <w:sz w:val="24"/>
          <w:szCs w:val="24"/>
        </w:rPr>
        <w:t>ide analogues</w:t>
      </w:r>
      <w:r w:rsidRPr="00ED7BEC">
        <w:rPr>
          <w:rFonts w:ascii="Book Antiqua" w:hAnsi="Book Antiqua" w:cstheme="majorHAnsi"/>
          <w:color w:val="000000" w:themeColor="text1"/>
          <w:sz w:val="24"/>
          <w:szCs w:val="24"/>
        </w:rPr>
        <w:t xml:space="preserve">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0.05)</w:t>
      </w:r>
      <w:r w:rsidR="00317B2D">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B</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There was no differences in HBV-DNA declines during tenofovir therapy between patients with and without naturally occurring rtM204I variants</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C</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The decrease in HBV DNA was significantly less prominent in patients infected with naturally occurring rtM204I variants than in patients without pre-existing rtM204I variants at 3, 6, 9, 12, 15 mo of </w:t>
      </w:r>
      <w:r w:rsidR="00A20F11" w:rsidRPr="00ED7BEC">
        <w:rPr>
          <w:rFonts w:ascii="Book Antiqua" w:hAnsi="Book Antiqua" w:cstheme="majorHAnsi"/>
          <w:color w:val="000000" w:themeColor="text1"/>
          <w:sz w:val="24"/>
          <w:szCs w:val="24"/>
        </w:rPr>
        <w:t>entecavir</w:t>
      </w:r>
      <w:r w:rsidR="00B246FF" w:rsidRPr="00ED7BEC">
        <w:rPr>
          <w:rFonts w:ascii="Book Antiqua" w:hAnsi="Book Antiqua" w:cstheme="majorHAnsi"/>
          <w:color w:val="000000" w:themeColor="text1"/>
          <w:sz w:val="24"/>
          <w:szCs w:val="24"/>
        </w:rPr>
        <w:t xml:space="preserve">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0.05)</w:t>
      </w:r>
      <w:r w:rsidR="00317B2D">
        <w:rPr>
          <w:rFonts w:ascii="Book Antiqua" w:hAnsi="Book Antiqua" w:cstheme="majorHAnsi"/>
          <w:color w:val="000000" w:themeColor="text1"/>
          <w:sz w:val="24"/>
          <w:szCs w:val="24"/>
        </w:rPr>
        <w:t>;</w:t>
      </w:r>
      <w:r w:rsidR="006A79BC" w:rsidRPr="00ED7BEC">
        <w:rPr>
          <w:rFonts w:ascii="Book Antiqua" w:hAnsi="Book Antiqua" w:cstheme="majorHAnsi"/>
          <w:color w:val="000000" w:themeColor="text1"/>
          <w:sz w:val="24"/>
          <w:szCs w:val="24"/>
        </w:rPr>
        <w:t xml:space="preserve"> D</w:t>
      </w:r>
      <w:r w:rsidR="00317B2D">
        <w:rPr>
          <w:rFonts w:ascii="Book Antiqua" w:hAnsi="Book Antiqua" w:cstheme="majorHAnsi"/>
          <w:color w:val="000000" w:themeColor="text1"/>
          <w:sz w:val="24"/>
          <w:szCs w:val="24"/>
        </w:rPr>
        <w:t>:</w:t>
      </w:r>
      <w:r w:rsidR="006A79BC" w:rsidRPr="00ED7BEC">
        <w:rPr>
          <w:rFonts w:ascii="Book Antiqua" w:hAnsi="Book Antiqua" w:cstheme="majorHAnsi"/>
          <w:color w:val="000000" w:themeColor="text1"/>
          <w:sz w:val="24"/>
          <w:szCs w:val="24"/>
        </w:rPr>
        <w:t xml:space="preserve"> The decrease in HBV DNA was significantly less prominent in patients infected with naturally occurring rtM204I variants than in patients without pre-existing rtM204I variants at 3, 6, 9, 12, 15 mo of low genetic barriers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006A79BC"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006A79BC" w:rsidRPr="00ED7BEC">
        <w:rPr>
          <w:rFonts w:ascii="Book Antiqua" w:hAnsi="Book Antiqua" w:cstheme="majorHAnsi"/>
          <w:color w:val="000000" w:themeColor="text1"/>
          <w:sz w:val="24"/>
          <w:szCs w:val="24"/>
        </w:rPr>
        <w:t xml:space="preserve">0.05). </w:t>
      </w:r>
      <w:r w:rsidRPr="00ED7BEC">
        <w:rPr>
          <w:rFonts w:ascii="Book Antiqua" w:hAnsi="Book Antiqua" w:cs="Arial"/>
          <w:color w:val="000000" w:themeColor="text1"/>
          <w:sz w:val="24"/>
          <w:szCs w:val="24"/>
        </w:rPr>
        <w:t xml:space="preserve">Student's </w:t>
      </w:r>
      <w:r w:rsidRPr="00317B2D">
        <w:rPr>
          <w:rFonts w:ascii="Book Antiqua" w:hAnsi="Book Antiqua" w:cs="Arial"/>
          <w:i/>
          <w:iCs/>
          <w:color w:val="000000" w:themeColor="text1"/>
          <w:sz w:val="24"/>
          <w:szCs w:val="24"/>
        </w:rPr>
        <w:t>t</w:t>
      </w:r>
      <w:r w:rsidRPr="00ED7BEC">
        <w:rPr>
          <w:rFonts w:ascii="Book Antiqua" w:hAnsi="Book Antiqua" w:cs="Arial"/>
          <w:color w:val="000000" w:themeColor="text1"/>
          <w:sz w:val="24"/>
          <w:szCs w:val="24"/>
        </w:rPr>
        <w:t xml:space="preserve">-test </w:t>
      </w:r>
      <w:r w:rsidRPr="00ED7BEC">
        <w:rPr>
          <w:rFonts w:ascii="Book Antiqua" w:hAnsi="Book Antiqua" w:cstheme="majorHAnsi"/>
          <w:color w:val="000000" w:themeColor="text1"/>
          <w:sz w:val="24"/>
          <w:szCs w:val="24"/>
        </w:rPr>
        <w:t>was used for the statistical analysis at each time point</w:t>
      </w:r>
      <w:r w:rsidR="00317B2D">
        <w:rPr>
          <w:rFonts w:ascii="Book Antiqua" w:hAnsi="Book Antiqua" w:cstheme="majorHAnsi"/>
          <w:color w:val="000000" w:themeColor="text1"/>
          <w:sz w:val="24"/>
          <w:szCs w:val="24"/>
        </w:rPr>
        <w:t xml:space="preserve">. </w:t>
      </w:r>
      <w:r w:rsidR="00317B2D" w:rsidRPr="00ED7BEC">
        <w:rPr>
          <w:rFonts w:ascii="Book Antiqua" w:hAnsi="Book Antiqua" w:cstheme="majorHAnsi"/>
          <w:color w:val="000000" w:themeColor="text1"/>
          <w:sz w:val="24"/>
          <w:szCs w:val="24"/>
        </w:rPr>
        <w:t>HBV</w:t>
      </w:r>
      <w:r w:rsidR="00317B2D">
        <w:rPr>
          <w:rFonts w:ascii="Book Antiqua" w:hAnsi="Book Antiqua" w:cstheme="majorHAnsi"/>
          <w:color w:val="000000" w:themeColor="text1"/>
          <w:sz w:val="24"/>
          <w:szCs w:val="24"/>
        </w:rPr>
        <w:t xml:space="preserve">: </w:t>
      </w:r>
      <w:r w:rsidR="00317B2D" w:rsidRPr="00317B2D">
        <w:rPr>
          <w:rFonts w:ascii="Book Antiqua" w:hAnsi="Book Antiqua" w:cs="Arial"/>
          <w:bCs/>
          <w:color w:val="000000" w:themeColor="text1"/>
          <w:sz w:val="24"/>
          <w:szCs w:val="24"/>
        </w:rPr>
        <w:t>Hepatitis B virus</w:t>
      </w:r>
      <w:r w:rsidR="00317B2D">
        <w:rPr>
          <w:rFonts w:ascii="Book Antiqua" w:hAnsi="Book Antiqua" w:cs="Arial"/>
          <w:bCs/>
          <w:color w:val="000000" w:themeColor="text1"/>
          <w:sz w:val="24"/>
          <w:szCs w:val="24"/>
        </w:rPr>
        <w:t>.</w:t>
      </w:r>
    </w:p>
    <w:sectPr w:rsidR="00CA40D7" w:rsidRPr="00317B2D" w:rsidSect="00E37B39">
      <w:head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F14A" w14:textId="77777777" w:rsidR="003F7FF9" w:rsidRDefault="003F7FF9" w:rsidP="007D0778">
      <w:pPr>
        <w:spacing w:after="0" w:line="240" w:lineRule="auto"/>
      </w:pPr>
      <w:r>
        <w:separator/>
      </w:r>
    </w:p>
  </w:endnote>
  <w:endnote w:type="continuationSeparator" w:id="0">
    <w:p w14:paraId="4B6B46F3" w14:textId="77777777" w:rsidR="003F7FF9" w:rsidRDefault="003F7FF9" w:rsidP="007D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BatangChe">
    <w:altName w:val="Malgun Gothic Semilight"/>
    <w:charset w:val="81"/>
    <w:family w:val="modern"/>
    <w:pitch w:val="fixed"/>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Dotum">
    <w:altName w:val="Malgun Gothic Semilight"/>
    <w:panose1 w:val="020B0600000101010101"/>
    <w:charset w:val="81"/>
    <w:family w:val="swiss"/>
    <w:pitch w:val="variable"/>
    <w:sig w:usb0="00000000"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D9EC" w14:textId="77777777" w:rsidR="003F7FF9" w:rsidRDefault="003F7FF9" w:rsidP="007D0778">
      <w:pPr>
        <w:spacing w:after="0" w:line="240" w:lineRule="auto"/>
      </w:pPr>
      <w:r>
        <w:separator/>
      </w:r>
    </w:p>
  </w:footnote>
  <w:footnote w:type="continuationSeparator" w:id="0">
    <w:p w14:paraId="64EA216A" w14:textId="77777777" w:rsidR="003F7FF9" w:rsidRDefault="003F7FF9" w:rsidP="007D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59D4" w14:textId="77777777" w:rsidR="009E5AE7" w:rsidRDefault="009E5AE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8378" w14:textId="77777777" w:rsidR="00070635" w:rsidRDefault="0007063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AB4C" w14:textId="77777777" w:rsidR="00C965DB" w:rsidRDefault="00C965D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C175" w14:textId="77777777" w:rsidR="00E37B39" w:rsidRDefault="00E37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A9"/>
    <w:rsid w:val="00006334"/>
    <w:rsid w:val="000260DD"/>
    <w:rsid w:val="00033787"/>
    <w:rsid w:val="0004003B"/>
    <w:rsid w:val="00040AE4"/>
    <w:rsid w:val="00050D70"/>
    <w:rsid w:val="000605F3"/>
    <w:rsid w:val="00064667"/>
    <w:rsid w:val="00070635"/>
    <w:rsid w:val="000712D3"/>
    <w:rsid w:val="00073824"/>
    <w:rsid w:val="00076221"/>
    <w:rsid w:val="00083A86"/>
    <w:rsid w:val="00086883"/>
    <w:rsid w:val="000924E6"/>
    <w:rsid w:val="00093EAD"/>
    <w:rsid w:val="00096148"/>
    <w:rsid w:val="000B66BF"/>
    <w:rsid w:val="000C605E"/>
    <w:rsid w:val="000D1AB6"/>
    <w:rsid w:val="000D422C"/>
    <w:rsid w:val="000E1CE0"/>
    <w:rsid w:val="0011040B"/>
    <w:rsid w:val="00147D44"/>
    <w:rsid w:val="00163D84"/>
    <w:rsid w:val="0016664B"/>
    <w:rsid w:val="001908B0"/>
    <w:rsid w:val="001A39B6"/>
    <w:rsid w:val="001C58DA"/>
    <w:rsid w:val="001E6832"/>
    <w:rsid w:val="00207C69"/>
    <w:rsid w:val="00215899"/>
    <w:rsid w:val="002227A1"/>
    <w:rsid w:val="002308A3"/>
    <w:rsid w:val="0024114A"/>
    <w:rsid w:val="002516D8"/>
    <w:rsid w:val="002520D3"/>
    <w:rsid w:val="0025461C"/>
    <w:rsid w:val="00264E59"/>
    <w:rsid w:val="00266C0D"/>
    <w:rsid w:val="002742DE"/>
    <w:rsid w:val="0029515E"/>
    <w:rsid w:val="00296B7C"/>
    <w:rsid w:val="002A048D"/>
    <w:rsid w:val="002A2400"/>
    <w:rsid w:val="002F4717"/>
    <w:rsid w:val="00307CA0"/>
    <w:rsid w:val="00311CBF"/>
    <w:rsid w:val="003153D5"/>
    <w:rsid w:val="00317B2D"/>
    <w:rsid w:val="0033045F"/>
    <w:rsid w:val="003652B3"/>
    <w:rsid w:val="00382360"/>
    <w:rsid w:val="00396755"/>
    <w:rsid w:val="003A7048"/>
    <w:rsid w:val="003C71F0"/>
    <w:rsid w:val="003D13D9"/>
    <w:rsid w:val="003D4194"/>
    <w:rsid w:val="003D4324"/>
    <w:rsid w:val="003D6013"/>
    <w:rsid w:val="003E08F7"/>
    <w:rsid w:val="003E4AC9"/>
    <w:rsid w:val="003F3DAE"/>
    <w:rsid w:val="003F7FF9"/>
    <w:rsid w:val="00400118"/>
    <w:rsid w:val="00442AC1"/>
    <w:rsid w:val="00456F12"/>
    <w:rsid w:val="004674C1"/>
    <w:rsid w:val="00472E7B"/>
    <w:rsid w:val="00474E7A"/>
    <w:rsid w:val="00475E1A"/>
    <w:rsid w:val="00485401"/>
    <w:rsid w:val="004C223D"/>
    <w:rsid w:val="004C3DB0"/>
    <w:rsid w:val="004D306A"/>
    <w:rsid w:val="004E21D0"/>
    <w:rsid w:val="004F0C1E"/>
    <w:rsid w:val="004F6802"/>
    <w:rsid w:val="00513E34"/>
    <w:rsid w:val="00522248"/>
    <w:rsid w:val="005346E7"/>
    <w:rsid w:val="005469A7"/>
    <w:rsid w:val="00554754"/>
    <w:rsid w:val="00555C5E"/>
    <w:rsid w:val="00574F14"/>
    <w:rsid w:val="00581CCD"/>
    <w:rsid w:val="00587E3C"/>
    <w:rsid w:val="005913DC"/>
    <w:rsid w:val="005A3ED2"/>
    <w:rsid w:val="005D09BD"/>
    <w:rsid w:val="005E3746"/>
    <w:rsid w:val="00610109"/>
    <w:rsid w:val="00643B02"/>
    <w:rsid w:val="00667448"/>
    <w:rsid w:val="00670F98"/>
    <w:rsid w:val="00673E49"/>
    <w:rsid w:val="0068443D"/>
    <w:rsid w:val="006A79BC"/>
    <w:rsid w:val="006B3DC7"/>
    <w:rsid w:val="006B3F1A"/>
    <w:rsid w:val="006B4681"/>
    <w:rsid w:val="006E50B9"/>
    <w:rsid w:val="006F1363"/>
    <w:rsid w:val="00700354"/>
    <w:rsid w:val="007075C3"/>
    <w:rsid w:val="00742EA6"/>
    <w:rsid w:val="0074324A"/>
    <w:rsid w:val="007602A8"/>
    <w:rsid w:val="00772CC6"/>
    <w:rsid w:val="00783BBD"/>
    <w:rsid w:val="007D0778"/>
    <w:rsid w:val="008035F0"/>
    <w:rsid w:val="00813EB6"/>
    <w:rsid w:val="00871397"/>
    <w:rsid w:val="008A60AC"/>
    <w:rsid w:val="008E4AB9"/>
    <w:rsid w:val="00903C31"/>
    <w:rsid w:val="009158C9"/>
    <w:rsid w:val="00934C58"/>
    <w:rsid w:val="009358CF"/>
    <w:rsid w:val="0094784C"/>
    <w:rsid w:val="00987361"/>
    <w:rsid w:val="00991F57"/>
    <w:rsid w:val="009B4192"/>
    <w:rsid w:val="009C52DE"/>
    <w:rsid w:val="009E5AE7"/>
    <w:rsid w:val="009F75A9"/>
    <w:rsid w:val="00A02825"/>
    <w:rsid w:val="00A06DDE"/>
    <w:rsid w:val="00A10E6C"/>
    <w:rsid w:val="00A15E40"/>
    <w:rsid w:val="00A20F11"/>
    <w:rsid w:val="00A26B56"/>
    <w:rsid w:val="00A40AE7"/>
    <w:rsid w:val="00A54D7E"/>
    <w:rsid w:val="00A57F4B"/>
    <w:rsid w:val="00A76589"/>
    <w:rsid w:val="00A81EAF"/>
    <w:rsid w:val="00AA4B0D"/>
    <w:rsid w:val="00AC1DBD"/>
    <w:rsid w:val="00AD6466"/>
    <w:rsid w:val="00AF003B"/>
    <w:rsid w:val="00AF1E96"/>
    <w:rsid w:val="00AF6821"/>
    <w:rsid w:val="00B100F3"/>
    <w:rsid w:val="00B23EEB"/>
    <w:rsid w:val="00B246FF"/>
    <w:rsid w:val="00B254F1"/>
    <w:rsid w:val="00B57787"/>
    <w:rsid w:val="00B61451"/>
    <w:rsid w:val="00B6362D"/>
    <w:rsid w:val="00B637D7"/>
    <w:rsid w:val="00B8202F"/>
    <w:rsid w:val="00BC0642"/>
    <w:rsid w:val="00BD3F4A"/>
    <w:rsid w:val="00BE6370"/>
    <w:rsid w:val="00BF034B"/>
    <w:rsid w:val="00C329CB"/>
    <w:rsid w:val="00C33E2D"/>
    <w:rsid w:val="00C4063D"/>
    <w:rsid w:val="00C56153"/>
    <w:rsid w:val="00C56C68"/>
    <w:rsid w:val="00C62BE8"/>
    <w:rsid w:val="00C736C9"/>
    <w:rsid w:val="00C75426"/>
    <w:rsid w:val="00C823A9"/>
    <w:rsid w:val="00C91493"/>
    <w:rsid w:val="00C965DB"/>
    <w:rsid w:val="00CA40D7"/>
    <w:rsid w:val="00CC7C69"/>
    <w:rsid w:val="00CF4DB8"/>
    <w:rsid w:val="00D635BA"/>
    <w:rsid w:val="00D70249"/>
    <w:rsid w:val="00D95D46"/>
    <w:rsid w:val="00DA76A6"/>
    <w:rsid w:val="00DB53F8"/>
    <w:rsid w:val="00DC2B61"/>
    <w:rsid w:val="00DC650A"/>
    <w:rsid w:val="00DD08BD"/>
    <w:rsid w:val="00DD6210"/>
    <w:rsid w:val="00DF14A4"/>
    <w:rsid w:val="00E14D64"/>
    <w:rsid w:val="00E17964"/>
    <w:rsid w:val="00E24AAF"/>
    <w:rsid w:val="00E27B5C"/>
    <w:rsid w:val="00E37B39"/>
    <w:rsid w:val="00E44EF5"/>
    <w:rsid w:val="00E93D22"/>
    <w:rsid w:val="00EA553B"/>
    <w:rsid w:val="00EB2D64"/>
    <w:rsid w:val="00EC7249"/>
    <w:rsid w:val="00ED43FC"/>
    <w:rsid w:val="00ED7BEC"/>
    <w:rsid w:val="00EE2217"/>
    <w:rsid w:val="00F076D2"/>
    <w:rsid w:val="00F142C9"/>
    <w:rsid w:val="00F32E08"/>
    <w:rsid w:val="00F33766"/>
    <w:rsid w:val="00F51BE8"/>
    <w:rsid w:val="00F51F55"/>
    <w:rsid w:val="00F54F33"/>
    <w:rsid w:val="00F7243C"/>
    <w:rsid w:val="00F740E5"/>
    <w:rsid w:val="00F76AE3"/>
    <w:rsid w:val="00FA57C9"/>
    <w:rsid w:val="00FB0030"/>
    <w:rsid w:val="00FB52DB"/>
    <w:rsid w:val="00FB7FCB"/>
    <w:rsid w:val="00FC4459"/>
    <w:rsid w:val="00FE0D2B"/>
    <w:rsid w:val="00FF12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A740"/>
  <w15:docId w15:val="{A346BE99-1A4B-4968-B9A1-50D19CAF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778"/>
    <w:pPr>
      <w:tabs>
        <w:tab w:val="center" w:pos="4513"/>
        <w:tab w:val="right" w:pos="9026"/>
      </w:tabs>
      <w:snapToGrid w:val="0"/>
    </w:pPr>
  </w:style>
  <w:style w:type="character" w:customStyle="1" w:styleId="a4">
    <w:name w:val="页眉 字符"/>
    <w:basedOn w:val="a0"/>
    <w:link w:val="a3"/>
    <w:uiPriority w:val="99"/>
    <w:rsid w:val="007D0778"/>
  </w:style>
  <w:style w:type="paragraph" w:styleId="a5">
    <w:name w:val="footer"/>
    <w:basedOn w:val="a"/>
    <w:link w:val="a6"/>
    <w:uiPriority w:val="99"/>
    <w:unhideWhenUsed/>
    <w:rsid w:val="007D0778"/>
    <w:pPr>
      <w:tabs>
        <w:tab w:val="center" w:pos="4513"/>
        <w:tab w:val="right" w:pos="9026"/>
      </w:tabs>
      <w:snapToGrid w:val="0"/>
    </w:pPr>
  </w:style>
  <w:style w:type="character" w:customStyle="1" w:styleId="a6">
    <w:name w:val="页脚 字符"/>
    <w:basedOn w:val="a0"/>
    <w:link w:val="a5"/>
    <w:uiPriority w:val="99"/>
    <w:rsid w:val="007D0778"/>
  </w:style>
  <w:style w:type="table" w:styleId="a7">
    <w:name w:val="Table Grid"/>
    <w:basedOn w:val="a1"/>
    <w:rsid w:val="00A57F4B"/>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7"/>
    <w:rsid w:val="0033045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7"/>
    <w:rsid w:val="0033045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a1"/>
    <w:next w:val="a7"/>
    <w:rsid w:val="0033045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a1"/>
    <w:next w:val="a7"/>
    <w:rsid w:val="0033045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qFormat/>
    <w:rsid w:val="000C605E"/>
    <w:rPr>
      <w:sz w:val="21"/>
      <w:szCs w:val="21"/>
    </w:rPr>
  </w:style>
  <w:style w:type="paragraph" w:styleId="a9">
    <w:name w:val="annotation text"/>
    <w:basedOn w:val="a"/>
    <w:link w:val="aa"/>
    <w:uiPriority w:val="99"/>
    <w:unhideWhenUsed/>
    <w:qFormat/>
    <w:rsid w:val="000C605E"/>
    <w:pPr>
      <w:jc w:val="left"/>
    </w:pPr>
  </w:style>
  <w:style w:type="character" w:customStyle="1" w:styleId="aa">
    <w:name w:val="批注文字 字符"/>
    <w:basedOn w:val="a0"/>
    <w:link w:val="a9"/>
    <w:uiPriority w:val="99"/>
    <w:semiHidden/>
    <w:rsid w:val="000C605E"/>
  </w:style>
  <w:style w:type="paragraph" w:styleId="ab">
    <w:name w:val="annotation subject"/>
    <w:basedOn w:val="a9"/>
    <w:next w:val="a9"/>
    <w:link w:val="ac"/>
    <w:uiPriority w:val="99"/>
    <w:semiHidden/>
    <w:unhideWhenUsed/>
    <w:rsid w:val="000C605E"/>
    <w:rPr>
      <w:b/>
      <w:bCs/>
    </w:rPr>
  </w:style>
  <w:style w:type="character" w:customStyle="1" w:styleId="ac">
    <w:name w:val="批注主题 字符"/>
    <w:basedOn w:val="aa"/>
    <w:link w:val="ab"/>
    <w:uiPriority w:val="99"/>
    <w:semiHidden/>
    <w:rsid w:val="000C605E"/>
    <w:rPr>
      <w:b/>
      <w:bCs/>
    </w:rPr>
  </w:style>
  <w:style w:type="paragraph" w:styleId="ad">
    <w:name w:val="Balloon Text"/>
    <w:basedOn w:val="a"/>
    <w:link w:val="ae"/>
    <w:uiPriority w:val="99"/>
    <w:semiHidden/>
    <w:unhideWhenUsed/>
    <w:rsid w:val="000C605E"/>
    <w:pPr>
      <w:spacing w:after="0" w:line="240" w:lineRule="auto"/>
    </w:pPr>
    <w:rPr>
      <w:sz w:val="18"/>
      <w:szCs w:val="18"/>
    </w:rPr>
  </w:style>
  <w:style w:type="character" w:customStyle="1" w:styleId="ae">
    <w:name w:val="批注框文本 字符"/>
    <w:basedOn w:val="a0"/>
    <w:link w:val="ad"/>
    <w:uiPriority w:val="99"/>
    <w:semiHidden/>
    <w:rsid w:val="000C605E"/>
    <w:rPr>
      <w:sz w:val="18"/>
      <w:szCs w:val="18"/>
    </w:rPr>
  </w:style>
  <w:style w:type="character" w:customStyle="1" w:styleId="10">
    <w:name w:val="批注文字 字符1"/>
    <w:basedOn w:val="a0"/>
    <w:uiPriority w:val="99"/>
    <w:qFormat/>
    <w:rsid w:val="000C605E"/>
    <w:rPr>
      <w:rFonts w:ascii="Calibri" w:eastAsia="宋体" w:hAnsi="Calibri" w:cs="Times New Roman"/>
      <w:kern w:val="0"/>
      <w:sz w:val="22"/>
      <w:lang w:val="en-GB" w:eastAsia="en-US"/>
    </w:rPr>
  </w:style>
  <w:style w:type="character" w:styleId="af">
    <w:name w:val="Hyperlink"/>
    <w:basedOn w:val="a0"/>
    <w:uiPriority w:val="99"/>
    <w:unhideWhenUsed/>
    <w:rsid w:val="000C605E"/>
    <w:rPr>
      <w:color w:val="0563C1" w:themeColor="hyperlink"/>
      <w:u w:val="single"/>
    </w:rPr>
  </w:style>
  <w:style w:type="paragraph" w:customStyle="1" w:styleId="11">
    <w:name w:val="正文1"/>
    <w:uiPriority w:val="99"/>
    <w:rsid w:val="009C52DE"/>
    <w:pPr>
      <w:spacing w:after="0" w:line="276" w:lineRule="auto"/>
      <w:jc w:val="left"/>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26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iqon.com/ls/pages/exiqontmpredictiontool.aspx"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cid.org/0000-0002-5132-1774"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24A3-3D3A-4438-8594-DE1529EE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7751</Words>
  <Characters>44187</Characters>
  <Application>Microsoft Office Word</Application>
  <DocSecurity>0</DocSecurity>
  <Lines>368</Lines>
  <Paragraphs>103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dc:creator>
  <cp:keywords/>
  <dc:description/>
  <cp:lastModifiedBy>HP</cp:lastModifiedBy>
  <cp:revision>2</cp:revision>
  <dcterms:created xsi:type="dcterms:W3CDTF">2019-08-19T13:19:00Z</dcterms:created>
  <dcterms:modified xsi:type="dcterms:W3CDTF">2019-08-19T13:19:00Z</dcterms:modified>
</cp:coreProperties>
</file>