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DBEA3" w14:textId="77777777" w:rsidR="00220125" w:rsidRPr="0050120B" w:rsidRDefault="00220125" w:rsidP="00220125">
      <w:pPr>
        <w:widowControl/>
        <w:wordWrap/>
        <w:autoSpaceDE/>
        <w:autoSpaceDN/>
        <w:adjustRightInd w:val="0"/>
        <w:snapToGrid w:val="0"/>
        <w:spacing w:after="0" w:line="360" w:lineRule="auto"/>
        <w:rPr>
          <w:rFonts w:ascii="Book Antiqua" w:eastAsia="Times New Roman" w:hAnsi="Book Antiqua" w:cs="宋体"/>
          <w:i/>
          <w:color w:val="000000" w:themeColor="text1"/>
          <w:kern w:val="0"/>
          <w:sz w:val="24"/>
          <w:szCs w:val="24"/>
          <w:lang w:val="hu-HU" w:eastAsia="en-US"/>
        </w:rPr>
      </w:pPr>
      <w:r w:rsidRPr="0050120B">
        <w:rPr>
          <w:rFonts w:ascii="Book Antiqua" w:eastAsia="Times New Roman" w:hAnsi="Book Antiqua" w:cs="宋体"/>
          <w:b/>
          <w:color w:val="000000" w:themeColor="text1"/>
          <w:kern w:val="0"/>
          <w:sz w:val="24"/>
          <w:szCs w:val="24"/>
          <w:lang w:val="hu-HU" w:eastAsia="en-US"/>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50120B">
        <w:rPr>
          <w:rFonts w:ascii="Book Antiqua" w:eastAsia="Times New Roman" w:hAnsi="Book Antiqua" w:cs="宋体"/>
          <w:i/>
          <w:color w:val="000000" w:themeColor="text1"/>
          <w:kern w:val="0"/>
          <w:sz w:val="24"/>
          <w:szCs w:val="24"/>
          <w:lang w:val="hu-HU" w:eastAsia="en-US"/>
        </w:rPr>
        <w:t xml:space="preserve">World Journal of </w:t>
      </w:r>
      <w:bookmarkStart w:id="7" w:name="OLE_LINK1222"/>
      <w:bookmarkStart w:id="8" w:name="OLE_LINK1223"/>
      <w:r w:rsidRPr="0050120B">
        <w:rPr>
          <w:rFonts w:ascii="Book Antiqua" w:eastAsia="Times New Roman" w:hAnsi="Book Antiqua" w:cs="宋体"/>
          <w:i/>
          <w:color w:val="000000" w:themeColor="text1"/>
          <w:kern w:val="0"/>
          <w:sz w:val="24"/>
          <w:szCs w:val="24"/>
          <w:lang w:val="hu-HU" w:eastAsia="en-US"/>
        </w:rPr>
        <w:t>Gastroenterology</w:t>
      </w:r>
      <w:bookmarkEnd w:id="0"/>
      <w:bookmarkEnd w:id="1"/>
      <w:bookmarkEnd w:id="2"/>
      <w:bookmarkEnd w:id="3"/>
      <w:bookmarkEnd w:id="4"/>
      <w:bookmarkEnd w:id="5"/>
      <w:bookmarkEnd w:id="6"/>
      <w:bookmarkEnd w:id="7"/>
      <w:bookmarkEnd w:id="8"/>
    </w:p>
    <w:p w14:paraId="5BC7184E" w14:textId="0FFF5AC5" w:rsidR="00220125" w:rsidRPr="0050120B" w:rsidRDefault="00220125" w:rsidP="00220125">
      <w:pPr>
        <w:widowControl/>
        <w:wordWrap/>
        <w:autoSpaceDE/>
        <w:autoSpaceDN/>
        <w:adjustRightInd w:val="0"/>
        <w:snapToGrid w:val="0"/>
        <w:spacing w:after="0" w:line="360" w:lineRule="auto"/>
        <w:rPr>
          <w:rFonts w:ascii="Book Antiqua" w:eastAsia="宋体" w:hAnsi="Book Antiqua" w:cs="Arial"/>
          <w:color w:val="000000" w:themeColor="text1"/>
          <w:kern w:val="0"/>
          <w:sz w:val="24"/>
          <w:szCs w:val="24"/>
          <w:lang w:val="en" w:eastAsia="zh-CN"/>
        </w:rPr>
      </w:pPr>
      <w:r w:rsidRPr="0050120B">
        <w:rPr>
          <w:rFonts w:ascii="Book Antiqua" w:eastAsia="Times New Roman" w:hAnsi="Book Antiqua" w:cs="Times New Roman"/>
          <w:b/>
          <w:bCs/>
          <w:color w:val="000000" w:themeColor="text1"/>
          <w:kern w:val="0"/>
          <w:sz w:val="24"/>
          <w:szCs w:val="24"/>
          <w:lang w:val="hu-HU" w:eastAsia="en-US"/>
        </w:rPr>
        <w:t>Manuscript NO</w:t>
      </w:r>
      <w:r w:rsidRPr="0050120B">
        <w:rPr>
          <w:rFonts w:ascii="Book Antiqua" w:eastAsia="宋体" w:hAnsi="Book Antiqua" w:cs="Arial"/>
          <w:b/>
          <w:color w:val="000000" w:themeColor="text1"/>
          <w:kern w:val="0"/>
          <w:sz w:val="24"/>
          <w:szCs w:val="24"/>
          <w:lang w:val="en" w:eastAsia="en-US"/>
        </w:rPr>
        <w:t xml:space="preserve">: </w:t>
      </w:r>
      <w:r w:rsidRPr="0050120B">
        <w:rPr>
          <w:rFonts w:ascii="Book Antiqua" w:eastAsia="宋体" w:hAnsi="Book Antiqua" w:cs="Arial"/>
          <w:color w:val="000000" w:themeColor="text1"/>
          <w:kern w:val="0"/>
          <w:sz w:val="24"/>
          <w:szCs w:val="24"/>
          <w:lang w:val="en" w:eastAsia="zh-CN"/>
        </w:rPr>
        <w:t>49977</w:t>
      </w:r>
    </w:p>
    <w:p w14:paraId="7FFC3ECD" w14:textId="3D62149C" w:rsidR="00220125" w:rsidRPr="0050120B" w:rsidRDefault="00220125" w:rsidP="00220125">
      <w:pPr>
        <w:widowControl/>
        <w:wordWrap/>
        <w:autoSpaceDE/>
        <w:autoSpaceDN/>
        <w:adjustRightInd w:val="0"/>
        <w:snapToGrid w:val="0"/>
        <w:spacing w:after="0" w:line="360" w:lineRule="auto"/>
        <w:rPr>
          <w:rFonts w:ascii="Book Antiqua" w:eastAsia="宋体" w:hAnsi="Book Antiqua" w:cs="Times New Roman"/>
          <w:i/>
          <w:color w:val="000000" w:themeColor="text1"/>
          <w:kern w:val="0"/>
          <w:sz w:val="24"/>
          <w:szCs w:val="24"/>
          <w:lang w:val="hu-HU" w:eastAsia="en-US"/>
        </w:rPr>
      </w:pPr>
      <w:bookmarkStart w:id="9" w:name="OLE_LINK3"/>
      <w:bookmarkStart w:id="10" w:name="OLE_LINK4"/>
      <w:r w:rsidRPr="0050120B">
        <w:rPr>
          <w:rFonts w:ascii="Book Antiqua" w:eastAsia="宋体" w:hAnsi="Book Antiqua" w:cs="Times New Roman"/>
          <w:b/>
          <w:color w:val="000000" w:themeColor="text1"/>
          <w:kern w:val="0"/>
          <w:sz w:val="24"/>
          <w:szCs w:val="24"/>
          <w:shd w:val="clear" w:color="auto" w:fill="FFFFFF"/>
          <w:lang w:val="hu-HU" w:eastAsia="en-US"/>
        </w:rPr>
        <w:t>Manuscript Type</w:t>
      </w:r>
      <w:r w:rsidRPr="0050120B">
        <w:rPr>
          <w:rFonts w:ascii="Book Antiqua" w:eastAsia="宋体" w:hAnsi="Book Antiqua" w:cs="Times New Roman"/>
          <w:b/>
          <w:color w:val="000000" w:themeColor="text1"/>
          <w:kern w:val="0"/>
          <w:sz w:val="24"/>
          <w:szCs w:val="24"/>
          <w:lang w:val="hu-HU" w:eastAsia="en-US"/>
        </w:rPr>
        <w:t xml:space="preserve">: </w:t>
      </w:r>
      <w:bookmarkEnd w:id="9"/>
      <w:bookmarkEnd w:id="10"/>
      <w:r w:rsidRPr="0050120B">
        <w:rPr>
          <w:rFonts w:ascii="Book Antiqua" w:eastAsia="宋体" w:hAnsi="Book Antiqua" w:cs="Times New Roman"/>
          <w:bCs/>
          <w:color w:val="000000" w:themeColor="text1"/>
          <w:kern w:val="0"/>
          <w:sz w:val="24"/>
          <w:szCs w:val="24"/>
          <w:lang w:val="hu-HU" w:eastAsia="en-US"/>
        </w:rPr>
        <w:t>ORIGINAL ARTICLE</w:t>
      </w:r>
    </w:p>
    <w:p w14:paraId="1FB9C90F" w14:textId="77777777" w:rsidR="0075341C" w:rsidRPr="0050120B" w:rsidRDefault="0075341C" w:rsidP="0075341C">
      <w:pPr>
        <w:wordWrap/>
        <w:spacing w:after="0" w:line="360" w:lineRule="auto"/>
        <w:rPr>
          <w:rFonts w:ascii="Book Antiqua" w:hAnsi="Book Antiqua" w:cs="Times New Roman"/>
          <w:color w:val="000000" w:themeColor="text1"/>
          <w:sz w:val="24"/>
          <w:szCs w:val="24"/>
          <w:lang w:val="hu-HU"/>
        </w:rPr>
      </w:pPr>
    </w:p>
    <w:p w14:paraId="341B2AC0" w14:textId="775642A5" w:rsidR="0075341C" w:rsidRPr="0050120B" w:rsidRDefault="00220125" w:rsidP="0075341C">
      <w:pPr>
        <w:wordWrap/>
        <w:spacing w:after="0" w:line="360" w:lineRule="auto"/>
        <w:rPr>
          <w:rFonts w:ascii="Book Antiqua" w:hAnsi="Book Antiqua" w:cs="Times New Roman"/>
          <w:b/>
          <w:bCs/>
          <w:i/>
          <w:iCs/>
          <w:color w:val="000000" w:themeColor="text1"/>
          <w:sz w:val="24"/>
          <w:szCs w:val="24"/>
        </w:rPr>
      </w:pPr>
      <w:r w:rsidRPr="0050120B">
        <w:rPr>
          <w:rFonts w:ascii="Book Antiqua" w:eastAsia="华文细黑" w:hAnsi="Book Antiqua" w:cs="Tahoma"/>
          <w:b/>
          <w:bCs/>
          <w:i/>
          <w:iCs/>
          <w:color w:val="000000" w:themeColor="text1"/>
          <w:kern w:val="0"/>
          <w:sz w:val="24"/>
          <w:szCs w:val="24"/>
          <w:lang w:val="hu-HU" w:eastAsia="en-US"/>
        </w:rPr>
        <w:t>Basic Study</w:t>
      </w:r>
    </w:p>
    <w:p w14:paraId="6B993889" w14:textId="6A566519" w:rsidR="003565F9" w:rsidRPr="0050120B" w:rsidRDefault="006F5DEE" w:rsidP="0075341C">
      <w:pPr>
        <w:wordWrap/>
        <w:spacing w:after="0" w:line="360" w:lineRule="auto"/>
        <w:rPr>
          <w:rFonts w:ascii="Book Antiqua" w:hAnsi="Book Antiqua" w:cs="Times New Roman"/>
          <w:b/>
          <w:bCs/>
          <w:color w:val="000000" w:themeColor="text1"/>
          <w:sz w:val="24"/>
          <w:szCs w:val="24"/>
        </w:rPr>
      </w:pPr>
      <w:bookmarkStart w:id="11" w:name="OLE_LINK15"/>
      <w:r w:rsidRPr="0050120B">
        <w:rPr>
          <w:rFonts w:ascii="Book Antiqua" w:hAnsi="Book Antiqua" w:cs="Times New Roman"/>
          <w:b/>
          <w:bCs/>
          <w:color w:val="000000" w:themeColor="text1"/>
          <w:sz w:val="24"/>
          <w:szCs w:val="24"/>
        </w:rPr>
        <w:t xml:space="preserve">Superior gallstone dissolubility and safety of tert-amyl ethyl ether over methyl-tertiary butyl ether </w:t>
      </w:r>
    </w:p>
    <w:bookmarkEnd w:id="11"/>
    <w:p w14:paraId="51C1889F" w14:textId="77777777" w:rsidR="003565F9" w:rsidRPr="0050120B" w:rsidRDefault="003565F9" w:rsidP="0075341C">
      <w:pPr>
        <w:wordWrap/>
        <w:spacing w:after="0" w:line="360" w:lineRule="auto"/>
        <w:rPr>
          <w:rFonts w:ascii="Book Antiqua" w:hAnsi="Book Antiqua" w:cs="Times New Roman"/>
          <w:color w:val="000000" w:themeColor="text1"/>
          <w:sz w:val="24"/>
          <w:szCs w:val="24"/>
        </w:rPr>
      </w:pPr>
    </w:p>
    <w:p w14:paraId="08A31169" w14:textId="10EB61F8" w:rsidR="003565F9" w:rsidRPr="0050120B" w:rsidRDefault="003A2422" w:rsidP="0075341C">
      <w:pPr>
        <w:wordWrap/>
        <w:adjustRightInd w:val="0"/>
        <w:spacing w:after="0" w:line="360" w:lineRule="auto"/>
        <w:outlineLvl w:val="0"/>
        <w:rPr>
          <w:rFonts w:ascii="Book Antiqua" w:eastAsia="Malgun Gothic" w:hAnsi="Book Antiqua" w:cs="Times New Roman"/>
          <w:color w:val="000000" w:themeColor="text1"/>
          <w:kern w:val="0"/>
          <w:sz w:val="24"/>
          <w:szCs w:val="24"/>
        </w:rPr>
      </w:pPr>
      <w:r w:rsidRPr="0050120B">
        <w:rPr>
          <w:rFonts w:ascii="Book Antiqua" w:eastAsia="Malgun Gothic" w:hAnsi="Book Antiqua" w:cs="Times New Roman"/>
          <w:color w:val="000000" w:themeColor="text1"/>
          <w:sz w:val="24"/>
          <w:szCs w:val="24"/>
        </w:rPr>
        <w:t>You</w:t>
      </w:r>
      <w:r w:rsidRPr="0050120B">
        <w:rPr>
          <w:rFonts w:ascii="Book Antiqua" w:eastAsia="Malgun Gothic" w:hAnsi="Book Antiqua" w:cs="Times New Roman"/>
          <w:color w:val="000000" w:themeColor="text1"/>
          <w:kern w:val="0"/>
          <w:sz w:val="24"/>
          <w:szCs w:val="24"/>
        </w:rPr>
        <w:t xml:space="preserve"> DD </w:t>
      </w:r>
      <w:r w:rsidRPr="0050120B">
        <w:rPr>
          <w:rFonts w:ascii="Book Antiqua" w:eastAsia="Malgun Gothic" w:hAnsi="Book Antiqua" w:cs="Times New Roman"/>
          <w:i/>
          <w:iCs/>
          <w:color w:val="000000" w:themeColor="text1"/>
          <w:kern w:val="0"/>
          <w:sz w:val="24"/>
          <w:szCs w:val="24"/>
        </w:rPr>
        <w:t>et al</w:t>
      </w:r>
      <w:r w:rsidRPr="0050120B">
        <w:rPr>
          <w:rFonts w:ascii="Book Antiqua" w:eastAsia="Malgun Gothic" w:hAnsi="Book Antiqua" w:cs="Times New Roman"/>
          <w:color w:val="000000" w:themeColor="text1"/>
          <w:kern w:val="0"/>
          <w:sz w:val="24"/>
          <w:szCs w:val="24"/>
        </w:rPr>
        <w:t xml:space="preserve">. </w:t>
      </w:r>
      <w:bookmarkStart w:id="12" w:name="OLE_LINK17"/>
      <w:r w:rsidR="003565F9" w:rsidRPr="0050120B">
        <w:rPr>
          <w:rFonts w:ascii="Book Antiqua" w:eastAsia="Malgun Gothic" w:hAnsi="Book Antiqua" w:cs="Times New Roman"/>
          <w:color w:val="000000" w:themeColor="text1"/>
          <w:kern w:val="0"/>
          <w:sz w:val="24"/>
          <w:szCs w:val="24"/>
        </w:rPr>
        <w:t>Contact litholysis by TAEE</w:t>
      </w:r>
      <w:bookmarkEnd w:id="12"/>
    </w:p>
    <w:p w14:paraId="72DF8DDB" w14:textId="77777777" w:rsidR="003565F9" w:rsidRPr="0050120B" w:rsidRDefault="003565F9" w:rsidP="0075341C">
      <w:pPr>
        <w:wordWrap/>
        <w:snapToGrid w:val="0"/>
        <w:spacing w:after="0" w:line="360" w:lineRule="auto"/>
        <w:rPr>
          <w:rFonts w:ascii="Book Antiqua" w:eastAsia="Malgun Gothic" w:hAnsi="Book Antiqua" w:cs="Times New Roman"/>
          <w:b/>
          <w:color w:val="000000" w:themeColor="text1"/>
          <w:sz w:val="24"/>
          <w:szCs w:val="24"/>
        </w:rPr>
      </w:pPr>
    </w:p>
    <w:p w14:paraId="05520AEA" w14:textId="7DF92C13" w:rsidR="003565F9" w:rsidRPr="0050120B" w:rsidRDefault="003565F9" w:rsidP="0075341C">
      <w:pPr>
        <w:wordWrap/>
        <w:snapToGrid w:val="0"/>
        <w:spacing w:after="0" w:line="360" w:lineRule="auto"/>
        <w:rPr>
          <w:rFonts w:ascii="Book Antiqua" w:eastAsia="Malgun Gothic" w:hAnsi="Book Antiqua" w:cs="Times New Roman"/>
          <w:color w:val="000000" w:themeColor="text1"/>
          <w:sz w:val="24"/>
          <w:szCs w:val="24"/>
        </w:rPr>
      </w:pPr>
      <w:r w:rsidRPr="0050120B">
        <w:rPr>
          <w:rFonts w:ascii="Book Antiqua" w:eastAsia="Malgun Gothic" w:hAnsi="Book Antiqua" w:cs="Times New Roman"/>
          <w:color w:val="000000" w:themeColor="text1"/>
          <w:sz w:val="24"/>
          <w:szCs w:val="24"/>
        </w:rPr>
        <w:t>Dong Do You,</w:t>
      </w:r>
      <w:r w:rsidRPr="0050120B">
        <w:rPr>
          <w:rFonts w:ascii="Book Antiqua" w:eastAsia="Malgun Gothic" w:hAnsi="Book Antiqua" w:cs="Times New Roman"/>
          <w:color w:val="000000" w:themeColor="text1"/>
          <w:sz w:val="24"/>
          <w:szCs w:val="24"/>
          <w:vertAlign w:val="superscript"/>
        </w:rPr>
        <w:t xml:space="preserve"> </w:t>
      </w:r>
      <w:r w:rsidRPr="0050120B">
        <w:rPr>
          <w:rFonts w:ascii="Book Antiqua" w:eastAsia="Malgun Gothic" w:hAnsi="Book Antiqua" w:cs="Times New Roman"/>
          <w:color w:val="000000" w:themeColor="text1"/>
          <w:sz w:val="24"/>
          <w:szCs w:val="24"/>
        </w:rPr>
        <w:t>Suk Joon Cho,</w:t>
      </w:r>
      <w:r w:rsidRPr="0050120B">
        <w:rPr>
          <w:rFonts w:ascii="Book Antiqua" w:eastAsia="Malgun Gothic" w:hAnsi="Book Antiqua" w:cs="Times New Roman"/>
          <w:color w:val="000000" w:themeColor="text1"/>
          <w:sz w:val="24"/>
          <w:szCs w:val="24"/>
          <w:vertAlign w:val="superscript"/>
        </w:rPr>
        <w:t xml:space="preserve"> </w:t>
      </w:r>
      <w:r w:rsidRPr="0050120B">
        <w:rPr>
          <w:rFonts w:ascii="Book Antiqua" w:eastAsia="Malgun Gothic" w:hAnsi="Book Antiqua" w:cs="Times New Roman"/>
          <w:color w:val="000000" w:themeColor="text1"/>
          <w:sz w:val="24"/>
          <w:szCs w:val="24"/>
        </w:rPr>
        <w:t>Ok-Hee Kim, Jin Sook Song, Kyu-Seok Hwang, Sang Chul Lee, Kee-Hwan Kim,</w:t>
      </w:r>
      <w:r w:rsidRPr="0050120B">
        <w:rPr>
          <w:rFonts w:ascii="Book Antiqua" w:eastAsia="Malgun Gothic" w:hAnsi="Book Antiqua" w:cs="Times New Roman"/>
          <w:color w:val="000000" w:themeColor="text1"/>
          <w:sz w:val="24"/>
          <w:szCs w:val="24"/>
          <w:vertAlign w:val="superscript"/>
        </w:rPr>
        <w:t xml:space="preserve"> </w:t>
      </w:r>
      <w:r w:rsidRPr="0050120B">
        <w:rPr>
          <w:rFonts w:ascii="Book Antiqua" w:eastAsia="Malgun Gothic" w:hAnsi="Book Antiqua" w:cs="Times New Roman"/>
          <w:color w:val="000000" w:themeColor="text1"/>
          <w:sz w:val="24"/>
          <w:szCs w:val="24"/>
        </w:rPr>
        <w:t>Ho Joong Choi, Ha-Eun Hong, Haeyeon Seo, Tae Ho Hong, Jung Hyun Park, Tae Yoon Lee, Joseph Ahn, Jae-Kyung Jung,</w:t>
      </w:r>
      <w:r w:rsidRPr="0050120B">
        <w:rPr>
          <w:rFonts w:ascii="Book Antiqua" w:eastAsia="Malgun Gothic" w:hAnsi="Book Antiqua" w:cs="Times New Roman"/>
          <w:color w:val="000000" w:themeColor="text1"/>
          <w:sz w:val="24"/>
          <w:szCs w:val="24"/>
          <w:vertAlign w:val="superscript"/>
        </w:rPr>
        <w:t xml:space="preserve"> </w:t>
      </w:r>
      <w:r w:rsidRPr="0050120B">
        <w:rPr>
          <w:rFonts w:ascii="Book Antiqua" w:eastAsia="Malgun Gothic" w:hAnsi="Book Antiqua" w:cs="Times New Roman"/>
          <w:color w:val="000000" w:themeColor="text1"/>
          <w:sz w:val="24"/>
          <w:szCs w:val="24"/>
        </w:rPr>
        <w:t>Kwan-Young Jung, Say-June Kim</w:t>
      </w:r>
    </w:p>
    <w:p w14:paraId="37796C54" w14:textId="77777777" w:rsidR="003565F9" w:rsidRPr="0050120B" w:rsidRDefault="003565F9" w:rsidP="0075341C">
      <w:pPr>
        <w:wordWrap/>
        <w:snapToGrid w:val="0"/>
        <w:spacing w:after="0" w:line="360" w:lineRule="auto"/>
        <w:rPr>
          <w:rFonts w:ascii="Book Antiqua" w:eastAsia="Malgun Gothic" w:hAnsi="Book Antiqua" w:cs="Times New Roman"/>
          <w:b/>
          <w:color w:val="000000" w:themeColor="text1"/>
          <w:sz w:val="24"/>
          <w:szCs w:val="24"/>
        </w:rPr>
      </w:pPr>
    </w:p>
    <w:p w14:paraId="5FF89BAA" w14:textId="23E1D629" w:rsidR="00337D32" w:rsidRPr="0050120B" w:rsidRDefault="00411C91" w:rsidP="0075341C">
      <w:pPr>
        <w:widowControl/>
        <w:wordWrap/>
        <w:autoSpaceDE/>
        <w:autoSpaceDN/>
        <w:spacing w:after="0" w:line="360" w:lineRule="auto"/>
        <w:rPr>
          <w:rFonts w:ascii="Book Antiqua" w:hAnsi="Book Antiqua" w:cs="Times New Roman"/>
          <w:color w:val="000000" w:themeColor="text1"/>
          <w:sz w:val="24"/>
          <w:szCs w:val="24"/>
        </w:rPr>
      </w:pPr>
      <w:r w:rsidRPr="0050120B">
        <w:rPr>
          <w:rFonts w:ascii="Book Antiqua" w:eastAsia="Malgun Gothic" w:hAnsi="Book Antiqua" w:cs="Times New Roman"/>
          <w:b/>
          <w:bCs/>
          <w:color w:val="000000" w:themeColor="text1"/>
          <w:sz w:val="24"/>
          <w:szCs w:val="24"/>
        </w:rPr>
        <w:t>Dong Do You,</w:t>
      </w:r>
      <w:r w:rsidR="002867BB" w:rsidRPr="0050120B">
        <w:rPr>
          <w:rFonts w:ascii="Book Antiqua" w:eastAsia="Malgun Gothic" w:hAnsi="Book Antiqua" w:cs="Times New Roman"/>
          <w:b/>
          <w:bCs/>
          <w:color w:val="000000" w:themeColor="text1"/>
          <w:sz w:val="24"/>
          <w:szCs w:val="24"/>
        </w:rPr>
        <w:t xml:space="preserve"> </w:t>
      </w:r>
      <w:r w:rsidR="00337D32" w:rsidRPr="0050120B">
        <w:rPr>
          <w:rFonts w:ascii="Book Antiqua" w:hAnsi="Book Antiqua" w:cs="Times New Roman"/>
          <w:color w:val="000000" w:themeColor="text1"/>
          <w:sz w:val="24"/>
          <w:szCs w:val="24"/>
        </w:rPr>
        <w:t xml:space="preserve">Department of Surgery, St. Vincent's Hospital, College of Medicine, The Catholic University of Korea, Seoul 16247, </w:t>
      </w:r>
      <w:r w:rsidR="002867BB" w:rsidRPr="0050120B">
        <w:rPr>
          <w:rFonts w:ascii="Book Antiqua" w:hAnsi="Book Antiqua" w:cs="Times New Roman"/>
          <w:color w:val="000000" w:themeColor="text1"/>
          <w:sz w:val="24"/>
          <w:szCs w:val="24"/>
        </w:rPr>
        <w:t xml:space="preserve">South </w:t>
      </w:r>
      <w:r w:rsidR="00337D32" w:rsidRPr="0050120B">
        <w:rPr>
          <w:rFonts w:ascii="Book Antiqua" w:hAnsi="Book Antiqua" w:cs="Times New Roman"/>
          <w:color w:val="000000" w:themeColor="text1"/>
          <w:sz w:val="24"/>
          <w:szCs w:val="24"/>
        </w:rPr>
        <w:t>Korea</w:t>
      </w:r>
    </w:p>
    <w:p w14:paraId="1E742C80" w14:textId="77777777" w:rsidR="00411C91" w:rsidRPr="0050120B" w:rsidRDefault="00411C91" w:rsidP="0075341C">
      <w:pPr>
        <w:widowControl/>
        <w:wordWrap/>
        <w:autoSpaceDE/>
        <w:autoSpaceDN/>
        <w:spacing w:after="0" w:line="360" w:lineRule="auto"/>
        <w:rPr>
          <w:rFonts w:ascii="Book Antiqua" w:hAnsi="Book Antiqua" w:cs="Times New Roman"/>
          <w:color w:val="000000" w:themeColor="text1"/>
          <w:sz w:val="24"/>
          <w:szCs w:val="24"/>
        </w:rPr>
      </w:pPr>
    </w:p>
    <w:p w14:paraId="34E837E4" w14:textId="1E424412" w:rsidR="00337D32" w:rsidRPr="0050120B" w:rsidRDefault="00411C91" w:rsidP="0075341C">
      <w:pPr>
        <w:widowControl/>
        <w:wordWrap/>
        <w:autoSpaceDE/>
        <w:autoSpaceDN/>
        <w:spacing w:after="0" w:line="360" w:lineRule="auto"/>
        <w:rPr>
          <w:rFonts w:ascii="Book Antiqua" w:hAnsi="Book Antiqua" w:cs="Times New Roman"/>
          <w:color w:val="000000" w:themeColor="text1"/>
          <w:sz w:val="24"/>
          <w:szCs w:val="24"/>
        </w:rPr>
      </w:pPr>
      <w:r w:rsidRPr="0050120B">
        <w:rPr>
          <w:rFonts w:ascii="Book Antiqua" w:eastAsia="Malgun Gothic" w:hAnsi="Book Antiqua" w:cs="Times New Roman"/>
          <w:b/>
          <w:bCs/>
          <w:color w:val="000000" w:themeColor="text1"/>
          <w:sz w:val="24"/>
          <w:szCs w:val="24"/>
        </w:rPr>
        <w:t>Suk Joon Cho,</w:t>
      </w:r>
      <w:r w:rsidRPr="0050120B">
        <w:rPr>
          <w:rFonts w:ascii="Book Antiqua" w:eastAsia="Malgun Gothic" w:hAnsi="Book Antiqua" w:cs="Times New Roman"/>
          <w:b/>
          <w:bCs/>
          <w:color w:val="000000" w:themeColor="text1"/>
          <w:sz w:val="24"/>
          <w:szCs w:val="24"/>
          <w:vertAlign w:val="superscript"/>
        </w:rPr>
        <w:t xml:space="preserve"> </w:t>
      </w:r>
      <w:r w:rsidRPr="0050120B">
        <w:rPr>
          <w:rFonts w:ascii="Book Antiqua" w:eastAsia="Malgun Gothic" w:hAnsi="Book Antiqua" w:cs="Times New Roman"/>
          <w:b/>
          <w:bCs/>
          <w:color w:val="000000" w:themeColor="text1"/>
          <w:sz w:val="24"/>
          <w:szCs w:val="24"/>
        </w:rPr>
        <w:t>Jae-Kyung Jung,</w:t>
      </w:r>
      <w:r w:rsidR="002867BB" w:rsidRPr="0050120B">
        <w:rPr>
          <w:rFonts w:ascii="Book Antiqua" w:eastAsia="Malgun Gothic" w:hAnsi="Book Antiqua" w:cs="Times New Roman"/>
          <w:b/>
          <w:bCs/>
          <w:color w:val="000000" w:themeColor="text1"/>
          <w:sz w:val="24"/>
          <w:szCs w:val="24"/>
        </w:rPr>
        <w:t xml:space="preserve"> </w:t>
      </w:r>
      <w:r w:rsidR="00337D32" w:rsidRPr="0050120B">
        <w:rPr>
          <w:rFonts w:ascii="Book Antiqua" w:hAnsi="Book Antiqua" w:cs="Times New Roman"/>
          <w:color w:val="000000" w:themeColor="text1"/>
          <w:sz w:val="24"/>
          <w:szCs w:val="24"/>
        </w:rPr>
        <w:t xml:space="preserve">College of Pharmacy, Chungbuk National University, Cheongju 28644, </w:t>
      </w:r>
      <w:r w:rsidR="002867BB" w:rsidRPr="0050120B">
        <w:rPr>
          <w:rFonts w:ascii="Book Antiqua" w:hAnsi="Book Antiqua" w:cs="Times New Roman"/>
          <w:color w:val="000000" w:themeColor="text1"/>
          <w:sz w:val="24"/>
          <w:szCs w:val="24"/>
        </w:rPr>
        <w:t>South Korea</w:t>
      </w:r>
    </w:p>
    <w:p w14:paraId="2052B681" w14:textId="77777777" w:rsidR="00411C91" w:rsidRPr="0050120B" w:rsidRDefault="00411C91" w:rsidP="0075341C">
      <w:pPr>
        <w:widowControl/>
        <w:wordWrap/>
        <w:autoSpaceDE/>
        <w:autoSpaceDN/>
        <w:spacing w:after="0" w:line="360" w:lineRule="auto"/>
        <w:rPr>
          <w:rFonts w:ascii="Book Antiqua" w:hAnsi="Book Antiqua" w:cs="Times New Roman"/>
          <w:color w:val="000000" w:themeColor="text1"/>
          <w:sz w:val="24"/>
          <w:szCs w:val="24"/>
        </w:rPr>
      </w:pPr>
    </w:p>
    <w:p w14:paraId="7593C4E6" w14:textId="2D724339" w:rsidR="00337D32" w:rsidRPr="0050120B" w:rsidRDefault="00411C91" w:rsidP="0075341C">
      <w:pPr>
        <w:widowControl/>
        <w:wordWrap/>
        <w:autoSpaceDE/>
        <w:autoSpaceDN/>
        <w:spacing w:after="0" w:line="360" w:lineRule="auto"/>
        <w:rPr>
          <w:rFonts w:ascii="Book Antiqua" w:hAnsi="Book Antiqua" w:cs="Times New Roman"/>
          <w:color w:val="000000" w:themeColor="text1"/>
          <w:sz w:val="24"/>
          <w:szCs w:val="24"/>
        </w:rPr>
      </w:pPr>
      <w:r w:rsidRPr="0050120B">
        <w:rPr>
          <w:rFonts w:ascii="Book Antiqua" w:eastAsia="Malgun Gothic" w:hAnsi="Book Antiqua" w:cs="Times New Roman"/>
          <w:b/>
          <w:bCs/>
          <w:color w:val="000000" w:themeColor="text1"/>
          <w:sz w:val="24"/>
          <w:szCs w:val="24"/>
        </w:rPr>
        <w:t>Ok-Hee Kim, Ho Joong Choi, Tae Ho Hong, Tae Yoon Lee, Joseph Ahn, Say-June Kim</w:t>
      </w:r>
      <w:r w:rsidR="002867BB" w:rsidRPr="0050120B">
        <w:rPr>
          <w:rFonts w:ascii="Book Antiqua" w:eastAsia="Malgun Gothic" w:hAnsi="Book Antiqua" w:cs="Times New Roman"/>
          <w:b/>
          <w:bCs/>
          <w:color w:val="000000" w:themeColor="text1"/>
          <w:sz w:val="24"/>
          <w:szCs w:val="24"/>
        </w:rPr>
        <w:t xml:space="preserve">, </w:t>
      </w:r>
      <w:r w:rsidR="00337D32" w:rsidRPr="0050120B">
        <w:rPr>
          <w:rFonts w:ascii="Book Antiqua" w:hAnsi="Book Antiqua" w:cs="Times New Roman"/>
          <w:color w:val="000000" w:themeColor="text1"/>
          <w:sz w:val="24"/>
          <w:szCs w:val="24"/>
        </w:rPr>
        <w:t>Department of Surgery, Seoul St. Mary’s Hospital, College of Medicine, the Catholic University of Korea, Seoul 06591</w:t>
      </w:r>
      <w:r w:rsidR="002867BB" w:rsidRPr="0050120B">
        <w:rPr>
          <w:rFonts w:ascii="Book Antiqua" w:hAnsi="Book Antiqua" w:cs="Times New Roman"/>
          <w:color w:val="000000" w:themeColor="text1"/>
          <w:sz w:val="24"/>
          <w:szCs w:val="24"/>
        </w:rPr>
        <w:t>,</w:t>
      </w:r>
      <w:r w:rsidR="00337D32" w:rsidRPr="0050120B">
        <w:rPr>
          <w:rFonts w:ascii="Book Antiqua" w:hAnsi="Book Antiqua" w:cs="Times New Roman"/>
          <w:color w:val="000000" w:themeColor="text1"/>
          <w:sz w:val="24"/>
          <w:szCs w:val="24"/>
        </w:rPr>
        <w:t xml:space="preserve"> </w:t>
      </w:r>
      <w:r w:rsidR="002867BB" w:rsidRPr="0050120B">
        <w:rPr>
          <w:rFonts w:ascii="Book Antiqua" w:hAnsi="Book Antiqua" w:cs="Times New Roman"/>
          <w:color w:val="000000" w:themeColor="text1"/>
          <w:sz w:val="24"/>
          <w:szCs w:val="24"/>
        </w:rPr>
        <w:t>South Korea</w:t>
      </w:r>
    </w:p>
    <w:p w14:paraId="74CC3770" w14:textId="77777777" w:rsidR="00411C91" w:rsidRPr="0050120B" w:rsidRDefault="00411C91" w:rsidP="0075341C">
      <w:pPr>
        <w:widowControl/>
        <w:wordWrap/>
        <w:autoSpaceDE/>
        <w:autoSpaceDN/>
        <w:spacing w:after="0" w:line="360" w:lineRule="auto"/>
        <w:rPr>
          <w:rFonts w:ascii="Book Antiqua" w:hAnsi="Book Antiqua" w:cs="Times New Roman"/>
          <w:color w:val="000000" w:themeColor="text1"/>
          <w:sz w:val="24"/>
          <w:szCs w:val="24"/>
        </w:rPr>
      </w:pPr>
    </w:p>
    <w:p w14:paraId="2B804696" w14:textId="65085030" w:rsidR="00337D32" w:rsidRPr="0050120B" w:rsidRDefault="00411C91" w:rsidP="0075341C">
      <w:pPr>
        <w:widowControl/>
        <w:wordWrap/>
        <w:autoSpaceDE/>
        <w:autoSpaceDN/>
        <w:spacing w:after="0" w:line="360" w:lineRule="auto"/>
        <w:rPr>
          <w:rFonts w:ascii="Book Antiqua" w:hAnsi="Book Antiqua" w:cs="Times New Roman"/>
          <w:color w:val="000000" w:themeColor="text1"/>
          <w:sz w:val="24"/>
          <w:szCs w:val="24"/>
        </w:rPr>
      </w:pPr>
      <w:r w:rsidRPr="0050120B">
        <w:rPr>
          <w:rFonts w:ascii="Book Antiqua" w:eastAsia="Malgun Gothic" w:hAnsi="Book Antiqua" w:cs="Times New Roman"/>
          <w:b/>
          <w:bCs/>
          <w:color w:val="000000" w:themeColor="text1"/>
          <w:sz w:val="24"/>
          <w:szCs w:val="24"/>
        </w:rPr>
        <w:t>Ok-Hee Kim, Ha-Eun Hong, Haeyeon Seo, Say-June Kim</w:t>
      </w:r>
      <w:r w:rsidR="00CE0AA1" w:rsidRPr="0050120B">
        <w:rPr>
          <w:rFonts w:ascii="Book Antiqua" w:eastAsia="Malgun Gothic" w:hAnsi="Book Antiqua" w:cs="Times New Roman"/>
          <w:b/>
          <w:bCs/>
          <w:color w:val="000000" w:themeColor="text1"/>
          <w:sz w:val="24"/>
          <w:szCs w:val="24"/>
        </w:rPr>
        <w:t xml:space="preserve">, </w:t>
      </w:r>
      <w:r w:rsidR="00337D32" w:rsidRPr="0050120B">
        <w:rPr>
          <w:rFonts w:ascii="Book Antiqua" w:hAnsi="Book Antiqua" w:cs="Times New Roman"/>
          <w:color w:val="000000" w:themeColor="text1"/>
          <w:sz w:val="24"/>
          <w:szCs w:val="24"/>
        </w:rPr>
        <w:t xml:space="preserve">Catholic Central Laboratory of Surgery, Institute of Biomedical Industry, College of Medicine, the Catholic University of Korea, Seoul 06591, </w:t>
      </w:r>
      <w:r w:rsidR="0054019E" w:rsidRPr="0050120B">
        <w:rPr>
          <w:rFonts w:ascii="Book Antiqua" w:hAnsi="Book Antiqua" w:cs="Times New Roman"/>
          <w:color w:val="000000" w:themeColor="text1"/>
          <w:sz w:val="24"/>
          <w:szCs w:val="24"/>
        </w:rPr>
        <w:t>South Korea</w:t>
      </w:r>
    </w:p>
    <w:p w14:paraId="2262B827" w14:textId="77777777" w:rsidR="00411C91" w:rsidRPr="0050120B" w:rsidRDefault="00411C91" w:rsidP="0075341C">
      <w:pPr>
        <w:widowControl/>
        <w:wordWrap/>
        <w:autoSpaceDE/>
        <w:autoSpaceDN/>
        <w:spacing w:after="0" w:line="360" w:lineRule="auto"/>
        <w:rPr>
          <w:rFonts w:ascii="Book Antiqua" w:hAnsi="Book Antiqua" w:cs="Times New Roman"/>
          <w:color w:val="000000" w:themeColor="text1"/>
          <w:sz w:val="24"/>
          <w:szCs w:val="24"/>
        </w:rPr>
      </w:pPr>
    </w:p>
    <w:p w14:paraId="610B60B6" w14:textId="5BE1CB42" w:rsidR="00411C91" w:rsidRPr="0050120B" w:rsidRDefault="00411C91" w:rsidP="0075341C">
      <w:pPr>
        <w:widowControl/>
        <w:wordWrap/>
        <w:autoSpaceDE/>
        <w:autoSpaceDN/>
        <w:spacing w:after="0" w:line="360" w:lineRule="auto"/>
        <w:rPr>
          <w:rFonts w:ascii="Book Antiqua" w:hAnsi="Book Antiqua" w:cs="Times New Roman"/>
          <w:color w:val="000000" w:themeColor="text1"/>
          <w:sz w:val="24"/>
          <w:szCs w:val="24"/>
        </w:rPr>
      </w:pPr>
      <w:r w:rsidRPr="0050120B">
        <w:rPr>
          <w:rFonts w:ascii="Book Antiqua" w:eastAsia="Malgun Gothic" w:hAnsi="Book Antiqua" w:cs="Times New Roman"/>
          <w:b/>
          <w:bCs/>
          <w:color w:val="000000" w:themeColor="text1"/>
          <w:sz w:val="24"/>
          <w:szCs w:val="24"/>
        </w:rPr>
        <w:lastRenderedPageBreak/>
        <w:t>Jin Sook Song, Kyu-Seok Hwang, Kwan-Young Jung,</w:t>
      </w:r>
      <w:r w:rsidRPr="0050120B">
        <w:rPr>
          <w:rFonts w:ascii="Book Antiqua" w:eastAsia="Malgun Gothic" w:hAnsi="Book Antiqua" w:cs="Times New Roman"/>
          <w:b/>
          <w:bCs/>
          <w:color w:val="000000" w:themeColor="text1"/>
          <w:sz w:val="24"/>
          <w:szCs w:val="24"/>
          <w:vertAlign w:val="superscript"/>
        </w:rPr>
        <w:t xml:space="preserve"> </w:t>
      </w:r>
      <w:r w:rsidR="00337D32" w:rsidRPr="0050120B">
        <w:rPr>
          <w:rFonts w:ascii="Book Antiqua" w:hAnsi="Book Antiqua" w:cs="Times New Roman"/>
          <w:color w:val="000000" w:themeColor="text1"/>
          <w:sz w:val="24"/>
          <w:szCs w:val="24"/>
        </w:rPr>
        <w:t xml:space="preserve">Bio </w:t>
      </w:r>
      <w:r w:rsidR="0054019E" w:rsidRPr="0050120B">
        <w:rPr>
          <w:rFonts w:ascii="Book Antiqua" w:hAnsi="Book Antiqua" w:cs="Times New Roman"/>
          <w:color w:val="000000" w:themeColor="text1"/>
          <w:sz w:val="24"/>
          <w:szCs w:val="24"/>
        </w:rPr>
        <w:t>and</w:t>
      </w:r>
      <w:r w:rsidR="00337D32" w:rsidRPr="0050120B">
        <w:rPr>
          <w:rFonts w:ascii="Book Antiqua" w:hAnsi="Book Antiqua" w:cs="Times New Roman"/>
          <w:color w:val="000000" w:themeColor="text1"/>
          <w:sz w:val="24"/>
          <w:szCs w:val="24"/>
        </w:rPr>
        <w:t xml:space="preserve"> Drug Discovery Division, Korea Research Institute of Chemical Technology, Daejeon 34114, </w:t>
      </w:r>
      <w:r w:rsidR="0054019E" w:rsidRPr="0050120B">
        <w:rPr>
          <w:rFonts w:ascii="Book Antiqua" w:hAnsi="Book Antiqua" w:cs="Times New Roman"/>
          <w:color w:val="000000" w:themeColor="text1"/>
          <w:sz w:val="24"/>
          <w:szCs w:val="24"/>
        </w:rPr>
        <w:t>South Korea</w:t>
      </w:r>
    </w:p>
    <w:p w14:paraId="003F8630" w14:textId="77777777" w:rsidR="0054019E" w:rsidRPr="0050120B" w:rsidRDefault="0054019E" w:rsidP="0075341C">
      <w:pPr>
        <w:widowControl/>
        <w:wordWrap/>
        <w:autoSpaceDE/>
        <w:autoSpaceDN/>
        <w:spacing w:after="0" w:line="360" w:lineRule="auto"/>
        <w:rPr>
          <w:rFonts w:ascii="Book Antiqua" w:hAnsi="Book Antiqua" w:cs="Times New Roman"/>
          <w:color w:val="000000" w:themeColor="text1"/>
          <w:sz w:val="24"/>
          <w:szCs w:val="24"/>
        </w:rPr>
      </w:pPr>
    </w:p>
    <w:p w14:paraId="30750C1F" w14:textId="77777777" w:rsidR="005A44DE" w:rsidRPr="0050120B" w:rsidRDefault="00411C91" w:rsidP="005A44DE">
      <w:pPr>
        <w:widowControl/>
        <w:wordWrap/>
        <w:autoSpaceDE/>
        <w:autoSpaceDN/>
        <w:spacing w:after="0" w:line="360" w:lineRule="auto"/>
        <w:rPr>
          <w:rFonts w:ascii="Book Antiqua" w:hAnsi="Book Antiqua" w:cs="Times New Roman"/>
          <w:color w:val="000000" w:themeColor="text1"/>
          <w:sz w:val="24"/>
          <w:szCs w:val="24"/>
        </w:rPr>
      </w:pPr>
      <w:r w:rsidRPr="0050120B">
        <w:rPr>
          <w:rFonts w:ascii="Book Antiqua" w:eastAsia="Malgun Gothic" w:hAnsi="Book Antiqua" w:cs="Times New Roman"/>
          <w:b/>
          <w:bCs/>
          <w:color w:val="000000" w:themeColor="text1"/>
          <w:sz w:val="24"/>
          <w:szCs w:val="24"/>
        </w:rPr>
        <w:t xml:space="preserve">Sang Chul Lee, </w:t>
      </w:r>
      <w:r w:rsidR="00337D32" w:rsidRPr="0050120B">
        <w:rPr>
          <w:rFonts w:ascii="Book Antiqua" w:hAnsi="Book Antiqua" w:cs="Times New Roman"/>
          <w:color w:val="000000" w:themeColor="text1"/>
          <w:sz w:val="24"/>
          <w:szCs w:val="24"/>
        </w:rPr>
        <w:t xml:space="preserve">Department of Surgery, Daejeon St. Mary's Hospital, College of Medicine, the Catholic University of Korea, Seoul 34943, </w:t>
      </w:r>
      <w:r w:rsidR="005A44DE" w:rsidRPr="0050120B">
        <w:rPr>
          <w:rFonts w:ascii="Book Antiqua" w:hAnsi="Book Antiqua" w:cs="Times New Roman"/>
          <w:color w:val="000000" w:themeColor="text1"/>
          <w:sz w:val="24"/>
          <w:szCs w:val="24"/>
        </w:rPr>
        <w:t>South Korea</w:t>
      </w:r>
    </w:p>
    <w:p w14:paraId="37AA6C46" w14:textId="77777777" w:rsidR="00411C91" w:rsidRPr="0050120B" w:rsidRDefault="00411C91" w:rsidP="0075341C">
      <w:pPr>
        <w:widowControl/>
        <w:wordWrap/>
        <w:autoSpaceDE/>
        <w:autoSpaceDN/>
        <w:spacing w:after="0" w:line="360" w:lineRule="auto"/>
        <w:rPr>
          <w:rFonts w:ascii="Book Antiqua" w:hAnsi="Book Antiqua" w:cs="Times New Roman"/>
          <w:color w:val="000000" w:themeColor="text1"/>
          <w:sz w:val="24"/>
          <w:szCs w:val="24"/>
        </w:rPr>
      </w:pPr>
    </w:p>
    <w:p w14:paraId="4FE1A2AD" w14:textId="1F630D30" w:rsidR="00337D32" w:rsidRPr="0050120B" w:rsidRDefault="00411C91" w:rsidP="0075341C">
      <w:pPr>
        <w:widowControl/>
        <w:wordWrap/>
        <w:autoSpaceDE/>
        <w:autoSpaceDN/>
        <w:spacing w:after="0" w:line="360" w:lineRule="auto"/>
        <w:rPr>
          <w:rFonts w:ascii="Book Antiqua" w:hAnsi="Book Antiqua" w:cs="Times New Roman"/>
          <w:color w:val="000000" w:themeColor="text1"/>
          <w:sz w:val="24"/>
          <w:szCs w:val="24"/>
        </w:rPr>
      </w:pPr>
      <w:r w:rsidRPr="0050120B">
        <w:rPr>
          <w:rFonts w:ascii="Book Antiqua" w:eastAsia="Malgun Gothic" w:hAnsi="Book Antiqua" w:cs="Times New Roman"/>
          <w:b/>
          <w:bCs/>
          <w:color w:val="000000" w:themeColor="text1"/>
          <w:sz w:val="24"/>
          <w:szCs w:val="24"/>
        </w:rPr>
        <w:t>Kee-Hwan Kim,</w:t>
      </w:r>
      <w:r w:rsidR="005A44DE" w:rsidRPr="0050120B">
        <w:rPr>
          <w:rFonts w:ascii="Book Antiqua" w:eastAsia="Malgun Gothic" w:hAnsi="Book Antiqua" w:cs="Times New Roman"/>
          <w:b/>
          <w:bCs/>
          <w:color w:val="000000" w:themeColor="text1"/>
          <w:sz w:val="24"/>
          <w:szCs w:val="24"/>
        </w:rPr>
        <w:t xml:space="preserve"> </w:t>
      </w:r>
      <w:r w:rsidR="00337D32" w:rsidRPr="0050120B">
        <w:rPr>
          <w:rFonts w:ascii="Book Antiqua" w:hAnsi="Book Antiqua" w:cs="Times New Roman"/>
          <w:color w:val="000000" w:themeColor="text1"/>
          <w:sz w:val="24"/>
          <w:szCs w:val="24"/>
        </w:rPr>
        <w:t xml:space="preserve">Department of Surgery, Uijeongbu St. Mary's Hospital, College of Medicine, the Catholic University of Korea, Seoul 11765, </w:t>
      </w:r>
      <w:r w:rsidR="005A44DE" w:rsidRPr="0050120B">
        <w:rPr>
          <w:rFonts w:ascii="Book Antiqua" w:hAnsi="Book Antiqua" w:cs="Times New Roman"/>
          <w:color w:val="000000" w:themeColor="text1"/>
          <w:sz w:val="24"/>
          <w:szCs w:val="24"/>
        </w:rPr>
        <w:t>South Korea</w:t>
      </w:r>
    </w:p>
    <w:p w14:paraId="01D04938" w14:textId="77777777" w:rsidR="00411C91" w:rsidRPr="0050120B" w:rsidRDefault="00411C91" w:rsidP="0075341C">
      <w:pPr>
        <w:widowControl/>
        <w:wordWrap/>
        <w:autoSpaceDE/>
        <w:autoSpaceDN/>
        <w:spacing w:after="0" w:line="360" w:lineRule="auto"/>
        <w:rPr>
          <w:rFonts w:ascii="Book Antiqua" w:hAnsi="Book Antiqua" w:cs="Times New Roman"/>
          <w:color w:val="000000" w:themeColor="text1"/>
          <w:sz w:val="24"/>
          <w:szCs w:val="24"/>
        </w:rPr>
      </w:pPr>
    </w:p>
    <w:p w14:paraId="010AA978" w14:textId="0578F42F" w:rsidR="00411C91" w:rsidRPr="0050120B" w:rsidRDefault="00411C91" w:rsidP="0075341C">
      <w:pPr>
        <w:widowControl/>
        <w:wordWrap/>
        <w:autoSpaceDE/>
        <w:autoSpaceDN/>
        <w:spacing w:after="0" w:line="360" w:lineRule="auto"/>
        <w:rPr>
          <w:rFonts w:ascii="Book Antiqua" w:hAnsi="Book Antiqua" w:cs="Times New Roman"/>
          <w:color w:val="000000" w:themeColor="text1"/>
          <w:sz w:val="24"/>
          <w:szCs w:val="24"/>
        </w:rPr>
      </w:pPr>
      <w:r w:rsidRPr="0050120B">
        <w:rPr>
          <w:rFonts w:ascii="Book Antiqua" w:eastAsia="Malgun Gothic" w:hAnsi="Book Antiqua" w:cs="Times New Roman"/>
          <w:b/>
          <w:bCs/>
          <w:color w:val="000000" w:themeColor="text1"/>
          <w:sz w:val="24"/>
          <w:szCs w:val="24"/>
        </w:rPr>
        <w:t>Ha-Eun Hong, Haeyeon Seo,</w:t>
      </w:r>
      <w:r w:rsidR="005A44DE" w:rsidRPr="0050120B">
        <w:rPr>
          <w:rFonts w:ascii="Book Antiqua" w:eastAsia="Malgun Gothic" w:hAnsi="Book Antiqua" w:cs="Times New Roman"/>
          <w:b/>
          <w:bCs/>
          <w:color w:val="000000" w:themeColor="text1"/>
          <w:sz w:val="24"/>
          <w:szCs w:val="24"/>
        </w:rPr>
        <w:t xml:space="preserve"> </w:t>
      </w:r>
      <w:r w:rsidR="00337D32" w:rsidRPr="0050120B">
        <w:rPr>
          <w:rFonts w:ascii="Book Antiqua" w:hAnsi="Book Antiqua" w:cs="Times New Roman"/>
          <w:color w:val="000000" w:themeColor="text1"/>
          <w:sz w:val="24"/>
          <w:szCs w:val="24"/>
        </w:rPr>
        <w:t xml:space="preserve">Department of Biomedicine </w:t>
      </w:r>
      <w:r w:rsidR="005A44DE" w:rsidRPr="0050120B">
        <w:rPr>
          <w:rFonts w:ascii="Book Antiqua" w:hAnsi="Book Antiqua" w:cs="Times New Roman"/>
          <w:color w:val="000000" w:themeColor="text1"/>
          <w:sz w:val="24"/>
          <w:szCs w:val="24"/>
        </w:rPr>
        <w:t>and</w:t>
      </w:r>
      <w:r w:rsidR="00337D32" w:rsidRPr="0050120B">
        <w:rPr>
          <w:rFonts w:ascii="Book Antiqua" w:hAnsi="Book Antiqua" w:cs="Times New Roman"/>
          <w:color w:val="000000" w:themeColor="text1"/>
          <w:sz w:val="24"/>
          <w:szCs w:val="24"/>
        </w:rPr>
        <w:t xml:space="preserve"> Health Science, College of Medicine, the Catholic University of Korea, Seoul 06591, </w:t>
      </w:r>
      <w:r w:rsidR="005A44DE" w:rsidRPr="0050120B">
        <w:rPr>
          <w:rFonts w:ascii="Book Antiqua" w:hAnsi="Book Antiqua" w:cs="Times New Roman"/>
          <w:color w:val="000000" w:themeColor="text1"/>
          <w:sz w:val="24"/>
          <w:szCs w:val="24"/>
        </w:rPr>
        <w:t>South Korea</w:t>
      </w:r>
    </w:p>
    <w:p w14:paraId="0C3C6F37" w14:textId="77777777" w:rsidR="005A44DE" w:rsidRPr="0050120B" w:rsidRDefault="005A44DE" w:rsidP="0075341C">
      <w:pPr>
        <w:widowControl/>
        <w:wordWrap/>
        <w:autoSpaceDE/>
        <w:autoSpaceDN/>
        <w:spacing w:after="0" w:line="360" w:lineRule="auto"/>
        <w:rPr>
          <w:rFonts w:ascii="Book Antiqua" w:hAnsi="Book Antiqua" w:cs="Times New Roman"/>
          <w:color w:val="000000" w:themeColor="text1"/>
          <w:sz w:val="24"/>
          <w:szCs w:val="24"/>
        </w:rPr>
      </w:pPr>
    </w:p>
    <w:p w14:paraId="00A63013" w14:textId="3DBF121E" w:rsidR="00337D32" w:rsidRPr="0050120B" w:rsidRDefault="00411C91" w:rsidP="0075341C">
      <w:pPr>
        <w:widowControl/>
        <w:wordWrap/>
        <w:autoSpaceDE/>
        <w:autoSpaceDN/>
        <w:spacing w:after="0" w:line="360" w:lineRule="auto"/>
        <w:rPr>
          <w:rFonts w:ascii="Book Antiqua" w:hAnsi="Book Antiqua" w:cs="Times New Roman"/>
          <w:color w:val="000000" w:themeColor="text1"/>
          <w:sz w:val="24"/>
          <w:szCs w:val="24"/>
        </w:rPr>
      </w:pPr>
      <w:r w:rsidRPr="0050120B">
        <w:rPr>
          <w:rFonts w:ascii="Book Antiqua" w:eastAsia="Malgun Gothic" w:hAnsi="Book Antiqua" w:cs="Times New Roman"/>
          <w:b/>
          <w:bCs/>
          <w:color w:val="000000" w:themeColor="text1"/>
          <w:sz w:val="24"/>
          <w:szCs w:val="24"/>
        </w:rPr>
        <w:t>Jung Hyun Park,</w:t>
      </w:r>
      <w:r w:rsidR="005A44DE" w:rsidRPr="0050120B">
        <w:rPr>
          <w:rFonts w:ascii="Book Antiqua" w:eastAsia="Malgun Gothic" w:hAnsi="Book Antiqua" w:cs="Times New Roman"/>
          <w:b/>
          <w:bCs/>
          <w:color w:val="000000" w:themeColor="text1"/>
          <w:sz w:val="24"/>
          <w:szCs w:val="24"/>
        </w:rPr>
        <w:t xml:space="preserve"> </w:t>
      </w:r>
      <w:r w:rsidR="00337D32" w:rsidRPr="0050120B">
        <w:rPr>
          <w:rFonts w:ascii="Book Antiqua" w:hAnsi="Book Antiqua" w:cs="Times New Roman"/>
          <w:color w:val="000000" w:themeColor="text1"/>
          <w:sz w:val="24"/>
          <w:szCs w:val="24"/>
        </w:rPr>
        <w:t xml:space="preserve">Department of Surgery, Eunpyeong St. Mary’s Hospital, College of Medicine, the Catholic University of Korea, Seoul 03312, </w:t>
      </w:r>
      <w:r w:rsidR="005A44DE" w:rsidRPr="0050120B">
        <w:rPr>
          <w:rFonts w:ascii="Book Antiqua" w:hAnsi="Book Antiqua" w:cs="Times New Roman"/>
          <w:color w:val="000000" w:themeColor="text1"/>
          <w:sz w:val="24"/>
          <w:szCs w:val="24"/>
        </w:rPr>
        <w:t>South Korea</w:t>
      </w:r>
    </w:p>
    <w:p w14:paraId="48F417FD" w14:textId="77777777" w:rsidR="00411C91" w:rsidRPr="0050120B" w:rsidRDefault="00411C91" w:rsidP="0075341C">
      <w:pPr>
        <w:widowControl/>
        <w:wordWrap/>
        <w:autoSpaceDE/>
        <w:autoSpaceDN/>
        <w:spacing w:after="0" w:line="360" w:lineRule="auto"/>
        <w:rPr>
          <w:rFonts w:ascii="Book Antiqua" w:hAnsi="Book Antiqua" w:cs="Times New Roman"/>
          <w:color w:val="000000" w:themeColor="text1"/>
          <w:sz w:val="24"/>
          <w:szCs w:val="24"/>
        </w:rPr>
      </w:pPr>
    </w:p>
    <w:p w14:paraId="4201FA75" w14:textId="5581DECB" w:rsidR="00337D32" w:rsidRPr="0050120B" w:rsidRDefault="00411C91" w:rsidP="0075341C">
      <w:pPr>
        <w:widowControl/>
        <w:wordWrap/>
        <w:autoSpaceDE/>
        <w:autoSpaceDN/>
        <w:spacing w:after="0" w:line="360" w:lineRule="auto"/>
        <w:rPr>
          <w:rFonts w:ascii="Book Antiqua" w:hAnsi="Book Antiqua" w:cs="Times New Roman"/>
          <w:color w:val="000000" w:themeColor="text1"/>
          <w:sz w:val="24"/>
          <w:szCs w:val="24"/>
        </w:rPr>
      </w:pPr>
      <w:r w:rsidRPr="0050120B">
        <w:rPr>
          <w:rFonts w:ascii="Book Antiqua" w:eastAsia="Malgun Gothic" w:hAnsi="Book Antiqua" w:cs="Times New Roman"/>
          <w:b/>
          <w:bCs/>
          <w:color w:val="000000" w:themeColor="text1"/>
          <w:sz w:val="24"/>
          <w:szCs w:val="24"/>
        </w:rPr>
        <w:t>Kwan-Young Jung,</w:t>
      </w:r>
      <w:r w:rsidR="005A44DE" w:rsidRPr="0050120B">
        <w:rPr>
          <w:rFonts w:ascii="Book Antiqua" w:eastAsia="Malgun Gothic" w:hAnsi="Book Antiqua" w:cs="Times New Roman"/>
          <w:b/>
          <w:bCs/>
          <w:color w:val="000000" w:themeColor="text1"/>
          <w:sz w:val="24"/>
          <w:szCs w:val="24"/>
        </w:rPr>
        <w:t xml:space="preserve"> </w:t>
      </w:r>
      <w:r w:rsidR="00337D32" w:rsidRPr="0050120B">
        <w:rPr>
          <w:rFonts w:ascii="Book Antiqua" w:hAnsi="Book Antiqua" w:cs="Times New Roman"/>
          <w:color w:val="000000" w:themeColor="text1"/>
          <w:sz w:val="24"/>
          <w:szCs w:val="24"/>
        </w:rPr>
        <w:t>Depar</w:t>
      </w:r>
      <w:r w:rsidR="005A44DE" w:rsidRPr="0050120B">
        <w:rPr>
          <w:rFonts w:ascii="Book Antiqua" w:hAnsi="Book Antiqua" w:cs="Times New Roman"/>
          <w:color w:val="000000" w:themeColor="text1"/>
          <w:sz w:val="24"/>
          <w:szCs w:val="24"/>
        </w:rPr>
        <w:t>t</w:t>
      </w:r>
      <w:r w:rsidR="00337D32" w:rsidRPr="0050120B">
        <w:rPr>
          <w:rFonts w:ascii="Book Antiqua" w:hAnsi="Book Antiqua" w:cs="Times New Roman"/>
          <w:color w:val="000000" w:themeColor="text1"/>
          <w:sz w:val="24"/>
          <w:szCs w:val="24"/>
        </w:rPr>
        <w:t xml:space="preserve">ment of Medicinal Chemistry and Pharmacology, University of Science </w:t>
      </w:r>
      <w:r w:rsidR="005A44DE" w:rsidRPr="0050120B">
        <w:rPr>
          <w:rFonts w:ascii="Book Antiqua" w:hAnsi="Book Antiqua" w:cs="Times New Roman"/>
          <w:color w:val="000000" w:themeColor="text1"/>
          <w:sz w:val="24"/>
          <w:szCs w:val="24"/>
        </w:rPr>
        <w:t>and</w:t>
      </w:r>
      <w:r w:rsidR="00337D32" w:rsidRPr="0050120B">
        <w:rPr>
          <w:rFonts w:ascii="Book Antiqua" w:hAnsi="Book Antiqua" w:cs="Times New Roman"/>
          <w:color w:val="000000" w:themeColor="text1"/>
          <w:sz w:val="24"/>
          <w:szCs w:val="24"/>
        </w:rPr>
        <w:t xml:space="preserve"> Technology, Daejeon 34113, </w:t>
      </w:r>
      <w:r w:rsidR="005A44DE" w:rsidRPr="0050120B">
        <w:rPr>
          <w:rFonts w:ascii="Book Antiqua" w:hAnsi="Book Antiqua" w:cs="Times New Roman"/>
          <w:color w:val="000000" w:themeColor="text1"/>
          <w:sz w:val="24"/>
          <w:szCs w:val="24"/>
        </w:rPr>
        <w:t>South Korea</w:t>
      </w:r>
    </w:p>
    <w:p w14:paraId="455F2113" w14:textId="724D0821" w:rsidR="003565F9" w:rsidRPr="0050120B" w:rsidRDefault="003565F9" w:rsidP="0075341C">
      <w:pPr>
        <w:wordWrap/>
        <w:snapToGrid w:val="0"/>
        <w:spacing w:after="0" w:line="360" w:lineRule="auto"/>
        <w:rPr>
          <w:rFonts w:ascii="Book Antiqua" w:eastAsia="Malgun Gothic" w:hAnsi="Book Antiqua" w:cs="Times New Roman"/>
          <w:color w:val="000000" w:themeColor="text1"/>
          <w:sz w:val="24"/>
          <w:szCs w:val="24"/>
        </w:rPr>
      </w:pPr>
    </w:p>
    <w:p w14:paraId="54270A2F" w14:textId="7A9CDEF7" w:rsidR="00337D32" w:rsidRPr="0050120B" w:rsidRDefault="005A44DE" w:rsidP="005A44DE">
      <w:pPr>
        <w:wordWrap/>
        <w:snapToGrid w:val="0"/>
        <w:spacing w:after="0" w:line="360" w:lineRule="auto"/>
        <w:rPr>
          <w:rFonts w:ascii="Book Antiqua" w:eastAsia="Malgun Gothic" w:hAnsi="Book Antiqua" w:cs="Times New Roman"/>
          <w:color w:val="000000" w:themeColor="text1"/>
          <w:sz w:val="24"/>
          <w:szCs w:val="24"/>
        </w:rPr>
      </w:pPr>
      <w:r w:rsidRPr="0050120B">
        <w:rPr>
          <w:rFonts w:ascii="Book Antiqua" w:eastAsia="Malgun Gothic" w:hAnsi="Book Antiqua" w:cs="Times New Roman"/>
          <w:b/>
          <w:bCs/>
          <w:color w:val="000000" w:themeColor="text1"/>
          <w:sz w:val="24"/>
          <w:szCs w:val="24"/>
          <w:lang w:val="hu-HU"/>
        </w:rPr>
        <w:t>ORCID number</w:t>
      </w:r>
      <w:r w:rsidRPr="0050120B">
        <w:rPr>
          <w:rFonts w:ascii="Book Antiqua" w:eastAsia="Malgun Gothic" w:hAnsi="Book Antiqua" w:cs="Times New Roman"/>
          <w:b/>
          <w:color w:val="000000" w:themeColor="text1"/>
          <w:sz w:val="24"/>
          <w:szCs w:val="24"/>
          <w:lang w:val="en-GB"/>
        </w:rPr>
        <w:t>:</w:t>
      </w:r>
      <w:bookmarkStart w:id="13" w:name="_Hlk5631413"/>
      <w:bookmarkStart w:id="14" w:name="_Hlk5625754"/>
      <w:r w:rsidRPr="0050120B">
        <w:rPr>
          <w:rFonts w:ascii="Book Antiqua" w:eastAsia="Malgun Gothic" w:hAnsi="Book Antiqua" w:cs="Times New Roman"/>
          <w:color w:val="000000" w:themeColor="text1"/>
          <w:sz w:val="24"/>
          <w:szCs w:val="24"/>
          <w:lang w:val="en-GB"/>
        </w:rPr>
        <w:t xml:space="preserve"> </w:t>
      </w:r>
      <w:r w:rsidR="00337D32" w:rsidRPr="0050120B">
        <w:rPr>
          <w:rFonts w:ascii="Book Antiqua" w:hAnsi="Book Antiqua" w:cs="Times New Roman"/>
          <w:color w:val="000000" w:themeColor="text1"/>
          <w:sz w:val="24"/>
          <w:szCs w:val="24"/>
        </w:rPr>
        <w:t>Dong Do You</w:t>
      </w:r>
      <w:r w:rsidRPr="0050120B">
        <w:rPr>
          <w:rFonts w:ascii="Book Antiqua" w:hAnsi="Book Antiqua" w:cs="Times New Roman"/>
          <w:color w:val="000000" w:themeColor="text1"/>
          <w:sz w:val="24"/>
          <w:szCs w:val="24"/>
        </w:rPr>
        <w:t xml:space="preserve"> </w:t>
      </w:r>
      <w:r w:rsidR="00337D32" w:rsidRPr="0050120B">
        <w:rPr>
          <w:rFonts w:ascii="Book Antiqua" w:hAnsi="Book Antiqua" w:cs="Times New Roman"/>
          <w:color w:val="000000" w:themeColor="text1"/>
          <w:sz w:val="24"/>
          <w:szCs w:val="24"/>
        </w:rPr>
        <w:t>(0000-0002-6266-625X)</w:t>
      </w:r>
      <w:r w:rsidRPr="0050120B">
        <w:rPr>
          <w:rFonts w:ascii="Book Antiqua" w:hAnsi="Book Antiqua" w:cs="Times New Roman"/>
          <w:color w:val="000000" w:themeColor="text1"/>
          <w:sz w:val="24"/>
          <w:szCs w:val="24"/>
        </w:rPr>
        <w:t>;</w:t>
      </w:r>
      <w:r w:rsidR="00337D32" w:rsidRPr="0050120B">
        <w:rPr>
          <w:rFonts w:ascii="Book Antiqua" w:hAnsi="Book Antiqua" w:cs="Times New Roman"/>
          <w:color w:val="000000" w:themeColor="text1"/>
          <w:sz w:val="24"/>
          <w:szCs w:val="24"/>
        </w:rPr>
        <w:t xml:space="preserve"> Suk Joon Cho</w:t>
      </w:r>
      <w:r w:rsidRPr="0050120B">
        <w:rPr>
          <w:rFonts w:ascii="Book Antiqua" w:hAnsi="Book Antiqua" w:cs="Times New Roman"/>
          <w:color w:val="000000" w:themeColor="text1"/>
          <w:sz w:val="24"/>
          <w:szCs w:val="24"/>
        </w:rPr>
        <w:t xml:space="preserve"> </w:t>
      </w:r>
      <w:r w:rsidR="00337D32" w:rsidRPr="0050120B">
        <w:rPr>
          <w:rFonts w:ascii="Book Antiqua" w:hAnsi="Book Antiqua" w:cs="Times New Roman"/>
          <w:color w:val="000000" w:themeColor="text1"/>
          <w:sz w:val="24"/>
          <w:szCs w:val="24"/>
        </w:rPr>
        <w:t>(0000-0003-2901-1179)</w:t>
      </w:r>
      <w:r w:rsidRPr="0050120B">
        <w:rPr>
          <w:rFonts w:ascii="Book Antiqua" w:hAnsi="Book Antiqua" w:cs="Times New Roman"/>
          <w:color w:val="000000" w:themeColor="text1"/>
          <w:sz w:val="24"/>
          <w:szCs w:val="24"/>
        </w:rPr>
        <w:t>;</w:t>
      </w:r>
      <w:r w:rsidR="00337D32" w:rsidRPr="0050120B">
        <w:rPr>
          <w:rFonts w:ascii="Book Antiqua" w:hAnsi="Book Antiqua" w:cs="Times New Roman"/>
          <w:color w:val="000000" w:themeColor="text1"/>
          <w:sz w:val="24"/>
          <w:szCs w:val="24"/>
        </w:rPr>
        <w:t xml:space="preserve"> Ok-Hee Kim</w:t>
      </w:r>
      <w:r w:rsidRPr="0050120B">
        <w:rPr>
          <w:rFonts w:ascii="Book Antiqua" w:hAnsi="Book Antiqua" w:cs="Times New Roman"/>
          <w:color w:val="000000" w:themeColor="text1"/>
          <w:sz w:val="24"/>
          <w:szCs w:val="24"/>
        </w:rPr>
        <w:t xml:space="preserve"> </w:t>
      </w:r>
      <w:r w:rsidR="00337D32" w:rsidRPr="0050120B">
        <w:rPr>
          <w:rFonts w:ascii="Book Antiqua" w:hAnsi="Book Antiqua" w:cs="Times New Roman"/>
          <w:color w:val="000000" w:themeColor="text1"/>
          <w:sz w:val="24"/>
          <w:szCs w:val="24"/>
        </w:rPr>
        <w:t>(0000-0002-9204-2587)</w:t>
      </w:r>
      <w:r w:rsidRPr="0050120B">
        <w:rPr>
          <w:rFonts w:ascii="Book Antiqua" w:hAnsi="Book Antiqua" w:cs="Times New Roman"/>
          <w:color w:val="000000" w:themeColor="text1"/>
          <w:sz w:val="24"/>
          <w:szCs w:val="24"/>
        </w:rPr>
        <w:t>;</w:t>
      </w:r>
      <w:r w:rsidR="00337D32" w:rsidRPr="0050120B">
        <w:rPr>
          <w:rFonts w:ascii="Book Antiqua" w:hAnsi="Book Antiqua" w:cs="Times New Roman"/>
          <w:color w:val="000000" w:themeColor="text1"/>
          <w:sz w:val="24"/>
          <w:szCs w:val="24"/>
        </w:rPr>
        <w:t xml:space="preserve"> Jin Sook Song</w:t>
      </w:r>
      <w:r w:rsidRPr="0050120B">
        <w:rPr>
          <w:rFonts w:ascii="Book Antiqua" w:hAnsi="Book Antiqua" w:cs="Times New Roman"/>
          <w:color w:val="000000" w:themeColor="text1"/>
          <w:sz w:val="24"/>
          <w:szCs w:val="24"/>
        </w:rPr>
        <w:t xml:space="preserve"> </w:t>
      </w:r>
      <w:r w:rsidR="00337D32" w:rsidRPr="0050120B">
        <w:rPr>
          <w:rFonts w:ascii="Book Antiqua" w:hAnsi="Book Antiqua" w:cs="Times New Roman"/>
          <w:color w:val="000000" w:themeColor="text1"/>
          <w:sz w:val="24"/>
          <w:szCs w:val="24"/>
        </w:rPr>
        <w:t>(0000-0001-8023-7769)</w:t>
      </w:r>
      <w:r w:rsidRPr="0050120B">
        <w:rPr>
          <w:rFonts w:ascii="Book Antiqua" w:hAnsi="Book Antiqua" w:cs="Times New Roman"/>
          <w:color w:val="000000" w:themeColor="text1"/>
          <w:sz w:val="24"/>
          <w:szCs w:val="24"/>
        </w:rPr>
        <w:t>;</w:t>
      </w:r>
      <w:r w:rsidR="00337D32" w:rsidRPr="0050120B">
        <w:rPr>
          <w:rFonts w:ascii="Book Antiqua" w:hAnsi="Book Antiqua" w:cs="Times New Roman"/>
          <w:color w:val="000000" w:themeColor="text1"/>
          <w:sz w:val="24"/>
          <w:szCs w:val="24"/>
        </w:rPr>
        <w:t xml:space="preserve"> Kyu-Seok Hwang</w:t>
      </w:r>
      <w:r w:rsidRPr="0050120B">
        <w:rPr>
          <w:rFonts w:ascii="Book Antiqua" w:hAnsi="Book Antiqua" w:cs="Times New Roman"/>
          <w:color w:val="000000" w:themeColor="text1"/>
          <w:sz w:val="24"/>
          <w:szCs w:val="24"/>
        </w:rPr>
        <w:t xml:space="preserve"> </w:t>
      </w:r>
      <w:r w:rsidR="00337D32" w:rsidRPr="0050120B">
        <w:rPr>
          <w:rFonts w:ascii="Book Antiqua" w:hAnsi="Book Antiqua" w:cs="Times New Roman"/>
          <w:color w:val="000000" w:themeColor="text1"/>
          <w:sz w:val="24"/>
          <w:szCs w:val="24"/>
        </w:rPr>
        <w:t>(0000-0003-4606-1354)</w:t>
      </w:r>
      <w:r w:rsidRPr="0050120B">
        <w:rPr>
          <w:rFonts w:ascii="Book Antiqua" w:hAnsi="Book Antiqua" w:cs="Times New Roman"/>
          <w:color w:val="000000" w:themeColor="text1"/>
          <w:sz w:val="24"/>
          <w:szCs w:val="24"/>
        </w:rPr>
        <w:t>;</w:t>
      </w:r>
      <w:r w:rsidR="00337D32" w:rsidRPr="0050120B">
        <w:rPr>
          <w:rFonts w:ascii="Book Antiqua" w:hAnsi="Book Antiqua" w:cs="Times New Roman"/>
          <w:color w:val="000000" w:themeColor="text1"/>
          <w:sz w:val="24"/>
          <w:szCs w:val="24"/>
        </w:rPr>
        <w:t xml:space="preserve"> Sang Chul Lee</w:t>
      </w:r>
      <w:r w:rsidRPr="0050120B">
        <w:rPr>
          <w:rFonts w:ascii="Book Antiqua" w:hAnsi="Book Antiqua" w:cs="Times New Roman"/>
          <w:color w:val="000000" w:themeColor="text1"/>
          <w:sz w:val="24"/>
          <w:szCs w:val="24"/>
        </w:rPr>
        <w:t xml:space="preserve"> </w:t>
      </w:r>
      <w:r w:rsidR="00337D32" w:rsidRPr="0050120B">
        <w:rPr>
          <w:rFonts w:ascii="Book Antiqua" w:hAnsi="Book Antiqua" w:cs="Times New Roman"/>
          <w:color w:val="000000" w:themeColor="text1"/>
          <w:sz w:val="24"/>
          <w:szCs w:val="24"/>
        </w:rPr>
        <w:t>(0000-0002-8681-7059)</w:t>
      </w:r>
      <w:r w:rsidRPr="0050120B">
        <w:rPr>
          <w:rFonts w:ascii="Book Antiqua" w:hAnsi="Book Antiqua" w:cs="Times New Roman"/>
          <w:color w:val="000000" w:themeColor="text1"/>
          <w:sz w:val="24"/>
          <w:szCs w:val="24"/>
        </w:rPr>
        <w:t>;</w:t>
      </w:r>
      <w:r w:rsidR="00337D32" w:rsidRPr="0050120B">
        <w:rPr>
          <w:rFonts w:ascii="Book Antiqua" w:hAnsi="Book Antiqua" w:cs="Times New Roman"/>
          <w:color w:val="000000" w:themeColor="text1"/>
          <w:sz w:val="24"/>
          <w:szCs w:val="24"/>
        </w:rPr>
        <w:t xml:space="preserve"> Kee-Hwan Kim</w:t>
      </w:r>
      <w:r w:rsidRPr="0050120B">
        <w:rPr>
          <w:rFonts w:ascii="Book Antiqua" w:hAnsi="Book Antiqua" w:cs="Times New Roman"/>
          <w:color w:val="000000" w:themeColor="text1"/>
          <w:sz w:val="24"/>
          <w:szCs w:val="24"/>
        </w:rPr>
        <w:t xml:space="preserve"> </w:t>
      </w:r>
      <w:r w:rsidR="00337D32" w:rsidRPr="0050120B">
        <w:rPr>
          <w:rFonts w:ascii="Book Antiqua" w:hAnsi="Book Antiqua" w:cs="Times New Roman"/>
          <w:color w:val="000000" w:themeColor="text1"/>
          <w:sz w:val="24"/>
          <w:szCs w:val="24"/>
        </w:rPr>
        <w:t>(0000-0001-6219-6027)</w:t>
      </w:r>
      <w:r w:rsidRPr="0050120B">
        <w:rPr>
          <w:rFonts w:ascii="Book Antiqua" w:hAnsi="Book Antiqua" w:cs="Times New Roman"/>
          <w:color w:val="000000" w:themeColor="text1"/>
          <w:sz w:val="24"/>
          <w:szCs w:val="24"/>
        </w:rPr>
        <w:t>;</w:t>
      </w:r>
      <w:r w:rsidR="00337D32" w:rsidRPr="0050120B">
        <w:rPr>
          <w:rFonts w:ascii="Book Antiqua" w:hAnsi="Book Antiqua" w:cs="Times New Roman"/>
          <w:color w:val="000000" w:themeColor="text1"/>
          <w:sz w:val="24"/>
          <w:szCs w:val="24"/>
        </w:rPr>
        <w:t xml:space="preserve"> Ho Joong Choi</w:t>
      </w:r>
      <w:r w:rsidRPr="0050120B">
        <w:rPr>
          <w:rFonts w:ascii="Book Antiqua" w:hAnsi="Book Antiqua" w:cs="Times New Roman"/>
          <w:color w:val="000000" w:themeColor="text1"/>
          <w:sz w:val="24"/>
          <w:szCs w:val="24"/>
        </w:rPr>
        <w:t xml:space="preserve"> </w:t>
      </w:r>
      <w:r w:rsidR="00337D32" w:rsidRPr="0050120B">
        <w:rPr>
          <w:rFonts w:ascii="Book Antiqua" w:hAnsi="Book Antiqua" w:cs="Times New Roman"/>
          <w:color w:val="000000" w:themeColor="text1"/>
          <w:sz w:val="24"/>
          <w:szCs w:val="24"/>
        </w:rPr>
        <w:t>(0000-0002-0862-098X)</w:t>
      </w:r>
      <w:r w:rsidRPr="0050120B">
        <w:rPr>
          <w:rFonts w:ascii="Book Antiqua" w:hAnsi="Book Antiqua" w:cs="Times New Roman"/>
          <w:color w:val="000000" w:themeColor="text1"/>
          <w:sz w:val="24"/>
          <w:szCs w:val="24"/>
        </w:rPr>
        <w:t>;</w:t>
      </w:r>
      <w:r w:rsidR="00337D32" w:rsidRPr="0050120B">
        <w:rPr>
          <w:rFonts w:ascii="Book Antiqua" w:hAnsi="Book Antiqua" w:cs="Times New Roman"/>
          <w:color w:val="000000" w:themeColor="text1"/>
          <w:sz w:val="24"/>
          <w:szCs w:val="24"/>
        </w:rPr>
        <w:t xml:space="preserve"> Ha-Eun Hong</w:t>
      </w:r>
      <w:r w:rsidRPr="0050120B">
        <w:rPr>
          <w:rFonts w:ascii="Book Antiqua" w:hAnsi="Book Antiqua" w:cs="Times New Roman"/>
          <w:color w:val="000000" w:themeColor="text1"/>
          <w:sz w:val="24"/>
          <w:szCs w:val="24"/>
        </w:rPr>
        <w:t xml:space="preserve"> </w:t>
      </w:r>
      <w:r w:rsidR="00337D32" w:rsidRPr="0050120B">
        <w:rPr>
          <w:rFonts w:ascii="Book Antiqua" w:hAnsi="Book Antiqua" w:cs="Times New Roman"/>
          <w:color w:val="000000" w:themeColor="text1"/>
          <w:sz w:val="24"/>
          <w:szCs w:val="24"/>
        </w:rPr>
        <w:t>(0000-0002-4361-4809)</w:t>
      </w:r>
      <w:r w:rsidRPr="0050120B">
        <w:rPr>
          <w:rFonts w:ascii="Book Antiqua" w:hAnsi="Book Antiqua" w:cs="Times New Roman"/>
          <w:color w:val="000000" w:themeColor="text1"/>
          <w:sz w:val="24"/>
          <w:szCs w:val="24"/>
        </w:rPr>
        <w:t>;</w:t>
      </w:r>
      <w:r w:rsidR="00337D32" w:rsidRPr="0050120B">
        <w:rPr>
          <w:rFonts w:ascii="Book Antiqua" w:hAnsi="Book Antiqua" w:cs="Times New Roman"/>
          <w:color w:val="000000" w:themeColor="text1"/>
          <w:sz w:val="24"/>
          <w:szCs w:val="24"/>
        </w:rPr>
        <w:t xml:space="preserve"> Haeyeon Seo</w:t>
      </w:r>
      <w:r w:rsidRPr="0050120B">
        <w:rPr>
          <w:rFonts w:ascii="Book Antiqua" w:hAnsi="Book Antiqua" w:cs="Times New Roman"/>
          <w:color w:val="000000" w:themeColor="text1"/>
          <w:sz w:val="24"/>
          <w:szCs w:val="24"/>
        </w:rPr>
        <w:t xml:space="preserve"> </w:t>
      </w:r>
      <w:r w:rsidR="00337D32" w:rsidRPr="0050120B">
        <w:rPr>
          <w:rFonts w:ascii="Book Antiqua" w:hAnsi="Book Antiqua" w:cs="Times New Roman"/>
          <w:color w:val="000000" w:themeColor="text1"/>
          <w:sz w:val="24"/>
          <w:szCs w:val="24"/>
        </w:rPr>
        <w:t>(0000-0003-2992-8112)</w:t>
      </w:r>
      <w:r w:rsidRPr="0050120B">
        <w:rPr>
          <w:rFonts w:ascii="Book Antiqua" w:hAnsi="Book Antiqua" w:cs="Times New Roman"/>
          <w:color w:val="000000" w:themeColor="text1"/>
          <w:sz w:val="24"/>
          <w:szCs w:val="24"/>
        </w:rPr>
        <w:t>;</w:t>
      </w:r>
      <w:r w:rsidR="00337D32" w:rsidRPr="0050120B">
        <w:rPr>
          <w:rFonts w:ascii="Book Antiqua" w:hAnsi="Book Antiqua" w:cs="Times New Roman"/>
          <w:color w:val="000000" w:themeColor="text1"/>
          <w:sz w:val="24"/>
          <w:szCs w:val="24"/>
        </w:rPr>
        <w:t xml:space="preserve"> Tae Ho Hong</w:t>
      </w:r>
      <w:r w:rsidRPr="0050120B">
        <w:rPr>
          <w:rFonts w:ascii="Book Antiqua" w:hAnsi="Book Antiqua" w:cs="Times New Roman"/>
          <w:color w:val="000000" w:themeColor="text1"/>
          <w:sz w:val="24"/>
          <w:szCs w:val="24"/>
        </w:rPr>
        <w:t xml:space="preserve"> </w:t>
      </w:r>
      <w:r w:rsidR="00337D32" w:rsidRPr="0050120B">
        <w:rPr>
          <w:rFonts w:ascii="Book Antiqua" w:hAnsi="Book Antiqua" w:cs="Times New Roman"/>
          <w:color w:val="000000" w:themeColor="text1"/>
          <w:sz w:val="24"/>
          <w:szCs w:val="24"/>
        </w:rPr>
        <w:t>(0000-0003-3864-8104)</w:t>
      </w:r>
      <w:r w:rsidRPr="0050120B">
        <w:rPr>
          <w:rFonts w:ascii="Book Antiqua" w:hAnsi="Book Antiqua" w:cs="Times New Roman"/>
          <w:color w:val="000000" w:themeColor="text1"/>
          <w:sz w:val="24"/>
          <w:szCs w:val="24"/>
        </w:rPr>
        <w:t>;</w:t>
      </w:r>
      <w:r w:rsidR="00337D32" w:rsidRPr="0050120B">
        <w:rPr>
          <w:rFonts w:ascii="Book Antiqua" w:hAnsi="Book Antiqua" w:cs="Times New Roman"/>
          <w:color w:val="000000" w:themeColor="text1"/>
          <w:sz w:val="24"/>
          <w:szCs w:val="24"/>
        </w:rPr>
        <w:t xml:space="preserve"> Jung Hyun Park</w:t>
      </w:r>
      <w:r w:rsidRPr="0050120B">
        <w:rPr>
          <w:rFonts w:ascii="Book Antiqua" w:hAnsi="Book Antiqua" w:cs="Times New Roman"/>
          <w:color w:val="000000" w:themeColor="text1"/>
          <w:sz w:val="24"/>
          <w:szCs w:val="24"/>
        </w:rPr>
        <w:t xml:space="preserve"> </w:t>
      </w:r>
      <w:r w:rsidR="00337D32" w:rsidRPr="0050120B">
        <w:rPr>
          <w:rFonts w:ascii="Book Antiqua" w:hAnsi="Book Antiqua" w:cs="Times New Roman"/>
          <w:color w:val="000000" w:themeColor="text1"/>
          <w:sz w:val="24"/>
          <w:szCs w:val="24"/>
        </w:rPr>
        <w:t>(0000-0003-2693-0655)</w:t>
      </w:r>
      <w:r w:rsidRPr="0050120B">
        <w:rPr>
          <w:rFonts w:ascii="Book Antiqua" w:hAnsi="Book Antiqua" w:cs="Times New Roman"/>
          <w:color w:val="000000" w:themeColor="text1"/>
          <w:sz w:val="24"/>
          <w:szCs w:val="24"/>
        </w:rPr>
        <w:t>;</w:t>
      </w:r>
      <w:r w:rsidR="00337D32" w:rsidRPr="0050120B">
        <w:rPr>
          <w:rFonts w:ascii="Book Antiqua" w:hAnsi="Book Antiqua" w:cs="Times New Roman"/>
          <w:color w:val="000000" w:themeColor="text1"/>
          <w:sz w:val="24"/>
          <w:szCs w:val="24"/>
        </w:rPr>
        <w:t xml:space="preserve"> Tae Yoon Lee</w:t>
      </w:r>
      <w:r w:rsidRPr="0050120B">
        <w:rPr>
          <w:rFonts w:ascii="Book Antiqua" w:hAnsi="Book Antiqua" w:cs="Times New Roman"/>
          <w:color w:val="000000" w:themeColor="text1"/>
          <w:sz w:val="24"/>
          <w:szCs w:val="24"/>
        </w:rPr>
        <w:t xml:space="preserve"> </w:t>
      </w:r>
      <w:r w:rsidR="00337D32" w:rsidRPr="0050120B">
        <w:rPr>
          <w:rFonts w:ascii="Book Antiqua" w:hAnsi="Book Antiqua" w:cs="Times New Roman"/>
          <w:color w:val="000000" w:themeColor="text1"/>
          <w:sz w:val="24"/>
          <w:szCs w:val="24"/>
        </w:rPr>
        <w:t>(0000-0002-4414-7958)</w:t>
      </w:r>
      <w:r w:rsidRPr="0050120B">
        <w:rPr>
          <w:rFonts w:ascii="Book Antiqua" w:hAnsi="Book Antiqua" w:cs="Times New Roman"/>
          <w:color w:val="000000" w:themeColor="text1"/>
          <w:sz w:val="24"/>
          <w:szCs w:val="24"/>
        </w:rPr>
        <w:t>;</w:t>
      </w:r>
      <w:r w:rsidR="00337D32" w:rsidRPr="0050120B">
        <w:rPr>
          <w:rFonts w:ascii="Book Antiqua" w:hAnsi="Book Antiqua" w:cs="Times New Roman"/>
          <w:color w:val="000000" w:themeColor="text1"/>
          <w:sz w:val="24"/>
          <w:szCs w:val="24"/>
        </w:rPr>
        <w:t xml:space="preserve"> Joseph Ahn</w:t>
      </w:r>
      <w:r w:rsidRPr="0050120B">
        <w:rPr>
          <w:rFonts w:ascii="Book Antiqua" w:hAnsi="Book Antiqua" w:cs="Times New Roman"/>
          <w:color w:val="000000" w:themeColor="text1"/>
          <w:sz w:val="24"/>
          <w:szCs w:val="24"/>
        </w:rPr>
        <w:t xml:space="preserve"> </w:t>
      </w:r>
      <w:r w:rsidR="00337D32" w:rsidRPr="0050120B">
        <w:rPr>
          <w:rFonts w:ascii="Book Antiqua" w:hAnsi="Book Antiqua" w:cs="Times New Roman"/>
          <w:color w:val="000000" w:themeColor="text1"/>
          <w:sz w:val="24"/>
          <w:szCs w:val="24"/>
        </w:rPr>
        <w:t>(0000-0001-8528-4919)</w:t>
      </w:r>
      <w:r w:rsidRPr="0050120B">
        <w:rPr>
          <w:rFonts w:ascii="Book Antiqua" w:hAnsi="Book Antiqua" w:cs="Times New Roman"/>
          <w:color w:val="000000" w:themeColor="text1"/>
          <w:sz w:val="24"/>
          <w:szCs w:val="24"/>
        </w:rPr>
        <w:t>;</w:t>
      </w:r>
      <w:r w:rsidR="00337D32" w:rsidRPr="0050120B">
        <w:rPr>
          <w:rFonts w:ascii="Book Antiqua" w:hAnsi="Book Antiqua" w:cs="Times New Roman"/>
          <w:color w:val="000000" w:themeColor="text1"/>
          <w:sz w:val="24"/>
          <w:szCs w:val="24"/>
        </w:rPr>
        <w:t xml:space="preserve"> Jae-Kyung Jung</w:t>
      </w:r>
      <w:r w:rsidRPr="0050120B">
        <w:rPr>
          <w:rFonts w:ascii="Book Antiqua" w:hAnsi="Book Antiqua" w:cs="Times New Roman"/>
          <w:color w:val="000000" w:themeColor="text1"/>
          <w:sz w:val="24"/>
          <w:szCs w:val="24"/>
        </w:rPr>
        <w:t xml:space="preserve"> </w:t>
      </w:r>
      <w:r w:rsidR="00337D32" w:rsidRPr="0050120B">
        <w:rPr>
          <w:rFonts w:ascii="Book Antiqua" w:hAnsi="Book Antiqua" w:cs="Times New Roman"/>
          <w:color w:val="000000" w:themeColor="text1"/>
          <w:sz w:val="24"/>
          <w:szCs w:val="24"/>
        </w:rPr>
        <w:t>(0000-0002-0490-9663)</w:t>
      </w:r>
      <w:r w:rsidRPr="0050120B">
        <w:rPr>
          <w:rFonts w:ascii="Book Antiqua" w:hAnsi="Book Antiqua" w:cs="Times New Roman"/>
          <w:color w:val="000000" w:themeColor="text1"/>
          <w:sz w:val="24"/>
          <w:szCs w:val="24"/>
        </w:rPr>
        <w:t>;</w:t>
      </w:r>
      <w:r w:rsidR="00337D32" w:rsidRPr="0050120B">
        <w:rPr>
          <w:rFonts w:ascii="Book Antiqua" w:hAnsi="Book Antiqua" w:cs="Times New Roman"/>
          <w:color w:val="000000" w:themeColor="text1"/>
          <w:sz w:val="24"/>
          <w:szCs w:val="24"/>
        </w:rPr>
        <w:t xml:space="preserve"> Kwan-Young Jung</w:t>
      </w:r>
      <w:r w:rsidRPr="0050120B">
        <w:rPr>
          <w:rFonts w:ascii="Book Antiqua" w:hAnsi="Book Antiqua" w:cs="Times New Roman"/>
          <w:color w:val="000000" w:themeColor="text1"/>
          <w:sz w:val="24"/>
          <w:szCs w:val="24"/>
        </w:rPr>
        <w:t xml:space="preserve"> </w:t>
      </w:r>
      <w:r w:rsidR="00337D32" w:rsidRPr="0050120B">
        <w:rPr>
          <w:rFonts w:ascii="Book Antiqua" w:hAnsi="Book Antiqua" w:cs="Times New Roman"/>
          <w:color w:val="000000" w:themeColor="text1"/>
          <w:sz w:val="24"/>
          <w:szCs w:val="24"/>
        </w:rPr>
        <w:t>(0000-0002-5255-5134)</w:t>
      </w:r>
      <w:r w:rsidRPr="0050120B">
        <w:rPr>
          <w:rFonts w:ascii="Book Antiqua" w:hAnsi="Book Antiqua" w:cs="Times New Roman"/>
          <w:color w:val="000000" w:themeColor="text1"/>
          <w:sz w:val="24"/>
          <w:szCs w:val="24"/>
        </w:rPr>
        <w:t>;</w:t>
      </w:r>
      <w:r w:rsidR="00337D32" w:rsidRPr="0050120B">
        <w:rPr>
          <w:rFonts w:ascii="Book Antiqua" w:hAnsi="Book Antiqua" w:cs="Times New Roman"/>
          <w:color w:val="000000" w:themeColor="text1"/>
          <w:sz w:val="24"/>
          <w:szCs w:val="24"/>
        </w:rPr>
        <w:t xml:space="preserve"> Say-June Kim</w:t>
      </w:r>
      <w:r w:rsidRPr="0050120B">
        <w:rPr>
          <w:rFonts w:ascii="Book Antiqua" w:hAnsi="Book Antiqua" w:cs="Times New Roman"/>
          <w:color w:val="000000" w:themeColor="text1"/>
          <w:sz w:val="24"/>
          <w:szCs w:val="24"/>
        </w:rPr>
        <w:t xml:space="preserve"> </w:t>
      </w:r>
      <w:r w:rsidR="00337D32" w:rsidRPr="0050120B">
        <w:rPr>
          <w:rFonts w:ascii="Book Antiqua" w:hAnsi="Book Antiqua" w:cs="Times New Roman"/>
          <w:color w:val="000000" w:themeColor="text1"/>
          <w:sz w:val="24"/>
          <w:szCs w:val="24"/>
        </w:rPr>
        <w:t>(0000-0001-5171-4837)</w:t>
      </w:r>
      <w:r w:rsidRPr="0050120B">
        <w:rPr>
          <w:rFonts w:ascii="Book Antiqua" w:hAnsi="Book Antiqua" w:cs="Times New Roman"/>
          <w:color w:val="000000" w:themeColor="text1"/>
          <w:sz w:val="24"/>
          <w:szCs w:val="24"/>
        </w:rPr>
        <w:t>.</w:t>
      </w:r>
      <w:r w:rsidR="00337D32" w:rsidRPr="0050120B">
        <w:rPr>
          <w:rFonts w:ascii="Book Antiqua" w:hAnsi="Book Antiqua" w:cs="Times New Roman"/>
          <w:color w:val="000000" w:themeColor="text1"/>
          <w:sz w:val="24"/>
          <w:szCs w:val="24"/>
        </w:rPr>
        <w:t xml:space="preserve"> </w:t>
      </w:r>
    </w:p>
    <w:p w14:paraId="78BE9200" w14:textId="6F22A56F" w:rsidR="00337D32" w:rsidRPr="0050120B" w:rsidRDefault="00337D32" w:rsidP="0075341C">
      <w:pPr>
        <w:wordWrap/>
        <w:spacing w:after="0" w:line="360" w:lineRule="auto"/>
        <w:rPr>
          <w:rFonts w:ascii="Book Antiqua" w:eastAsia="宋体" w:hAnsi="Book Antiqua"/>
          <w:color w:val="000000" w:themeColor="text1"/>
          <w:sz w:val="24"/>
          <w:szCs w:val="24"/>
          <w:lang w:eastAsia="zh-CN"/>
        </w:rPr>
      </w:pPr>
    </w:p>
    <w:p w14:paraId="4852746B" w14:textId="23A80F71" w:rsidR="00337D32" w:rsidRPr="0050120B" w:rsidRDefault="00001799" w:rsidP="00001799">
      <w:pPr>
        <w:wordWrap/>
        <w:spacing w:after="0" w:line="360" w:lineRule="auto"/>
        <w:rPr>
          <w:rFonts w:ascii="Book Antiqua" w:hAnsi="Book Antiqua" w:cs="Times New Roman"/>
          <w:color w:val="000000" w:themeColor="text1"/>
          <w:sz w:val="24"/>
          <w:szCs w:val="24"/>
        </w:rPr>
      </w:pPr>
      <w:r w:rsidRPr="0050120B">
        <w:rPr>
          <w:rFonts w:ascii="Book Antiqua" w:eastAsia="宋体" w:hAnsi="Book Antiqua"/>
          <w:b/>
          <w:color w:val="000000" w:themeColor="text1"/>
          <w:sz w:val="24"/>
          <w:szCs w:val="24"/>
          <w:lang w:val="en-GB" w:eastAsia="zh-CN"/>
        </w:rPr>
        <w:t>Author contributions:</w:t>
      </w:r>
      <w:bookmarkEnd w:id="13"/>
      <w:bookmarkEnd w:id="14"/>
      <w:r w:rsidRPr="0050120B">
        <w:rPr>
          <w:rFonts w:ascii="Book Antiqua" w:eastAsia="宋体" w:hAnsi="Book Antiqua"/>
          <w:color w:val="000000" w:themeColor="text1"/>
          <w:sz w:val="24"/>
          <w:szCs w:val="24"/>
          <w:lang w:val="en-GB" w:eastAsia="zh-CN"/>
        </w:rPr>
        <w:t xml:space="preserve"> </w:t>
      </w:r>
      <w:r w:rsidR="00337D32" w:rsidRPr="0050120B">
        <w:rPr>
          <w:rFonts w:ascii="Book Antiqua" w:hAnsi="Book Antiqua" w:cs="Times New Roman"/>
          <w:color w:val="000000" w:themeColor="text1"/>
          <w:sz w:val="24"/>
          <w:szCs w:val="24"/>
        </w:rPr>
        <w:t>Kim SJ was responsible for obtaining funds, planning the study, data interpretation and manuscript preparation</w:t>
      </w:r>
      <w:r w:rsidRPr="0050120B">
        <w:rPr>
          <w:rFonts w:ascii="Book Antiqua" w:hAnsi="Book Antiqua" w:cs="Times New Roman"/>
          <w:color w:val="000000" w:themeColor="text1"/>
          <w:sz w:val="24"/>
          <w:szCs w:val="24"/>
        </w:rPr>
        <w:t>;</w:t>
      </w:r>
      <w:r w:rsidR="00337D32" w:rsidRPr="0050120B">
        <w:rPr>
          <w:rFonts w:ascii="Book Antiqua" w:hAnsi="Book Antiqua" w:cs="Times New Roman"/>
          <w:color w:val="000000" w:themeColor="text1"/>
          <w:sz w:val="24"/>
          <w:szCs w:val="24"/>
        </w:rPr>
        <w:t xml:space="preserve"> You DD and Kim SJ drafted the paper </w:t>
      </w:r>
      <w:r w:rsidR="00337D32" w:rsidRPr="0050120B">
        <w:rPr>
          <w:rFonts w:ascii="Book Antiqua" w:hAnsi="Book Antiqua" w:cs="Times New Roman"/>
          <w:color w:val="000000" w:themeColor="text1"/>
          <w:sz w:val="24"/>
          <w:szCs w:val="24"/>
        </w:rPr>
        <w:lastRenderedPageBreak/>
        <w:t>and participated in the animal experiments</w:t>
      </w:r>
      <w:r w:rsidRPr="0050120B">
        <w:rPr>
          <w:rFonts w:ascii="Book Antiqua" w:hAnsi="Book Antiqua" w:cs="Times New Roman"/>
          <w:color w:val="000000" w:themeColor="text1"/>
          <w:sz w:val="24"/>
          <w:szCs w:val="24"/>
        </w:rPr>
        <w:t>;</w:t>
      </w:r>
      <w:r w:rsidR="00337D32" w:rsidRPr="0050120B">
        <w:rPr>
          <w:rFonts w:ascii="Book Antiqua" w:hAnsi="Book Antiqua" w:cs="Times New Roman"/>
          <w:color w:val="000000" w:themeColor="text1"/>
          <w:sz w:val="24"/>
          <w:szCs w:val="24"/>
        </w:rPr>
        <w:t xml:space="preserve"> Cho SJ and Jung KY developed contact litholytic agents (TAEE), and performed chemical experiments, such as thermogravimetric analysis</w:t>
      </w:r>
      <w:r w:rsidRPr="0050120B">
        <w:rPr>
          <w:rFonts w:ascii="Book Antiqua" w:hAnsi="Book Antiqua" w:cs="Times New Roman"/>
          <w:color w:val="000000" w:themeColor="text1"/>
          <w:sz w:val="24"/>
          <w:szCs w:val="24"/>
        </w:rPr>
        <w:t>;</w:t>
      </w:r>
      <w:r w:rsidR="00337D32" w:rsidRPr="0050120B">
        <w:rPr>
          <w:rFonts w:ascii="Book Antiqua" w:hAnsi="Book Antiqua" w:cs="Times New Roman"/>
          <w:color w:val="000000" w:themeColor="text1"/>
          <w:sz w:val="24"/>
          <w:szCs w:val="24"/>
        </w:rPr>
        <w:t xml:space="preserve"> Song JS, KS Hwang, and Jung JK took responsibility of various </w:t>
      </w:r>
      <w:r w:rsidR="00337D32" w:rsidRPr="0050120B">
        <w:rPr>
          <w:rFonts w:ascii="Book Antiqua" w:hAnsi="Book Antiqua" w:cs="Times New Roman"/>
          <w:i/>
          <w:iCs/>
          <w:color w:val="000000" w:themeColor="text1"/>
          <w:sz w:val="24"/>
          <w:szCs w:val="24"/>
        </w:rPr>
        <w:t>in vitro</w:t>
      </w:r>
      <w:r w:rsidR="00337D32" w:rsidRPr="0050120B">
        <w:rPr>
          <w:rFonts w:ascii="Book Antiqua" w:hAnsi="Book Antiqua" w:cs="Times New Roman"/>
          <w:color w:val="000000" w:themeColor="text1"/>
          <w:sz w:val="24"/>
          <w:szCs w:val="24"/>
        </w:rPr>
        <w:t xml:space="preserve"> and </w:t>
      </w:r>
      <w:r w:rsidR="00337D32" w:rsidRPr="0050120B">
        <w:rPr>
          <w:rFonts w:ascii="Book Antiqua" w:hAnsi="Book Antiqua" w:cs="Times New Roman"/>
          <w:i/>
          <w:iCs/>
          <w:color w:val="000000" w:themeColor="text1"/>
          <w:sz w:val="24"/>
          <w:szCs w:val="24"/>
        </w:rPr>
        <w:t>in vivo</w:t>
      </w:r>
      <w:r w:rsidR="00337D32" w:rsidRPr="0050120B">
        <w:rPr>
          <w:rFonts w:ascii="Book Antiqua" w:hAnsi="Book Antiqua" w:cs="Times New Roman"/>
          <w:color w:val="000000" w:themeColor="text1"/>
          <w:sz w:val="24"/>
          <w:szCs w:val="24"/>
        </w:rPr>
        <w:t xml:space="preserve"> toxicity tests, including the measurement of zebrafish locomotor activity</w:t>
      </w:r>
      <w:r w:rsidRPr="0050120B">
        <w:rPr>
          <w:rFonts w:ascii="Book Antiqua" w:hAnsi="Book Antiqua" w:cs="Times New Roman"/>
          <w:color w:val="000000" w:themeColor="text1"/>
          <w:sz w:val="24"/>
          <w:szCs w:val="24"/>
        </w:rPr>
        <w:t>;</w:t>
      </w:r>
      <w:r w:rsidR="00337D32" w:rsidRPr="0050120B">
        <w:rPr>
          <w:rFonts w:ascii="Book Antiqua" w:hAnsi="Book Antiqua" w:cs="Times New Roman"/>
          <w:color w:val="000000" w:themeColor="text1"/>
          <w:sz w:val="24"/>
          <w:szCs w:val="24"/>
        </w:rPr>
        <w:t xml:space="preserve"> Kim</w:t>
      </w:r>
      <w:r w:rsidRPr="0050120B">
        <w:rPr>
          <w:rFonts w:ascii="Book Antiqua" w:hAnsi="Book Antiqua" w:cs="Times New Roman"/>
          <w:color w:val="000000" w:themeColor="text1"/>
          <w:sz w:val="24"/>
          <w:szCs w:val="24"/>
        </w:rPr>
        <w:t xml:space="preserve"> OH</w:t>
      </w:r>
      <w:r w:rsidR="00337D32" w:rsidRPr="0050120B">
        <w:rPr>
          <w:rFonts w:ascii="Book Antiqua" w:hAnsi="Book Antiqua" w:cs="Times New Roman"/>
          <w:color w:val="000000" w:themeColor="text1"/>
          <w:sz w:val="24"/>
          <w:szCs w:val="24"/>
        </w:rPr>
        <w:t xml:space="preserve">, Hong HE, and Seo HY principally involved in the </w:t>
      </w:r>
      <w:r w:rsidR="00337D32" w:rsidRPr="0050120B">
        <w:rPr>
          <w:rFonts w:ascii="Book Antiqua" w:hAnsi="Book Antiqua" w:cs="Times New Roman"/>
          <w:i/>
          <w:iCs/>
          <w:color w:val="000000" w:themeColor="text1"/>
          <w:sz w:val="24"/>
          <w:szCs w:val="24"/>
        </w:rPr>
        <w:t>in vitro</w:t>
      </w:r>
      <w:r w:rsidR="00337D32" w:rsidRPr="0050120B">
        <w:rPr>
          <w:rFonts w:ascii="Book Antiqua" w:hAnsi="Book Antiqua" w:cs="Times New Roman"/>
          <w:color w:val="000000" w:themeColor="text1"/>
          <w:sz w:val="24"/>
          <w:szCs w:val="24"/>
        </w:rPr>
        <w:t xml:space="preserve"> experiments</w:t>
      </w:r>
      <w:r w:rsidRPr="0050120B">
        <w:rPr>
          <w:rFonts w:ascii="Book Antiqua" w:hAnsi="Book Antiqua" w:cs="Times New Roman"/>
          <w:color w:val="000000" w:themeColor="text1"/>
          <w:sz w:val="24"/>
          <w:szCs w:val="24"/>
        </w:rPr>
        <w:t>;</w:t>
      </w:r>
      <w:r w:rsidR="00337D32" w:rsidRPr="0050120B">
        <w:rPr>
          <w:rFonts w:ascii="Book Antiqua" w:hAnsi="Book Antiqua" w:cs="Times New Roman"/>
          <w:color w:val="000000" w:themeColor="text1"/>
          <w:sz w:val="24"/>
          <w:szCs w:val="24"/>
        </w:rPr>
        <w:t xml:space="preserve"> Lee SC, Kim KH, Choi HJ, Hong TH, Park JH, Lee TY, and Ahn J were contributed to acquisition of human gallstones and participated in various </w:t>
      </w:r>
      <w:r w:rsidR="00337D32" w:rsidRPr="0050120B">
        <w:rPr>
          <w:rFonts w:ascii="Book Antiqua" w:hAnsi="Book Antiqua" w:cs="Times New Roman"/>
          <w:i/>
          <w:iCs/>
          <w:color w:val="000000" w:themeColor="text1"/>
          <w:sz w:val="24"/>
          <w:szCs w:val="24"/>
        </w:rPr>
        <w:t>in vivo</w:t>
      </w:r>
      <w:r w:rsidR="00337D32" w:rsidRPr="0050120B">
        <w:rPr>
          <w:rFonts w:ascii="Book Antiqua" w:hAnsi="Book Antiqua" w:cs="Times New Roman"/>
          <w:color w:val="000000" w:themeColor="text1"/>
          <w:sz w:val="24"/>
          <w:szCs w:val="24"/>
        </w:rPr>
        <w:t xml:space="preserve"> experiments</w:t>
      </w:r>
      <w:r w:rsidRPr="0050120B">
        <w:rPr>
          <w:rFonts w:ascii="Book Antiqua" w:hAnsi="Book Antiqua" w:cs="Times New Roman"/>
          <w:color w:val="000000" w:themeColor="text1"/>
          <w:sz w:val="24"/>
          <w:szCs w:val="24"/>
        </w:rPr>
        <w:t>;</w:t>
      </w:r>
      <w:r w:rsidR="00337D32" w:rsidRPr="0050120B">
        <w:rPr>
          <w:rFonts w:ascii="Book Antiqua" w:hAnsi="Book Antiqua" w:cs="Times New Roman"/>
          <w:color w:val="000000" w:themeColor="text1"/>
          <w:sz w:val="24"/>
          <w:szCs w:val="24"/>
        </w:rPr>
        <w:t xml:space="preserve"> </w:t>
      </w:r>
      <w:r w:rsidRPr="0050120B">
        <w:rPr>
          <w:rFonts w:ascii="Book Antiqua" w:hAnsi="Book Antiqua" w:cs="Times New Roman"/>
          <w:color w:val="000000" w:themeColor="text1"/>
          <w:sz w:val="24"/>
          <w:szCs w:val="24"/>
        </w:rPr>
        <w:t>a</w:t>
      </w:r>
      <w:r w:rsidR="00337D32" w:rsidRPr="0050120B">
        <w:rPr>
          <w:rFonts w:ascii="Book Antiqua" w:hAnsi="Book Antiqua" w:cs="Times New Roman"/>
          <w:color w:val="000000" w:themeColor="text1"/>
          <w:sz w:val="24"/>
          <w:szCs w:val="24"/>
        </w:rPr>
        <w:t>ll authors read and approved the manuscript.</w:t>
      </w:r>
    </w:p>
    <w:p w14:paraId="0165281D" w14:textId="20C08DA5" w:rsidR="00001799" w:rsidRPr="0050120B" w:rsidRDefault="00001799" w:rsidP="00001799">
      <w:pPr>
        <w:wordWrap/>
        <w:spacing w:after="0" w:line="360" w:lineRule="auto"/>
        <w:rPr>
          <w:rFonts w:ascii="Book Antiqua" w:hAnsi="Book Antiqua" w:cs="Times New Roman"/>
          <w:color w:val="000000" w:themeColor="text1"/>
          <w:sz w:val="24"/>
          <w:szCs w:val="24"/>
        </w:rPr>
      </w:pPr>
    </w:p>
    <w:p w14:paraId="08FD61CB" w14:textId="5AC136F7" w:rsidR="00337D32" w:rsidRPr="0050120B" w:rsidRDefault="00001799" w:rsidP="00001799">
      <w:pPr>
        <w:wordWrap/>
        <w:spacing w:after="0" w:line="360" w:lineRule="auto"/>
        <w:rPr>
          <w:rFonts w:ascii="Book Antiqua" w:hAnsi="Book Antiqua" w:cs="Times New Roman"/>
          <w:color w:val="000000" w:themeColor="text1"/>
          <w:sz w:val="24"/>
          <w:szCs w:val="24"/>
        </w:rPr>
      </w:pPr>
      <w:r w:rsidRPr="0050120B">
        <w:rPr>
          <w:rFonts w:ascii="Book Antiqua" w:eastAsia="宋体" w:hAnsi="Book Antiqua"/>
          <w:b/>
          <w:color w:val="000000" w:themeColor="text1"/>
          <w:sz w:val="24"/>
          <w:szCs w:val="24"/>
          <w:lang w:val="hu-HU" w:eastAsia="zh-CN"/>
        </w:rPr>
        <w:t>Institutional review board statement:</w:t>
      </w:r>
      <w:bookmarkStart w:id="15" w:name="_Hlk5628441"/>
      <w:bookmarkStart w:id="16" w:name="_Hlk5627282"/>
      <w:r w:rsidRPr="0050120B">
        <w:rPr>
          <w:rFonts w:ascii="Book Antiqua" w:eastAsia="宋体" w:hAnsi="Book Antiqua" w:hint="eastAsia"/>
          <w:color w:val="000000" w:themeColor="text1"/>
          <w:sz w:val="24"/>
          <w:szCs w:val="24"/>
          <w:lang w:eastAsia="zh-CN"/>
        </w:rPr>
        <w:t xml:space="preserve"> </w:t>
      </w:r>
      <w:r w:rsidR="00337D32" w:rsidRPr="0050120B">
        <w:rPr>
          <w:rFonts w:ascii="Book Antiqua" w:hAnsi="Book Antiqua" w:cs="Times New Roman"/>
          <w:color w:val="000000" w:themeColor="text1"/>
          <w:sz w:val="24"/>
          <w:szCs w:val="24"/>
        </w:rPr>
        <w:t>The study was approved by the Ethics Committee of Seoul St Mary’s hospital, the Catholic University of Korea (IRB code: KC18TESI0103).</w:t>
      </w:r>
    </w:p>
    <w:p w14:paraId="41667BDF" w14:textId="1CFF7BF8" w:rsidR="00001799" w:rsidRPr="0050120B" w:rsidRDefault="00001799" w:rsidP="00001799">
      <w:pPr>
        <w:wordWrap/>
        <w:spacing w:after="0" w:line="360" w:lineRule="auto"/>
        <w:rPr>
          <w:rFonts w:ascii="Book Antiqua" w:hAnsi="Book Antiqua" w:cs="Times New Roman"/>
          <w:color w:val="000000" w:themeColor="text1"/>
          <w:sz w:val="24"/>
          <w:szCs w:val="24"/>
        </w:rPr>
      </w:pPr>
    </w:p>
    <w:p w14:paraId="13E15B4C" w14:textId="0D8D836D" w:rsidR="00337D32" w:rsidRPr="0050120B" w:rsidRDefault="00001799" w:rsidP="00001799">
      <w:pPr>
        <w:wordWrap/>
        <w:spacing w:after="0" w:line="360" w:lineRule="auto"/>
        <w:rPr>
          <w:rFonts w:ascii="Book Antiqua" w:hAnsi="Book Antiqua" w:cs="Times New Roman"/>
          <w:color w:val="000000" w:themeColor="text1"/>
          <w:sz w:val="24"/>
          <w:szCs w:val="24"/>
        </w:rPr>
      </w:pPr>
      <w:r w:rsidRPr="0050120B">
        <w:rPr>
          <w:rFonts w:ascii="Book Antiqua" w:eastAsia="宋体" w:hAnsi="Book Antiqua"/>
          <w:b/>
          <w:color w:val="000000" w:themeColor="text1"/>
          <w:sz w:val="24"/>
          <w:szCs w:val="24"/>
          <w:lang w:val="hu-HU" w:eastAsia="zh-CN"/>
        </w:rPr>
        <w:t>Institutional animal care and use committee statement:</w:t>
      </w:r>
      <w:bookmarkEnd w:id="15"/>
      <w:bookmarkEnd w:id="16"/>
      <w:r w:rsidRPr="0050120B">
        <w:rPr>
          <w:rFonts w:ascii="Book Antiqua" w:eastAsia="宋体" w:hAnsi="Book Antiqua" w:hint="eastAsia"/>
          <w:b/>
          <w:color w:val="000000" w:themeColor="text1"/>
          <w:sz w:val="24"/>
          <w:szCs w:val="24"/>
          <w:lang w:val="hu-HU" w:eastAsia="zh-CN"/>
        </w:rPr>
        <w:t xml:space="preserve"> </w:t>
      </w:r>
      <w:r w:rsidR="00337D32" w:rsidRPr="0050120B">
        <w:rPr>
          <w:rFonts w:ascii="Book Antiqua" w:hAnsi="Book Antiqua" w:cs="Times New Roman"/>
          <w:color w:val="000000" w:themeColor="text1"/>
          <w:sz w:val="24"/>
          <w:szCs w:val="24"/>
        </w:rPr>
        <w:t>This animal study was approved by the Institutional Animal Care and Use Committee of the Clinical Research Institute at Daejeon St. Mary’s Hospital at the Catholic University of Korea (IRB No. CMCDJ-AP-2016-004).</w:t>
      </w:r>
    </w:p>
    <w:p w14:paraId="08F79D01" w14:textId="1E4EEFE1" w:rsidR="00001799" w:rsidRPr="0050120B" w:rsidRDefault="00001799" w:rsidP="00001799">
      <w:pPr>
        <w:wordWrap/>
        <w:spacing w:after="0" w:line="360" w:lineRule="auto"/>
        <w:rPr>
          <w:rFonts w:ascii="Book Antiqua" w:hAnsi="Book Antiqua" w:cs="Times New Roman"/>
          <w:color w:val="000000" w:themeColor="text1"/>
          <w:sz w:val="24"/>
          <w:szCs w:val="24"/>
        </w:rPr>
      </w:pPr>
    </w:p>
    <w:p w14:paraId="65C1FA3F" w14:textId="30748D98" w:rsidR="00337D32" w:rsidRPr="0050120B" w:rsidRDefault="00001799" w:rsidP="00001799">
      <w:pPr>
        <w:wordWrap/>
        <w:spacing w:after="0" w:line="360" w:lineRule="auto"/>
        <w:rPr>
          <w:rFonts w:ascii="Book Antiqua" w:hAnsi="Book Antiqua" w:cs="Times New Roman"/>
          <w:color w:val="000000" w:themeColor="text1"/>
          <w:sz w:val="24"/>
          <w:szCs w:val="24"/>
        </w:rPr>
      </w:pPr>
      <w:r w:rsidRPr="0050120B">
        <w:rPr>
          <w:rFonts w:ascii="Book Antiqua" w:eastAsia="宋体" w:hAnsi="Book Antiqua"/>
          <w:b/>
          <w:color w:val="000000" w:themeColor="text1"/>
          <w:sz w:val="24"/>
          <w:szCs w:val="24"/>
          <w:lang w:val="hu-HU" w:eastAsia="zh-CN"/>
        </w:rPr>
        <w:t>Conflict-of-interest statement:</w:t>
      </w:r>
      <w:r w:rsidRPr="0050120B">
        <w:rPr>
          <w:rFonts w:ascii="Book Antiqua" w:eastAsia="宋体" w:hAnsi="Book Antiqua" w:hint="eastAsia"/>
          <w:b/>
          <w:color w:val="000000" w:themeColor="text1"/>
          <w:sz w:val="24"/>
          <w:szCs w:val="24"/>
          <w:lang w:val="hu-HU" w:eastAsia="zh-CN"/>
        </w:rPr>
        <w:t xml:space="preserve"> </w:t>
      </w:r>
      <w:r w:rsidR="00337D32" w:rsidRPr="0050120B">
        <w:rPr>
          <w:rFonts w:ascii="Book Antiqua" w:hAnsi="Book Antiqua" w:cs="Times New Roman"/>
          <w:color w:val="000000" w:themeColor="text1"/>
          <w:sz w:val="24"/>
          <w:szCs w:val="24"/>
        </w:rPr>
        <w:t>All the Authors have no conflict of interest related to the manuscript</w:t>
      </w:r>
      <w:r w:rsidR="00F7161D">
        <w:rPr>
          <w:rFonts w:ascii="Book Antiqua" w:hAnsi="Book Antiqua" w:cs="Times New Roman"/>
          <w:color w:val="000000" w:themeColor="text1"/>
          <w:sz w:val="24"/>
          <w:szCs w:val="24"/>
        </w:rPr>
        <w:t xml:space="preserve">; Authors got grant from </w:t>
      </w:r>
      <w:r w:rsidR="00F7161D" w:rsidRPr="00F7161D">
        <w:rPr>
          <w:rFonts w:ascii="Book Antiqua" w:hAnsi="Book Antiqua" w:cs="Times New Roman"/>
          <w:color w:val="000000" w:themeColor="text1"/>
          <w:sz w:val="24"/>
          <w:szCs w:val="24"/>
        </w:rPr>
        <w:t>Catholic Medical Center Research Foundation</w:t>
      </w:r>
      <w:r w:rsidR="00F7161D">
        <w:rPr>
          <w:rFonts w:ascii="Book Antiqua" w:hAnsi="Book Antiqua" w:cs="Times New Roman"/>
          <w:color w:val="000000" w:themeColor="text1"/>
          <w:sz w:val="24"/>
          <w:szCs w:val="24"/>
        </w:rPr>
        <w:t>.</w:t>
      </w:r>
    </w:p>
    <w:p w14:paraId="31DEE918" w14:textId="4FA0FDA2" w:rsidR="00001799" w:rsidRPr="0050120B" w:rsidRDefault="00001799" w:rsidP="00001799">
      <w:pPr>
        <w:wordWrap/>
        <w:spacing w:after="0" w:line="360" w:lineRule="auto"/>
        <w:rPr>
          <w:rFonts w:ascii="Book Antiqua" w:hAnsi="Book Antiqua" w:cs="Times New Roman"/>
          <w:color w:val="000000" w:themeColor="text1"/>
          <w:sz w:val="24"/>
          <w:szCs w:val="24"/>
        </w:rPr>
      </w:pPr>
    </w:p>
    <w:p w14:paraId="3536F058" w14:textId="555E660A" w:rsidR="00337D32" w:rsidRPr="0050120B" w:rsidRDefault="00001799" w:rsidP="00001799">
      <w:pPr>
        <w:wordWrap/>
        <w:spacing w:after="0" w:line="360" w:lineRule="auto"/>
        <w:rPr>
          <w:rFonts w:ascii="Book Antiqua" w:hAnsi="Book Antiqua" w:cs="Times New Roman"/>
          <w:color w:val="000000" w:themeColor="text1"/>
          <w:sz w:val="24"/>
          <w:szCs w:val="24"/>
        </w:rPr>
      </w:pPr>
      <w:r w:rsidRPr="0050120B">
        <w:rPr>
          <w:rFonts w:ascii="Book Antiqua" w:eastAsia="宋体" w:hAnsi="Book Antiqua"/>
          <w:b/>
          <w:color w:val="000000" w:themeColor="text1"/>
          <w:sz w:val="24"/>
          <w:szCs w:val="24"/>
          <w:lang w:val="hu-HU" w:eastAsia="zh-CN"/>
        </w:rPr>
        <w:t xml:space="preserve">ARRIVE guidelines statement: </w:t>
      </w:r>
      <w:r w:rsidR="00337D32" w:rsidRPr="0050120B">
        <w:rPr>
          <w:rFonts w:ascii="Book Antiqua" w:hAnsi="Book Antiqua" w:cs="Times New Roman"/>
          <w:color w:val="000000" w:themeColor="text1"/>
          <w:sz w:val="24"/>
          <w:szCs w:val="24"/>
        </w:rPr>
        <w:t>The authors have read the ARRIVE guidelines, and the manuscript was prepared and revised according to the ARRIVE guidelines.</w:t>
      </w:r>
    </w:p>
    <w:p w14:paraId="217D80A6" w14:textId="66BD332C" w:rsidR="00001799" w:rsidRPr="0050120B" w:rsidRDefault="00001799" w:rsidP="00001799">
      <w:pPr>
        <w:wordWrap/>
        <w:spacing w:after="0" w:line="360" w:lineRule="auto"/>
        <w:rPr>
          <w:rFonts w:ascii="Book Antiqua" w:hAnsi="Book Antiqua" w:cs="Times New Roman"/>
          <w:color w:val="000000" w:themeColor="text1"/>
          <w:sz w:val="24"/>
          <w:szCs w:val="24"/>
        </w:rPr>
      </w:pPr>
    </w:p>
    <w:p w14:paraId="0E3DA6F7" w14:textId="77777777" w:rsidR="00001799" w:rsidRPr="0050120B" w:rsidRDefault="00001799" w:rsidP="00001799">
      <w:pPr>
        <w:widowControl/>
        <w:wordWrap/>
        <w:autoSpaceDE/>
        <w:autoSpaceDN/>
        <w:adjustRightInd w:val="0"/>
        <w:snapToGrid w:val="0"/>
        <w:spacing w:after="0" w:line="360" w:lineRule="auto"/>
        <w:rPr>
          <w:rFonts w:ascii="Book Antiqua" w:eastAsia="宋体" w:hAnsi="Book Antiqua" w:cs="Times New Roman"/>
          <w:color w:val="000000"/>
          <w:kern w:val="0"/>
          <w:sz w:val="24"/>
          <w:szCs w:val="24"/>
          <w:lang w:val="hu-HU" w:eastAsia="en-US"/>
        </w:rPr>
      </w:pPr>
      <w:bookmarkStart w:id="17" w:name="OLE_LINK856"/>
      <w:r w:rsidRPr="0050120B">
        <w:rPr>
          <w:rFonts w:ascii="Book Antiqua" w:eastAsia="宋体" w:hAnsi="Book Antiqua" w:cs="Times New Roman"/>
          <w:b/>
          <w:color w:val="000000"/>
          <w:kern w:val="0"/>
          <w:sz w:val="24"/>
          <w:szCs w:val="24"/>
          <w:lang w:val="hu-HU" w:eastAsia="en-US"/>
        </w:rPr>
        <w:t>Open-Access:</w:t>
      </w:r>
      <w:r w:rsidRPr="0050120B">
        <w:rPr>
          <w:rFonts w:ascii="Book Antiqua" w:eastAsia="宋体" w:hAnsi="Book Antiqua" w:cs="Times New Roman"/>
          <w:color w:val="000000"/>
          <w:kern w:val="0"/>
          <w:sz w:val="24"/>
          <w:szCs w:val="24"/>
          <w:lang w:val="hu-HU" w:eastAsia="en-US"/>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w:t>
      </w:r>
      <w:r w:rsidRPr="0050120B">
        <w:rPr>
          <w:rFonts w:ascii="Book Antiqua" w:eastAsia="宋体" w:hAnsi="Book Antiqua" w:cs="Times New Roman"/>
          <w:color w:val="000000"/>
          <w:kern w:val="0"/>
          <w:sz w:val="24"/>
          <w:szCs w:val="24"/>
          <w:lang w:val="hu-HU" w:eastAsia="en-US"/>
        </w:rPr>
        <w:lastRenderedPageBreak/>
        <w:t>original work is properly cited and the use is non-commercial. See: http://creativecommons.org/licenses/by-nc/4.0/</w:t>
      </w:r>
    </w:p>
    <w:p w14:paraId="6E3AF77E" w14:textId="77777777" w:rsidR="00001799" w:rsidRPr="0050120B" w:rsidRDefault="00001799" w:rsidP="00001799">
      <w:pPr>
        <w:widowControl/>
        <w:wordWrap/>
        <w:autoSpaceDE/>
        <w:autoSpaceDN/>
        <w:adjustRightInd w:val="0"/>
        <w:snapToGrid w:val="0"/>
        <w:spacing w:after="0" w:line="360" w:lineRule="auto"/>
        <w:rPr>
          <w:rFonts w:ascii="Book Antiqua" w:eastAsia="宋体" w:hAnsi="Book Antiqua" w:cs="Times New Roman"/>
          <w:color w:val="000000"/>
          <w:kern w:val="0"/>
          <w:sz w:val="24"/>
          <w:szCs w:val="24"/>
          <w:lang w:val="hu-HU" w:eastAsia="en-US"/>
        </w:rPr>
      </w:pPr>
    </w:p>
    <w:p w14:paraId="67358B97" w14:textId="77777777" w:rsidR="00001799" w:rsidRPr="0050120B" w:rsidRDefault="00001799" w:rsidP="00001799">
      <w:pPr>
        <w:widowControl/>
        <w:wordWrap/>
        <w:autoSpaceDE/>
        <w:autoSpaceDN/>
        <w:snapToGrid w:val="0"/>
        <w:spacing w:after="0" w:line="360" w:lineRule="auto"/>
        <w:rPr>
          <w:rFonts w:ascii="Book Antiqua" w:eastAsia="宋体" w:hAnsi="Book Antiqua" w:cs="Times New Roman"/>
          <w:b/>
          <w:bCs/>
          <w:color w:val="000000"/>
          <w:kern w:val="0"/>
          <w:sz w:val="24"/>
          <w:szCs w:val="24"/>
          <w:lang w:eastAsia="zh-CN"/>
        </w:rPr>
      </w:pPr>
      <w:r w:rsidRPr="0050120B">
        <w:rPr>
          <w:rFonts w:ascii="Book Antiqua" w:eastAsia="宋体" w:hAnsi="Book Antiqua" w:cs="Times New Roman"/>
          <w:b/>
          <w:bCs/>
          <w:color w:val="000000"/>
          <w:kern w:val="0"/>
          <w:sz w:val="24"/>
          <w:szCs w:val="24"/>
          <w:lang w:eastAsia="pl-PL"/>
        </w:rPr>
        <w:t>Manuscript source:</w:t>
      </w:r>
      <w:r w:rsidRPr="0050120B">
        <w:rPr>
          <w:rFonts w:ascii="Book Antiqua" w:eastAsia="宋体" w:hAnsi="Book Antiqua" w:cs="Times New Roman"/>
          <w:b/>
          <w:bCs/>
          <w:color w:val="000000"/>
          <w:kern w:val="0"/>
          <w:sz w:val="24"/>
          <w:szCs w:val="24"/>
          <w:lang w:eastAsia="zh-CN"/>
        </w:rPr>
        <w:t xml:space="preserve"> </w:t>
      </w:r>
      <w:r w:rsidRPr="0050120B">
        <w:rPr>
          <w:rFonts w:ascii="Book Antiqua" w:eastAsia="宋体" w:hAnsi="Book Antiqua" w:cs="Times New Roman"/>
          <w:bCs/>
          <w:color w:val="000000"/>
          <w:kern w:val="0"/>
          <w:sz w:val="24"/>
          <w:szCs w:val="24"/>
          <w:lang w:eastAsia="pl-PL"/>
        </w:rPr>
        <w:t>Unsolicited manuscript</w:t>
      </w:r>
    </w:p>
    <w:bookmarkEnd w:id="17"/>
    <w:p w14:paraId="03611B25" w14:textId="77777777" w:rsidR="00001799" w:rsidRPr="0050120B" w:rsidRDefault="00001799" w:rsidP="00001799">
      <w:pPr>
        <w:wordWrap/>
        <w:spacing w:after="0" w:line="360" w:lineRule="auto"/>
        <w:rPr>
          <w:rFonts w:ascii="Book Antiqua" w:eastAsia="宋体" w:hAnsi="Book Antiqua"/>
          <w:b/>
          <w:color w:val="000000" w:themeColor="text1"/>
          <w:sz w:val="24"/>
          <w:szCs w:val="24"/>
          <w:lang w:eastAsia="zh-CN"/>
        </w:rPr>
      </w:pPr>
    </w:p>
    <w:p w14:paraId="0C80CB4F" w14:textId="53AC73CE" w:rsidR="00AD4A5A" w:rsidRPr="0050120B" w:rsidRDefault="00001799" w:rsidP="00AD4A5A">
      <w:pPr>
        <w:widowControl/>
        <w:wordWrap/>
        <w:autoSpaceDE/>
        <w:autoSpaceDN/>
        <w:spacing w:after="0" w:line="360" w:lineRule="auto"/>
        <w:rPr>
          <w:rFonts w:ascii="Book Antiqua" w:hAnsi="Book Antiqua" w:cs="Times New Roman"/>
          <w:color w:val="000000" w:themeColor="text1"/>
          <w:sz w:val="24"/>
          <w:szCs w:val="24"/>
        </w:rPr>
      </w:pPr>
      <w:bookmarkStart w:id="18" w:name="OLE_LINK1"/>
      <w:bookmarkStart w:id="19" w:name="OLE_LINK2"/>
      <w:r w:rsidRPr="0050120B">
        <w:rPr>
          <w:rFonts w:ascii="Book Antiqua" w:hAnsi="Book Antiqua" w:cs="Garamond-Bold"/>
          <w:b/>
          <w:bCs/>
          <w:color w:val="000000" w:themeColor="text1"/>
          <w:sz w:val="24"/>
          <w:szCs w:val="24"/>
          <w:lang w:val="hu-HU"/>
        </w:rPr>
        <w:t>Corresponding author:</w:t>
      </w:r>
      <w:bookmarkEnd w:id="18"/>
      <w:bookmarkEnd w:id="19"/>
      <w:r w:rsidRPr="0050120B">
        <w:rPr>
          <w:rFonts w:ascii="Book Antiqua" w:hAnsi="Book Antiqua" w:cs="Garamond-Bold"/>
          <w:bCs/>
          <w:color w:val="000000" w:themeColor="text1"/>
          <w:sz w:val="24"/>
          <w:szCs w:val="24"/>
          <w:lang w:val="hu-HU"/>
        </w:rPr>
        <w:t xml:space="preserve"> </w:t>
      </w:r>
      <w:r w:rsidRPr="0050120B">
        <w:rPr>
          <w:rFonts w:ascii="Book Antiqua" w:hAnsi="Book Antiqua" w:cs="Times New Roman"/>
          <w:b/>
          <w:color w:val="000000" w:themeColor="text1"/>
          <w:sz w:val="24"/>
          <w:szCs w:val="24"/>
        </w:rPr>
        <w:t>Say-June Kim,</w:t>
      </w:r>
      <w:r w:rsidRPr="0050120B">
        <w:rPr>
          <w:rFonts w:ascii="Book Antiqua" w:hAnsi="Book Antiqua" w:cs="Times New Roman"/>
          <w:color w:val="000000" w:themeColor="text1"/>
          <w:sz w:val="24"/>
          <w:szCs w:val="24"/>
        </w:rPr>
        <w:t xml:space="preserve"> </w:t>
      </w:r>
      <w:r w:rsidRPr="0050120B">
        <w:rPr>
          <w:rFonts w:ascii="Book Antiqua" w:hAnsi="Book Antiqua" w:cs="Times New Roman"/>
          <w:b/>
          <w:bCs/>
          <w:color w:val="000000" w:themeColor="text1"/>
          <w:sz w:val="24"/>
          <w:szCs w:val="24"/>
        </w:rPr>
        <w:t xml:space="preserve">MD, PhD, Professor, Surgeon, </w:t>
      </w:r>
      <w:bookmarkStart w:id="20" w:name="OLE_LINK24"/>
      <w:r w:rsidR="00AD4A5A" w:rsidRPr="0050120B">
        <w:rPr>
          <w:rFonts w:ascii="Book Antiqua" w:hAnsi="Book Antiqua" w:cs="Times New Roman"/>
          <w:color w:val="000000" w:themeColor="text1"/>
          <w:sz w:val="24"/>
          <w:szCs w:val="24"/>
        </w:rPr>
        <w:t>Department of Surgery</w:t>
      </w:r>
      <w:bookmarkEnd w:id="20"/>
      <w:r w:rsidR="00AD4A5A" w:rsidRPr="0050120B">
        <w:rPr>
          <w:rFonts w:ascii="Book Antiqua" w:hAnsi="Book Antiqua" w:cs="Times New Roman"/>
          <w:color w:val="000000" w:themeColor="text1"/>
          <w:sz w:val="24"/>
          <w:szCs w:val="24"/>
        </w:rPr>
        <w:t xml:space="preserve">, </w:t>
      </w:r>
      <w:bookmarkStart w:id="21" w:name="OLE_LINK25"/>
      <w:r w:rsidR="00AD4A5A" w:rsidRPr="0050120B">
        <w:rPr>
          <w:rFonts w:ascii="Book Antiqua" w:hAnsi="Book Antiqua" w:cs="Times New Roman"/>
          <w:color w:val="000000" w:themeColor="text1"/>
          <w:sz w:val="24"/>
          <w:szCs w:val="24"/>
        </w:rPr>
        <w:t>Seoul St. Mary’s Hospital, College of Medicine, the Catholic University of Korea</w:t>
      </w:r>
      <w:bookmarkEnd w:id="21"/>
      <w:r w:rsidR="00AD4A5A" w:rsidRPr="0050120B">
        <w:rPr>
          <w:rFonts w:ascii="Book Antiqua" w:hAnsi="Book Antiqua" w:cs="Times New Roman"/>
          <w:color w:val="000000" w:themeColor="text1"/>
          <w:sz w:val="24"/>
          <w:szCs w:val="24"/>
        </w:rPr>
        <w:t xml:space="preserve">, </w:t>
      </w:r>
      <w:bookmarkStart w:id="22" w:name="OLE_LINK26"/>
      <w:bookmarkStart w:id="23" w:name="OLE_LINK27"/>
      <w:r w:rsidR="00AD4A5A" w:rsidRPr="0050120B">
        <w:rPr>
          <w:rFonts w:ascii="Book Antiqua" w:hAnsi="Book Antiqua" w:cs="Times New Roman"/>
          <w:color w:val="000000" w:themeColor="text1"/>
          <w:sz w:val="24"/>
          <w:szCs w:val="24"/>
        </w:rPr>
        <w:t>222, Banpo-daero, Seocho-gu</w:t>
      </w:r>
      <w:bookmarkEnd w:id="22"/>
      <w:bookmarkEnd w:id="23"/>
      <w:r w:rsidR="00AD4A5A" w:rsidRPr="0050120B">
        <w:rPr>
          <w:rFonts w:ascii="Book Antiqua" w:hAnsi="Book Antiqua" w:cs="Times New Roman"/>
          <w:color w:val="000000" w:themeColor="text1"/>
          <w:sz w:val="24"/>
          <w:szCs w:val="24"/>
        </w:rPr>
        <w:t xml:space="preserve">, Seoul 06591, South Korea. </w:t>
      </w:r>
      <w:hyperlink r:id="rId7" w:history="1">
        <w:r w:rsidR="00AD4A5A" w:rsidRPr="0050120B">
          <w:rPr>
            <w:rStyle w:val="aa"/>
            <w:rFonts w:ascii="Book Antiqua" w:hAnsi="Book Antiqua" w:cs="Times New Roman"/>
            <w:color w:val="000000" w:themeColor="text1"/>
            <w:sz w:val="24"/>
            <w:szCs w:val="24"/>
            <w:u w:val="none"/>
          </w:rPr>
          <w:t>sayjunekim@gmail.com</w:t>
        </w:r>
      </w:hyperlink>
    </w:p>
    <w:p w14:paraId="34902936" w14:textId="0406BB76" w:rsidR="00001799" w:rsidRPr="0050120B" w:rsidRDefault="00AD4A5A" w:rsidP="00001799">
      <w:pPr>
        <w:wordWrap/>
        <w:adjustRightInd w:val="0"/>
        <w:spacing w:after="0" w:line="360" w:lineRule="auto"/>
        <w:rPr>
          <w:rFonts w:ascii="Book Antiqua" w:hAnsi="Book Antiqua" w:cs="Garamond-Bold"/>
          <w:bCs/>
          <w:color w:val="000000" w:themeColor="text1"/>
          <w:sz w:val="24"/>
          <w:szCs w:val="24"/>
        </w:rPr>
      </w:pPr>
      <w:bookmarkStart w:id="24" w:name="_Hlk10097752"/>
      <w:r w:rsidRPr="0050120B">
        <w:rPr>
          <w:rFonts w:ascii="Book Antiqua" w:hAnsi="Book Antiqua" w:cs="Garamond-Bold"/>
          <w:b/>
          <w:bCs/>
          <w:color w:val="000000" w:themeColor="text1"/>
          <w:sz w:val="24"/>
          <w:szCs w:val="24"/>
          <w:lang w:val="hu-HU"/>
        </w:rPr>
        <w:t>Telephone:</w:t>
      </w:r>
      <w:bookmarkEnd w:id="24"/>
      <w:r w:rsidRPr="0050120B">
        <w:rPr>
          <w:rFonts w:ascii="Book Antiqua" w:hAnsi="Book Antiqua" w:cs="Garamond-Bold"/>
          <w:b/>
          <w:bCs/>
          <w:color w:val="000000" w:themeColor="text1"/>
          <w:sz w:val="24"/>
          <w:szCs w:val="24"/>
          <w:lang w:val="hu-HU"/>
        </w:rPr>
        <w:t xml:space="preserve"> </w:t>
      </w:r>
      <w:r w:rsidRPr="0050120B">
        <w:rPr>
          <w:rFonts w:ascii="Book Antiqua" w:hAnsi="Book Antiqua" w:cs="Times New Roman"/>
          <w:color w:val="000000" w:themeColor="text1"/>
          <w:sz w:val="24"/>
          <w:szCs w:val="24"/>
        </w:rPr>
        <w:t>+82-10-87737616</w:t>
      </w:r>
    </w:p>
    <w:p w14:paraId="05AE3F0B" w14:textId="6AEBA371" w:rsidR="005A44DE" w:rsidRPr="0050120B" w:rsidRDefault="00AD4A5A" w:rsidP="00001799">
      <w:pPr>
        <w:wordWrap/>
        <w:adjustRightInd w:val="0"/>
        <w:spacing w:after="0" w:line="360" w:lineRule="auto"/>
        <w:rPr>
          <w:rFonts w:ascii="Book Antiqua" w:hAnsi="Book Antiqua" w:cs="Garamond-Bold"/>
          <w:bCs/>
          <w:color w:val="000000" w:themeColor="text1"/>
          <w:sz w:val="24"/>
          <w:szCs w:val="24"/>
        </w:rPr>
      </w:pPr>
      <w:r w:rsidRPr="0050120B">
        <w:rPr>
          <w:rFonts w:ascii="Book Antiqua" w:hAnsi="Book Antiqua" w:cs="Times New Roman"/>
          <w:b/>
          <w:bCs/>
          <w:color w:val="000000" w:themeColor="text1"/>
          <w:sz w:val="24"/>
          <w:szCs w:val="24"/>
        </w:rPr>
        <w:t>F</w:t>
      </w:r>
      <w:r w:rsidR="005A44DE" w:rsidRPr="0050120B">
        <w:rPr>
          <w:rFonts w:ascii="Book Antiqua" w:hAnsi="Book Antiqua" w:cs="Times New Roman"/>
          <w:b/>
          <w:bCs/>
          <w:color w:val="000000" w:themeColor="text1"/>
          <w:sz w:val="24"/>
          <w:szCs w:val="24"/>
        </w:rPr>
        <w:t>ax:</w:t>
      </w:r>
      <w:r w:rsidR="005A44DE" w:rsidRPr="0050120B">
        <w:rPr>
          <w:rFonts w:ascii="Book Antiqua" w:hAnsi="Book Antiqua" w:cs="Times New Roman"/>
          <w:color w:val="000000" w:themeColor="text1"/>
          <w:sz w:val="24"/>
          <w:szCs w:val="24"/>
        </w:rPr>
        <w:t xml:space="preserve"> +82</w:t>
      </w:r>
      <w:r w:rsidRPr="0050120B">
        <w:rPr>
          <w:rFonts w:ascii="Book Antiqua" w:hAnsi="Book Antiqua" w:cs="Times New Roman"/>
          <w:color w:val="000000" w:themeColor="text1"/>
          <w:sz w:val="24"/>
          <w:szCs w:val="24"/>
        </w:rPr>
        <w:t>-</w:t>
      </w:r>
      <w:r w:rsidR="005A44DE" w:rsidRPr="0050120B">
        <w:rPr>
          <w:rFonts w:ascii="Book Antiqua" w:hAnsi="Book Antiqua" w:cs="Times New Roman"/>
          <w:color w:val="000000" w:themeColor="text1"/>
          <w:sz w:val="24"/>
          <w:szCs w:val="24"/>
        </w:rPr>
        <w:t>2-5350070</w:t>
      </w:r>
    </w:p>
    <w:p w14:paraId="38B10737" w14:textId="6CEA0FC6" w:rsidR="00337D32" w:rsidRPr="0050120B" w:rsidRDefault="00337D32" w:rsidP="0075341C">
      <w:pPr>
        <w:wordWrap/>
        <w:adjustRightInd w:val="0"/>
        <w:spacing w:after="0" w:line="360" w:lineRule="auto"/>
        <w:rPr>
          <w:rFonts w:ascii="Book Antiqua" w:hAnsi="Book Antiqua" w:cs="Garamond-Bold"/>
          <w:bCs/>
          <w:color w:val="000000" w:themeColor="text1"/>
          <w:sz w:val="24"/>
          <w:szCs w:val="24"/>
        </w:rPr>
      </w:pPr>
    </w:p>
    <w:p w14:paraId="1A4F213E" w14:textId="7048CAED" w:rsidR="00C86861" w:rsidRPr="0050120B" w:rsidRDefault="00C86861" w:rsidP="00C86861">
      <w:pPr>
        <w:wordWrap/>
        <w:autoSpaceDE/>
        <w:autoSpaceDN/>
        <w:spacing w:after="0" w:line="360" w:lineRule="auto"/>
        <w:rPr>
          <w:rFonts w:ascii="Book Antiqua" w:eastAsia="宋体" w:hAnsi="Book Antiqua" w:cs="Times New Roman"/>
          <w:b/>
          <w:sz w:val="24"/>
          <w:szCs w:val="24"/>
          <w:lang w:eastAsia="zh-CN"/>
        </w:rPr>
      </w:pPr>
      <w:bookmarkStart w:id="25" w:name="OLE_LINK75"/>
      <w:bookmarkStart w:id="26" w:name="OLE_LINK76"/>
      <w:bookmarkStart w:id="27" w:name="OLE_LINK269"/>
      <w:bookmarkStart w:id="28" w:name="OLE_LINK239"/>
      <w:r w:rsidRPr="0050120B">
        <w:rPr>
          <w:rFonts w:ascii="Book Antiqua" w:eastAsia="宋体" w:hAnsi="Book Antiqua" w:cs="Times New Roman"/>
          <w:b/>
          <w:sz w:val="24"/>
          <w:szCs w:val="24"/>
          <w:lang w:eastAsia="zh-CN"/>
        </w:rPr>
        <w:t xml:space="preserve">Received: </w:t>
      </w:r>
      <w:r w:rsidRPr="0050120B">
        <w:rPr>
          <w:rFonts w:ascii="Book Antiqua" w:eastAsia="宋体" w:hAnsi="Book Antiqua" w:cs="Times New Roman"/>
          <w:sz w:val="24"/>
          <w:szCs w:val="24"/>
          <w:lang w:eastAsia="zh-CN"/>
        </w:rPr>
        <w:t>July 2, 2019</w:t>
      </w:r>
    </w:p>
    <w:p w14:paraId="68BB0350" w14:textId="053E8A3D" w:rsidR="00C86861" w:rsidRPr="0050120B" w:rsidRDefault="00C86861" w:rsidP="00C86861">
      <w:pPr>
        <w:wordWrap/>
        <w:autoSpaceDE/>
        <w:autoSpaceDN/>
        <w:spacing w:after="0" w:line="360" w:lineRule="auto"/>
        <w:rPr>
          <w:rFonts w:ascii="Book Antiqua" w:eastAsia="宋体" w:hAnsi="Book Antiqua" w:cs="Times New Roman"/>
          <w:b/>
          <w:sz w:val="24"/>
          <w:szCs w:val="24"/>
          <w:lang w:eastAsia="zh-CN"/>
        </w:rPr>
      </w:pPr>
      <w:r w:rsidRPr="0050120B">
        <w:rPr>
          <w:rFonts w:ascii="Book Antiqua" w:eastAsia="宋体" w:hAnsi="Book Antiqua" w:cs="Times New Roman"/>
          <w:b/>
          <w:sz w:val="24"/>
          <w:szCs w:val="24"/>
          <w:lang w:eastAsia="zh-CN"/>
        </w:rPr>
        <w:t xml:space="preserve">Peer-review started: </w:t>
      </w:r>
      <w:r w:rsidRPr="0050120B">
        <w:rPr>
          <w:rFonts w:ascii="Book Antiqua" w:eastAsia="宋体" w:hAnsi="Book Antiqua" w:cs="Times New Roman"/>
          <w:sz w:val="24"/>
          <w:szCs w:val="24"/>
          <w:lang w:eastAsia="zh-CN"/>
        </w:rPr>
        <w:t>July 2, 2019</w:t>
      </w:r>
    </w:p>
    <w:p w14:paraId="697B1251" w14:textId="2550BC27" w:rsidR="00C86861" w:rsidRPr="0050120B" w:rsidRDefault="00C86861" w:rsidP="00C86861">
      <w:pPr>
        <w:wordWrap/>
        <w:autoSpaceDE/>
        <w:autoSpaceDN/>
        <w:spacing w:after="0" w:line="360" w:lineRule="auto"/>
        <w:rPr>
          <w:rFonts w:ascii="Book Antiqua" w:eastAsia="宋体" w:hAnsi="Book Antiqua" w:cs="Times New Roman"/>
          <w:b/>
          <w:sz w:val="24"/>
          <w:szCs w:val="24"/>
          <w:lang w:eastAsia="zh-CN"/>
        </w:rPr>
      </w:pPr>
      <w:r w:rsidRPr="0050120B">
        <w:rPr>
          <w:rFonts w:ascii="Book Antiqua" w:eastAsia="宋体" w:hAnsi="Book Antiqua" w:cs="Times New Roman"/>
          <w:b/>
          <w:sz w:val="24"/>
          <w:szCs w:val="24"/>
          <w:lang w:eastAsia="zh-CN"/>
        </w:rPr>
        <w:t xml:space="preserve">First decision: </w:t>
      </w:r>
      <w:r w:rsidRPr="0050120B">
        <w:rPr>
          <w:rFonts w:ascii="Book Antiqua" w:eastAsia="宋体" w:hAnsi="Book Antiqua" w:cs="Times New Roman"/>
          <w:sz w:val="24"/>
          <w:szCs w:val="24"/>
          <w:lang w:eastAsia="zh-CN"/>
        </w:rPr>
        <w:t>August 2, 2019</w:t>
      </w:r>
    </w:p>
    <w:p w14:paraId="317A89BD" w14:textId="7F1832E3" w:rsidR="00C86861" w:rsidRPr="0050120B" w:rsidRDefault="00C86861" w:rsidP="00C86861">
      <w:pPr>
        <w:wordWrap/>
        <w:autoSpaceDE/>
        <w:autoSpaceDN/>
        <w:spacing w:after="0" w:line="360" w:lineRule="auto"/>
        <w:rPr>
          <w:rFonts w:ascii="Book Antiqua" w:eastAsia="宋体" w:hAnsi="Book Antiqua" w:cs="Times New Roman"/>
          <w:b/>
          <w:sz w:val="24"/>
          <w:szCs w:val="24"/>
          <w:lang w:eastAsia="zh-CN"/>
        </w:rPr>
      </w:pPr>
      <w:r w:rsidRPr="0050120B">
        <w:rPr>
          <w:rFonts w:ascii="Book Antiqua" w:eastAsia="宋体" w:hAnsi="Book Antiqua" w:cs="Times New Roman"/>
          <w:b/>
          <w:sz w:val="24"/>
          <w:szCs w:val="24"/>
          <w:lang w:eastAsia="zh-CN"/>
        </w:rPr>
        <w:t xml:space="preserve">Revised: </w:t>
      </w:r>
      <w:r w:rsidRPr="0050120B">
        <w:rPr>
          <w:rFonts w:ascii="Book Antiqua" w:eastAsia="宋体" w:hAnsi="Book Antiqua" w:cs="Times New Roman"/>
          <w:sz w:val="24"/>
          <w:szCs w:val="24"/>
          <w:lang w:eastAsia="zh-CN"/>
        </w:rPr>
        <w:t>August 19, 2019</w:t>
      </w:r>
    </w:p>
    <w:p w14:paraId="4502E91B" w14:textId="6B29A7D4" w:rsidR="00C86861" w:rsidRPr="0050120B" w:rsidRDefault="00C86861" w:rsidP="00C86861">
      <w:pPr>
        <w:wordWrap/>
        <w:autoSpaceDE/>
        <w:autoSpaceDN/>
        <w:spacing w:after="0" w:line="360" w:lineRule="auto"/>
        <w:rPr>
          <w:rFonts w:ascii="Book Antiqua" w:eastAsia="宋体" w:hAnsi="Book Antiqua" w:cs="Times New Roman"/>
          <w:color w:val="000000"/>
          <w:sz w:val="24"/>
          <w:szCs w:val="24"/>
          <w:lang w:eastAsia="zh-CN"/>
        </w:rPr>
      </w:pPr>
      <w:r w:rsidRPr="0050120B">
        <w:rPr>
          <w:rFonts w:ascii="Book Antiqua" w:eastAsia="宋体" w:hAnsi="Book Antiqua" w:cs="Times New Roman"/>
          <w:b/>
          <w:sz w:val="24"/>
          <w:szCs w:val="24"/>
          <w:lang w:eastAsia="zh-CN"/>
        </w:rPr>
        <w:t>Accepted:</w:t>
      </w:r>
      <w:r w:rsidR="000436F5" w:rsidRPr="000436F5">
        <w:t xml:space="preserve"> </w:t>
      </w:r>
      <w:r w:rsidR="000436F5" w:rsidRPr="000436F5">
        <w:rPr>
          <w:rFonts w:ascii="Book Antiqua" w:eastAsia="宋体" w:hAnsi="Book Antiqua" w:cs="Times New Roman"/>
          <w:sz w:val="24"/>
          <w:szCs w:val="24"/>
          <w:lang w:eastAsia="zh-CN"/>
        </w:rPr>
        <w:t>September 11, 2019</w:t>
      </w:r>
      <w:r w:rsidRPr="000436F5">
        <w:rPr>
          <w:rFonts w:ascii="Book Antiqua" w:eastAsia="宋体" w:hAnsi="Book Antiqua" w:cs="Times New Roman"/>
          <w:sz w:val="24"/>
          <w:szCs w:val="24"/>
          <w:lang w:eastAsia="zh-CN"/>
        </w:rPr>
        <w:t xml:space="preserve"> </w:t>
      </w:r>
    </w:p>
    <w:p w14:paraId="1BB59BA9" w14:textId="77777777" w:rsidR="00C86861" w:rsidRPr="0050120B" w:rsidRDefault="00C86861" w:rsidP="00C86861">
      <w:pPr>
        <w:wordWrap/>
        <w:autoSpaceDE/>
        <w:autoSpaceDN/>
        <w:spacing w:after="0" w:line="360" w:lineRule="auto"/>
        <w:rPr>
          <w:rFonts w:ascii="Book Antiqua" w:eastAsia="宋体" w:hAnsi="Book Antiqua" w:cs="Times New Roman"/>
          <w:b/>
          <w:sz w:val="24"/>
          <w:szCs w:val="24"/>
          <w:lang w:eastAsia="zh-CN"/>
        </w:rPr>
      </w:pPr>
      <w:r w:rsidRPr="0050120B">
        <w:rPr>
          <w:rFonts w:ascii="Book Antiqua" w:eastAsia="宋体" w:hAnsi="Book Antiqua" w:cs="Times New Roman"/>
          <w:b/>
          <w:sz w:val="24"/>
          <w:szCs w:val="24"/>
          <w:lang w:eastAsia="zh-CN"/>
        </w:rPr>
        <w:t>Article in press:</w:t>
      </w:r>
    </w:p>
    <w:p w14:paraId="2121569F" w14:textId="77777777" w:rsidR="00C86861" w:rsidRPr="0050120B" w:rsidRDefault="00C86861" w:rsidP="00C86861">
      <w:pPr>
        <w:wordWrap/>
        <w:autoSpaceDE/>
        <w:autoSpaceDN/>
        <w:spacing w:after="0" w:line="360" w:lineRule="auto"/>
        <w:rPr>
          <w:rFonts w:ascii="Book Antiqua" w:eastAsia="宋体" w:hAnsi="Book Antiqua" w:cs="Times New Roman"/>
          <w:b/>
          <w:sz w:val="24"/>
          <w:szCs w:val="24"/>
          <w:lang w:eastAsia="zh-CN"/>
        </w:rPr>
      </w:pPr>
      <w:r w:rsidRPr="0050120B">
        <w:rPr>
          <w:rFonts w:ascii="Book Antiqua" w:eastAsia="宋体" w:hAnsi="Book Antiqua" w:cs="Times New Roman"/>
          <w:b/>
          <w:sz w:val="24"/>
          <w:szCs w:val="24"/>
          <w:lang w:eastAsia="zh-CN"/>
        </w:rPr>
        <w:t>Published online:</w:t>
      </w:r>
    </w:p>
    <w:bookmarkEnd w:id="25"/>
    <w:bookmarkEnd w:id="26"/>
    <w:bookmarkEnd w:id="27"/>
    <w:bookmarkEnd w:id="28"/>
    <w:p w14:paraId="6A6C0428" w14:textId="77777777" w:rsidR="00AD4A5A" w:rsidRPr="0050120B" w:rsidRDefault="00AD4A5A" w:rsidP="0075341C">
      <w:pPr>
        <w:wordWrap/>
        <w:adjustRightInd w:val="0"/>
        <w:spacing w:after="0" w:line="360" w:lineRule="auto"/>
        <w:rPr>
          <w:rFonts w:ascii="Book Antiqua" w:hAnsi="Book Antiqua" w:cs="Garamond-Bold"/>
          <w:bCs/>
          <w:color w:val="000000" w:themeColor="text1"/>
          <w:sz w:val="24"/>
          <w:szCs w:val="24"/>
        </w:rPr>
      </w:pPr>
    </w:p>
    <w:p w14:paraId="0A9F8E5F" w14:textId="1B19EFC5" w:rsidR="00A05587" w:rsidRPr="0050120B" w:rsidRDefault="00A05587" w:rsidP="0075341C">
      <w:pPr>
        <w:widowControl/>
        <w:wordWrap/>
        <w:autoSpaceDE/>
        <w:autoSpaceDN/>
        <w:spacing w:after="0" w:line="360" w:lineRule="auto"/>
        <w:rPr>
          <w:rFonts w:ascii="Book Antiqua" w:hAnsi="Book Antiqua" w:cs="Times New Roman"/>
          <w:b/>
          <w:color w:val="000000" w:themeColor="text1"/>
          <w:sz w:val="24"/>
          <w:szCs w:val="24"/>
        </w:rPr>
      </w:pPr>
      <w:r w:rsidRPr="0050120B">
        <w:rPr>
          <w:rFonts w:ascii="Book Antiqua" w:hAnsi="Book Antiqua" w:cs="Times New Roman"/>
          <w:b/>
          <w:color w:val="000000" w:themeColor="text1"/>
          <w:sz w:val="24"/>
          <w:szCs w:val="24"/>
        </w:rPr>
        <w:br w:type="page"/>
      </w:r>
    </w:p>
    <w:p w14:paraId="4889B828" w14:textId="625DB0AD" w:rsidR="003565F9" w:rsidRPr="0050120B" w:rsidRDefault="003565F9" w:rsidP="0075341C">
      <w:pPr>
        <w:widowControl/>
        <w:wordWrap/>
        <w:autoSpaceDE/>
        <w:autoSpaceDN/>
        <w:spacing w:after="0" w:line="360" w:lineRule="auto"/>
        <w:outlineLvl w:val="0"/>
        <w:rPr>
          <w:rFonts w:ascii="Book Antiqua" w:hAnsi="Book Antiqua" w:cs="Times New Roman"/>
          <w:b/>
          <w:color w:val="000000" w:themeColor="text1"/>
          <w:sz w:val="24"/>
          <w:szCs w:val="24"/>
        </w:rPr>
      </w:pPr>
      <w:r w:rsidRPr="0050120B">
        <w:rPr>
          <w:rFonts w:ascii="Book Antiqua" w:hAnsi="Book Antiqua" w:cs="Times New Roman"/>
          <w:b/>
          <w:color w:val="000000" w:themeColor="text1"/>
          <w:sz w:val="24"/>
          <w:szCs w:val="24"/>
        </w:rPr>
        <w:lastRenderedPageBreak/>
        <w:t>Abstract</w:t>
      </w:r>
    </w:p>
    <w:p w14:paraId="0469A36F" w14:textId="5E651856" w:rsidR="0056247A" w:rsidRPr="0050120B" w:rsidRDefault="00A05587" w:rsidP="00C86861">
      <w:pPr>
        <w:wordWrap/>
        <w:spacing w:after="0" w:line="360" w:lineRule="auto"/>
        <w:rPr>
          <w:rFonts w:ascii="Book Antiqua" w:hAnsi="Book Antiqua"/>
          <w:color w:val="000000" w:themeColor="text1"/>
          <w:sz w:val="24"/>
          <w:szCs w:val="24"/>
        </w:rPr>
      </w:pPr>
      <w:bookmarkStart w:id="29" w:name="_Hlk5972224"/>
      <w:r w:rsidRPr="0050120B">
        <w:rPr>
          <w:rFonts w:ascii="Book Antiqua" w:hAnsi="Book Antiqua"/>
          <w:b/>
          <w:i/>
          <w:color w:val="000000" w:themeColor="text1"/>
          <w:sz w:val="24"/>
          <w:szCs w:val="24"/>
        </w:rPr>
        <w:t>BACKGROUND</w:t>
      </w:r>
      <w:bookmarkEnd w:id="29"/>
    </w:p>
    <w:p w14:paraId="1F381D10" w14:textId="0A043E60" w:rsidR="0056247A" w:rsidRPr="0050120B" w:rsidRDefault="0056247A" w:rsidP="0075341C">
      <w:pPr>
        <w:widowControl/>
        <w:wordWrap/>
        <w:autoSpaceDE/>
        <w:autoSpaceDN/>
        <w:spacing w:after="0" w:line="360" w:lineRule="auto"/>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 xml:space="preserve">The use of methyl-tertiary butyl ether (MTBE) to dissolve gallstones has been limited due to concerns over its toxicity and the widespread recognition of the safety of laparoscopic cholecystectomy. The adverse effects of MTBE are largely attributed to its low boiling point, resulting in a tendency to evaporate. Therefore, if there is a material with a higher boiling point and similar or higher dissolubility than MTBE, it is expected to be an attractive alternative to MTBE. </w:t>
      </w:r>
    </w:p>
    <w:p w14:paraId="380B547E" w14:textId="77777777" w:rsidR="0056247A" w:rsidRPr="0050120B" w:rsidRDefault="0056247A" w:rsidP="0075341C">
      <w:pPr>
        <w:widowControl/>
        <w:wordWrap/>
        <w:autoSpaceDE/>
        <w:autoSpaceDN/>
        <w:spacing w:after="0" w:line="360" w:lineRule="auto"/>
        <w:outlineLvl w:val="0"/>
        <w:rPr>
          <w:rFonts w:ascii="Book Antiqua" w:hAnsi="Book Antiqua" w:cs="Times New Roman"/>
          <w:b/>
          <w:color w:val="000000" w:themeColor="text1"/>
          <w:sz w:val="24"/>
          <w:szCs w:val="24"/>
        </w:rPr>
      </w:pPr>
    </w:p>
    <w:p w14:paraId="666ABDC8" w14:textId="77777777" w:rsidR="003565F9" w:rsidRPr="0050120B" w:rsidRDefault="003565F9" w:rsidP="0075341C">
      <w:pPr>
        <w:widowControl/>
        <w:wordWrap/>
        <w:autoSpaceDE/>
        <w:autoSpaceDN/>
        <w:spacing w:after="0" w:line="360" w:lineRule="auto"/>
        <w:rPr>
          <w:rFonts w:ascii="Book Antiqua" w:hAnsi="Book Antiqua" w:cs="Times New Roman"/>
          <w:b/>
          <w:bCs/>
          <w:i/>
          <w:color w:val="000000" w:themeColor="text1"/>
          <w:sz w:val="24"/>
          <w:szCs w:val="24"/>
        </w:rPr>
      </w:pPr>
      <w:r w:rsidRPr="0050120B">
        <w:rPr>
          <w:rFonts w:ascii="Book Antiqua" w:hAnsi="Book Antiqua" w:cs="Times New Roman"/>
          <w:b/>
          <w:bCs/>
          <w:i/>
          <w:color w:val="000000" w:themeColor="text1"/>
          <w:sz w:val="24"/>
          <w:szCs w:val="24"/>
        </w:rPr>
        <w:t>AIM</w:t>
      </w:r>
    </w:p>
    <w:p w14:paraId="3AAB5453" w14:textId="63CE7C48" w:rsidR="0056247A" w:rsidRPr="0050120B" w:rsidRDefault="0056247A" w:rsidP="0075341C">
      <w:pPr>
        <w:widowControl/>
        <w:wordWrap/>
        <w:autoSpaceDE/>
        <w:autoSpaceDN/>
        <w:spacing w:after="0" w:line="360" w:lineRule="auto"/>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 xml:space="preserve">To determine whether tert-amyl ethyl ether (TAEE), an MTBE analogue with a relatively higher boiling point (102 </w:t>
      </w:r>
      <w:r w:rsidRPr="0050120B">
        <w:rPr>
          <w:rFonts w:ascii="Book Antiqua" w:hAnsi="Book Antiqua" w:cs="Cambria Math"/>
          <w:color w:val="000000" w:themeColor="text1"/>
          <w:sz w:val="24"/>
          <w:szCs w:val="24"/>
        </w:rPr>
        <w:t>°</w:t>
      </w:r>
      <w:r w:rsidRPr="0050120B">
        <w:rPr>
          <w:rFonts w:ascii="Book Antiqua" w:hAnsi="Book Antiqua" w:cs="Times New Roman"/>
          <w:color w:val="000000" w:themeColor="text1"/>
          <w:sz w:val="24"/>
          <w:szCs w:val="24"/>
        </w:rPr>
        <w:t>C), could be used as an alternative to MTBE in terms of gallstone dissolubility and toxicity</w:t>
      </w:r>
      <w:r w:rsidR="00F23279" w:rsidRPr="0050120B">
        <w:rPr>
          <w:rFonts w:ascii="Book Antiqua" w:hAnsi="Book Antiqua" w:cs="Times New Roman"/>
          <w:color w:val="000000" w:themeColor="text1"/>
          <w:sz w:val="24"/>
          <w:szCs w:val="24"/>
        </w:rPr>
        <w:t>.</w:t>
      </w:r>
      <w:r w:rsidRPr="0050120B">
        <w:rPr>
          <w:rFonts w:ascii="Book Antiqua" w:hAnsi="Book Antiqua" w:cs="Times New Roman"/>
          <w:color w:val="000000" w:themeColor="text1"/>
          <w:sz w:val="24"/>
          <w:szCs w:val="24"/>
        </w:rPr>
        <w:t xml:space="preserve"> </w:t>
      </w:r>
    </w:p>
    <w:p w14:paraId="31798567" w14:textId="77777777" w:rsidR="0056247A" w:rsidRPr="0050120B" w:rsidRDefault="0056247A" w:rsidP="0075341C">
      <w:pPr>
        <w:widowControl/>
        <w:wordWrap/>
        <w:autoSpaceDE/>
        <w:autoSpaceDN/>
        <w:spacing w:after="0" w:line="360" w:lineRule="auto"/>
        <w:rPr>
          <w:rFonts w:ascii="Book Antiqua" w:hAnsi="Book Antiqua" w:cs="Times New Roman"/>
          <w:color w:val="000000" w:themeColor="text1"/>
          <w:sz w:val="24"/>
          <w:szCs w:val="24"/>
        </w:rPr>
      </w:pPr>
    </w:p>
    <w:p w14:paraId="10EC34E5" w14:textId="77777777" w:rsidR="003565F9" w:rsidRPr="0050120B" w:rsidRDefault="003565F9" w:rsidP="0075341C">
      <w:pPr>
        <w:widowControl/>
        <w:wordWrap/>
        <w:autoSpaceDE/>
        <w:autoSpaceDN/>
        <w:spacing w:after="0" w:line="360" w:lineRule="auto"/>
        <w:rPr>
          <w:rFonts w:ascii="Book Antiqua" w:hAnsi="Book Antiqua" w:cs="Times New Roman"/>
          <w:b/>
          <w:bCs/>
          <w:i/>
          <w:color w:val="000000" w:themeColor="text1"/>
          <w:sz w:val="24"/>
          <w:szCs w:val="24"/>
        </w:rPr>
      </w:pPr>
      <w:r w:rsidRPr="0050120B">
        <w:rPr>
          <w:rFonts w:ascii="Book Antiqua" w:hAnsi="Book Antiqua" w:cs="Times New Roman"/>
          <w:b/>
          <w:bCs/>
          <w:i/>
          <w:color w:val="000000" w:themeColor="text1"/>
          <w:sz w:val="24"/>
          <w:szCs w:val="24"/>
        </w:rPr>
        <w:t>METHODS</w:t>
      </w:r>
    </w:p>
    <w:p w14:paraId="50B5F9C0" w14:textId="7221926E" w:rsidR="003565F9" w:rsidRPr="0050120B" w:rsidRDefault="003565F9" w:rsidP="0075341C">
      <w:pPr>
        <w:widowControl/>
        <w:wordWrap/>
        <w:autoSpaceDE/>
        <w:autoSpaceDN/>
        <w:spacing w:after="0" w:line="360" w:lineRule="auto"/>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 xml:space="preserve">The </w:t>
      </w:r>
      <w:r w:rsidRPr="0050120B">
        <w:rPr>
          <w:rFonts w:ascii="Book Antiqua" w:hAnsi="Book Antiqua" w:cs="Times New Roman"/>
          <w:i/>
          <w:color w:val="000000" w:themeColor="text1"/>
          <w:sz w:val="24"/>
          <w:szCs w:val="24"/>
        </w:rPr>
        <w:t>in vitro</w:t>
      </w:r>
      <w:r w:rsidRPr="0050120B">
        <w:rPr>
          <w:rFonts w:ascii="Book Antiqua" w:hAnsi="Book Antiqua" w:cs="Times New Roman"/>
          <w:color w:val="000000" w:themeColor="text1"/>
          <w:sz w:val="24"/>
          <w:szCs w:val="24"/>
        </w:rPr>
        <w:t xml:space="preserve"> dissolubility of MTBE and TAEE was determined by measuring the dry weights of human gallstones at predetermined time intervals after placing them in glass containers with either of the two solvents. The </w:t>
      </w:r>
      <w:r w:rsidRPr="0050120B">
        <w:rPr>
          <w:rFonts w:ascii="Book Antiqua" w:hAnsi="Book Antiqua" w:cs="Times New Roman"/>
          <w:i/>
          <w:color w:val="000000" w:themeColor="text1"/>
          <w:sz w:val="24"/>
          <w:szCs w:val="24"/>
        </w:rPr>
        <w:t>in vivo</w:t>
      </w:r>
      <w:r w:rsidRPr="0050120B">
        <w:rPr>
          <w:rFonts w:ascii="Book Antiqua" w:hAnsi="Book Antiqua" w:cs="Times New Roman"/>
          <w:color w:val="000000" w:themeColor="text1"/>
          <w:sz w:val="24"/>
          <w:szCs w:val="24"/>
        </w:rPr>
        <w:t xml:space="preserve"> dissolubility was determined by comparing the weights of solvent-treated gallstones and control (</w:t>
      </w:r>
      <w:r w:rsidRPr="0050120B">
        <w:rPr>
          <w:rFonts w:ascii="Book Antiqua" w:eastAsia="Malgun Gothic" w:hAnsi="Book Antiqua" w:cs="Times New Roman"/>
          <w:color w:val="000000" w:themeColor="text1"/>
          <w:sz w:val="24"/>
          <w:szCs w:val="24"/>
        </w:rPr>
        <w:t>dimethyl sulfoxide</w:t>
      </w:r>
      <w:r w:rsidRPr="0050120B">
        <w:rPr>
          <w:rFonts w:ascii="Book Antiqua" w:hAnsi="Book Antiqua" w:cs="Times New Roman"/>
          <w:color w:val="000000" w:themeColor="text1"/>
          <w:sz w:val="24"/>
          <w:szCs w:val="24"/>
        </w:rPr>
        <w:t xml:space="preserve">)-treated gallstones, after the direct infusion of each solvent into the gallbladder in both hamster models with cholesterol and pigmented gallstones. </w:t>
      </w:r>
    </w:p>
    <w:p w14:paraId="0CFB85B8" w14:textId="77777777" w:rsidR="00C86861" w:rsidRPr="0050120B" w:rsidRDefault="00C86861" w:rsidP="0075341C">
      <w:pPr>
        <w:widowControl/>
        <w:wordWrap/>
        <w:autoSpaceDE/>
        <w:autoSpaceDN/>
        <w:spacing w:after="0" w:line="360" w:lineRule="auto"/>
        <w:rPr>
          <w:rFonts w:ascii="Book Antiqua" w:hAnsi="Book Antiqua" w:cs="Times New Roman"/>
          <w:color w:val="000000" w:themeColor="text1"/>
          <w:sz w:val="24"/>
          <w:szCs w:val="24"/>
        </w:rPr>
      </w:pPr>
    </w:p>
    <w:p w14:paraId="703B1C4E" w14:textId="77777777" w:rsidR="003565F9" w:rsidRPr="0050120B" w:rsidRDefault="003565F9" w:rsidP="0075341C">
      <w:pPr>
        <w:wordWrap/>
        <w:spacing w:after="0" w:line="360" w:lineRule="auto"/>
        <w:rPr>
          <w:rFonts w:ascii="Book Antiqua" w:hAnsi="Book Antiqua" w:cs="Times New Roman"/>
          <w:b/>
          <w:bCs/>
          <w:color w:val="000000" w:themeColor="text1"/>
          <w:sz w:val="24"/>
          <w:szCs w:val="24"/>
        </w:rPr>
      </w:pPr>
      <w:r w:rsidRPr="0050120B">
        <w:rPr>
          <w:rFonts w:ascii="Book Antiqua" w:hAnsi="Book Antiqua" w:cs="Times New Roman"/>
          <w:b/>
          <w:bCs/>
          <w:i/>
          <w:color w:val="000000" w:themeColor="text1"/>
          <w:sz w:val="24"/>
          <w:szCs w:val="24"/>
        </w:rPr>
        <w:t>RESULTS</w:t>
      </w:r>
      <w:r w:rsidRPr="0050120B">
        <w:rPr>
          <w:rFonts w:ascii="Book Antiqua" w:hAnsi="Book Antiqua" w:cs="Times New Roman"/>
          <w:b/>
          <w:bCs/>
          <w:color w:val="000000" w:themeColor="text1"/>
          <w:sz w:val="24"/>
          <w:szCs w:val="24"/>
        </w:rPr>
        <w:t xml:space="preserve"> </w:t>
      </w:r>
    </w:p>
    <w:p w14:paraId="26B9C935" w14:textId="0F104A61" w:rsidR="003565F9" w:rsidRPr="0050120B" w:rsidRDefault="003565F9" w:rsidP="0075341C">
      <w:pPr>
        <w:widowControl/>
        <w:wordWrap/>
        <w:autoSpaceDE/>
        <w:autoSpaceDN/>
        <w:spacing w:after="0" w:line="360" w:lineRule="auto"/>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 xml:space="preserve">The </w:t>
      </w:r>
      <w:r w:rsidRPr="0050120B">
        <w:rPr>
          <w:rFonts w:ascii="Book Antiqua" w:hAnsi="Book Antiqua" w:cs="Times New Roman"/>
          <w:i/>
          <w:color w:val="000000" w:themeColor="text1"/>
          <w:sz w:val="24"/>
          <w:szCs w:val="24"/>
        </w:rPr>
        <w:t>in vitro</w:t>
      </w:r>
      <w:r w:rsidRPr="0050120B">
        <w:rPr>
          <w:rFonts w:ascii="Book Antiqua" w:hAnsi="Book Antiqua" w:cs="Times New Roman"/>
          <w:color w:val="000000" w:themeColor="text1"/>
          <w:sz w:val="24"/>
          <w:szCs w:val="24"/>
        </w:rPr>
        <w:t xml:space="preserve"> results demonstrated a 24 h TAEE-dissolubility of 76.7%, 56.5</w:t>
      </w:r>
      <w:r w:rsidR="00C86861" w:rsidRPr="0050120B">
        <w:rPr>
          <w:rFonts w:ascii="Book Antiqua" w:hAnsi="Book Antiqua" w:cs="Times New Roman"/>
          <w:color w:val="000000" w:themeColor="text1"/>
          <w:sz w:val="24"/>
          <w:szCs w:val="24"/>
        </w:rPr>
        <w:t>%</w:t>
      </w:r>
      <w:r w:rsidRPr="0050120B">
        <w:rPr>
          <w:rFonts w:ascii="Book Antiqua" w:hAnsi="Book Antiqua" w:cs="Times New Roman"/>
          <w:color w:val="000000" w:themeColor="text1"/>
          <w:sz w:val="24"/>
          <w:szCs w:val="24"/>
        </w:rPr>
        <w:t xml:space="preserve"> and 38.75% for cholesterol, mixed, and pigmented gallstones, respectively,</w:t>
      </w:r>
      <w:r w:rsidRPr="0050120B" w:rsidDel="008F10F8">
        <w:rPr>
          <w:rFonts w:ascii="Book Antiqua" w:hAnsi="Book Antiqua" w:cs="Times New Roman"/>
          <w:color w:val="000000" w:themeColor="text1"/>
          <w:sz w:val="24"/>
          <w:szCs w:val="24"/>
        </w:rPr>
        <w:t xml:space="preserve"> </w:t>
      </w:r>
      <w:r w:rsidRPr="0050120B">
        <w:rPr>
          <w:rFonts w:ascii="Book Antiqua" w:hAnsi="Book Antiqua" w:cs="Times New Roman"/>
          <w:color w:val="000000" w:themeColor="text1"/>
          <w:sz w:val="24"/>
          <w:szCs w:val="24"/>
        </w:rPr>
        <w:t xml:space="preserve">which represented a 1.2-, 1.4-, and 1.3-fold increase in dissolubility compared to that of MTBE. In the </w:t>
      </w:r>
      <w:r w:rsidRPr="0050120B">
        <w:rPr>
          <w:rFonts w:ascii="Book Antiqua" w:hAnsi="Book Antiqua" w:cs="Times New Roman"/>
          <w:i/>
          <w:color w:val="000000" w:themeColor="text1"/>
          <w:sz w:val="24"/>
          <w:szCs w:val="24"/>
        </w:rPr>
        <w:t>in vitro</w:t>
      </w:r>
      <w:r w:rsidRPr="0050120B">
        <w:rPr>
          <w:rFonts w:ascii="Book Antiqua" w:hAnsi="Book Antiqua" w:cs="Times New Roman"/>
          <w:color w:val="000000" w:themeColor="text1"/>
          <w:sz w:val="24"/>
          <w:szCs w:val="24"/>
        </w:rPr>
        <w:t xml:space="preserve"> experiment, the 24 h-dissolubility of TAEE was 71.7% and 63.0% for cholesterol and pigmented gallstones, respectively,</w:t>
      </w:r>
      <w:r w:rsidRPr="0050120B" w:rsidDel="008F10F8">
        <w:rPr>
          <w:rFonts w:ascii="Book Antiqua" w:hAnsi="Book Antiqua" w:cs="Times New Roman"/>
          <w:color w:val="000000" w:themeColor="text1"/>
          <w:sz w:val="24"/>
          <w:szCs w:val="24"/>
        </w:rPr>
        <w:t xml:space="preserve"> </w:t>
      </w:r>
      <w:r w:rsidRPr="0050120B">
        <w:rPr>
          <w:rFonts w:ascii="Book Antiqua" w:hAnsi="Book Antiqua" w:cs="Times New Roman"/>
          <w:color w:val="000000" w:themeColor="text1"/>
          <w:sz w:val="24"/>
          <w:szCs w:val="24"/>
        </w:rPr>
        <w:t xml:space="preserve">which represented a 1.4- and 1.9-fold increase in dissolubility compared to that of MTBE. In addition, the results of the cell viability assay and western blot analysis indicated that TAEE had a lower toxicity towards gallbladder epithelial cells than MTBE. </w:t>
      </w:r>
    </w:p>
    <w:p w14:paraId="7F023317" w14:textId="77777777" w:rsidR="00C86861" w:rsidRPr="0050120B" w:rsidRDefault="00C86861" w:rsidP="0075341C">
      <w:pPr>
        <w:widowControl/>
        <w:wordWrap/>
        <w:autoSpaceDE/>
        <w:autoSpaceDN/>
        <w:spacing w:after="0" w:line="360" w:lineRule="auto"/>
        <w:rPr>
          <w:rFonts w:ascii="Book Antiqua" w:hAnsi="Book Antiqua" w:cs="Times New Roman"/>
          <w:color w:val="000000" w:themeColor="text1"/>
          <w:sz w:val="24"/>
          <w:szCs w:val="24"/>
        </w:rPr>
      </w:pPr>
    </w:p>
    <w:p w14:paraId="4068CD3F" w14:textId="77777777" w:rsidR="003565F9" w:rsidRPr="0050120B" w:rsidRDefault="003565F9" w:rsidP="0075341C">
      <w:pPr>
        <w:wordWrap/>
        <w:spacing w:after="0" w:line="360" w:lineRule="auto"/>
        <w:rPr>
          <w:rFonts w:ascii="Book Antiqua" w:hAnsi="Book Antiqua" w:cs="Times New Roman"/>
          <w:b/>
          <w:bCs/>
          <w:i/>
          <w:color w:val="000000" w:themeColor="text1"/>
          <w:sz w:val="24"/>
          <w:szCs w:val="24"/>
        </w:rPr>
      </w:pPr>
      <w:r w:rsidRPr="0050120B">
        <w:rPr>
          <w:rFonts w:ascii="Book Antiqua" w:hAnsi="Book Antiqua" w:cs="Times New Roman"/>
          <w:b/>
          <w:bCs/>
          <w:i/>
          <w:color w:val="000000" w:themeColor="text1"/>
          <w:sz w:val="24"/>
          <w:szCs w:val="24"/>
        </w:rPr>
        <w:t>CONCLUSION</w:t>
      </w:r>
    </w:p>
    <w:p w14:paraId="0F96BF4F" w14:textId="126F00FB" w:rsidR="003565F9" w:rsidRPr="0050120B" w:rsidRDefault="003565F9" w:rsidP="0075341C">
      <w:pPr>
        <w:widowControl/>
        <w:wordWrap/>
        <w:autoSpaceDE/>
        <w:autoSpaceDN/>
        <w:spacing w:after="0" w:line="360" w:lineRule="auto"/>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We demonstrated that TAEE has higher gallstone dissolubility properties and safety than those of MTBE. As such, TAEE could present an attractive alternative to MTBE if our findings regarding its efficacy and safety can be consistently reproduced in further subclinical and clinical studies.</w:t>
      </w:r>
    </w:p>
    <w:p w14:paraId="478547F8" w14:textId="5F26C411" w:rsidR="00C86861" w:rsidRPr="0050120B" w:rsidRDefault="00C86861" w:rsidP="0075341C">
      <w:pPr>
        <w:widowControl/>
        <w:wordWrap/>
        <w:autoSpaceDE/>
        <w:autoSpaceDN/>
        <w:spacing w:after="0" w:line="360" w:lineRule="auto"/>
        <w:rPr>
          <w:rFonts w:ascii="Book Antiqua" w:hAnsi="Book Antiqua" w:cs="Times New Roman"/>
          <w:color w:val="000000" w:themeColor="text1"/>
          <w:sz w:val="24"/>
          <w:szCs w:val="24"/>
        </w:rPr>
      </w:pPr>
    </w:p>
    <w:p w14:paraId="2140245E" w14:textId="2712A533" w:rsidR="003565F9" w:rsidRPr="0050120B" w:rsidRDefault="00C86861" w:rsidP="0075341C">
      <w:pPr>
        <w:widowControl/>
        <w:wordWrap/>
        <w:autoSpaceDE/>
        <w:autoSpaceDN/>
        <w:spacing w:after="0" w:line="360" w:lineRule="auto"/>
        <w:rPr>
          <w:rFonts w:ascii="Book Antiqua" w:hAnsi="Book Antiqua" w:cs="Times New Roman"/>
          <w:color w:val="000000" w:themeColor="text1"/>
          <w:sz w:val="24"/>
          <w:szCs w:val="24"/>
        </w:rPr>
      </w:pPr>
      <w:bookmarkStart w:id="30" w:name="_Hlk8052531"/>
      <w:r w:rsidRPr="0050120B">
        <w:rPr>
          <w:rFonts w:ascii="Book Antiqua" w:hAnsi="Book Antiqua" w:cs="Times New Roman"/>
          <w:b/>
          <w:color w:val="000000" w:themeColor="text1"/>
          <w:sz w:val="24"/>
          <w:szCs w:val="24"/>
          <w:lang w:val="hu-HU"/>
        </w:rPr>
        <w:t>Key words:</w:t>
      </w:r>
      <w:bookmarkEnd w:id="30"/>
      <w:r w:rsidRPr="0050120B">
        <w:rPr>
          <w:rFonts w:ascii="Book Antiqua" w:eastAsia="宋体" w:hAnsi="Book Antiqua" w:cs="Times New Roman" w:hint="eastAsia"/>
          <w:color w:val="000000" w:themeColor="text1"/>
          <w:sz w:val="24"/>
          <w:szCs w:val="24"/>
          <w:lang w:eastAsia="zh-CN"/>
        </w:rPr>
        <w:t xml:space="preserve"> </w:t>
      </w:r>
      <w:bookmarkStart w:id="31" w:name="OLE_LINK18"/>
      <w:r w:rsidRPr="0050120B">
        <w:rPr>
          <w:rFonts w:ascii="Book Antiqua" w:hAnsi="Book Antiqua" w:cs="Times New Roman"/>
          <w:color w:val="000000" w:themeColor="text1"/>
          <w:sz w:val="24"/>
          <w:szCs w:val="24"/>
        </w:rPr>
        <w:t>T</w:t>
      </w:r>
      <w:r w:rsidR="00650A56" w:rsidRPr="0050120B">
        <w:rPr>
          <w:rFonts w:ascii="Book Antiqua" w:hAnsi="Book Antiqua" w:cs="Times New Roman"/>
          <w:color w:val="000000" w:themeColor="text1"/>
          <w:sz w:val="24"/>
          <w:szCs w:val="24"/>
        </w:rPr>
        <w:t>ert-amyl ethyl ether</w:t>
      </w:r>
      <w:bookmarkEnd w:id="31"/>
      <w:r w:rsidR="003565F9" w:rsidRPr="0050120B">
        <w:rPr>
          <w:rFonts w:ascii="Book Antiqua" w:hAnsi="Book Antiqua" w:cs="Times New Roman"/>
          <w:color w:val="000000" w:themeColor="text1"/>
          <w:sz w:val="24"/>
          <w:szCs w:val="24"/>
        </w:rPr>
        <w:t xml:space="preserve">; </w:t>
      </w:r>
      <w:bookmarkStart w:id="32" w:name="OLE_LINK21"/>
      <w:r w:rsidRPr="0050120B">
        <w:rPr>
          <w:rFonts w:ascii="Book Antiqua" w:hAnsi="Book Antiqua" w:cs="Times New Roman"/>
          <w:color w:val="000000" w:themeColor="text1"/>
          <w:sz w:val="24"/>
          <w:szCs w:val="24"/>
        </w:rPr>
        <w:t>G</w:t>
      </w:r>
      <w:r w:rsidR="003565F9" w:rsidRPr="0050120B">
        <w:rPr>
          <w:rFonts w:ascii="Book Antiqua" w:hAnsi="Book Antiqua" w:cs="Times New Roman"/>
          <w:color w:val="000000" w:themeColor="text1"/>
          <w:sz w:val="24"/>
          <w:szCs w:val="24"/>
        </w:rPr>
        <w:t>allstones</w:t>
      </w:r>
      <w:bookmarkEnd w:id="32"/>
      <w:r w:rsidR="003565F9" w:rsidRPr="0050120B">
        <w:rPr>
          <w:rFonts w:ascii="Book Antiqua" w:hAnsi="Book Antiqua" w:cs="Times New Roman"/>
          <w:color w:val="000000" w:themeColor="text1"/>
          <w:sz w:val="24"/>
          <w:szCs w:val="24"/>
        </w:rPr>
        <w:t xml:space="preserve">; </w:t>
      </w:r>
      <w:bookmarkStart w:id="33" w:name="OLE_LINK22"/>
      <w:r w:rsidRPr="0050120B">
        <w:rPr>
          <w:rFonts w:ascii="Book Antiqua" w:hAnsi="Book Antiqua" w:cs="Times New Roman"/>
          <w:color w:val="000000" w:themeColor="text1"/>
          <w:sz w:val="24"/>
          <w:szCs w:val="24"/>
        </w:rPr>
        <w:t>M</w:t>
      </w:r>
      <w:r w:rsidR="003565F9" w:rsidRPr="0050120B">
        <w:rPr>
          <w:rFonts w:ascii="Book Antiqua" w:hAnsi="Book Antiqua" w:cs="Times New Roman"/>
          <w:color w:val="000000" w:themeColor="text1"/>
          <w:sz w:val="24"/>
          <w:szCs w:val="24"/>
        </w:rPr>
        <w:t>ethyl-tert-butyl ether</w:t>
      </w:r>
      <w:bookmarkEnd w:id="33"/>
      <w:r w:rsidR="003565F9" w:rsidRPr="0050120B">
        <w:rPr>
          <w:rFonts w:ascii="Book Antiqua" w:hAnsi="Book Antiqua" w:cs="Times New Roman"/>
          <w:color w:val="000000" w:themeColor="text1"/>
          <w:sz w:val="24"/>
          <w:szCs w:val="24"/>
        </w:rPr>
        <w:t xml:space="preserve">; </w:t>
      </w:r>
      <w:bookmarkStart w:id="34" w:name="OLE_LINK23"/>
      <w:r w:rsidRPr="0050120B">
        <w:rPr>
          <w:rFonts w:ascii="Book Antiqua" w:hAnsi="Book Antiqua" w:cs="Times New Roman"/>
          <w:color w:val="000000" w:themeColor="text1"/>
          <w:sz w:val="24"/>
          <w:szCs w:val="24"/>
        </w:rPr>
        <w:t>C</w:t>
      </w:r>
      <w:r w:rsidR="003565F9" w:rsidRPr="0050120B">
        <w:rPr>
          <w:rFonts w:ascii="Book Antiqua" w:hAnsi="Book Antiqua" w:cs="Times New Roman"/>
          <w:color w:val="000000" w:themeColor="text1"/>
          <w:sz w:val="24"/>
          <w:szCs w:val="24"/>
        </w:rPr>
        <w:t>ontact litholytic agent</w:t>
      </w:r>
    </w:p>
    <w:bookmarkEnd w:id="34"/>
    <w:p w14:paraId="1158549F" w14:textId="04B3147F" w:rsidR="00C86861" w:rsidRPr="0050120B" w:rsidRDefault="00C86861" w:rsidP="0075341C">
      <w:pPr>
        <w:widowControl/>
        <w:wordWrap/>
        <w:autoSpaceDE/>
        <w:autoSpaceDN/>
        <w:spacing w:after="0" w:line="360" w:lineRule="auto"/>
        <w:rPr>
          <w:rFonts w:ascii="Book Antiqua" w:hAnsi="Book Antiqua" w:cs="Times New Roman"/>
          <w:color w:val="000000" w:themeColor="text1"/>
          <w:sz w:val="24"/>
          <w:szCs w:val="24"/>
        </w:rPr>
      </w:pPr>
    </w:p>
    <w:p w14:paraId="6096A451" w14:textId="2B85EEC7" w:rsidR="00C86861" w:rsidRPr="0050120B" w:rsidRDefault="00C86861" w:rsidP="00C86861">
      <w:pPr>
        <w:wordWrap/>
        <w:autoSpaceDE/>
        <w:autoSpaceDN/>
        <w:adjustRightInd w:val="0"/>
        <w:snapToGrid w:val="0"/>
        <w:spacing w:after="0" w:line="360" w:lineRule="auto"/>
        <w:rPr>
          <w:rFonts w:ascii="Book Antiqua" w:eastAsia="宋体" w:hAnsi="Book Antiqua" w:cs="Tahoma"/>
          <w:color w:val="000000"/>
          <w:sz w:val="24"/>
          <w:szCs w:val="24"/>
          <w:lang w:eastAsia="zh-CN"/>
        </w:rPr>
      </w:pPr>
      <w:bookmarkStart w:id="35" w:name="OLE_LINK148"/>
      <w:bookmarkStart w:id="36" w:name="OLE_LINK149"/>
      <w:bookmarkStart w:id="37" w:name="OLE_LINK200"/>
      <w:bookmarkStart w:id="38" w:name="OLE_LINK288"/>
      <w:bookmarkStart w:id="39" w:name="OLE_LINK1864"/>
      <w:bookmarkStart w:id="40" w:name="OLE_LINK16"/>
      <w:bookmarkStart w:id="41" w:name="OLE_LINK382"/>
      <w:bookmarkStart w:id="42" w:name="OLE_LINK306"/>
      <w:bookmarkStart w:id="43" w:name="OLE_LINK569"/>
      <w:bookmarkStart w:id="44" w:name="OLE_LINK682"/>
      <w:bookmarkStart w:id="45" w:name="_Hlk8052550"/>
      <w:r w:rsidRPr="0050120B">
        <w:rPr>
          <w:rFonts w:ascii="Book Antiqua" w:eastAsia="宋体" w:hAnsi="Book Antiqua" w:cs="Tahoma"/>
          <w:b/>
          <w:color w:val="000000"/>
          <w:sz w:val="24"/>
          <w:szCs w:val="24"/>
          <w:lang w:eastAsia="ja-JP"/>
        </w:rPr>
        <w:t>© The Author(s) 2019.</w:t>
      </w:r>
      <w:r w:rsidRPr="0050120B">
        <w:rPr>
          <w:rFonts w:ascii="Book Antiqua" w:eastAsia="宋体" w:hAnsi="Book Antiqua" w:cs="Tahoma"/>
          <w:color w:val="000000"/>
          <w:sz w:val="24"/>
          <w:szCs w:val="24"/>
          <w:lang w:eastAsia="ja-JP"/>
        </w:rPr>
        <w:t xml:space="preserve"> Published by Baishideng Publishing Group Inc. All rights reserved.</w:t>
      </w:r>
      <w:bookmarkEnd w:id="35"/>
      <w:bookmarkEnd w:id="36"/>
      <w:bookmarkEnd w:id="37"/>
      <w:bookmarkEnd w:id="38"/>
      <w:bookmarkEnd w:id="39"/>
      <w:bookmarkEnd w:id="40"/>
      <w:bookmarkEnd w:id="41"/>
      <w:bookmarkEnd w:id="42"/>
      <w:bookmarkEnd w:id="43"/>
      <w:bookmarkEnd w:id="44"/>
    </w:p>
    <w:p w14:paraId="645174A2" w14:textId="77777777" w:rsidR="00A05587" w:rsidRPr="0050120B" w:rsidRDefault="00A05587" w:rsidP="0075341C">
      <w:pPr>
        <w:widowControl/>
        <w:wordWrap/>
        <w:autoSpaceDE/>
        <w:autoSpaceDN/>
        <w:spacing w:after="0" w:line="360" w:lineRule="auto"/>
        <w:rPr>
          <w:rFonts w:ascii="Book Antiqua" w:hAnsi="Book Antiqua" w:cs="Times New Roman"/>
          <w:b/>
          <w:color w:val="000000" w:themeColor="text1"/>
          <w:sz w:val="24"/>
          <w:szCs w:val="24"/>
        </w:rPr>
      </w:pPr>
      <w:bookmarkStart w:id="46" w:name="_Hlk488997895"/>
      <w:bookmarkStart w:id="47" w:name="_Hlk488224665"/>
      <w:bookmarkEnd w:id="45"/>
    </w:p>
    <w:p w14:paraId="405AFB46" w14:textId="34DACD11" w:rsidR="00D04549" w:rsidRPr="0050120B" w:rsidRDefault="00A05587" w:rsidP="00C86861">
      <w:pPr>
        <w:wordWrap/>
        <w:spacing w:after="0" w:line="360" w:lineRule="auto"/>
        <w:rPr>
          <w:rFonts w:ascii="Book Antiqua" w:eastAsia="Arial Unicode MS" w:hAnsi="Book Antiqua" w:cs="Arial Unicode MS"/>
          <w:color w:val="000000" w:themeColor="text1"/>
          <w:sz w:val="24"/>
          <w:szCs w:val="24"/>
          <w:lang w:val="en"/>
        </w:rPr>
      </w:pPr>
      <w:bookmarkStart w:id="48" w:name="OLE_LINK19"/>
      <w:bookmarkStart w:id="49" w:name="OLE_LINK20"/>
      <w:bookmarkStart w:id="50" w:name="_Hlk13493442"/>
      <w:bookmarkStart w:id="51" w:name="_Hlk5627428"/>
      <w:r w:rsidRPr="0050120B">
        <w:rPr>
          <w:rFonts w:ascii="Book Antiqua" w:eastAsia="Arial Unicode MS" w:hAnsi="Book Antiqua" w:cs="Arial Unicode MS"/>
          <w:b/>
          <w:color w:val="000000" w:themeColor="text1"/>
          <w:sz w:val="24"/>
          <w:szCs w:val="24"/>
        </w:rPr>
        <w:t>Core tip</w:t>
      </w:r>
      <w:r w:rsidRPr="0050120B">
        <w:rPr>
          <w:rFonts w:ascii="Book Antiqua" w:eastAsia="Arial Unicode MS" w:hAnsi="Book Antiqua" w:cs="Arial Unicode MS"/>
          <w:b/>
          <w:color w:val="000000" w:themeColor="text1"/>
          <w:sz w:val="24"/>
          <w:szCs w:val="24"/>
          <w:lang w:eastAsia="zh-CN"/>
        </w:rPr>
        <w:t>:</w:t>
      </w:r>
      <w:bookmarkEnd w:id="48"/>
      <w:bookmarkEnd w:id="49"/>
      <w:r w:rsidRPr="0050120B">
        <w:rPr>
          <w:rFonts w:ascii="Book Antiqua" w:eastAsia="Arial Unicode MS" w:hAnsi="Book Antiqua" w:cs="Arial Unicode MS"/>
          <w:b/>
          <w:color w:val="000000" w:themeColor="text1"/>
          <w:sz w:val="24"/>
          <w:szCs w:val="24"/>
        </w:rPr>
        <w:t xml:space="preserve"> </w:t>
      </w:r>
      <w:bookmarkEnd w:id="50"/>
      <w:r w:rsidR="00D04549" w:rsidRPr="0050120B">
        <w:rPr>
          <w:rFonts w:ascii="Book Antiqua" w:hAnsi="Book Antiqua" w:cs="Times New Roman"/>
          <w:color w:val="000000" w:themeColor="text1"/>
          <w:sz w:val="24"/>
          <w:szCs w:val="24"/>
        </w:rPr>
        <w:t>We developed a novel gallstone-dissolving agent, named tert-amyl ethyl ether (TAEE), a</w:t>
      </w:r>
      <w:r w:rsidR="008338D7">
        <w:rPr>
          <w:rFonts w:ascii="Book Antiqua" w:hAnsi="Book Antiqua" w:cs="Times New Roman"/>
          <w:color w:val="000000" w:themeColor="text1"/>
          <w:sz w:val="24"/>
          <w:szCs w:val="24"/>
        </w:rPr>
        <w:t xml:space="preserve"> </w:t>
      </w:r>
      <w:r w:rsidR="00D04549" w:rsidRPr="0050120B">
        <w:rPr>
          <w:rFonts w:ascii="Book Antiqua" w:hAnsi="Book Antiqua" w:cs="Times New Roman"/>
          <w:color w:val="000000" w:themeColor="text1"/>
          <w:sz w:val="24"/>
          <w:szCs w:val="24"/>
        </w:rPr>
        <w:t xml:space="preserve">methyl-tertiary butyl ether (MTBE) analogue, with a relatively higher boiling point (102 </w:t>
      </w:r>
      <w:r w:rsidR="00D04549" w:rsidRPr="0050120B">
        <w:rPr>
          <w:rFonts w:ascii="Book Antiqua" w:hAnsi="Book Antiqua" w:cs="Cambria Math"/>
          <w:color w:val="000000" w:themeColor="text1"/>
          <w:sz w:val="24"/>
          <w:szCs w:val="24"/>
        </w:rPr>
        <w:t>°</w:t>
      </w:r>
      <w:r w:rsidR="00D04549" w:rsidRPr="0050120B">
        <w:rPr>
          <w:rFonts w:ascii="Book Antiqua" w:hAnsi="Book Antiqua" w:cs="Times New Roman"/>
          <w:color w:val="000000" w:themeColor="text1"/>
          <w:sz w:val="24"/>
          <w:szCs w:val="24"/>
        </w:rPr>
        <w:t xml:space="preserve">C). The </w:t>
      </w:r>
      <w:r w:rsidR="00D04549" w:rsidRPr="0050120B">
        <w:rPr>
          <w:rFonts w:ascii="Book Antiqua" w:hAnsi="Book Antiqua" w:cs="Times New Roman"/>
          <w:i/>
          <w:color w:val="000000" w:themeColor="text1"/>
          <w:sz w:val="24"/>
          <w:szCs w:val="24"/>
        </w:rPr>
        <w:t>in vitro</w:t>
      </w:r>
      <w:r w:rsidR="00D04549" w:rsidRPr="0050120B">
        <w:rPr>
          <w:rFonts w:ascii="Book Antiqua" w:hAnsi="Book Antiqua" w:cs="Times New Roman"/>
          <w:color w:val="000000" w:themeColor="text1"/>
          <w:sz w:val="24"/>
          <w:szCs w:val="24"/>
        </w:rPr>
        <w:t xml:space="preserve"> results demonstrated a 24 h TAEE-dissolubility of 76.7</w:t>
      </w:r>
      <w:r w:rsidR="00C86861" w:rsidRPr="0050120B">
        <w:rPr>
          <w:rFonts w:ascii="Book Antiqua" w:hAnsi="Book Antiqua" w:cs="Times New Roman"/>
          <w:color w:val="000000" w:themeColor="text1"/>
          <w:sz w:val="24"/>
          <w:szCs w:val="24"/>
        </w:rPr>
        <w:t>%</w:t>
      </w:r>
      <w:r w:rsidR="00D04549" w:rsidRPr="0050120B">
        <w:rPr>
          <w:rFonts w:ascii="Book Antiqua" w:hAnsi="Book Antiqua" w:cs="Times New Roman"/>
          <w:color w:val="000000" w:themeColor="text1"/>
          <w:sz w:val="24"/>
          <w:szCs w:val="24"/>
        </w:rPr>
        <w:t>, 56.5</w:t>
      </w:r>
      <w:r w:rsidR="00C86861" w:rsidRPr="0050120B">
        <w:rPr>
          <w:rFonts w:ascii="Book Antiqua" w:hAnsi="Book Antiqua" w:cs="Times New Roman"/>
          <w:color w:val="000000" w:themeColor="text1"/>
          <w:sz w:val="24"/>
          <w:szCs w:val="24"/>
        </w:rPr>
        <w:t>%</w:t>
      </w:r>
      <w:r w:rsidR="00D04549" w:rsidRPr="0050120B">
        <w:rPr>
          <w:rFonts w:ascii="Book Antiqua" w:hAnsi="Book Antiqua" w:cs="Times New Roman"/>
          <w:color w:val="000000" w:themeColor="text1"/>
          <w:sz w:val="24"/>
          <w:szCs w:val="24"/>
        </w:rPr>
        <w:t xml:space="preserve"> and 38.75% for cholesterol, mixed, and pigmented gallstones, respectively,</w:t>
      </w:r>
      <w:r w:rsidR="00D04549" w:rsidRPr="0050120B" w:rsidDel="008F10F8">
        <w:rPr>
          <w:rFonts w:ascii="Book Antiqua" w:hAnsi="Book Antiqua" w:cs="Times New Roman"/>
          <w:color w:val="000000" w:themeColor="text1"/>
          <w:sz w:val="24"/>
          <w:szCs w:val="24"/>
        </w:rPr>
        <w:t xml:space="preserve"> </w:t>
      </w:r>
      <w:r w:rsidR="00D04549" w:rsidRPr="0050120B">
        <w:rPr>
          <w:rFonts w:ascii="Book Antiqua" w:hAnsi="Book Antiqua" w:cs="Times New Roman"/>
          <w:color w:val="000000" w:themeColor="text1"/>
          <w:sz w:val="24"/>
          <w:szCs w:val="24"/>
        </w:rPr>
        <w:t xml:space="preserve">which represented a 1.2-, 1.4-, and 1.3-fold increase in dissolubility compared to that of MTBE. In the </w:t>
      </w:r>
      <w:r w:rsidR="00D04549" w:rsidRPr="0050120B">
        <w:rPr>
          <w:rFonts w:ascii="Book Antiqua" w:hAnsi="Book Antiqua" w:cs="Times New Roman"/>
          <w:i/>
          <w:color w:val="000000" w:themeColor="text1"/>
          <w:sz w:val="24"/>
          <w:szCs w:val="24"/>
        </w:rPr>
        <w:t>in vivo</w:t>
      </w:r>
      <w:r w:rsidR="00D04549" w:rsidRPr="0050120B">
        <w:rPr>
          <w:rFonts w:ascii="Book Antiqua" w:hAnsi="Book Antiqua" w:cs="Times New Roman"/>
          <w:color w:val="000000" w:themeColor="text1"/>
          <w:sz w:val="24"/>
          <w:szCs w:val="24"/>
        </w:rPr>
        <w:t xml:space="preserve"> experiment, TAEE showed a 1.4- and 1.9-fold higher dissolubility for cholesterol and pigmented gallstones than MTBE. As such, TAEE could present an attractive alternative to MTBE if further clinical studies validate its efficacy and safety.</w:t>
      </w:r>
    </w:p>
    <w:bookmarkEnd w:id="51"/>
    <w:p w14:paraId="3A476460" w14:textId="77777777" w:rsidR="009142F1" w:rsidRPr="0050120B" w:rsidRDefault="009142F1" w:rsidP="009142F1">
      <w:pPr>
        <w:wordWrap/>
        <w:spacing w:after="0" w:line="360" w:lineRule="auto"/>
        <w:rPr>
          <w:rFonts w:ascii="Book Antiqua" w:hAnsi="Book Antiqua" w:cs="Times New Roman"/>
          <w:color w:val="000000" w:themeColor="text1"/>
          <w:sz w:val="24"/>
          <w:szCs w:val="24"/>
          <w:lang w:val="hu-HU"/>
        </w:rPr>
      </w:pPr>
    </w:p>
    <w:p w14:paraId="6D77A669" w14:textId="7A7A68D6" w:rsidR="00A05587" w:rsidRPr="0050120B" w:rsidRDefault="009142F1" w:rsidP="00D83937">
      <w:pPr>
        <w:wordWrap/>
        <w:spacing w:after="0" w:line="360" w:lineRule="auto"/>
        <w:rPr>
          <w:rFonts w:ascii="Book Antiqua" w:hAnsi="Book Antiqua" w:cs="Times New Roman"/>
          <w:iCs/>
          <w:color w:val="000000" w:themeColor="text1"/>
          <w:sz w:val="24"/>
          <w:szCs w:val="24"/>
        </w:rPr>
      </w:pPr>
      <w:r w:rsidRPr="0050120B">
        <w:rPr>
          <w:rFonts w:ascii="Book Antiqua" w:eastAsia="Malgun Gothic" w:hAnsi="Book Antiqua" w:cs="Times New Roman"/>
          <w:color w:val="000000" w:themeColor="text1"/>
          <w:sz w:val="24"/>
          <w:szCs w:val="24"/>
        </w:rPr>
        <w:t>You</w:t>
      </w:r>
      <w:r w:rsidRPr="0050120B">
        <w:rPr>
          <w:rFonts w:ascii="Book Antiqua" w:eastAsia="Malgun Gothic" w:hAnsi="Book Antiqua" w:cs="Times New Roman"/>
          <w:color w:val="000000" w:themeColor="text1"/>
          <w:kern w:val="0"/>
          <w:sz w:val="24"/>
          <w:szCs w:val="24"/>
        </w:rPr>
        <w:t xml:space="preserve"> DD, </w:t>
      </w:r>
      <w:r w:rsidRPr="0050120B">
        <w:rPr>
          <w:rFonts w:ascii="Book Antiqua" w:eastAsia="Malgun Gothic" w:hAnsi="Book Antiqua" w:cs="Times New Roman"/>
          <w:color w:val="000000" w:themeColor="text1"/>
          <w:sz w:val="24"/>
          <w:szCs w:val="24"/>
        </w:rPr>
        <w:t>Cho</w:t>
      </w:r>
      <w:r w:rsidRPr="0050120B">
        <w:rPr>
          <w:rFonts w:ascii="Book Antiqua" w:hAnsi="Book Antiqua" w:cs="Times New Roman"/>
          <w:color w:val="000000" w:themeColor="text1"/>
          <w:sz w:val="24"/>
          <w:szCs w:val="24"/>
        </w:rPr>
        <w:t xml:space="preserve"> SJ, </w:t>
      </w:r>
      <w:r w:rsidRPr="0050120B">
        <w:rPr>
          <w:rFonts w:ascii="Book Antiqua" w:eastAsia="Malgun Gothic" w:hAnsi="Book Antiqua" w:cs="Times New Roman"/>
          <w:color w:val="000000" w:themeColor="text1"/>
          <w:sz w:val="24"/>
          <w:szCs w:val="24"/>
        </w:rPr>
        <w:t>Kim</w:t>
      </w:r>
      <w:r w:rsidRPr="0050120B">
        <w:rPr>
          <w:rFonts w:ascii="Book Antiqua" w:hAnsi="Book Antiqua" w:cs="Times New Roman"/>
          <w:color w:val="000000" w:themeColor="text1"/>
          <w:sz w:val="24"/>
          <w:szCs w:val="24"/>
        </w:rPr>
        <w:t xml:space="preserve"> OH, </w:t>
      </w:r>
      <w:r w:rsidRPr="0050120B">
        <w:rPr>
          <w:rFonts w:ascii="Book Antiqua" w:eastAsia="Malgun Gothic" w:hAnsi="Book Antiqua" w:cs="Times New Roman"/>
          <w:color w:val="000000" w:themeColor="text1"/>
          <w:sz w:val="24"/>
          <w:szCs w:val="24"/>
        </w:rPr>
        <w:t>Song</w:t>
      </w:r>
      <w:r w:rsidRPr="0050120B">
        <w:rPr>
          <w:rFonts w:ascii="Book Antiqua" w:hAnsi="Book Antiqua" w:cs="Times New Roman"/>
          <w:color w:val="000000" w:themeColor="text1"/>
          <w:sz w:val="24"/>
          <w:szCs w:val="24"/>
        </w:rPr>
        <w:t xml:space="preserve"> JS, </w:t>
      </w:r>
      <w:r w:rsidRPr="0050120B">
        <w:rPr>
          <w:rFonts w:ascii="Book Antiqua" w:eastAsia="Malgun Gothic" w:hAnsi="Book Antiqua" w:cs="Times New Roman"/>
          <w:color w:val="000000" w:themeColor="text1"/>
          <w:sz w:val="24"/>
          <w:szCs w:val="24"/>
        </w:rPr>
        <w:t>Hwang</w:t>
      </w:r>
      <w:r w:rsidRPr="0050120B">
        <w:rPr>
          <w:rFonts w:ascii="Book Antiqua" w:hAnsi="Book Antiqua" w:cs="Times New Roman"/>
          <w:color w:val="000000" w:themeColor="text1"/>
          <w:sz w:val="24"/>
          <w:szCs w:val="24"/>
        </w:rPr>
        <w:t xml:space="preserve"> KS, </w:t>
      </w:r>
      <w:r w:rsidRPr="0050120B">
        <w:rPr>
          <w:rFonts w:ascii="Book Antiqua" w:eastAsia="Malgun Gothic" w:hAnsi="Book Antiqua" w:cs="Times New Roman"/>
          <w:color w:val="000000" w:themeColor="text1"/>
          <w:sz w:val="24"/>
          <w:szCs w:val="24"/>
        </w:rPr>
        <w:t>Lee</w:t>
      </w:r>
      <w:r w:rsidRPr="0050120B">
        <w:rPr>
          <w:rFonts w:ascii="Book Antiqua" w:hAnsi="Book Antiqua" w:cs="Times New Roman"/>
          <w:color w:val="000000" w:themeColor="text1"/>
          <w:sz w:val="24"/>
          <w:szCs w:val="24"/>
        </w:rPr>
        <w:t xml:space="preserve"> SC, </w:t>
      </w:r>
      <w:r w:rsidRPr="0050120B">
        <w:rPr>
          <w:rFonts w:ascii="Book Antiqua" w:eastAsia="Malgun Gothic" w:hAnsi="Book Antiqua" w:cs="Times New Roman"/>
          <w:color w:val="000000" w:themeColor="text1"/>
          <w:sz w:val="24"/>
          <w:szCs w:val="24"/>
        </w:rPr>
        <w:t>Kim</w:t>
      </w:r>
      <w:r w:rsidRPr="0050120B">
        <w:rPr>
          <w:rFonts w:ascii="Book Antiqua" w:hAnsi="Book Antiqua" w:cs="Times New Roman"/>
          <w:color w:val="000000" w:themeColor="text1"/>
          <w:sz w:val="24"/>
          <w:szCs w:val="24"/>
        </w:rPr>
        <w:t xml:space="preserve"> KH, </w:t>
      </w:r>
      <w:r w:rsidRPr="0050120B">
        <w:rPr>
          <w:rFonts w:ascii="Book Antiqua" w:eastAsia="Malgun Gothic" w:hAnsi="Book Antiqua" w:cs="Times New Roman"/>
          <w:color w:val="000000" w:themeColor="text1"/>
          <w:sz w:val="24"/>
          <w:szCs w:val="24"/>
        </w:rPr>
        <w:t>Choi</w:t>
      </w:r>
      <w:r w:rsidRPr="0050120B">
        <w:rPr>
          <w:rFonts w:ascii="Book Antiqua" w:hAnsi="Book Antiqua" w:cs="Times New Roman"/>
          <w:color w:val="000000" w:themeColor="text1"/>
          <w:sz w:val="24"/>
          <w:szCs w:val="24"/>
        </w:rPr>
        <w:t xml:space="preserve"> HJ, </w:t>
      </w:r>
      <w:r w:rsidRPr="0050120B">
        <w:rPr>
          <w:rFonts w:ascii="Book Antiqua" w:eastAsia="Malgun Gothic" w:hAnsi="Book Antiqua" w:cs="Times New Roman"/>
          <w:color w:val="000000" w:themeColor="text1"/>
          <w:sz w:val="24"/>
          <w:szCs w:val="24"/>
        </w:rPr>
        <w:t>Hong</w:t>
      </w:r>
      <w:r w:rsidRPr="0050120B">
        <w:rPr>
          <w:rFonts w:ascii="Book Antiqua" w:hAnsi="Book Antiqua" w:cs="Times New Roman"/>
          <w:color w:val="000000" w:themeColor="text1"/>
          <w:sz w:val="24"/>
          <w:szCs w:val="24"/>
        </w:rPr>
        <w:t xml:space="preserve"> HE, </w:t>
      </w:r>
      <w:r w:rsidRPr="0050120B">
        <w:rPr>
          <w:rFonts w:ascii="Book Antiqua" w:eastAsia="Malgun Gothic" w:hAnsi="Book Antiqua" w:cs="Times New Roman"/>
          <w:color w:val="000000" w:themeColor="text1"/>
          <w:sz w:val="24"/>
          <w:szCs w:val="24"/>
        </w:rPr>
        <w:t>Seo</w:t>
      </w:r>
      <w:r w:rsidRPr="0050120B">
        <w:rPr>
          <w:rFonts w:ascii="Book Antiqua" w:hAnsi="Book Antiqua" w:cs="Times New Roman"/>
          <w:color w:val="000000" w:themeColor="text1"/>
          <w:sz w:val="24"/>
          <w:szCs w:val="24"/>
        </w:rPr>
        <w:t xml:space="preserve"> H, </w:t>
      </w:r>
      <w:r w:rsidRPr="0050120B">
        <w:rPr>
          <w:rFonts w:ascii="Book Antiqua" w:eastAsia="Malgun Gothic" w:hAnsi="Book Antiqua" w:cs="Times New Roman"/>
          <w:color w:val="000000" w:themeColor="text1"/>
          <w:sz w:val="24"/>
          <w:szCs w:val="24"/>
        </w:rPr>
        <w:t>Hong</w:t>
      </w:r>
      <w:r w:rsidRPr="0050120B">
        <w:rPr>
          <w:rFonts w:ascii="Book Antiqua" w:hAnsi="Book Antiqua" w:cs="Times New Roman"/>
          <w:color w:val="000000" w:themeColor="text1"/>
          <w:sz w:val="24"/>
          <w:szCs w:val="24"/>
        </w:rPr>
        <w:t xml:space="preserve"> TH, </w:t>
      </w:r>
      <w:r w:rsidRPr="0050120B">
        <w:rPr>
          <w:rFonts w:ascii="Book Antiqua" w:eastAsia="Malgun Gothic" w:hAnsi="Book Antiqua" w:cs="Times New Roman"/>
          <w:color w:val="000000" w:themeColor="text1"/>
          <w:sz w:val="24"/>
          <w:szCs w:val="24"/>
        </w:rPr>
        <w:t>Park</w:t>
      </w:r>
      <w:r w:rsidRPr="0050120B">
        <w:rPr>
          <w:rFonts w:ascii="Book Antiqua" w:hAnsi="Book Antiqua" w:cs="Times New Roman"/>
          <w:color w:val="000000" w:themeColor="text1"/>
          <w:sz w:val="24"/>
          <w:szCs w:val="24"/>
        </w:rPr>
        <w:t xml:space="preserve"> JH, </w:t>
      </w:r>
      <w:r w:rsidRPr="0050120B">
        <w:rPr>
          <w:rFonts w:ascii="Book Antiqua" w:eastAsia="Malgun Gothic" w:hAnsi="Book Antiqua" w:cs="Times New Roman"/>
          <w:color w:val="000000" w:themeColor="text1"/>
          <w:sz w:val="24"/>
          <w:szCs w:val="24"/>
        </w:rPr>
        <w:t>Lee</w:t>
      </w:r>
      <w:r w:rsidRPr="0050120B">
        <w:rPr>
          <w:rFonts w:ascii="Book Antiqua" w:hAnsi="Book Antiqua" w:cs="Times New Roman"/>
          <w:color w:val="000000" w:themeColor="text1"/>
          <w:sz w:val="24"/>
          <w:szCs w:val="24"/>
        </w:rPr>
        <w:t xml:space="preserve"> TY, </w:t>
      </w:r>
      <w:r w:rsidRPr="0050120B">
        <w:rPr>
          <w:rFonts w:ascii="Book Antiqua" w:eastAsia="Malgun Gothic" w:hAnsi="Book Antiqua" w:cs="Times New Roman"/>
          <w:color w:val="000000" w:themeColor="text1"/>
          <w:sz w:val="24"/>
          <w:szCs w:val="24"/>
        </w:rPr>
        <w:t>Ahn</w:t>
      </w:r>
      <w:r w:rsidRPr="0050120B">
        <w:rPr>
          <w:rFonts w:ascii="Book Antiqua" w:hAnsi="Book Antiqua" w:cs="Times New Roman"/>
          <w:color w:val="000000" w:themeColor="text1"/>
          <w:sz w:val="24"/>
          <w:szCs w:val="24"/>
        </w:rPr>
        <w:t xml:space="preserve"> J, </w:t>
      </w:r>
      <w:r w:rsidRPr="0050120B">
        <w:rPr>
          <w:rFonts w:ascii="Book Antiqua" w:eastAsia="Malgun Gothic" w:hAnsi="Book Antiqua" w:cs="Times New Roman"/>
          <w:color w:val="000000" w:themeColor="text1"/>
          <w:sz w:val="24"/>
          <w:szCs w:val="24"/>
        </w:rPr>
        <w:t>Jung</w:t>
      </w:r>
      <w:r w:rsidRPr="0050120B">
        <w:rPr>
          <w:rFonts w:ascii="Book Antiqua" w:hAnsi="Book Antiqua" w:cs="Times New Roman"/>
          <w:color w:val="000000" w:themeColor="text1"/>
          <w:sz w:val="24"/>
          <w:szCs w:val="24"/>
        </w:rPr>
        <w:t xml:space="preserve"> JK, </w:t>
      </w:r>
      <w:r w:rsidRPr="0050120B">
        <w:rPr>
          <w:rFonts w:ascii="Book Antiqua" w:eastAsia="Malgun Gothic" w:hAnsi="Book Antiqua" w:cs="Times New Roman"/>
          <w:color w:val="000000" w:themeColor="text1"/>
          <w:sz w:val="24"/>
          <w:szCs w:val="24"/>
        </w:rPr>
        <w:t>Jung</w:t>
      </w:r>
      <w:r w:rsidRPr="0050120B">
        <w:rPr>
          <w:rFonts w:ascii="Book Antiqua" w:hAnsi="Book Antiqua" w:cs="Times New Roman"/>
          <w:color w:val="000000" w:themeColor="text1"/>
          <w:sz w:val="24"/>
          <w:szCs w:val="24"/>
        </w:rPr>
        <w:t xml:space="preserve"> KY, </w:t>
      </w:r>
      <w:r w:rsidRPr="0050120B">
        <w:rPr>
          <w:rFonts w:ascii="Book Antiqua" w:eastAsia="Malgun Gothic" w:hAnsi="Book Antiqua" w:cs="Times New Roman"/>
          <w:color w:val="000000" w:themeColor="text1"/>
          <w:sz w:val="24"/>
          <w:szCs w:val="24"/>
        </w:rPr>
        <w:t>Kim</w:t>
      </w:r>
      <w:r w:rsidRPr="0050120B">
        <w:rPr>
          <w:rFonts w:ascii="Book Antiqua" w:hAnsi="Book Antiqua" w:cs="Times New Roman"/>
          <w:color w:val="000000" w:themeColor="text1"/>
          <w:sz w:val="24"/>
          <w:szCs w:val="24"/>
        </w:rPr>
        <w:t xml:space="preserve"> SJ</w:t>
      </w:r>
      <w:r w:rsidR="00D83937" w:rsidRPr="0050120B">
        <w:rPr>
          <w:rFonts w:ascii="Book Antiqua" w:hAnsi="Book Antiqua" w:cs="Times New Roman"/>
          <w:color w:val="000000" w:themeColor="text1"/>
          <w:sz w:val="24"/>
          <w:szCs w:val="24"/>
        </w:rPr>
        <w:t xml:space="preserve">. </w:t>
      </w:r>
      <w:r w:rsidRPr="0050120B">
        <w:rPr>
          <w:rFonts w:ascii="Book Antiqua" w:hAnsi="Book Antiqua" w:cs="Times New Roman"/>
          <w:color w:val="000000" w:themeColor="text1"/>
          <w:sz w:val="24"/>
          <w:szCs w:val="24"/>
        </w:rPr>
        <w:t>Superior gallstone dissolubility and safety of tert-amyl ethyl ether over methyl-tertiary butyl ether</w:t>
      </w:r>
      <w:r w:rsidR="00D83937" w:rsidRPr="0050120B">
        <w:rPr>
          <w:rFonts w:ascii="Book Antiqua" w:hAnsi="Book Antiqua" w:cs="Times New Roman"/>
          <w:color w:val="000000" w:themeColor="text1"/>
          <w:sz w:val="24"/>
          <w:szCs w:val="24"/>
        </w:rPr>
        <w:t xml:space="preserve">. </w:t>
      </w:r>
      <w:r w:rsidR="00D83937" w:rsidRPr="0050120B">
        <w:rPr>
          <w:rFonts w:ascii="Book Antiqua" w:eastAsia="Times New Roman" w:hAnsi="Book Antiqua" w:cs="宋体"/>
          <w:i/>
          <w:color w:val="000000" w:themeColor="text1"/>
          <w:kern w:val="0"/>
          <w:sz w:val="24"/>
          <w:szCs w:val="24"/>
          <w:lang w:val="hu-HU" w:eastAsia="en-US"/>
        </w:rPr>
        <w:t xml:space="preserve">World J Gastroenterol </w:t>
      </w:r>
      <w:r w:rsidR="00D83937" w:rsidRPr="0050120B">
        <w:rPr>
          <w:rFonts w:ascii="Book Antiqua" w:eastAsia="Times New Roman" w:hAnsi="Book Antiqua" w:cs="宋体"/>
          <w:iCs/>
          <w:color w:val="000000" w:themeColor="text1"/>
          <w:kern w:val="0"/>
          <w:sz w:val="24"/>
          <w:szCs w:val="24"/>
          <w:lang w:val="hu-HU" w:eastAsia="en-US"/>
        </w:rPr>
        <w:t>2019; In press</w:t>
      </w:r>
    </w:p>
    <w:p w14:paraId="34BFE245" w14:textId="23F447EA" w:rsidR="003565F9" w:rsidRPr="0050120B" w:rsidRDefault="003565F9" w:rsidP="0075341C">
      <w:pPr>
        <w:widowControl/>
        <w:wordWrap/>
        <w:autoSpaceDE/>
        <w:autoSpaceDN/>
        <w:spacing w:after="0" w:line="360" w:lineRule="auto"/>
        <w:rPr>
          <w:rFonts w:ascii="Book Antiqua" w:hAnsi="Book Antiqua" w:cs="Times New Roman"/>
          <w:b/>
          <w:color w:val="000000" w:themeColor="text1"/>
          <w:sz w:val="24"/>
          <w:szCs w:val="24"/>
        </w:rPr>
      </w:pPr>
      <w:r w:rsidRPr="0050120B">
        <w:rPr>
          <w:rFonts w:ascii="Book Antiqua" w:hAnsi="Book Antiqua" w:cs="Times New Roman"/>
          <w:b/>
          <w:color w:val="000000" w:themeColor="text1"/>
          <w:sz w:val="24"/>
          <w:szCs w:val="24"/>
        </w:rPr>
        <w:br w:type="page"/>
      </w:r>
    </w:p>
    <w:p w14:paraId="40584CC7" w14:textId="77777777" w:rsidR="003565F9" w:rsidRPr="0050120B" w:rsidRDefault="003565F9" w:rsidP="0075341C">
      <w:pPr>
        <w:wordWrap/>
        <w:spacing w:after="0" w:line="360" w:lineRule="auto"/>
        <w:rPr>
          <w:rFonts w:ascii="Book Antiqua" w:hAnsi="Book Antiqua" w:cs="Times New Roman"/>
          <w:b/>
          <w:color w:val="000000" w:themeColor="text1"/>
          <w:sz w:val="24"/>
          <w:szCs w:val="24"/>
        </w:rPr>
      </w:pPr>
      <w:r w:rsidRPr="0050120B">
        <w:rPr>
          <w:rFonts w:ascii="Book Antiqua" w:hAnsi="Book Antiqua" w:cs="Times New Roman"/>
          <w:b/>
          <w:color w:val="000000" w:themeColor="text1"/>
          <w:sz w:val="24"/>
          <w:szCs w:val="24"/>
        </w:rPr>
        <w:lastRenderedPageBreak/>
        <w:t>INTROCUCTION</w:t>
      </w:r>
    </w:p>
    <w:p w14:paraId="168654B9" w14:textId="58F3DACB" w:rsidR="003565F9" w:rsidRPr="0050120B" w:rsidRDefault="003565F9" w:rsidP="0050120B">
      <w:pPr>
        <w:widowControl/>
        <w:wordWrap/>
        <w:autoSpaceDE/>
        <w:autoSpaceDN/>
        <w:spacing w:after="0" w:line="360" w:lineRule="auto"/>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Gallstone disease, or cholelithiasis, is a highly prevalent disease, particularly in developed countries. In the United States, adults with gallstones are estimated to account for over 14% of the population</w:t>
      </w:r>
      <w:r w:rsidRPr="0050120B">
        <w:rPr>
          <w:rFonts w:ascii="Book Antiqua" w:hAnsi="Book Antiqua" w:cs="Times New Roman"/>
          <w:color w:val="000000" w:themeColor="text1"/>
          <w:sz w:val="24"/>
          <w:szCs w:val="24"/>
          <w:vertAlign w:val="superscript"/>
        </w:rPr>
        <w:t>[1]</w:t>
      </w:r>
      <w:r w:rsidRPr="0050120B">
        <w:rPr>
          <w:rFonts w:ascii="Book Antiqua" w:hAnsi="Book Antiqua" w:cs="Times New Roman"/>
          <w:color w:val="000000" w:themeColor="text1"/>
          <w:sz w:val="24"/>
          <w:szCs w:val="24"/>
        </w:rPr>
        <w:t>. Presently, the definitive treatment modality for symptomatic cholelithiasis is a laparoscopic cholecystectomy. The prevalence of gallstones is significantly higher in the older population; it is estimated that approximately 30% of women develop gallstones by the age of 65 years, and 60% of both men and women develop gallstones by the age of 80 years</w:t>
      </w:r>
      <w:r w:rsidRPr="0050120B">
        <w:rPr>
          <w:rFonts w:ascii="Book Antiqua" w:hAnsi="Book Antiqua" w:cs="Times New Roman"/>
          <w:color w:val="000000" w:themeColor="text1"/>
          <w:sz w:val="24"/>
          <w:szCs w:val="24"/>
          <w:vertAlign w:val="superscript"/>
        </w:rPr>
        <w:t>[2]</w:t>
      </w:r>
      <w:r w:rsidRPr="0050120B">
        <w:rPr>
          <w:rFonts w:ascii="Book Antiqua" w:hAnsi="Book Antiqua" w:cs="Times New Roman"/>
          <w:color w:val="000000" w:themeColor="text1"/>
          <w:sz w:val="24"/>
          <w:szCs w:val="24"/>
        </w:rPr>
        <w:t xml:space="preserve">. Elderly patients also have a higher probability of having comorbid medical conditions that could complicate the use of general anesthesia for surgery. Moreover, some patients prefer nonsurgical options. </w:t>
      </w:r>
      <w:bookmarkEnd w:id="46"/>
      <w:r w:rsidRPr="0050120B">
        <w:rPr>
          <w:rFonts w:ascii="Book Antiqua" w:hAnsi="Book Antiqua" w:cs="Times New Roman"/>
          <w:color w:val="000000" w:themeColor="text1"/>
          <w:sz w:val="24"/>
          <w:szCs w:val="24"/>
        </w:rPr>
        <w:t xml:space="preserve">To cope with these situations, investigators have developed various contact litholytic agents (CLAs) that cause chemical dissolution of gallstones by direct contact after entering the gallbladder through the percutaneous transhepatic route. </w:t>
      </w:r>
    </w:p>
    <w:p w14:paraId="3A6CFC4C" w14:textId="181D3C26" w:rsidR="003565F9" w:rsidRPr="0050120B" w:rsidRDefault="003565F9" w:rsidP="0050120B">
      <w:pPr>
        <w:widowControl/>
        <w:wordWrap/>
        <w:autoSpaceDE/>
        <w:autoSpaceDN/>
        <w:spacing w:after="0" w:line="360" w:lineRule="auto"/>
        <w:ind w:firstLineChars="100" w:firstLine="240"/>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Methyl tert-butyl ether (MTBE) has been the first choice of CLA ever since its introduction in 1985</w:t>
      </w:r>
      <w:r w:rsidRPr="0050120B">
        <w:rPr>
          <w:rFonts w:ascii="Book Antiqua" w:hAnsi="Book Antiqua" w:cs="Times New Roman"/>
          <w:noProof/>
          <w:color w:val="000000" w:themeColor="text1"/>
          <w:sz w:val="24"/>
          <w:szCs w:val="24"/>
          <w:vertAlign w:val="superscript"/>
        </w:rPr>
        <w:t>[3-7]</w:t>
      </w:r>
      <w:r w:rsidRPr="0050120B">
        <w:rPr>
          <w:rFonts w:ascii="Book Antiqua" w:hAnsi="Book Antiqua" w:cs="Times New Roman"/>
          <w:color w:val="000000" w:themeColor="text1"/>
          <w:sz w:val="24"/>
          <w:szCs w:val="24"/>
        </w:rPr>
        <w:t>. A large survey in Europe, comprised of 803 patients from 21 institutions, investigated the effectiveness and side effects of MTBE</w:t>
      </w:r>
      <w:r w:rsidRPr="0050120B">
        <w:rPr>
          <w:rFonts w:ascii="Book Antiqua" w:hAnsi="Book Antiqua" w:cs="Times New Roman"/>
          <w:noProof/>
          <w:color w:val="000000" w:themeColor="text1"/>
          <w:sz w:val="24"/>
          <w:szCs w:val="24"/>
          <w:vertAlign w:val="superscript"/>
        </w:rPr>
        <w:t>[5]</w:t>
      </w:r>
      <w:r w:rsidRPr="0050120B">
        <w:rPr>
          <w:rFonts w:ascii="Book Antiqua" w:hAnsi="Book Antiqua" w:cs="Times New Roman"/>
          <w:color w:val="000000" w:themeColor="text1"/>
          <w:sz w:val="24"/>
          <w:szCs w:val="24"/>
        </w:rPr>
        <w:t>. The dissolubility of MTBE was 95.1%, and 43.1% of patients had post-treatment biliary sludge. The most severe complication was bile leakage, which had been related with the procedure. The stone recurrence rate was about 40% in solitary stones and about 70% in multiple stones over five years. MTBE has structural similarity with a representative anesthetic agent, diethyl ether. It, thus, has a relatively low boiling point (55</w:t>
      </w:r>
      <w:r w:rsidR="0050120B">
        <w:rPr>
          <w:rFonts w:ascii="Book Antiqua" w:hAnsi="Book Antiqua" w:cs="Times New Roman"/>
          <w:color w:val="000000" w:themeColor="text1"/>
          <w:sz w:val="24"/>
          <w:szCs w:val="24"/>
        </w:rPr>
        <w:t xml:space="preserve"> </w:t>
      </w:r>
      <w:bookmarkStart w:id="52" w:name="_Hlk11931978"/>
      <w:bookmarkStart w:id="53" w:name="OLE_LINK878"/>
      <w:r w:rsidR="0050120B" w:rsidRPr="00FE4577">
        <w:rPr>
          <w:rFonts w:ascii="Book Antiqua" w:hAnsi="Book Antiqua"/>
          <w:sz w:val="24"/>
          <w:szCs w:val="24"/>
        </w:rPr>
        <w:t>°C</w:t>
      </w:r>
      <w:bookmarkEnd w:id="52"/>
      <w:bookmarkEnd w:id="53"/>
      <w:r w:rsidRPr="0050120B">
        <w:rPr>
          <w:rFonts w:ascii="Book Antiqua" w:hAnsi="Book Antiqua" w:cs="Times New Roman"/>
          <w:color w:val="000000" w:themeColor="text1"/>
          <w:sz w:val="24"/>
          <w:szCs w:val="24"/>
        </w:rPr>
        <w:t>) and a higher evaporation rate, which could lead to the development of various side effects, including nausea, upper abdominal pain, duodenitis, mild-to-moderate anesthesia, and hemolysis</w:t>
      </w:r>
      <w:r w:rsidRPr="0050120B">
        <w:rPr>
          <w:rFonts w:ascii="Book Antiqua" w:hAnsi="Book Antiqua" w:cs="Times New Roman"/>
          <w:noProof/>
          <w:color w:val="000000" w:themeColor="text1"/>
          <w:sz w:val="24"/>
          <w:szCs w:val="24"/>
          <w:vertAlign w:val="superscript"/>
        </w:rPr>
        <w:t>[8-17]</w:t>
      </w:r>
      <w:r w:rsidRPr="0050120B">
        <w:rPr>
          <w:rFonts w:ascii="Book Antiqua" w:hAnsi="Book Antiqua" w:cs="Times New Roman"/>
          <w:color w:val="000000" w:themeColor="text1"/>
          <w:sz w:val="24"/>
          <w:szCs w:val="24"/>
        </w:rPr>
        <w:t xml:space="preserve">. </w:t>
      </w:r>
      <w:bookmarkStart w:id="54" w:name="_Hlk488227610"/>
      <w:bookmarkEnd w:id="47"/>
    </w:p>
    <w:p w14:paraId="0217C734" w14:textId="3D5CCCD9" w:rsidR="003565F9" w:rsidRPr="0050120B" w:rsidRDefault="003565F9" w:rsidP="00DD0331">
      <w:pPr>
        <w:widowControl/>
        <w:wordWrap/>
        <w:autoSpaceDE/>
        <w:autoSpaceDN/>
        <w:spacing w:after="0" w:line="360" w:lineRule="auto"/>
        <w:ind w:firstLineChars="100" w:firstLine="240"/>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 xml:space="preserve">To overcome the toxicities of MTBE, we attempted to discover a novel CLA that has the higher, or at least similar, gallstone-dissolubility than MTBE while maintaining lesser toxicity. We discovered tert-amyl ethyl ether (TAEE) in the process of investigating numerous MTBE's analogues. </w:t>
      </w:r>
      <w:r w:rsidRPr="0050120B">
        <w:rPr>
          <w:rFonts w:ascii="Book Antiqua" w:eastAsia="Batang" w:hAnsi="Book Antiqua" w:cs="Times New Roman"/>
          <w:color w:val="000000" w:themeColor="text1"/>
          <w:sz w:val="24"/>
          <w:szCs w:val="24"/>
        </w:rPr>
        <w:t>TAEE has high boiling point of 102</w:t>
      </w:r>
      <w:r w:rsidR="0050120B">
        <w:rPr>
          <w:rFonts w:ascii="Book Antiqua" w:eastAsia="Batang" w:hAnsi="Book Antiqua" w:cs="Times New Roman"/>
          <w:color w:val="000000" w:themeColor="text1"/>
          <w:sz w:val="24"/>
          <w:szCs w:val="24"/>
        </w:rPr>
        <w:t xml:space="preserve"> </w:t>
      </w:r>
      <w:r w:rsidR="0050120B" w:rsidRPr="00FE4577">
        <w:rPr>
          <w:rFonts w:ascii="Book Antiqua" w:hAnsi="Book Antiqua"/>
          <w:sz w:val="24"/>
          <w:szCs w:val="24"/>
        </w:rPr>
        <w:t>°C</w:t>
      </w:r>
      <w:r w:rsidR="0050120B" w:rsidRPr="0050120B">
        <w:rPr>
          <w:rFonts w:ascii="Book Antiqua" w:eastAsia="Batang" w:hAnsi="Book Antiqua" w:cs="Times New Roman"/>
          <w:color w:val="000000" w:themeColor="text1"/>
          <w:sz w:val="24"/>
          <w:szCs w:val="24"/>
        </w:rPr>
        <w:t xml:space="preserve"> </w:t>
      </w:r>
      <w:r w:rsidRPr="0050120B">
        <w:rPr>
          <w:rFonts w:ascii="Book Antiqua" w:eastAsia="Batang" w:hAnsi="Book Antiqua" w:cs="Times New Roman"/>
          <w:color w:val="000000" w:themeColor="text1"/>
          <w:sz w:val="24"/>
          <w:szCs w:val="24"/>
        </w:rPr>
        <w:t xml:space="preserve">that is higher than water and nearly twice as high as MTBE. Unlike the MTBE, TAEE also </w:t>
      </w:r>
      <w:r w:rsidRPr="0050120B">
        <w:rPr>
          <w:rFonts w:ascii="Book Antiqua" w:eastAsia="Batang" w:hAnsi="Book Antiqua" w:cs="Times New Roman"/>
          <w:color w:val="000000" w:themeColor="text1"/>
          <w:sz w:val="24"/>
          <w:szCs w:val="24"/>
        </w:rPr>
        <w:lastRenderedPageBreak/>
        <w:t xml:space="preserve">has a high molecular weight of 116.2 g/mol, but its density is like that of MTBE (0.76 g/mL). We think that these characteristics of TAEE could collectively enhance gallstone dissolubility, while maintaining lesser toxicity. </w:t>
      </w:r>
      <w:r w:rsidRPr="0050120B">
        <w:rPr>
          <w:rFonts w:ascii="Book Antiqua" w:hAnsi="Book Antiqua" w:cs="Times New Roman"/>
          <w:color w:val="000000" w:themeColor="text1"/>
          <w:sz w:val="24"/>
          <w:szCs w:val="24"/>
        </w:rPr>
        <w:t xml:space="preserve">In this study, our aim was to determine whether TAEE could be used as an alternative to MTBE by comparing the gallstone dissolubility and toxicity of these two compounds. </w:t>
      </w:r>
    </w:p>
    <w:p w14:paraId="6541D654" w14:textId="77777777" w:rsidR="003565F9" w:rsidRPr="0050120B" w:rsidRDefault="003565F9" w:rsidP="0075341C">
      <w:pPr>
        <w:widowControl/>
        <w:wordWrap/>
        <w:autoSpaceDE/>
        <w:autoSpaceDN/>
        <w:spacing w:after="0" w:line="360" w:lineRule="auto"/>
        <w:rPr>
          <w:rFonts w:ascii="Book Antiqua" w:eastAsia="Arial Unicode MS" w:hAnsi="Book Antiqua" w:cs="Times New Roman"/>
          <w:b/>
          <w:color w:val="000000" w:themeColor="text1"/>
          <w:sz w:val="24"/>
          <w:szCs w:val="24"/>
        </w:rPr>
      </w:pPr>
    </w:p>
    <w:p w14:paraId="29C83673" w14:textId="77777777" w:rsidR="003565F9" w:rsidRPr="0050120B" w:rsidRDefault="003565F9" w:rsidP="0075341C">
      <w:pPr>
        <w:wordWrap/>
        <w:spacing w:after="0" w:line="360" w:lineRule="auto"/>
        <w:rPr>
          <w:rFonts w:ascii="Book Antiqua" w:eastAsia="Arial Unicode MS" w:hAnsi="Book Antiqua" w:cs="Times New Roman"/>
          <w:b/>
          <w:color w:val="000000" w:themeColor="text1"/>
          <w:sz w:val="24"/>
          <w:szCs w:val="24"/>
        </w:rPr>
      </w:pPr>
      <w:r w:rsidRPr="0050120B">
        <w:rPr>
          <w:rFonts w:ascii="Book Antiqua" w:eastAsia="Arial Unicode MS" w:hAnsi="Book Antiqua" w:cs="Times New Roman"/>
          <w:b/>
          <w:color w:val="000000" w:themeColor="text1"/>
          <w:sz w:val="24"/>
          <w:szCs w:val="24"/>
        </w:rPr>
        <w:t>MATERIALS AND METHODS</w:t>
      </w:r>
    </w:p>
    <w:p w14:paraId="00DDB3C5" w14:textId="77777777" w:rsidR="003565F9" w:rsidRPr="0050120B" w:rsidRDefault="003565F9" w:rsidP="0075341C">
      <w:pPr>
        <w:wordWrap/>
        <w:spacing w:after="0" w:line="360" w:lineRule="auto"/>
        <w:rPr>
          <w:rFonts w:ascii="Book Antiqua" w:eastAsia="Arial Unicode MS" w:hAnsi="Book Antiqua" w:cs="Times New Roman"/>
          <w:b/>
          <w:i/>
          <w:color w:val="000000" w:themeColor="text1"/>
          <w:sz w:val="24"/>
          <w:szCs w:val="24"/>
        </w:rPr>
      </w:pPr>
      <w:r w:rsidRPr="0050120B">
        <w:rPr>
          <w:rFonts w:ascii="Book Antiqua" w:eastAsia="Arial Unicode MS" w:hAnsi="Book Antiqua" w:cs="Times New Roman"/>
          <w:b/>
          <w:i/>
          <w:color w:val="000000" w:themeColor="text1"/>
          <w:sz w:val="24"/>
          <w:szCs w:val="24"/>
        </w:rPr>
        <w:t>Chemicals and reagents</w:t>
      </w:r>
    </w:p>
    <w:p w14:paraId="544645D0" w14:textId="5441611B" w:rsidR="003565F9" w:rsidRPr="0050120B" w:rsidRDefault="003565F9" w:rsidP="0050120B">
      <w:pPr>
        <w:wordWrap/>
        <w:spacing w:after="0" w:line="360" w:lineRule="auto"/>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MTBE was obtained from Sigma-Aldrich (St Louis, MO</w:t>
      </w:r>
      <w:r w:rsidR="0050120B">
        <w:rPr>
          <w:rFonts w:ascii="Book Antiqua" w:hAnsi="Book Antiqua" w:cs="Times New Roman"/>
          <w:color w:val="000000" w:themeColor="text1"/>
          <w:sz w:val="24"/>
          <w:szCs w:val="24"/>
        </w:rPr>
        <w:t>, United States</w:t>
      </w:r>
      <w:r w:rsidRPr="0050120B">
        <w:rPr>
          <w:rFonts w:ascii="Book Antiqua" w:hAnsi="Book Antiqua" w:cs="Times New Roman"/>
          <w:color w:val="000000" w:themeColor="text1"/>
          <w:sz w:val="24"/>
          <w:szCs w:val="24"/>
        </w:rPr>
        <w:t xml:space="preserve">). TAEE was produced in the Korea Research Institute of Chemical Technology (KRICT, Daejeon, </w:t>
      </w:r>
      <w:r w:rsidR="0050120B">
        <w:rPr>
          <w:rFonts w:ascii="Book Antiqua" w:hAnsi="Book Antiqua" w:cs="Times New Roman"/>
          <w:color w:val="000000" w:themeColor="text1"/>
          <w:sz w:val="24"/>
          <w:szCs w:val="24"/>
        </w:rPr>
        <w:t>South</w:t>
      </w:r>
      <w:r w:rsidRPr="0050120B">
        <w:rPr>
          <w:rFonts w:ascii="Book Antiqua" w:hAnsi="Book Antiqua" w:cs="Times New Roman"/>
          <w:color w:val="000000" w:themeColor="text1"/>
          <w:sz w:val="24"/>
          <w:szCs w:val="24"/>
        </w:rPr>
        <w:t xml:space="preserve"> Korea)</w:t>
      </w:r>
    </w:p>
    <w:p w14:paraId="26F10DB6" w14:textId="77777777" w:rsidR="003565F9" w:rsidRPr="0050120B" w:rsidRDefault="003565F9" w:rsidP="0075341C">
      <w:pPr>
        <w:wordWrap/>
        <w:spacing w:after="0" w:line="360" w:lineRule="auto"/>
        <w:outlineLvl w:val="0"/>
        <w:rPr>
          <w:rFonts w:ascii="Book Antiqua" w:hAnsi="Book Antiqua" w:cs="Times New Roman"/>
          <w:color w:val="000000" w:themeColor="text1"/>
          <w:sz w:val="24"/>
          <w:szCs w:val="24"/>
        </w:rPr>
      </w:pPr>
    </w:p>
    <w:p w14:paraId="08A7D98F" w14:textId="77777777" w:rsidR="003565F9" w:rsidRPr="0050120B" w:rsidRDefault="003565F9" w:rsidP="0075341C">
      <w:pPr>
        <w:wordWrap/>
        <w:spacing w:after="0" w:line="360" w:lineRule="auto"/>
        <w:rPr>
          <w:rFonts w:ascii="Book Antiqua" w:eastAsia="Arial Unicode MS" w:hAnsi="Book Antiqua" w:cs="Times New Roman"/>
          <w:b/>
          <w:color w:val="000000" w:themeColor="text1"/>
          <w:sz w:val="24"/>
          <w:szCs w:val="24"/>
        </w:rPr>
      </w:pPr>
      <w:r w:rsidRPr="0050120B">
        <w:rPr>
          <w:rFonts w:ascii="Book Antiqua" w:hAnsi="Book Antiqua" w:cs="Times New Roman"/>
          <w:b/>
          <w:i/>
          <w:color w:val="000000" w:themeColor="text1"/>
          <w:sz w:val="24"/>
          <w:szCs w:val="24"/>
        </w:rPr>
        <w:t>Determination</w:t>
      </w:r>
      <w:r w:rsidRPr="0050120B">
        <w:rPr>
          <w:rFonts w:ascii="Book Antiqua" w:eastAsia="Arial Unicode MS" w:hAnsi="Book Antiqua" w:cs="Times New Roman"/>
          <w:b/>
          <w:i/>
          <w:color w:val="000000" w:themeColor="text1"/>
          <w:sz w:val="24"/>
          <w:szCs w:val="24"/>
        </w:rPr>
        <w:t xml:space="preserve"> of in vitro gallstone dissolubility</w:t>
      </w:r>
    </w:p>
    <w:p w14:paraId="2A51FFA5" w14:textId="535AE15C" w:rsidR="003565F9" w:rsidRPr="0050120B" w:rsidRDefault="003565F9" w:rsidP="0050120B">
      <w:pPr>
        <w:wordWrap/>
        <w:spacing w:after="0" w:line="360" w:lineRule="auto"/>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Gallstones were collected after cholecystectomy performed in Seoul St. Mary’s hospital. The study was approved by the Ethics Committee of Seoul St Mary’s hospital, the Catholic University of Korea (IRB code: KC18TESI0103). After being air-dried, weighed, and preserved in saline, the gallstones were matched for size, weight, and shape. Subsequently, the three types of gallstones were placed in separate glass containers, and 10 m</w:t>
      </w:r>
      <w:r w:rsidR="00DD0331" w:rsidRPr="0050120B">
        <w:rPr>
          <w:rFonts w:ascii="Book Antiqua" w:hAnsi="Book Antiqua" w:cs="Times New Roman"/>
          <w:color w:val="000000" w:themeColor="text1"/>
          <w:sz w:val="24"/>
          <w:szCs w:val="24"/>
        </w:rPr>
        <w:t>L</w:t>
      </w:r>
      <w:r w:rsidRPr="0050120B">
        <w:rPr>
          <w:rFonts w:ascii="Book Antiqua" w:hAnsi="Book Antiqua" w:cs="Times New Roman"/>
          <w:color w:val="000000" w:themeColor="text1"/>
          <w:sz w:val="24"/>
          <w:szCs w:val="24"/>
        </w:rPr>
        <w:t xml:space="preserve"> aliquots of MTBE or TAEE were added to the containers, respectively. The aliquots were aspirated and replaced every hour. The glass containers were gently stirred at 50 rpm on the reactor (VS-8480SF; Vision Co., Daejeon, Republic of Korea) at 37 °C for 24 h. Gallstone dissolubility was determined by measuring the dry weights of the gallstones at the determined intervals (4, 8, and 24 h).</w:t>
      </w:r>
    </w:p>
    <w:p w14:paraId="26C9155D" w14:textId="77777777" w:rsidR="003565F9" w:rsidRPr="0050120B" w:rsidRDefault="003565F9" w:rsidP="0075341C">
      <w:pPr>
        <w:wordWrap/>
        <w:spacing w:after="0" w:line="360" w:lineRule="auto"/>
        <w:rPr>
          <w:rFonts w:ascii="Book Antiqua" w:eastAsia="MS Mincho" w:hAnsi="Book Antiqua" w:cs="Times New Roman"/>
          <w:i/>
          <w:color w:val="000000" w:themeColor="text1"/>
          <w:sz w:val="24"/>
          <w:szCs w:val="24"/>
          <w:lang w:eastAsia="ja-JP"/>
        </w:rPr>
      </w:pPr>
    </w:p>
    <w:p w14:paraId="0B456203" w14:textId="77777777" w:rsidR="003565F9" w:rsidRPr="0050120B" w:rsidRDefault="003565F9" w:rsidP="0075341C">
      <w:pPr>
        <w:wordWrap/>
        <w:spacing w:after="0" w:line="360" w:lineRule="auto"/>
        <w:rPr>
          <w:rFonts w:ascii="Book Antiqua" w:eastAsia="Arial Unicode MS" w:hAnsi="Book Antiqua" w:cs="Times New Roman"/>
          <w:b/>
          <w:i/>
          <w:color w:val="000000" w:themeColor="text1"/>
          <w:sz w:val="24"/>
          <w:szCs w:val="24"/>
        </w:rPr>
      </w:pPr>
      <w:r w:rsidRPr="0050120B">
        <w:rPr>
          <w:rFonts w:ascii="Book Antiqua" w:hAnsi="Book Antiqua" w:cs="Times New Roman"/>
          <w:b/>
          <w:i/>
          <w:color w:val="000000" w:themeColor="text1"/>
          <w:sz w:val="24"/>
          <w:szCs w:val="24"/>
        </w:rPr>
        <w:t>Determination</w:t>
      </w:r>
      <w:r w:rsidRPr="0050120B">
        <w:rPr>
          <w:rFonts w:ascii="Book Antiqua" w:eastAsia="Arial Unicode MS" w:hAnsi="Book Antiqua" w:cs="Times New Roman"/>
          <w:b/>
          <w:i/>
          <w:color w:val="000000" w:themeColor="text1"/>
          <w:sz w:val="24"/>
          <w:szCs w:val="24"/>
        </w:rPr>
        <w:t xml:space="preserve"> of in vivo gallstone dissolubility</w:t>
      </w:r>
    </w:p>
    <w:p w14:paraId="7FCDBCAA" w14:textId="18223FBA" w:rsidR="003565F9" w:rsidRPr="0050120B" w:rsidRDefault="003565F9" w:rsidP="00DD0331">
      <w:pPr>
        <w:wordWrap/>
        <w:spacing w:after="0" w:line="360" w:lineRule="auto"/>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 xml:space="preserve">For </w:t>
      </w:r>
      <w:r w:rsidRPr="0050120B">
        <w:rPr>
          <w:rFonts w:ascii="Book Antiqua" w:hAnsi="Book Antiqua" w:cs="Times New Roman"/>
          <w:i/>
          <w:color w:val="000000" w:themeColor="text1"/>
          <w:sz w:val="24"/>
          <w:szCs w:val="24"/>
        </w:rPr>
        <w:t>in vivo</w:t>
      </w:r>
      <w:r w:rsidRPr="0050120B">
        <w:rPr>
          <w:rFonts w:ascii="Book Antiqua" w:hAnsi="Book Antiqua" w:cs="Times New Roman"/>
          <w:color w:val="000000" w:themeColor="text1"/>
          <w:sz w:val="24"/>
          <w:szCs w:val="24"/>
        </w:rPr>
        <w:t xml:space="preserve"> validation of each solvent, we used 7-wk-old female Syrian golden hamsters (</w:t>
      </w:r>
      <w:r w:rsidRPr="0050120B">
        <w:rPr>
          <w:rFonts w:ascii="Book Antiqua" w:hAnsi="Book Antiqua" w:cs="Times New Roman"/>
          <w:i/>
          <w:color w:val="000000" w:themeColor="text1"/>
          <w:sz w:val="24"/>
          <w:szCs w:val="24"/>
        </w:rPr>
        <w:t>Mesocricetus auratus</w:t>
      </w:r>
      <w:r w:rsidRPr="0050120B">
        <w:rPr>
          <w:rFonts w:ascii="Book Antiqua" w:hAnsi="Book Antiqua" w:cs="Times New Roman"/>
          <w:color w:val="000000" w:themeColor="text1"/>
          <w:sz w:val="24"/>
          <w:szCs w:val="24"/>
        </w:rPr>
        <w:t>, Harlan Sprague Dawley Indianapolis, IN</w:t>
      </w:r>
      <w:r w:rsidR="00DD0331">
        <w:rPr>
          <w:rFonts w:ascii="Book Antiqua" w:hAnsi="Book Antiqua" w:cs="Times New Roman"/>
          <w:color w:val="000000" w:themeColor="text1"/>
          <w:sz w:val="24"/>
          <w:szCs w:val="24"/>
        </w:rPr>
        <w:t>, United States</w:t>
      </w:r>
      <w:r w:rsidRPr="0050120B">
        <w:rPr>
          <w:rFonts w:ascii="Book Antiqua" w:hAnsi="Book Antiqua" w:cs="Times New Roman"/>
          <w:color w:val="000000" w:themeColor="text1"/>
          <w:sz w:val="24"/>
          <w:szCs w:val="24"/>
        </w:rPr>
        <w:t xml:space="preserve">). This animal study was approved by the Institutional Animal Care and Use Committee of the Clinical Research Institute at Daejeon St. Mary’s Hospital at the Catholic University of Korea (IRB No. CMCDJ-AP-2016-004). Hamsters were </w:t>
      </w:r>
      <w:r w:rsidRPr="0050120B">
        <w:rPr>
          <w:rFonts w:ascii="Book Antiqua" w:hAnsi="Book Antiqua" w:cs="Times New Roman"/>
          <w:color w:val="000000" w:themeColor="text1"/>
          <w:sz w:val="24"/>
          <w:szCs w:val="24"/>
        </w:rPr>
        <w:lastRenderedPageBreak/>
        <w:t>subdivided into three groups; control (</w:t>
      </w:r>
      <w:bookmarkStart w:id="55" w:name="OLE_LINK9"/>
      <w:bookmarkStart w:id="56" w:name="OLE_LINK10"/>
      <w:r w:rsidR="00DD0331" w:rsidRPr="00DD0331">
        <w:rPr>
          <w:rFonts w:ascii="Book Antiqua" w:hAnsi="Book Antiqua" w:cs="Times New Roman"/>
          <w:i/>
          <w:iCs/>
          <w:color w:val="000000" w:themeColor="text1"/>
          <w:sz w:val="24"/>
          <w:szCs w:val="24"/>
        </w:rPr>
        <w:t>n</w:t>
      </w:r>
      <w:bookmarkEnd w:id="55"/>
      <w:bookmarkEnd w:id="56"/>
      <w:r w:rsidRPr="0050120B">
        <w:rPr>
          <w:rFonts w:ascii="Book Antiqua" w:hAnsi="Book Antiqua" w:cs="Times New Roman"/>
          <w:color w:val="000000" w:themeColor="text1"/>
          <w:sz w:val="24"/>
          <w:szCs w:val="24"/>
        </w:rPr>
        <w:t xml:space="preserve"> =</w:t>
      </w:r>
      <w:r w:rsidR="00DD0331">
        <w:rPr>
          <w:rFonts w:ascii="Book Antiqua" w:hAnsi="Book Antiqua" w:cs="Times New Roman"/>
          <w:color w:val="000000" w:themeColor="text1"/>
          <w:sz w:val="24"/>
          <w:szCs w:val="24"/>
        </w:rPr>
        <w:t xml:space="preserve"> </w:t>
      </w:r>
      <w:r w:rsidRPr="0050120B">
        <w:rPr>
          <w:rFonts w:ascii="Book Antiqua" w:hAnsi="Book Antiqua" w:cs="Times New Roman"/>
          <w:color w:val="000000" w:themeColor="text1"/>
          <w:sz w:val="24"/>
          <w:szCs w:val="24"/>
        </w:rPr>
        <w:t xml:space="preserve">10), CG (hamsters with cholesterol gallstones, </w:t>
      </w:r>
      <w:r w:rsidR="00DD0331" w:rsidRPr="00DD0331">
        <w:rPr>
          <w:rFonts w:ascii="Book Antiqua" w:hAnsi="Book Antiqua" w:cs="Times New Roman"/>
          <w:i/>
          <w:iCs/>
          <w:color w:val="000000" w:themeColor="text1"/>
          <w:sz w:val="24"/>
          <w:szCs w:val="24"/>
        </w:rPr>
        <w:t>n</w:t>
      </w:r>
      <w:r w:rsidRPr="0050120B">
        <w:rPr>
          <w:rFonts w:ascii="Book Antiqua" w:hAnsi="Book Antiqua" w:cs="Times New Roman"/>
          <w:color w:val="000000" w:themeColor="text1"/>
          <w:sz w:val="24"/>
          <w:szCs w:val="24"/>
        </w:rPr>
        <w:t xml:space="preserve"> = 17), and PG (hamsters with pigmented gallstones, </w:t>
      </w:r>
      <w:r w:rsidR="00DD0331" w:rsidRPr="00DD0331">
        <w:rPr>
          <w:rFonts w:ascii="Book Antiqua" w:hAnsi="Book Antiqua" w:cs="Times New Roman"/>
          <w:i/>
          <w:iCs/>
          <w:color w:val="000000" w:themeColor="text1"/>
          <w:sz w:val="24"/>
          <w:szCs w:val="24"/>
        </w:rPr>
        <w:t>n</w:t>
      </w:r>
      <w:r w:rsidRPr="0050120B">
        <w:rPr>
          <w:rFonts w:ascii="Book Antiqua" w:hAnsi="Book Antiqua" w:cs="Times New Roman"/>
          <w:color w:val="000000" w:themeColor="text1"/>
          <w:sz w:val="24"/>
          <w:szCs w:val="24"/>
        </w:rPr>
        <w:t xml:space="preserve"> = 17) groups. Hamsters in each group were fed a different diet for 4 mo: </w:t>
      </w:r>
      <w:r w:rsidR="00DD0331" w:rsidRPr="0050120B">
        <w:rPr>
          <w:rFonts w:ascii="Book Antiqua" w:hAnsi="Book Antiqua" w:cs="Times New Roman"/>
          <w:color w:val="000000" w:themeColor="text1"/>
          <w:sz w:val="24"/>
          <w:szCs w:val="24"/>
        </w:rPr>
        <w:t>C</w:t>
      </w:r>
      <w:r w:rsidRPr="0050120B">
        <w:rPr>
          <w:rFonts w:ascii="Book Antiqua" w:hAnsi="Book Antiqua" w:cs="Times New Roman"/>
          <w:color w:val="000000" w:themeColor="text1"/>
          <w:sz w:val="24"/>
          <w:szCs w:val="24"/>
        </w:rPr>
        <w:t>ontrol group were fed a normal diet, CG group were fed a general rodent diet with 0.5% cholesterol, and PG group were fed a diet rich in carbohydrates, respectively. After 4 mo of diet, the hamsters with gallstones were selected for the subsequent experiments using abdominal ultrasonography. After laparotomy under general anesthesia, the gallbladder was identified, and the bile in the gallbladder was completely aspirated using a 30-gauge syringe. Subsequently, the gallbladder was cautiously filled with a volume (0.1 m</w:t>
      </w:r>
      <w:r w:rsidR="00DD0331" w:rsidRPr="0050120B">
        <w:rPr>
          <w:rFonts w:ascii="Book Antiqua" w:hAnsi="Book Antiqua" w:cs="Times New Roman"/>
          <w:color w:val="000000" w:themeColor="text1"/>
          <w:sz w:val="24"/>
          <w:szCs w:val="24"/>
        </w:rPr>
        <w:t>L</w:t>
      </w:r>
      <w:r w:rsidRPr="0050120B">
        <w:rPr>
          <w:rFonts w:ascii="Book Antiqua" w:hAnsi="Book Antiqua" w:cs="Times New Roman"/>
          <w:color w:val="000000" w:themeColor="text1"/>
          <w:sz w:val="24"/>
          <w:szCs w:val="24"/>
        </w:rPr>
        <w:t>) of dimethyl sulfoxide (DMSO), MTBE, and TAEE, respectively. After 24 h, gallstone dissolubility of each solvent was determined by comparing the weights of solvent-treated gallstones and control (DMSO)-treated gallstones.</w:t>
      </w:r>
    </w:p>
    <w:p w14:paraId="12CBD313" w14:textId="77777777" w:rsidR="003565F9" w:rsidRPr="0050120B" w:rsidRDefault="003565F9" w:rsidP="0075341C">
      <w:pPr>
        <w:wordWrap/>
        <w:spacing w:after="0" w:line="360" w:lineRule="auto"/>
        <w:rPr>
          <w:rFonts w:ascii="Book Antiqua" w:hAnsi="Book Antiqua" w:cs="Times New Roman"/>
          <w:i/>
          <w:color w:val="000000" w:themeColor="text1"/>
          <w:sz w:val="24"/>
          <w:szCs w:val="24"/>
        </w:rPr>
      </w:pPr>
    </w:p>
    <w:p w14:paraId="306D498F" w14:textId="77777777" w:rsidR="003565F9" w:rsidRPr="0050120B" w:rsidRDefault="003565F9" w:rsidP="0075341C">
      <w:pPr>
        <w:wordWrap/>
        <w:spacing w:after="0" w:line="360" w:lineRule="auto"/>
        <w:rPr>
          <w:rFonts w:ascii="Book Antiqua" w:eastAsia="Arial Unicode MS" w:hAnsi="Book Antiqua" w:cs="Times New Roman"/>
          <w:b/>
          <w:i/>
          <w:color w:val="000000" w:themeColor="text1"/>
          <w:sz w:val="24"/>
          <w:szCs w:val="24"/>
        </w:rPr>
      </w:pPr>
      <w:r w:rsidRPr="0050120B">
        <w:rPr>
          <w:rFonts w:ascii="Book Antiqua" w:eastAsia="Arial Unicode MS" w:hAnsi="Book Antiqua" w:cs="Times New Roman"/>
          <w:b/>
          <w:i/>
          <w:color w:val="000000" w:themeColor="text1"/>
          <w:sz w:val="24"/>
          <w:szCs w:val="24"/>
        </w:rPr>
        <w:t>Statistical analysis</w:t>
      </w:r>
    </w:p>
    <w:p w14:paraId="6BABBBA1" w14:textId="63574960" w:rsidR="003565F9" w:rsidRPr="0050120B" w:rsidRDefault="003565F9" w:rsidP="0075341C">
      <w:pPr>
        <w:wordWrap/>
        <w:spacing w:after="0" w:line="360" w:lineRule="auto"/>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All data were presented as mean ± standard deviation (SD), and analyzed with SPSS 11.0 software (SPSS Inc., Chicago, IL</w:t>
      </w:r>
      <w:r w:rsidR="00DD0331">
        <w:rPr>
          <w:rFonts w:ascii="Book Antiqua" w:hAnsi="Book Antiqua" w:cs="Times New Roman"/>
          <w:color w:val="000000" w:themeColor="text1"/>
          <w:sz w:val="24"/>
          <w:szCs w:val="24"/>
        </w:rPr>
        <w:t>, United Statae</w:t>
      </w:r>
      <w:r w:rsidRPr="0050120B">
        <w:rPr>
          <w:rFonts w:ascii="Book Antiqua" w:hAnsi="Book Antiqua" w:cs="Times New Roman"/>
          <w:color w:val="000000" w:themeColor="text1"/>
          <w:sz w:val="24"/>
          <w:szCs w:val="24"/>
        </w:rPr>
        <w:t>). Statistical comparisons between the groups were determined using the Kruskal–Wallis test</w:t>
      </w:r>
      <w:r w:rsidR="00871A74" w:rsidRPr="0050120B">
        <w:rPr>
          <w:rFonts w:ascii="Book Antiqua" w:hAnsi="Book Antiqua" w:cs="Times New Roman"/>
          <w:color w:val="000000" w:themeColor="text1"/>
          <w:sz w:val="24"/>
          <w:szCs w:val="24"/>
        </w:rPr>
        <w:t xml:space="preserve"> followed by Dunnett’s test as the post hoc analysis. </w:t>
      </w:r>
      <w:r w:rsidRPr="00DD0331">
        <w:rPr>
          <w:rFonts w:ascii="Book Antiqua" w:hAnsi="Book Antiqua" w:cs="Times New Roman"/>
          <w:i/>
          <w:iCs/>
          <w:color w:val="000000" w:themeColor="text1"/>
          <w:sz w:val="24"/>
          <w:szCs w:val="24"/>
        </w:rPr>
        <w:t>P</w:t>
      </w:r>
      <w:r w:rsidRPr="0050120B">
        <w:rPr>
          <w:rFonts w:ascii="Book Antiqua" w:hAnsi="Book Antiqua" w:cs="Times New Roman"/>
          <w:color w:val="000000" w:themeColor="text1"/>
          <w:sz w:val="24"/>
          <w:szCs w:val="24"/>
        </w:rPr>
        <w:t xml:space="preserve"> &lt; 0.05 was considered statistically signiﬁcant. </w:t>
      </w:r>
    </w:p>
    <w:p w14:paraId="3649F0AC" w14:textId="77777777" w:rsidR="003565F9" w:rsidRPr="0050120B" w:rsidRDefault="003565F9" w:rsidP="0075341C">
      <w:pPr>
        <w:widowControl/>
        <w:wordWrap/>
        <w:autoSpaceDE/>
        <w:autoSpaceDN/>
        <w:spacing w:after="0" w:line="360" w:lineRule="auto"/>
        <w:rPr>
          <w:rFonts w:ascii="Book Antiqua" w:hAnsi="Book Antiqua" w:cs="Times New Roman"/>
          <w:b/>
          <w:color w:val="000000" w:themeColor="text1"/>
          <w:sz w:val="24"/>
          <w:szCs w:val="24"/>
        </w:rPr>
      </w:pPr>
    </w:p>
    <w:p w14:paraId="4DA2C097" w14:textId="3C0F00B2" w:rsidR="003565F9" w:rsidRPr="0050120B" w:rsidRDefault="003565F9" w:rsidP="0075341C">
      <w:pPr>
        <w:widowControl/>
        <w:wordWrap/>
        <w:autoSpaceDE/>
        <w:autoSpaceDN/>
        <w:spacing w:after="0" w:line="360" w:lineRule="auto"/>
        <w:rPr>
          <w:rFonts w:ascii="Book Antiqua" w:hAnsi="Book Antiqua" w:cs="Times New Roman"/>
          <w:b/>
          <w:color w:val="000000" w:themeColor="text1"/>
          <w:sz w:val="24"/>
          <w:szCs w:val="24"/>
        </w:rPr>
      </w:pPr>
      <w:r w:rsidRPr="0050120B">
        <w:rPr>
          <w:rFonts w:ascii="Book Antiqua" w:hAnsi="Book Antiqua" w:cs="Times New Roman"/>
          <w:b/>
          <w:i/>
          <w:color w:val="000000" w:themeColor="text1"/>
          <w:sz w:val="24"/>
          <w:szCs w:val="24"/>
        </w:rPr>
        <w:t xml:space="preserve">Supplementary </w:t>
      </w:r>
      <w:r w:rsidR="00DD0331" w:rsidRPr="0050120B">
        <w:rPr>
          <w:rFonts w:ascii="Book Antiqua" w:hAnsi="Book Antiqua" w:cs="Times New Roman"/>
          <w:b/>
          <w:i/>
          <w:color w:val="000000" w:themeColor="text1"/>
          <w:sz w:val="24"/>
          <w:szCs w:val="24"/>
        </w:rPr>
        <w:t>m</w:t>
      </w:r>
      <w:r w:rsidRPr="0050120B">
        <w:rPr>
          <w:rFonts w:ascii="Book Antiqua" w:hAnsi="Book Antiqua" w:cs="Times New Roman"/>
          <w:b/>
          <w:i/>
          <w:color w:val="000000" w:themeColor="text1"/>
          <w:sz w:val="24"/>
          <w:szCs w:val="24"/>
        </w:rPr>
        <w:t xml:space="preserve">aterials and </w:t>
      </w:r>
      <w:r w:rsidR="00DD0331" w:rsidRPr="0050120B">
        <w:rPr>
          <w:rFonts w:ascii="Book Antiqua" w:hAnsi="Book Antiqua" w:cs="Times New Roman"/>
          <w:b/>
          <w:i/>
          <w:color w:val="000000" w:themeColor="text1"/>
          <w:sz w:val="24"/>
          <w:szCs w:val="24"/>
        </w:rPr>
        <w:t>m</w:t>
      </w:r>
      <w:r w:rsidRPr="0050120B">
        <w:rPr>
          <w:rFonts w:ascii="Book Antiqua" w:hAnsi="Book Antiqua" w:cs="Times New Roman"/>
          <w:b/>
          <w:i/>
          <w:color w:val="000000" w:themeColor="text1"/>
          <w:sz w:val="24"/>
          <w:szCs w:val="24"/>
        </w:rPr>
        <w:t>ethods</w:t>
      </w:r>
    </w:p>
    <w:p w14:paraId="77C32CFB" w14:textId="77777777" w:rsidR="003565F9" w:rsidRPr="0050120B" w:rsidRDefault="003565F9" w:rsidP="00DD0331">
      <w:pPr>
        <w:widowControl/>
        <w:wordWrap/>
        <w:autoSpaceDE/>
        <w:autoSpaceDN/>
        <w:spacing w:after="0" w:line="360" w:lineRule="auto"/>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Additional and more detailed information regarding the experimental procedures are fully described in the Supplementary Materials and Methods.</w:t>
      </w:r>
    </w:p>
    <w:bookmarkEnd w:id="54"/>
    <w:p w14:paraId="15A18801" w14:textId="77777777" w:rsidR="003565F9" w:rsidRPr="0050120B" w:rsidRDefault="003565F9" w:rsidP="0075341C">
      <w:pPr>
        <w:widowControl/>
        <w:wordWrap/>
        <w:autoSpaceDE/>
        <w:autoSpaceDN/>
        <w:spacing w:after="0" w:line="360" w:lineRule="auto"/>
        <w:rPr>
          <w:rFonts w:ascii="Book Antiqua" w:eastAsia="Arial Unicode MS" w:hAnsi="Book Antiqua" w:cs="Arial Unicode MS"/>
          <w:b/>
          <w:color w:val="000000" w:themeColor="text1"/>
          <w:sz w:val="24"/>
          <w:szCs w:val="24"/>
        </w:rPr>
      </w:pPr>
    </w:p>
    <w:p w14:paraId="70EB5AB6" w14:textId="77777777" w:rsidR="003565F9" w:rsidRPr="0050120B" w:rsidRDefault="003565F9" w:rsidP="0075341C">
      <w:pPr>
        <w:wordWrap/>
        <w:spacing w:after="0" w:line="360" w:lineRule="auto"/>
        <w:outlineLvl w:val="0"/>
        <w:rPr>
          <w:rFonts w:ascii="Book Antiqua" w:eastAsia="Arial Unicode MS" w:hAnsi="Book Antiqua" w:cs="Times New Roman"/>
          <w:b/>
          <w:color w:val="000000" w:themeColor="text1"/>
          <w:sz w:val="24"/>
          <w:szCs w:val="24"/>
        </w:rPr>
      </w:pPr>
      <w:bookmarkStart w:id="57" w:name="_Hlk488229503"/>
      <w:r w:rsidRPr="0050120B">
        <w:rPr>
          <w:rFonts w:ascii="Book Antiqua" w:eastAsia="Arial Unicode MS" w:hAnsi="Book Antiqua" w:cs="Times New Roman"/>
          <w:b/>
          <w:color w:val="000000" w:themeColor="text1"/>
          <w:sz w:val="24"/>
          <w:szCs w:val="24"/>
        </w:rPr>
        <w:t>RESULTS</w:t>
      </w:r>
    </w:p>
    <w:p w14:paraId="1003FBD8" w14:textId="77777777" w:rsidR="003565F9" w:rsidRPr="0050120B" w:rsidRDefault="003565F9" w:rsidP="0075341C">
      <w:pPr>
        <w:wordWrap/>
        <w:spacing w:after="0" w:line="360" w:lineRule="auto"/>
        <w:outlineLvl w:val="0"/>
        <w:rPr>
          <w:rFonts w:ascii="Book Antiqua" w:eastAsia="Arial Unicode MS" w:hAnsi="Book Antiqua" w:cs="Times New Roman"/>
          <w:b/>
          <w:i/>
          <w:color w:val="000000" w:themeColor="text1"/>
          <w:sz w:val="24"/>
          <w:szCs w:val="24"/>
        </w:rPr>
      </w:pPr>
      <w:r w:rsidRPr="0050120B">
        <w:rPr>
          <w:rFonts w:ascii="Book Antiqua" w:eastAsia="Arial Unicode MS" w:hAnsi="Book Antiqua" w:cs="Times New Roman"/>
          <w:b/>
          <w:i/>
          <w:color w:val="000000" w:themeColor="text1"/>
          <w:sz w:val="24"/>
          <w:szCs w:val="24"/>
        </w:rPr>
        <w:t xml:space="preserve">Classification of gallstones according to cholesterol content </w:t>
      </w:r>
    </w:p>
    <w:p w14:paraId="03E14D89" w14:textId="78B8A682" w:rsidR="003565F9" w:rsidRPr="0050120B" w:rsidRDefault="003565F9" w:rsidP="00DD0331">
      <w:pPr>
        <w:wordWrap/>
        <w:spacing w:after="0" w:line="360" w:lineRule="auto"/>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Figure 1A summarizes the comparisons between MTBE and TAEE in terms of their structure and basic characteristics. We first performed thermogravimetric analysis for determining the stability of each solvent according to temperature. In MTBE, we fail to attain TGA data of MTBE, because there was no analytical residue of MTBE due to its high volatility (Figure 1B</w:t>
      </w:r>
      <w:r w:rsidR="00DD0331">
        <w:rPr>
          <w:rFonts w:ascii="Book Antiqua" w:hAnsi="Book Antiqua" w:cs="Times New Roman"/>
          <w:color w:val="000000" w:themeColor="text1"/>
          <w:sz w:val="24"/>
          <w:szCs w:val="24"/>
        </w:rPr>
        <w:t>,</w:t>
      </w:r>
      <w:r w:rsidRPr="0050120B">
        <w:rPr>
          <w:rFonts w:ascii="Book Antiqua" w:hAnsi="Book Antiqua" w:cs="Times New Roman"/>
          <w:color w:val="000000" w:themeColor="text1"/>
          <w:sz w:val="24"/>
          <w:szCs w:val="24"/>
        </w:rPr>
        <w:t xml:space="preserve"> Left). However, TAEE was found to be vaporized slowly as the temperature increased (Figure 1B</w:t>
      </w:r>
      <w:r w:rsidR="00DD0331">
        <w:rPr>
          <w:rFonts w:ascii="Book Antiqua" w:hAnsi="Book Antiqua" w:cs="Times New Roman"/>
          <w:color w:val="000000" w:themeColor="text1"/>
          <w:sz w:val="24"/>
          <w:szCs w:val="24"/>
        </w:rPr>
        <w:t>,</w:t>
      </w:r>
      <w:r w:rsidRPr="0050120B">
        <w:rPr>
          <w:rFonts w:ascii="Book Antiqua" w:hAnsi="Book Antiqua" w:cs="Times New Roman"/>
          <w:color w:val="000000" w:themeColor="text1"/>
          <w:sz w:val="24"/>
          <w:szCs w:val="24"/>
        </w:rPr>
        <w:t xml:space="preserve"> Right).</w:t>
      </w:r>
    </w:p>
    <w:p w14:paraId="75683FDB" w14:textId="3C5CBC69" w:rsidR="003565F9" w:rsidRPr="0050120B" w:rsidRDefault="003565F9" w:rsidP="00DD0331">
      <w:pPr>
        <w:wordWrap/>
        <w:spacing w:after="0" w:line="360" w:lineRule="auto"/>
        <w:ind w:firstLineChars="100" w:firstLine="240"/>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lastRenderedPageBreak/>
        <w:t>We next classified the gallstones for the purpose of determining the dissolubility of solvents with respect to the subtypes of gallstones. Gallstones were classified into cholesterol, mixed, and pigmented stones according to the cholesterol content (≥ 70%, 70</w:t>
      </w:r>
      <w:r w:rsidR="00DD0331">
        <w:rPr>
          <w:rFonts w:ascii="Book Antiqua" w:hAnsi="Book Antiqua" w:cs="Times New Roman"/>
          <w:color w:val="000000" w:themeColor="text1"/>
          <w:sz w:val="24"/>
          <w:szCs w:val="24"/>
        </w:rPr>
        <w:t>%-</w:t>
      </w:r>
      <w:r w:rsidRPr="0050120B">
        <w:rPr>
          <w:rFonts w:ascii="Book Antiqua" w:hAnsi="Book Antiqua" w:cs="Times New Roman"/>
          <w:color w:val="000000" w:themeColor="text1"/>
          <w:sz w:val="24"/>
          <w:szCs w:val="24"/>
        </w:rPr>
        <w:t>30%, and &lt;</w:t>
      </w:r>
      <w:r w:rsidR="00DD0331">
        <w:rPr>
          <w:rFonts w:ascii="Book Antiqua" w:hAnsi="Book Antiqua" w:cs="Times New Roman"/>
          <w:color w:val="000000" w:themeColor="text1"/>
          <w:sz w:val="24"/>
          <w:szCs w:val="24"/>
        </w:rPr>
        <w:t xml:space="preserve"> </w:t>
      </w:r>
      <w:r w:rsidRPr="0050120B">
        <w:rPr>
          <w:rFonts w:ascii="Book Antiqua" w:hAnsi="Book Antiqua" w:cs="Times New Roman"/>
          <w:color w:val="000000" w:themeColor="text1"/>
          <w:sz w:val="24"/>
          <w:szCs w:val="24"/>
        </w:rPr>
        <w:t>30%), respectively</w:t>
      </w:r>
      <w:r w:rsidRPr="0050120B">
        <w:rPr>
          <w:rFonts w:ascii="Book Antiqua" w:hAnsi="Book Antiqua" w:cs="Times New Roman"/>
          <w:noProof/>
          <w:color w:val="000000" w:themeColor="text1"/>
          <w:sz w:val="24"/>
          <w:szCs w:val="24"/>
          <w:vertAlign w:val="superscript"/>
        </w:rPr>
        <w:t>[18]</w:t>
      </w:r>
      <w:r w:rsidRPr="0050120B">
        <w:rPr>
          <w:rFonts w:ascii="Book Antiqua" w:hAnsi="Book Antiqua" w:cs="Times New Roman"/>
          <w:color w:val="000000" w:themeColor="text1"/>
          <w:sz w:val="24"/>
          <w:szCs w:val="24"/>
        </w:rPr>
        <w:t xml:space="preserve">. The cholesterol contents of our tested cholesterol, mixed, and pigmented gallstones were 83.0 ± 3.3%, 63.3 ± 4.3%, 23.4 ± 3.9%, respectively (Figure 2). Besides, mixed and pigmented gallstones were found to have significantly higher concentrations of calcium and phosphate compared with cholesterol gallstones. </w:t>
      </w:r>
    </w:p>
    <w:p w14:paraId="3B66B283" w14:textId="77777777" w:rsidR="003565F9" w:rsidRPr="0050120B" w:rsidRDefault="003565F9" w:rsidP="0075341C">
      <w:pPr>
        <w:wordWrap/>
        <w:spacing w:after="0" w:line="360" w:lineRule="auto"/>
        <w:rPr>
          <w:rFonts w:ascii="Book Antiqua" w:hAnsi="Book Antiqua" w:cs="Times New Roman"/>
          <w:color w:val="000000" w:themeColor="text1"/>
          <w:sz w:val="24"/>
          <w:szCs w:val="24"/>
        </w:rPr>
      </w:pPr>
    </w:p>
    <w:p w14:paraId="6DDB3277" w14:textId="77777777" w:rsidR="003565F9" w:rsidRPr="0050120B" w:rsidRDefault="003565F9" w:rsidP="0075341C">
      <w:pPr>
        <w:wordWrap/>
        <w:spacing w:after="0" w:line="360" w:lineRule="auto"/>
        <w:outlineLvl w:val="0"/>
        <w:rPr>
          <w:rFonts w:ascii="Book Antiqua" w:eastAsia="Arial Unicode MS" w:hAnsi="Book Antiqua" w:cs="Times New Roman"/>
          <w:b/>
          <w:i/>
          <w:color w:val="000000" w:themeColor="text1"/>
          <w:sz w:val="24"/>
          <w:szCs w:val="24"/>
        </w:rPr>
      </w:pPr>
      <w:r w:rsidRPr="0050120B">
        <w:rPr>
          <w:rFonts w:ascii="Book Antiqua" w:eastAsia="Arial Unicode MS" w:hAnsi="Book Antiqua" w:cs="Times New Roman"/>
          <w:b/>
          <w:i/>
          <w:color w:val="000000" w:themeColor="text1"/>
          <w:sz w:val="24"/>
          <w:szCs w:val="24"/>
        </w:rPr>
        <w:t>Determination of in vitro gallstone dissolubility of each solvent</w:t>
      </w:r>
    </w:p>
    <w:p w14:paraId="0D2BE822" w14:textId="71B0C169" w:rsidR="003565F9" w:rsidRPr="0050120B" w:rsidRDefault="003565F9" w:rsidP="00DD0331">
      <w:pPr>
        <w:wordWrap/>
        <w:spacing w:after="0" w:line="360" w:lineRule="auto"/>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 xml:space="preserve">To determine the </w:t>
      </w:r>
      <w:r w:rsidRPr="0050120B">
        <w:rPr>
          <w:rFonts w:ascii="Book Antiqua" w:hAnsi="Book Antiqua" w:cs="Times New Roman"/>
          <w:i/>
          <w:color w:val="000000" w:themeColor="text1"/>
          <w:sz w:val="24"/>
          <w:szCs w:val="24"/>
        </w:rPr>
        <w:t>in vitro</w:t>
      </w:r>
      <w:r w:rsidRPr="0050120B">
        <w:rPr>
          <w:rFonts w:ascii="Book Antiqua" w:hAnsi="Book Antiqua" w:cs="Times New Roman"/>
          <w:color w:val="000000" w:themeColor="text1"/>
          <w:sz w:val="24"/>
          <w:szCs w:val="24"/>
        </w:rPr>
        <w:t xml:space="preserve"> dissolubility, we compared the dry weights of human gallstones at three time-points (4, 8, and 24 h) following being directly treated with each solvent. The dissolubility of gallstones was measured as the difference in the weights of gallstones before and after treatment at determined time intervals. It was revealed that TAEE dissolubility was significantly higher than MTBE dissolubility at the all time-points in the all subtypes of gallstones (</w:t>
      </w:r>
      <w:r w:rsidRPr="0050120B">
        <w:rPr>
          <w:rFonts w:ascii="Book Antiqua" w:hAnsi="Book Antiqua" w:cs="Times New Roman"/>
          <w:i/>
          <w:color w:val="000000" w:themeColor="text1"/>
          <w:sz w:val="24"/>
          <w:szCs w:val="24"/>
        </w:rPr>
        <w:t>P</w:t>
      </w:r>
      <w:r w:rsidRPr="0050120B">
        <w:rPr>
          <w:rFonts w:ascii="Book Antiqua" w:hAnsi="Book Antiqua" w:cs="Times New Roman"/>
          <w:color w:val="000000" w:themeColor="text1"/>
          <w:sz w:val="24"/>
          <w:szCs w:val="24"/>
        </w:rPr>
        <w:t xml:space="preserve"> &lt; 0.05) (Figure 3A-C). Also, TAEE did not only have relatively higher dissolubility for cholesterol gallstone, but also had for mixed and pigmented gallstones than MTBE. Whereas MTBE was found to have 61.0%, 39.0% and 28.2% 24h-dissolubility for each subtype of gallstones (cholesterol, mixed, and pigmented stones), TIME exhibited 76.7%, 56.5% and 38.7% 24h-dissolubility, respectively (all </w:t>
      </w:r>
      <w:r w:rsidRPr="0050120B">
        <w:rPr>
          <w:rFonts w:ascii="Book Antiqua" w:hAnsi="Book Antiqua" w:cs="Times New Roman"/>
          <w:i/>
          <w:color w:val="000000" w:themeColor="text1"/>
          <w:sz w:val="24"/>
          <w:szCs w:val="24"/>
        </w:rPr>
        <w:t>P</w:t>
      </w:r>
      <w:r w:rsidR="00DD0331">
        <w:rPr>
          <w:rFonts w:ascii="Book Antiqua" w:hAnsi="Book Antiqua" w:cs="Times New Roman"/>
          <w:i/>
          <w:color w:val="000000" w:themeColor="text1"/>
          <w:sz w:val="24"/>
          <w:szCs w:val="24"/>
        </w:rPr>
        <w:t xml:space="preserve"> </w:t>
      </w:r>
      <w:r w:rsidR="00DD0331">
        <w:rPr>
          <w:rFonts w:ascii="Book Antiqua" w:hAnsi="Book Antiqua" w:cs="Times New Roman"/>
          <w:iCs/>
          <w:color w:val="000000" w:themeColor="text1"/>
          <w:sz w:val="24"/>
          <w:szCs w:val="24"/>
        </w:rPr>
        <w:t>values</w:t>
      </w:r>
      <w:r w:rsidRPr="0050120B">
        <w:rPr>
          <w:rFonts w:ascii="Book Antiqua" w:hAnsi="Book Antiqua" w:cs="Times New Roman"/>
          <w:color w:val="000000" w:themeColor="text1"/>
          <w:sz w:val="24"/>
          <w:szCs w:val="24"/>
        </w:rPr>
        <w:t xml:space="preserve"> &lt; 0.05). </w:t>
      </w:r>
    </w:p>
    <w:p w14:paraId="68751F37" w14:textId="77777777" w:rsidR="003565F9" w:rsidRPr="0050120B" w:rsidRDefault="003565F9" w:rsidP="0075341C">
      <w:pPr>
        <w:wordWrap/>
        <w:spacing w:after="0" w:line="360" w:lineRule="auto"/>
        <w:rPr>
          <w:rFonts w:ascii="Book Antiqua" w:hAnsi="Book Antiqua" w:cs="Times New Roman"/>
          <w:color w:val="000000" w:themeColor="text1"/>
          <w:sz w:val="24"/>
          <w:szCs w:val="24"/>
        </w:rPr>
      </w:pPr>
    </w:p>
    <w:p w14:paraId="703B6A07" w14:textId="77777777" w:rsidR="003565F9" w:rsidRPr="0050120B" w:rsidRDefault="003565F9" w:rsidP="0075341C">
      <w:pPr>
        <w:wordWrap/>
        <w:spacing w:after="0" w:line="360" w:lineRule="auto"/>
        <w:outlineLvl w:val="0"/>
        <w:rPr>
          <w:rFonts w:ascii="Book Antiqua" w:eastAsia="Arial Unicode MS" w:hAnsi="Book Antiqua" w:cs="Times New Roman"/>
          <w:b/>
          <w:i/>
          <w:color w:val="000000" w:themeColor="text1"/>
          <w:sz w:val="24"/>
          <w:szCs w:val="24"/>
        </w:rPr>
      </w:pPr>
      <w:r w:rsidRPr="0050120B">
        <w:rPr>
          <w:rFonts w:ascii="Book Antiqua" w:eastAsia="Arial Unicode MS" w:hAnsi="Book Antiqua" w:cs="Times New Roman"/>
          <w:b/>
          <w:i/>
          <w:color w:val="000000" w:themeColor="text1"/>
          <w:sz w:val="24"/>
          <w:szCs w:val="24"/>
        </w:rPr>
        <w:t xml:space="preserve">Determination of in vivo gallstone dissolubility of each solvent </w:t>
      </w:r>
    </w:p>
    <w:p w14:paraId="325F81B5" w14:textId="7AA2B279" w:rsidR="003565F9" w:rsidRPr="0050120B" w:rsidRDefault="003565F9" w:rsidP="00DD0331">
      <w:pPr>
        <w:wordWrap/>
        <w:spacing w:after="0" w:line="360" w:lineRule="auto"/>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We generated the hamster models with cholesterol gallstones and pigmented gallstones using diet protocols for 3 mo, respectively, as described earlier</w:t>
      </w:r>
      <w:r w:rsidRPr="0050120B">
        <w:rPr>
          <w:rFonts w:ascii="Book Antiqua" w:hAnsi="Book Antiqua" w:cs="Times New Roman"/>
          <w:noProof/>
          <w:color w:val="000000" w:themeColor="text1"/>
          <w:sz w:val="24"/>
          <w:szCs w:val="24"/>
          <w:vertAlign w:val="superscript"/>
        </w:rPr>
        <w:t>[19]</w:t>
      </w:r>
      <w:r w:rsidRPr="0050120B">
        <w:rPr>
          <w:rFonts w:ascii="Book Antiqua" w:hAnsi="Book Antiqua" w:cs="Times New Roman"/>
          <w:color w:val="000000" w:themeColor="text1"/>
          <w:sz w:val="24"/>
          <w:szCs w:val="24"/>
        </w:rPr>
        <w:t xml:space="preserve">. During the period of feeding, the hamsters of each group exhibited consistent rises in body weights (Figure 4A). At the end of the feeding period, the serum level of total cholesterol was significantly higher in the hamsters with cholesterol gallstones than in those with pigmented gallstones (Figure 4B). Gallstones were found in 88% (15/17) in the hamsters with cholesterol gallstones (CG group), and 82% (14/17) in the hamsters with pigmented gallstones (PG group) (Figure 4C). </w:t>
      </w:r>
    </w:p>
    <w:p w14:paraId="14FFDDA4" w14:textId="682484C1" w:rsidR="003565F9" w:rsidRPr="0050120B" w:rsidRDefault="003565F9" w:rsidP="00DD0331">
      <w:pPr>
        <w:wordWrap/>
        <w:spacing w:after="0" w:line="360" w:lineRule="auto"/>
        <w:ind w:firstLineChars="100" w:firstLine="240"/>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lastRenderedPageBreak/>
        <w:t>After laparotomy under general anesthesia, we directly infused DMSO (</w:t>
      </w:r>
      <w:r w:rsidRPr="00DD0331">
        <w:rPr>
          <w:rFonts w:ascii="Book Antiqua" w:hAnsi="Book Antiqua" w:cs="Times New Roman"/>
          <w:i/>
          <w:iCs/>
          <w:color w:val="000000" w:themeColor="text1"/>
          <w:sz w:val="24"/>
          <w:szCs w:val="24"/>
        </w:rPr>
        <w:t>n</w:t>
      </w:r>
      <w:r w:rsidRPr="0050120B">
        <w:rPr>
          <w:rFonts w:ascii="Book Antiqua" w:hAnsi="Book Antiqua" w:cs="Times New Roman"/>
          <w:color w:val="000000" w:themeColor="text1"/>
          <w:sz w:val="24"/>
          <w:szCs w:val="24"/>
        </w:rPr>
        <w:t xml:space="preserve"> = 4), MTBE (</w:t>
      </w:r>
      <w:r w:rsidR="00DD0331" w:rsidRPr="00DD0331">
        <w:rPr>
          <w:rFonts w:ascii="Book Antiqua" w:hAnsi="Book Antiqua" w:cs="Times New Roman"/>
          <w:i/>
          <w:iCs/>
          <w:color w:val="000000" w:themeColor="text1"/>
          <w:sz w:val="24"/>
          <w:szCs w:val="24"/>
        </w:rPr>
        <w:t>n</w:t>
      </w:r>
      <w:r w:rsidRPr="0050120B">
        <w:rPr>
          <w:rFonts w:ascii="Book Antiqua" w:hAnsi="Book Antiqua" w:cs="Times New Roman"/>
          <w:color w:val="000000" w:themeColor="text1"/>
          <w:sz w:val="24"/>
          <w:szCs w:val="24"/>
        </w:rPr>
        <w:t xml:space="preserve"> =4), and TAEE (</w:t>
      </w:r>
      <w:r w:rsidR="00DD0331" w:rsidRPr="00DD0331">
        <w:rPr>
          <w:rFonts w:ascii="Book Antiqua" w:hAnsi="Book Antiqua" w:cs="Times New Roman"/>
          <w:i/>
          <w:iCs/>
          <w:color w:val="000000" w:themeColor="text1"/>
          <w:sz w:val="24"/>
          <w:szCs w:val="24"/>
        </w:rPr>
        <w:t>n</w:t>
      </w:r>
      <w:r w:rsidRPr="0050120B">
        <w:rPr>
          <w:rFonts w:ascii="Book Antiqua" w:hAnsi="Book Antiqua" w:cs="Times New Roman"/>
          <w:color w:val="000000" w:themeColor="text1"/>
          <w:sz w:val="24"/>
          <w:szCs w:val="24"/>
        </w:rPr>
        <w:t xml:space="preserve"> = 7), respectively, into the gallbladder of the hamsters with cholesterol stones, respectively. Likewise, we infused DMSO (</w:t>
      </w:r>
      <w:r w:rsidR="00DD0331" w:rsidRPr="00DD0331">
        <w:rPr>
          <w:rFonts w:ascii="Book Antiqua" w:hAnsi="Book Antiqua" w:cs="Times New Roman"/>
          <w:i/>
          <w:iCs/>
          <w:color w:val="000000" w:themeColor="text1"/>
          <w:sz w:val="24"/>
          <w:szCs w:val="24"/>
        </w:rPr>
        <w:t>n</w:t>
      </w:r>
      <w:r w:rsidRPr="0050120B">
        <w:rPr>
          <w:rFonts w:ascii="Book Antiqua" w:hAnsi="Book Antiqua" w:cs="Times New Roman"/>
          <w:color w:val="000000" w:themeColor="text1"/>
          <w:sz w:val="24"/>
          <w:szCs w:val="24"/>
        </w:rPr>
        <w:t xml:space="preserve"> = 4), MTBE (</w:t>
      </w:r>
      <w:r w:rsidR="00DD0331" w:rsidRPr="00DD0331">
        <w:rPr>
          <w:rFonts w:ascii="Book Antiqua" w:hAnsi="Book Antiqua" w:cs="Times New Roman"/>
          <w:i/>
          <w:iCs/>
          <w:color w:val="000000" w:themeColor="text1"/>
          <w:sz w:val="24"/>
          <w:szCs w:val="24"/>
        </w:rPr>
        <w:t>n</w:t>
      </w:r>
      <w:r w:rsidRPr="0050120B">
        <w:rPr>
          <w:rFonts w:ascii="Book Antiqua" w:hAnsi="Book Antiqua" w:cs="Times New Roman"/>
          <w:color w:val="000000" w:themeColor="text1"/>
          <w:sz w:val="24"/>
          <w:szCs w:val="24"/>
        </w:rPr>
        <w:t xml:space="preserve"> = 4), and TAEE (</w:t>
      </w:r>
      <w:r w:rsidR="00DD0331" w:rsidRPr="00DD0331">
        <w:rPr>
          <w:rFonts w:ascii="Book Antiqua" w:hAnsi="Book Antiqua" w:cs="Times New Roman"/>
          <w:i/>
          <w:iCs/>
          <w:color w:val="000000" w:themeColor="text1"/>
          <w:sz w:val="24"/>
          <w:szCs w:val="24"/>
        </w:rPr>
        <w:t>n</w:t>
      </w:r>
      <w:r w:rsidRPr="0050120B">
        <w:rPr>
          <w:rFonts w:ascii="Book Antiqua" w:hAnsi="Book Antiqua" w:cs="Times New Roman"/>
          <w:color w:val="000000" w:themeColor="text1"/>
          <w:sz w:val="24"/>
          <w:szCs w:val="24"/>
        </w:rPr>
        <w:t xml:space="preserve"> = 6), respectively, into the gallbladder of the hamsters with pigmented stones, respectively. DMSO was used as the control material. Thereafter, we measured the dissolubility of each solvent by comparing the weights of the residual gallstones at 24 h after infusion. TAEE infusion was found to have higher 24</w:t>
      </w:r>
      <w:r w:rsidR="00DD0331">
        <w:rPr>
          <w:rFonts w:ascii="Book Antiqua" w:hAnsi="Book Antiqua" w:cs="Times New Roman"/>
          <w:color w:val="000000" w:themeColor="text1"/>
          <w:sz w:val="24"/>
          <w:szCs w:val="24"/>
        </w:rPr>
        <w:t xml:space="preserve"> </w:t>
      </w:r>
      <w:r w:rsidRPr="0050120B">
        <w:rPr>
          <w:rFonts w:ascii="Book Antiqua" w:hAnsi="Book Antiqua" w:cs="Times New Roman"/>
          <w:color w:val="000000" w:themeColor="text1"/>
          <w:sz w:val="24"/>
          <w:szCs w:val="24"/>
        </w:rPr>
        <w:t xml:space="preserve">h-dissolubility than MTBE infusion in both CG (76.7% </w:t>
      </w:r>
      <w:r w:rsidRPr="00DD0331">
        <w:rPr>
          <w:rFonts w:ascii="Book Antiqua" w:hAnsi="Book Antiqua" w:cs="Times New Roman"/>
          <w:i/>
          <w:iCs/>
          <w:color w:val="000000" w:themeColor="text1"/>
          <w:sz w:val="24"/>
          <w:szCs w:val="24"/>
        </w:rPr>
        <w:t>vs</w:t>
      </w:r>
      <w:r w:rsidRPr="0050120B">
        <w:rPr>
          <w:rFonts w:ascii="Book Antiqua" w:hAnsi="Book Antiqua" w:cs="Times New Roman"/>
          <w:color w:val="000000" w:themeColor="text1"/>
          <w:sz w:val="24"/>
          <w:szCs w:val="24"/>
        </w:rPr>
        <w:t xml:space="preserve"> 61.0%, </w:t>
      </w:r>
      <w:r w:rsidRPr="0050120B">
        <w:rPr>
          <w:rFonts w:ascii="Book Antiqua" w:hAnsi="Book Antiqua" w:cs="Times New Roman"/>
          <w:i/>
          <w:color w:val="000000" w:themeColor="text1"/>
          <w:sz w:val="24"/>
          <w:szCs w:val="24"/>
        </w:rPr>
        <w:t>P</w:t>
      </w:r>
      <w:r w:rsidRPr="0050120B">
        <w:rPr>
          <w:rFonts w:ascii="Book Antiqua" w:hAnsi="Book Antiqua" w:cs="Times New Roman"/>
          <w:color w:val="000000" w:themeColor="text1"/>
          <w:sz w:val="24"/>
          <w:szCs w:val="24"/>
        </w:rPr>
        <w:t xml:space="preserve"> &lt; 0.05) and PG (38.7% </w:t>
      </w:r>
      <w:r w:rsidRPr="00DD0331">
        <w:rPr>
          <w:rFonts w:ascii="Book Antiqua" w:hAnsi="Book Antiqua" w:cs="Times New Roman"/>
          <w:i/>
          <w:iCs/>
          <w:color w:val="000000" w:themeColor="text1"/>
          <w:sz w:val="24"/>
          <w:szCs w:val="24"/>
        </w:rPr>
        <w:t>vs</w:t>
      </w:r>
      <w:r w:rsidRPr="0050120B">
        <w:rPr>
          <w:rFonts w:ascii="Book Antiqua" w:hAnsi="Book Antiqua" w:cs="Times New Roman"/>
          <w:color w:val="000000" w:themeColor="text1"/>
          <w:sz w:val="24"/>
          <w:szCs w:val="24"/>
        </w:rPr>
        <w:t xml:space="preserve"> 28.2%, </w:t>
      </w:r>
      <w:r w:rsidRPr="0050120B">
        <w:rPr>
          <w:rFonts w:ascii="Book Antiqua" w:hAnsi="Book Antiqua" w:cs="Times New Roman"/>
          <w:i/>
          <w:color w:val="000000" w:themeColor="text1"/>
          <w:sz w:val="24"/>
          <w:szCs w:val="24"/>
        </w:rPr>
        <w:t>P</w:t>
      </w:r>
      <w:r w:rsidRPr="0050120B">
        <w:rPr>
          <w:rFonts w:ascii="Book Antiqua" w:hAnsi="Book Antiqua" w:cs="Times New Roman"/>
          <w:color w:val="000000" w:themeColor="text1"/>
          <w:sz w:val="24"/>
          <w:szCs w:val="24"/>
        </w:rPr>
        <w:t xml:space="preserve"> &lt; 0.05) groups (Figure 4D). </w:t>
      </w:r>
    </w:p>
    <w:p w14:paraId="36E68ABC" w14:textId="77777777" w:rsidR="003565F9" w:rsidRPr="0050120B" w:rsidRDefault="003565F9" w:rsidP="0075341C">
      <w:pPr>
        <w:wordWrap/>
        <w:spacing w:after="0" w:line="360" w:lineRule="auto"/>
        <w:rPr>
          <w:rFonts w:ascii="Book Antiqua" w:hAnsi="Book Antiqua" w:cs="Times New Roman"/>
          <w:color w:val="000000" w:themeColor="text1"/>
          <w:sz w:val="24"/>
          <w:szCs w:val="24"/>
        </w:rPr>
      </w:pPr>
    </w:p>
    <w:p w14:paraId="456523F1" w14:textId="77777777" w:rsidR="003565F9" w:rsidRPr="0050120B" w:rsidRDefault="003565F9" w:rsidP="0075341C">
      <w:pPr>
        <w:wordWrap/>
        <w:spacing w:after="0" w:line="360" w:lineRule="auto"/>
        <w:outlineLvl w:val="0"/>
        <w:rPr>
          <w:rFonts w:ascii="Book Antiqua" w:eastAsia="Arial Unicode MS" w:hAnsi="Book Antiqua" w:cs="Times New Roman"/>
          <w:b/>
          <w:i/>
          <w:color w:val="000000" w:themeColor="text1"/>
          <w:sz w:val="24"/>
          <w:szCs w:val="24"/>
        </w:rPr>
      </w:pPr>
      <w:r w:rsidRPr="0050120B">
        <w:rPr>
          <w:rFonts w:ascii="Book Antiqua" w:eastAsia="Arial Unicode MS" w:hAnsi="Book Antiqua" w:cs="Times New Roman"/>
          <w:b/>
          <w:i/>
          <w:color w:val="000000" w:themeColor="text1"/>
          <w:sz w:val="24"/>
          <w:szCs w:val="24"/>
        </w:rPr>
        <w:t>Comparing in vivo toxicity of MTBE and TAEE</w:t>
      </w:r>
    </w:p>
    <w:p w14:paraId="54209FA1" w14:textId="77777777" w:rsidR="003565F9" w:rsidRPr="0050120B" w:rsidRDefault="003565F9" w:rsidP="00DD0331">
      <w:pPr>
        <w:wordWrap/>
        <w:spacing w:after="0" w:line="360" w:lineRule="auto"/>
        <w:rPr>
          <w:rFonts w:ascii="Book Antiqua" w:hAnsi="Book Antiqua" w:cs="Times New Roman"/>
          <w:color w:val="000000" w:themeColor="text1"/>
          <w:sz w:val="24"/>
          <w:szCs w:val="24"/>
        </w:rPr>
      </w:pPr>
      <w:bookmarkStart w:id="58" w:name="OLE_LINK5"/>
      <w:bookmarkStart w:id="59" w:name="OLE_LINK6"/>
      <w:r w:rsidRPr="0050120B">
        <w:rPr>
          <w:rFonts w:ascii="Book Antiqua" w:hAnsi="Book Antiqua" w:cs="Times New Roman"/>
          <w:color w:val="000000" w:themeColor="text1"/>
          <w:sz w:val="24"/>
          <w:szCs w:val="24"/>
        </w:rPr>
        <w:t>For determining the direct tissue toxicity of MTBE and TAEE, we performed immunohistochemistry (IHC) using the gallbladder specimens obtained from the hamsters treated with each solvent, respectively. We selected cleaved caspase-3 (a pro-apoptotic marker) as the IHC panel. In both hamsters with cholesterol and pigmented stones, TAEE infusion resulted in significantly lower expression of cleaved caspase-3 than did MTBE infusion (</w:t>
      </w:r>
      <w:r w:rsidRPr="0050120B">
        <w:rPr>
          <w:rFonts w:ascii="Book Antiqua" w:hAnsi="Book Antiqua" w:cs="Times New Roman"/>
          <w:i/>
          <w:color w:val="000000" w:themeColor="text1"/>
          <w:sz w:val="24"/>
          <w:szCs w:val="24"/>
        </w:rPr>
        <w:t>P</w:t>
      </w:r>
      <w:r w:rsidRPr="0050120B">
        <w:rPr>
          <w:rFonts w:ascii="Book Antiqua" w:hAnsi="Book Antiqua" w:cs="Times New Roman"/>
          <w:color w:val="000000" w:themeColor="text1"/>
          <w:sz w:val="24"/>
          <w:szCs w:val="24"/>
        </w:rPr>
        <w:t xml:space="preserve"> &lt; 0.05), suggesting a lower toxicity of TAEE compared with MTBE (Figure 5A).</w:t>
      </w:r>
    </w:p>
    <w:p w14:paraId="0298BD7B" w14:textId="77777777" w:rsidR="003565F9" w:rsidRPr="0050120B" w:rsidRDefault="003565F9" w:rsidP="00DD0331">
      <w:pPr>
        <w:wordWrap/>
        <w:spacing w:after="0" w:line="360" w:lineRule="auto"/>
        <w:ind w:firstLineChars="100" w:firstLine="240"/>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 xml:space="preserve">Subsequently, for determining the toxic effects of MTBE and TAEE on the liver and kidney, we compared the histological findings of the liver and kidney specimens that had been attained from the hamsters at 24 h after infusion of each solvent into the gallbladder. </w:t>
      </w:r>
      <w:r w:rsidRPr="0050120B">
        <w:rPr>
          <w:rFonts w:ascii="Book Antiqua" w:hAnsi="Book Antiqua"/>
          <w:color w:val="000000" w:themeColor="text1"/>
          <w:sz w:val="24"/>
          <w:szCs w:val="24"/>
        </w:rPr>
        <w:t xml:space="preserve">The degree of injury of the liver and kidney were calculated as the Suzuki injury scores and EGTI scores, respectively. </w:t>
      </w:r>
      <w:r w:rsidRPr="0050120B">
        <w:rPr>
          <w:rFonts w:ascii="Book Antiqua" w:hAnsi="Book Antiqua" w:cs="Times New Roman"/>
          <w:color w:val="000000" w:themeColor="text1"/>
          <w:sz w:val="24"/>
          <w:szCs w:val="24"/>
        </w:rPr>
        <w:t xml:space="preserve">Contrasted by MTBE, TAEE was found not to significantly increase the injuries of these organs (Figure 5B). </w:t>
      </w:r>
    </w:p>
    <w:p w14:paraId="38A9D0EE" w14:textId="77777777" w:rsidR="003565F9" w:rsidRPr="0050120B" w:rsidRDefault="003565F9" w:rsidP="00DD0331">
      <w:pPr>
        <w:wordWrap/>
        <w:spacing w:after="0" w:line="360" w:lineRule="auto"/>
        <w:ind w:firstLineChars="100" w:firstLine="240"/>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Finally, for determining the effects of MTBE and TAEE on the systemic inflammation, we compared the serum levels of pro-inflammatory cytokines (IL-6 and TNF-α) by ELISA at 24 h after infusion. In CG group, whereas MTBE significantly increased the serum levels of these cytokines, TAEE rather decreased the serum levels of these cytokines (</w:t>
      </w:r>
      <w:r w:rsidRPr="0050120B">
        <w:rPr>
          <w:rFonts w:ascii="Book Antiqua" w:hAnsi="Book Antiqua" w:cs="Times New Roman"/>
          <w:i/>
          <w:color w:val="000000" w:themeColor="text1"/>
          <w:sz w:val="24"/>
          <w:szCs w:val="24"/>
        </w:rPr>
        <w:t>P</w:t>
      </w:r>
      <w:r w:rsidRPr="0050120B">
        <w:rPr>
          <w:rFonts w:ascii="Book Antiqua" w:hAnsi="Book Antiqua" w:cs="Times New Roman"/>
          <w:color w:val="000000" w:themeColor="text1"/>
          <w:sz w:val="24"/>
          <w:szCs w:val="24"/>
        </w:rPr>
        <w:t xml:space="preserve"> &lt; 0.05). In PG group, MTBE significantly increased the serum level of IL-6 (</w:t>
      </w:r>
      <w:r w:rsidRPr="0050120B">
        <w:rPr>
          <w:rFonts w:ascii="Book Antiqua" w:hAnsi="Book Antiqua" w:cs="Times New Roman"/>
          <w:i/>
          <w:color w:val="000000" w:themeColor="text1"/>
          <w:sz w:val="24"/>
          <w:szCs w:val="24"/>
        </w:rPr>
        <w:t>P</w:t>
      </w:r>
      <w:r w:rsidRPr="0050120B">
        <w:rPr>
          <w:rFonts w:ascii="Book Antiqua" w:hAnsi="Book Antiqua" w:cs="Times New Roman"/>
          <w:color w:val="000000" w:themeColor="text1"/>
          <w:sz w:val="24"/>
          <w:szCs w:val="24"/>
        </w:rPr>
        <w:t xml:space="preserve"> &lt; 0.05), and TAEE increased it without statistical significance. However, </w:t>
      </w:r>
      <w:r w:rsidRPr="0050120B">
        <w:rPr>
          <w:rFonts w:ascii="Book Antiqua" w:hAnsi="Book Antiqua" w:cs="Times New Roman"/>
          <w:color w:val="000000" w:themeColor="text1"/>
          <w:sz w:val="24"/>
          <w:szCs w:val="24"/>
        </w:rPr>
        <w:lastRenderedPageBreak/>
        <w:t>both treatment groups did not increase the serum levels of TNF-α in PG group (Figure 5C).</w:t>
      </w:r>
    </w:p>
    <w:p w14:paraId="65C10B9C" w14:textId="77777777" w:rsidR="003565F9" w:rsidRPr="0050120B" w:rsidRDefault="003565F9" w:rsidP="0075341C">
      <w:pPr>
        <w:wordWrap/>
        <w:spacing w:after="0" w:line="360" w:lineRule="auto"/>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 xml:space="preserve"> </w:t>
      </w:r>
    </w:p>
    <w:p w14:paraId="39E745A6" w14:textId="77777777" w:rsidR="003565F9" w:rsidRPr="0050120B" w:rsidRDefault="003565F9" w:rsidP="0075341C">
      <w:pPr>
        <w:wordWrap/>
        <w:spacing w:after="0" w:line="360" w:lineRule="auto"/>
        <w:outlineLvl w:val="0"/>
        <w:rPr>
          <w:rFonts w:ascii="Book Antiqua" w:eastAsia="Arial Unicode MS" w:hAnsi="Book Antiqua" w:cs="Times New Roman"/>
          <w:b/>
          <w:i/>
          <w:color w:val="000000" w:themeColor="text1"/>
          <w:sz w:val="24"/>
          <w:szCs w:val="24"/>
        </w:rPr>
      </w:pPr>
      <w:r w:rsidRPr="0050120B">
        <w:rPr>
          <w:rFonts w:ascii="Book Antiqua" w:eastAsia="Arial Unicode MS" w:hAnsi="Book Antiqua" w:cs="Times New Roman"/>
          <w:b/>
          <w:i/>
          <w:color w:val="000000" w:themeColor="text1"/>
          <w:sz w:val="24"/>
          <w:szCs w:val="24"/>
        </w:rPr>
        <w:t xml:space="preserve">Comprehensive testing of toxicities of MTBE and TAEE </w:t>
      </w:r>
    </w:p>
    <w:p w14:paraId="7867D34F" w14:textId="5330F348" w:rsidR="003565F9" w:rsidRPr="0050120B" w:rsidRDefault="003565F9" w:rsidP="00DD0331">
      <w:pPr>
        <w:wordWrap/>
        <w:spacing w:after="0" w:line="360" w:lineRule="auto"/>
        <w:rPr>
          <w:rFonts w:ascii="Book Antiqua" w:hAnsi="Book Antiqua"/>
          <w:color w:val="000000" w:themeColor="text1"/>
          <w:sz w:val="24"/>
          <w:szCs w:val="24"/>
        </w:rPr>
      </w:pPr>
      <w:r w:rsidRPr="0050120B">
        <w:rPr>
          <w:rFonts w:ascii="Book Antiqua" w:hAnsi="Book Antiqua" w:cs="Times New Roman"/>
          <w:color w:val="000000" w:themeColor="text1"/>
          <w:sz w:val="24"/>
          <w:szCs w:val="24"/>
        </w:rPr>
        <w:t xml:space="preserve">For determining the direct toxicities of MTBE and TAEE on gallbladder epithelial cells </w:t>
      </w:r>
      <w:r w:rsidRPr="0050120B">
        <w:rPr>
          <w:rFonts w:ascii="Book Antiqua" w:hAnsi="Book Antiqua" w:cs="Times New Roman"/>
          <w:i/>
          <w:color w:val="000000" w:themeColor="text1"/>
          <w:sz w:val="24"/>
          <w:szCs w:val="24"/>
        </w:rPr>
        <w:t>in vitro</w:t>
      </w:r>
      <w:r w:rsidRPr="0050120B">
        <w:rPr>
          <w:rFonts w:ascii="Book Antiqua" w:hAnsi="Book Antiqua" w:cs="Times New Roman"/>
          <w:color w:val="000000" w:themeColor="text1"/>
          <w:sz w:val="24"/>
          <w:szCs w:val="24"/>
        </w:rPr>
        <w:t xml:space="preserve">, we performed cell viability assay using </w:t>
      </w:r>
      <w:r w:rsidR="00316F2C" w:rsidRPr="00316F2C">
        <w:rPr>
          <w:rFonts w:ascii="Book Antiqua" w:hAnsi="Book Antiqua"/>
          <w:bCs/>
          <w:color w:val="000000" w:themeColor="text1"/>
          <w:sz w:val="24"/>
          <w:szCs w:val="24"/>
        </w:rPr>
        <w:t xml:space="preserve">human gallbladder epithelial cells </w:t>
      </w:r>
      <w:r w:rsidR="00316F2C">
        <w:rPr>
          <w:rFonts w:ascii="Book Antiqua" w:hAnsi="Book Antiqua"/>
          <w:bCs/>
          <w:color w:val="000000" w:themeColor="text1"/>
          <w:sz w:val="24"/>
          <w:szCs w:val="24"/>
        </w:rPr>
        <w:t>(</w:t>
      </w:r>
      <w:r w:rsidRPr="0050120B">
        <w:rPr>
          <w:rFonts w:ascii="Book Antiqua" w:hAnsi="Book Antiqua" w:cs="Times New Roman"/>
          <w:color w:val="000000" w:themeColor="text1"/>
          <w:sz w:val="24"/>
          <w:szCs w:val="24"/>
        </w:rPr>
        <w:t>hGBECs</w:t>
      </w:r>
      <w:r w:rsidR="00316F2C">
        <w:rPr>
          <w:rFonts w:ascii="Book Antiqua" w:hAnsi="Book Antiqua" w:cs="Times New Roman"/>
          <w:color w:val="000000" w:themeColor="text1"/>
          <w:sz w:val="24"/>
          <w:szCs w:val="24"/>
        </w:rPr>
        <w:t>)</w:t>
      </w:r>
      <w:r w:rsidRPr="0050120B">
        <w:rPr>
          <w:rFonts w:ascii="Book Antiqua" w:hAnsi="Book Antiqua" w:cs="Times New Roman"/>
          <w:color w:val="000000" w:themeColor="text1"/>
          <w:sz w:val="24"/>
          <w:szCs w:val="24"/>
        </w:rPr>
        <w:t xml:space="preserve"> (Figure 6A). Cell viability assay showed that, overall, TAEE induced lesser significant reduction of the viability of hGBECs than did MTBE at the tested concentrations. Next, we investigated the effects of TAEE on the expression of the markers reflecting cell proliferation (PCNA) and anti-apoptosis (Mcl-1) in hGBECs (Figure 6B). Western blot analysis revealed that </w:t>
      </w:r>
      <w:r w:rsidRPr="0050120B">
        <w:rPr>
          <w:rFonts w:ascii="Book Antiqua" w:hAnsi="Book Antiqua"/>
          <w:color w:val="000000" w:themeColor="text1"/>
          <w:sz w:val="24"/>
          <w:szCs w:val="24"/>
        </w:rPr>
        <w:t xml:space="preserve">with rising TAEE concentrations, PCNA exhibited the tendency of progressively increasing, and Mcl-1 was exhibited the tendency of progressively decreasing after an initial increase. </w:t>
      </w:r>
    </w:p>
    <w:p w14:paraId="42226E04" w14:textId="268151F7" w:rsidR="003565F9" w:rsidRPr="0050120B" w:rsidRDefault="003565F9" w:rsidP="00DD0331">
      <w:pPr>
        <w:wordWrap/>
        <w:spacing w:after="0" w:line="360" w:lineRule="auto"/>
        <w:ind w:firstLineChars="100" w:firstLine="240"/>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 xml:space="preserve">To further determine the </w:t>
      </w:r>
      <w:r w:rsidRPr="0050120B">
        <w:rPr>
          <w:rFonts w:ascii="Book Antiqua" w:hAnsi="Book Antiqua" w:cs="Times New Roman"/>
          <w:i/>
          <w:color w:val="000000" w:themeColor="text1"/>
          <w:sz w:val="24"/>
          <w:szCs w:val="24"/>
        </w:rPr>
        <w:t>in vitro</w:t>
      </w:r>
      <w:r w:rsidRPr="0050120B">
        <w:rPr>
          <w:rFonts w:ascii="Book Antiqua" w:hAnsi="Book Antiqua" w:cs="Times New Roman"/>
          <w:color w:val="000000" w:themeColor="text1"/>
          <w:sz w:val="24"/>
          <w:szCs w:val="24"/>
        </w:rPr>
        <w:t xml:space="preserve"> toxicities of MTBE and TAEE, we performed cell viability assay using several cells, including L929 cells, Vero cells, cells, NIH3T3, and CHI-K1 cells (Figure 6C). We found that both solvents generally did not significantly decrease cell viability of these cells, at least up to 1000 μ</w:t>
      </w:r>
      <w:r w:rsidR="000958B8">
        <w:rPr>
          <w:rFonts w:ascii="Book Antiqua" w:hAnsi="Book Antiqua" w:cs="Times New Roman"/>
          <w:color w:val="000000" w:themeColor="text1"/>
          <w:sz w:val="24"/>
          <w:szCs w:val="24"/>
        </w:rPr>
        <w:t>mol/L</w:t>
      </w:r>
      <w:r w:rsidRPr="0050120B">
        <w:rPr>
          <w:rFonts w:ascii="Book Antiqua" w:hAnsi="Book Antiqua" w:cs="Times New Roman"/>
          <w:color w:val="000000" w:themeColor="text1"/>
          <w:sz w:val="24"/>
          <w:szCs w:val="24"/>
        </w:rPr>
        <w:t xml:space="preserve"> concentration of the solvents.</w:t>
      </w:r>
    </w:p>
    <w:p w14:paraId="3DE37415" w14:textId="0B53E79A" w:rsidR="003565F9" w:rsidRPr="0050120B" w:rsidRDefault="003565F9" w:rsidP="00DD0331">
      <w:pPr>
        <w:wordWrap/>
        <w:spacing w:after="0" w:line="360" w:lineRule="auto"/>
        <w:ind w:firstLineChars="100" w:firstLine="240"/>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 xml:space="preserve">Next, we intended to determine the </w:t>
      </w:r>
      <w:r w:rsidRPr="0050120B">
        <w:rPr>
          <w:rFonts w:ascii="Book Antiqua" w:hAnsi="Book Antiqua" w:cs="Times New Roman"/>
          <w:i/>
          <w:color w:val="000000" w:themeColor="text1"/>
          <w:sz w:val="24"/>
          <w:szCs w:val="24"/>
        </w:rPr>
        <w:t>in vivo</w:t>
      </w:r>
      <w:r w:rsidRPr="0050120B">
        <w:rPr>
          <w:rFonts w:ascii="Book Antiqua" w:hAnsi="Book Antiqua" w:cs="Times New Roman"/>
          <w:color w:val="000000" w:themeColor="text1"/>
          <w:sz w:val="24"/>
          <w:szCs w:val="24"/>
        </w:rPr>
        <w:t xml:space="preserve"> acute toxicity resulting from a single exposure of each solvent. We monitored the body weight changes, mortality, and general behaviors of the mice during 14 d after oral administration of each solvent with higher concentration (2000 mg/kg). Whereas MTBE-treated mice showed 21.4% (3/14) of mortality, all of which were happened within first 24 h, TAEE-treated mice did not show any mortality. TAEE-treated mice were slightly underweight during the first 3 d and recovered thereafter. MTBE-treated mice showed prominent restlessness than vehicle controls on day 1, and thereafter, showed abnormal behaviors including tremors, ataxia, and wheezing for additional 2 d and progressively recovered thereafter. Although no mortality happened, TAEE-treated mice exhibited similar abnormal behavioral patterns as MTBE-treated mice for initial three days (Figure 6D).</w:t>
      </w:r>
    </w:p>
    <w:bookmarkEnd w:id="57"/>
    <w:bookmarkEnd w:id="58"/>
    <w:bookmarkEnd w:id="59"/>
    <w:p w14:paraId="59E9214B" w14:textId="5FBEEC4E" w:rsidR="003565F9" w:rsidRPr="0050120B" w:rsidRDefault="003565F9" w:rsidP="00DD0331">
      <w:pPr>
        <w:wordWrap/>
        <w:spacing w:after="0" w:line="360" w:lineRule="auto"/>
        <w:ind w:firstLineChars="100" w:firstLine="240"/>
        <w:rPr>
          <w:rFonts w:ascii="Book Antiqua" w:hAnsi="Book Antiqua"/>
          <w:color w:val="000000" w:themeColor="text1"/>
          <w:sz w:val="24"/>
          <w:szCs w:val="24"/>
        </w:rPr>
      </w:pPr>
      <w:r w:rsidRPr="0050120B">
        <w:rPr>
          <w:rFonts w:ascii="Book Antiqua" w:hAnsi="Book Antiqua" w:cs="Times New Roman"/>
          <w:color w:val="000000" w:themeColor="text1"/>
          <w:sz w:val="24"/>
          <w:szCs w:val="24"/>
        </w:rPr>
        <w:t xml:space="preserve">Finally, </w:t>
      </w:r>
      <w:r w:rsidRPr="0050120B">
        <w:rPr>
          <w:rFonts w:ascii="Book Antiqua" w:eastAsia="Yu Mincho" w:hAnsi="Book Antiqua" w:cs="Times New Roman"/>
          <w:color w:val="000000" w:themeColor="text1"/>
          <w:sz w:val="24"/>
          <w:szCs w:val="24"/>
          <w:lang w:eastAsia="ja-JP"/>
        </w:rPr>
        <w:t xml:space="preserve">we </w:t>
      </w:r>
      <w:r w:rsidRPr="0050120B">
        <w:rPr>
          <w:rFonts w:ascii="Book Antiqua" w:hAnsi="Book Antiqua" w:cs="Times New Roman"/>
          <w:color w:val="000000" w:themeColor="text1"/>
          <w:sz w:val="24"/>
          <w:szCs w:val="24"/>
        </w:rPr>
        <w:t>performed zebrafish locomotion test f</w:t>
      </w:r>
      <w:r w:rsidRPr="0050120B">
        <w:rPr>
          <w:rFonts w:ascii="Book Antiqua" w:eastAsia="Yu Mincho" w:hAnsi="Book Antiqua" w:cs="Times New Roman"/>
          <w:color w:val="000000" w:themeColor="text1"/>
          <w:sz w:val="24"/>
          <w:szCs w:val="24"/>
          <w:lang w:eastAsia="ja-JP"/>
        </w:rPr>
        <w:t xml:space="preserve">or </w:t>
      </w:r>
      <w:r w:rsidRPr="0050120B">
        <w:rPr>
          <w:rFonts w:ascii="Book Antiqua" w:hAnsi="Book Antiqua" w:cs="Times New Roman"/>
          <w:color w:val="000000" w:themeColor="text1"/>
          <w:sz w:val="24"/>
          <w:szCs w:val="24"/>
        </w:rPr>
        <w:t xml:space="preserve">the determination of the effects </w:t>
      </w:r>
      <w:r w:rsidRPr="0050120B">
        <w:rPr>
          <w:rFonts w:ascii="Book Antiqua" w:hAnsi="Book Antiqua" w:cs="Times New Roman"/>
          <w:color w:val="000000" w:themeColor="text1"/>
          <w:sz w:val="24"/>
          <w:szCs w:val="24"/>
        </w:rPr>
        <w:lastRenderedPageBreak/>
        <w:t xml:space="preserve">of MTBE and TAEE on the central nervous system (CNS) (Figure 6E). After placing larval zebrafish </w:t>
      </w:r>
      <w:r w:rsidRPr="0050120B">
        <w:rPr>
          <w:rFonts w:ascii="Book Antiqua" w:eastAsia="MS Mincho" w:hAnsi="Book Antiqua" w:cs="Times New Roman"/>
          <w:color w:val="000000" w:themeColor="text1"/>
          <w:sz w:val="24"/>
          <w:szCs w:val="24"/>
          <w:lang w:eastAsia="ja-JP"/>
        </w:rPr>
        <w:t>in individual wells of a 96-well plate</w:t>
      </w:r>
      <w:r w:rsidRPr="0050120B">
        <w:rPr>
          <w:rFonts w:ascii="Book Antiqua" w:hAnsi="Book Antiqua" w:cs="Times New Roman"/>
          <w:color w:val="000000" w:themeColor="text1"/>
          <w:sz w:val="24"/>
          <w:szCs w:val="24"/>
        </w:rPr>
        <w:t xml:space="preserve"> contained with </w:t>
      </w:r>
      <w:r w:rsidRPr="0050120B">
        <w:rPr>
          <w:rFonts w:ascii="Book Antiqua" w:eastAsia="MS Mincho" w:hAnsi="Book Antiqua" w:cs="Times New Roman"/>
          <w:color w:val="000000" w:themeColor="text1"/>
          <w:sz w:val="24"/>
          <w:szCs w:val="24"/>
          <w:lang w:eastAsia="ja-JP"/>
        </w:rPr>
        <w:t>embryonic medium</w:t>
      </w:r>
      <w:r w:rsidRPr="0050120B">
        <w:rPr>
          <w:rFonts w:ascii="Book Antiqua" w:hAnsi="Book Antiqua" w:cs="Times New Roman"/>
          <w:color w:val="000000" w:themeColor="text1"/>
          <w:sz w:val="24"/>
          <w:szCs w:val="24"/>
        </w:rPr>
        <w:t xml:space="preserve">, locomotor activity of zebrafish was measured </w:t>
      </w:r>
      <w:r w:rsidRPr="0050120B">
        <w:rPr>
          <w:rFonts w:ascii="Book Antiqua" w:eastAsia="Yu Mincho" w:hAnsi="Book Antiqua" w:cs="Times New Roman"/>
          <w:color w:val="000000" w:themeColor="text1"/>
          <w:sz w:val="24"/>
          <w:szCs w:val="24"/>
          <w:lang w:eastAsia="ja-JP"/>
        </w:rPr>
        <w:t>over 60 minutes</w:t>
      </w:r>
      <w:r w:rsidRPr="0050120B">
        <w:rPr>
          <w:rFonts w:ascii="Book Antiqua" w:hAnsi="Book Antiqua" w:cs="Times New Roman"/>
          <w:color w:val="000000" w:themeColor="text1"/>
          <w:sz w:val="24"/>
          <w:szCs w:val="24"/>
        </w:rPr>
        <w:t xml:space="preserve"> after treating </w:t>
      </w:r>
      <w:r w:rsidRPr="0050120B">
        <w:rPr>
          <w:rFonts w:ascii="Book Antiqua" w:eastAsia="MS Mincho" w:hAnsi="Book Antiqua" w:cs="Times New Roman"/>
          <w:color w:val="000000" w:themeColor="text1"/>
          <w:sz w:val="24"/>
          <w:szCs w:val="24"/>
          <w:lang w:eastAsia="ja-JP"/>
        </w:rPr>
        <w:t>100 μ</w:t>
      </w:r>
      <w:r w:rsidR="00DD0331" w:rsidRPr="0050120B">
        <w:rPr>
          <w:rFonts w:ascii="Book Antiqua" w:eastAsia="MS Mincho" w:hAnsi="Book Antiqua" w:cs="Times New Roman"/>
          <w:color w:val="000000" w:themeColor="text1"/>
          <w:sz w:val="24"/>
          <w:szCs w:val="24"/>
          <w:lang w:eastAsia="ja-JP"/>
        </w:rPr>
        <w:t>L</w:t>
      </w:r>
      <w:r w:rsidRPr="0050120B">
        <w:rPr>
          <w:rFonts w:ascii="Book Antiqua" w:eastAsia="MS Mincho" w:hAnsi="Book Antiqua" w:cs="Times New Roman"/>
          <w:color w:val="000000" w:themeColor="text1"/>
          <w:sz w:val="24"/>
          <w:szCs w:val="24"/>
          <w:lang w:eastAsia="ja-JP"/>
        </w:rPr>
        <w:t xml:space="preserve"> of MTBE and TAEE</w:t>
      </w:r>
      <w:r w:rsidRPr="0050120B">
        <w:rPr>
          <w:rFonts w:ascii="Book Antiqua" w:hAnsi="Book Antiqua" w:cs="Times New Roman"/>
          <w:color w:val="000000" w:themeColor="text1"/>
          <w:sz w:val="24"/>
          <w:szCs w:val="24"/>
        </w:rPr>
        <w:t xml:space="preserve"> </w:t>
      </w:r>
      <w:r w:rsidRPr="0050120B">
        <w:rPr>
          <w:rFonts w:ascii="Book Antiqua" w:eastAsia="MS Mincho" w:hAnsi="Book Antiqua" w:cs="Times New Roman"/>
          <w:color w:val="000000" w:themeColor="text1"/>
          <w:sz w:val="24"/>
          <w:szCs w:val="24"/>
          <w:lang w:eastAsia="ja-JP"/>
        </w:rPr>
        <w:t>to a final concentration of 1mM</w:t>
      </w:r>
      <w:r w:rsidRPr="0050120B">
        <w:rPr>
          <w:rFonts w:ascii="Book Antiqua" w:hAnsi="Book Antiqua" w:cs="Times New Roman"/>
          <w:color w:val="000000" w:themeColor="text1"/>
          <w:sz w:val="24"/>
          <w:szCs w:val="24"/>
        </w:rPr>
        <w:t>, respectively.</w:t>
      </w:r>
      <w:r w:rsidRPr="0050120B">
        <w:rPr>
          <w:rFonts w:ascii="Book Antiqua" w:eastAsia="MS Mincho" w:hAnsi="Book Antiqua" w:cs="Times New Roman"/>
          <w:color w:val="000000" w:themeColor="text1"/>
          <w:sz w:val="24"/>
          <w:szCs w:val="24"/>
          <w:lang w:eastAsia="ja-JP"/>
        </w:rPr>
        <w:t xml:space="preserve"> </w:t>
      </w:r>
      <w:r w:rsidRPr="0050120B">
        <w:rPr>
          <w:rFonts w:ascii="Book Antiqua" w:hAnsi="Book Antiqua"/>
          <w:color w:val="000000" w:themeColor="text1"/>
          <w:sz w:val="24"/>
          <w:szCs w:val="24"/>
        </w:rPr>
        <w:t xml:space="preserve">During the overall period (60 min), both treatment groups did not significantly increase the locomotor activity of zebrafish than did control group, suggesting no significantly harmful effects of MTBE and TAEE on CNS. </w:t>
      </w:r>
    </w:p>
    <w:p w14:paraId="5FAF2804" w14:textId="77777777" w:rsidR="003565F9" w:rsidRPr="0050120B" w:rsidRDefault="003565F9" w:rsidP="0075341C">
      <w:pPr>
        <w:widowControl/>
        <w:wordWrap/>
        <w:autoSpaceDE/>
        <w:autoSpaceDN/>
        <w:spacing w:after="0" w:line="360" w:lineRule="auto"/>
        <w:rPr>
          <w:rFonts w:ascii="Book Antiqua" w:hAnsi="Book Antiqua"/>
          <w:color w:val="000000" w:themeColor="text1"/>
          <w:sz w:val="24"/>
          <w:szCs w:val="24"/>
        </w:rPr>
      </w:pPr>
      <w:bookmarkStart w:id="60" w:name="_Hlk488232564"/>
    </w:p>
    <w:p w14:paraId="5D9EFF43" w14:textId="77777777" w:rsidR="003565F9" w:rsidRPr="0050120B" w:rsidRDefault="003565F9" w:rsidP="0075341C">
      <w:pPr>
        <w:widowControl/>
        <w:wordWrap/>
        <w:autoSpaceDE/>
        <w:autoSpaceDN/>
        <w:spacing w:after="0" w:line="360" w:lineRule="auto"/>
        <w:rPr>
          <w:rFonts w:ascii="Book Antiqua" w:eastAsia="Arial Unicode MS" w:hAnsi="Book Antiqua" w:cs="Times New Roman"/>
          <w:b/>
          <w:color w:val="000000" w:themeColor="text1"/>
          <w:sz w:val="24"/>
          <w:szCs w:val="24"/>
        </w:rPr>
      </w:pPr>
      <w:r w:rsidRPr="0050120B">
        <w:rPr>
          <w:rFonts w:ascii="Book Antiqua" w:eastAsia="Arial Unicode MS" w:hAnsi="Book Antiqua" w:cs="Times New Roman"/>
          <w:b/>
          <w:color w:val="000000" w:themeColor="text1"/>
          <w:sz w:val="24"/>
          <w:szCs w:val="24"/>
        </w:rPr>
        <w:t>DISCUSSION</w:t>
      </w:r>
    </w:p>
    <w:p w14:paraId="37B39711" w14:textId="77777777" w:rsidR="003565F9" w:rsidRPr="0050120B" w:rsidRDefault="003565F9" w:rsidP="00DD0331">
      <w:pPr>
        <w:widowControl/>
        <w:wordWrap/>
        <w:autoSpaceDE/>
        <w:autoSpaceDN/>
        <w:spacing w:after="0" w:line="360" w:lineRule="auto"/>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 xml:space="preserve">In this study, we first validated the gallstone-dissolving capacity and toxicity of TAEE by comparing them with those of MTBE in both </w:t>
      </w:r>
      <w:r w:rsidRPr="0050120B">
        <w:rPr>
          <w:rFonts w:ascii="Book Antiqua" w:hAnsi="Book Antiqua" w:cs="Times New Roman"/>
          <w:i/>
          <w:color w:val="000000" w:themeColor="text1"/>
          <w:sz w:val="24"/>
          <w:szCs w:val="24"/>
        </w:rPr>
        <w:t>in vitro</w:t>
      </w:r>
      <w:r w:rsidRPr="0050120B">
        <w:rPr>
          <w:rFonts w:ascii="Book Antiqua" w:hAnsi="Book Antiqua" w:cs="Times New Roman"/>
          <w:color w:val="000000" w:themeColor="text1"/>
          <w:sz w:val="24"/>
          <w:szCs w:val="24"/>
        </w:rPr>
        <w:t xml:space="preserve"> and </w:t>
      </w:r>
      <w:r w:rsidRPr="0050120B">
        <w:rPr>
          <w:rFonts w:ascii="Book Antiqua" w:hAnsi="Book Antiqua" w:cs="Times New Roman"/>
          <w:i/>
          <w:color w:val="000000" w:themeColor="text1"/>
          <w:sz w:val="24"/>
          <w:szCs w:val="24"/>
        </w:rPr>
        <w:t>in vivo</w:t>
      </w:r>
      <w:r w:rsidRPr="0050120B">
        <w:rPr>
          <w:rFonts w:ascii="Book Antiqua" w:hAnsi="Book Antiqua" w:cs="Times New Roman"/>
          <w:color w:val="000000" w:themeColor="text1"/>
          <w:sz w:val="24"/>
          <w:szCs w:val="24"/>
        </w:rPr>
        <w:t xml:space="preserve"> models of cholesterol and pigmented gallstones. In both models, TAEE consistently exhibited a superior gallstone-dissolubility compared to MTBE. Specifically, in the </w:t>
      </w:r>
      <w:r w:rsidRPr="0050120B">
        <w:rPr>
          <w:rFonts w:ascii="Book Antiqua" w:hAnsi="Book Antiqua" w:cs="Times New Roman"/>
          <w:i/>
          <w:color w:val="000000" w:themeColor="text1"/>
          <w:sz w:val="24"/>
          <w:szCs w:val="24"/>
        </w:rPr>
        <w:t>in vitro</w:t>
      </w:r>
      <w:r w:rsidRPr="0050120B">
        <w:rPr>
          <w:rFonts w:ascii="Book Antiqua" w:hAnsi="Book Antiqua" w:cs="Times New Roman"/>
          <w:color w:val="000000" w:themeColor="text1"/>
          <w:sz w:val="24"/>
          <w:szCs w:val="24"/>
        </w:rPr>
        <w:t xml:space="preserve"> experiment, TAEE showed a 1.2-, 1.4-, and 1.3-fold increase in dissolubility for the cholesterol, mixed, and pigmented gallstones, respectively, compared to that of MTBE. In the </w:t>
      </w:r>
      <w:r w:rsidRPr="0050120B">
        <w:rPr>
          <w:rFonts w:ascii="Book Antiqua" w:hAnsi="Book Antiqua" w:cs="Times New Roman"/>
          <w:i/>
          <w:color w:val="000000" w:themeColor="text1"/>
          <w:sz w:val="24"/>
          <w:szCs w:val="24"/>
        </w:rPr>
        <w:t>in vivo</w:t>
      </w:r>
      <w:r w:rsidRPr="0050120B">
        <w:rPr>
          <w:rFonts w:ascii="Book Antiqua" w:hAnsi="Book Antiqua" w:cs="Times New Roman"/>
          <w:color w:val="000000" w:themeColor="text1"/>
          <w:sz w:val="24"/>
          <w:szCs w:val="24"/>
        </w:rPr>
        <w:t xml:space="preserve"> experiment, TAEE showed a 1.4- and 1.9-fold increase in dissolubility for the cholesterol and pigmented gallstones, respectively, compared to that of MTBE. Moreover, TAEE exhibited a toxicity similar to or lesser than that of MTBE. We postulated that the lower toxicity of TAEE could be partly attributed to its comparatively lower boiling point than that of MTBE, which results in less</w:t>
      </w:r>
      <w:r w:rsidRPr="0050120B">
        <w:rPr>
          <w:rFonts w:ascii="Book Antiqua" w:hAnsi="Book Antiqua"/>
          <w:color w:val="000000" w:themeColor="text1"/>
          <w:sz w:val="24"/>
          <w:szCs w:val="24"/>
        </w:rPr>
        <w:t xml:space="preserve"> </w:t>
      </w:r>
      <w:r w:rsidRPr="0050120B">
        <w:rPr>
          <w:rFonts w:ascii="Book Antiqua" w:hAnsi="Book Antiqua" w:cs="Times New Roman"/>
          <w:color w:val="000000" w:themeColor="text1"/>
          <w:sz w:val="24"/>
          <w:szCs w:val="24"/>
        </w:rPr>
        <w:t xml:space="preserve">evaporation. Taken together, our results demonstrated that TAEE has the higher gallstone-dissolubility and safety compared with that of MTBE. If consistent efficacy and safety parameters can be reproduced in the further studies, incorporating large animals and human patients, TAEE is expected to present an attractive alternative to MTBE. </w:t>
      </w:r>
    </w:p>
    <w:bookmarkEnd w:id="60"/>
    <w:p w14:paraId="7FB725F6" w14:textId="12672AEA" w:rsidR="003565F9" w:rsidRPr="0050120B" w:rsidRDefault="003565F9" w:rsidP="00DD0331">
      <w:pPr>
        <w:widowControl/>
        <w:wordWrap/>
        <w:autoSpaceDE/>
        <w:autoSpaceDN/>
        <w:spacing w:after="0" w:line="360" w:lineRule="auto"/>
        <w:ind w:firstLineChars="100" w:firstLine="240"/>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 xml:space="preserve">Currently, MTBE is the most widely used and the only clinically available CLA. Although MTBE does not exhibit a significant clinical toxicity, researchers have raised questions regarding the safety of MTBE. MTBE is categorized as a carcinogen, alongside benzene, vinyl chloride, and 1,3-butadiene, as exposure to doses of MTBE equal to those of these carcinogens could result in the development of cancers in </w:t>
      </w:r>
      <w:r w:rsidRPr="0050120B">
        <w:rPr>
          <w:rFonts w:ascii="Book Antiqua" w:hAnsi="Book Antiqua" w:cs="Times New Roman"/>
          <w:color w:val="000000" w:themeColor="text1"/>
          <w:sz w:val="24"/>
          <w:szCs w:val="24"/>
        </w:rPr>
        <w:lastRenderedPageBreak/>
        <w:t>several organs and tissues</w:t>
      </w:r>
      <w:r w:rsidRPr="0050120B">
        <w:rPr>
          <w:rFonts w:ascii="Book Antiqua" w:hAnsi="Book Antiqua" w:cs="Times New Roman"/>
          <w:noProof/>
          <w:color w:val="000000" w:themeColor="text1"/>
          <w:sz w:val="24"/>
          <w:szCs w:val="24"/>
          <w:vertAlign w:val="superscript"/>
        </w:rPr>
        <w:t>[20]</w:t>
      </w:r>
      <w:r w:rsidRPr="0050120B">
        <w:rPr>
          <w:rFonts w:ascii="Book Antiqua" w:hAnsi="Book Antiqua" w:cs="Times New Roman"/>
          <w:color w:val="000000" w:themeColor="text1"/>
          <w:sz w:val="24"/>
          <w:szCs w:val="24"/>
        </w:rPr>
        <w:t>. In particular, the inhalation of MTBE has been found to lead to a statistically significant increase in kidney tumors and liver tumors in rats</w:t>
      </w:r>
      <w:r w:rsidRPr="0050120B">
        <w:rPr>
          <w:rFonts w:ascii="Book Antiqua" w:hAnsi="Book Antiqua" w:cs="Times New Roman"/>
          <w:noProof/>
          <w:color w:val="000000" w:themeColor="text1"/>
          <w:sz w:val="24"/>
          <w:szCs w:val="24"/>
          <w:vertAlign w:val="superscript"/>
        </w:rPr>
        <w:t>[21]</w:t>
      </w:r>
      <w:r w:rsidRPr="0050120B">
        <w:rPr>
          <w:rFonts w:ascii="Book Antiqua" w:hAnsi="Book Antiqua" w:cs="Times New Roman"/>
          <w:color w:val="000000" w:themeColor="text1"/>
          <w:sz w:val="24"/>
          <w:szCs w:val="24"/>
        </w:rPr>
        <w:t>, and oral exposure to MTBE was found to increase carcinomas, such as lymphoma, leukemia, and Leydig cell carcinoma of the testes in rats</w:t>
      </w:r>
      <w:r w:rsidRPr="0050120B">
        <w:rPr>
          <w:rFonts w:ascii="Book Antiqua" w:hAnsi="Book Antiqua" w:cs="Times New Roman"/>
          <w:noProof/>
          <w:color w:val="000000" w:themeColor="text1"/>
          <w:sz w:val="24"/>
          <w:szCs w:val="24"/>
          <w:vertAlign w:val="superscript"/>
        </w:rPr>
        <w:t>[22]</w:t>
      </w:r>
      <w:r w:rsidRPr="0050120B">
        <w:rPr>
          <w:rFonts w:ascii="Book Antiqua" w:hAnsi="Book Antiqua" w:cs="Times New Roman"/>
          <w:color w:val="000000" w:themeColor="text1"/>
          <w:sz w:val="24"/>
          <w:szCs w:val="24"/>
        </w:rPr>
        <w:t>. After being delivered into the gallbladder, MTBE is not only absorbed into the duodenum, but can also be systemically absorbed. Whereas absorption of MTBE into the duodenum can culminate in nausea, vomiting, or somnolence</w:t>
      </w:r>
      <w:r w:rsidRPr="0050120B">
        <w:rPr>
          <w:rFonts w:ascii="Book Antiqua" w:hAnsi="Book Antiqua" w:cs="Times New Roman"/>
          <w:noProof/>
          <w:color w:val="000000" w:themeColor="text1"/>
          <w:sz w:val="24"/>
          <w:szCs w:val="24"/>
          <w:vertAlign w:val="superscript"/>
        </w:rPr>
        <w:t>[8-12,14-17]</w:t>
      </w:r>
      <w:r w:rsidRPr="0050120B">
        <w:rPr>
          <w:rFonts w:ascii="Book Antiqua" w:hAnsi="Book Antiqua" w:cs="Times New Roman"/>
          <w:color w:val="000000" w:themeColor="text1"/>
          <w:sz w:val="24"/>
          <w:szCs w:val="24"/>
        </w:rPr>
        <w:t>, systemic absorption can lead to hemolysis and kidney injuries</w:t>
      </w:r>
      <w:r w:rsidR="00292B58" w:rsidRPr="0050120B">
        <w:rPr>
          <w:rFonts w:ascii="Book Antiqua" w:hAnsi="Book Antiqua" w:cs="Times New Roman"/>
          <w:color w:val="000000" w:themeColor="text1"/>
          <w:sz w:val="24"/>
          <w:szCs w:val="24"/>
          <w:vertAlign w:val="superscript"/>
        </w:rPr>
        <w:t>[23]</w:t>
      </w:r>
      <w:r w:rsidRPr="0050120B">
        <w:rPr>
          <w:rFonts w:ascii="Book Antiqua" w:hAnsi="Book Antiqua" w:cs="Times New Roman"/>
          <w:color w:val="000000" w:themeColor="text1"/>
          <w:sz w:val="24"/>
          <w:szCs w:val="24"/>
        </w:rPr>
        <w:t xml:space="preserve">. </w:t>
      </w:r>
    </w:p>
    <w:p w14:paraId="303856D0" w14:textId="5D4D2872" w:rsidR="003565F9" w:rsidRPr="0050120B" w:rsidRDefault="003565F9" w:rsidP="00DD0331">
      <w:pPr>
        <w:widowControl/>
        <w:wordWrap/>
        <w:autoSpaceDE/>
        <w:autoSpaceDN/>
        <w:spacing w:after="0" w:line="360" w:lineRule="auto"/>
        <w:ind w:firstLineChars="100" w:firstLine="252"/>
        <w:rPr>
          <w:rFonts w:ascii="Book Antiqua" w:hAnsi="Book Antiqua" w:cs="Times New Roman"/>
          <w:color w:val="000000" w:themeColor="text1"/>
          <w:sz w:val="24"/>
          <w:szCs w:val="24"/>
        </w:rPr>
      </w:pPr>
      <w:r w:rsidRPr="0050120B">
        <w:rPr>
          <w:rFonts w:ascii="Book Antiqua" w:eastAsia="Batang" w:hAnsi="Book Antiqua" w:cs="Times New Roman"/>
          <w:color w:val="000000" w:themeColor="text1"/>
          <w:sz w:val="24"/>
          <w:szCs w:val="24"/>
        </w:rPr>
        <w:t>TAEE has high boiling point of 102</w:t>
      </w:r>
      <w:r w:rsidR="00DD0331">
        <w:rPr>
          <w:rFonts w:ascii="Book Antiqua" w:eastAsia="Batang" w:hAnsi="Book Antiqua" w:cs="Times New Roman"/>
          <w:color w:val="000000" w:themeColor="text1"/>
          <w:sz w:val="24"/>
          <w:szCs w:val="24"/>
        </w:rPr>
        <w:t xml:space="preserve"> </w:t>
      </w:r>
      <w:r w:rsidR="00DD0331" w:rsidRPr="00FE4577">
        <w:rPr>
          <w:rFonts w:ascii="Book Antiqua" w:hAnsi="Book Antiqua"/>
          <w:sz w:val="24"/>
          <w:szCs w:val="24"/>
        </w:rPr>
        <w:t>°C</w:t>
      </w:r>
      <w:r w:rsidR="00DD0331" w:rsidRPr="0050120B">
        <w:rPr>
          <w:rFonts w:ascii="Book Antiqua" w:eastAsia="Batang" w:hAnsi="Book Antiqua" w:cs="Times New Roman"/>
          <w:color w:val="000000" w:themeColor="text1"/>
          <w:sz w:val="24"/>
          <w:szCs w:val="24"/>
        </w:rPr>
        <w:t xml:space="preserve"> </w:t>
      </w:r>
      <w:r w:rsidRPr="0050120B">
        <w:rPr>
          <w:rFonts w:ascii="Book Antiqua" w:eastAsia="Batang" w:hAnsi="Book Antiqua" w:cs="Times New Roman"/>
          <w:color w:val="000000" w:themeColor="text1"/>
          <w:sz w:val="24"/>
          <w:szCs w:val="24"/>
        </w:rPr>
        <w:t xml:space="preserve">that is higher than water and nearly twice as high as MTBE. Unlike the MTBE, TAEE also has a high molecular weight of 116.2 g/mol, but its density is similar to that of MTBE (0.76 g/mL). </w:t>
      </w:r>
      <w:r w:rsidRPr="0050120B">
        <w:rPr>
          <w:rFonts w:ascii="Book Antiqua" w:hAnsi="Book Antiqua" w:cs="Times New Roman"/>
          <w:color w:val="000000" w:themeColor="text1"/>
          <w:sz w:val="24"/>
          <w:szCs w:val="24"/>
        </w:rPr>
        <w:t xml:space="preserve">We herein demonstrated that TAEE has the higher gallstone-dissolubility and safety compared with that of MTBE. We thus think that TAEE fulfills lots of qualifications of being the ideal </w:t>
      </w:r>
      <w:r w:rsidRPr="0050120B">
        <w:rPr>
          <w:rFonts w:ascii="Book Antiqua" w:eastAsia="Batang" w:hAnsi="Book Antiqua" w:cs="Times New Roman"/>
          <w:color w:val="000000" w:themeColor="text1"/>
          <w:sz w:val="24"/>
          <w:szCs w:val="24"/>
        </w:rPr>
        <w:t>solvent for gallstone dissolution.</w:t>
      </w:r>
      <w:r w:rsidRPr="0050120B">
        <w:rPr>
          <w:rFonts w:ascii="Book Antiqua" w:hAnsi="Book Antiqua" w:cs="Times New Roman"/>
          <w:color w:val="000000" w:themeColor="text1"/>
          <w:sz w:val="24"/>
          <w:szCs w:val="24"/>
        </w:rPr>
        <w:t xml:space="preserve"> </w:t>
      </w:r>
    </w:p>
    <w:p w14:paraId="7C673A8E" w14:textId="3094555D" w:rsidR="003565F9" w:rsidRPr="0050120B" w:rsidRDefault="003565F9" w:rsidP="00DD0331">
      <w:pPr>
        <w:wordWrap/>
        <w:spacing w:after="0" w:line="360" w:lineRule="auto"/>
        <w:ind w:firstLineChars="100" w:firstLine="252"/>
        <w:rPr>
          <w:rFonts w:ascii="Book Antiqua" w:hAnsi="Book Antiqua" w:cs="Times New Roman"/>
          <w:color w:val="000000" w:themeColor="text1"/>
          <w:sz w:val="24"/>
          <w:szCs w:val="24"/>
        </w:rPr>
      </w:pPr>
      <w:r w:rsidRPr="0050120B">
        <w:rPr>
          <w:rFonts w:ascii="Book Antiqua" w:eastAsia="Batang" w:hAnsi="Book Antiqua" w:cs="Times New Roman"/>
          <w:color w:val="000000" w:themeColor="text1"/>
          <w:sz w:val="24"/>
          <w:szCs w:val="24"/>
        </w:rPr>
        <w:t>MTBE is classified into a typical aliphatic ether category with a methyl group and tertiary butyl group centering on oxygen atoms. MTBE is one of the compounds with low molecular weight (88.15 g/mol) and has a density of 0.74 g/mL, which is lower than that of water. Due to its low boiling point (55</w:t>
      </w:r>
      <w:r w:rsidR="00DD0331">
        <w:rPr>
          <w:rFonts w:ascii="Book Antiqua" w:eastAsia="Batang" w:hAnsi="Book Antiqua" w:cs="Times New Roman"/>
          <w:color w:val="000000" w:themeColor="text1"/>
          <w:sz w:val="24"/>
          <w:szCs w:val="24"/>
        </w:rPr>
        <w:t xml:space="preserve"> </w:t>
      </w:r>
      <w:r w:rsidR="00DD0331" w:rsidRPr="00FE4577">
        <w:rPr>
          <w:rFonts w:ascii="Book Antiqua" w:hAnsi="Book Antiqua"/>
          <w:sz w:val="24"/>
          <w:szCs w:val="24"/>
        </w:rPr>
        <w:t>°C</w:t>
      </w:r>
      <w:r w:rsidRPr="0050120B">
        <w:rPr>
          <w:rFonts w:ascii="Book Antiqua" w:eastAsia="Batang" w:hAnsi="Book Antiqua" w:cs="Batang"/>
          <w:color w:val="000000" w:themeColor="text1"/>
          <w:sz w:val="24"/>
          <w:szCs w:val="24"/>
        </w:rPr>
        <w:t>)</w:t>
      </w:r>
      <w:r w:rsidRPr="0050120B">
        <w:rPr>
          <w:rFonts w:ascii="Book Antiqua" w:eastAsia="Batang" w:hAnsi="Book Antiqua" w:cs="Times New Roman"/>
          <w:color w:val="000000" w:themeColor="text1"/>
          <w:sz w:val="24"/>
          <w:szCs w:val="24"/>
        </w:rPr>
        <w:t>, when it is used, MTBE is considerably volatilized as a vapor, provoking detrimental effects not only in patients but also in medical staffs. Basically, TAEE is an analogue of MTBE. In TAEE structure, another methyl moiety is added to the carbon of tert-butyl group of MTBE, while methoxy group of MTBE is substituted with ethoxy group. Although TAEE is an MTBE analogue, they have quite different chemical characteristics. TAEE has high boiling point of 102</w:t>
      </w:r>
      <w:r w:rsidR="00DD0331">
        <w:rPr>
          <w:rFonts w:ascii="Book Antiqua" w:eastAsia="Batang" w:hAnsi="Book Antiqua" w:cs="Times New Roman"/>
          <w:color w:val="000000" w:themeColor="text1"/>
          <w:sz w:val="24"/>
          <w:szCs w:val="24"/>
        </w:rPr>
        <w:t xml:space="preserve"> </w:t>
      </w:r>
      <w:r w:rsidR="00DD0331" w:rsidRPr="00FE4577">
        <w:rPr>
          <w:rFonts w:ascii="Book Antiqua" w:hAnsi="Book Antiqua"/>
          <w:sz w:val="24"/>
          <w:szCs w:val="24"/>
        </w:rPr>
        <w:t>°C</w:t>
      </w:r>
      <w:r w:rsidRPr="0050120B">
        <w:rPr>
          <w:rFonts w:ascii="Book Antiqua" w:eastAsia="Batang" w:hAnsi="Book Antiqua" w:cs="Batang"/>
          <w:color w:val="000000" w:themeColor="text1"/>
          <w:sz w:val="24"/>
          <w:szCs w:val="24"/>
        </w:rPr>
        <w:t xml:space="preserve"> </w:t>
      </w:r>
      <w:r w:rsidRPr="0050120B">
        <w:rPr>
          <w:rFonts w:ascii="Book Antiqua" w:eastAsia="Batang" w:hAnsi="Book Antiqua" w:cs="Times New Roman"/>
          <w:color w:val="000000" w:themeColor="text1"/>
          <w:sz w:val="24"/>
          <w:szCs w:val="24"/>
        </w:rPr>
        <w:t xml:space="preserve">that is higher than water and nearly twice as high as MTBE. In addition, TAEE also has relatively higher molecular weight of 116.2 g/mol, while maintaining its density like that of MTBE (0.76 g/mL). We think these differences might have led to the differences in the dissolubility and toxicities between these two CCAs. </w:t>
      </w:r>
      <w:r w:rsidRPr="0050120B">
        <w:rPr>
          <w:rFonts w:ascii="Book Antiqua" w:hAnsi="Book Antiqua" w:cs="Times New Roman"/>
          <w:color w:val="000000" w:themeColor="text1"/>
          <w:sz w:val="24"/>
          <w:szCs w:val="24"/>
        </w:rPr>
        <w:t>The ideal solvent must be able to dissolve cholesterol gallstones rapidly, should not cause injury to local tissue, should not have systemic toxicity, and should be widely available at a high purity</w:t>
      </w:r>
      <w:r w:rsidRPr="0050120B">
        <w:rPr>
          <w:rFonts w:ascii="Book Antiqua" w:hAnsi="Book Antiqua" w:cs="Times New Roman"/>
          <w:noProof/>
          <w:color w:val="000000" w:themeColor="text1"/>
          <w:sz w:val="24"/>
          <w:szCs w:val="24"/>
          <w:vertAlign w:val="superscript"/>
        </w:rPr>
        <w:t>[24]</w:t>
      </w:r>
      <w:r w:rsidRPr="0050120B">
        <w:rPr>
          <w:rFonts w:ascii="Book Antiqua" w:hAnsi="Book Antiqua" w:cs="Times New Roman"/>
          <w:color w:val="000000" w:themeColor="text1"/>
          <w:sz w:val="24"/>
          <w:szCs w:val="24"/>
        </w:rPr>
        <w:t xml:space="preserve">. Our results indicate that TAEE could fulfill the </w:t>
      </w:r>
      <w:r w:rsidRPr="0050120B">
        <w:rPr>
          <w:rFonts w:ascii="Book Antiqua" w:hAnsi="Book Antiqua" w:cs="Times New Roman"/>
          <w:color w:val="000000" w:themeColor="text1"/>
          <w:sz w:val="24"/>
          <w:szCs w:val="24"/>
        </w:rPr>
        <w:lastRenderedPageBreak/>
        <w:t>qualifications of the ideal solvent more preferably than MTBE.</w:t>
      </w:r>
    </w:p>
    <w:p w14:paraId="1F3E675A" w14:textId="401FF224" w:rsidR="003565F9" w:rsidRPr="0050120B" w:rsidRDefault="003565F9" w:rsidP="00DD0331">
      <w:pPr>
        <w:widowControl/>
        <w:wordWrap/>
        <w:autoSpaceDE/>
        <w:autoSpaceDN/>
        <w:spacing w:after="0" w:line="360" w:lineRule="auto"/>
        <w:ind w:firstLineChars="100" w:firstLine="240"/>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Recently, the use of CLAs has fallen out of favor due to the recognition of an acceptable risk-benefit profile of laparoscopic cholecystectomy by both physicians and patients. However, we believe that CLAs could be considered in the selected patients with gallstones, if their effectiveness and safety are firmly established. Asymptomatic cholelithiasis accounts for 50</w:t>
      </w:r>
      <w:r w:rsidR="00DD0331">
        <w:rPr>
          <w:rFonts w:ascii="Book Antiqua" w:hAnsi="Book Antiqua" w:cs="Times New Roman"/>
          <w:color w:val="000000" w:themeColor="text1"/>
          <w:sz w:val="24"/>
          <w:szCs w:val="24"/>
        </w:rPr>
        <w:t>%</w:t>
      </w:r>
      <w:r w:rsidRPr="0050120B">
        <w:rPr>
          <w:rFonts w:ascii="Book Antiqua" w:hAnsi="Book Antiqua" w:cs="Times New Roman"/>
          <w:color w:val="000000" w:themeColor="text1"/>
          <w:sz w:val="24"/>
          <w:szCs w:val="24"/>
        </w:rPr>
        <w:t>-70% of the total cholelithiasis population</w:t>
      </w:r>
      <w:r w:rsidRPr="0050120B">
        <w:rPr>
          <w:rFonts w:ascii="Book Antiqua" w:hAnsi="Book Antiqua" w:cs="Times New Roman"/>
          <w:color w:val="000000" w:themeColor="text1"/>
          <w:sz w:val="24"/>
          <w:szCs w:val="24"/>
          <w:vertAlign w:val="superscript"/>
        </w:rPr>
        <w:t>[2]</w:t>
      </w:r>
      <w:r w:rsidRPr="0050120B">
        <w:rPr>
          <w:rFonts w:ascii="Book Antiqua" w:hAnsi="Book Antiqua" w:cs="Times New Roman"/>
          <w:color w:val="000000" w:themeColor="text1"/>
          <w:sz w:val="24"/>
          <w:szCs w:val="24"/>
        </w:rPr>
        <w:t>. Later, approximately 10</w:t>
      </w:r>
      <w:r w:rsidR="00DD0331">
        <w:rPr>
          <w:rFonts w:ascii="Book Antiqua" w:hAnsi="Book Antiqua" w:cs="Times New Roman"/>
          <w:color w:val="000000" w:themeColor="text1"/>
          <w:sz w:val="24"/>
          <w:szCs w:val="24"/>
        </w:rPr>
        <w:t>%</w:t>
      </w:r>
      <w:r w:rsidRPr="0050120B">
        <w:rPr>
          <w:rFonts w:ascii="Book Antiqua" w:hAnsi="Book Antiqua" w:cs="Times New Roman"/>
          <w:color w:val="000000" w:themeColor="text1"/>
          <w:sz w:val="24"/>
          <w:szCs w:val="24"/>
        </w:rPr>
        <w:t>-25% of asymptomatic cholelithiasis patients ultimately progress to symptomatic cholelithiasis</w:t>
      </w:r>
      <w:r w:rsidRPr="0050120B">
        <w:rPr>
          <w:rFonts w:ascii="Book Antiqua" w:hAnsi="Book Antiqua" w:cs="Times New Roman"/>
          <w:color w:val="000000" w:themeColor="text1"/>
          <w:sz w:val="24"/>
          <w:szCs w:val="24"/>
          <w:vertAlign w:val="superscript"/>
        </w:rPr>
        <w:t>[2]</w:t>
      </w:r>
      <w:r w:rsidRPr="0050120B">
        <w:rPr>
          <w:rFonts w:ascii="Book Antiqua" w:hAnsi="Book Antiqua" w:cs="Times New Roman"/>
          <w:color w:val="000000" w:themeColor="text1"/>
          <w:sz w:val="24"/>
          <w:szCs w:val="24"/>
        </w:rPr>
        <w:t>. Generally, patients with asymptomatic cholelithiasis do not require surgical intervention, except for in two reasons; suspicion of malignancy and increased risk of progression from asymptomatic to symptomatic disease. We believe that CLAs could reasonably replace operative intervention in patients with asymptomatic cholelithiasis of the latter reason of operative indication, which includes gallstones over 2 cm in diameter and calculi under 3 mm, as well as patent cystic ducts in patients with a life expectancy of more than 20 years</w:t>
      </w:r>
      <w:r w:rsidRPr="0050120B">
        <w:rPr>
          <w:rFonts w:ascii="Book Antiqua" w:hAnsi="Book Antiqua" w:cs="Times New Roman"/>
          <w:color w:val="000000" w:themeColor="text1"/>
          <w:sz w:val="24"/>
          <w:szCs w:val="24"/>
          <w:vertAlign w:val="superscript"/>
        </w:rPr>
        <w:t>[2]</w:t>
      </w:r>
      <w:r w:rsidRPr="0050120B">
        <w:rPr>
          <w:rFonts w:ascii="Book Antiqua" w:hAnsi="Book Antiqua" w:cs="Times New Roman"/>
          <w:color w:val="000000" w:themeColor="text1"/>
          <w:sz w:val="24"/>
          <w:szCs w:val="24"/>
        </w:rPr>
        <w:t xml:space="preserve">. </w:t>
      </w:r>
    </w:p>
    <w:p w14:paraId="380FB4A6" w14:textId="6F23C644" w:rsidR="003565F9" w:rsidRPr="0050120B" w:rsidRDefault="003565F9" w:rsidP="00DD0331">
      <w:pPr>
        <w:widowControl/>
        <w:wordWrap/>
        <w:autoSpaceDE/>
        <w:autoSpaceDN/>
        <w:spacing w:after="0" w:line="360" w:lineRule="auto"/>
        <w:ind w:firstLineChars="100" w:firstLine="240"/>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In developed countries, most gallstones predominantly consist of cholesterol (&gt;</w:t>
      </w:r>
      <w:r w:rsidR="00DD0331">
        <w:rPr>
          <w:rFonts w:ascii="Book Antiqua" w:hAnsi="Book Antiqua" w:cs="Times New Roman"/>
          <w:color w:val="000000" w:themeColor="text1"/>
          <w:sz w:val="24"/>
          <w:szCs w:val="24"/>
        </w:rPr>
        <w:t xml:space="preserve"> </w:t>
      </w:r>
      <w:r w:rsidRPr="0050120B">
        <w:rPr>
          <w:rFonts w:ascii="Book Antiqua" w:hAnsi="Book Antiqua" w:cs="Times New Roman"/>
          <w:color w:val="000000" w:themeColor="text1"/>
          <w:sz w:val="24"/>
          <w:szCs w:val="24"/>
        </w:rPr>
        <w:t>85%)</w:t>
      </w:r>
      <w:r w:rsidRPr="0050120B">
        <w:rPr>
          <w:rFonts w:ascii="Book Antiqua" w:hAnsi="Book Antiqua" w:cs="Times New Roman"/>
          <w:noProof/>
          <w:color w:val="000000" w:themeColor="text1"/>
          <w:sz w:val="24"/>
          <w:szCs w:val="24"/>
          <w:vertAlign w:val="superscript"/>
        </w:rPr>
        <w:t>[25,26]</w:t>
      </w:r>
      <w:r w:rsidRPr="0050120B">
        <w:rPr>
          <w:rFonts w:ascii="Book Antiqua" w:hAnsi="Book Antiqua" w:cs="Times New Roman"/>
          <w:color w:val="000000" w:themeColor="text1"/>
          <w:sz w:val="24"/>
          <w:szCs w:val="24"/>
        </w:rPr>
        <w:t xml:space="preserve">. Fundamentally, MTBE and TAEE are solvents for cholesterol gallstones, not for pigmented gallstones. However, we found enhanced disssolubility of TAEE for mixed and pigmented gallstones. In our </w:t>
      </w:r>
      <w:r w:rsidRPr="0050120B">
        <w:rPr>
          <w:rFonts w:ascii="Book Antiqua" w:hAnsi="Book Antiqua" w:cs="Times New Roman"/>
          <w:i/>
          <w:color w:val="000000" w:themeColor="text1"/>
          <w:sz w:val="24"/>
          <w:szCs w:val="24"/>
        </w:rPr>
        <w:t>in vitro</w:t>
      </w:r>
      <w:r w:rsidRPr="0050120B">
        <w:rPr>
          <w:rFonts w:ascii="Book Antiqua" w:hAnsi="Book Antiqua" w:cs="Times New Roman"/>
          <w:color w:val="000000" w:themeColor="text1"/>
          <w:sz w:val="24"/>
          <w:szCs w:val="24"/>
        </w:rPr>
        <w:t xml:space="preserve"> study, whereas MTBE showed 61.0%, 39.0%, and 28.2% 24 h-dissolubility, TAEE showed 76.7%, 56.5%, and 38.7% 24 h-dissolubility for cholesterol, mixed, and pigmented gallstones, respectively. Moreover, in the </w:t>
      </w:r>
      <w:r w:rsidRPr="0050120B">
        <w:rPr>
          <w:rFonts w:ascii="Book Antiqua" w:hAnsi="Book Antiqua" w:cs="Times New Roman"/>
          <w:i/>
          <w:color w:val="000000" w:themeColor="text1"/>
          <w:sz w:val="24"/>
          <w:szCs w:val="24"/>
        </w:rPr>
        <w:t>in vivo</w:t>
      </w:r>
      <w:r w:rsidRPr="0050120B">
        <w:rPr>
          <w:rFonts w:ascii="Book Antiqua" w:hAnsi="Book Antiqua" w:cs="Times New Roman"/>
          <w:color w:val="000000" w:themeColor="text1"/>
          <w:sz w:val="24"/>
          <w:szCs w:val="24"/>
        </w:rPr>
        <w:t xml:space="preserve"> study, MTBE showed 50.0% and 32.0% 24 h-dissolubility, whereas TAEE showed 71.7% and 63.0% 24 h-dissolubility for cholesterol and pigmented gallstones, respectively. As TAEE preferably dissolves cholesterol gallstones, it is important to determine whether a patient has cholesterol-rich gallstones or not before carrying out the procedure. Currently, there are numerous tools that aid in the selection of patients with cholesterol-rich gallstones. Radiological evaluations, including ultrasound and </w:t>
      </w:r>
      <w:bookmarkStart w:id="61" w:name="_Hlk7423448"/>
      <w:bookmarkStart w:id="62" w:name="OLE_LINK865"/>
      <w:r w:rsidR="00AE601A" w:rsidRPr="004267F2">
        <w:rPr>
          <w:rFonts w:ascii="Book Antiqua" w:hAnsi="Book Antiqua"/>
          <w:sz w:val="24"/>
          <w:szCs w:val="24"/>
        </w:rPr>
        <w:t>computed tomography</w:t>
      </w:r>
      <w:bookmarkEnd w:id="61"/>
      <w:bookmarkEnd w:id="62"/>
      <w:r w:rsidR="00AE601A" w:rsidRPr="00444A77">
        <w:rPr>
          <w:rFonts w:ascii="Book Antiqua" w:hAnsi="Book Antiqua"/>
          <w:color w:val="000000"/>
          <w:sz w:val="24"/>
          <w:szCs w:val="24"/>
        </w:rPr>
        <w:t xml:space="preserve"> </w:t>
      </w:r>
      <w:r w:rsidRPr="0050120B">
        <w:rPr>
          <w:rFonts w:ascii="Book Antiqua" w:hAnsi="Book Antiqua" w:cs="Times New Roman"/>
          <w:color w:val="000000" w:themeColor="text1"/>
          <w:sz w:val="24"/>
          <w:szCs w:val="24"/>
        </w:rPr>
        <w:t>scans, can raise the predictive value of cholesterol gallstones up to 80%</w:t>
      </w:r>
      <w:r w:rsidRPr="0050120B">
        <w:rPr>
          <w:rFonts w:ascii="Book Antiqua" w:hAnsi="Book Antiqua" w:cs="Times New Roman"/>
          <w:noProof/>
          <w:color w:val="000000" w:themeColor="text1"/>
          <w:sz w:val="24"/>
          <w:szCs w:val="24"/>
          <w:vertAlign w:val="superscript"/>
        </w:rPr>
        <w:t>[27]</w:t>
      </w:r>
      <w:r w:rsidRPr="0050120B">
        <w:rPr>
          <w:rFonts w:ascii="Book Antiqua" w:hAnsi="Book Antiqua" w:cs="Times New Roman"/>
          <w:color w:val="000000" w:themeColor="text1"/>
          <w:sz w:val="24"/>
          <w:szCs w:val="24"/>
        </w:rPr>
        <w:t>. The predictability could also be enhanced by analyzing patient characteristics and epidemiology, such as gender, ethnicity, and body mass index</w:t>
      </w:r>
      <w:r w:rsidRPr="0050120B">
        <w:rPr>
          <w:rFonts w:ascii="Book Antiqua" w:hAnsi="Book Antiqua" w:cs="Times New Roman"/>
          <w:noProof/>
          <w:color w:val="000000" w:themeColor="text1"/>
          <w:sz w:val="24"/>
          <w:szCs w:val="24"/>
          <w:vertAlign w:val="superscript"/>
        </w:rPr>
        <w:t>[28]</w:t>
      </w:r>
      <w:r w:rsidRPr="0050120B">
        <w:rPr>
          <w:rFonts w:ascii="Book Antiqua" w:hAnsi="Book Antiqua" w:cs="Times New Roman"/>
          <w:color w:val="000000" w:themeColor="text1"/>
          <w:sz w:val="24"/>
          <w:szCs w:val="24"/>
        </w:rPr>
        <w:t xml:space="preserve">. </w:t>
      </w:r>
    </w:p>
    <w:p w14:paraId="4D920CAF" w14:textId="70A0F4B6" w:rsidR="003565F9" w:rsidRPr="0050120B" w:rsidRDefault="003565F9" w:rsidP="00AE601A">
      <w:pPr>
        <w:widowControl/>
        <w:wordWrap/>
        <w:autoSpaceDE/>
        <w:autoSpaceDN/>
        <w:spacing w:after="0" w:line="360" w:lineRule="auto"/>
        <w:ind w:firstLineChars="100" w:firstLine="240"/>
        <w:rPr>
          <w:rFonts w:ascii="Book Antiqua" w:hAnsi="Book Antiqua" w:cs="Times New Roman"/>
          <w:color w:val="000000" w:themeColor="text1"/>
          <w:sz w:val="24"/>
          <w:szCs w:val="24"/>
        </w:rPr>
      </w:pPr>
      <w:bookmarkStart w:id="63" w:name="_Hlk488999428"/>
      <w:bookmarkStart w:id="64" w:name="_Hlk488988423"/>
      <w:r w:rsidRPr="0050120B">
        <w:rPr>
          <w:rFonts w:ascii="Book Antiqua" w:hAnsi="Book Antiqua" w:cs="Times New Roman"/>
          <w:color w:val="000000" w:themeColor="text1"/>
          <w:sz w:val="24"/>
          <w:szCs w:val="24"/>
        </w:rPr>
        <w:lastRenderedPageBreak/>
        <w:t>Although its efficacy and safety have been established, we believe that laparoscopic cholecystectomy should be the last option for the treatment of patients with cholelithiasis. All patients undergoing laparoscopic cholecystectomy should be aware of the morbidity and mortality, albeit minimal, associated with the procedure and the use of general anesthesia. Despite improvements in the laparoscopic skills of surgeons, bile duct injuries are more prevalent than injuries following an open cholecystectomy, with a reported incidence of up to 0.6% for laparoscopic surgery compared to 0.1% for an open cholecystectomy</w:t>
      </w:r>
      <w:r w:rsidRPr="0050120B">
        <w:rPr>
          <w:rFonts w:ascii="Book Antiqua" w:hAnsi="Book Antiqua" w:cs="Times New Roman"/>
          <w:noProof/>
          <w:color w:val="000000" w:themeColor="text1"/>
          <w:sz w:val="24"/>
          <w:szCs w:val="24"/>
          <w:vertAlign w:val="superscript"/>
        </w:rPr>
        <w:t>[29-32]</w:t>
      </w:r>
      <w:r w:rsidRPr="0050120B">
        <w:rPr>
          <w:rFonts w:ascii="Book Antiqua" w:hAnsi="Book Antiqua" w:cs="Times New Roman"/>
          <w:color w:val="000000" w:themeColor="text1"/>
          <w:sz w:val="24"/>
          <w:szCs w:val="24"/>
        </w:rPr>
        <w:t>. Moreover, a functioning gallbladder should be preserved as much as possible, as the gallbladder has crucial functions, including as a reservoir for stored bile and for the coordinated release of bile in the small intestine</w:t>
      </w:r>
      <w:r w:rsidRPr="0050120B">
        <w:rPr>
          <w:rFonts w:ascii="Book Antiqua" w:hAnsi="Book Antiqua" w:cs="Times New Roman"/>
          <w:noProof/>
          <w:color w:val="000000" w:themeColor="text1"/>
          <w:sz w:val="24"/>
          <w:szCs w:val="24"/>
          <w:vertAlign w:val="superscript"/>
        </w:rPr>
        <w:t>[33]</w:t>
      </w:r>
      <w:r w:rsidRPr="0050120B">
        <w:rPr>
          <w:rFonts w:ascii="Book Antiqua" w:hAnsi="Book Antiqua" w:cs="Times New Roman"/>
          <w:color w:val="000000" w:themeColor="text1"/>
          <w:sz w:val="24"/>
          <w:szCs w:val="24"/>
        </w:rPr>
        <w:t xml:space="preserve">. </w:t>
      </w:r>
      <w:bookmarkStart w:id="65" w:name="_Hlk488232577"/>
      <w:bookmarkStart w:id="66" w:name="_Hlk488987821"/>
      <w:r w:rsidRPr="0050120B">
        <w:rPr>
          <w:rFonts w:ascii="Book Antiqua" w:hAnsi="Book Antiqua" w:cs="Times New Roman"/>
          <w:color w:val="000000" w:themeColor="text1"/>
          <w:sz w:val="24"/>
          <w:szCs w:val="24"/>
        </w:rPr>
        <w:t>Finally, several epidemiological studies and meta-analyses have found that a cholecystectomy may be a risk factor for gastrointestinal cancer</w:t>
      </w:r>
      <w:r w:rsidRPr="0050120B">
        <w:rPr>
          <w:rFonts w:ascii="Book Antiqua" w:hAnsi="Book Antiqua" w:cs="Times New Roman"/>
          <w:noProof/>
          <w:color w:val="000000" w:themeColor="text1"/>
          <w:sz w:val="24"/>
          <w:szCs w:val="24"/>
          <w:vertAlign w:val="superscript"/>
        </w:rPr>
        <w:t>[34-38]</w:t>
      </w:r>
      <w:r w:rsidRPr="0050120B">
        <w:rPr>
          <w:rFonts w:ascii="Book Antiqua" w:hAnsi="Book Antiqua" w:cs="Times New Roman"/>
          <w:color w:val="000000" w:themeColor="text1"/>
          <w:sz w:val="24"/>
          <w:szCs w:val="24"/>
        </w:rPr>
        <w:t>. In a nationwide Taiwanese cohort study comparing 15545 patients undergoing cholecystectomy with 62180 frequency-matched non-cholelithiasis patients, the hazard ratio for developing stomach and colorectal cancer was 1.81-fold and 1.56-fold higher in patients undergoing cholecystectomy, respectively</w:t>
      </w:r>
      <w:r w:rsidRPr="0050120B">
        <w:rPr>
          <w:rFonts w:ascii="Book Antiqua" w:hAnsi="Book Antiqua" w:cs="Times New Roman"/>
          <w:noProof/>
          <w:color w:val="000000" w:themeColor="text1"/>
          <w:sz w:val="24"/>
          <w:szCs w:val="24"/>
          <w:vertAlign w:val="superscript"/>
        </w:rPr>
        <w:t>[39]</w:t>
      </w:r>
      <w:r w:rsidRPr="0050120B">
        <w:rPr>
          <w:rFonts w:ascii="Book Antiqua" w:hAnsi="Book Antiqua" w:cs="Times New Roman"/>
          <w:color w:val="000000" w:themeColor="text1"/>
          <w:sz w:val="24"/>
          <w:szCs w:val="24"/>
        </w:rPr>
        <w:t>. Bile salts can act as carcinogens after persistent exposure due to the mechanisms of upregulation of reactive oxygen species, the stimulation of apoptosis, the induction of DNA damage, and resulting mutations</w:t>
      </w:r>
      <w:r w:rsidRPr="0050120B">
        <w:rPr>
          <w:rFonts w:ascii="Book Antiqua" w:hAnsi="Book Antiqua" w:cs="Times New Roman"/>
          <w:noProof/>
          <w:color w:val="000000" w:themeColor="text1"/>
          <w:sz w:val="24"/>
          <w:szCs w:val="24"/>
          <w:vertAlign w:val="superscript"/>
        </w:rPr>
        <w:t>[34]</w:t>
      </w:r>
      <w:r w:rsidRPr="0050120B">
        <w:rPr>
          <w:rFonts w:ascii="Book Antiqua" w:hAnsi="Book Antiqua" w:cs="Times New Roman"/>
          <w:color w:val="000000" w:themeColor="text1"/>
          <w:sz w:val="24"/>
          <w:szCs w:val="24"/>
        </w:rPr>
        <w:t>. After a cholecystectomy, the cells in the gastrointestinal tract have a higher probability of exposure to the deleterious effects of bile acids due to contact with the continuous secretion of biliary fluids, which can transform these cells into malignant cells</w:t>
      </w:r>
      <w:r w:rsidRPr="0050120B">
        <w:rPr>
          <w:rFonts w:ascii="Book Antiqua" w:hAnsi="Book Antiqua" w:cs="Times New Roman"/>
          <w:noProof/>
          <w:color w:val="000000" w:themeColor="text1"/>
          <w:sz w:val="24"/>
          <w:szCs w:val="24"/>
          <w:vertAlign w:val="superscript"/>
        </w:rPr>
        <w:t>[35,36,38,40,41]</w:t>
      </w:r>
      <w:r w:rsidRPr="0050120B">
        <w:rPr>
          <w:rFonts w:ascii="Book Antiqua" w:hAnsi="Book Antiqua" w:cs="Times New Roman"/>
          <w:color w:val="000000" w:themeColor="text1"/>
          <w:sz w:val="24"/>
          <w:szCs w:val="24"/>
        </w:rPr>
        <w:t xml:space="preserve">. </w:t>
      </w:r>
      <w:bookmarkEnd w:id="65"/>
      <w:bookmarkEnd w:id="66"/>
      <w:r w:rsidRPr="0050120B">
        <w:rPr>
          <w:rFonts w:ascii="Book Antiqua" w:hAnsi="Book Antiqua" w:cs="Times New Roman"/>
          <w:color w:val="000000" w:themeColor="text1"/>
          <w:sz w:val="24"/>
          <w:szCs w:val="24"/>
        </w:rPr>
        <w:t xml:space="preserve">Therefore, CLAs are worthwhile treatment to consider as a means of preserving gallbladder function as much as possible. </w:t>
      </w:r>
    </w:p>
    <w:bookmarkEnd w:id="63"/>
    <w:bookmarkEnd w:id="64"/>
    <w:p w14:paraId="76FD813E" w14:textId="75EC87A3" w:rsidR="003565F9" w:rsidRPr="0050120B" w:rsidRDefault="003565F9" w:rsidP="00AE601A">
      <w:pPr>
        <w:widowControl/>
        <w:wordWrap/>
        <w:autoSpaceDE/>
        <w:autoSpaceDN/>
        <w:spacing w:after="0" w:line="360" w:lineRule="auto"/>
        <w:ind w:firstLineChars="100" w:firstLine="252"/>
        <w:rPr>
          <w:rFonts w:ascii="Book Antiqua" w:eastAsia="Arial Unicode MS" w:hAnsi="Book Antiqua" w:cs="Times New Roman"/>
          <w:color w:val="000000" w:themeColor="text1"/>
          <w:sz w:val="24"/>
          <w:szCs w:val="24"/>
        </w:rPr>
      </w:pPr>
      <w:r w:rsidRPr="0050120B">
        <w:rPr>
          <w:rFonts w:ascii="Book Antiqua" w:eastAsia="Arial Unicode MS" w:hAnsi="Book Antiqua" w:cs="Times New Roman"/>
          <w:color w:val="000000" w:themeColor="text1"/>
          <w:sz w:val="24"/>
          <w:szCs w:val="24"/>
        </w:rPr>
        <w:t>One of the limitations of CLAs is their inability to completely remove all the components of gallstones. A considerable proportion of the remaining debris, composed of calcium carbonate and bilirubinate, is insoluble to most CLAs</w:t>
      </w:r>
      <w:r w:rsidRPr="0050120B">
        <w:rPr>
          <w:rFonts w:ascii="Book Antiqua" w:eastAsia="Arial Unicode MS" w:hAnsi="Book Antiqua" w:cs="Times New Roman"/>
          <w:color w:val="000000" w:themeColor="text1"/>
          <w:sz w:val="24"/>
          <w:szCs w:val="24"/>
          <w:vertAlign w:val="superscript"/>
        </w:rPr>
        <w:t>[4]</w:t>
      </w:r>
      <w:r w:rsidRPr="0050120B">
        <w:rPr>
          <w:rFonts w:ascii="Book Antiqua" w:eastAsia="Arial Unicode MS" w:hAnsi="Book Antiqua" w:cs="Times New Roman"/>
          <w:color w:val="000000" w:themeColor="text1"/>
          <w:sz w:val="24"/>
          <w:szCs w:val="24"/>
        </w:rPr>
        <w:t>. Most of the debris do not usually cause any complications, as they readily pass through the bile ducts. However, debris larger than 3-4 mm can cause problems, and may act as a nidus for cholesterol recrystallization and gallstone formation</w:t>
      </w:r>
      <w:r w:rsidRPr="0050120B">
        <w:rPr>
          <w:rFonts w:ascii="Book Antiqua" w:eastAsia="Arial Unicode MS" w:hAnsi="Book Antiqua" w:cs="Times New Roman"/>
          <w:color w:val="000000" w:themeColor="text1"/>
          <w:sz w:val="24"/>
          <w:szCs w:val="24"/>
          <w:vertAlign w:val="superscript"/>
        </w:rPr>
        <w:t>[4]</w:t>
      </w:r>
      <w:r w:rsidRPr="0050120B">
        <w:rPr>
          <w:rFonts w:ascii="Book Antiqua" w:eastAsia="Arial Unicode MS" w:hAnsi="Book Antiqua" w:cs="Times New Roman"/>
          <w:color w:val="000000" w:themeColor="text1"/>
          <w:sz w:val="24"/>
          <w:szCs w:val="24"/>
        </w:rPr>
        <w:t xml:space="preserve">. This is thought to be the reason why there is the high rate of stone recurrence after successful gallstone </w:t>
      </w:r>
      <w:r w:rsidRPr="0050120B">
        <w:rPr>
          <w:rFonts w:ascii="Book Antiqua" w:eastAsia="Arial Unicode MS" w:hAnsi="Book Antiqua" w:cs="Times New Roman"/>
          <w:color w:val="000000" w:themeColor="text1"/>
          <w:sz w:val="24"/>
          <w:szCs w:val="24"/>
        </w:rPr>
        <w:lastRenderedPageBreak/>
        <w:t>dissolution by CLAs, which can be as high as 30</w:t>
      </w:r>
      <w:r w:rsidR="00AE601A">
        <w:rPr>
          <w:rFonts w:ascii="Book Antiqua" w:eastAsia="Arial Unicode MS" w:hAnsi="Book Antiqua" w:cs="Times New Roman"/>
          <w:color w:val="000000" w:themeColor="text1"/>
          <w:sz w:val="24"/>
          <w:szCs w:val="24"/>
        </w:rPr>
        <w:t>%</w:t>
      </w:r>
      <w:r w:rsidRPr="0050120B">
        <w:rPr>
          <w:rFonts w:ascii="Book Antiqua" w:eastAsia="Arial Unicode MS" w:hAnsi="Book Antiqua" w:cs="Times New Roman"/>
          <w:color w:val="000000" w:themeColor="text1"/>
          <w:sz w:val="24"/>
          <w:szCs w:val="24"/>
        </w:rPr>
        <w:t>-50% in the 5 years after treatment</w:t>
      </w:r>
      <w:r w:rsidRPr="0050120B">
        <w:rPr>
          <w:rFonts w:ascii="Book Antiqua" w:eastAsia="Arial Unicode MS" w:hAnsi="Book Antiqua" w:cs="Times New Roman"/>
          <w:noProof/>
          <w:color w:val="000000" w:themeColor="text1"/>
          <w:sz w:val="24"/>
          <w:szCs w:val="24"/>
          <w:vertAlign w:val="superscript"/>
        </w:rPr>
        <w:t>[42]</w:t>
      </w:r>
      <w:r w:rsidRPr="0050120B">
        <w:rPr>
          <w:rFonts w:ascii="Book Antiqua" w:eastAsia="Arial Unicode MS" w:hAnsi="Book Antiqua" w:cs="Times New Roman"/>
          <w:color w:val="000000" w:themeColor="text1"/>
          <w:sz w:val="24"/>
          <w:szCs w:val="24"/>
        </w:rPr>
        <w:t>. To prevent stone recurrence, Edison et al. have recommended the use of adjuvant oral bile acid therapy after successful litholysis by CLAs</w:t>
      </w:r>
      <w:r w:rsidRPr="0050120B">
        <w:rPr>
          <w:rFonts w:ascii="Book Antiqua" w:eastAsia="Arial Unicode MS" w:hAnsi="Book Antiqua" w:cs="Times New Roman"/>
          <w:color w:val="000000" w:themeColor="text1"/>
          <w:sz w:val="24"/>
          <w:szCs w:val="24"/>
          <w:vertAlign w:val="superscript"/>
        </w:rPr>
        <w:t>[4]</w:t>
      </w:r>
      <w:r w:rsidRPr="0050120B">
        <w:rPr>
          <w:rFonts w:ascii="Book Antiqua" w:eastAsia="Arial Unicode MS" w:hAnsi="Book Antiqua" w:cs="Times New Roman"/>
          <w:color w:val="000000" w:themeColor="text1"/>
          <w:sz w:val="24"/>
          <w:szCs w:val="24"/>
        </w:rPr>
        <w:t xml:space="preserve">. The preservation of gallbladder function should be confirmed prior to chemolitholysis, as impaired gallbladder contractability predisposes the patient to stone recurrence after chemolitholysis. </w:t>
      </w:r>
    </w:p>
    <w:p w14:paraId="76542866" w14:textId="77777777" w:rsidR="003565F9" w:rsidRPr="0050120B" w:rsidRDefault="003565F9" w:rsidP="00AE601A">
      <w:pPr>
        <w:widowControl/>
        <w:wordWrap/>
        <w:autoSpaceDE/>
        <w:autoSpaceDN/>
        <w:spacing w:after="0" w:line="360" w:lineRule="auto"/>
        <w:ind w:firstLineChars="100" w:firstLine="240"/>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 xml:space="preserve">In conclusion, our </w:t>
      </w:r>
      <w:r w:rsidRPr="0050120B">
        <w:rPr>
          <w:rFonts w:ascii="Book Antiqua" w:hAnsi="Book Antiqua" w:cs="Times New Roman"/>
          <w:i/>
          <w:color w:val="000000" w:themeColor="text1"/>
          <w:sz w:val="24"/>
          <w:szCs w:val="24"/>
        </w:rPr>
        <w:t>in vitro</w:t>
      </w:r>
      <w:r w:rsidRPr="0050120B">
        <w:rPr>
          <w:rFonts w:ascii="Book Antiqua" w:hAnsi="Book Antiqua" w:cs="Times New Roman"/>
          <w:color w:val="000000" w:themeColor="text1"/>
          <w:sz w:val="24"/>
          <w:szCs w:val="24"/>
        </w:rPr>
        <w:t xml:space="preserve"> and </w:t>
      </w:r>
      <w:r w:rsidRPr="0050120B">
        <w:rPr>
          <w:rFonts w:ascii="Book Antiqua" w:hAnsi="Book Antiqua" w:cs="Times New Roman"/>
          <w:i/>
          <w:color w:val="000000" w:themeColor="text1"/>
          <w:sz w:val="24"/>
          <w:szCs w:val="24"/>
        </w:rPr>
        <w:t>in vivo</w:t>
      </w:r>
      <w:r w:rsidRPr="0050120B">
        <w:rPr>
          <w:rFonts w:ascii="Book Antiqua" w:hAnsi="Book Antiqua" w:cs="Times New Roman"/>
          <w:color w:val="000000" w:themeColor="text1"/>
          <w:sz w:val="24"/>
          <w:szCs w:val="24"/>
        </w:rPr>
        <w:t xml:space="preserve"> experiments consistently indicated that TAEE, the derivative of MTBE, causes a similar or higher dissolubility of gallstones as that caused by MTBE. Specifically, in the </w:t>
      </w:r>
      <w:r w:rsidRPr="0050120B">
        <w:rPr>
          <w:rFonts w:ascii="Book Antiqua" w:hAnsi="Book Antiqua" w:cs="Times New Roman"/>
          <w:i/>
          <w:color w:val="000000" w:themeColor="text1"/>
          <w:sz w:val="24"/>
          <w:szCs w:val="24"/>
        </w:rPr>
        <w:t>in vitro</w:t>
      </w:r>
      <w:r w:rsidRPr="0050120B">
        <w:rPr>
          <w:rFonts w:ascii="Book Antiqua" w:hAnsi="Book Antiqua" w:cs="Times New Roman"/>
          <w:color w:val="000000" w:themeColor="text1"/>
          <w:sz w:val="24"/>
          <w:szCs w:val="24"/>
        </w:rPr>
        <w:t xml:space="preserve"> experiment, TAEE showed a 1.2-, 1.4-, and 1.3-fold increase in dissolubility for the cholesterol, mixed, and pigmented gallstones, respectively, compared to that of MTBE. In the </w:t>
      </w:r>
      <w:r w:rsidRPr="0050120B">
        <w:rPr>
          <w:rFonts w:ascii="Book Antiqua" w:hAnsi="Book Antiqua" w:cs="Times New Roman"/>
          <w:i/>
          <w:color w:val="000000" w:themeColor="text1"/>
          <w:sz w:val="24"/>
          <w:szCs w:val="24"/>
        </w:rPr>
        <w:t>in vivo</w:t>
      </w:r>
      <w:r w:rsidRPr="0050120B">
        <w:rPr>
          <w:rFonts w:ascii="Book Antiqua" w:hAnsi="Book Antiqua" w:cs="Times New Roman"/>
          <w:color w:val="000000" w:themeColor="text1"/>
          <w:sz w:val="24"/>
          <w:szCs w:val="24"/>
        </w:rPr>
        <w:t xml:space="preserve"> experiment, TAEE showed a 1.4- and 1.9-fold increase in dissolubility for the cholesterol and pigmented gallstones, respectively, compared to that of MTBE. We also found that TAEE exhibited a toxicity similar to or lower than that of MTBE. TAEE has a comparatively lower evaporation rate than MTBE, which is expected to significantly eliminate the MTBE’s toxicities related with lower boiling point, such as nausea, vomiting, and somnolence. We, thus, conclude that TAEE could present an attractive alternative to MTBE if its efficacy and safety can be consistently reproduced in further subclinical and clinical studies.</w:t>
      </w:r>
    </w:p>
    <w:p w14:paraId="159EBB15" w14:textId="2C2EF75D" w:rsidR="003565F9" w:rsidRPr="0050120B" w:rsidRDefault="003565F9" w:rsidP="0075341C">
      <w:pPr>
        <w:widowControl/>
        <w:wordWrap/>
        <w:autoSpaceDE/>
        <w:autoSpaceDN/>
        <w:spacing w:after="0" w:line="360" w:lineRule="auto"/>
        <w:rPr>
          <w:rFonts w:ascii="Book Antiqua" w:eastAsia="Arial Unicode MS" w:hAnsi="Book Antiqua" w:cs="Times New Roman"/>
          <w:b/>
          <w:color w:val="000000" w:themeColor="text1"/>
          <w:sz w:val="24"/>
          <w:szCs w:val="24"/>
        </w:rPr>
      </w:pPr>
    </w:p>
    <w:p w14:paraId="4F8B355E" w14:textId="5A8787B1" w:rsidR="008B2A4B" w:rsidRPr="0050120B" w:rsidRDefault="008B2A4B" w:rsidP="0075341C">
      <w:pPr>
        <w:wordWrap/>
        <w:adjustRightInd w:val="0"/>
        <w:snapToGrid w:val="0"/>
        <w:spacing w:after="0" w:line="360" w:lineRule="auto"/>
        <w:rPr>
          <w:rFonts w:ascii="Book Antiqua" w:hAnsi="Book Antiqua"/>
          <w:b/>
          <w:color w:val="000000" w:themeColor="text1"/>
          <w:sz w:val="24"/>
          <w:szCs w:val="24"/>
          <w:lang w:eastAsia="zh-CN"/>
        </w:rPr>
      </w:pPr>
      <w:bookmarkStart w:id="67" w:name="OLE_LINK83"/>
      <w:bookmarkStart w:id="68" w:name="OLE_LINK86"/>
      <w:bookmarkStart w:id="69" w:name="_Hlk5627588"/>
      <w:bookmarkStart w:id="70" w:name="OLE_LINK899"/>
      <w:r w:rsidRPr="0050120B">
        <w:rPr>
          <w:rFonts w:ascii="Book Antiqua" w:hAnsi="Book Antiqua" w:cs="Garamond-Bold"/>
          <w:b/>
          <w:bCs/>
          <w:color w:val="000000" w:themeColor="text1"/>
          <w:sz w:val="24"/>
          <w:szCs w:val="24"/>
        </w:rPr>
        <w:t>ARTICLE HIGHLIGHTS</w:t>
      </w:r>
      <w:bookmarkEnd w:id="67"/>
      <w:bookmarkEnd w:id="68"/>
    </w:p>
    <w:bookmarkEnd w:id="69"/>
    <w:bookmarkEnd w:id="70"/>
    <w:p w14:paraId="3B3369E8" w14:textId="77777777" w:rsidR="007E2E1F" w:rsidRPr="0050120B" w:rsidRDefault="007E2E1F" w:rsidP="0075341C">
      <w:pPr>
        <w:widowControl/>
        <w:wordWrap/>
        <w:autoSpaceDE/>
        <w:autoSpaceDN/>
        <w:snapToGrid w:val="0"/>
        <w:spacing w:after="0" w:line="360" w:lineRule="auto"/>
        <w:rPr>
          <w:rFonts w:ascii="Book Antiqua" w:eastAsia="宋体" w:hAnsi="Book Antiqua" w:cs="Times New Roman"/>
          <w:b/>
          <w:i/>
          <w:color w:val="000000" w:themeColor="text1"/>
          <w:kern w:val="0"/>
          <w:sz w:val="24"/>
          <w:szCs w:val="24"/>
          <w:lang w:eastAsia="zh-CN"/>
        </w:rPr>
      </w:pPr>
      <w:r w:rsidRPr="0050120B">
        <w:rPr>
          <w:rFonts w:ascii="Book Antiqua" w:eastAsia="宋体" w:hAnsi="Book Antiqua" w:cs="Times New Roman"/>
          <w:b/>
          <w:i/>
          <w:color w:val="000000" w:themeColor="text1"/>
          <w:kern w:val="0"/>
          <w:sz w:val="24"/>
          <w:szCs w:val="24"/>
          <w:lang w:eastAsia="zh-CN"/>
        </w:rPr>
        <w:t>Research background</w:t>
      </w:r>
    </w:p>
    <w:p w14:paraId="3E72CD89" w14:textId="1E2BF73A" w:rsidR="007E2E1F" w:rsidRPr="0050120B" w:rsidRDefault="007E2E1F" w:rsidP="0075341C">
      <w:pPr>
        <w:widowControl/>
        <w:wordWrap/>
        <w:autoSpaceDE/>
        <w:autoSpaceDN/>
        <w:spacing w:after="0" w:line="360" w:lineRule="auto"/>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Methyl tert-butyl ether (MTBE) has been the first choice of contact litholytic angents ever since its introduction in 1985. However, the use of MTBE to dissolve gallstones was limited by concerns about toxicity and widespread awareness of the safety of laparoscopic gallbladder surgery. MTBE has a relatively low boiling point (55</w:t>
      </w:r>
      <w:r w:rsidR="001118DD">
        <w:rPr>
          <w:rFonts w:ascii="Book Antiqua" w:hAnsi="Book Antiqua" w:cs="Times New Roman"/>
          <w:color w:val="000000" w:themeColor="text1"/>
          <w:sz w:val="24"/>
          <w:szCs w:val="24"/>
        </w:rPr>
        <w:t xml:space="preserve"> </w:t>
      </w:r>
      <w:r w:rsidR="001118DD" w:rsidRPr="00FE4577">
        <w:rPr>
          <w:rFonts w:ascii="Book Antiqua" w:hAnsi="Book Antiqua"/>
          <w:sz w:val="24"/>
          <w:szCs w:val="24"/>
        </w:rPr>
        <w:t>°C</w:t>
      </w:r>
      <w:r w:rsidRPr="0050120B">
        <w:rPr>
          <w:rFonts w:ascii="Book Antiqua" w:hAnsi="Book Antiqua" w:cs="Times New Roman"/>
          <w:color w:val="000000" w:themeColor="text1"/>
          <w:sz w:val="24"/>
          <w:szCs w:val="24"/>
        </w:rPr>
        <w:t>) and a higher evaporation rate, which could lead to the development of various side effects, including nausea, upper abdominal pain, duodenitis, mild-to-moderate anesthesia, and hemolysis</w:t>
      </w:r>
    </w:p>
    <w:p w14:paraId="5543DBF5" w14:textId="77777777" w:rsidR="007E2E1F" w:rsidRPr="0050120B" w:rsidRDefault="007E2E1F" w:rsidP="0075341C">
      <w:pPr>
        <w:widowControl/>
        <w:wordWrap/>
        <w:autoSpaceDE/>
        <w:autoSpaceDN/>
        <w:snapToGrid w:val="0"/>
        <w:spacing w:after="0" w:line="360" w:lineRule="auto"/>
        <w:rPr>
          <w:rFonts w:ascii="Book Antiqua" w:hAnsi="Book Antiqua" w:cs="Times New Roman"/>
          <w:b/>
          <w:i/>
          <w:color w:val="000000" w:themeColor="text1"/>
          <w:kern w:val="0"/>
          <w:sz w:val="24"/>
          <w:szCs w:val="24"/>
        </w:rPr>
      </w:pPr>
    </w:p>
    <w:p w14:paraId="275A2205" w14:textId="77777777" w:rsidR="007E2E1F" w:rsidRPr="0050120B" w:rsidRDefault="007E2E1F" w:rsidP="0075341C">
      <w:pPr>
        <w:widowControl/>
        <w:wordWrap/>
        <w:autoSpaceDE/>
        <w:autoSpaceDN/>
        <w:snapToGrid w:val="0"/>
        <w:spacing w:after="0" w:line="360" w:lineRule="auto"/>
        <w:rPr>
          <w:rFonts w:ascii="Book Antiqua" w:eastAsia="宋体" w:hAnsi="Book Antiqua" w:cs="Times New Roman"/>
          <w:b/>
          <w:i/>
          <w:color w:val="000000" w:themeColor="text1"/>
          <w:kern w:val="0"/>
          <w:sz w:val="24"/>
          <w:szCs w:val="24"/>
          <w:lang w:eastAsia="zh-CN"/>
        </w:rPr>
      </w:pPr>
      <w:r w:rsidRPr="0050120B">
        <w:rPr>
          <w:rFonts w:ascii="Book Antiqua" w:eastAsia="宋体" w:hAnsi="Book Antiqua" w:cs="Times New Roman"/>
          <w:b/>
          <w:i/>
          <w:color w:val="000000" w:themeColor="text1"/>
          <w:kern w:val="0"/>
          <w:sz w:val="24"/>
          <w:szCs w:val="24"/>
          <w:lang w:eastAsia="zh-CN"/>
        </w:rPr>
        <w:t>Research motivation</w:t>
      </w:r>
    </w:p>
    <w:p w14:paraId="47D7CF64" w14:textId="36097A9C" w:rsidR="007E2E1F" w:rsidRPr="0050120B" w:rsidRDefault="007E2E1F" w:rsidP="0075341C">
      <w:pPr>
        <w:wordWrap/>
        <w:spacing w:after="0" w:line="360" w:lineRule="auto"/>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As westernized diets increase, cholelithiasis is increasing. 20</w:t>
      </w:r>
      <w:r w:rsidR="001118DD">
        <w:rPr>
          <w:rFonts w:ascii="Book Antiqua" w:hAnsi="Book Antiqua" w:cs="Times New Roman"/>
          <w:color w:val="000000" w:themeColor="text1"/>
          <w:sz w:val="24"/>
          <w:szCs w:val="24"/>
        </w:rPr>
        <w:t>%</w:t>
      </w:r>
      <w:r w:rsidRPr="0050120B">
        <w:rPr>
          <w:rFonts w:ascii="Book Antiqua" w:hAnsi="Book Antiqua" w:cs="Times New Roman"/>
          <w:color w:val="000000" w:themeColor="text1"/>
          <w:sz w:val="24"/>
          <w:szCs w:val="24"/>
        </w:rPr>
        <w:t xml:space="preserve">-30% of patients with asymptomatic gallstones eventually progress to symptomatic gallstones requiring </w:t>
      </w:r>
      <w:r w:rsidRPr="0050120B">
        <w:rPr>
          <w:rFonts w:ascii="Book Antiqua" w:hAnsi="Book Antiqua" w:cs="Times New Roman"/>
          <w:color w:val="000000" w:themeColor="text1"/>
          <w:sz w:val="24"/>
          <w:szCs w:val="24"/>
        </w:rPr>
        <w:lastRenderedPageBreak/>
        <w:t xml:space="preserve">aggressive treatment. Although laparoscopic cholecystectomy is a safe and efficient treatment for symptomatic gallstones, the removal of the entire functioning gallbladder has an exaggerated aspect. These considerations have led us to perform this experiment. </w:t>
      </w:r>
    </w:p>
    <w:p w14:paraId="3D3C044C" w14:textId="77777777" w:rsidR="007E2E1F" w:rsidRPr="0050120B" w:rsidRDefault="007E2E1F" w:rsidP="0075341C">
      <w:pPr>
        <w:widowControl/>
        <w:wordWrap/>
        <w:autoSpaceDE/>
        <w:autoSpaceDN/>
        <w:snapToGrid w:val="0"/>
        <w:spacing w:after="0" w:line="360" w:lineRule="auto"/>
        <w:rPr>
          <w:rFonts w:ascii="Book Antiqua" w:eastAsia="宋体" w:hAnsi="Book Antiqua" w:cs="Times New Roman"/>
          <w:b/>
          <w:color w:val="000000" w:themeColor="text1"/>
          <w:kern w:val="0"/>
          <w:sz w:val="24"/>
          <w:szCs w:val="24"/>
          <w:lang w:eastAsia="zh-CN"/>
        </w:rPr>
      </w:pPr>
    </w:p>
    <w:p w14:paraId="427DB0B3" w14:textId="77777777" w:rsidR="007E2E1F" w:rsidRPr="0050120B" w:rsidRDefault="007E2E1F" w:rsidP="0075341C">
      <w:pPr>
        <w:widowControl/>
        <w:wordWrap/>
        <w:autoSpaceDE/>
        <w:autoSpaceDN/>
        <w:snapToGrid w:val="0"/>
        <w:spacing w:after="0" w:line="360" w:lineRule="auto"/>
        <w:rPr>
          <w:rFonts w:ascii="Book Antiqua" w:eastAsia="宋体" w:hAnsi="Book Antiqua" w:cs="Times New Roman"/>
          <w:b/>
          <w:i/>
          <w:color w:val="000000" w:themeColor="text1"/>
          <w:kern w:val="0"/>
          <w:sz w:val="24"/>
          <w:szCs w:val="24"/>
          <w:lang w:eastAsia="zh-CN"/>
        </w:rPr>
      </w:pPr>
      <w:r w:rsidRPr="0050120B">
        <w:rPr>
          <w:rFonts w:ascii="Book Antiqua" w:eastAsia="宋体" w:hAnsi="Book Antiqua" w:cs="Times New Roman"/>
          <w:b/>
          <w:i/>
          <w:color w:val="000000" w:themeColor="text1"/>
          <w:kern w:val="0"/>
          <w:sz w:val="24"/>
          <w:szCs w:val="24"/>
          <w:lang w:eastAsia="zh-CN"/>
        </w:rPr>
        <w:t>Research objectives</w:t>
      </w:r>
    </w:p>
    <w:p w14:paraId="6AF09BBD" w14:textId="77777777" w:rsidR="007E2E1F" w:rsidRPr="0050120B" w:rsidRDefault="007E2E1F" w:rsidP="0075341C">
      <w:pPr>
        <w:wordWrap/>
        <w:spacing w:after="0" w:line="360" w:lineRule="auto"/>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 xml:space="preserve">We performed this experiment to determine whether tert-amyl ethyl ether (TAEE), an MTBE analogue with a relatively higher boiling point (102 °C), could be used as an alternative to MTBE in terms of gallstone dissolubility and toxicity. </w:t>
      </w:r>
    </w:p>
    <w:p w14:paraId="2B93A443" w14:textId="77777777" w:rsidR="007E2E1F" w:rsidRPr="0050120B" w:rsidRDefault="007E2E1F" w:rsidP="0075341C">
      <w:pPr>
        <w:wordWrap/>
        <w:spacing w:after="0" w:line="360" w:lineRule="auto"/>
        <w:rPr>
          <w:rFonts w:ascii="Book Antiqua" w:hAnsi="Book Antiqua" w:cs="Times New Roman"/>
          <w:color w:val="000000" w:themeColor="text1"/>
          <w:sz w:val="24"/>
          <w:szCs w:val="24"/>
        </w:rPr>
      </w:pPr>
    </w:p>
    <w:p w14:paraId="5A1168E4" w14:textId="77777777" w:rsidR="007E2E1F" w:rsidRPr="0050120B" w:rsidRDefault="007E2E1F" w:rsidP="0075341C">
      <w:pPr>
        <w:widowControl/>
        <w:wordWrap/>
        <w:autoSpaceDE/>
        <w:autoSpaceDN/>
        <w:snapToGrid w:val="0"/>
        <w:spacing w:after="0" w:line="360" w:lineRule="auto"/>
        <w:rPr>
          <w:rFonts w:ascii="Book Antiqua" w:eastAsia="宋体" w:hAnsi="Book Antiqua" w:cs="Times New Roman"/>
          <w:b/>
          <w:i/>
          <w:color w:val="000000" w:themeColor="text1"/>
          <w:kern w:val="0"/>
          <w:sz w:val="24"/>
          <w:szCs w:val="24"/>
          <w:lang w:eastAsia="zh-CN"/>
        </w:rPr>
      </w:pPr>
      <w:r w:rsidRPr="0050120B">
        <w:rPr>
          <w:rFonts w:ascii="Book Antiqua" w:eastAsia="宋体" w:hAnsi="Book Antiqua" w:cs="Times New Roman"/>
          <w:b/>
          <w:i/>
          <w:color w:val="000000" w:themeColor="text1"/>
          <w:kern w:val="0"/>
          <w:sz w:val="24"/>
          <w:szCs w:val="24"/>
          <w:lang w:eastAsia="zh-CN"/>
        </w:rPr>
        <w:t>Research methods</w:t>
      </w:r>
    </w:p>
    <w:p w14:paraId="68F1E8C3" w14:textId="77777777" w:rsidR="007E2E1F" w:rsidRPr="0050120B" w:rsidRDefault="007E2E1F" w:rsidP="0075341C">
      <w:pPr>
        <w:widowControl/>
        <w:wordWrap/>
        <w:autoSpaceDE/>
        <w:autoSpaceDN/>
        <w:spacing w:after="0" w:line="360" w:lineRule="auto"/>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 xml:space="preserve">To determine the dissolubility of TAEE, we compared the dissolubility of TAEE and MTBE in both </w:t>
      </w:r>
      <w:r w:rsidRPr="0050120B">
        <w:rPr>
          <w:rFonts w:ascii="Book Antiqua" w:hAnsi="Book Antiqua" w:cs="Times New Roman"/>
          <w:i/>
          <w:color w:val="000000" w:themeColor="text1"/>
          <w:sz w:val="24"/>
          <w:szCs w:val="24"/>
        </w:rPr>
        <w:t>in vitro</w:t>
      </w:r>
      <w:r w:rsidRPr="0050120B">
        <w:rPr>
          <w:rFonts w:ascii="Book Antiqua" w:hAnsi="Book Antiqua" w:cs="Times New Roman"/>
          <w:color w:val="000000" w:themeColor="text1"/>
          <w:sz w:val="24"/>
          <w:szCs w:val="24"/>
        </w:rPr>
        <w:t xml:space="preserve"> and </w:t>
      </w:r>
      <w:r w:rsidRPr="0050120B">
        <w:rPr>
          <w:rFonts w:ascii="Book Antiqua" w:hAnsi="Book Antiqua" w:cs="Times New Roman"/>
          <w:i/>
          <w:color w:val="000000" w:themeColor="text1"/>
          <w:sz w:val="24"/>
          <w:szCs w:val="24"/>
        </w:rPr>
        <w:t>in vivo</w:t>
      </w:r>
      <w:r w:rsidRPr="0050120B">
        <w:rPr>
          <w:rFonts w:ascii="Book Antiqua" w:hAnsi="Book Antiqua" w:cs="Times New Roman"/>
          <w:color w:val="000000" w:themeColor="text1"/>
          <w:sz w:val="24"/>
          <w:szCs w:val="24"/>
        </w:rPr>
        <w:t xml:space="preserve"> dissolubility tests, using human gallstones and hamster models with gallstones, respectively. Specifically, the </w:t>
      </w:r>
      <w:r w:rsidRPr="0050120B">
        <w:rPr>
          <w:rFonts w:ascii="Book Antiqua" w:hAnsi="Book Antiqua" w:cs="Times New Roman"/>
          <w:i/>
          <w:color w:val="000000" w:themeColor="text1"/>
          <w:sz w:val="24"/>
          <w:szCs w:val="24"/>
        </w:rPr>
        <w:t>in vitro</w:t>
      </w:r>
      <w:r w:rsidRPr="0050120B">
        <w:rPr>
          <w:rFonts w:ascii="Book Antiqua" w:hAnsi="Book Antiqua" w:cs="Times New Roman"/>
          <w:color w:val="000000" w:themeColor="text1"/>
          <w:sz w:val="24"/>
          <w:szCs w:val="24"/>
        </w:rPr>
        <w:t xml:space="preserve"> dissolubility of each solvent was determined by measuring the dry weights of human gallstones at predetermined time intervals after placing them in glass containers with either of the two solvents. The </w:t>
      </w:r>
      <w:r w:rsidRPr="0050120B">
        <w:rPr>
          <w:rFonts w:ascii="Book Antiqua" w:hAnsi="Book Antiqua" w:cs="Times New Roman"/>
          <w:i/>
          <w:color w:val="000000" w:themeColor="text1"/>
          <w:sz w:val="24"/>
          <w:szCs w:val="24"/>
        </w:rPr>
        <w:t>in vivo</w:t>
      </w:r>
      <w:r w:rsidRPr="0050120B">
        <w:rPr>
          <w:rFonts w:ascii="Book Antiqua" w:hAnsi="Book Antiqua" w:cs="Times New Roman"/>
          <w:color w:val="000000" w:themeColor="text1"/>
          <w:sz w:val="24"/>
          <w:szCs w:val="24"/>
        </w:rPr>
        <w:t xml:space="preserve"> dissolubility was determined by comparing the weights of solvent-treated gallstones and control (</w:t>
      </w:r>
      <w:r w:rsidRPr="0050120B">
        <w:rPr>
          <w:rFonts w:ascii="Book Antiqua" w:eastAsia="Malgun Gothic" w:hAnsi="Book Antiqua" w:cs="Times New Roman"/>
          <w:color w:val="000000" w:themeColor="text1"/>
          <w:sz w:val="24"/>
          <w:szCs w:val="24"/>
        </w:rPr>
        <w:t>dimethyl sulfoxide</w:t>
      </w:r>
      <w:r w:rsidRPr="0050120B">
        <w:rPr>
          <w:rFonts w:ascii="Book Antiqua" w:hAnsi="Book Antiqua" w:cs="Times New Roman"/>
          <w:color w:val="000000" w:themeColor="text1"/>
          <w:sz w:val="24"/>
          <w:szCs w:val="24"/>
        </w:rPr>
        <w:t xml:space="preserve">)-treated gallstones, after the direct infusion of each solvent into the gallbladder of the hamsters with gallstones. </w:t>
      </w:r>
    </w:p>
    <w:p w14:paraId="237B7D4C" w14:textId="77777777" w:rsidR="007E2E1F" w:rsidRPr="0050120B" w:rsidRDefault="007E2E1F" w:rsidP="0075341C">
      <w:pPr>
        <w:widowControl/>
        <w:wordWrap/>
        <w:autoSpaceDE/>
        <w:autoSpaceDN/>
        <w:snapToGrid w:val="0"/>
        <w:spacing w:after="0" w:line="360" w:lineRule="auto"/>
        <w:rPr>
          <w:rFonts w:ascii="Book Antiqua" w:hAnsi="Book Antiqua" w:cs="Times New Roman"/>
          <w:color w:val="000000" w:themeColor="text1"/>
          <w:kern w:val="0"/>
          <w:sz w:val="24"/>
          <w:szCs w:val="24"/>
        </w:rPr>
      </w:pPr>
    </w:p>
    <w:p w14:paraId="54864EFA" w14:textId="77777777" w:rsidR="007E2E1F" w:rsidRPr="0050120B" w:rsidRDefault="007E2E1F" w:rsidP="0075341C">
      <w:pPr>
        <w:widowControl/>
        <w:wordWrap/>
        <w:autoSpaceDE/>
        <w:autoSpaceDN/>
        <w:snapToGrid w:val="0"/>
        <w:spacing w:after="0" w:line="360" w:lineRule="auto"/>
        <w:rPr>
          <w:rFonts w:ascii="Book Antiqua" w:eastAsia="宋体" w:hAnsi="Book Antiqua" w:cs="Times New Roman"/>
          <w:b/>
          <w:i/>
          <w:color w:val="000000" w:themeColor="text1"/>
          <w:kern w:val="0"/>
          <w:sz w:val="24"/>
          <w:szCs w:val="24"/>
          <w:lang w:eastAsia="zh-CN"/>
        </w:rPr>
      </w:pPr>
      <w:r w:rsidRPr="0050120B">
        <w:rPr>
          <w:rFonts w:ascii="Book Antiqua" w:eastAsia="宋体" w:hAnsi="Book Antiqua" w:cs="Times New Roman"/>
          <w:b/>
          <w:i/>
          <w:color w:val="000000" w:themeColor="text1"/>
          <w:kern w:val="0"/>
          <w:sz w:val="24"/>
          <w:szCs w:val="24"/>
          <w:lang w:eastAsia="zh-CN"/>
        </w:rPr>
        <w:t>Research results</w:t>
      </w:r>
    </w:p>
    <w:p w14:paraId="3F90AEAD" w14:textId="77777777" w:rsidR="007E2E1F" w:rsidRPr="0050120B" w:rsidRDefault="007E2E1F" w:rsidP="0075341C">
      <w:pPr>
        <w:widowControl/>
        <w:wordWrap/>
        <w:autoSpaceDE/>
        <w:autoSpaceDN/>
        <w:spacing w:after="0" w:line="360" w:lineRule="auto"/>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 xml:space="preserve">In both </w:t>
      </w:r>
      <w:r w:rsidRPr="0050120B">
        <w:rPr>
          <w:rFonts w:ascii="Book Antiqua" w:hAnsi="Book Antiqua" w:cs="Times New Roman"/>
          <w:i/>
          <w:color w:val="000000" w:themeColor="text1"/>
          <w:sz w:val="24"/>
          <w:szCs w:val="24"/>
        </w:rPr>
        <w:t>in vitro</w:t>
      </w:r>
      <w:r w:rsidRPr="0050120B">
        <w:rPr>
          <w:rFonts w:ascii="Book Antiqua" w:hAnsi="Book Antiqua" w:cs="Times New Roman"/>
          <w:color w:val="000000" w:themeColor="text1"/>
          <w:sz w:val="24"/>
          <w:szCs w:val="24"/>
        </w:rPr>
        <w:t xml:space="preserve"> and </w:t>
      </w:r>
      <w:r w:rsidRPr="0050120B">
        <w:rPr>
          <w:rFonts w:ascii="Book Antiqua" w:hAnsi="Book Antiqua" w:cs="Times New Roman"/>
          <w:i/>
          <w:color w:val="000000" w:themeColor="text1"/>
          <w:sz w:val="24"/>
          <w:szCs w:val="24"/>
        </w:rPr>
        <w:t>in vivo</w:t>
      </w:r>
      <w:r w:rsidRPr="0050120B">
        <w:rPr>
          <w:rFonts w:ascii="Book Antiqua" w:hAnsi="Book Antiqua" w:cs="Times New Roman"/>
          <w:color w:val="000000" w:themeColor="text1"/>
          <w:sz w:val="24"/>
          <w:szCs w:val="24"/>
        </w:rPr>
        <w:t xml:space="preserve"> models of gallstones, the TAEE consistently displayed better gallstone dissolubility than the MTBE. Specifically, in the in vitro experiments, TAEE showed a 1.2-, 1.4- and 1.3-fold higher dissolubility potentials for cholesterol, mixed, and pigmented gallstones, respectively, those of MTBE. In the in vivo tests, TAEE exhibited the 1.4 times and 1.9 times higher dissolubility potentials for cholesterol and pigment gallstones, respectively, than those of MTBE. In addition, TAEE had toxicities similar to or lesser than those of MTBE. </w:t>
      </w:r>
    </w:p>
    <w:p w14:paraId="2C8A053B" w14:textId="77777777" w:rsidR="007E2E1F" w:rsidRPr="0050120B" w:rsidRDefault="007E2E1F" w:rsidP="0075341C">
      <w:pPr>
        <w:widowControl/>
        <w:wordWrap/>
        <w:autoSpaceDE/>
        <w:autoSpaceDN/>
        <w:spacing w:after="0" w:line="360" w:lineRule="auto"/>
        <w:rPr>
          <w:rFonts w:ascii="Book Antiqua" w:hAnsi="Book Antiqua" w:cs="Times New Roman"/>
          <w:color w:val="000000" w:themeColor="text1"/>
          <w:sz w:val="24"/>
          <w:szCs w:val="24"/>
        </w:rPr>
      </w:pPr>
    </w:p>
    <w:p w14:paraId="45F76EDE" w14:textId="77777777" w:rsidR="007E2E1F" w:rsidRPr="0050120B" w:rsidRDefault="007E2E1F" w:rsidP="0075341C">
      <w:pPr>
        <w:widowControl/>
        <w:wordWrap/>
        <w:autoSpaceDE/>
        <w:autoSpaceDN/>
        <w:snapToGrid w:val="0"/>
        <w:spacing w:after="0" w:line="360" w:lineRule="auto"/>
        <w:rPr>
          <w:rFonts w:ascii="Book Antiqua" w:eastAsia="宋体" w:hAnsi="Book Antiqua" w:cs="Times New Roman"/>
          <w:b/>
          <w:i/>
          <w:color w:val="000000" w:themeColor="text1"/>
          <w:kern w:val="0"/>
          <w:sz w:val="24"/>
          <w:szCs w:val="24"/>
          <w:shd w:val="clear" w:color="auto" w:fill="FFFFFF"/>
          <w:lang w:eastAsia="zh-CN"/>
        </w:rPr>
      </w:pPr>
      <w:r w:rsidRPr="0050120B">
        <w:rPr>
          <w:rFonts w:ascii="Book Antiqua" w:eastAsia="宋体" w:hAnsi="Book Antiqua" w:cs="Times New Roman"/>
          <w:b/>
          <w:i/>
          <w:color w:val="000000" w:themeColor="text1"/>
          <w:kern w:val="0"/>
          <w:sz w:val="24"/>
          <w:szCs w:val="24"/>
          <w:lang w:eastAsia="zh-CN"/>
        </w:rPr>
        <w:t>Research conclusions</w:t>
      </w:r>
    </w:p>
    <w:p w14:paraId="40650A99" w14:textId="77777777" w:rsidR="007E2E1F" w:rsidRPr="0050120B" w:rsidRDefault="007E2E1F" w:rsidP="0075341C">
      <w:pPr>
        <w:widowControl/>
        <w:wordWrap/>
        <w:autoSpaceDE/>
        <w:autoSpaceDN/>
        <w:spacing w:after="0" w:line="360" w:lineRule="auto"/>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lastRenderedPageBreak/>
        <w:t xml:space="preserve">Our results showed that TAEE has the higher gallstone-dissolubility and safety compared with that of MTBE. It should be noted that MTBE showed significantly higher dissolubility for pigmented gallstones because there is no efficient dissolving agents for pigmented gallstones so far. We assume that the low toxicities of TAEE could be considerably attributed to its lower evaporation causing from a relatively higher boiling point (102 °C) than that of MTBE. If consistent efficacy and safety parameters can be reproduced in the further studies, incorporating large animals and human patients, TAEE is expected to present an attractive alternative to MTBE. </w:t>
      </w:r>
    </w:p>
    <w:p w14:paraId="63465273" w14:textId="77777777" w:rsidR="007E2E1F" w:rsidRPr="0050120B" w:rsidRDefault="007E2E1F" w:rsidP="0075341C">
      <w:pPr>
        <w:widowControl/>
        <w:wordWrap/>
        <w:autoSpaceDE/>
        <w:autoSpaceDN/>
        <w:snapToGrid w:val="0"/>
        <w:spacing w:after="0" w:line="360" w:lineRule="auto"/>
        <w:rPr>
          <w:rFonts w:ascii="Book Antiqua" w:hAnsi="Book Antiqua" w:cs="Times New Roman"/>
          <w:color w:val="000000" w:themeColor="text1"/>
          <w:kern w:val="0"/>
          <w:sz w:val="24"/>
          <w:szCs w:val="24"/>
        </w:rPr>
      </w:pPr>
    </w:p>
    <w:p w14:paraId="1BD5EF5B" w14:textId="77777777" w:rsidR="007E2E1F" w:rsidRPr="0050120B" w:rsidRDefault="007E2E1F" w:rsidP="0075341C">
      <w:pPr>
        <w:widowControl/>
        <w:wordWrap/>
        <w:autoSpaceDE/>
        <w:autoSpaceDN/>
        <w:snapToGrid w:val="0"/>
        <w:spacing w:after="0" w:line="360" w:lineRule="auto"/>
        <w:rPr>
          <w:rFonts w:ascii="Book Antiqua" w:eastAsia="宋体" w:hAnsi="Book Antiqua" w:cs="Times New Roman"/>
          <w:b/>
          <w:i/>
          <w:color w:val="000000" w:themeColor="text1"/>
          <w:kern w:val="0"/>
          <w:sz w:val="24"/>
          <w:szCs w:val="24"/>
          <w:shd w:val="clear" w:color="auto" w:fill="FFFFFF"/>
          <w:lang w:eastAsia="zh-CN"/>
        </w:rPr>
      </w:pPr>
      <w:r w:rsidRPr="0050120B">
        <w:rPr>
          <w:rFonts w:ascii="Book Antiqua" w:eastAsia="宋体" w:hAnsi="Book Antiqua" w:cs="Times New Roman"/>
          <w:b/>
          <w:i/>
          <w:color w:val="000000" w:themeColor="text1"/>
          <w:kern w:val="0"/>
          <w:sz w:val="24"/>
          <w:szCs w:val="24"/>
          <w:shd w:val="clear" w:color="auto" w:fill="FFFFFF"/>
          <w:lang w:eastAsia="zh-CN"/>
        </w:rPr>
        <w:t>Research perspectives</w:t>
      </w:r>
    </w:p>
    <w:p w14:paraId="794C26E9" w14:textId="77777777" w:rsidR="007E2E1F" w:rsidRPr="0050120B" w:rsidRDefault="007E2E1F" w:rsidP="0075341C">
      <w:pPr>
        <w:wordWrap/>
        <w:spacing w:after="0" w:line="360" w:lineRule="auto"/>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 xml:space="preserve">Currently, MTBE has been used for the purpose of dissolving gallstones worldwide, and its main indication is the patients who refuse surgery or are at high risk for surgery. However, if more effective and safe gallstone-dissolving agents are developed in the future, future therapeutic indications are expected to include the patients with asymptomatic gallstones, for a substantial proportion of them progress to have symptomatic gallstones. </w:t>
      </w:r>
    </w:p>
    <w:p w14:paraId="05328FC4" w14:textId="77777777" w:rsidR="003565F9" w:rsidRPr="0050120B" w:rsidRDefault="003565F9" w:rsidP="0075341C">
      <w:pPr>
        <w:widowControl/>
        <w:wordWrap/>
        <w:autoSpaceDE/>
        <w:autoSpaceDN/>
        <w:spacing w:after="0" w:line="360" w:lineRule="auto"/>
        <w:rPr>
          <w:rFonts w:ascii="Book Antiqua" w:eastAsia="Arial Unicode MS" w:hAnsi="Book Antiqua" w:cs="Times New Roman"/>
          <w:b/>
          <w:color w:val="000000" w:themeColor="text1"/>
          <w:sz w:val="24"/>
          <w:szCs w:val="24"/>
        </w:rPr>
      </w:pPr>
      <w:bookmarkStart w:id="71" w:name="_GoBack"/>
      <w:bookmarkEnd w:id="71"/>
    </w:p>
    <w:p w14:paraId="09CBD4F1" w14:textId="3CF9DD32" w:rsidR="003565F9" w:rsidRPr="0050120B" w:rsidRDefault="001E0096" w:rsidP="0075341C">
      <w:pPr>
        <w:wordWrap/>
        <w:spacing w:after="0" w:line="360" w:lineRule="auto"/>
        <w:rPr>
          <w:rFonts w:ascii="Book Antiqua" w:hAnsi="Book Antiqua" w:cs="Times New Roman"/>
          <w:b/>
          <w:color w:val="000000" w:themeColor="text1"/>
          <w:sz w:val="24"/>
          <w:szCs w:val="24"/>
        </w:rPr>
      </w:pPr>
      <w:r w:rsidRPr="0050120B">
        <w:rPr>
          <w:rFonts w:ascii="Book Antiqua" w:hAnsi="Book Antiqua" w:cs="Times New Roman"/>
          <w:b/>
          <w:color w:val="000000" w:themeColor="text1"/>
          <w:sz w:val="24"/>
          <w:szCs w:val="24"/>
        </w:rPr>
        <w:t>ACKNOWLEDG</w:t>
      </w:r>
      <w:r>
        <w:rPr>
          <w:rFonts w:ascii="Book Antiqua" w:hAnsi="Book Antiqua" w:cs="Times New Roman"/>
          <w:b/>
          <w:color w:val="000000" w:themeColor="text1"/>
          <w:sz w:val="24"/>
          <w:szCs w:val="24"/>
        </w:rPr>
        <w:t>E</w:t>
      </w:r>
      <w:r w:rsidRPr="0050120B">
        <w:rPr>
          <w:rFonts w:ascii="Book Antiqua" w:hAnsi="Book Antiqua" w:cs="Times New Roman"/>
          <w:b/>
          <w:color w:val="000000" w:themeColor="text1"/>
          <w:sz w:val="24"/>
          <w:szCs w:val="24"/>
        </w:rPr>
        <w:t>MENTS</w:t>
      </w:r>
    </w:p>
    <w:p w14:paraId="4B111AA0" w14:textId="24B1706A" w:rsidR="003565F9" w:rsidRPr="001118DD" w:rsidRDefault="003C275B" w:rsidP="001118DD">
      <w:pPr>
        <w:wordWrap/>
        <w:spacing w:after="0" w:line="360" w:lineRule="auto"/>
        <w:rPr>
          <w:rFonts w:ascii="Book Antiqua" w:hAnsi="Book Antiqua" w:cs="Times New Roman"/>
          <w:color w:val="000000" w:themeColor="text1"/>
          <w:sz w:val="24"/>
          <w:szCs w:val="24"/>
        </w:rPr>
      </w:pPr>
      <w:r w:rsidRPr="0050120B">
        <w:rPr>
          <w:rFonts w:ascii="Book Antiqua" w:hAnsi="Book Antiqua" w:cs="Times New Roman"/>
          <w:color w:val="000000" w:themeColor="text1"/>
          <w:sz w:val="24"/>
          <w:szCs w:val="24"/>
        </w:rPr>
        <w:t xml:space="preserve">We would like to thank the Francis Sahngun Nahm (a professional statistician) for his devoted assistance of statistical analysis. </w:t>
      </w:r>
      <w:r w:rsidR="003565F9" w:rsidRPr="0050120B">
        <w:rPr>
          <w:rFonts w:ascii="Book Antiqua" w:hAnsi="Book Antiqua" w:cs="Times New Roman"/>
          <w:color w:val="000000" w:themeColor="text1"/>
          <w:sz w:val="24"/>
          <w:szCs w:val="24"/>
        </w:rPr>
        <w:t>The authors thank Hye-Jung Kim and Ji-Hye Park for photoshop works and support for data processing.</w:t>
      </w:r>
    </w:p>
    <w:p w14:paraId="6A3753AC" w14:textId="288F2FE0" w:rsidR="008B2A4B" w:rsidRPr="0050120B" w:rsidRDefault="008B2A4B" w:rsidP="0075341C">
      <w:pPr>
        <w:widowControl/>
        <w:wordWrap/>
        <w:autoSpaceDE/>
        <w:autoSpaceDN/>
        <w:spacing w:after="0" w:line="360" w:lineRule="auto"/>
        <w:rPr>
          <w:rFonts w:ascii="Book Antiqua" w:hAnsi="Book Antiqua" w:cs="Times New Roman"/>
          <w:b/>
          <w:color w:val="000000" w:themeColor="text1"/>
          <w:sz w:val="24"/>
          <w:szCs w:val="24"/>
        </w:rPr>
      </w:pPr>
      <w:r w:rsidRPr="0050120B">
        <w:rPr>
          <w:rFonts w:ascii="Book Antiqua" w:hAnsi="Book Antiqua" w:cs="Times New Roman"/>
          <w:b/>
          <w:color w:val="000000" w:themeColor="text1"/>
          <w:sz w:val="24"/>
          <w:szCs w:val="24"/>
        </w:rPr>
        <w:br w:type="page"/>
      </w:r>
    </w:p>
    <w:p w14:paraId="0576AE88" w14:textId="0AF0074A" w:rsidR="00337D32" w:rsidRPr="0050120B" w:rsidRDefault="009D39D9" w:rsidP="0075341C">
      <w:pPr>
        <w:wordWrap/>
        <w:spacing w:after="0" w:line="360" w:lineRule="auto"/>
        <w:rPr>
          <w:rFonts w:ascii="Book Antiqua" w:hAnsi="Book Antiqua" w:cs="Times New Roman"/>
          <w:b/>
          <w:color w:val="000000" w:themeColor="text1"/>
          <w:sz w:val="24"/>
          <w:szCs w:val="24"/>
        </w:rPr>
      </w:pPr>
      <w:r w:rsidRPr="0050120B">
        <w:rPr>
          <w:rFonts w:ascii="Book Antiqua" w:hAnsi="Book Antiqua" w:cs="Times New Roman"/>
          <w:b/>
          <w:color w:val="000000" w:themeColor="text1"/>
          <w:sz w:val="24"/>
          <w:szCs w:val="24"/>
        </w:rPr>
        <w:lastRenderedPageBreak/>
        <w:t>REFERENCES</w:t>
      </w:r>
    </w:p>
    <w:p w14:paraId="18D46227"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1 </w:t>
      </w:r>
      <w:r w:rsidRPr="008C792F">
        <w:rPr>
          <w:rFonts w:ascii="Book Antiqua" w:eastAsia="等线" w:hAnsi="Book Antiqua" w:cs="Times New Roman"/>
          <w:b/>
          <w:sz w:val="24"/>
          <w:szCs w:val="24"/>
          <w:lang w:eastAsia="zh-CN"/>
        </w:rPr>
        <w:t>Kim G</w:t>
      </w:r>
      <w:r w:rsidRPr="008C792F">
        <w:rPr>
          <w:rFonts w:ascii="Book Antiqua" w:eastAsia="等线" w:hAnsi="Book Antiqua" w:cs="Times New Roman"/>
          <w:sz w:val="24"/>
          <w:szCs w:val="24"/>
          <w:lang w:eastAsia="zh-CN"/>
        </w:rPr>
        <w:t xml:space="preserve">, Malayaman SN, Green MS. Use of Methyl Tert-Butyl Ether for the Treatment of Refractory Intrahepatic Biliary Strictures and Bile Casts: A Modern Perspective. </w:t>
      </w:r>
      <w:r w:rsidRPr="008C792F">
        <w:rPr>
          <w:rFonts w:ascii="Book Antiqua" w:eastAsia="等线" w:hAnsi="Book Antiqua" w:cs="Times New Roman"/>
          <w:i/>
          <w:sz w:val="24"/>
          <w:szCs w:val="24"/>
          <w:lang w:eastAsia="zh-CN"/>
        </w:rPr>
        <w:t>Case Rep Surg</w:t>
      </w:r>
      <w:r w:rsidRPr="008C792F">
        <w:rPr>
          <w:rFonts w:ascii="Book Antiqua" w:eastAsia="等线" w:hAnsi="Book Antiqua" w:cs="Times New Roman"/>
          <w:sz w:val="24"/>
          <w:szCs w:val="24"/>
          <w:lang w:eastAsia="zh-CN"/>
        </w:rPr>
        <w:t xml:space="preserve"> 2015; </w:t>
      </w:r>
      <w:r w:rsidRPr="008C792F">
        <w:rPr>
          <w:rFonts w:ascii="Book Antiqua" w:eastAsia="等线" w:hAnsi="Book Antiqua" w:cs="Times New Roman"/>
          <w:b/>
          <w:sz w:val="24"/>
          <w:szCs w:val="24"/>
          <w:lang w:eastAsia="zh-CN"/>
        </w:rPr>
        <w:t>2015</w:t>
      </w:r>
      <w:r w:rsidRPr="008C792F">
        <w:rPr>
          <w:rFonts w:ascii="Book Antiqua" w:eastAsia="等线" w:hAnsi="Book Antiqua" w:cs="Times New Roman"/>
          <w:sz w:val="24"/>
          <w:szCs w:val="24"/>
          <w:lang w:eastAsia="zh-CN"/>
        </w:rPr>
        <w:t>: 408175 [PMID: 26236535 DOI: 10.1155/2015/408175]</w:t>
      </w:r>
    </w:p>
    <w:p w14:paraId="26C63010"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2 </w:t>
      </w:r>
      <w:r w:rsidRPr="008C792F">
        <w:rPr>
          <w:rFonts w:ascii="Book Antiqua" w:eastAsia="等线" w:hAnsi="Book Antiqua" w:cs="Times New Roman"/>
          <w:b/>
          <w:sz w:val="24"/>
          <w:szCs w:val="24"/>
          <w:lang w:eastAsia="zh-CN"/>
        </w:rPr>
        <w:t>Sakorafas GH</w:t>
      </w:r>
      <w:r w:rsidRPr="008C792F">
        <w:rPr>
          <w:rFonts w:ascii="Book Antiqua" w:eastAsia="等线" w:hAnsi="Book Antiqua" w:cs="Times New Roman"/>
          <w:sz w:val="24"/>
          <w:szCs w:val="24"/>
          <w:lang w:eastAsia="zh-CN"/>
        </w:rPr>
        <w:t xml:space="preserve">, Milingos D, Peros G. Asymptomatic cholelithiasis: is cholecystectomy really needed? A critical reappraisal 15 years after the introduction of laparoscopic cholecystectomy. </w:t>
      </w:r>
      <w:r w:rsidRPr="008C792F">
        <w:rPr>
          <w:rFonts w:ascii="Book Antiqua" w:eastAsia="等线" w:hAnsi="Book Antiqua" w:cs="Times New Roman"/>
          <w:i/>
          <w:sz w:val="24"/>
          <w:szCs w:val="24"/>
          <w:lang w:eastAsia="zh-CN"/>
        </w:rPr>
        <w:t>Dig Dis Sci</w:t>
      </w:r>
      <w:r w:rsidRPr="008C792F">
        <w:rPr>
          <w:rFonts w:ascii="Book Antiqua" w:eastAsia="等线" w:hAnsi="Book Antiqua" w:cs="Times New Roman"/>
          <w:sz w:val="24"/>
          <w:szCs w:val="24"/>
          <w:lang w:eastAsia="zh-CN"/>
        </w:rPr>
        <w:t xml:space="preserve"> 2007; </w:t>
      </w:r>
      <w:r w:rsidRPr="008C792F">
        <w:rPr>
          <w:rFonts w:ascii="Book Antiqua" w:eastAsia="等线" w:hAnsi="Book Antiqua" w:cs="Times New Roman"/>
          <w:b/>
          <w:sz w:val="24"/>
          <w:szCs w:val="24"/>
          <w:lang w:eastAsia="zh-CN"/>
        </w:rPr>
        <w:t>52</w:t>
      </w:r>
      <w:r w:rsidRPr="008C792F">
        <w:rPr>
          <w:rFonts w:ascii="Book Antiqua" w:eastAsia="等线" w:hAnsi="Book Antiqua" w:cs="Times New Roman"/>
          <w:sz w:val="24"/>
          <w:szCs w:val="24"/>
          <w:lang w:eastAsia="zh-CN"/>
        </w:rPr>
        <w:t>: 1313-1325 [PMID: 17390223 DOI: 10.1007/s10620-006-9107-3]</w:t>
      </w:r>
    </w:p>
    <w:p w14:paraId="1C2E8AA4"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3 </w:t>
      </w:r>
      <w:r w:rsidRPr="008C792F">
        <w:rPr>
          <w:rFonts w:ascii="Book Antiqua" w:eastAsia="等线" w:hAnsi="Book Antiqua" w:cs="Times New Roman"/>
          <w:b/>
          <w:sz w:val="24"/>
          <w:szCs w:val="24"/>
          <w:lang w:eastAsia="zh-CN"/>
        </w:rPr>
        <w:t>Allen MJ</w:t>
      </w:r>
      <w:r w:rsidRPr="008C792F">
        <w:rPr>
          <w:rFonts w:ascii="Book Antiqua" w:eastAsia="等线" w:hAnsi="Book Antiqua" w:cs="Times New Roman"/>
          <w:sz w:val="24"/>
          <w:szCs w:val="24"/>
          <w:lang w:eastAsia="zh-CN"/>
        </w:rPr>
        <w:t xml:space="preserve">, Borody TJ, Bugliosi TF, May GR, LaRusso NF, Thistle JL. Rapid dissolution of gallstones by methyl tert-butyl ether. Preliminary observations. </w:t>
      </w:r>
      <w:r w:rsidRPr="008C792F">
        <w:rPr>
          <w:rFonts w:ascii="Book Antiqua" w:eastAsia="等线" w:hAnsi="Book Antiqua" w:cs="Times New Roman"/>
          <w:i/>
          <w:sz w:val="24"/>
          <w:szCs w:val="24"/>
          <w:lang w:eastAsia="zh-CN"/>
        </w:rPr>
        <w:t>N Engl J Med</w:t>
      </w:r>
      <w:r w:rsidRPr="008C792F">
        <w:rPr>
          <w:rFonts w:ascii="Book Antiqua" w:eastAsia="等线" w:hAnsi="Book Antiqua" w:cs="Times New Roman"/>
          <w:sz w:val="24"/>
          <w:szCs w:val="24"/>
          <w:lang w:eastAsia="zh-CN"/>
        </w:rPr>
        <w:t xml:space="preserve"> 1985; </w:t>
      </w:r>
      <w:r w:rsidRPr="008C792F">
        <w:rPr>
          <w:rFonts w:ascii="Book Antiqua" w:eastAsia="等线" w:hAnsi="Book Antiqua" w:cs="Times New Roman"/>
          <w:b/>
          <w:sz w:val="24"/>
          <w:szCs w:val="24"/>
          <w:lang w:eastAsia="zh-CN"/>
        </w:rPr>
        <w:t>312</w:t>
      </w:r>
      <w:r w:rsidRPr="008C792F">
        <w:rPr>
          <w:rFonts w:ascii="Book Antiqua" w:eastAsia="等线" w:hAnsi="Book Antiqua" w:cs="Times New Roman"/>
          <w:sz w:val="24"/>
          <w:szCs w:val="24"/>
          <w:lang w:eastAsia="zh-CN"/>
        </w:rPr>
        <w:t>: 217-220 [PMID: 3965949 DOI: 10.1056/NEJM198501243120406]</w:t>
      </w:r>
    </w:p>
    <w:p w14:paraId="40896B3A"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4 </w:t>
      </w:r>
      <w:r w:rsidRPr="008C792F">
        <w:rPr>
          <w:rFonts w:ascii="Book Antiqua" w:eastAsia="等线" w:hAnsi="Book Antiqua" w:cs="Times New Roman"/>
          <w:b/>
          <w:sz w:val="24"/>
          <w:szCs w:val="24"/>
          <w:lang w:eastAsia="zh-CN"/>
        </w:rPr>
        <w:t>Edison SA</w:t>
      </w:r>
      <w:r w:rsidRPr="008C792F">
        <w:rPr>
          <w:rFonts w:ascii="Book Antiqua" w:eastAsia="等线" w:hAnsi="Book Antiqua" w:cs="Times New Roman"/>
          <w:sz w:val="24"/>
          <w:szCs w:val="24"/>
          <w:lang w:eastAsia="zh-CN"/>
        </w:rPr>
        <w:t xml:space="preserve">, Maier M, Kohler B, Schlauch D, Buttmann A, Gauer E, Riemann JF. Direct dissolution of gallstones with methyl tert-butyl ether by endoscopic cannulation of the gallbladder. </w:t>
      </w:r>
      <w:r w:rsidRPr="008C792F">
        <w:rPr>
          <w:rFonts w:ascii="Book Antiqua" w:eastAsia="等线" w:hAnsi="Book Antiqua" w:cs="Times New Roman"/>
          <w:i/>
          <w:sz w:val="24"/>
          <w:szCs w:val="24"/>
          <w:lang w:eastAsia="zh-CN"/>
        </w:rPr>
        <w:t>Am J Gastroenterol</w:t>
      </w:r>
      <w:r w:rsidRPr="008C792F">
        <w:rPr>
          <w:rFonts w:ascii="Book Antiqua" w:eastAsia="等线" w:hAnsi="Book Antiqua" w:cs="Times New Roman"/>
          <w:sz w:val="24"/>
          <w:szCs w:val="24"/>
          <w:lang w:eastAsia="zh-CN"/>
        </w:rPr>
        <w:t xml:space="preserve"> 1993; </w:t>
      </w:r>
      <w:r w:rsidRPr="008C792F">
        <w:rPr>
          <w:rFonts w:ascii="Book Antiqua" w:eastAsia="等线" w:hAnsi="Book Antiqua" w:cs="Times New Roman"/>
          <w:b/>
          <w:sz w:val="24"/>
          <w:szCs w:val="24"/>
          <w:lang w:eastAsia="zh-CN"/>
        </w:rPr>
        <w:t>88</w:t>
      </w:r>
      <w:r w:rsidRPr="008C792F">
        <w:rPr>
          <w:rFonts w:ascii="Book Antiqua" w:eastAsia="等线" w:hAnsi="Book Antiqua" w:cs="Times New Roman"/>
          <w:sz w:val="24"/>
          <w:szCs w:val="24"/>
          <w:lang w:eastAsia="zh-CN"/>
        </w:rPr>
        <w:t>: 1242-1248 [PMID: 8338092]</w:t>
      </w:r>
    </w:p>
    <w:p w14:paraId="72E36C01"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5 </w:t>
      </w:r>
      <w:r w:rsidRPr="008C792F">
        <w:rPr>
          <w:rFonts w:ascii="Book Antiqua" w:eastAsia="等线" w:hAnsi="Book Antiqua" w:cs="Times New Roman"/>
          <w:b/>
          <w:sz w:val="24"/>
          <w:szCs w:val="24"/>
          <w:lang w:eastAsia="zh-CN"/>
        </w:rPr>
        <w:t>Hellstern A</w:t>
      </w:r>
      <w:r w:rsidRPr="008C792F">
        <w:rPr>
          <w:rFonts w:ascii="Book Antiqua" w:eastAsia="等线" w:hAnsi="Book Antiqua" w:cs="Times New Roman"/>
          <w:sz w:val="24"/>
          <w:szCs w:val="24"/>
          <w:lang w:eastAsia="zh-CN"/>
        </w:rPr>
        <w:t xml:space="preserve">, Leuschner U, Benjaminov A, Ackermann H, Heine T, Festi D, Orsini M, Roda E, Northfield TC, Jazrawi R, Kurtz W, Schmeck-Lindenau HJ, Stumpf J, Eidsvoll BE, Aadland E, Lux G, Boehnke E, Wurbs D, Delhaye M, Cremer M, Sinn I, Höring E, v Gaisberg U, Neubrand M, Paul F. Dissolution of gallbladder stones with methyl tert-butyl ether and stone recurrence: a European survey. </w:t>
      </w:r>
      <w:r w:rsidRPr="008C792F">
        <w:rPr>
          <w:rFonts w:ascii="Book Antiqua" w:eastAsia="等线" w:hAnsi="Book Antiqua" w:cs="Times New Roman"/>
          <w:i/>
          <w:sz w:val="24"/>
          <w:szCs w:val="24"/>
          <w:lang w:eastAsia="zh-CN"/>
        </w:rPr>
        <w:t>Dig Dis Sci</w:t>
      </w:r>
      <w:r w:rsidRPr="008C792F">
        <w:rPr>
          <w:rFonts w:ascii="Book Antiqua" w:eastAsia="等线" w:hAnsi="Book Antiqua" w:cs="Times New Roman"/>
          <w:sz w:val="24"/>
          <w:szCs w:val="24"/>
          <w:lang w:eastAsia="zh-CN"/>
        </w:rPr>
        <w:t xml:space="preserve"> 1998; </w:t>
      </w:r>
      <w:r w:rsidRPr="008C792F">
        <w:rPr>
          <w:rFonts w:ascii="Book Antiqua" w:eastAsia="等线" w:hAnsi="Book Antiqua" w:cs="Times New Roman"/>
          <w:b/>
          <w:sz w:val="24"/>
          <w:szCs w:val="24"/>
          <w:lang w:eastAsia="zh-CN"/>
        </w:rPr>
        <w:t>43</w:t>
      </w:r>
      <w:r w:rsidRPr="008C792F">
        <w:rPr>
          <w:rFonts w:ascii="Book Antiqua" w:eastAsia="等线" w:hAnsi="Book Antiqua" w:cs="Times New Roman"/>
          <w:sz w:val="24"/>
          <w:szCs w:val="24"/>
          <w:lang w:eastAsia="zh-CN"/>
        </w:rPr>
        <w:t>: 911-920 [PMID: 9590398 DOI: 10.1023/a:1018811409538]</w:t>
      </w:r>
    </w:p>
    <w:p w14:paraId="19B35DB3"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6 </w:t>
      </w:r>
      <w:r w:rsidRPr="008C792F">
        <w:rPr>
          <w:rFonts w:ascii="Book Antiqua" w:eastAsia="等线" w:hAnsi="Book Antiqua" w:cs="Times New Roman"/>
          <w:b/>
          <w:sz w:val="24"/>
          <w:szCs w:val="24"/>
          <w:lang w:eastAsia="zh-CN"/>
        </w:rPr>
        <w:t>Leuschner U</w:t>
      </w:r>
      <w:r w:rsidRPr="008C792F">
        <w:rPr>
          <w:rFonts w:ascii="Book Antiqua" w:eastAsia="等线" w:hAnsi="Book Antiqua" w:cs="Times New Roman"/>
          <w:sz w:val="24"/>
          <w:szCs w:val="24"/>
          <w:lang w:eastAsia="zh-CN"/>
        </w:rPr>
        <w:t xml:space="preserve">, Hellstern A, Schmidt K, Fischer H, Güldütuna S, Hübner K, Leuschner M. Gallstone dissolution with methyl tert-butyl ether in 120 patients--efficacy and safety. </w:t>
      </w:r>
      <w:r w:rsidRPr="008C792F">
        <w:rPr>
          <w:rFonts w:ascii="Book Antiqua" w:eastAsia="等线" w:hAnsi="Book Antiqua" w:cs="Times New Roman"/>
          <w:i/>
          <w:sz w:val="24"/>
          <w:szCs w:val="24"/>
          <w:lang w:eastAsia="zh-CN"/>
        </w:rPr>
        <w:t>Dig Dis Sci</w:t>
      </w:r>
      <w:r w:rsidRPr="008C792F">
        <w:rPr>
          <w:rFonts w:ascii="Book Antiqua" w:eastAsia="等线" w:hAnsi="Book Antiqua" w:cs="Times New Roman"/>
          <w:sz w:val="24"/>
          <w:szCs w:val="24"/>
          <w:lang w:eastAsia="zh-CN"/>
        </w:rPr>
        <w:t xml:space="preserve"> 1991; </w:t>
      </w:r>
      <w:r w:rsidRPr="008C792F">
        <w:rPr>
          <w:rFonts w:ascii="Book Antiqua" w:eastAsia="等线" w:hAnsi="Book Antiqua" w:cs="Times New Roman"/>
          <w:b/>
          <w:sz w:val="24"/>
          <w:szCs w:val="24"/>
          <w:lang w:eastAsia="zh-CN"/>
        </w:rPr>
        <w:t>36</w:t>
      </w:r>
      <w:r w:rsidRPr="008C792F">
        <w:rPr>
          <w:rFonts w:ascii="Book Antiqua" w:eastAsia="等线" w:hAnsi="Book Antiqua" w:cs="Times New Roman"/>
          <w:sz w:val="24"/>
          <w:szCs w:val="24"/>
          <w:lang w:eastAsia="zh-CN"/>
        </w:rPr>
        <w:t>: 193-199 [PMID: 1988263 DOI: 10.1007/bf01300756]</w:t>
      </w:r>
    </w:p>
    <w:p w14:paraId="111E4EE8"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7 </w:t>
      </w:r>
      <w:r w:rsidRPr="008C792F">
        <w:rPr>
          <w:rFonts w:ascii="Book Antiqua" w:eastAsia="等线" w:hAnsi="Book Antiqua" w:cs="Times New Roman"/>
          <w:b/>
          <w:sz w:val="24"/>
          <w:szCs w:val="24"/>
          <w:lang w:eastAsia="zh-CN"/>
        </w:rPr>
        <w:t>Thistle JL</w:t>
      </w:r>
      <w:r w:rsidRPr="008C792F">
        <w:rPr>
          <w:rFonts w:ascii="Book Antiqua" w:eastAsia="等线" w:hAnsi="Book Antiqua" w:cs="Times New Roman"/>
          <w:sz w:val="24"/>
          <w:szCs w:val="24"/>
          <w:lang w:eastAsia="zh-CN"/>
        </w:rPr>
        <w:t xml:space="preserve">, May GR, Bender CE, Williams HJ, LeRoy AJ, Nelson PE, Peine CJ, Petersen BT, McCullough JE. Dissolution of cholesterol gallbladder stones by methyl tert-butyl ether administered by percutaneous transhepatic catheter. </w:t>
      </w:r>
      <w:r w:rsidRPr="008C792F">
        <w:rPr>
          <w:rFonts w:ascii="Book Antiqua" w:eastAsia="等线" w:hAnsi="Book Antiqua" w:cs="Times New Roman"/>
          <w:i/>
          <w:sz w:val="24"/>
          <w:szCs w:val="24"/>
          <w:lang w:eastAsia="zh-CN"/>
        </w:rPr>
        <w:t>N Engl J Med</w:t>
      </w:r>
      <w:r w:rsidRPr="008C792F">
        <w:rPr>
          <w:rFonts w:ascii="Book Antiqua" w:eastAsia="等线" w:hAnsi="Book Antiqua" w:cs="Times New Roman"/>
          <w:sz w:val="24"/>
          <w:szCs w:val="24"/>
          <w:lang w:eastAsia="zh-CN"/>
        </w:rPr>
        <w:t xml:space="preserve"> 1989; </w:t>
      </w:r>
      <w:r w:rsidRPr="008C792F">
        <w:rPr>
          <w:rFonts w:ascii="Book Antiqua" w:eastAsia="等线" w:hAnsi="Book Antiqua" w:cs="Times New Roman"/>
          <w:b/>
          <w:sz w:val="24"/>
          <w:szCs w:val="24"/>
          <w:lang w:eastAsia="zh-CN"/>
        </w:rPr>
        <w:t>320</w:t>
      </w:r>
      <w:r w:rsidRPr="008C792F">
        <w:rPr>
          <w:rFonts w:ascii="Book Antiqua" w:eastAsia="等线" w:hAnsi="Book Antiqua" w:cs="Times New Roman"/>
          <w:sz w:val="24"/>
          <w:szCs w:val="24"/>
          <w:lang w:eastAsia="zh-CN"/>
        </w:rPr>
        <w:t>: 633-639 [PMID: 2918875 DOI: 10.1056/NEJM198903093201004]</w:t>
      </w:r>
    </w:p>
    <w:p w14:paraId="52C5DA92"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8 </w:t>
      </w:r>
      <w:r w:rsidRPr="008C792F">
        <w:rPr>
          <w:rFonts w:ascii="Book Antiqua" w:eastAsia="等线" w:hAnsi="Book Antiqua" w:cs="Times New Roman"/>
          <w:b/>
          <w:sz w:val="24"/>
          <w:szCs w:val="24"/>
          <w:lang w:eastAsia="zh-CN"/>
        </w:rPr>
        <w:t>Allen MJ</w:t>
      </w:r>
      <w:r w:rsidRPr="008C792F">
        <w:rPr>
          <w:rFonts w:ascii="Book Antiqua" w:eastAsia="等线" w:hAnsi="Book Antiqua" w:cs="Times New Roman"/>
          <w:sz w:val="24"/>
          <w:szCs w:val="24"/>
          <w:lang w:eastAsia="zh-CN"/>
        </w:rPr>
        <w:t xml:space="preserve">, Borody TJ, Bugliosi TF, May GR, LaRusso NF, Thistle JL. Cholelitholysis using methyl tertiary butyl ether. </w:t>
      </w:r>
      <w:r w:rsidRPr="008C792F">
        <w:rPr>
          <w:rFonts w:ascii="Book Antiqua" w:eastAsia="等线" w:hAnsi="Book Antiqua" w:cs="Times New Roman"/>
          <w:i/>
          <w:sz w:val="24"/>
          <w:szCs w:val="24"/>
          <w:lang w:eastAsia="zh-CN"/>
        </w:rPr>
        <w:t>Gastroenterology</w:t>
      </w:r>
      <w:r w:rsidRPr="008C792F">
        <w:rPr>
          <w:rFonts w:ascii="Book Antiqua" w:eastAsia="等线" w:hAnsi="Book Antiqua" w:cs="Times New Roman"/>
          <w:sz w:val="24"/>
          <w:szCs w:val="24"/>
          <w:lang w:eastAsia="zh-CN"/>
        </w:rPr>
        <w:t xml:space="preserve"> 1985; </w:t>
      </w:r>
      <w:r w:rsidRPr="008C792F">
        <w:rPr>
          <w:rFonts w:ascii="Book Antiqua" w:eastAsia="等线" w:hAnsi="Book Antiqua" w:cs="Times New Roman"/>
          <w:b/>
          <w:sz w:val="24"/>
          <w:szCs w:val="24"/>
          <w:lang w:eastAsia="zh-CN"/>
        </w:rPr>
        <w:t>88</w:t>
      </w:r>
      <w:r w:rsidRPr="008C792F">
        <w:rPr>
          <w:rFonts w:ascii="Book Antiqua" w:eastAsia="等线" w:hAnsi="Book Antiqua" w:cs="Times New Roman"/>
          <w:sz w:val="24"/>
          <w:szCs w:val="24"/>
          <w:lang w:eastAsia="zh-CN"/>
        </w:rPr>
        <w:t>: 122-125 [PMID: 3964760 DOI: 10.1016/s0016-5085(85)80143-8]</w:t>
      </w:r>
    </w:p>
    <w:p w14:paraId="0B5EE70A"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lastRenderedPageBreak/>
        <w:t xml:space="preserve">9 </w:t>
      </w:r>
      <w:r w:rsidRPr="008C792F">
        <w:rPr>
          <w:rFonts w:ascii="Book Antiqua" w:eastAsia="等线" w:hAnsi="Book Antiqua" w:cs="Times New Roman"/>
          <w:b/>
          <w:sz w:val="24"/>
          <w:szCs w:val="24"/>
          <w:lang w:eastAsia="zh-CN"/>
        </w:rPr>
        <w:t>Brandon JC</w:t>
      </w:r>
      <w:r w:rsidRPr="008C792F">
        <w:rPr>
          <w:rFonts w:ascii="Book Antiqua" w:eastAsia="等线" w:hAnsi="Book Antiqua" w:cs="Times New Roman"/>
          <w:sz w:val="24"/>
          <w:szCs w:val="24"/>
          <w:lang w:eastAsia="zh-CN"/>
        </w:rPr>
        <w:t xml:space="preserve">, Teplick SK, Haskin PH, Sammon JK, Muhr WF, Hofmann AF, Gambescia RA, Zitomer N. Common bile duct calculi: updated experience with dissolution with methyl tertiary butyl ether. </w:t>
      </w:r>
      <w:r w:rsidRPr="008C792F">
        <w:rPr>
          <w:rFonts w:ascii="Book Antiqua" w:eastAsia="等线" w:hAnsi="Book Antiqua" w:cs="Times New Roman"/>
          <w:i/>
          <w:sz w:val="24"/>
          <w:szCs w:val="24"/>
          <w:lang w:eastAsia="zh-CN"/>
        </w:rPr>
        <w:t>Radiology</w:t>
      </w:r>
      <w:r w:rsidRPr="008C792F">
        <w:rPr>
          <w:rFonts w:ascii="Book Antiqua" w:eastAsia="等线" w:hAnsi="Book Antiqua" w:cs="Times New Roman"/>
          <w:sz w:val="24"/>
          <w:szCs w:val="24"/>
          <w:lang w:eastAsia="zh-CN"/>
        </w:rPr>
        <w:t xml:space="preserve"> 1988; </w:t>
      </w:r>
      <w:r w:rsidRPr="008C792F">
        <w:rPr>
          <w:rFonts w:ascii="Book Antiqua" w:eastAsia="等线" w:hAnsi="Book Antiqua" w:cs="Times New Roman"/>
          <w:b/>
          <w:sz w:val="24"/>
          <w:szCs w:val="24"/>
          <w:lang w:eastAsia="zh-CN"/>
        </w:rPr>
        <w:t>166</w:t>
      </w:r>
      <w:r w:rsidRPr="008C792F">
        <w:rPr>
          <w:rFonts w:ascii="Book Antiqua" w:eastAsia="等线" w:hAnsi="Book Antiqua" w:cs="Times New Roman"/>
          <w:sz w:val="24"/>
          <w:szCs w:val="24"/>
          <w:lang w:eastAsia="zh-CN"/>
        </w:rPr>
        <w:t>: 665-667 [PMID: 3340760 DOI: 10.1148/radiology.166.3.3340760]</w:t>
      </w:r>
    </w:p>
    <w:p w14:paraId="52D20F7F"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10 </w:t>
      </w:r>
      <w:r w:rsidRPr="008C792F">
        <w:rPr>
          <w:rFonts w:ascii="Book Antiqua" w:eastAsia="等线" w:hAnsi="Book Antiqua" w:cs="Times New Roman"/>
          <w:b/>
          <w:sz w:val="24"/>
          <w:szCs w:val="24"/>
          <w:lang w:eastAsia="zh-CN"/>
        </w:rPr>
        <w:t>Di Padova C</w:t>
      </w:r>
      <w:r w:rsidRPr="008C792F">
        <w:rPr>
          <w:rFonts w:ascii="Book Antiqua" w:eastAsia="等线" w:hAnsi="Book Antiqua" w:cs="Times New Roman"/>
          <w:sz w:val="24"/>
          <w:szCs w:val="24"/>
          <w:lang w:eastAsia="zh-CN"/>
        </w:rPr>
        <w:t xml:space="preserve">, Di Padova F, Montorsi W, Tritapepe R. Methyl tert-butyl ether fails to dissolve retained radiolucent common bile duct stones. </w:t>
      </w:r>
      <w:r w:rsidRPr="008C792F">
        <w:rPr>
          <w:rFonts w:ascii="Book Antiqua" w:eastAsia="等线" w:hAnsi="Book Antiqua" w:cs="Times New Roman"/>
          <w:i/>
          <w:sz w:val="24"/>
          <w:szCs w:val="24"/>
          <w:lang w:eastAsia="zh-CN"/>
        </w:rPr>
        <w:t>Gastroenterology</w:t>
      </w:r>
      <w:r w:rsidRPr="008C792F">
        <w:rPr>
          <w:rFonts w:ascii="Book Antiqua" w:eastAsia="等线" w:hAnsi="Book Antiqua" w:cs="Times New Roman"/>
          <w:sz w:val="24"/>
          <w:szCs w:val="24"/>
          <w:lang w:eastAsia="zh-CN"/>
        </w:rPr>
        <w:t xml:space="preserve"> 1986; </w:t>
      </w:r>
      <w:r w:rsidRPr="008C792F">
        <w:rPr>
          <w:rFonts w:ascii="Book Antiqua" w:eastAsia="等线" w:hAnsi="Book Antiqua" w:cs="Times New Roman"/>
          <w:b/>
          <w:sz w:val="24"/>
          <w:szCs w:val="24"/>
          <w:lang w:eastAsia="zh-CN"/>
        </w:rPr>
        <w:t>91</w:t>
      </w:r>
      <w:r w:rsidRPr="008C792F">
        <w:rPr>
          <w:rFonts w:ascii="Book Antiqua" w:eastAsia="等线" w:hAnsi="Book Antiqua" w:cs="Times New Roman"/>
          <w:sz w:val="24"/>
          <w:szCs w:val="24"/>
          <w:lang w:eastAsia="zh-CN"/>
        </w:rPr>
        <w:t>: 1296-1300 [PMID: 3758621 DOI: 10.1016/s0016-5085(86)80030-0]</w:t>
      </w:r>
    </w:p>
    <w:p w14:paraId="5FA96310"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11 </w:t>
      </w:r>
      <w:r w:rsidRPr="008C792F">
        <w:rPr>
          <w:rFonts w:ascii="Book Antiqua" w:eastAsia="等线" w:hAnsi="Book Antiqua" w:cs="Times New Roman"/>
          <w:b/>
          <w:sz w:val="24"/>
          <w:szCs w:val="24"/>
          <w:lang w:eastAsia="zh-CN"/>
        </w:rPr>
        <w:t>Diaz D</w:t>
      </w:r>
      <w:r w:rsidRPr="008C792F">
        <w:rPr>
          <w:rFonts w:ascii="Book Antiqua" w:eastAsia="等线" w:hAnsi="Book Antiqua" w:cs="Times New Roman"/>
          <w:sz w:val="24"/>
          <w:szCs w:val="24"/>
          <w:lang w:eastAsia="zh-CN"/>
        </w:rPr>
        <w:t xml:space="preserve">, Bories P, Ampelas M, Larrey D, Michel H. Methyl tert-butyl ether in the endoscopic treatment of common bile duct radiolucent stones in elderly patients with nasobiliary tube. </w:t>
      </w:r>
      <w:r w:rsidRPr="008C792F">
        <w:rPr>
          <w:rFonts w:ascii="Book Antiqua" w:eastAsia="等线" w:hAnsi="Book Antiqua" w:cs="Times New Roman"/>
          <w:i/>
          <w:sz w:val="24"/>
          <w:szCs w:val="24"/>
          <w:lang w:eastAsia="zh-CN"/>
        </w:rPr>
        <w:t>Dig Dis Sci</w:t>
      </w:r>
      <w:r w:rsidRPr="008C792F">
        <w:rPr>
          <w:rFonts w:ascii="Book Antiqua" w:eastAsia="等线" w:hAnsi="Book Antiqua" w:cs="Times New Roman"/>
          <w:sz w:val="24"/>
          <w:szCs w:val="24"/>
          <w:lang w:eastAsia="zh-CN"/>
        </w:rPr>
        <w:t xml:space="preserve"> 1992; </w:t>
      </w:r>
      <w:r w:rsidRPr="008C792F">
        <w:rPr>
          <w:rFonts w:ascii="Book Antiqua" w:eastAsia="等线" w:hAnsi="Book Antiqua" w:cs="Times New Roman"/>
          <w:b/>
          <w:sz w:val="24"/>
          <w:szCs w:val="24"/>
          <w:lang w:eastAsia="zh-CN"/>
        </w:rPr>
        <w:t>37</w:t>
      </w:r>
      <w:r w:rsidRPr="008C792F">
        <w:rPr>
          <w:rFonts w:ascii="Book Antiqua" w:eastAsia="等线" w:hAnsi="Book Antiqua" w:cs="Times New Roman"/>
          <w:sz w:val="24"/>
          <w:szCs w:val="24"/>
          <w:lang w:eastAsia="zh-CN"/>
        </w:rPr>
        <w:t>: 97-100 [PMID: 1728535 DOI: 10.1007/bf01308349]</w:t>
      </w:r>
    </w:p>
    <w:p w14:paraId="004A342F"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12 </w:t>
      </w:r>
      <w:r w:rsidRPr="008C792F">
        <w:rPr>
          <w:rFonts w:ascii="Book Antiqua" w:eastAsia="等线" w:hAnsi="Book Antiqua" w:cs="Times New Roman"/>
          <w:b/>
          <w:sz w:val="24"/>
          <w:szCs w:val="24"/>
          <w:lang w:eastAsia="zh-CN"/>
        </w:rPr>
        <w:t>Foerster EC</w:t>
      </w:r>
      <w:r w:rsidRPr="008C792F">
        <w:rPr>
          <w:rFonts w:ascii="Book Antiqua" w:eastAsia="等线" w:hAnsi="Book Antiqua" w:cs="Times New Roman"/>
          <w:sz w:val="24"/>
          <w:szCs w:val="24"/>
          <w:lang w:eastAsia="zh-CN"/>
        </w:rPr>
        <w:t xml:space="preserve">, Matek W, Domschke W. Endoscopic retrograde cannulation of the gallbladder: direct dissolution of gallstones. </w:t>
      </w:r>
      <w:r w:rsidRPr="008C792F">
        <w:rPr>
          <w:rFonts w:ascii="Book Antiqua" w:eastAsia="等线" w:hAnsi="Book Antiqua" w:cs="Times New Roman"/>
          <w:i/>
          <w:sz w:val="24"/>
          <w:szCs w:val="24"/>
          <w:lang w:eastAsia="zh-CN"/>
        </w:rPr>
        <w:t>Gastrointest Endosc</w:t>
      </w:r>
      <w:r w:rsidRPr="008C792F">
        <w:rPr>
          <w:rFonts w:ascii="Book Antiqua" w:eastAsia="等线" w:hAnsi="Book Antiqua" w:cs="Times New Roman"/>
          <w:sz w:val="24"/>
          <w:szCs w:val="24"/>
          <w:lang w:eastAsia="zh-CN"/>
        </w:rPr>
        <w:t xml:space="preserve"> 1990; </w:t>
      </w:r>
      <w:r w:rsidRPr="008C792F">
        <w:rPr>
          <w:rFonts w:ascii="Book Antiqua" w:eastAsia="等线" w:hAnsi="Book Antiqua" w:cs="Times New Roman"/>
          <w:b/>
          <w:sz w:val="24"/>
          <w:szCs w:val="24"/>
          <w:lang w:eastAsia="zh-CN"/>
        </w:rPr>
        <w:t>36</w:t>
      </w:r>
      <w:r w:rsidRPr="008C792F">
        <w:rPr>
          <w:rFonts w:ascii="Book Antiqua" w:eastAsia="等线" w:hAnsi="Book Antiqua" w:cs="Times New Roman"/>
          <w:sz w:val="24"/>
          <w:szCs w:val="24"/>
          <w:lang w:eastAsia="zh-CN"/>
        </w:rPr>
        <w:t>: 444-450 [PMID: 2227314 DOI: 10.1016/s0016-5107(90)71112-1]</w:t>
      </w:r>
    </w:p>
    <w:p w14:paraId="39C09A9C"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13 </w:t>
      </w:r>
      <w:r w:rsidRPr="008C792F">
        <w:rPr>
          <w:rFonts w:ascii="Book Antiqua" w:eastAsia="等线" w:hAnsi="Book Antiqua" w:cs="Times New Roman"/>
          <w:b/>
          <w:sz w:val="24"/>
          <w:szCs w:val="24"/>
          <w:lang w:eastAsia="zh-CN"/>
        </w:rPr>
        <w:t>Kelly E</w:t>
      </w:r>
      <w:r w:rsidRPr="008C792F">
        <w:rPr>
          <w:rFonts w:ascii="Book Antiqua" w:eastAsia="等线" w:hAnsi="Book Antiqua" w:cs="Times New Roman"/>
          <w:sz w:val="24"/>
          <w:szCs w:val="24"/>
          <w:lang w:eastAsia="zh-CN"/>
        </w:rPr>
        <w:t xml:space="preserve">, Williams JD, Organ CH. A history of the dissolution of retained choledocholithiasis. </w:t>
      </w:r>
      <w:r w:rsidRPr="008C792F">
        <w:rPr>
          <w:rFonts w:ascii="Book Antiqua" w:eastAsia="等线" w:hAnsi="Book Antiqua" w:cs="Times New Roman"/>
          <w:i/>
          <w:sz w:val="24"/>
          <w:szCs w:val="24"/>
          <w:lang w:eastAsia="zh-CN"/>
        </w:rPr>
        <w:t>Am J Surg</w:t>
      </w:r>
      <w:r w:rsidRPr="008C792F">
        <w:rPr>
          <w:rFonts w:ascii="Book Antiqua" w:eastAsia="等线" w:hAnsi="Book Antiqua" w:cs="Times New Roman"/>
          <w:sz w:val="24"/>
          <w:szCs w:val="24"/>
          <w:lang w:eastAsia="zh-CN"/>
        </w:rPr>
        <w:t xml:space="preserve"> 2000; </w:t>
      </w:r>
      <w:r w:rsidRPr="008C792F">
        <w:rPr>
          <w:rFonts w:ascii="Book Antiqua" w:eastAsia="等线" w:hAnsi="Book Antiqua" w:cs="Times New Roman"/>
          <w:b/>
          <w:sz w:val="24"/>
          <w:szCs w:val="24"/>
          <w:lang w:eastAsia="zh-CN"/>
        </w:rPr>
        <w:t>180</w:t>
      </w:r>
      <w:r w:rsidRPr="008C792F">
        <w:rPr>
          <w:rFonts w:ascii="Book Antiqua" w:eastAsia="等线" w:hAnsi="Book Antiqua" w:cs="Times New Roman"/>
          <w:sz w:val="24"/>
          <w:szCs w:val="24"/>
          <w:lang w:eastAsia="zh-CN"/>
        </w:rPr>
        <w:t>: 86-98 [PMID: 11044519 DOI: 10.1016/s0002-9610(00)00428-1]</w:t>
      </w:r>
    </w:p>
    <w:p w14:paraId="2CF81A9B"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14 </w:t>
      </w:r>
      <w:r w:rsidRPr="008C792F">
        <w:rPr>
          <w:rFonts w:ascii="Book Antiqua" w:eastAsia="等线" w:hAnsi="Book Antiqua" w:cs="Times New Roman"/>
          <w:b/>
          <w:sz w:val="24"/>
          <w:szCs w:val="24"/>
          <w:lang w:eastAsia="zh-CN"/>
        </w:rPr>
        <w:t>Neoptolemos JP</w:t>
      </w:r>
      <w:r w:rsidRPr="008C792F">
        <w:rPr>
          <w:rFonts w:ascii="Book Antiqua" w:eastAsia="等线" w:hAnsi="Book Antiqua" w:cs="Times New Roman"/>
          <w:sz w:val="24"/>
          <w:szCs w:val="24"/>
          <w:lang w:eastAsia="zh-CN"/>
        </w:rPr>
        <w:t xml:space="preserve">, Hall C, O'Connor HJ, Murray WR, Carr-Locke DL. Methyl-tert-butyl-ether for treating bile duct stones: the British experience. </w:t>
      </w:r>
      <w:r w:rsidRPr="008C792F">
        <w:rPr>
          <w:rFonts w:ascii="Book Antiqua" w:eastAsia="等线" w:hAnsi="Book Antiqua" w:cs="Times New Roman"/>
          <w:i/>
          <w:sz w:val="24"/>
          <w:szCs w:val="24"/>
          <w:lang w:eastAsia="zh-CN"/>
        </w:rPr>
        <w:t>Br J Surg</w:t>
      </w:r>
      <w:r w:rsidRPr="008C792F">
        <w:rPr>
          <w:rFonts w:ascii="Book Antiqua" w:eastAsia="等线" w:hAnsi="Book Antiqua" w:cs="Times New Roman"/>
          <w:sz w:val="24"/>
          <w:szCs w:val="24"/>
          <w:lang w:eastAsia="zh-CN"/>
        </w:rPr>
        <w:t xml:space="preserve"> 1990; </w:t>
      </w:r>
      <w:r w:rsidRPr="008C792F">
        <w:rPr>
          <w:rFonts w:ascii="Book Antiqua" w:eastAsia="等线" w:hAnsi="Book Antiqua" w:cs="Times New Roman"/>
          <w:b/>
          <w:sz w:val="24"/>
          <w:szCs w:val="24"/>
          <w:lang w:eastAsia="zh-CN"/>
        </w:rPr>
        <w:t>77</w:t>
      </w:r>
      <w:r w:rsidRPr="008C792F">
        <w:rPr>
          <w:rFonts w:ascii="Book Antiqua" w:eastAsia="等线" w:hAnsi="Book Antiqua" w:cs="Times New Roman"/>
          <w:sz w:val="24"/>
          <w:szCs w:val="24"/>
          <w:lang w:eastAsia="zh-CN"/>
        </w:rPr>
        <w:t>: 32-35 [PMID: 2302510 DOI: 10.1002/bjs.1800770111]</w:t>
      </w:r>
    </w:p>
    <w:p w14:paraId="45217C8F"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15 </w:t>
      </w:r>
      <w:r w:rsidRPr="008C792F">
        <w:rPr>
          <w:rFonts w:ascii="Book Antiqua" w:eastAsia="等线" w:hAnsi="Book Antiqua" w:cs="Times New Roman"/>
          <w:b/>
          <w:sz w:val="24"/>
          <w:szCs w:val="24"/>
          <w:lang w:eastAsia="zh-CN"/>
        </w:rPr>
        <w:t>Saraya A</w:t>
      </w:r>
      <w:r w:rsidRPr="008C792F">
        <w:rPr>
          <w:rFonts w:ascii="Book Antiqua" w:eastAsia="等线" w:hAnsi="Book Antiqua" w:cs="Times New Roman"/>
          <w:sz w:val="24"/>
          <w:szCs w:val="24"/>
          <w:lang w:eastAsia="zh-CN"/>
        </w:rPr>
        <w:t xml:space="preserve">, Rai RR, Tandon RK. Experience with MTBE as a solvent for common bile duct stones in patients with T-tube in situ. </w:t>
      </w:r>
      <w:r w:rsidRPr="008C792F">
        <w:rPr>
          <w:rFonts w:ascii="Book Antiqua" w:eastAsia="等线" w:hAnsi="Book Antiqua" w:cs="Times New Roman"/>
          <w:i/>
          <w:sz w:val="24"/>
          <w:szCs w:val="24"/>
          <w:lang w:eastAsia="zh-CN"/>
        </w:rPr>
        <w:t>J Gastroenterol Hepatol</w:t>
      </w:r>
      <w:r w:rsidRPr="008C792F">
        <w:rPr>
          <w:rFonts w:ascii="Book Antiqua" w:eastAsia="等线" w:hAnsi="Book Antiqua" w:cs="Times New Roman"/>
          <w:sz w:val="24"/>
          <w:szCs w:val="24"/>
          <w:lang w:eastAsia="zh-CN"/>
        </w:rPr>
        <w:t xml:space="preserve"> 1990; </w:t>
      </w:r>
      <w:r w:rsidRPr="008C792F">
        <w:rPr>
          <w:rFonts w:ascii="Book Antiqua" w:eastAsia="等线" w:hAnsi="Book Antiqua" w:cs="Times New Roman"/>
          <w:b/>
          <w:sz w:val="24"/>
          <w:szCs w:val="24"/>
          <w:lang w:eastAsia="zh-CN"/>
        </w:rPr>
        <w:t>5</w:t>
      </w:r>
      <w:r w:rsidRPr="008C792F">
        <w:rPr>
          <w:rFonts w:ascii="Book Antiqua" w:eastAsia="等线" w:hAnsi="Book Antiqua" w:cs="Times New Roman"/>
          <w:sz w:val="24"/>
          <w:szCs w:val="24"/>
          <w:lang w:eastAsia="zh-CN"/>
        </w:rPr>
        <w:t>: 130-134 [PMID: 2103393 DOI: 10.1111/j.1440-1746.1990.tb01817.x]</w:t>
      </w:r>
    </w:p>
    <w:p w14:paraId="30B44208"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16 </w:t>
      </w:r>
      <w:r w:rsidRPr="008C792F">
        <w:rPr>
          <w:rFonts w:ascii="Book Antiqua" w:eastAsia="等线" w:hAnsi="Book Antiqua" w:cs="Times New Roman"/>
          <w:b/>
          <w:sz w:val="24"/>
          <w:szCs w:val="24"/>
          <w:lang w:eastAsia="zh-CN"/>
        </w:rPr>
        <w:t>vanSonnenberg E</w:t>
      </w:r>
      <w:r w:rsidRPr="008C792F">
        <w:rPr>
          <w:rFonts w:ascii="Book Antiqua" w:eastAsia="等线" w:hAnsi="Book Antiqua" w:cs="Times New Roman"/>
          <w:sz w:val="24"/>
          <w:szCs w:val="24"/>
          <w:lang w:eastAsia="zh-CN"/>
        </w:rPr>
        <w:t xml:space="preserve">, Casola G, Zakko SF, Varney RR, Cox J, Wittich GR, Hofmann AF. Gallbladder and bile duct stones: percutaneous therapy with primary MTBE dissolution and mechanical methods. </w:t>
      </w:r>
      <w:r w:rsidRPr="008C792F">
        <w:rPr>
          <w:rFonts w:ascii="Book Antiqua" w:eastAsia="等线" w:hAnsi="Book Antiqua" w:cs="Times New Roman"/>
          <w:i/>
          <w:sz w:val="24"/>
          <w:szCs w:val="24"/>
          <w:lang w:eastAsia="zh-CN"/>
        </w:rPr>
        <w:t>Radiology</w:t>
      </w:r>
      <w:r w:rsidRPr="008C792F">
        <w:rPr>
          <w:rFonts w:ascii="Book Antiqua" w:eastAsia="等线" w:hAnsi="Book Antiqua" w:cs="Times New Roman"/>
          <w:sz w:val="24"/>
          <w:szCs w:val="24"/>
          <w:lang w:eastAsia="zh-CN"/>
        </w:rPr>
        <w:t xml:space="preserve"> 1988; </w:t>
      </w:r>
      <w:r w:rsidRPr="008C792F">
        <w:rPr>
          <w:rFonts w:ascii="Book Antiqua" w:eastAsia="等线" w:hAnsi="Book Antiqua" w:cs="Times New Roman"/>
          <w:b/>
          <w:sz w:val="24"/>
          <w:szCs w:val="24"/>
          <w:lang w:eastAsia="zh-CN"/>
        </w:rPr>
        <w:t>169</w:t>
      </w:r>
      <w:r w:rsidRPr="008C792F">
        <w:rPr>
          <w:rFonts w:ascii="Book Antiqua" w:eastAsia="等线" w:hAnsi="Book Antiqua" w:cs="Times New Roman"/>
          <w:sz w:val="24"/>
          <w:szCs w:val="24"/>
          <w:lang w:eastAsia="zh-CN"/>
        </w:rPr>
        <w:t>: 505-509 [PMID: 3174999 DOI: 10.1148/radiology.169.2.3174999]</w:t>
      </w:r>
    </w:p>
    <w:p w14:paraId="0E55FCB5"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17 </w:t>
      </w:r>
      <w:r w:rsidRPr="008C792F">
        <w:rPr>
          <w:rFonts w:ascii="Book Antiqua" w:eastAsia="等线" w:hAnsi="Book Antiqua" w:cs="Times New Roman"/>
          <w:b/>
          <w:sz w:val="24"/>
          <w:szCs w:val="24"/>
          <w:lang w:eastAsia="zh-CN"/>
        </w:rPr>
        <w:t>vanSonnenberg E</w:t>
      </w:r>
      <w:r w:rsidRPr="008C792F">
        <w:rPr>
          <w:rFonts w:ascii="Book Antiqua" w:eastAsia="等线" w:hAnsi="Book Antiqua" w:cs="Times New Roman"/>
          <w:sz w:val="24"/>
          <w:szCs w:val="24"/>
          <w:lang w:eastAsia="zh-CN"/>
        </w:rPr>
        <w:t xml:space="preserve">, Hofmann AF, Neoptolemus J, Wittich GR, Princenthal RA, Willson SW. Gallstone dissolution with methyl-tert-butyl ether via percutaneous cholecystostomy: success and caveats. </w:t>
      </w:r>
      <w:r w:rsidRPr="008C792F">
        <w:rPr>
          <w:rFonts w:ascii="Book Antiqua" w:eastAsia="等线" w:hAnsi="Book Antiqua" w:cs="Times New Roman"/>
          <w:i/>
          <w:sz w:val="24"/>
          <w:szCs w:val="24"/>
          <w:lang w:eastAsia="zh-CN"/>
        </w:rPr>
        <w:t>AJR Am J Roentgenol</w:t>
      </w:r>
      <w:r w:rsidRPr="008C792F">
        <w:rPr>
          <w:rFonts w:ascii="Book Antiqua" w:eastAsia="等线" w:hAnsi="Book Antiqua" w:cs="Times New Roman"/>
          <w:sz w:val="24"/>
          <w:szCs w:val="24"/>
          <w:lang w:eastAsia="zh-CN"/>
        </w:rPr>
        <w:t xml:space="preserve"> 1986; </w:t>
      </w:r>
      <w:r w:rsidRPr="008C792F">
        <w:rPr>
          <w:rFonts w:ascii="Book Antiqua" w:eastAsia="等线" w:hAnsi="Book Antiqua" w:cs="Times New Roman"/>
          <w:b/>
          <w:sz w:val="24"/>
          <w:szCs w:val="24"/>
          <w:lang w:eastAsia="zh-CN"/>
        </w:rPr>
        <w:t>146</w:t>
      </w:r>
      <w:r w:rsidRPr="008C792F">
        <w:rPr>
          <w:rFonts w:ascii="Book Antiqua" w:eastAsia="等线" w:hAnsi="Book Antiqua" w:cs="Times New Roman"/>
          <w:sz w:val="24"/>
          <w:szCs w:val="24"/>
          <w:lang w:eastAsia="zh-CN"/>
        </w:rPr>
        <w:t>: 865-867 [PMID: 3485362 DOI: 10.2214/ajr.146.4.865]</w:t>
      </w:r>
    </w:p>
    <w:p w14:paraId="13CC7064"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lastRenderedPageBreak/>
        <w:t xml:space="preserve">18 </w:t>
      </w:r>
      <w:r w:rsidRPr="008C792F">
        <w:rPr>
          <w:rFonts w:ascii="Book Antiqua" w:eastAsia="等线" w:hAnsi="Book Antiqua" w:cs="Times New Roman"/>
          <w:b/>
          <w:sz w:val="24"/>
          <w:szCs w:val="24"/>
          <w:lang w:eastAsia="zh-CN"/>
        </w:rPr>
        <w:t>Kim IS</w:t>
      </w:r>
      <w:r w:rsidRPr="008C792F">
        <w:rPr>
          <w:rFonts w:ascii="Book Antiqua" w:eastAsia="等线" w:hAnsi="Book Antiqua" w:cs="Times New Roman"/>
          <w:sz w:val="24"/>
          <w:szCs w:val="24"/>
          <w:lang w:eastAsia="zh-CN"/>
        </w:rPr>
        <w:t xml:space="preserve">, Myung SJ, Lee SS, Lee SK, Kim MH. Classification and nomenclature of gallstones revisited. </w:t>
      </w:r>
      <w:r w:rsidRPr="008C792F">
        <w:rPr>
          <w:rFonts w:ascii="Book Antiqua" w:eastAsia="等线" w:hAnsi="Book Antiqua" w:cs="Times New Roman"/>
          <w:i/>
          <w:sz w:val="24"/>
          <w:szCs w:val="24"/>
          <w:lang w:eastAsia="zh-CN"/>
        </w:rPr>
        <w:t>Yonsei Med J</w:t>
      </w:r>
      <w:r w:rsidRPr="008C792F">
        <w:rPr>
          <w:rFonts w:ascii="Book Antiqua" w:eastAsia="等线" w:hAnsi="Book Antiqua" w:cs="Times New Roman"/>
          <w:sz w:val="24"/>
          <w:szCs w:val="24"/>
          <w:lang w:eastAsia="zh-CN"/>
        </w:rPr>
        <w:t xml:space="preserve"> 2003; </w:t>
      </w:r>
      <w:r w:rsidRPr="008C792F">
        <w:rPr>
          <w:rFonts w:ascii="Book Antiqua" w:eastAsia="等线" w:hAnsi="Book Antiqua" w:cs="Times New Roman"/>
          <w:b/>
          <w:sz w:val="24"/>
          <w:szCs w:val="24"/>
          <w:lang w:eastAsia="zh-CN"/>
        </w:rPr>
        <w:t>44</w:t>
      </w:r>
      <w:r w:rsidRPr="008C792F">
        <w:rPr>
          <w:rFonts w:ascii="Book Antiqua" w:eastAsia="等线" w:hAnsi="Book Antiqua" w:cs="Times New Roman"/>
          <w:sz w:val="24"/>
          <w:szCs w:val="24"/>
          <w:lang w:eastAsia="zh-CN"/>
        </w:rPr>
        <w:t>: 561-570 [PMID: 12950109 DOI: 10.3349/ymj.2003.44.4.561]</w:t>
      </w:r>
    </w:p>
    <w:p w14:paraId="25006E7E"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highlight w:val="yellow"/>
          <w:lang w:eastAsia="zh-CN"/>
        </w:rPr>
        <w:t xml:space="preserve">19 </w:t>
      </w:r>
      <w:r w:rsidRPr="008C792F">
        <w:rPr>
          <w:rFonts w:ascii="Book Antiqua" w:eastAsia="等线" w:hAnsi="Book Antiqua" w:cs="Times New Roman"/>
          <w:b/>
          <w:sz w:val="24"/>
          <w:szCs w:val="24"/>
          <w:highlight w:val="yellow"/>
          <w:lang w:eastAsia="zh-CN"/>
        </w:rPr>
        <w:t>Rege R</w:t>
      </w:r>
      <w:r w:rsidRPr="008C792F">
        <w:rPr>
          <w:rFonts w:ascii="Book Antiqua" w:eastAsia="等线" w:hAnsi="Book Antiqua" w:cs="Times New Roman"/>
          <w:bCs/>
          <w:sz w:val="24"/>
          <w:szCs w:val="24"/>
          <w:highlight w:val="yellow"/>
          <w:lang w:eastAsia="zh-CN"/>
        </w:rPr>
        <w:t>,</w:t>
      </w:r>
      <w:r w:rsidRPr="008C792F">
        <w:rPr>
          <w:rFonts w:ascii="Book Antiqua" w:eastAsia="等线" w:hAnsi="Book Antiqua" w:cs="Times New Roman"/>
          <w:sz w:val="24"/>
          <w:szCs w:val="24"/>
          <w:highlight w:val="yellow"/>
          <w:lang w:eastAsia="zh-CN"/>
        </w:rPr>
        <w:t xml:space="preserve"> Ostrow J. Animal models of pigment and cholesterol gallstone disease. In: Muraca M. Methods in biliary research. 1995: 203-243</w:t>
      </w:r>
    </w:p>
    <w:p w14:paraId="1C9B9A2A"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20 </w:t>
      </w:r>
      <w:r w:rsidRPr="008C792F">
        <w:rPr>
          <w:rFonts w:ascii="Book Antiqua" w:eastAsia="等线" w:hAnsi="Book Antiqua" w:cs="Times New Roman"/>
          <w:b/>
          <w:sz w:val="24"/>
          <w:szCs w:val="24"/>
          <w:lang w:eastAsia="zh-CN"/>
        </w:rPr>
        <w:t>Bird MG</w:t>
      </w:r>
      <w:r w:rsidRPr="008C792F">
        <w:rPr>
          <w:rFonts w:ascii="Book Antiqua" w:eastAsia="等线" w:hAnsi="Book Antiqua" w:cs="Times New Roman"/>
          <w:sz w:val="24"/>
          <w:szCs w:val="24"/>
          <w:lang w:eastAsia="zh-CN"/>
        </w:rPr>
        <w:t xml:space="preserve">, Burleigh-Flayer HD, Chun JS, Douglas JF, Kneiss JJ, Andrews LS. Oncogenicity studies of inhaled methyl tertiary-butyl ether (MTBE) in CD-1 mice and F-344 rats. </w:t>
      </w:r>
      <w:r w:rsidRPr="008C792F">
        <w:rPr>
          <w:rFonts w:ascii="Book Antiqua" w:eastAsia="等线" w:hAnsi="Book Antiqua" w:cs="Times New Roman"/>
          <w:i/>
          <w:sz w:val="24"/>
          <w:szCs w:val="24"/>
          <w:lang w:eastAsia="zh-CN"/>
        </w:rPr>
        <w:t>J Appl Toxicol</w:t>
      </w:r>
      <w:r w:rsidRPr="008C792F">
        <w:rPr>
          <w:rFonts w:ascii="Book Antiqua" w:eastAsia="等线" w:hAnsi="Book Antiqua" w:cs="Times New Roman"/>
          <w:sz w:val="24"/>
          <w:szCs w:val="24"/>
          <w:lang w:eastAsia="zh-CN"/>
        </w:rPr>
        <w:t xml:space="preserve"> 1997; </w:t>
      </w:r>
      <w:r w:rsidRPr="008C792F">
        <w:rPr>
          <w:rFonts w:ascii="Book Antiqua" w:eastAsia="等线" w:hAnsi="Book Antiqua" w:cs="Times New Roman"/>
          <w:b/>
          <w:sz w:val="24"/>
          <w:szCs w:val="24"/>
          <w:lang w:eastAsia="zh-CN"/>
        </w:rPr>
        <w:t>17 Suppl 1</w:t>
      </w:r>
      <w:r w:rsidRPr="008C792F">
        <w:rPr>
          <w:rFonts w:ascii="Book Antiqua" w:eastAsia="等线" w:hAnsi="Book Antiqua" w:cs="Times New Roman"/>
          <w:sz w:val="24"/>
          <w:szCs w:val="24"/>
          <w:lang w:eastAsia="zh-CN"/>
        </w:rPr>
        <w:t>: S45-S55 [PMID: 9179727 DOI: 10.1002/(SICI)1099-1263(199705)17:1+3.3.CO;2-B]</w:t>
      </w:r>
    </w:p>
    <w:p w14:paraId="1875EE30"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21 </w:t>
      </w:r>
      <w:r w:rsidRPr="008C792F">
        <w:rPr>
          <w:rFonts w:ascii="Book Antiqua" w:eastAsia="等线" w:hAnsi="Book Antiqua" w:cs="Times New Roman"/>
          <w:b/>
          <w:sz w:val="24"/>
          <w:szCs w:val="24"/>
          <w:lang w:eastAsia="zh-CN"/>
        </w:rPr>
        <w:t>Mehlman MA</w:t>
      </w:r>
      <w:r w:rsidRPr="008C792F">
        <w:rPr>
          <w:rFonts w:ascii="Book Antiqua" w:eastAsia="等线" w:hAnsi="Book Antiqua" w:cs="Times New Roman"/>
          <w:sz w:val="24"/>
          <w:szCs w:val="24"/>
          <w:lang w:eastAsia="zh-CN"/>
        </w:rPr>
        <w:t xml:space="preserve">. Methyl-tertiary-butyl-ether (MTBE) misclassified. </w:t>
      </w:r>
      <w:r w:rsidRPr="008C792F">
        <w:rPr>
          <w:rFonts w:ascii="Book Antiqua" w:eastAsia="等线" w:hAnsi="Book Antiqua" w:cs="Times New Roman"/>
          <w:i/>
          <w:sz w:val="24"/>
          <w:szCs w:val="24"/>
          <w:lang w:eastAsia="zh-CN"/>
        </w:rPr>
        <w:t>Am J Ind Med</w:t>
      </w:r>
      <w:r w:rsidRPr="008C792F">
        <w:rPr>
          <w:rFonts w:ascii="Book Antiqua" w:eastAsia="等线" w:hAnsi="Book Antiqua" w:cs="Times New Roman"/>
          <w:sz w:val="24"/>
          <w:szCs w:val="24"/>
          <w:lang w:eastAsia="zh-CN"/>
        </w:rPr>
        <w:t xml:space="preserve"> 2001; </w:t>
      </w:r>
      <w:r w:rsidRPr="008C792F">
        <w:rPr>
          <w:rFonts w:ascii="Book Antiqua" w:eastAsia="等线" w:hAnsi="Book Antiqua" w:cs="Times New Roman"/>
          <w:b/>
          <w:sz w:val="24"/>
          <w:szCs w:val="24"/>
          <w:lang w:eastAsia="zh-CN"/>
        </w:rPr>
        <w:t>39</w:t>
      </w:r>
      <w:r w:rsidRPr="008C792F">
        <w:rPr>
          <w:rFonts w:ascii="Book Antiqua" w:eastAsia="等线" w:hAnsi="Book Antiqua" w:cs="Times New Roman"/>
          <w:sz w:val="24"/>
          <w:szCs w:val="24"/>
          <w:lang w:eastAsia="zh-CN"/>
        </w:rPr>
        <w:t>: 505-508 [PMID: 11333412 DOI: 10.1002/ajim.1044]</w:t>
      </w:r>
    </w:p>
    <w:p w14:paraId="7F3F725D"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22 </w:t>
      </w:r>
      <w:r w:rsidRPr="008C792F">
        <w:rPr>
          <w:rFonts w:ascii="Book Antiqua" w:eastAsia="等线" w:hAnsi="Book Antiqua" w:cs="Times New Roman"/>
          <w:b/>
          <w:sz w:val="24"/>
          <w:szCs w:val="24"/>
          <w:lang w:eastAsia="zh-CN"/>
        </w:rPr>
        <w:t>Mehlman MA</w:t>
      </w:r>
      <w:r w:rsidRPr="008C792F">
        <w:rPr>
          <w:rFonts w:ascii="Book Antiqua" w:eastAsia="等线" w:hAnsi="Book Antiqua" w:cs="Times New Roman"/>
          <w:sz w:val="24"/>
          <w:szCs w:val="24"/>
          <w:lang w:eastAsia="zh-CN"/>
        </w:rPr>
        <w:t xml:space="preserve">. Dangerous and cancer-causing properties of products and chemicals in the oil-refining and petrochemical industry--Part XXII: Health hazards from exposure to gasoline containing methyl tertiary butyl ether: study of New Jersey residents. </w:t>
      </w:r>
      <w:r w:rsidRPr="008C792F">
        <w:rPr>
          <w:rFonts w:ascii="Book Antiqua" w:eastAsia="等线" w:hAnsi="Book Antiqua" w:cs="Times New Roman"/>
          <w:i/>
          <w:sz w:val="24"/>
          <w:szCs w:val="24"/>
          <w:lang w:eastAsia="zh-CN"/>
        </w:rPr>
        <w:t>Toxicol Ind Health</w:t>
      </w:r>
      <w:r w:rsidRPr="008C792F">
        <w:rPr>
          <w:rFonts w:ascii="Book Antiqua" w:eastAsia="等线" w:hAnsi="Book Antiqua" w:cs="Times New Roman"/>
          <w:sz w:val="24"/>
          <w:szCs w:val="24"/>
          <w:lang w:eastAsia="zh-CN"/>
        </w:rPr>
        <w:t xml:space="preserve"> 1996; </w:t>
      </w:r>
      <w:r w:rsidRPr="008C792F">
        <w:rPr>
          <w:rFonts w:ascii="Book Antiqua" w:eastAsia="等线" w:hAnsi="Book Antiqua" w:cs="Times New Roman"/>
          <w:b/>
          <w:sz w:val="24"/>
          <w:szCs w:val="24"/>
          <w:lang w:eastAsia="zh-CN"/>
        </w:rPr>
        <w:t>12</w:t>
      </w:r>
      <w:r w:rsidRPr="008C792F">
        <w:rPr>
          <w:rFonts w:ascii="Book Antiqua" w:eastAsia="等线" w:hAnsi="Book Antiqua" w:cs="Times New Roman"/>
          <w:sz w:val="24"/>
          <w:szCs w:val="24"/>
          <w:lang w:eastAsia="zh-CN"/>
        </w:rPr>
        <w:t>: 613-627 [PMID: 8989842 DOI: 10.1177/074823379601200502]</w:t>
      </w:r>
    </w:p>
    <w:p w14:paraId="40134C33"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23 </w:t>
      </w:r>
      <w:r w:rsidRPr="008C792F">
        <w:rPr>
          <w:rFonts w:ascii="Book Antiqua" w:eastAsia="等线" w:hAnsi="Book Antiqua" w:cs="Times New Roman"/>
          <w:b/>
          <w:sz w:val="24"/>
          <w:szCs w:val="24"/>
          <w:lang w:eastAsia="zh-CN"/>
        </w:rPr>
        <w:t>Ponchon T</w:t>
      </w:r>
      <w:r w:rsidRPr="008C792F">
        <w:rPr>
          <w:rFonts w:ascii="Book Antiqua" w:eastAsia="等线" w:hAnsi="Book Antiqua" w:cs="Times New Roman"/>
          <w:sz w:val="24"/>
          <w:szCs w:val="24"/>
          <w:lang w:eastAsia="zh-CN"/>
        </w:rPr>
        <w:t xml:space="preserve">, Baroud J, Pujol B, Valette PJ, Perrot D. Renal failure during dissolution of gallstones by methyl-tert-butyl ether. </w:t>
      </w:r>
      <w:r w:rsidRPr="008C792F">
        <w:rPr>
          <w:rFonts w:ascii="Book Antiqua" w:eastAsia="等线" w:hAnsi="Book Antiqua" w:cs="Times New Roman"/>
          <w:i/>
          <w:sz w:val="24"/>
          <w:szCs w:val="24"/>
          <w:lang w:eastAsia="zh-CN"/>
        </w:rPr>
        <w:t>Lancet</w:t>
      </w:r>
      <w:r w:rsidRPr="008C792F">
        <w:rPr>
          <w:rFonts w:ascii="Book Antiqua" w:eastAsia="等线" w:hAnsi="Book Antiqua" w:cs="Times New Roman"/>
          <w:sz w:val="24"/>
          <w:szCs w:val="24"/>
          <w:lang w:eastAsia="zh-CN"/>
        </w:rPr>
        <w:t xml:space="preserve"> 1988; </w:t>
      </w:r>
      <w:r w:rsidRPr="008C792F">
        <w:rPr>
          <w:rFonts w:ascii="Book Antiqua" w:eastAsia="等线" w:hAnsi="Book Antiqua" w:cs="Times New Roman"/>
          <w:b/>
          <w:sz w:val="24"/>
          <w:szCs w:val="24"/>
          <w:lang w:eastAsia="zh-CN"/>
        </w:rPr>
        <w:t>2</w:t>
      </w:r>
      <w:r w:rsidRPr="008C792F">
        <w:rPr>
          <w:rFonts w:ascii="Book Antiqua" w:eastAsia="等线" w:hAnsi="Book Antiqua" w:cs="Times New Roman"/>
          <w:sz w:val="24"/>
          <w:szCs w:val="24"/>
          <w:lang w:eastAsia="zh-CN"/>
        </w:rPr>
        <w:t>: 276-277 [PMID: 2899258 DOI: 10.1016/s0140-6736(88)92562-7]</w:t>
      </w:r>
    </w:p>
    <w:p w14:paraId="3F5F2874"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24 </w:t>
      </w:r>
      <w:r w:rsidRPr="008C792F">
        <w:rPr>
          <w:rFonts w:ascii="Book Antiqua" w:eastAsia="等线" w:hAnsi="Book Antiqua" w:cs="Times New Roman"/>
          <w:b/>
          <w:sz w:val="24"/>
          <w:szCs w:val="24"/>
          <w:lang w:eastAsia="zh-CN"/>
        </w:rPr>
        <w:t>Hofmann AF</w:t>
      </w:r>
      <w:r w:rsidRPr="008C792F">
        <w:rPr>
          <w:rFonts w:ascii="Book Antiqua" w:eastAsia="等线" w:hAnsi="Book Antiqua" w:cs="Times New Roman"/>
          <w:sz w:val="24"/>
          <w:szCs w:val="24"/>
          <w:lang w:eastAsia="zh-CN"/>
        </w:rPr>
        <w:t xml:space="preserve">, Schteingart CD, vanSonnenberg E, Esch O, Zakko SF. Contact dissolution of cholesterol gallstones with organic solvents. </w:t>
      </w:r>
      <w:r w:rsidRPr="008C792F">
        <w:rPr>
          <w:rFonts w:ascii="Book Antiqua" w:eastAsia="等线" w:hAnsi="Book Antiqua" w:cs="Times New Roman"/>
          <w:i/>
          <w:sz w:val="24"/>
          <w:szCs w:val="24"/>
          <w:lang w:eastAsia="zh-CN"/>
        </w:rPr>
        <w:t>Gastroenterol Clin North Am</w:t>
      </w:r>
      <w:r w:rsidRPr="008C792F">
        <w:rPr>
          <w:rFonts w:ascii="Book Antiqua" w:eastAsia="等线" w:hAnsi="Book Antiqua" w:cs="Times New Roman"/>
          <w:sz w:val="24"/>
          <w:szCs w:val="24"/>
          <w:lang w:eastAsia="zh-CN"/>
        </w:rPr>
        <w:t xml:space="preserve"> 1991; </w:t>
      </w:r>
      <w:r w:rsidRPr="008C792F">
        <w:rPr>
          <w:rFonts w:ascii="Book Antiqua" w:eastAsia="等线" w:hAnsi="Book Antiqua" w:cs="Times New Roman"/>
          <w:b/>
          <w:sz w:val="24"/>
          <w:szCs w:val="24"/>
          <w:lang w:eastAsia="zh-CN"/>
        </w:rPr>
        <w:t>20</w:t>
      </w:r>
      <w:r w:rsidRPr="008C792F">
        <w:rPr>
          <w:rFonts w:ascii="Book Antiqua" w:eastAsia="等线" w:hAnsi="Book Antiqua" w:cs="Times New Roman"/>
          <w:sz w:val="24"/>
          <w:szCs w:val="24"/>
          <w:lang w:eastAsia="zh-CN"/>
        </w:rPr>
        <w:t>: 183-199 [PMID: 2022421 DOI: 10.1055/s-2007-1010630]</w:t>
      </w:r>
    </w:p>
    <w:p w14:paraId="409FC182"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25 </w:t>
      </w:r>
      <w:r w:rsidRPr="008C792F">
        <w:rPr>
          <w:rFonts w:ascii="Book Antiqua" w:eastAsia="等线" w:hAnsi="Book Antiqua" w:cs="Times New Roman"/>
          <w:b/>
          <w:sz w:val="24"/>
          <w:szCs w:val="24"/>
          <w:lang w:eastAsia="zh-CN"/>
        </w:rPr>
        <w:t>Shaffer EA</w:t>
      </w:r>
      <w:r w:rsidRPr="008C792F">
        <w:rPr>
          <w:rFonts w:ascii="Book Antiqua" w:eastAsia="等线" w:hAnsi="Book Antiqua" w:cs="Times New Roman"/>
          <w:sz w:val="24"/>
          <w:szCs w:val="24"/>
          <w:lang w:eastAsia="zh-CN"/>
        </w:rPr>
        <w:t xml:space="preserve">. Epidemiology and risk factors for gallstone disease: has the paradigm changed in the 21st century? </w:t>
      </w:r>
      <w:r w:rsidRPr="008C792F">
        <w:rPr>
          <w:rFonts w:ascii="Book Antiqua" w:eastAsia="等线" w:hAnsi="Book Antiqua" w:cs="Times New Roman"/>
          <w:i/>
          <w:sz w:val="24"/>
          <w:szCs w:val="24"/>
          <w:lang w:eastAsia="zh-CN"/>
        </w:rPr>
        <w:t>Curr Gastroenterol Rep</w:t>
      </w:r>
      <w:r w:rsidRPr="008C792F">
        <w:rPr>
          <w:rFonts w:ascii="Book Antiqua" w:eastAsia="等线" w:hAnsi="Book Antiqua" w:cs="Times New Roman"/>
          <w:sz w:val="24"/>
          <w:szCs w:val="24"/>
          <w:lang w:eastAsia="zh-CN"/>
        </w:rPr>
        <w:t xml:space="preserve"> 2005; </w:t>
      </w:r>
      <w:r w:rsidRPr="008C792F">
        <w:rPr>
          <w:rFonts w:ascii="Book Antiqua" w:eastAsia="等线" w:hAnsi="Book Antiqua" w:cs="Times New Roman"/>
          <w:b/>
          <w:sz w:val="24"/>
          <w:szCs w:val="24"/>
          <w:lang w:eastAsia="zh-CN"/>
        </w:rPr>
        <w:t>7</w:t>
      </w:r>
      <w:r w:rsidRPr="008C792F">
        <w:rPr>
          <w:rFonts w:ascii="Book Antiqua" w:eastAsia="等线" w:hAnsi="Book Antiqua" w:cs="Times New Roman"/>
          <w:sz w:val="24"/>
          <w:szCs w:val="24"/>
          <w:lang w:eastAsia="zh-CN"/>
        </w:rPr>
        <w:t>: 132-140 [PMID: 15802102 DOI: 10.1007/s11894-005-0051-8]</w:t>
      </w:r>
    </w:p>
    <w:p w14:paraId="4BCF6A1F"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26 </w:t>
      </w:r>
      <w:r w:rsidRPr="008C792F">
        <w:rPr>
          <w:rFonts w:ascii="Book Antiqua" w:eastAsia="等线" w:hAnsi="Book Antiqua" w:cs="Times New Roman"/>
          <w:b/>
          <w:sz w:val="24"/>
          <w:szCs w:val="24"/>
          <w:lang w:eastAsia="zh-CN"/>
        </w:rPr>
        <w:t>Tazuma S</w:t>
      </w:r>
      <w:r w:rsidRPr="008C792F">
        <w:rPr>
          <w:rFonts w:ascii="Book Antiqua" w:eastAsia="等线" w:hAnsi="Book Antiqua" w:cs="Times New Roman"/>
          <w:sz w:val="24"/>
          <w:szCs w:val="24"/>
          <w:lang w:eastAsia="zh-CN"/>
        </w:rPr>
        <w:t xml:space="preserve">. Gallstone disease: Epidemiology, pathogenesis, and classification of biliary stones (common bile duct and intrahepatic). </w:t>
      </w:r>
      <w:r w:rsidRPr="008C792F">
        <w:rPr>
          <w:rFonts w:ascii="Book Antiqua" w:eastAsia="等线" w:hAnsi="Book Antiqua" w:cs="Times New Roman"/>
          <w:i/>
          <w:sz w:val="24"/>
          <w:szCs w:val="24"/>
          <w:lang w:eastAsia="zh-CN"/>
        </w:rPr>
        <w:t>Best Pract Res Clin Gastroenterol</w:t>
      </w:r>
      <w:r w:rsidRPr="008C792F">
        <w:rPr>
          <w:rFonts w:ascii="Book Antiqua" w:eastAsia="等线" w:hAnsi="Book Antiqua" w:cs="Times New Roman"/>
          <w:sz w:val="24"/>
          <w:szCs w:val="24"/>
          <w:lang w:eastAsia="zh-CN"/>
        </w:rPr>
        <w:t xml:space="preserve"> 2006; </w:t>
      </w:r>
      <w:r w:rsidRPr="008C792F">
        <w:rPr>
          <w:rFonts w:ascii="Book Antiqua" w:eastAsia="等线" w:hAnsi="Book Antiqua" w:cs="Times New Roman"/>
          <w:b/>
          <w:sz w:val="24"/>
          <w:szCs w:val="24"/>
          <w:lang w:eastAsia="zh-CN"/>
        </w:rPr>
        <w:t>20</w:t>
      </w:r>
      <w:r w:rsidRPr="008C792F">
        <w:rPr>
          <w:rFonts w:ascii="Book Antiqua" w:eastAsia="等线" w:hAnsi="Book Antiqua" w:cs="Times New Roman"/>
          <w:sz w:val="24"/>
          <w:szCs w:val="24"/>
          <w:lang w:eastAsia="zh-CN"/>
        </w:rPr>
        <w:t>: 1075-1083 [PMID: 17127189 DOI: 10.1016/j.bpg.2006.05.009]</w:t>
      </w:r>
    </w:p>
    <w:p w14:paraId="6F27158E"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27 </w:t>
      </w:r>
      <w:r w:rsidRPr="008C792F">
        <w:rPr>
          <w:rFonts w:ascii="Book Antiqua" w:eastAsia="等线" w:hAnsi="Book Antiqua" w:cs="Times New Roman"/>
          <w:b/>
          <w:sz w:val="24"/>
          <w:szCs w:val="24"/>
          <w:lang w:eastAsia="zh-CN"/>
        </w:rPr>
        <w:t>Bell GD</w:t>
      </w:r>
      <w:r w:rsidRPr="008C792F">
        <w:rPr>
          <w:rFonts w:ascii="Book Antiqua" w:eastAsia="等线" w:hAnsi="Book Antiqua" w:cs="Times New Roman"/>
          <w:sz w:val="24"/>
          <w:szCs w:val="24"/>
          <w:lang w:eastAsia="zh-CN"/>
        </w:rPr>
        <w:t xml:space="preserve">, Dowling RH, Whitney B, Sutor DJ. The value of radiology in predicting gallstone type when selecting patients for medical treatment. </w:t>
      </w:r>
      <w:r w:rsidRPr="008C792F">
        <w:rPr>
          <w:rFonts w:ascii="Book Antiqua" w:eastAsia="等线" w:hAnsi="Book Antiqua" w:cs="Times New Roman"/>
          <w:i/>
          <w:sz w:val="24"/>
          <w:szCs w:val="24"/>
          <w:lang w:eastAsia="zh-CN"/>
        </w:rPr>
        <w:t>Gut</w:t>
      </w:r>
      <w:r w:rsidRPr="008C792F">
        <w:rPr>
          <w:rFonts w:ascii="Book Antiqua" w:eastAsia="等线" w:hAnsi="Book Antiqua" w:cs="Times New Roman"/>
          <w:sz w:val="24"/>
          <w:szCs w:val="24"/>
          <w:lang w:eastAsia="zh-CN"/>
        </w:rPr>
        <w:t xml:space="preserve"> 1975; </w:t>
      </w:r>
      <w:r w:rsidRPr="008C792F">
        <w:rPr>
          <w:rFonts w:ascii="Book Antiqua" w:eastAsia="等线" w:hAnsi="Book Antiqua" w:cs="Times New Roman"/>
          <w:b/>
          <w:sz w:val="24"/>
          <w:szCs w:val="24"/>
          <w:lang w:eastAsia="zh-CN"/>
        </w:rPr>
        <w:t>16</w:t>
      </w:r>
      <w:r w:rsidRPr="008C792F">
        <w:rPr>
          <w:rFonts w:ascii="Book Antiqua" w:eastAsia="等线" w:hAnsi="Book Antiqua" w:cs="Times New Roman"/>
          <w:sz w:val="24"/>
          <w:szCs w:val="24"/>
          <w:lang w:eastAsia="zh-CN"/>
        </w:rPr>
        <w:t xml:space="preserve">: 359-364 </w:t>
      </w:r>
      <w:r w:rsidRPr="008C792F">
        <w:rPr>
          <w:rFonts w:ascii="Book Antiqua" w:eastAsia="等线" w:hAnsi="Book Antiqua" w:cs="Times New Roman"/>
          <w:sz w:val="24"/>
          <w:szCs w:val="24"/>
          <w:lang w:eastAsia="zh-CN"/>
        </w:rPr>
        <w:lastRenderedPageBreak/>
        <w:t>[PMID: 1140634 DOI: 10.1136/gut.16.5.359]</w:t>
      </w:r>
    </w:p>
    <w:p w14:paraId="4972D0D0"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28 </w:t>
      </w:r>
      <w:r w:rsidRPr="008C792F">
        <w:rPr>
          <w:rFonts w:ascii="Book Antiqua" w:eastAsia="等线" w:hAnsi="Book Antiqua" w:cs="Times New Roman"/>
          <w:b/>
          <w:sz w:val="24"/>
          <w:szCs w:val="24"/>
          <w:lang w:eastAsia="zh-CN"/>
        </w:rPr>
        <w:t>Weerakoon HT</w:t>
      </w:r>
      <w:r w:rsidRPr="008C792F">
        <w:rPr>
          <w:rFonts w:ascii="Book Antiqua" w:eastAsia="等线" w:hAnsi="Book Antiqua" w:cs="Times New Roman"/>
          <w:sz w:val="24"/>
          <w:szCs w:val="24"/>
          <w:lang w:eastAsia="zh-CN"/>
        </w:rPr>
        <w:t xml:space="preserve">, Ranasinghe JG, Navaratna A, Sivakanesan R, Galketiya KB, Rosairo S. Can the type of gallstones be predicted with known possible risk factors?: A comparison between mixed cholesterol and black pigment stones. </w:t>
      </w:r>
      <w:r w:rsidRPr="008C792F">
        <w:rPr>
          <w:rFonts w:ascii="Book Antiqua" w:eastAsia="等线" w:hAnsi="Book Antiqua" w:cs="Times New Roman"/>
          <w:i/>
          <w:sz w:val="24"/>
          <w:szCs w:val="24"/>
          <w:lang w:eastAsia="zh-CN"/>
        </w:rPr>
        <w:t>BMC Gastroenterol</w:t>
      </w:r>
      <w:r w:rsidRPr="008C792F">
        <w:rPr>
          <w:rFonts w:ascii="Book Antiqua" w:eastAsia="等线" w:hAnsi="Book Antiqua" w:cs="Times New Roman"/>
          <w:sz w:val="24"/>
          <w:szCs w:val="24"/>
          <w:lang w:eastAsia="zh-CN"/>
        </w:rPr>
        <w:t xml:space="preserve"> 2014; </w:t>
      </w:r>
      <w:r w:rsidRPr="008C792F">
        <w:rPr>
          <w:rFonts w:ascii="Book Antiqua" w:eastAsia="等线" w:hAnsi="Book Antiqua" w:cs="Times New Roman"/>
          <w:b/>
          <w:sz w:val="24"/>
          <w:szCs w:val="24"/>
          <w:lang w:eastAsia="zh-CN"/>
        </w:rPr>
        <w:t>14</w:t>
      </w:r>
      <w:r w:rsidRPr="008C792F">
        <w:rPr>
          <w:rFonts w:ascii="Book Antiqua" w:eastAsia="等线" w:hAnsi="Book Antiqua" w:cs="Times New Roman"/>
          <w:sz w:val="24"/>
          <w:szCs w:val="24"/>
          <w:lang w:eastAsia="zh-CN"/>
        </w:rPr>
        <w:t>: 88 [PMID: 24884475 DOI: 10.1186/1471-230X-14-88]</w:t>
      </w:r>
    </w:p>
    <w:p w14:paraId="54C18883"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29 </w:t>
      </w:r>
      <w:r w:rsidRPr="008C792F">
        <w:rPr>
          <w:rFonts w:ascii="Book Antiqua" w:eastAsia="等线" w:hAnsi="Book Antiqua" w:cs="Times New Roman"/>
          <w:b/>
          <w:sz w:val="24"/>
          <w:szCs w:val="24"/>
          <w:lang w:eastAsia="zh-CN"/>
        </w:rPr>
        <w:t>Deziel DJ</w:t>
      </w:r>
      <w:r w:rsidRPr="008C792F">
        <w:rPr>
          <w:rFonts w:ascii="Book Antiqua" w:eastAsia="等线" w:hAnsi="Book Antiqua" w:cs="Times New Roman"/>
          <w:sz w:val="24"/>
          <w:szCs w:val="24"/>
          <w:lang w:eastAsia="zh-CN"/>
        </w:rPr>
        <w:t xml:space="preserve">, Millikan KW, Economou SG, Doolas A, Ko ST, Airan MC. Complications of laparoscopic cholecystectomy: a national survey of 4,292 hospitals and an analysis of 77,604 cases. </w:t>
      </w:r>
      <w:r w:rsidRPr="008C792F">
        <w:rPr>
          <w:rFonts w:ascii="Book Antiqua" w:eastAsia="等线" w:hAnsi="Book Antiqua" w:cs="Times New Roman"/>
          <w:i/>
          <w:sz w:val="24"/>
          <w:szCs w:val="24"/>
          <w:lang w:eastAsia="zh-CN"/>
        </w:rPr>
        <w:t>Am J Surg</w:t>
      </w:r>
      <w:r w:rsidRPr="008C792F">
        <w:rPr>
          <w:rFonts w:ascii="Book Antiqua" w:eastAsia="等线" w:hAnsi="Book Antiqua" w:cs="Times New Roman"/>
          <w:sz w:val="24"/>
          <w:szCs w:val="24"/>
          <w:lang w:eastAsia="zh-CN"/>
        </w:rPr>
        <w:t xml:space="preserve"> 1993; </w:t>
      </w:r>
      <w:r w:rsidRPr="008C792F">
        <w:rPr>
          <w:rFonts w:ascii="Book Antiqua" w:eastAsia="等线" w:hAnsi="Book Antiqua" w:cs="Times New Roman"/>
          <w:b/>
          <w:sz w:val="24"/>
          <w:szCs w:val="24"/>
          <w:lang w:eastAsia="zh-CN"/>
        </w:rPr>
        <w:t>165</w:t>
      </w:r>
      <w:r w:rsidRPr="008C792F">
        <w:rPr>
          <w:rFonts w:ascii="Book Antiqua" w:eastAsia="等线" w:hAnsi="Book Antiqua" w:cs="Times New Roman"/>
          <w:sz w:val="24"/>
          <w:szCs w:val="24"/>
          <w:lang w:eastAsia="zh-CN"/>
        </w:rPr>
        <w:t>: 9-14 [PMID: 8418705 DOI: 10.1016/s0002-9610(05)80397-6]</w:t>
      </w:r>
    </w:p>
    <w:p w14:paraId="1F9EF856"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30 </w:t>
      </w:r>
      <w:r w:rsidRPr="008C792F">
        <w:rPr>
          <w:rFonts w:ascii="Book Antiqua" w:eastAsia="等线" w:hAnsi="Book Antiqua" w:cs="Times New Roman"/>
          <w:b/>
          <w:sz w:val="24"/>
          <w:szCs w:val="24"/>
          <w:lang w:eastAsia="zh-CN"/>
        </w:rPr>
        <w:t>Ponsky JL</w:t>
      </w:r>
      <w:r w:rsidRPr="008C792F">
        <w:rPr>
          <w:rFonts w:ascii="Book Antiqua" w:eastAsia="等线" w:hAnsi="Book Antiqua" w:cs="Times New Roman"/>
          <w:sz w:val="24"/>
          <w:szCs w:val="24"/>
          <w:lang w:eastAsia="zh-CN"/>
        </w:rPr>
        <w:t xml:space="preserve">. Complications of laparoscopic cholecystectomy. </w:t>
      </w:r>
      <w:r w:rsidRPr="008C792F">
        <w:rPr>
          <w:rFonts w:ascii="Book Antiqua" w:eastAsia="等线" w:hAnsi="Book Antiqua" w:cs="Times New Roman"/>
          <w:i/>
          <w:sz w:val="24"/>
          <w:szCs w:val="24"/>
          <w:lang w:eastAsia="zh-CN"/>
        </w:rPr>
        <w:t>Am J Surg</w:t>
      </w:r>
      <w:r w:rsidRPr="008C792F">
        <w:rPr>
          <w:rFonts w:ascii="Book Antiqua" w:eastAsia="等线" w:hAnsi="Book Antiqua" w:cs="Times New Roman"/>
          <w:sz w:val="24"/>
          <w:szCs w:val="24"/>
          <w:lang w:eastAsia="zh-CN"/>
        </w:rPr>
        <w:t xml:space="preserve"> 1991; </w:t>
      </w:r>
      <w:r w:rsidRPr="008C792F">
        <w:rPr>
          <w:rFonts w:ascii="Book Antiqua" w:eastAsia="等线" w:hAnsi="Book Antiqua" w:cs="Times New Roman"/>
          <w:b/>
          <w:sz w:val="24"/>
          <w:szCs w:val="24"/>
          <w:lang w:eastAsia="zh-CN"/>
        </w:rPr>
        <w:t>161</w:t>
      </w:r>
      <w:r w:rsidRPr="008C792F">
        <w:rPr>
          <w:rFonts w:ascii="Book Antiqua" w:eastAsia="等线" w:hAnsi="Book Antiqua" w:cs="Times New Roman"/>
          <w:sz w:val="24"/>
          <w:szCs w:val="24"/>
          <w:lang w:eastAsia="zh-CN"/>
        </w:rPr>
        <w:t>: 393-395 [PMID: 1825765 DOI: 10.1016/0002-9610(91)90605-d]</w:t>
      </w:r>
    </w:p>
    <w:p w14:paraId="30A9C08D"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31 </w:t>
      </w:r>
      <w:r w:rsidRPr="008C792F">
        <w:rPr>
          <w:rFonts w:ascii="Book Antiqua" w:eastAsia="等线" w:hAnsi="Book Antiqua" w:cs="Times New Roman"/>
          <w:b/>
          <w:sz w:val="24"/>
          <w:szCs w:val="24"/>
          <w:lang w:eastAsia="zh-CN"/>
        </w:rPr>
        <w:t>Rauws EA</w:t>
      </w:r>
      <w:r w:rsidRPr="008C792F">
        <w:rPr>
          <w:rFonts w:ascii="Book Antiqua" w:eastAsia="等线" w:hAnsi="Book Antiqua" w:cs="Times New Roman"/>
          <w:sz w:val="24"/>
          <w:szCs w:val="24"/>
          <w:lang w:eastAsia="zh-CN"/>
        </w:rPr>
        <w:t xml:space="preserve">, Gouma DJ. Endoscopic and surgical management of bile duct injury after laparoscopic cholecystectomy. </w:t>
      </w:r>
      <w:r w:rsidRPr="008C792F">
        <w:rPr>
          <w:rFonts w:ascii="Book Antiqua" w:eastAsia="等线" w:hAnsi="Book Antiqua" w:cs="Times New Roman"/>
          <w:i/>
          <w:sz w:val="24"/>
          <w:szCs w:val="24"/>
          <w:lang w:eastAsia="zh-CN"/>
        </w:rPr>
        <w:t>Best Pract Res Clin Gastroenterol</w:t>
      </w:r>
      <w:r w:rsidRPr="008C792F">
        <w:rPr>
          <w:rFonts w:ascii="Book Antiqua" w:eastAsia="等线" w:hAnsi="Book Antiqua" w:cs="Times New Roman"/>
          <w:sz w:val="24"/>
          <w:szCs w:val="24"/>
          <w:lang w:eastAsia="zh-CN"/>
        </w:rPr>
        <w:t xml:space="preserve"> 2004; </w:t>
      </w:r>
      <w:r w:rsidRPr="008C792F">
        <w:rPr>
          <w:rFonts w:ascii="Book Antiqua" w:eastAsia="等线" w:hAnsi="Book Antiqua" w:cs="Times New Roman"/>
          <w:b/>
          <w:sz w:val="24"/>
          <w:szCs w:val="24"/>
          <w:lang w:eastAsia="zh-CN"/>
        </w:rPr>
        <w:t>18</w:t>
      </w:r>
      <w:r w:rsidRPr="008C792F">
        <w:rPr>
          <w:rFonts w:ascii="Book Antiqua" w:eastAsia="等线" w:hAnsi="Book Antiqua" w:cs="Times New Roman"/>
          <w:sz w:val="24"/>
          <w:szCs w:val="24"/>
          <w:lang w:eastAsia="zh-CN"/>
        </w:rPr>
        <w:t>: 829-846 [PMID: 15494281 DOI: 10.1016/j.bpg.2004.05.003]</w:t>
      </w:r>
    </w:p>
    <w:p w14:paraId="7B4CBBBC"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32 </w:t>
      </w:r>
      <w:r w:rsidRPr="008C792F">
        <w:rPr>
          <w:rFonts w:ascii="Book Antiqua" w:eastAsia="等线" w:hAnsi="Book Antiqua" w:cs="Times New Roman"/>
          <w:b/>
          <w:sz w:val="24"/>
          <w:szCs w:val="24"/>
          <w:lang w:eastAsia="zh-CN"/>
        </w:rPr>
        <w:t>Sicklick JK</w:t>
      </w:r>
      <w:r w:rsidRPr="008C792F">
        <w:rPr>
          <w:rFonts w:ascii="Book Antiqua" w:eastAsia="等线" w:hAnsi="Book Antiqua" w:cs="Times New Roman"/>
          <w:sz w:val="24"/>
          <w:szCs w:val="24"/>
          <w:lang w:eastAsia="zh-CN"/>
        </w:rPr>
        <w:t xml:space="preserve">, Camp MS, Lillemoe KD, Melton GB, Yeo CJ, Campbell KA, Talamini MA, Pitt HA, Coleman J, Sauter PA, Cameron JL. Surgical management of bile duct injuries sustained during laparoscopic cholecystectomy: perioperative results in 200 patients. </w:t>
      </w:r>
      <w:r w:rsidRPr="008C792F">
        <w:rPr>
          <w:rFonts w:ascii="Book Antiqua" w:eastAsia="等线" w:hAnsi="Book Antiqua" w:cs="Times New Roman"/>
          <w:i/>
          <w:sz w:val="24"/>
          <w:szCs w:val="24"/>
          <w:lang w:eastAsia="zh-CN"/>
        </w:rPr>
        <w:t>Ann Surg</w:t>
      </w:r>
      <w:r w:rsidRPr="008C792F">
        <w:rPr>
          <w:rFonts w:ascii="Book Antiqua" w:eastAsia="等线" w:hAnsi="Book Antiqua" w:cs="Times New Roman"/>
          <w:sz w:val="24"/>
          <w:szCs w:val="24"/>
          <w:lang w:eastAsia="zh-CN"/>
        </w:rPr>
        <w:t xml:space="preserve"> 2005; </w:t>
      </w:r>
      <w:r w:rsidRPr="008C792F">
        <w:rPr>
          <w:rFonts w:ascii="Book Antiqua" w:eastAsia="等线" w:hAnsi="Book Antiqua" w:cs="Times New Roman"/>
          <w:b/>
          <w:sz w:val="24"/>
          <w:szCs w:val="24"/>
          <w:lang w:eastAsia="zh-CN"/>
        </w:rPr>
        <w:t>241</w:t>
      </w:r>
      <w:r w:rsidRPr="008C792F">
        <w:rPr>
          <w:rFonts w:ascii="Book Antiqua" w:eastAsia="等线" w:hAnsi="Book Antiqua" w:cs="Times New Roman"/>
          <w:sz w:val="24"/>
          <w:szCs w:val="24"/>
          <w:lang w:eastAsia="zh-CN"/>
        </w:rPr>
        <w:t>: 786-92; discussion 793-5 [PMID: 15849514 DOI: 10.1097/01.sla.0000161029.27410.71]</w:t>
      </w:r>
    </w:p>
    <w:p w14:paraId="49CB0552"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33 </w:t>
      </w:r>
      <w:r w:rsidRPr="008C792F">
        <w:rPr>
          <w:rFonts w:ascii="Book Antiqua" w:eastAsia="等线" w:hAnsi="Book Antiqua" w:cs="Times New Roman"/>
          <w:b/>
          <w:sz w:val="24"/>
          <w:szCs w:val="24"/>
          <w:lang w:eastAsia="zh-CN"/>
        </w:rPr>
        <w:t>Jaunoo SS</w:t>
      </w:r>
      <w:r w:rsidRPr="008C792F">
        <w:rPr>
          <w:rFonts w:ascii="Book Antiqua" w:eastAsia="等线" w:hAnsi="Book Antiqua" w:cs="Times New Roman"/>
          <w:sz w:val="24"/>
          <w:szCs w:val="24"/>
          <w:lang w:eastAsia="zh-CN"/>
        </w:rPr>
        <w:t xml:space="preserve">, Mohandas S, Almond LM. Postcholecystectomy syndrome (PCS). </w:t>
      </w:r>
      <w:r w:rsidRPr="008C792F">
        <w:rPr>
          <w:rFonts w:ascii="Book Antiqua" w:eastAsia="等线" w:hAnsi="Book Antiqua" w:cs="Times New Roman"/>
          <w:i/>
          <w:sz w:val="24"/>
          <w:szCs w:val="24"/>
          <w:lang w:eastAsia="zh-CN"/>
        </w:rPr>
        <w:t>Int J Surg</w:t>
      </w:r>
      <w:r w:rsidRPr="008C792F">
        <w:rPr>
          <w:rFonts w:ascii="Book Antiqua" w:eastAsia="等线" w:hAnsi="Book Antiqua" w:cs="Times New Roman"/>
          <w:sz w:val="24"/>
          <w:szCs w:val="24"/>
          <w:lang w:eastAsia="zh-CN"/>
        </w:rPr>
        <w:t xml:space="preserve"> 2010; </w:t>
      </w:r>
      <w:r w:rsidRPr="008C792F">
        <w:rPr>
          <w:rFonts w:ascii="Book Antiqua" w:eastAsia="等线" w:hAnsi="Book Antiqua" w:cs="Times New Roman"/>
          <w:b/>
          <w:sz w:val="24"/>
          <w:szCs w:val="24"/>
          <w:lang w:eastAsia="zh-CN"/>
        </w:rPr>
        <w:t>8</w:t>
      </w:r>
      <w:r w:rsidRPr="008C792F">
        <w:rPr>
          <w:rFonts w:ascii="Book Antiqua" w:eastAsia="等线" w:hAnsi="Book Antiqua" w:cs="Times New Roman"/>
          <w:sz w:val="24"/>
          <w:szCs w:val="24"/>
          <w:lang w:eastAsia="zh-CN"/>
        </w:rPr>
        <w:t>: 15-17 [PMID: 19857610 DOI: 10.1016/j.ijsu.2009.10.008]</w:t>
      </w:r>
    </w:p>
    <w:p w14:paraId="0C97F588"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34 </w:t>
      </w:r>
      <w:r w:rsidRPr="008C792F">
        <w:rPr>
          <w:rFonts w:ascii="Book Antiqua" w:eastAsia="等线" w:hAnsi="Book Antiqua" w:cs="Times New Roman"/>
          <w:b/>
          <w:sz w:val="24"/>
          <w:szCs w:val="24"/>
          <w:lang w:eastAsia="zh-CN"/>
        </w:rPr>
        <w:t>Bernstein H</w:t>
      </w:r>
      <w:r w:rsidRPr="008C792F">
        <w:rPr>
          <w:rFonts w:ascii="Book Antiqua" w:eastAsia="等线" w:hAnsi="Book Antiqua" w:cs="Times New Roman"/>
          <w:sz w:val="24"/>
          <w:szCs w:val="24"/>
          <w:lang w:eastAsia="zh-CN"/>
        </w:rPr>
        <w:t xml:space="preserve">, Bernstein C, Payne CM, Dvorak K. Bile acids as endogenous etiologic agents in gastrointestinal cancer. </w:t>
      </w:r>
      <w:r w:rsidRPr="008C792F">
        <w:rPr>
          <w:rFonts w:ascii="Book Antiqua" w:eastAsia="等线" w:hAnsi="Book Antiqua" w:cs="Times New Roman"/>
          <w:i/>
          <w:sz w:val="24"/>
          <w:szCs w:val="24"/>
          <w:lang w:eastAsia="zh-CN"/>
        </w:rPr>
        <w:t>World J Gastroenterol</w:t>
      </w:r>
      <w:r w:rsidRPr="008C792F">
        <w:rPr>
          <w:rFonts w:ascii="Book Antiqua" w:eastAsia="等线" w:hAnsi="Book Antiqua" w:cs="Times New Roman"/>
          <w:sz w:val="24"/>
          <w:szCs w:val="24"/>
          <w:lang w:eastAsia="zh-CN"/>
        </w:rPr>
        <w:t xml:space="preserve"> 2009; </w:t>
      </w:r>
      <w:r w:rsidRPr="008C792F">
        <w:rPr>
          <w:rFonts w:ascii="Book Antiqua" w:eastAsia="等线" w:hAnsi="Book Antiqua" w:cs="Times New Roman"/>
          <w:b/>
          <w:sz w:val="24"/>
          <w:szCs w:val="24"/>
          <w:lang w:eastAsia="zh-CN"/>
        </w:rPr>
        <w:t>15</w:t>
      </w:r>
      <w:r w:rsidRPr="008C792F">
        <w:rPr>
          <w:rFonts w:ascii="Book Antiqua" w:eastAsia="等线" w:hAnsi="Book Antiqua" w:cs="Times New Roman"/>
          <w:sz w:val="24"/>
          <w:szCs w:val="24"/>
          <w:lang w:eastAsia="zh-CN"/>
        </w:rPr>
        <w:t>: 3329-3340 [PMID: 19610133 DOI: 10.3748/wjg.15.3329]</w:t>
      </w:r>
    </w:p>
    <w:p w14:paraId="3CB3149C"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35 </w:t>
      </w:r>
      <w:r w:rsidRPr="008C792F">
        <w:rPr>
          <w:rFonts w:ascii="Book Antiqua" w:eastAsia="等线" w:hAnsi="Book Antiqua" w:cs="Times New Roman"/>
          <w:b/>
          <w:sz w:val="24"/>
          <w:szCs w:val="24"/>
          <w:lang w:eastAsia="zh-CN"/>
        </w:rPr>
        <w:t>Ge Z</w:t>
      </w:r>
      <w:r w:rsidRPr="008C792F">
        <w:rPr>
          <w:rFonts w:ascii="Book Antiqua" w:eastAsia="等线" w:hAnsi="Book Antiqua" w:cs="Times New Roman"/>
          <w:sz w:val="24"/>
          <w:szCs w:val="24"/>
          <w:lang w:eastAsia="zh-CN"/>
        </w:rPr>
        <w:t xml:space="preserve">, Zhao C, Wang Y, Qian J. Cholecystectomy and the risk of esophageal and gastric cancer. </w:t>
      </w:r>
      <w:r w:rsidRPr="008C792F">
        <w:rPr>
          <w:rFonts w:ascii="Book Antiqua" w:eastAsia="等线" w:hAnsi="Book Antiqua" w:cs="Times New Roman"/>
          <w:i/>
          <w:sz w:val="24"/>
          <w:szCs w:val="24"/>
          <w:lang w:eastAsia="zh-CN"/>
        </w:rPr>
        <w:t>Saudi Med J</w:t>
      </w:r>
      <w:r w:rsidRPr="008C792F">
        <w:rPr>
          <w:rFonts w:ascii="Book Antiqua" w:eastAsia="等线" w:hAnsi="Book Antiqua" w:cs="Times New Roman"/>
          <w:sz w:val="24"/>
          <w:szCs w:val="24"/>
          <w:lang w:eastAsia="zh-CN"/>
        </w:rPr>
        <w:t xml:space="preserve"> 2012; </w:t>
      </w:r>
      <w:r w:rsidRPr="008C792F">
        <w:rPr>
          <w:rFonts w:ascii="Book Antiqua" w:eastAsia="等线" w:hAnsi="Book Antiqua" w:cs="Times New Roman"/>
          <w:b/>
          <w:sz w:val="24"/>
          <w:szCs w:val="24"/>
          <w:lang w:eastAsia="zh-CN"/>
        </w:rPr>
        <w:t>33</w:t>
      </w:r>
      <w:r w:rsidRPr="008C792F">
        <w:rPr>
          <w:rFonts w:ascii="Book Antiqua" w:eastAsia="等线" w:hAnsi="Book Antiqua" w:cs="Times New Roman"/>
          <w:sz w:val="24"/>
          <w:szCs w:val="24"/>
          <w:lang w:eastAsia="zh-CN"/>
        </w:rPr>
        <w:t>: 1073-1079 [PMID: 23047213 DOI: 10.4103/1119-3077.104540]</w:t>
      </w:r>
    </w:p>
    <w:p w14:paraId="3D2A72F9"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36 </w:t>
      </w:r>
      <w:r w:rsidRPr="008C792F">
        <w:rPr>
          <w:rFonts w:ascii="Book Antiqua" w:eastAsia="等线" w:hAnsi="Book Antiqua" w:cs="Times New Roman"/>
          <w:b/>
          <w:sz w:val="24"/>
          <w:szCs w:val="24"/>
          <w:lang w:eastAsia="zh-CN"/>
        </w:rPr>
        <w:t>Giovannucci E</w:t>
      </w:r>
      <w:r w:rsidRPr="008C792F">
        <w:rPr>
          <w:rFonts w:ascii="Book Antiqua" w:eastAsia="等线" w:hAnsi="Book Antiqua" w:cs="Times New Roman"/>
          <w:sz w:val="24"/>
          <w:szCs w:val="24"/>
          <w:lang w:eastAsia="zh-CN"/>
        </w:rPr>
        <w:t xml:space="preserve">, Colditz GA, Stampfer MJ. A meta-analysis of cholecystectomy and risk of colorectal cancer. </w:t>
      </w:r>
      <w:r w:rsidRPr="008C792F">
        <w:rPr>
          <w:rFonts w:ascii="Book Antiqua" w:eastAsia="等线" w:hAnsi="Book Antiqua" w:cs="Times New Roman"/>
          <w:i/>
          <w:sz w:val="24"/>
          <w:szCs w:val="24"/>
          <w:lang w:eastAsia="zh-CN"/>
        </w:rPr>
        <w:t>Gastroenterology</w:t>
      </w:r>
      <w:r w:rsidRPr="008C792F">
        <w:rPr>
          <w:rFonts w:ascii="Book Antiqua" w:eastAsia="等线" w:hAnsi="Book Antiqua" w:cs="Times New Roman"/>
          <w:sz w:val="24"/>
          <w:szCs w:val="24"/>
          <w:lang w:eastAsia="zh-CN"/>
        </w:rPr>
        <w:t xml:space="preserve"> 1993; </w:t>
      </w:r>
      <w:r w:rsidRPr="008C792F">
        <w:rPr>
          <w:rFonts w:ascii="Book Antiqua" w:eastAsia="等线" w:hAnsi="Book Antiqua" w:cs="Times New Roman"/>
          <w:b/>
          <w:sz w:val="24"/>
          <w:szCs w:val="24"/>
          <w:lang w:eastAsia="zh-CN"/>
        </w:rPr>
        <w:t>105</w:t>
      </w:r>
      <w:r w:rsidRPr="008C792F">
        <w:rPr>
          <w:rFonts w:ascii="Book Antiqua" w:eastAsia="等线" w:hAnsi="Book Antiqua" w:cs="Times New Roman"/>
          <w:sz w:val="24"/>
          <w:szCs w:val="24"/>
          <w:lang w:eastAsia="zh-CN"/>
        </w:rPr>
        <w:t>: 130-141 [PMID: 8514030 DOI: 10.1016/0016-5085(93)90018-8]</w:t>
      </w:r>
    </w:p>
    <w:p w14:paraId="20898D2E"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lastRenderedPageBreak/>
        <w:t xml:space="preserve">37 </w:t>
      </w:r>
      <w:r w:rsidRPr="008C792F">
        <w:rPr>
          <w:rFonts w:ascii="Book Antiqua" w:eastAsia="等线" w:hAnsi="Book Antiqua" w:cs="Times New Roman"/>
          <w:b/>
          <w:sz w:val="24"/>
          <w:szCs w:val="24"/>
          <w:lang w:eastAsia="zh-CN"/>
        </w:rPr>
        <w:t>Nogueira L</w:t>
      </w:r>
      <w:r w:rsidRPr="008C792F">
        <w:rPr>
          <w:rFonts w:ascii="Book Antiqua" w:eastAsia="等线" w:hAnsi="Book Antiqua" w:cs="Times New Roman"/>
          <w:sz w:val="24"/>
          <w:szCs w:val="24"/>
          <w:lang w:eastAsia="zh-CN"/>
        </w:rPr>
        <w:t xml:space="preserve">, Freedman ND, Engels EA, Warren JL, Castro F, Koshiol J. Gallstones, cholecystectomy, and risk of digestive system cancers. </w:t>
      </w:r>
      <w:r w:rsidRPr="008C792F">
        <w:rPr>
          <w:rFonts w:ascii="Book Antiqua" w:eastAsia="等线" w:hAnsi="Book Antiqua" w:cs="Times New Roman"/>
          <w:i/>
          <w:sz w:val="24"/>
          <w:szCs w:val="24"/>
          <w:lang w:eastAsia="zh-CN"/>
        </w:rPr>
        <w:t>Am J Epidemiol</w:t>
      </w:r>
      <w:r w:rsidRPr="008C792F">
        <w:rPr>
          <w:rFonts w:ascii="Book Antiqua" w:eastAsia="等线" w:hAnsi="Book Antiqua" w:cs="Times New Roman"/>
          <w:sz w:val="24"/>
          <w:szCs w:val="24"/>
          <w:lang w:eastAsia="zh-CN"/>
        </w:rPr>
        <w:t xml:space="preserve"> 2014; </w:t>
      </w:r>
      <w:r w:rsidRPr="008C792F">
        <w:rPr>
          <w:rFonts w:ascii="Book Antiqua" w:eastAsia="等线" w:hAnsi="Book Antiqua" w:cs="Times New Roman"/>
          <w:b/>
          <w:sz w:val="24"/>
          <w:szCs w:val="24"/>
          <w:lang w:eastAsia="zh-CN"/>
        </w:rPr>
        <w:t>179</w:t>
      </w:r>
      <w:r w:rsidRPr="008C792F">
        <w:rPr>
          <w:rFonts w:ascii="Book Antiqua" w:eastAsia="等线" w:hAnsi="Book Antiqua" w:cs="Times New Roman"/>
          <w:sz w:val="24"/>
          <w:szCs w:val="24"/>
          <w:lang w:eastAsia="zh-CN"/>
        </w:rPr>
        <w:t>: 731-739 [PMID: 24470530 DOI: 10.1093/aje/kwt322]</w:t>
      </w:r>
    </w:p>
    <w:p w14:paraId="57F9E591"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38 </w:t>
      </w:r>
      <w:r w:rsidRPr="008C792F">
        <w:rPr>
          <w:rFonts w:ascii="Book Antiqua" w:eastAsia="等线" w:hAnsi="Book Antiqua" w:cs="Times New Roman"/>
          <w:b/>
          <w:sz w:val="24"/>
          <w:szCs w:val="24"/>
          <w:lang w:eastAsia="zh-CN"/>
        </w:rPr>
        <w:t>Reid FD</w:t>
      </w:r>
      <w:r w:rsidRPr="008C792F">
        <w:rPr>
          <w:rFonts w:ascii="Book Antiqua" w:eastAsia="等线" w:hAnsi="Book Antiqua" w:cs="Times New Roman"/>
          <w:sz w:val="24"/>
          <w:szCs w:val="24"/>
          <w:lang w:eastAsia="zh-CN"/>
        </w:rPr>
        <w:t xml:space="preserve">, Mercer PM, harrison M, Bates T. Cholecystectomy as a risk factor for colorectal cancer: a meta-analysis. </w:t>
      </w:r>
      <w:r w:rsidRPr="008C792F">
        <w:rPr>
          <w:rFonts w:ascii="Book Antiqua" w:eastAsia="等线" w:hAnsi="Book Antiqua" w:cs="Times New Roman"/>
          <w:i/>
          <w:sz w:val="24"/>
          <w:szCs w:val="24"/>
          <w:lang w:eastAsia="zh-CN"/>
        </w:rPr>
        <w:t>Scand J Gastroenterol</w:t>
      </w:r>
      <w:r w:rsidRPr="008C792F">
        <w:rPr>
          <w:rFonts w:ascii="Book Antiqua" w:eastAsia="等线" w:hAnsi="Book Antiqua" w:cs="Times New Roman"/>
          <w:sz w:val="24"/>
          <w:szCs w:val="24"/>
          <w:lang w:eastAsia="zh-CN"/>
        </w:rPr>
        <w:t xml:space="preserve"> 1996; </w:t>
      </w:r>
      <w:r w:rsidRPr="008C792F">
        <w:rPr>
          <w:rFonts w:ascii="Book Antiqua" w:eastAsia="等线" w:hAnsi="Book Antiqua" w:cs="Times New Roman"/>
          <w:b/>
          <w:sz w:val="24"/>
          <w:szCs w:val="24"/>
          <w:lang w:eastAsia="zh-CN"/>
        </w:rPr>
        <w:t>31</w:t>
      </w:r>
      <w:r w:rsidRPr="008C792F">
        <w:rPr>
          <w:rFonts w:ascii="Book Antiqua" w:eastAsia="等线" w:hAnsi="Book Antiqua" w:cs="Times New Roman"/>
          <w:sz w:val="24"/>
          <w:szCs w:val="24"/>
          <w:lang w:eastAsia="zh-CN"/>
        </w:rPr>
        <w:t>: 160-169 [PMID: 8658039 DOI: 10.3109/00365529609031981]</w:t>
      </w:r>
    </w:p>
    <w:p w14:paraId="28E8CCEF"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39 </w:t>
      </w:r>
      <w:r w:rsidRPr="008C792F">
        <w:rPr>
          <w:rFonts w:ascii="Book Antiqua" w:eastAsia="等线" w:hAnsi="Book Antiqua" w:cs="Times New Roman"/>
          <w:b/>
          <w:sz w:val="24"/>
          <w:szCs w:val="24"/>
          <w:lang w:eastAsia="zh-CN"/>
        </w:rPr>
        <w:t>Chen YK</w:t>
      </w:r>
      <w:r w:rsidRPr="008C792F">
        <w:rPr>
          <w:rFonts w:ascii="Book Antiqua" w:eastAsia="等线" w:hAnsi="Book Antiqua" w:cs="Times New Roman"/>
          <w:sz w:val="24"/>
          <w:szCs w:val="24"/>
          <w:lang w:eastAsia="zh-CN"/>
        </w:rPr>
        <w:t xml:space="preserve">, Yeh JH, Lin CL, Peng CL, Sung FC, Hwang IM, Kao CH. Cancer risk in patients with cholelithiasis and after cholecystectomy: a nationwide cohort study. </w:t>
      </w:r>
      <w:r w:rsidRPr="008C792F">
        <w:rPr>
          <w:rFonts w:ascii="Book Antiqua" w:eastAsia="等线" w:hAnsi="Book Antiqua" w:cs="Times New Roman"/>
          <w:i/>
          <w:sz w:val="24"/>
          <w:szCs w:val="24"/>
          <w:lang w:eastAsia="zh-CN"/>
        </w:rPr>
        <w:t>J Gastroenterol</w:t>
      </w:r>
      <w:r w:rsidRPr="008C792F">
        <w:rPr>
          <w:rFonts w:ascii="Book Antiqua" w:eastAsia="等线" w:hAnsi="Book Antiqua" w:cs="Times New Roman"/>
          <w:sz w:val="24"/>
          <w:szCs w:val="24"/>
          <w:lang w:eastAsia="zh-CN"/>
        </w:rPr>
        <w:t xml:space="preserve"> 2014; </w:t>
      </w:r>
      <w:r w:rsidRPr="008C792F">
        <w:rPr>
          <w:rFonts w:ascii="Book Antiqua" w:eastAsia="等线" w:hAnsi="Book Antiqua" w:cs="Times New Roman"/>
          <w:b/>
          <w:sz w:val="24"/>
          <w:szCs w:val="24"/>
          <w:lang w:eastAsia="zh-CN"/>
        </w:rPr>
        <w:t>49</w:t>
      </w:r>
      <w:r w:rsidRPr="008C792F">
        <w:rPr>
          <w:rFonts w:ascii="Book Antiqua" w:eastAsia="等线" w:hAnsi="Book Antiqua" w:cs="Times New Roman"/>
          <w:sz w:val="24"/>
          <w:szCs w:val="24"/>
          <w:lang w:eastAsia="zh-CN"/>
        </w:rPr>
        <w:t>: 923-931 [PMID: 23807230 DOI: 10.1007/s00535-013-0846-6]</w:t>
      </w:r>
    </w:p>
    <w:p w14:paraId="060ABDD3"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40 </w:t>
      </w:r>
      <w:r w:rsidRPr="008C792F">
        <w:rPr>
          <w:rFonts w:ascii="Book Antiqua" w:eastAsia="等线" w:hAnsi="Book Antiqua" w:cs="Times New Roman"/>
          <w:b/>
          <w:sz w:val="24"/>
          <w:szCs w:val="24"/>
          <w:lang w:eastAsia="zh-CN"/>
        </w:rPr>
        <w:t>Ekbom A</w:t>
      </w:r>
      <w:r w:rsidRPr="008C792F">
        <w:rPr>
          <w:rFonts w:ascii="Book Antiqua" w:eastAsia="等线" w:hAnsi="Book Antiqua" w:cs="Times New Roman"/>
          <w:sz w:val="24"/>
          <w:szCs w:val="24"/>
          <w:lang w:eastAsia="zh-CN"/>
        </w:rPr>
        <w:t xml:space="preserve">, Yuen J, Adami HO, McLaughlin JK, Chow WH, Persson I, Fraumeni JF Jr. Cholecystectomy and colorectal cancer. </w:t>
      </w:r>
      <w:r w:rsidRPr="008C792F">
        <w:rPr>
          <w:rFonts w:ascii="Book Antiqua" w:eastAsia="等线" w:hAnsi="Book Antiqua" w:cs="Times New Roman"/>
          <w:i/>
          <w:sz w:val="24"/>
          <w:szCs w:val="24"/>
          <w:lang w:eastAsia="zh-CN"/>
        </w:rPr>
        <w:t>Gastroenterology</w:t>
      </w:r>
      <w:r w:rsidRPr="008C792F">
        <w:rPr>
          <w:rFonts w:ascii="Book Antiqua" w:eastAsia="等线" w:hAnsi="Book Antiqua" w:cs="Times New Roman"/>
          <w:sz w:val="24"/>
          <w:szCs w:val="24"/>
          <w:lang w:eastAsia="zh-CN"/>
        </w:rPr>
        <w:t xml:space="preserve"> 1993; </w:t>
      </w:r>
      <w:r w:rsidRPr="008C792F">
        <w:rPr>
          <w:rFonts w:ascii="Book Antiqua" w:eastAsia="等线" w:hAnsi="Book Antiqua" w:cs="Times New Roman"/>
          <w:b/>
          <w:sz w:val="24"/>
          <w:szCs w:val="24"/>
          <w:lang w:eastAsia="zh-CN"/>
        </w:rPr>
        <w:t>105</w:t>
      </w:r>
      <w:r w:rsidRPr="008C792F">
        <w:rPr>
          <w:rFonts w:ascii="Book Antiqua" w:eastAsia="等线" w:hAnsi="Book Antiqua" w:cs="Times New Roman"/>
          <w:sz w:val="24"/>
          <w:szCs w:val="24"/>
          <w:lang w:eastAsia="zh-CN"/>
        </w:rPr>
        <w:t>: 142-147 [PMID: 8514031 DOI: 10.1016/0016-5085(93)90019-9]</w:t>
      </w:r>
    </w:p>
    <w:p w14:paraId="652108B0"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41 </w:t>
      </w:r>
      <w:r w:rsidRPr="008C792F">
        <w:rPr>
          <w:rFonts w:ascii="Book Antiqua" w:eastAsia="等线" w:hAnsi="Book Antiqua" w:cs="Times New Roman"/>
          <w:b/>
          <w:sz w:val="24"/>
          <w:szCs w:val="24"/>
          <w:lang w:eastAsia="zh-CN"/>
        </w:rPr>
        <w:t>Gustavsson S</w:t>
      </w:r>
      <w:r w:rsidRPr="008C792F">
        <w:rPr>
          <w:rFonts w:ascii="Book Antiqua" w:eastAsia="等线" w:hAnsi="Book Antiqua" w:cs="Times New Roman"/>
          <w:sz w:val="24"/>
          <w:szCs w:val="24"/>
          <w:lang w:eastAsia="zh-CN"/>
        </w:rPr>
        <w:t xml:space="preserve">, Adami HO, Meirik O, Nyrén O, Krusemo UB. Cholecystectomy as a risk factor for gastric cancer. A cohort study. </w:t>
      </w:r>
      <w:r w:rsidRPr="008C792F">
        <w:rPr>
          <w:rFonts w:ascii="Book Antiqua" w:eastAsia="等线" w:hAnsi="Book Antiqua" w:cs="Times New Roman"/>
          <w:i/>
          <w:sz w:val="24"/>
          <w:szCs w:val="24"/>
          <w:lang w:eastAsia="zh-CN"/>
        </w:rPr>
        <w:t>Dig Dis Sci</w:t>
      </w:r>
      <w:r w:rsidRPr="008C792F">
        <w:rPr>
          <w:rFonts w:ascii="Book Antiqua" w:eastAsia="等线" w:hAnsi="Book Antiqua" w:cs="Times New Roman"/>
          <w:sz w:val="24"/>
          <w:szCs w:val="24"/>
          <w:lang w:eastAsia="zh-CN"/>
        </w:rPr>
        <w:t xml:space="preserve"> 1984; </w:t>
      </w:r>
      <w:r w:rsidRPr="008C792F">
        <w:rPr>
          <w:rFonts w:ascii="Book Antiqua" w:eastAsia="等线" w:hAnsi="Book Antiqua" w:cs="Times New Roman"/>
          <w:b/>
          <w:sz w:val="24"/>
          <w:szCs w:val="24"/>
          <w:lang w:eastAsia="zh-CN"/>
        </w:rPr>
        <w:t>29</w:t>
      </w:r>
      <w:r w:rsidRPr="008C792F">
        <w:rPr>
          <w:rFonts w:ascii="Book Antiqua" w:eastAsia="等线" w:hAnsi="Book Antiqua" w:cs="Times New Roman"/>
          <w:sz w:val="24"/>
          <w:szCs w:val="24"/>
          <w:lang w:eastAsia="zh-CN"/>
        </w:rPr>
        <w:t>: 116-120 [PMID: 6697851 DOI: 10.1007/bf01317051]</w:t>
      </w:r>
    </w:p>
    <w:p w14:paraId="3F573B41" w14:textId="77777777" w:rsidR="008C792F" w:rsidRPr="008C792F" w:rsidRDefault="008C792F" w:rsidP="008C792F">
      <w:pPr>
        <w:wordWrap/>
        <w:autoSpaceDE/>
        <w:autoSpaceDN/>
        <w:spacing w:after="0" w:line="360" w:lineRule="auto"/>
        <w:rPr>
          <w:rFonts w:ascii="Book Antiqua" w:eastAsia="等线" w:hAnsi="Book Antiqua" w:cs="Times New Roman"/>
          <w:sz w:val="24"/>
          <w:szCs w:val="24"/>
          <w:lang w:eastAsia="zh-CN"/>
        </w:rPr>
      </w:pPr>
      <w:r w:rsidRPr="008C792F">
        <w:rPr>
          <w:rFonts w:ascii="Book Antiqua" w:eastAsia="等线" w:hAnsi="Book Antiqua" w:cs="Times New Roman"/>
          <w:sz w:val="24"/>
          <w:szCs w:val="24"/>
          <w:lang w:eastAsia="zh-CN"/>
        </w:rPr>
        <w:t xml:space="preserve">42 </w:t>
      </w:r>
      <w:r w:rsidRPr="008C792F">
        <w:rPr>
          <w:rFonts w:ascii="Book Antiqua" w:eastAsia="等线" w:hAnsi="Book Antiqua" w:cs="Times New Roman"/>
          <w:b/>
          <w:sz w:val="24"/>
          <w:szCs w:val="24"/>
          <w:lang w:eastAsia="zh-CN"/>
        </w:rPr>
        <w:t>O'Donnell LD</w:t>
      </w:r>
      <w:r w:rsidRPr="008C792F">
        <w:rPr>
          <w:rFonts w:ascii="Book Antiqua" w:eastAsia="等线" w:hAnsi="Book Antiqua" w:cs="Times New Roman"/>
          <w:sz w:val="24"/>
          <w:szCs w:val="24"/>
          <w:lang w:eastAsia="zh-CN"/>
        </w:rPr>
        <w:t xml:space="preserve">, Heaton KW. Recurrence and re-recurrence of gall stones after medical dissolution: a longterm follow up. </w:t>
      </w:r>
      <w:r w:rsidRPr="008C792F">
        <w:rPr>
          <w:rFonts w:ascii="Book Antiqua" w:eastAsia="等线" w:hAnsi="Book Antiqua" w:cs="Times New Roman"/>
          <w:i/>
          <w:sz w:val="24"/>
          <w:szCs w:val="24"/>
          <w:lang w:eastAsia="zh-CN"/>
        </w:rPr>
        <w:t>Gut</w:t>
      </w:r>
      <w:r w:rsidRPr="008C792F">
        <w:rPr>
          <w:rFonts w:ascii="Book Antiqua" w:eastAsia="等线" w:hAnsi="Book Antiqua" w:cs="Times New Roman"/>
          <w:sz w:val="24"/>
          <w:szCs w:val="24"/>
          <w:lang w:eastAsia="zh-CN"/>
        </w:rPr>
        <w:t xml:space="preserve"> 1988; </w:t>
      </w:r>
      <w:r w:rsidRPr="008C792F">
        <w:rPr>
          <w:rFonts w:ascii="Book Antiqua" w:eastAsia="等线" w:hAnsi="Book Antiqua" w:cs="Times New Roman"/>
          <w:b/>
          <w:sz w:val="24"/>
          <w:szCs w:val="24"/>
          <w:lang w:eastAsia="zh-CN"/>
        </w:rPr>
        <w:t>29</w:t>
      </w:r>
      <w:r w:rsidRPr="008C792F">
        <w:rPr>
          <w:rFonts w:ascii="Book Antiqua" w:eastAsia="等线" w:hAnsi="Book Antiqua" w:cs="Times New Roman"/>
          <w:sz w:val="24"/>
          <w:szCs w:val="24"/>
          <w:lang w:eastAsia="zh-CN"/>
        </w:rPr>
        <w:t>: 655-658 [PMID: 3396952 DOI: 10.1136/gut.29.5.655]</w:t>
      </w:r>
    </w:p>
    <w:p w14:paraId="62D9C553" w14:textId="5FB3D8B1" w:rsidR="008C792F" w:rsidRPr="008C792F" w:rsidRDefault="008C792F" w:rsidP="008C792F">
      <w:pPr>
        <w:wordWrap/>
        <w:autoSpaceDE/>
        <w:autoSpaceDN/>
        <w:adjustRightInd w:val="0"/>
        <w:snapToGrid w:val="0"/>
        <w:spacing w:after="0" w:line="360" w:lineRule="auto"/>
        <w:jc w:val="right"/>
        <w:rPr>
          <w:rFonts w:ascii="Book Antiqua" w:eastAsia="宋体" w:hAnsi="Book Antiqua" w:cs="Times New Roman"/>
          <w:color w:val="000000"/>
          <w:sz w:val="24"/>
          <w:szCs w:val="24"/>
          <w:lang w:eastAsia="zh-CN"/>
        </w:rPr>
      </w:pPr>
      <w:bookmarkStart w:id="72" w:name="OLE_LINK139"/>
      <w:bookmarkStart w:id="73" w:name="OLE_LINK140"/>
      <w:bookmarkStart w:id="74" w:name="OLE_LINK287"/>
      <w:bookmarkStart w:id="75" w:name="OLE_LINK70"/>
      <w:bookmarkStart w:id="76" w:name="OLE_LINK110"/>
      <w:bookmarkStart w:id="77" w:name="OLE_LINK109"/>
      <w:bookmarkStart w:id="78" w:name="OLE_LINK138"/>
      <w:bookmarkStart w:id="79" w:name="OLE_LINK72"/>
      <w:bookmarkStart w:id="80" w:name="OLE_LINK116"/>
      <w:bookmarkStart w:id="81" w:name="OLE_LINK95"/>
      <w:bookmarkStart w:id="82" w:name="OLE_LINK118"/>
      <w:bookmarkStart w:id="83" w:name="OLE_LINK198"/>
      <w:bookmarkStart w:id="84" w:name="OLE_LINK154"/>
      <w:bookmarkStart w:id="85" w:name="OLE_LINK251"/>
      <w:bookmarkStart w:id="86" w:name="OLE_LINK167"/>
      <w:bookmarkStart w:id="87" w:name="OLE_LINK126"/>
      <w:bookmarkStart w:id="88" w:name="OLE_LINK234"/>
      <w:bookmarkStart w:id="89" w:name="OLE_LINK157"/>
      <w:bookmarkStart w:id="90" w:name="OLE_LINK187"/>
      <w:bookmarkStart w:id="91" w:name="OLE_LINK204"/>
      <w:bookmarkStart w:id="92" w:name="OLE_LINK255"/>
      <w:bookmarkStart w:id="93" w:name="OLE_LINK229"/>
      <w:bookmarkStart w:id="94" w:name="OLE_LINK268"/>
      <w:bookmarkStart w:id="95" w:name="OLE_LINK310"/>
      <w:bookmarkStart w:id="96" w:name="OLE_LINK338"/>
      <w:bookmarkStart w:id="97" w:name="OLE_LINK340"/>
      <w:bookmarkStart w:id="98" w:name="OLE_LINK264"/>
      <w:bookmarkStart w:id="99" w:name="OLE_LINK345"/>
      <w:bookmarkStart w:id="100" w:name="OLE_LINK256"/>
      <w:bookmarkStart w:id="101" w:name="OLE_LINK299"/>
      <w:bookmarkStart w:id="102" w:name="OLE_LINK265"/>
      <w:bookmarkStart w:id="103" w:name="OLE_LINK254"/>
      <w:bookmarkStart w:id="104" w:name="OLE_LINK357"/>
      <w:bookmarkStart w:id="105" w:name="OLE_LINK333"/>
      <w:bookmarkStart w:id="106" w:name="OLE_LINK334"/>
      <w:bookmarkStart w:id="107" w:name="OLE_LINK400"/>
      <w:bookmarkStart w:id="108" w:name="OLE_LINK365"/>
      <w:bookmarkStart w:id="109" w:name="OLE_LINK467"/>
      <w:bookmarkStart w:id="110" w:name="OLE_LINK399"/>
      <w:bookmarkStart w:id="111" w:name="OLE_LINK443"/>
      <w:bookmarkStart w:id="112" w:name="OLE_LINK372"/>
      <w:bookmarkStart w:id="113" w:name="OLE_LINK425"/>
      <w:bookmarkStart w:id="114" w:name="OLE_LINK450"/>
      <w:bookmarkStart w:id="115" w:name="OLE_LINK402"/>
      <w:bookmarkStart w:id="116" w:name="OLE_LINK385"/>
      <w:bookmarkStart w:id="117" w:name="OLE_LINK396"/>
      <w:bookmarkStart w:id="118" w:name="OLE_LINK436"/>
      <w:bookmarkStart w:id="119" w:name="OLE_LINK421"/>
      <w:bookmarkStart w:id="120" w:name="OLE_LINK426"/>
      <w:bookmarkStart w:id="121" w:name="OLE_LINK456"/>
      <w:bookmarkStart w:id="122" w:name="OLE_LINK505"/>
      <w:bookmarkStart w:id="123" w:name="OLE_LINK490"/>
      <w:bookmarkStart w:id="124" w:name="OLE_LINK531"/>
      <w:bookmarkStart w:id="125" w:name="OLE_LINK460"/>
      <w:bookmarkStart w:id="126" w:name="OLE_LINK463"/>
      <w:bookmarkStart w:id="127" w:name="OLE_LINK487"/>
      <w:bookmarkStart w:id="128" w:name="OLE_LINK515"/>
      <w:bookmarkStart w:id="129" w:name="OLE_LINK509"/>
      <w:bookmarkStart w:id="130" w:name="OLE_LINK538"/>
      <w:bookmarkStart w:id="131" w:name="OLE_LINK606"/>
      <w:bookmarkStart w:id="132" w:name="OLE_LINK662"/>
      <w:bookmarkStart w:id="133" w:name="OLE_LINK663"/>
      <w:bookmarkStart w:id="134" w:name="OLE_LINK738"/>
      <w:bookmarkStart w:id="135" w:name="OLE_LINK666"/>
      <w:bookmarkStart w:id="136" w:name="OLE_LINK667"/>
      <w:bookmarkStart w:id="137" w:name="OLE_LINK672"/>
      <w:bookmarkStart w:id="138" w:name="OLE_LINK727"/>
      <w:bookmarkStart w:id="139" w:name="OLE_LINK703"/>
      <w:bookmarkStart w:id="140" w:name="OLE_LINK765"/>
      <w:bookmarkStart w:id="141" w:name="OLE_LINK724"/>
      <w:bookmarkStart w:id="142" w:name="OLE_LINK771"/>
      <w:bookmarkStart w:id="143" w:name="OLE_LINK879"/>
      <w:bookmarkStart w:id="144" w:name="OLE_LINK903"/>
      <w:bookmarkStart w:id="145" w:name="OLE_LINK880"/>
      <w:bookmarkStart w:id="146" w:name="OLE_LINK944"/>
      <w:bookmarkStart w:id="147" w:name="OLE_LINK881"/>
      <w:bookmarkStart w:id="148" w:name="OLE_LINK882"/>
      <w:bookmarkStart w:id="149" w:name="OLE_LINK883"/>
      <w:bookmarkStart w:id="150" w:name="OLE_LINK884"/>
      <w:bookmarkStart w:id="151" w:name="OLE_LINK907"/>
      <w:bookmarkStart w:id="152" w:name="OLE_LINK941"/>
      <w:bookmarkStart w:id="153" w:name="OLE_LINK886"/>
      <w:bookmarkStart w:id="154" w:name="OLE_LINK887"/>
      <w:bookmarkStart w:id="155" w:name="OLE_LINK918"/>
      <w:bookmarkStart w:id="156" w:name="OLE_LINK894"/>
      <w:bookmarkStart w:id="157" w:name="OLE_LINK953"/>
      <w:bookmarkStart w:id="158" w:name="OLE_LINK954"/>
      <w:bookmarkStart w:id="159" w:name="OLE_LINK977"/>
      <w:bookmarkStart w:id="160" w:name="OLE_LINK978"/>
      <w:bookmarkStart w:id="161" w:name="OLE_LINK1034"/>
      <w:bookmarkStart w:id="162" w:name="OLE_LINK991"/>
      <w:bookmarkStart w:id="163" w:name="OLE_LINK1013"/>
      <w:bookmarkStart w:id="164" w:name="OLE_LINK1022"/>
      <w:bookmarkStart w:id="165" w:name="OLE_LINK1030"/>
      <w:bookmarkStart w:id="166" w:name="OLE_LINK1063"/>
      <w:bookmarkStart w:id="167" w:name="OLE_LINK1009"/>
      <w:bookmarkStart w:id="168" w:name="OLE_LINK1064"/>
      <w:bookmarkStart w:id="169" w:name="OLE_LINK1035"/>
      <w:bookmarkStart w:id="170" w:name="OLE_LINK1012"/>
      <w:r w:rsidRPr="008C792F">
        <w:rPr>
          <w:rFonts w:ascii="Book Antiqua" w:eastAsia="宋体" w:hAnsi="Book Antiqua" w:cs="Times New Roman"/>
          <w:b/>
          <w:bCs/>
          <w:color w:val="000000"/>
          <w:sz w:val="24"/>
          <w:szCs w:val="24"/>
          <w:lang w:eastAsia="zh-CN"/>
        </w:rPr>
        <w:t>P-Reviewer:</w:t>
      </w:r>
      <w:r w:rsidRPr="008C792F">
        <w:rPr>
          <w:rFonts w:ascii="Book Antiqua" w:eastAsia="宋体" w:hAnsi="Book Antiqua" w:cs="Times New Roman"/>
          <w:bCs/>
          <w:color w:val="000000"/>
          <w:sz w:val="24"/>
          <w:szCs w:val="24"/>
          <w:lang w:eastAsia="zh-CN"/>
        </w:rPr>
        <w:t xml:space="preserve"> Govindarajan</w:t>
      </w:r>
      <w:r>
        <w:rPr>
          <w:rFonts w:ascii="Book Antiqua" w:eastAsia="宋体" w:hAnsi="Book Antiqua" w:cs="Times New Roman"/>
          <w:bCs/>
          <w:color w:val="000000"/>
          <w:sz w:val="24"/>
          <w:szCs w:val="24"/>
          <w:lang w:eastAsia="zh-CN"/>
        </w:rPr>
        <w:t xml:space="preserve"> GK, </w:t>
      </w:r>
      <w:r w:rsidRPr="008C792F">
        <w:rPr>
          <w:rFonts w:ascii="Book Antiqua" w:eastAsia="宋体" w:hAnsi="Book Antiqua" w:cs="Times New Roman"/>
          <w:bCs/>
          <w:color w:val="000000"/>
          <w:sz w:val="24"/>
          <w:szCs w:val="24"/>
          <w:lang w:eastAsia="zh-CN"/>
        </w:rPr>
        <w:t>Neri</w:t>
      </w:r>
      <w:r>
        <w:rPr>
          <w:rFonts w:ascii="Book Antiqua" w:eastAsia="宋体" w:hAnsi="Book Antiqua" w:cs="Times New Roman"/>
          <w:bCs/>
          <w:color w:val="000000"/>
          <w:sz w:val="24"/>
          <w:szCs w:val="24"/>
          <w:lang w:eastAsia="zh-CN"/>
        </w:rPr>
        <w:t xml:space="preserve"> V </w:t>
      </w:r>
      <w:r w:rsidRPr="008C792F">
        <w:rPr>
          <w:rFonts w:ascii="Book Antiqua" w:eastAsia="宋体" w:hAnsi="Book Antiqua" w:cs="Times New Roman"/>
          <w:b/>
          <w:bCs/>
          <w:color w:val="000000"/>
          <w:sz w:val="24"/>
          <w:szCs w:val="24"/>
          <w:lang w:eastAsia="zh-CN"/>
        </w:rPr>
        <w:t>S-Editor:</w:t>
      </w:r>
      <w:r w:rsidRPr="008C792F">
        <w:rPr>
          <w:rFonts w:ascii="Book Antiqua" w:eastAsia="宋体" w:hAnsi="Book Antiqua" w:cs="Times New Roman"/>
          <w:color w:val="000000"/>
          <w:sz w:val="24"/>
          <w:szCs w:val="24"/>
          <w:lang w:eastAsia="zh-CN"/>
        </w:rPr>
        <w:t xml:space="preserve"> Yan JP</w:t>
      </w:r>
    </w:p>
    <w:p w14:paraId="5773F19E" w14:textId="77777777" w:rsidR="008C792F" w:rsidRPr="008C792F" w:rsidRDefault="008C792F" w:rsidP="008C792F">
      <w:pPr>
        <w:wordWrap/>
        <w:autoSpaceDE/>
        <w:autoSpaceDN/>
        <w:adjustRightInd w:val="0"/>
        <w:snapToGrid w:val="0"/>
        <w:spacing w:after="0" w:line="360" w:lineRule="auto"/>
        <w:jc w:val="right"/>
        <w:rPr>
          <w:rFonts w:ascii="Book Antiqua" w:eastAsia="宋体" w:hAnsi="Book Antiqua" w:cs="Times New Roman"/>
          <w:b/>
          <w:bCs/>
          <w:color w:val="000000"/>
          <w:sz w:val="24"/>
          <w:szCs w:val="24"/>
          <w:lang w:eastAsia="zh-CN"/>
        </w:rPr>
      </w:pPr>
      <w:r w:rsidRPr="008C792F">
        <w:rPr>
          <w:rFonts w:ascii="Book Antiqua" w:eastAsia="宋体" w:hAnsi="Book Antiqua" w:cs="Times New Roman"/>
          <w:b/>
          <w:bCs/>
          <w:color w:val="000000"/>
          <w:sz w:val="24"/>
          <w:szCs w:val="24"/>
          <w:lang w:eastAsia="zh-CN"/>
        </w:rPr>
        <w:t>L-Editor:</w:t>
      </w:r>
      <w:r w:rsidRPr="008C792F">
        <w:rPr>
          <w:rFonts w:ascii="Book Antiqua" w:eastAsia="宋体" w:hAnsi="Book Antiqua" w:cs="Times New Roman"/>
          <w:color w:val="000000"/>
          <w:sz w:val="24"/>
          <w:szCs w:val="24"/>
          <w:lang w:eastAsia="zh-CN"/>
        </w:rPr>
        <w:t xml:space="preserve"> </w:t>
      </w:r>
      <w:r w:rsidRPr="008C792F">
        <w:rPr>
          <w:rFonts w:ascii="Book Antiqua" w:eastAsia="宋体" w:hAnsi="Book Antiqua" w:cs="Times New Roman"/>
          <w:b/>
          <w:bCs/>
          <w:color w:val="000000"/>
          <w:sz w:val="24"/>
          <w:szCs w:val="24"/>
          <w:lang w:eastAsia="zh-CN"/>
        </w:rPr>
        <w:t>E-Editor:</w:t>
      </w:r>
    </w:p>
    <w:bookmarkEnd w:id="72"/>
    <w:bookmarkEnd w:id="73"/>
    <w:p w14:paraId="561E5E4F" w14:textId="7C9EF72C" w:rsidR="008011F5" w:rsidRPr="004332B8" w:rsidRDefault="008C792F" w:rsidP="004332B8">
      <w:pPr>
        <w:widowControl/>
        <w:wordWrap/>
        <w:autoSpaceDE/>
        <w:autoSpaceDN/>
        <w:spacing w:after="0" w:line="360" w:lineRule="auto"/>
        <w:rPr>
          <w:rFonts w:ascii="Book Antiqua" w:eastAsia="宋体" w:hAnsi="Book Antiqua" w:cs="宋体"/>
          <w:kern w:val="0"/>
          <w:sz w:val="24"/>
          <w:szCs w:val="24"/>
          <w:lang w:eastAsia="zh-CN"/>
        </w:rPr>
      </w:pPr>
      <w:r w:rsidRPr="008C792F">
        <w:rPr>
          <w:rFonts w:ascii="Book Antiqua" w:eastAsia="宋体" w:hAnsi="Book Antiqua" w:cs="宋体"/>
          <w:b/>
          <w:kern w:val="0"/>
          <w:sz w:val="24"/>
          <w:szCs w:val="24"/>
          <w:lang w:eastAsia="zh-CN"/>
        </w:rPr>
        <w:t xml:space="preserve">Specialty type: </w:t>
      </w:r>
      <w:r w:rsidRPr="008C792F">
        <w:rPr>
          <w:rFonts w:ascii="Book Antiqua" w:eastAsia="微软雅黑" w:hAnsi="Book Antiqua" w:cs="宋体"/>
          <w:kern w:val="0"/>
          <w:sz w:val="24"/>
          <w:szCs w:val="24"/>
          <w:lang w:eastAsia="zh-CN"/>
        </w:rPr>
        <w:t>Gastroenterology and hepatology</w:t>
      </w:r>
      <w:r w:rsidRPr="008C792F">
        <w:rPr>
          <w:rFonts w:ascii="Book Antiqua" w:eastAsia="宋体" w:hAnsi="Book Antiqua" w:cs="宋体"/>
          <w:kern w:val="0"/>
          <w:sz w:val="24"/>
          <w:szCs w:val="24"/>
          <w:lang w:eastAsia="zh-CN"/>
        </w:rPr>
        <w:t xml:space="preserve"> </w:t>
      </w:r>
      <w:r w:rsidRPr="008C792F">
        <w:rPr>
          <w:rFonts w:ascii="Book Antiqua" w:eastAsia="宋体" w:hAnsi="Book Antiqua" w:cs="宋体"/>
          <w:kern w:val="0"/>
          <w:sz w:val="24"/>
          <w:szCs w:val="24"/>
          <w:lang w:eastAsia="zh-CN"/>
        </w:rPr>
        <w:br/>
      </w:r>
      <w:r w:rsidRPr="008C792F">
        <w:rPr>
          <w:rFonts w:ascii="Book Antiqua" w:eastAsia="宋体" w:hAnsi="Book Antiqua" w:cs="宋体"/>
          <w:b/>
          <w:kern w:val="0"/>
          <w:sz w:val="24"/>
          <w:szCs w:val="24"/>
          <w:lang w:eastAsia="zh-CN"/>
        </w:rPr>
        <w:t xml:space="preserve">Country of origin: </w:t>
      </w:r>
      <w:r w:rsidRPr="008C792F">
        <w:rPr>
          <w:rFonts w:ascii="Book Antiqua" w:eastAsia="宋体" w:hAnsi="Book Antiqua" w:cs="宋体"/>
          <w:kern w:val="0"/>
          <w:sz w:val="24"/>
          <w:szCs w:val="24"/>
          <w:lang w:eastAsia="zh-CN"/>
        </w:rPr>
        <w:t xml:space="preserve">South Korea </w:t>
      </w:r>
      <w:r w:rsidRPr="008C792F">
        <w:rPr>
          <w:rFonts w:ascii="Book Antiqua" w:eastAsia="宋体" w:hAnsi="Book Antiqua" w:cs="宋体"/>
          <w:kern w:val="0"/>
          <w:sz w:val="24"/>
          <w:szCs w:val="24"/>
          <w:lang w:eastAsia="zh-CN"/>
        </w:rPr>
        <w:br/>
      </w:r>
      <w:r w:rsidRPr="008C792F">
        <w:rPr>
          <w:rFonts w:ascii="Book Antiqua" w:eastAsia="宋体" w:hAnsi="Book Antiqua" w:cs="宋体"/>
          <w:b/>
          <w:kern w:val="0"/>
          <w:sz w:val="24"/>
          <w:szCs w:val="24"/>
          <w:lang w:eastAsia="zh-CN"/>
        </w:rPr>
        <w:t>Peer-review report classification</w:t>
      </w:r>
      <w:r w:rsidRPr="008C792F">
        <w:rPr>
          <w:rFonts w:ascii="Book Antiqua" w:eastAsia="宋体" w:hAnsi="Book Antiqua" w:cs="宋体"/>
          <w:kern w:val="0"/>
          <w:sz w:val="24"/>
          <w:szCs w:val="24"/>
          <w:lang w:eastAsia="zh-CN"/>
        </w:rPr>
        <w:br/>
      </w:r>
      <w:r w:rsidRPr="008C792F">
        <w:rPr>
          <w:rFonts w:ascii="Book Antiqua" w:eastAsia="宋体" w:hAnsi="Book Antiqua" w:cs="宋体"/>
          <w:b/>
          <w:kern w:val="0"/>
          <w:sz w:val="24"/>
          <w:szCs w:val="24"/>
          <w:lang w:eastAsia="zh-CN"/>
        </w:rPr>
        <w:t xml:space="preserve">Grade A (Excellent): </w:t>
      </w:r>
      <w:r>
        <w:rPr>
          <w:rFonts w:ascii="Book Antiqua" w:eastAsia="宋体" w:hAnsi="Book Antiqua" w:cs="宋体"/>
          <w:kern w:val="0"/>
          <w:sz w:val="24"/>
          <w:szCs w:val="24"/>
          <w:lang w:eastAsia="zh-CN"/>
        </w:rPr>
        <w:t>0</w:t>
      </w:r>
      <w:r w:rsidRPr="008C792F">
        <w:rPr>
          <w:rFonts w:ascii="Book Antiqua" w:eastAsia="宋体" w:hAnsi="Book Antiqua" w:cs="宋体"/>
          <w:kern w:val="0"/>
          <w:sz w:val="24"/>
          <w:szCs w:val="24"/>
          <w:lang w:eastAsia="zh-CN"/>
        </w:rPr>
        <w:br/>
      </w:r>
      <w:r w:rsidRPr="008C792F">
        <w:rPr>
          <w:rFonts w:ascii="Book Antiqua" w:eastAsia="宋体" w:hAnsi="Book Antiqua" w:cs="宋体"/>
          <w:b/>
          <w:kern w:val="0"/>
          <w:sz w:val="24"/>
          <w:szCs w:val="24"/>
          <w:lang w:eastAsia="zh-CN"/>
        </w:rPr>
        <w:t xml:space="preserve">Grade B (Very good): </w:t>
      </w:r>
      <w:r>
        <w:rPr>
          <w:rFonts w:ascii="Book Antiqua" w:eastAsia="宋体" w:hAnsi="Book Antiqua" w:cs="宋体"/>
          <w:kern w:val="0"/>
          <w:sz w:val="24"/>
          <w:szCs w:val="24"/>
          <w:lang w:eastAsia="zh-CN"/>
        </w:rPr>
        <w:t>0</w:t>
      </w:r>
      <w:r w:rsidRPr="008C792F">
        <w:rPr>
          <w:rFonts w:ascii="Book Antiqua" w:eastAsia="宋体" w:hAnsi="Book Antiqua" w:cs="宋体"/>
          <w:kern w:val="0"/>
          <w:sz w:val="24"/>
          <w:szCs w:val="24"/>
          <w:lang w:eastAsia="zh-CN"/>
        </w:rPr>
        <w:br/>
      </w:r>
      <w:r w:rsidRPr="008C792F">
        <w:rPr>
          <w:rFonts w:ascii="Book Antiqua" w:eastAsia="宋体" w:hAnsi="Book Antiqua" w:cs="宋体"/>
          <w:b/>
          <w:kern w:val="0"/>
          <w:sz w:val="24"/>
          <w:szCs w:val="24"/>
          <w:lang w:eastAsia="zh-CN"/>
        </w:rPr>
        <w:t xml:space="preserve">Grade C (Good): </w:t>
      </w:r>
      <w:r>
        <w:rPr>
          <w:rFonts w:ascii="Book Antiqua" w:eastAsia="宋体" w:hAnsi="Book Antiqua" w:cs="宋体"/>
          <w:kern w:val="0"/>
          <w:sz w:val="24"/>
          <w:szCs w:val="24"/>
          <w:lang w:eastAsia="zh-CN"/>
        </w:rPr>
        <w:t>C, C</w:t>
      </w:r>
      <w:r w:rsidRPr="008C792F">
        <w:rPr>
          <w:rFonts w:ascii="Book Antiqua" w:eastAsia="宋体" w:hAnsi="Book Antiqua" w:cs="宋体"/>
          <w:kern w:val="0"/>
          <w:sz w:val="24"/>
          <w:szCs w:val="24"/>
          <w:lang w:eastAsia="zh-CN"/>
        </w:rPr>
        <w:br/>
      </w:r>
      <w:r w:rsidRPr="008C792F">
        <w:rPr>
          <w:rFonts w:ascii="Book Antiqua" w:eastAsia="宋体" w:hAnsi="Book Antiqua" w:cs="宋体"/>
          <w:b/>
          <w:kern w:val="0"/>
          <w:sz w:val="24"/>
          <w:szCs w:val="24"/>
          <w:lang w:eastAsia="zh-CN"/>
        </w:rPr>
        <w:t xml:space="preserve">Grade D (Fair): </w:t>
      </w:r>
      <w:r w:rsidRPr="008C792F">
        <w:rPr>
          <w:rFonts w:ascii="Book Antiqua" w:eastAsia="宋体" w:hAnsi="Book Antiqua" w:cs="宋体"/>
          <w:kern w:val="0"/>
          <w:sz w:val="24"/>
          <w:szCs w:val="24"/>
          <w:lang w:eastAsia="zh-CN"/>
        </w:rPr>
        <w:t>0</w:t>
      </w:r>
      <w:r w:rsidRPr="008C792F">
        <w:rPr>
          <w:rFonts w:ascii="Book Antiqua" w:eastAsia="宋体" w:hAnsi="Book Antiqua" w:cs="宋体"/>
          <w:b/>
          <w:kern w:val="0"/>
          <w:sz w:val="24"/>
          <w:szCs w:val="24"/>
          <w:lang w:eastAsia="zh-CN"/>
        </w:rPr>
        <w:br/>
        <w:t xml:space="preserve">Grade E (Poor): </w:t>
      </w:r>
      <w:r w:rsidRPr="008C792F">
        <w:rPr>
          <w:rFonts w:ascii="Book Antiqua" w:eastAsia="宋体" w:hAnsi="Book Antiqua" w:cs="宋体"/>
          <w:kern w:val="0"/>
          <w:sz w:val="24"/>
          <w:szCs w:val="24"/>
          <w:lang w:eastAsia="zh-CN"/>
        </w:rPr>
        <w:t>0</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008011F5">
        <w:rPr>
          <w:rFonts w:ascii="Book Antiqua" w:hAnsi="Book Antiqua" w:cs="Times New Roman"/>
          <w:b/>
          <w:color w:val="000000" w:themeColor="text1"/>
          <w:sz w:val="24"/>
          <w:szCs w:val="24"/>
        </w:rPr>
        <w:br w:type="page"/>
      </w:r>
    </w:p>
    <w:p w14:paraId="4AD8A263" w14:textId="6D58CA2D" w:rsidR="003565F9" w:rsidRPr="0050120B" w:rsidRDefault="00A40FBA" w:rsidP="0075341C">
      <w:pPr>
        <w:widowControl/>
        <w:wordWrap/>
        <w:autoSpaceDE/>
        <w:autoSpaceDN/>
        <w:spacing w:after="0" w:line="360" w:lineRule="auto"/>
        <w:rPr>
          <w:rFonts w:ascii="Book Antiqua" w:hAnsi="Book Antiqua"/>
          <w:b/>
          <w:color w:val="000000" w:themeColor="text1"/>
          <w:sz w:val="24"/>
          <w:szCs w:val="24"/>
        </w:rPr>
      </w:pPr>
      <w:r w:rsidRPr="0050120B">
        <w:rPr>
          <w:rFonts w:ascii="Book Antiqua" w:hAnsi="Book Antiqua"/>
          <w:noProof/>
          <w:color w:val="000000" w:themeColor="text1"/>
          <w:sz w:val="24"/>
          <w:szCs w:val="24"/>
          <w:lang w:eastAsia="zh-CN"/>
        </w:rPr>
        <w:lastRenderedPageBreak/>
        <w:drawing>
          <wp:inline distT="0" distB="0" distL="0" distR="0" wp14:anchorId="025110F8" wp14:editId="09543513">
            <wp:extent cx="5166772" cy="4715124"/>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76053" cy="4723593"/>
                    </a:xfrm>
                    <a:prstGeom prst="rect">
                      <a:avLst/>
                    </a:prstGeom>
                  </pic:spPr>
                </pic:pic>
              </a:graphicData>
            </a:graphic>
          </wp:inline>
        </w:drawing>
      </w:r>
    </w:p>
    <w:p w14:paraId="73DA920B" w14:textId="55D7EA79" w:rsidR="003565F9" w:rsidRPr="000065CD" w:rsidRDefault="003565F9" w:rsidP="0075341C">
      <w:pPr>
        <w:wordWrap/>
        <w:spacing w:after="0" w:line="360" w:lineRule="auto"/>
        <w:rPr>
          <w:rFonts w:ascii="Book Antiqua" w:hAnsi="Book Antiqua" w:cs="Times New Roman"/>
          <w:bCs/>
          <w:color w:val="000000" w:themeColor="text1"/>
          <w:sz w:val="24"/>
          <w:szCs w:val="24"/>
        </w:rPr>
      </w:pPr>
      <w:r w:rsidRPr="0050120B">
        <w:rPr>
          <w:rFonts w:ascii="Book Antiqua" w:hAnsi="Book Antiqua" w:cs="Times New Roman"/>
          <w:b/>
          <w:color w:val="000000" w:themeColor="text1"/>
          <w:sz w:val="24"/>
          <w:szCs w:val="24"/>
        </w:rPr>
        <w:t xml:space="preserve">Figure 1 </w:t>
      </w:r>
      <w:r w:rsidRPr="0050120B">
        <w:rPr>
          <w:rFonts w:ascii="Book Antiqua" w:hAnsi="Book Antiqua"/>
          <w:b/>
          <w:color w:val="000000" w:themeColor="text1"/>
          <w:sz w:val="24"/>
          <w:szCs w:val="24"/>
        </w:rPr>
        <w:t xml:space="preserve">Comparison of characteristics and thermogravimetric analysis between </w:t>
      </w:r>
      <w:r w:rsidRPr="0050120B">
        <w:rPr>
          <w:rFonts w:ascii="Book Antiqua" w:hAnsi="Book Antiqua" w:cs="Times New Roman"/>
          <w:b/>
          <w:color w:val="000000" w:themeColor="text1"/>
          <w:sz w:val="24"/>
          <w:szCs w:val="24"/>
        </w:rPr>
        <w:t>methyl tertiary-butyl ether</w:t>
      </w:r>
      <w:r w:rsidR="00F20EDB" w:rsidRPr="0050120B">
        <w:rPr>
          <w:rFonts w:ascii="Book Antiqua" w:hAnsi="Book Antiqua" w:cs="Times New Roman"/>
          <w:b/>
          <w:color w:val="000000" w:themeColor="text1"/>
          <w:sz w:val="24"/>
          <w:szCs w:val="24"/>
        </w:rPr>
        <w:t xml:space="preserve"> </w:t>
      </w:r>
      <w:r w:rsidRPr="0050120B">
        <w:rPr>
          <w:rFonts w:ascii="Book Antiqua" w:hAnsi="Book Antiqua"/>
          <w:b/>
          <w:color w:val="000000" w:themeColor="text1"/>
          <w:sz w:val="24"/>
          <w:szCs w:val="24"/>
        </w:rPr>
        <w:t>and</w:t>
      </w:r>
      <w:r w:rsidR="00F20EDB" w:rsidRPr="0050120B">
        <w:rPr>
          <w:rFonts w:ascii="Book Antiqua" w:hAnsi="Book Antiqua"/>
          <w:b/>
          <w:color w:val="000000" w:themeColor="text1"/>
          <w:sz w:val="24"/>
          <w:szCs w:val="24"/>
        </w:rPr>
        <w:t xml:space="preserve"> </w:t>
      </w:r>
      <w:r w:rsidRPr="0050120B">
        <w:rPr>
          <w:rFonts w:ascii="Book Antiqua" w:hAnsi="Book Antiqua" w:cs="Times New Roman"/>
          <w:b/>
          <w:color w:val="000000" w:themeColor="text1"/>
          <w:sz w:val="24"/>
          <w:szCs w:val="24"/>
        </w:rPr>
        <w:t>tert-amyl ethyl ether</w:t>
      </w:r>
      <w:r w:rsidRPr="0050120B">
        <w:rPr>
          <w:rFonts w:ascii="Book Antiqua" w:hAnsi="Book Antiqua"/>
          <w:b/>
          <w:color w:val="000000" w:themeColor="text1"/>
          <w:sz w:val="24"/>
          <w:szCs w:val="24"/>
        </w:rPr>
        <w:t xml:space="preserve">. </w:t>
      </w:r>
      <w:r w:rsidRPr="000065CD">
        <w:rPr>
          <w:rFonts w:ascii="Book Antiqua" w:hAnsi="Book Antiqua"/>
          <w:bCs/>
          <w:color w:val="000000" w:themeColor="text1"/>
          <w:sz w:val="24"/>
          <w:szCs w:val="24"/>
        </w:rPr>
        <w:t>A</w:t>
      </w:r>
      <w:r w:rsidR="000065CD">
        <w:rPr>
          <w:rFonts w:ascii="Book Antiqua" w:hAnsi="Book Antiqua"/>
          <w:bCs/>
          <w:color w:val="000000" w:themeColor="text1"/>
          <w:sz w:val="24"/>
          <w:szCs w:val="24"/>
        </w:rPr>
        <w:t xml:space="preserve">: </w:t>
      </w:r>
      <w:r w:rsidRPr="000065CD">
        <w:rPr>
          <w:rFonts w:ascii="Book Antiqua" w:hAnsi="Book Antiqua"/>
          <w:bCs/>
          <w:color w:val="000000" w:themeColor="text1"/>
          <w:sz w:val="24"/>
          <w:szCs w:val="24"/>
        </w:rPr>
        <w:t xml:space="preserve">Comparison of basic chemical characteristics between </w:t>
      </w:r>
      <w:r w:rsidR="000065CD" w:rsidRPr="000065CD">
        <w:rPr>
          <w:rFonts w:ascii="Book Antiqua" w:hAnsi="Book Antiqua" w:cs="Times New Roman"/>
          <w:bCs/>
          <w:color w:val="000000" w:themeColor="text1"/>
          <w:sz w:val="24"/>
          <w:szCs w:val="24"/>
        </w:rPr>
        <w:t>methyl tertiary-butyl ether (</w:t>
      </w:r>
      <w:r w:rsidRPr="000065CD">
        <w:rPr>
          <w:rFonts w:ascii="Book Antiqua" w:hAnsi="Book Antiqua"/>
          <w:bCs/>
          <w:color w:val="000000" w:themeColor="text1"/>
          <w:sz w:val="24"/>
          <w:szCs w:val="24"/>
        </w:rPr>
        <w:t>MTBE</w:t>
      </w:r>
      <w:r w:rsidR="000065CD" w:rsidRPr="000065CD">
        <w:rPr>
          <w:rFonts w:ascii="Book Antiqua" w:hAnsi="Book Antiqua"/>
          <w:bCs/>
          <w:color w:val="000000" w:themeColor="text1"/>
          <w:sz w:val="24"/>
          <w:szCs w:val="24"/>
        </w:rPr>
        <w:t>)</w:t>
      </w:r>
      <w:r w:rsidRPr="000065CD">
        <w:rPr>
          <w:rFonts w:ascii="Book Antiqua" w:hAnsi="Book Antiqua"/>
          <w:bCs/>
          <w:color w:val="000000" w:themeColor="text1"/>
          <w:sz w:val="24"/>
          <w:szCs w:val="24"/>
        </w:rPr>
        <w:t xml:space="preserve"> and </w:t>
      </w:r>
      <w:r w:rsidR="000065CD" w:rsidRPr="000065CD">
        <w:rPr>
          <w:rFonts w:ascii="Book Antiqua" w:hAnsi="Book Antiqua" w:cs="Times New Roman"/>
          <w:bCs/>
          <w:color w:val="000000" w:themeColor="text1"/>
          <w:sz w:val="24"/>
          <w:szCs w:val="24"/>
        </w:rPr>
        <w:t>tert-amyl ethyl ether</w:t>
      </w:r>
      <w:r w:rsidR="000065CD" w:rsidRPr="000065CD">
        <w:rPr>
          <w:rFonts w:ascii="Book Antiqua" w:hAnsi="Book Antiqua"/>
          <w:bCs/>
          <w:color w:val="000000" w:themeColor="text1"/>
          <w:sz w:val="24"/>
          <w:szCs w:val="24"/>
        </w:rPr>
        <w:t xml:space="preserve"> (</w:t>
      </w:r>
      <w:r w:rsidRPr="000065CD">
        <w:rPr>
          <w:rFonts w:ascii="Book Antiqua" w:hAnsi="Book Antiqua"/>
          <w:bCs/>
          <w:color w:val="000000" w:themeColor="text1"/>
          <w:sz w:val="24"/>
          <w:szCs w:val="24"/>
        </w:rPr>
        <w:t>TAEE</w:t>
      </w:r>
      <w:r w:rsidR="000065CD" w:rsidRPr="000065CD">
        <w:rPr>
          <w:rFonts w:ascii="Book Antiqua" w:hAnsi="Book Antiqua"/>
          <w:bCs/>
          <w:color w:val="000000" w:themeColor="text1"/>
          <w:sz w:val="24"/>
          <w:szCs w:val="24"/>
        </w:rPr>
        <w:t>);</w:t>
      </w:r>
      <w:r w:rsidRPr="000065CD">
        <w:rPr>
          <w:rFonts w:ascii="Book Antiqua" w:hAnsi="Book Antiqua"/>
          <w:bCs/>
          <w:color w:val="000000" w:themeColor="text1"/>
          <w:sz w:val="24"/>
          <w:szCs w:val="24"/>
        </w:rPr>
        <w:t xml:space="preserve"> </w:t>
      </w:r>
      <w:r w:rsidRPr="000065CD">
        <w:rPr>
          <w:rFonts w:ascii="Book Antiqua" w:hAnsi="Book Antiqua" w:cs="Times New Roman"/>
          <w:bCs/>
          <w:color w:val="000000" w:themeColor="text1"/>
          <w:sz w:val="24"/>
          <w:szCs w:val="24"/>
        </w:rPr>
        <w:t>B</w:t>
      </w:r>
      <w:r w:rsidR="000065CD">
        <w:rPr>
          <w:rFonts w:ascii="Book Antiqua" w:hAnsi="Book Antiqua" w:cs="Times New Roman"/>
          <w:bCs/>
          <w:color w:val="000000" w:themeColor="text1"/>
          <w:sz w:val="24"/>
          <w:szCs w:val="24"/>
        </w:rPr>
        <w:t>:</w:t>
      </w:r>
      <w:r w:rsidRPr="000065CD">
        <w:rPr>
          <w:rFonts w:ascii="Book Antiqua" w:hAnsi="Book Antiqua" w:cs="Times New Roman"/>
          <w:bCs/>
          <w:color w:val="000000" w:themeColor="text1"/>
          <w:sz w:val="24"/>
          <w:szCs w:val="24"/>
        </w:rPr>
        <w:t xml:space="preserve"> Thermogravimetric analysis of MTBE and TAEE for the determination of thermal stability of each solvent. TGA of MTBE could not be measured because it quickly vaporized in the chamber due to the low boiling point </w:t>
      </w:r>
      <w:r w:rsidR="000065CD">
        <w:rPr>
          <w:rFonts w:ascii="Book Antiqua" w:hAnsi="Book Antiqua" w:cs="Times New Roman"/>
          <w:bCs/>
          <w:color w:val="000000" w:themeColor="text1"/>
          <w:sz w:val="24"/>
          <w:szCs w:val="24"/>
        </w:rPr>
        <w:t>(</w:t>
      </w:r>
      <w:r w:rsidRPr="000065CD">
        <w:rPr>
          <w:rFonts w:ascii="Book Antiqua" w:hAnsi="Book Antiqua" w:cs="Times New Roman"/>
          <w:bCs/>
          <w:color w:val="000000" w:themeColor="text1"/>
          <w:sz w:val="24"/>
          <w:szCs w:val="24"/>
        </w:rPr>
        <w:t>Left</w:t>
      </w:r>
      <w:r w:rsidR="000065CD">
        <w:rPr>
          <w:rFonts w:ascii="Book Antiqua" w:hAnsi="Book Antiqua" w:cs="Times New Roman"/>
          <w:bCs/>
          <w:color w:val="000000" w:themeColor="text1"/>
          <w:sz w:val="24"/>
          <w:szCs w:val="24"/>
        </w:rPr>
        <w:t>)</w:t>
      </w:r>
      <w:r w:rsidRPr="000065CD">
        <w:rPr>
          <w:rFonts w:ascii="Book Antiqua" w:hAnsi="Book Antiqua" w:cs="Times New Roman"/>
          <w:bCs/>
          <w:color w:val="000000" w:themeColor="text1"/>
          <w:sz w:val="24"/>
          <w:szCs w:val="24"/>
        </w:rPr>
        <w:t xml:space="preserve">. By contrast, TAEE was found to be vaporized slowly as the temperature increased </w:t>
      </w:r>
      <w:r w:rsidR="000065CD">
        <w:rPr>
          <w:rFonts w:ascii="Book Antiqua" w:hAnsi="Book Antiqua" w:cs="Times New Roman"/>
          <w:bCs/>
          <w:color w:val="000000" w:themeColor="text1"/>
          <w:sz w:val="24"/>
          <w:szCs w:val="24"/>
        </w:rPr>
        <w:t>(</w:t>
      </w:r>
      <w:r w:rsidRPr="000065CD">
        <w:rPr>
          <w:rFonts w:ascii="Book Antiqua" w:hAnsi="Book Antiqua" w:cs="Times New Roman"/>
          <w:bCs/>
          <w:color w:val="000000" w:themeColor="text1"/>
          <w:sz w:val="24"/>
          <w:szCs w:val="24"/>
        </w:rPr>
        <w:t>Right</w:t>
      </w:r>
      <w:r w:rsidR="000065CD">
        <w:rPr>
          <w:rFonts w:ascii="Book Antiqua" w:hAnsi="Book Antiqua" w:cs="Times New Roman"/>
          <w:bCs/>
          <w:color w:val="000000" w:themeColor="text1"/>
          <w:sz w:val="24"/>
          <w:szCs w:val="24"/>
        </w:rPr>
        <w:t>)</w:t>
      </w:r>
      <w:r w:rsidRPr="000065CD">
        <w:rPr>
          <w:rFonts w:ascii="Book Antiqua" w:hAnsi="Book Antiqua" w:cs="Times New Roman"/>
          <w:bCs/>
          <w:color w:val="000000" w:themeColor="text1"/>
          <w:sz w:val="24"/>
          <w:szCs w:val="24"/>
        </w:rPr>
        <w:t>.</w:t>
      </w:r>
      <w:r w:rsidR="000065CD">
        <w:rPr>
          <w:rFonts w:ascii="Book Antiqua" w:hAnsi="Book Antiqua" w:cs="Times New Roman"/>
          <w:bCs/>
          <w:color w:val="000000" w:themeColor="text1"/>
          <w:sz w:val="24"/>
          <w:szCs w:val="24"/>
        </w:rPr>
        <w:t xml:space="preserve"> </w:t>
      </w:r>
      <w:r w:rsidR="000065CD" w:rsidRPr="000065CD">
        <w:rPr>
          <w:rFonts w:ascii="Book Antiqua" w:hAnsi="Book Antiqua" w:cs="Times New Roman"/>
          <w:bCs/>
          <w:color w:val="000000" w:themeColor="text1"/>
          <w:sz w:val="24"/>
          <w:szCs w:val="24"/>
        </w:rPr>
        <w:t>MTBE</w:t>
      </w:r>
      <w:r w:rsidR="000065CD">
        <w:rPr>
          <w:rFonts w:ascii="Book Antiqua" w:hAnsi="Book Antiqua" w:cs="Times New Roman"/>
          <w:bCs/>
          <w:color w:val="000000" w:themeColor="text1"/>
          <w:sz w:val="24"/>
          <w:szCs w:val="24"/>
        </w:rPr>
        <w:t xml:space="preserve">: </w:t>
      </w:r>
      <w:r w:rsidR="000065CD" w:rsidRPr="000065CD">
        <w:rPr>
          <w:rFonts w:ascii="Book Antiqua" w:hAnsi="Book Antiqua" w:cs="Times New Roman"/>
          <w:bCs/>
          <w:color w:val="000000" w:themeColor="text1"/>
          <w:sz w:val="24"/>
          <w:szCs w:val="24"/>
        </w:rPr>
        <w:t>Methyl tertiary-butyl ether</w:t>
      </w:r>
      <w:r w:rsidR="000065CD">
        <w:rPr>
          <w:rFonts w:ascii="Book Antiqua" w:hAnsi="Book Antiqua" w:cs="Times New Roman"/>
          <w:bCs/>
          <w:color w:val="000000" w:themeColor="text1"/>
          <w:sz w:val="24"/>
          <w:szCs w:val="24"/>
        </w:rPr>
        <w:t>;</w:t>
      </w:r>
      <w:r w:rsidR="000065CD" w:rsidRPr="000065CD">
        <w:rPr>
          <w:rFonts w:ascii="Book Antiqua" w:hAnsi="Book Antiqua" w:cs="Times New Roman"/>
          <w:bCs/>
          <w:color w:val="000000" w:themeColor="text1"/>
          <w:sz w:val="24"/>
          <w:szCs w:val="24"/>
        </w:rPr>
        <w:t xml:space="preserve"> TAEE</w:t>
      </w:r>
      <w:r w:rsidR="000065CD">
        <w:rPr>
          <w:rFonts w:ascii="Book Antiqua" w:hAnsi="Book Antiqua" w:cs="Times New Roman"/>
          <w:bCs/>
          <w:color w:val="000000" w:themeColor="text1"/>
          <w:sz w:val="24"/>
          <w:szCs w:val="24"/>
        </w:rPr>
        <w:t xml:space="preserve">: </w:t>
      </w:r>
      <w:r w:rsidR="000065CD" w:rsidRPr="000065CD">
        <w:rPr>
          <w:rFonts w:ascii="Book Antiqua" w:hAnsi="Book Antiqua" w:cs="Times New Roman"/>
          <w:bCs/>
          <w:color w:val="000000" w:themeColor="text1"/>
          <w:sz w:val="24"/>
          <w:szCs w:val="24"/>
        </w:rPr>
        <w:t>Tert-amyl ethyl ether</w:t>
      </w:r>
      <w:r w:rsidR="000065CD">
        <w:rPr>
          <w:rFonts w:ascii="Book Antiqua" w:hAnsi="Book Antiqua" w:cs="Times New Roman"/>
          <w:bCs/>
          <w:color w:val="000000" w:themeColor="text1"/>
          <w:sz w:val="24"/>
          <w:szCs w:val="24"/>
        </w:rPr>
        <w:t>.</w:t>
      </w:r>
    </w:p>
    <w:p w14:paraId="2321A749" w14:textId="574AFD58" w:rsidR="000065CD" w:rsidRDefault="000065CD">
      <w:pPr>
        <w:widowControl/>
        <w:wordWrap/>
        <w:autoSpaceDE/>
        <w:autoSpaceDN/>
        <w:spacing w:after="200" w:line="276" w:lineRule="auto"/>
        <w:rPr>
          <w:rFonts w:ascii="Book Antiqua" w:hAnsi="Book Antiqua"/>
          <w:color w:val="000000" w:themeColor="text1"/>
          <w:sz w:val="24"/>
          <w:szCs w:val="24"/>
        </w:rPr>
      </w:pPr>
      <w:r>
        <w:rPr>
          <w:rFonts w:ascii="Book Antiqua" w:hAnsi="Book Antiqua"/>
          <w:color w:val="000000" w:themeColor="text1"/>
          <w:sz w:val="24"/>
          <w:szCs w:val="24"/>
        </w:rPr>
        <w:br w:type="page"/>
      </w:r>
    </w:p>
    <w:p w14:paraId="5D1B5596" w14:textId="3C7E109A" w:rsidR="003565F9" w:rsidRPr="0050120B" w:rsidRDefault="00A40FBA" w:rsidP="0075341C">
      <w:pPr>
        <w:wordWrap/>
        <w:spacing w:after="0" w:line="360" w:lineRule="auto"/>
        <w:rPr>
          <w:rFonts w:ascii="Book Antiqua" w:hAnsi="Book Antiqua" w:cs="Times New Roman"/>
          <w:b/>
          <w:color w:val="000000" w:themeColor="text1"/>
          <w:sz w:val="24"/>
          <w:szCs w:val="24"/>
        </w:rPr>
      </w:pPr>
      <w:r w:rsidRPr="0050120B">
        <w:rPr>
          <w:rFonts w:ascii="Book Antiqua" w:hAnsi="Book Antiqua"/>
          <w:noProof/>
          <w:color w:val="000000" w:themeColor="text1"/>
          <w:sz w:val="24"/>
          <w:szCs w:val="24"/>
          <w:lang w:eastAsia="zh-CN"/>
        </w:rPr>
        <w:lastRenderedPageBreak/>
        <w:drawing>
          <wp:inline distT="0" distB="0" distL="0" distR="0" wp14:anchorId="4B4FC520" wp14:editId="36E2AC66">
            <wp:extent cx="5731510" cy="5542915"/>
            <wp:effectExtent l="0" t="0" r="2540" b="63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542915"/>
                    </a:xfrm>
                    <a:prstGeom prst="rect">
                      <a:avLst/>
                    </a:prstGeom>
                  </pic:spPr>
                </pic:pic>
              </a:graphicData>
            </a:graphic>
          </wp:inline>
        </w:drawing>
      </w:r>
    </w:p>
    <w:p w14:paraId="6D0D3C77" w14:textId="471E3936" w:rsidR="003565F9" w:rsidRPr="000065CD" w:rsidRDefault="003565F9" w:rsidP="0075341C">
      <w:pPr>
        <w:wordWrap/>
        <w:spacing w:after="0" w:line="360" w:lineRule="auto"/>
        <w:rPr>
          <w:rFonts w:ascii="Book Antiqua" w:hAnsi="Book Antiqua"/>
          <w:bCs/>
          <w:color w:val="000000" w:themeColor="text1"/>
          <w:sz w:val="24"/>
          <w:szCs w:val="24"/>
        </w:rPr>
      </w:pPr>
      <w:r w:rsidRPr="0050120B">
        <w:rPr>
          <w:rFonts w:ascii="Book Antiqua" w:hAnsi="Book Antiqua" w:cs="Times New Roman"/>
          <w:b/>
          <w:color w:val="000000" w:themeColor="text1"/>
          <w:sz w:val="24"/>
          <w:szCs w:val="24"/>
        </w:rPr>
        <w:t xml:space="preserve">Figure 2 </w:t>
      </w:r>
      <w:r w:rsidRPr="0050120B">
        <w:rPr>
          <w:rFonts w:ascii="Book Antiqua" w:hAnsi="Book Antiqua"/>
          <w:b/>
          <w:color w:val="000000" w:themeColor="text1"/>
          <w:sz w:val="24"/>
          <w:szCs w:val="24"/>
        </w:rPr>
        <w:t xml:space="preserve">The types of gallstones and the compositions of gallstones of each type. </w:t>
      </w:r>
      <w:r w:rsidRPr="000065CD">
        <w:rPr>
          <w:rFonts w:ascii="Book Antiqua" w:hAnsi="Book Antiqua"/>
          <w:bCs/>
          <w:color w:val="000000" w:themeColor="text1"/>
          <w:sz w:val="24"/>
          <w:szCs w:val="24"/>
        </w:rPr>
        <w:t>Top: Representative cross-sectional appearances of cholesterol, mixed, and pigmented gallstones</w:t>
      </w:r>
      <w:r w:rsidR="000065CD">
        <w:rPr>
          <w:rFonts w:ascii="Book Antiqua" w:hAnsi="Book Antiqua"/>
          <w:bCs/>
          <w:color w:val="000000" w:themeColor="text1"/>
          <w:sz w:val="24"/>
          <w:szCs w:val="24"/>
        </w:rPr>
        <w:t>;</w:t>
      </w:r>
      <w:r w:rsidRPr="000065CD">
        <w:rPr>
          <w:rFonts w:ascii="Book Antiqua" w:hAnsi="Book Antiqua"/>
          <w:bCs/>
          <w:color w:val="000000" w:themeColor="text1"/>
          <w:sz w:val="24"/>
          <w:szCs w:val="24"/>
        </w:rPr>
        <w:t xml:space="preserve"> Middle: The percentage (%) of cholesterol and the sum of the other components in the subtypes of gallstone</w:t>
      </w:r>
      <w:r w:rsidR="000065CD">
        <w:rPr>
          <w:rFonts w:ascii="Book Antiqua" w:hAnsi="Book Antiqua"/>
          <w:bCs/>
          <w:color w:val="000000" w:themeColor="text1"/>
          <w:sz w:val="24"/>
          <w:szCs w:val="24"/>
        </w:rPr>
        <w:t>;</w:t>
      </w:r>
      <w:r w:rsidRPr="000065CD">
        <w:rPr>
          <w:rFonts w:ascii="Book Antiqua" w:hAnsi="Book Antiqua"/>
          <w:bCs/>
          <w:color w:val="000000" w:themeColor="text1"/>
          <w:sz w:val="24"/>
          <w:szCs w:val="24"/>
        </w:rPr>
        <w:t xml:space="preserve"> Bottom: The components comprising gallstones, besides cholesterol, in each group. </w:t>
      </w:r>
    </w:p>
    <w:p w14:paraId="6451E0EA" w14:textId="1A6DCA56" w:rsidR="000065CD" w:rsidRDefault="000065CD">
      <w:pPr>
        <w:widowControl/>
        <w:wordWrap/>
        <w:autoSpaceDE/>
        <w:autoSpaceDN/>
        <w:spacing w:after="200" w:line="276" w:lineRule="auto"/>
        <w:rPr>
          <w:rFonts w:ascii="Book Antiqua" w:hAnsi="Book Antiqua"/>
          <w:noProof/>
          <w:color w:val="000000" w:themeColor="text1"/>
          <w:sz w:val="24"/>
          <w:szCs w:val="24"/>
        </w:rPr>
      </w:pPr>
      <w:r>
        <w:rPr>
          <w:rFonts w:ascii="Book Antiqua" w:hAnsi="Book Antiqua"/>
          <w:noProof/>
          <w:color w:val="000000" w:themeColor="text1"/>
          <w:sz w:val="24"/>
          <w:szCs w:val="24"/>
        </w:rPr>
        <w:br w:type="page"/>
      </w:r>
    </w:p>
    <w:p w14:paraId="2FD59080" w14:textId="748BF85B" w:rsidR="003565F9" w:rsidRPr="0050120B" w:rsidRDefault="00A40FBA" w:rsidP="0075341C">
      <w:pPr>
        <w:wordWrap/>
        <w:spacing w:after="0" w:line="360" w:lineRule="auto"/>
        <w:rPr>
          <w:rFonts w:ascii="Book Antiqua" w:hAnsi="Book Antiqua"/>
          <w:color w:val="000000" w:themeColor="text1"/>
          <w:sz w:val="24"/>
          <w:szCs w:val="24"/>
        </w:rPr>
      </w:pPr>
      <w:r w:rsidRPr="0050120B">
        <w:rPr>
          <w:rFonts w:ascii="Book Antiqua" w:hAnsi="Book Antiqua"/>
          <w:noProof/>
          <w:color w:val="000000" w:themeColor="text1"/>
          <w:sz w:val="24"/>
          <w:szCs w:val="24"/>
          <w:lang w:eastAsia="zh-CN"/>
        </w:rPr>
        <w:lastRenderedPageBreak/>
        <w:drawing>
          <wp:inline distT="0" distB="0" distL="0" distR="0" wp14:anchorId="38C3B006" wp14:editId="5814A762">
            <wp:extent cx="5731510" cy="4578350"/>
            <wp:effectExtent l="0" t="0" r="254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578350"/>
                    </a:xfrm>
                    <a:prstGeom prst="rect">
                      <a:avLst/>
                    </a:prstGeom>
                  </pic:spPr>
                </pic:pic>
              </a:graphicData>
            </a:graphic>
          </wp:inline>
        </w:drawing>
      </w:r>
    </w:p>
    <w:p w14:paraId="2F154E4D" w14:textId="53AA2CDA" w:rsidR="003565F9" w:rsidRPr="000065CD" w:rsidRDefault="003565F9" w:rsidP="0075341C">
      <w:pPr>
        <w:wordWrap/>
        <w:spacing w:after="0" w:line="360" w:lineRule="auto"/>
        <w:rPr>
          <w:rFonts w:ascii="Book Antiqua" w:hAnsi="Book Antiqua"/>
          <w:bCs/>
          <w:color w:val="000000" w:themeColor="text1"/>
          <w:sz w:val="24"/>
          <w:szCs w:val="24"/>
        </w:rPr>
      </w:pPr>
      <w:r w:rsidRPr="0050120B">
        <w:rPr>
          <w:rFonts w:ascii="Book Antiqua" w:hAnsi="Book Antiqua" w:cs="Times New Roman"/>
          <w:b/>
          <w:color w:val="000000" w:themeColor="text1"/>
          <w:sz w:val="24"/>
          <w:szCs w:val="24"/>
        </w:rPr>
        <w:t>Figure</w:t>
      </w:r>
      <w:r w:rsidRPr="0050120B">
        <w:rPr>
          <w:rFonts w:ascii="Book Antiqua" w:hAnsi="Book Antiqua"/>
          <w:b/>
          <w:color w:val="000000" w:themeColor="text1"/>
          <w:sz w:val="24"/>
          <w:szCs w:val="24"/>
        </w:rPr>
        <w:t xml:space="preserve"> 3 </w:t>
      </w:r>
      <w:r w:rsidRPr="0050120B">
        <w:rPr>
          <w:rFonts w:ascii="Book Antiqua" w:hAnsi="Book Antiqua"/>
          <w:b/>
          <w:bCs/>
          <w:i/>
          <w:color w:val="000000" w:themeColor="text1"/>
          <w:sz w:val="24"/>
          <w:szCs w:val="24"/>
        </w:rPr>
        <w:t>In vitro</w:t>
      </w:r>
      <w:r w:rsidRPr="0050120B">
        <w:rPr>
          <w:rFonts w:ascii="Book Antiqua" w:hAnsi="Book Antiqua"/>
          <w:b/>
          <w:bCs/>
          <w:color w:val="000000" w:themeColor="text1"/>
          <w:sz w:val="24"/>
          <w:szCs w:val="24"/>
        </w:rPr>
        <w:t xml:space="preserve"> validation of gallstone dissolubility of each solvent. </w:t>
      </w:r>
      <w:r w:rsidRPr="000065CD">
        <w:rPr>
          <w:rFonts w:ascii="Book Antiqua" w:hAnsi="Book Antiqua"/>
          <w:bCs/>
          <w:color w:val="000000" w:themeColor="text1"/>
          <w:sz w:val="24"/>
          <w:szCs w:val="24"/>
        </w:rPr>
        <w:t>A</w:t>
      </w:r>
      <w:r w:rsidR="000065CD">
        <w:rPr>
          <w:rFonts w:ascii="Book Antiqua" w:hAnsi="Book Antiqua"/>
          <w:bCs/>
          <w:color w:val="000000" w:themeColor="text1"/>
          <w:sz w:val="24"/>
          <w:szCs w:val="24"/>
        </w:rPr>
        <w:t>:</w:t>
      </w:r>
      <w:r w:rsidRPr="000065CD">
        <w:rPr>
          <w:rFonts w:ascii="Book Antiqua" w:hAnsi="Book Antiqua"/>
          <w:bCs/>
          <w:color w:val="000000" w:themeColor="text1"/>
          <w:sz w:val="24"/>
          <w:szCs w:val="24"/>
        </w:rPr>
        <w:t xml:space="preserve"> Dissolubility exerted by each solvent for the cholesterol gallstones. Representative pictures of the residual cholesterol gallstones at 0 h, 4 h, 8 h, and 24 h after treatment (Left). Time-response graph demonstrating the dissolution of cholesterol gallstones. </w:t>
      </w:r>
      <w:r w:rsidR="00F75917" w:rsidRPr="000065CD">
        <w:rPr>
          <w:rFonts w:ascii="Book Antiqua" w:hAnsi="Book Antiqua" w:cs="Times New Roman"/>
          <w:bCs/>
          <w:color w:val="000000" w:themeColor="text1"/>
          <w:sz w:val="24"/>
          <w:szCs w:val="24"/>
        </w:rPr>
        <w:t>Tert-amyl ethyl ether</w:t>
      </w:r>
      <w:r w:rsidR="00F75917" w:rsidRPr="000065CD">
        <w:rPr>
          <w:rFonts w:ascii="Book Antiqua" w:hAnsi="Book Antiqua"/>
          <w:bCs/>
          <w:color w:val="000000" w:themeColor="text1"/>
          <w:sz w:val="24"/>
          <w:szCs w:val="24"/>
        </w:rPr>
        <w:t xml:space="preserve"> </w:t>
      </w:r>
      <w:r w:rsidR="00F75917">
        <w:rPr>
          <w:rFonts w:ascii="Book Antiqua" w:hAnsi="Book Antiqua"/>
          <w:bCs/>
          <w:color w:val="000000" w:themeColor="text1"/>
          <w:sz w:val="24"/>
          <w:szCs w:val="24"/>
        </w:rPr>
        <w:t>(</w:t>
      </w:r>
      <w:r w:rsidRPr="000065CD">
        <w:rPr>
          <w:rFonts w:ascii="Book Antiqua" w:hAnsi="Book Antiqua"/>
          <w:bCs/>
          <w:color w:val="000000" w:themeColor="text1"/>
          <w:sz w:val="24"/>
          <w:szCs w:val="24"/>
        </w:rPr>
        <w:t>TAEE</w:t>
      </w:r>
      <w:r w:rsidR="00F75917">
        <w:rPr>
          <w:rFonts w:ascii="Book Antiqua" w:hAnsi="Book Antiqua"/>
          <w:bCs/>
          <w:color w:val="000000" w:themeColor="text1"/>
          <w:sz w:val="24"/>
          <w:szCs w:val="24"/>
        </w:rPr>
        <w:t>)</w:t>
      </w:r>
      <w:r w:rsidRPr="000065CD">
        <w:rPr>
          <w:rFonts w:ascii="Book Antiqua" w:hAnsi="Book Antiqua"/>
          <w:bCs/>
          <w:color w:val="000000" w:themeColor="text1"/>
          <w:sz w:val="24"/>
          <w:szCs w:val="24"/>
        </w:rPr>
        <w:t xml:space="preserve"> dissolved the cholesterol gallstones significantly better than </w:t>
      </w:r>
      <w:r w:rsidR="00F75917" w:rsidRPr="000065CD">
        <w:rPr>
          <w:rFonts w:ascii="Book Antiqua" w:hAnsi="Book Antiqua" w:cs="Times New Roman"/>
          <w:bCs/>
          <w:color w:val="000000" w:themeColor="text1"/>
          <w:sz w:val="24"/>
          <w:szCs w:val="24"/>
        </w:rPr>
        <w:t>methyl tertiary-butyl ether</w:t>
      </w:r>
      <w:r w:rsidR="00F75917" w:rsidRPr="000065CD">
        <w:rPr>
          <w:rFonts w:ascii="Book Antiqua" w:hAnsi="Book Antiqua"/>
          <w:bCs/>
          <w:color w:val="000000" w:themeColor="text1"/>
          <w:sz w:val="24"/>
          <w:szCs w:val="24"/>
        </w:rPr>
        <w:t xml:space="preserve"> </w:t>
      </w:r>
      <w:r w:rsidR="00F75917">
        <w:rPr>
          <w:rFonts w:ascii="Book Antiqua" w:hAnsi="Book Antiqua"/>
          <w:bCs/>
          <w:color w:val="000000" w:themeColor="text1"/>
          <w:sz w:val="24"/>
          <w:szCs w:val="24"/>
        </w:rPr>
        <w:t>(</w:t>
      </w:r>
      <w:r w:rsidRPr="000065CD">
        <w:rPr>
          <w:rFonts w:ascii="Book Antiqua" w:hAnsi="Book Antiqua"/>
          <w:bCs/>
          <w:color w:val="000000" w:themeColor="text1"/>
          <w:sz w:val="24"/>
          <w:szCs w:val="24"/>
        </w:rPr>
        <w:t>MTBE</w:t>
      </w:r>
      <w:r w:rsidR="00F75917">
        <w:rPr>
          <w:rFonts w:ascii="Book Antiqua" w:hAnsi="Book Antiqua"/>
          <w:bCs/>
          <w:color w:val="000000" w:themeColor="text1"/>
          <w:sz w:val="24"/>
          <w:szCs w:val="24"/>
        </w:rPr>
        <w:t>)</w:t>
      </w:r>
      <w:r w:rsidRPr="000065CD">
        <w:rPr>
          <w:rFonts w:ascii="Book Antiqua" w:hAnsi="Book Antiqua"/>
          <w:bCs/>
          <w:color w:val="000000" w:themeColor="text1"/>
          <w:sz w:val="24"/>
          <w:szCs w:val="24"/>
        </w:rPr>
        <w:t xml:space="preserve"> after 4 h, 8 h, and 24 h (</w:t>
      </w:r>
      <w:r w:rsidRPr="000065CD">
        <w:rPr>
          <w:rFonts w:ascii="Book Antiqua" w:hAnsi="Book Antiqua"/>
          <w:bCs/>
          <w:i/>
          <w:color w:val="000000" w:themeColor="text1"/>
          <w:sz w:val="24"/>
          <w:szCs w:val="24"/>
        </w:rPr>
        <w:t>P</w:t>
      </w:r>
      <w:r w:rsidRPr="000065CD">
        <w:rPr>
          <w:rFonts w:ascii="Book Antiqua" w:hAnsi="Book Antiqua"/>
          <w:bCs/>
          <w:color w:val="000000" w:themeColor="text1"/>
          <w:sz w:val="24"/>
          <w:szCs w:val="24"/>
        </w:rPr>
        <w:t xml:space="preserve"> &lt; 0.05) (Right)</w:t>
      </w:r>
      <w:r w:rsidR="000065CD">
        <w:rPr>
          <w:rFonts w:ascii="Book Antiqua" w:hAnsi="Book Antiqua"/>
          <w:bCs/>
          <w:color w:val="000000" w:themeColor="text1"/>
          <w:sz w:val="24"/>
          <w:szCs w:val="24"/>
        </w:rPr>
        <w:t>;</w:t>
      </w:r>
      <w:r w:rsidRPr="000065CD">
        <w:rPr>
          <w:rFonts w:ascii="Book Antiqua" w:hAnsi="Book Antiqua"/>
          <w:bCs/>
          <w:color w:val="000000" w:themeColor="text1"/>
          <w:sz w:val="24"/>
          <w:szCs w:val="24"/>
        </w:rPr>
        <w:t xml:space="preserve"> B</w:t>
      </w:r>
      <w:r w:rsidR="000065CD">
        <w:rPr>
          <w:rFonts w:ascii="Book Antiqua" w:hAnsi="Book Antiqua"/>
          <w:bCs/>
          <w:color w:val="000000" w:themeColor="text1"/>
          <w:sz w:val="24"/>
          <w:szCs w:val="24"/>
        </w:rPr>
        <w:t>:</w:t>
      </w:r>
      <w:r w:rsidRPr="000065CD">
        <w:rPr>
          <w:rFonts w:ascii="Book Antiqua" w:hAnsi="Book Antiqua"/>
          <w:bCs/>
          <w:color w:val="000000" w:themeColor="text1"/>
          <w:sz w:val="24"/>
          <w:szCs w:val="24"/>
        </w:rPr>
        <w:t xml:space="preserve"> Dissolubility exerted by each solvent for the mixed gallstones. Representative pictures of the residual mixed gallstones at 0 h, 4 h, 8 h, and 24 h after treatment (Left). Time-response graph demonstrating the dissolution of mixed gallstones. TAEE dissolved the mixed gallstones significantly better than MTBE after 4 h, 8 h, and 24 h (</w:t>
      </w:r>
      <w:r w:rsidRPr="000065CD">
        <w:rPr>
          <w:rFonts w:ascii="Book Antiqua" w:hAnsi="Book Antiqua"/>
          <w:bCs/>
          <w:i/>
          <w:color w:val="000000" w:themeColor="text1"/>
          <w:sz w:val="24"/>
          <w:szCs w:val="24"/>
        </w:rPr>
        <w:t>P</w:t>
      </w:r>
      <w:r w:rsidRPr="000065CD">
        <w:rPr>
          <w:rFonts w:ascii="Book Antiqua" w:hAnsi="Book Antiqua"/>
          <w:bCs/>
          <w:color w:val="000000" w:themeColor="text1"/>
          <w:sz w:val="24"/>
          <w:szCs w:val="24"/>
        </w:rPr>
        <w:t xml:space="preserve"> &lt; 0.05) (Right)</w:t>
      </w:r>
      <w:r w:rsidR="00F75917">
        <w:rPr>
          <w:rFonts w:ascii="Book Antiqua" w:hAnsi="Book Antiqua"/>
          <w:bCs/>
          <w:color w:val="000000" w:themeColor="text1"/>
          <w:sz w:val="24"/>
          <w:szCs w:val="24"/>
        </w:rPr>
        <w:t>;</w:t>
      </w:r>
      <w:r w:rsidRPr="000065CD">
        <w:rPr>
          <w:rFonts w:ascii="Book Antiqua" w:hAnsi="Book Antiqua"/>
          <w:bCs/>
          <w:color w:val="000000" w:themeColor="text1"/>
          <w:sz w:val="24"/>
          <w:szCs w:val="24"/>
        </w:rPr>
        <w:t xml:space="preserve"> C</w:t>
      </w:r>
      <w:r w:rsidR="00F75917">
        <w:rPr>
          <w:rFonts w:ascii="Book Antiqua" w:hAnsi="Book Antiqua"/>
          <w:bCs/>
          <w:color w:val="000000" w:themeColor="text1"/>
          <w:sz w:val="24"/>
          <w:szCs w:val="24"/>
        </w:rPr>
        <w:t>:</w:t>
      </w:r>
      <w:r w:rsidRPr="000065CD">
        <w:rPr>
          <w:rFonts w:ascii="Book Antiqua" w:hAnsi="Book Antiqua"/>
          <w:bCs/>
          <w:color w:val="000000" w:themeColor="text1"/>
          <w:sz w:val="24"/>
          <w:szCs w:val="24"/>
        </w:rPr>
        <w:t xml:space="preserve"> Dissolubility exerted by each solvent for the pigmented gallstones. Representative pictures of the residual pigmented gallstones at 0 h, 4 h, 8 h, and 24 h after treatment (Left). Time-response graph demonstrating the dissolution of pigmented gallstones. TAEE dissolved the pigmented gallstones significantly better </w:t>
      </w:r>
      <w:r w:rsidRPr="000065CD">
        <w:rPr>
          <w:rFonts w:ascii="Book Antiqua" w:hAnsi="Book Antiqua"/>
          <w:bCs/>
          <w:color w:val="000000" w:themeColor="text1"/>
          <w:sz w:val="24"/>
          <w:szCs w:val="24"/>
        </w:rPr>
        <w:lastRenderedPageBreak/>
        <w:t>than MTBE after 4 h, 8 h, and 24 h (</w:t>
      </w:r>
      <w:r w:rsidRPr="000065CD">
        <w:rPr>
          <w:rFonts w:ascii="Book Antiqua" w:hAnsi="Book Antiqua"/>
          <w:bCs/>
          <w:i/>
          <w:color w:val="000000" w:themeColor="text1"/>
          <w:sz w:val="24"/>
          <w:szCs w:val="24"/>
        </w:rPr>
        <w:t>P</w:t>
      </w:r>
      <w:r w:rsidRPr="000065CD">
        <w:rPr>
          <w:rFonts w:ascii="Book Antiqua" w:hAnsi="Book Antiqua"/>
          <w:bCs/>
          <w:color w:val="000000" w:themeColor="text1"/>
          <w:sz w:val="24"/>
          <w:szCs w:val="24"/>
        </w:rPr>
        <w:t xml:space="preserve"> &lt; 0.05) (Right). Values are presented as mean ± standard deviation of three independent experiments.</w:t>
      </w:r>
      <w:r w:rsidR="00AB4454" w:rsidRPr="000065CD">
        <w:rPr>
          <w:rFonts w:ascii="Book Antiqua" w:hAnsi="Book Antiqua"/>
          <w:bCs/>
          <w:color w:val="000000" w:themeColor="text1"/>
          <w:sz w:val="24"/>
          <w:szCs w:val="24"/>
        </w:rPr>
        <w:t xml:space="preserve"> </w:t>
      </w:r>
      <w:r w:rsidR="00AB4454" w:rsidRPr="000065CD">
        <w:rPr>
          <w:rFonts w:ascii="Book Antiqua" w:hAnsi="Book Antiqua" w:cs="Times New Roman"/>
          <w:bCs/>
          <w:color w:val="000000" w:themeColor="text1"/>
          <w:sz w:val="24"/>
          <w:szCs w:val="24"/>
          <w:vertAlign w:val="superscript"/>
        </w:rPr>
        <w:t>a</w:t>
      </w:r>
      <w:r w:rsidR="00AB4454" w:rsidRPr="000065CD">
        <w:rPr>
          <w:rFonts w:ascii="Book Antiqua" w:hAnsi="Book Antiqua" w:cs="Times New Roman"/>
          <w:bCs/>
          <w:i/>
          <w:color w:val="000000" w:themeColor="text1"/>
          <w:sz w:val="24"/>
          <w:szCs w:val="24"/>
        </w:rPr>
        <w:t>P</w:t>
      </w:r>
      <w:r w:rsidR="00AB4454" w:rsidRPr="000065CD">
        <w:rPr>
          <w:rFonts w:ascii="Book Antiqua" w:hAnsi="Book Antiqua" w:cs="Times New Roman"/>
          <w:bCs/>
          <w:color w:val="000000" w:themeColor="text1"/>
          <w:sz w:val="24"/>
          <w:szCs w:val="24"/>
        </w:rPr>
        <w:t xml:space="preserve"> &lt; 0.05 between MTBE and TAEE. </w:t>
      </w:r>
      <w:r w:rsidRPr="000065CD">
        <w:rPr>
          <w:rFonts w:ascii="Book Antiqua" w:hAnsi="Book Antiqua"/>
          <w:bCs/>
          <w:color w:val="000000" w:themeColor="text1"/>
          <w:sz w:val="24"/>
          <w:szCs w:val="24"/>
        </w:rPr>
        <w:t>MTBE</w:t>
      </w:r>
      <w:r w:rsidR="00871A74" w:rsidRPr="000065CD">
        <w:rPr>
          <w:rFonts w:ascii="Book Antiqua" w:hAnsi="Book Antiqua"/>
          <w:bCs/>
          <w:color w:val="000000" w:themeColor="text1"/>
          <w:sz w:val="24"/>
          <w:szCs w:val="24"/>
        </w:rPr>
        <w:t>:</w:t>
      </w:r>
      <w:r w:rsidRPr="000065CD">
        <w:rPr>
          <w:rFonts w:ascii="Book Antiqua" w:hAnsi="Book Antiqua"/>
          <w:bCs/>
          <w:color w:val="000000" w:themeColor="text1"/>
          <w:sz w:val="24"/>
          <w:szCs w:val="24"/>
        </w:rPr>
        <w:t xml:space="preserve"> </w:t>
      </w:r>
      <w:r w:rsidR="00F75917" w:rsidRPr="000065CD">
        <w:rPr>
          <w:rFonts w:ascii="Book Antiqua" w:hAnsi="Book Antiqua"/>
          <w:bCs/>
          <w:color w:val="000000" w:themeColor="text1"/>
          <w:sz w:val="24"/>
          <w:szCs w:val="24"/>
        </w:rPr>
        <w:t>M</w:t>
      </w:r>
      <w:r w:rsidRPr="000065CD">
        <w:rPr>
          <w:rFonts w:ascii="Book Antiqua" w:hAnsi="Book Antiqua"/>
          <w:bCs/>
          <w:color w:val="000000" w:themeColor="text1"/>
          <w:sz w:val="24"/>
          <w:szCs w:val="24"/>
        </w:rPr>
        <w:t>ethyl tert-butyl ether; TAEE</w:t>
      </w:r>
      <w:r w:rsidR="00871A74" w:rsidRPr="000065CD">
        <w:rPr>
          <w:rFonts w:ascii="Book Antiqua" w:hAnsi="Book Antiqua"/>
          <w:bCs/>
          <w:color w:val="000000" w:themeColor="text1"/>
          <w:sz w:val="24"/>
          <w:szCs w:val="24"/>
        </w:rPr>
        <w:t xml:space="preserve">: </w:t>
      </w:r>
      <w:r w:rsidR="00F75917" w:rsidRPr="000065CD">
        <w:rPr>
          <w:rFonts w:ascii="Book Antiqua" w:hAnsi="Book Antiqua"/>
          <w:bCs/>
          <w:color w:val="000000" w:themeColor="text1"/>
          <w:sz w:val="24"/>
          <w:szCs w:val="24"/>
        </w:rPr>
        <w:t>T</w:t>
      </w:r>
      <w:r w:rsidRPr="000065CD">
        <w:rPr>
          <w:rFonts w:ascii="Book Antiqua" w:hAnsi="Book Antiqua"/>
          <w:bCs/>
          <w:color w:val="000000" w:themeColor="text1"/>
          <w:sz w:val="24"/>
          <w:szCs w:val="24"/>
        </w:rPr>
        <w:t>ert-amyl ethyl ether.</w:t>
      </w:r>
    </w:p>
    <w:p w14:paraId="5F69A49B" w14:textId="77777777" w:rsidR="003565F9" w:rsidRPr="0050120B" w:rsidRDefault="003565F9" w:rsidP="0075341C">
      <w:pPr>
        <w:wordWrap/>
        <w:spacing w:after="0" w:line="360" w:lineRule="auto"/>
        <w:rPr>
          <w:rFonts w:ascii="Book Antiqua" w:hAnsi="Book Antiqua"/>
          <w:b/>
          <w:color w:val="000000" w:themeColor="text1"/>
          <w:sz w:val="24"/>
          <w:szCs w:val="24"/>
        </w:rPr>
      </w:pPr>
    </w:p>
    <w:p w14:paraId="6342A8BB" w14:textId="42879929" w:rsidR="00F75917" w:rsidRDefault="00F75917">
      <w:pPr>
        <w:widowControl/>
        <w:wordWrap/>
        <w:autoSpaceDE/>
        <w:autoSpaceDN/>
        <w:spacing w:after="200" w:line="276" w:lineRule="auto"/>
        <w:rPr>
          <w:rFonts w:ascii="Book Antiqua" w:hAnsi="Book Antiqua"/>
          <w:b/>
          <w:color w:val="000000" w:themeColor="text1"/>
          <w:sz w:val="24"/>
          <w:szCs w:val="24"/>
        </w:rPr>
      </w:pPr>
      <w:r>
        <w:rPr>
          <w:rFonts w:ascii="Book Antiqua" w:hAnsi="Book Antiqua"/>
          <w:b/>
          <w:color w:val="000000" w:themeColor="text1"/>
          <w:sz w:val="24"/>
          <w:szCs w:val="24"/>
        </w:rPr>
        <w:br w:type="page"/>
      </w:r>
    </w:p>
    <w:p w14:paraId="72DCB6D5" w14:textId="0C3FA1BE" w:rsidR="003565F9" w:rsidRPr="0050120B" w:rsidRDefault="00A40FBA" w:rsidP="0075341C">
      <w:pPr>
        <w:wordWrap/>
        <w:spacing w:after="0" w:line="360" w:lineRule="auto"/>
        <w:rPr>
          <w:rFonts w:ascii="Book Antiqua" w:hAnsi="Book Antiqua"/>
          <w:b/>
          <w:color w:val="000000" w:themeColor="text1"/>
          <w:sz w:val="24"/>
          <w:szCs w:val="24"/>
        </w:rPr>
      </w:pPr>
      <w:r w:rsidRPr="0050120B">
        <w:rPr>
          <w:rFonts w:ascii="Book Antiqua" w:hAnsi="Book Antiqua"/>
          <w:noProof/>
          <w:color w:val="000000" w:themeColor="text1"/>
          <w:sz w:val="24"/>
          <w:szCs w:val="24"/>
          <w:lang w:eastAsia="zh-CN"/>
        </w:rPr>
        <w:lastRenderedPageBreak/>
        <w:drawing>
          <wp:inline distT="0" distB="0" distL="0" distR="0" wp14:anchorId="002CBBDC" wp14:editId="18015B2B">
            <wp:extent cx="5731510" cy="3474085"/>
            <wp:effectExtent l="0" t="0" r="254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474085"/>
                    </a:xfrm>
                    <a:prstGeom prst="rect">
                      <a:avLst/>
                    </a:prstGeom>
                  </pic:spPr>
                </pic:pic>
              </a:graphicData>
            </a:graphic>
          </wp:inline>
        </w:drawing>
      </w:r>
    </w:p>
    <w:p w14:paraId="185EF222" w14:textId="3A7DD882" w:rsidR="003565F9" w:rsidRPr="00F75917" w:rsidRDefault="003565F9" w:rsidP="0075341C">
      <w:pPr>
        <w:wordWrap/>
        <w:spacing w:after="0" w:line="360" w:lineRule="auto"/>
        <w:rPr>
          <w:rFonts w:ascii="Book Antiqua" w:hAnsi="Book Antiqua"/>
          <w:bCs/>
          <w:color w:val="000000" w:themeColor="text1"/>
          <w:sz w:val="24"/>
          <w:szCs w:val="24"/>
        </w:rPr>
      </w:pPr>
      <w:r w:rsidRPr="0050120B">
        <w:rPr>
          <w:rFonts w:ascii="Book Antiqua" w:hAnsi="Book Antiqua" w:cs="Times New Roman"/>
          <w:b/>
          <w:color w:val="000000" w:themeColor="text1"/>
          <w:sz w:val="24"/>
          <w:szCs w:val="24"/>
        </w:rPr>
        <w:t>Figure</w:t>
      </w:r>
      <w:r w:rsidRPr="0050120B">
        <w:rPr>
          <w:rFonts w:ascii="Book Antiqua" w:hAnsi="Book Antiqua"/>
          <w:b/>
          <w:color w:val="000000" w:themeColor="text1"/>
          <w:sz w:val="24"/>
          <w:szCs w:val="24"/>
        </w:rPr>
        <w:t xml:space="preserve"> 4 </w:t>
      </w:r>
      <w:r w:rsidRPr="0050120B">
        <w:rPr>
          <w:rFonts w:ascii="Book Antiqua" w:hAnsi="Book Antiqua"/>
          <w:b/>
          <w:bCs/>
          <w:i/>
          <w:color w:val="000000" w:themeColor="text1"/>
          <w:sz w:val="24"/>
          <w:szCs w:val="24"/>
        </w:rPr>
        <w:t>In vivo</w:t>
      </w:r>
      <w:r w:rsidRPr="0050120B">
        <w:rPr>
          <w:rFonts w:ascii="Book Antiqua" w:hAnsi="Book Antiqua"/>
          <w:b/>
          <w:bCs/>
          <w:color w:val="000000" w:themeColor="text1"/>
          <w:sz w:val="24"/>
          <w:szCs w:val="24"/>
        </w:rPr>
        <w:t xml:space="preserve"> validation of gallstone dissolubility for each solvent</w:t>
      </w:r>
      <w:r w:rsidRPr="0050120B">
        <w:rPr>
          <w:rFonts w:ascii="Book Antiqua" w:hAnsi="Book Antiqua"/>
          <w:color w:val="000000" w:themeColor="text1"/>
          <w:sz w:val="24"/>
          <w:szCs w:val="24"/>
        </w:rPr>
        <w:t xml:space="preserve">. </w:t>
      </w:r>
      <w:r w:rsidRPr="00F75917">
        <w:rPr>
          <w:rFonts w:ascii="Book Antiqua" w:hAnsi="Book Antiqua"/>
          <w:bCs/>
          <w:color w:val="000000" w:themeColor="text1"/>
          <w:sz w:val="24"/>
          <w:szCs w:val="24"/>
        </w:rPr>
        <w:t>A</w:t>
      </w:r>
      <w:r w:rsidR="00F75917">
        <w:rPr>
          <w:rFonts w:ascii="Book Antiqua" w:hAnsi="Book Antiqua"/>
          <w:bCs/>
          <w:color w:val="000000" w:themeColor="text1"/>
          <w:sz w:val="24"/>
          <w:szCs w:val="24"/>
        </w:rPr>
        <w:t>:</w:t>
      </w:r>
      <w:r w:rsidRPr="00F75917">
        <w:rPr>
          <w:rFonts w:ascii="Book Antiqua" w:hAnsi="Book Antiqua"/>
          <w:bCs/>
          <w:color w:val="000000" w:themeColor="text1"/>
          <w:sz w:val="24"/>
          <w:szCs w:val="24"/>
        </w:rPr>
        <w:t xml:space="preserve"> Weight changes of hamsters in the cholesterol gallstones (Left) and pigmented gallstones (Right) groups. During the course of the feeding protocol, the hamsters in each group showed a consistent increase in body weight</w:t>
      </w:r>
      <w:r w:rsidR="00F75917">
        <w:rPr>
          <w:rFonts w:ascii="Book Antiqua" w:hAnsi="Book Antiqua"/>
          <w:bCs/>
          <w:color w:val="000000" w:themeColor="text1"/>
          <w:sz w:val="24"/>
          <w:szCs w:val="24"/>
        </w:rPr>
        <w:t>;</w:t>
      </w:r>
      <w:r w:rsidRPr="00F75917">
        <w:rPr>
          <w:rFonts w:ascii="Book Antiqua" w:hAnsi="Book Antiqua"/>
          <w:bCs/>
          <w:color w:val="000000" w:themeColor="text1"/>
          <w:sz w:val="24"/>
          <w:szCs w:val="24"/>
        </w:rPr>
        <w:t xml:space="preserve"> B</w:t>
      </w:r>
      <w:r w:rsidR="00F75917">
        <w:rPr>
          <w:rFonts w:ascii="Book Antiqua" w:hAnsi="Book Antiqua"/>
          <w:bCs/>
          <w:color w:val="000000" w:themeColor="text1"/>
          <w:sz w:val="24"/>
          <w:szCs w:val="24"/>
        </w:rPr>
        <w:t>:</w:t>
      </w:r>
      <w:r w:rsidRPr="00F75917">
        <w:rPr>
          <w:rFonts w:ascii="Book Antiqua" w:hAnsi="Book Antiqua"/>
          <w:bCs/>
          <w:color w:val="000000" w:themeColor="text1"/>
          <w:sz w:val="24"/>
          <w:szCs w:val="24"/>
        </w:rPr>
        <w:t xml:space="preserve"> Comparison of serum levels of total cholesterol in the hamsters with cholesterol gallstones and pigmented gallstones, respectively</w:t>
      </w:r>
      <w:r w:rsidR="00F75917">
        <w:rPr>
          <w:rFonts w:ascii="Book Antiqua" w:hAnsi="Book Antiqua"/>
          <w:bCs/>
          <w:color w:val="000000" w:themeColor="text1"/>
          <w:sz w:val="24"/>
          <w:szCs w:val="24"/>
        </w:rPr>
        <w:t>;</w:t>
      </w:r>
      <w:r w:rsidRPr="00F75917">
        <w:rPr>
          <w:rFonts w:ascii="Book Antiqua" w:hAnsi="Book Antiqua"/>
          <w:bCs/>
          <w:color w:val="000000" w:themeColor="text1"/>
          <w:sz w:val="24"/>
          <w:szCs w:val="24"/>
        </w:rPr>
        <w:t xml:space="preserve"> C</w:t>
      </w:r>
      <w:r w:rsidR="00F75917">
        <w:rPr>
          <w:rFonts w:ascii="Book Antiqua" w:hAnsi="Book Antiqua"/>
          <w:bCs/>
          <w:color w:val="000000" w:themeColor="text1"/>
          <w:sz w:val="24"/>
          <w:szCs w:val="24"/>
        </w:rPr>
        <w:t>:</w:t>
      </w:r>
      <w:r w:rsidRPr="00F75917">
        <w:rPr>
          <w:rFonts w:ascii="Book Antiqua" w:hAnsi="Book Antiqua"/>
          <w:bCs/>
          <w:color w:val="000000" w:themeColor="text1"/>
          <w:sz w:val="24"/>
          <w:szCs w:val="24"/>
        </w:rPr>
        <w:t xml:space="preserve"> Representative operative and ultrasound pictures demonstrating the development of cholesterol (Left) and pigmented (Right) gallstones in the experimental hamsters following their respective protocol diets. White circles indicate the gallstones within the gallbladder</w:t>
      </w:r>
      <w:r w:rsidR="00F75917">
        <w:rPr>
          <w:rFonts w:ascii="Book Antiqua" w:hAnsi="Book Antiqua"/>
          <w:bCs/>
          <w:color w:val="000000" w:themeColor="text1"/>
          <w:sz w:val="24"/>
          <w:szCs w:val="24"/>
        </w:rPr>
        <w:t>;</w:t>
      </w:r>
      <w:r w:rsidRPr="00F75917">
        <w:rPr>
          <w:rFonts w:ascii="Book Antiqua" w:hAnsi="Book Antiqua"/>
          <w:bCs/>
          <w:color w:val="000000" w:themeColor="text1"/>
          <w:sz w:val="24"/>
          <w:szCs w:val="24"/>
        </w:rPr>
        <w:t xml:space="preserve"> D</w:t>
      </w:r>
      <w:r w:rsidR="00F75917">
        <w:rPr>
          <w:rFonts w:ascii="Book Antiqua" w:hAnsi="Book Antiqua"/>
          <w:bCs/>
          <w:color w:val="000000" w:themeColor="text1"/>
          <w:sz w:val="24"/>
          <w:szCs w:val="24"/>
        </w:rPr>
        <w:t>:</w:t>
      </w:r>
      <w:r w:rsidRPr="00F75917">
        <w:rPr>
          <w:rFonts w:ascii="Book Antiqua" w:hAnsi="Book Antiqua"/>
          <w:bCs/>
          <w:color w:val="000000" w:themeColor="text1"/>
          <w:sz w:val="24"/>
          <w:szCs w:val="24"/>
        </w:rPr>
        <w:t xml:space="preserve"> Determination of </w:t>
      </w:r>
      <w:r w:rsidRPr="00F75917">
        <w:rPr>
          <w:rFonts w:ascii="Book Antiqua" w:hAnsi="Book Antiqua"/>
          <w:bCs/>
          <w:i/>
          <w:color w:val="000000" w:themeColor="text1"/>
          <w:sz w:val="24"/>
          <w:szCs w:val="24"/>
        </w:rPr>
        <w:t>in vivo</w:t>
      </w:r>
      <w:r w:rsidRPr="00F75917">
        <w:rPr>
          <w:rFonts w:ascii="Book Antiqua" w:hAnsi="Book Antiqua"/>
          <w:bCs/>
          <w:color w:val="000000" w:themeColor="text1"/>
          <w:sz w:val="24"/>
          <w:szCs w:val="24"/>
        </w:rPr>
        <w:t xml:space="preserve"> gallstone dissolubility for each solvent. After infusing each solvent into the gallbladders of hamsters with gallstones for 24 h, the gallstone dissolubility was determined by comparing the weights of residual gallstones in treated hamsters with those in the control hamsters </w:t>
      </w:r>
      <w:r w:rsidR="00F75917">
        <w:rPr>
          <w:rFonts w:ascii="Book Antiqua" w:hAnsi="Book Antiqua"/>
          <w:bCs/>
          <w:color w:val="000000" w:themeColor="text1"/>
          <w:sz w:val="24"/>
          <w:szCs w:val="24"/>
        </w:rPr>
        <w:t>[</w:t>
      </w:r>
      <w:r w:rsidRPr="00F75917">
        <w:rPr>
          <w:rFonts w:ascii="Book Antiqua" w:hAnsi="Book Antiqua"/>
          <w:bCs/>
          <w:color w:val="000000" w:themeColor="text1"/>
          <w:sz w:val="24"/>
          <w:szCs w:val="24"/>
        </w:rPr>
        <w:t xml:space="preserve">treated with </w:t>
      </w:r>
      <w:r w:rsidR="00F75917" w:rsidRPr="0050120B">
        <w:rPr>
          <w:rFonts w:ascii="Book Antiqua" w:hAnsi="Book Antiqua" w:cs="Times New Roman"/>
          <w:color w:val="000000" w:themeColor="text1"/>
          <w:sz w:val="24"/>
          <w:szCs w:val="24"/>
        </w:rPr>
        <w:t xml:space="preserve">dimethyl sulfoxide </w:t>
      </w:r>
      <w:r w:rsidR="00F75917">
        <w:rPr>
          <w:rFonts w:ascii="Book Antiqua" w:hAnsi="Book Antiqua" w:cs="Times New Roman"/>
          <w:color w:val="000000" w:themeColor="text1"/>
          <w:sz w:val="24"/>
          <w:szCs w:val="24"/>
        </w:rPr>
        <w:t>(</w:t>
      </w:r>
      <w:r w:rsidRPr="00F75917">
        <w:rPr>
          <w:rFonts w:ascii="Book Antiqua" w:hAnsi="Book Antiqua"/>
          <w:bCs/>
          <w:color w:val="000000" w:themeColor="text1"/>
          <w:sz w:val="24"/>
          <w:szCs w:val="24"/>
        </w:rPr>
        <w:t>DMSO)</w:t>
      </w:r>
      <w:r w:rsidR="00F75917">
        <w:rPr>
          <w:rFonts w:ascii="Book Antiqua" w:hAnsi="Book Antiqua"/>
          <w:bCs/>
          <w:color w:val="000000" w:themeColor="text1"/>
          <w:sz w:val="24"/>
          <w:szCs w:val="24"/>
        </w:rPr>
        <w:t>]</w:t>
      </w:r>
      <w:r w:rsidRPr="00F75917">
        <w:rPr>
          <w:rFonts w:ascii="Book Antiqua" w:hAnsi="Book Antiqua"/>
          <w:bCs/>
          <w:color w:val="000000" w:themeColor="text1"/>
          <w:sz w:val="24"/>
          <w:szCs w:val="24"/>
        </w:rPr>
        <w:t xml:space="preserve">. </w:t>
      </w:r>
      <w:r w:rsidR="00F75917" w:rsidRPr="000065CD">
        <w:rPr>
          <w:rFonts w:ascii="Book Antiqua" w:hAnsi="Book Antiqua"/>
          <w:bCs/>
          <w:color w:val="000000" w:themeColor="text1"/>
          <w:sz w:val="24"/>
          <w:szCs w:val="24"/>
        </w:rPr>
        <w:t>Tert-amyl ethyl ether</w:t>
      </w:r>
      <w:r w:rsidR="00F75917" w:rsidRPr="00F75917">
        <w:rPr>
          <w:rFonts w:ascii="Book Antiqua" w:hAnsi="Book Antiqua"/>
          <w:bCs/>
          <w:color w:val="000000" w:themeColor="text1"/>
          <w:sz w:val="24"/>
          <w:szCs w:val="24"/>
        </w:rPr>
        <w:t xml:space="preserve"> </w:t>
      </w:r>
      <w:r w:rsidR="00F75917">
        <w:rPr>
          <w:rFonts w:ascii="Book Antiqua" w:hAnsi="Book Antiqua"/>
          <w:bCs/>
          <w:color w:val="000000" w:themeColor="text1"/>
          <w:sz w:val="24"/>
          <w:szCs w:val="24"/>
        </w:rPr>
        <w:t>(</w:t>
      </w:r>
      <w:r w:rsidRPr="00F75917">
        <w:rPr>
          <w:rFonts w:ascii="Book Antiqua" w:hAnsi="Book Antiqua"/>
          <w:bCs/>
          <w:color w:val="000000" w:themeColor="text1"/>
          <w:sz w:val="24"/>
          <w:szCs w:val="24"/>
        </w:rPr>
        <w:t>TAEE</w:t>
      </w:r>
      <w:r w:rsidR="00F75917">
        <w:rPr>
          <w:rFonts w:ascii="Book Antiqua" w:hAnsi="Book Antiqua"/>
          <w:bCs/>
          <w:color w:val="000000" w:themeColor="text1"/>
          <w:sz w:val="24"/>
          <w:szCs w:val="24"/>
        </w:rPr>
        <w:t>)</w:t>
      </w:r>
      <w:r w:rsidRPr="00F75917">
        <w:rPr>
          <w:rFonts w:ascii="Book Antiqua" w:hAnsi="Book Antiqua"/>
          <w:bCs/>
          <w:color w:val="000000" w:themeColor="text1"/>
          <w:sz w:val="24"/>
          <w:szCs w:val="24"/>
        </w:rPr>
        <w:t xml:space="preserve"> demonstrated a significantly higher dissolubility than </w:t>
      </w:r>
      <w:r w:rsidR="00F75917" w:rsidRPr="000065CD">
        <w:rPr>
          <w:rFonts w:ascii="Book Antiqua" w:hAnsi="Book Antiqua"/>
          <w:bCs/>
          <w:color w:val="000000" w:themeColor="text1"/>
          <w:sz w:val="24"/>
          <w:szCs w:val="24"/>
        </w:rPr>
        <w:t>methyl tert-butyl ether</w:t>
      </w:r>
      <w:r w:rsidR="00F75917" w:rsidRPr="00F75917">
        <w:rPr>
          <w:rFonts w:ascii="Book Antiqua" w:hAnsi="Book Antiqua"/>
          <w:bCs/>
          <w:color w:val="000000" w:themeColor="text1"/>
          <w:sz w:val="24"/>
          <w:szCs w:val="24"/>
        </w:rPr>
        <w:t xml:space="preserve"> </w:t>
      </w:r>
      <w:r w:rsidR="00F75917">
        <w:rPr>
          <w:rFonts w:ascii="Book Antiqua" w:hAnsi="Book Antiqua"/>
          <w:bCs/>
          <w:color w:val="000000" w:themeColor="text1"/>
          <w:sz w:val="24"/>
          <w:szCs w:val="24"/>
        </w:rPr>
        <w:t>(</w:t>
      </w:r>
      <w:r w:rsidRPr="00F75917">
        <w:rPr>
          <w:rFonts w:ascii="Book Antiqua" w:hAnsi="Book Antiqua"/>
          <w:bCs/>
          <w:color w:val="000000" w:themeColor="text1"/>
          <w:sz w:val="24"/>
          <w:szCs w:val="24"/>
        </w:rPr>
        <w:t>MTBE</w:t>
      </w:r>
      <w:r w:rsidR="00F75917">
        <w:rPr>
          <w:rFonts w:ascii="Book Antiqua" w:hAnsi="Book Antiqua"/>
          <w:bCs/>
          <w:color w:val="000000" w:themeColor="text1"/>
          <w:sz w:val="24"/>
          <w:szCs w:val="24"/>
        </w:rPr>
        <w:t>)</w:t>
      </w:r>
      <w:r w:rsidRPr="00F75917">
        <w:rPr>
          <w:rFonts w:ascii="Book Antiqua" w:hAnsi="Book Antiqua"/>
          <w:bCs/>
          <w:color w:val="000000" w:themeColor="text1"/>
          <w:sz w:val="24"/>
          <w:szCs w:val="24"/>
        </w:rPr>
        <w:t xml:space="preserve"> in both hamster models of cholesterol (Left) and pigmented (Right) gallstones. The dissolubility for each solvent (MTBE and TAEE) for the cholesterol gallstones was 61.0% and 76.75%, respectively (</w:t>
      </w:r>
      <w:r w:rsidRPr="00F75917">
        <w:rPr>
          <w:rFonts w:ascii="Book Antiqua" w:hAnsi="Book Antiqua"/>
          <w:bCs/>
          <w:i/>
          <w:iCs/>
          <w:color w:val="000000" w:themeColor="text1"/>
          <w:sz w:val="24"/>
          <w:szCs w:val="24"/>
        </w:rPr>
        <w:t>P</w:t>
      </w:r>
      <w:r w:rsidRPr="00F75917">
        <w:rPr>
          <w:rFonts w:ascii="Book Antiqua" w:hAnsi="Book Antiqua"/>
          <w:bCs/>
          <w:color w:val="000000" w:themeColor="text1"/>
          <w:sz w:val="24"/>
          <w:szCs w:val="24"/>
        </w:rPr>
        <w:t xml:space="preserve"> &lt; 0.05), and the dissolubility of each solvent for pigmented gallstones was 32.0% and 47.5%, respectively. </w:t>
      </w:r>
      <w:r w:rsidR="00871A74" w:rsidRPr="00F75917">
        <w:rPr>
          <w:rFonts w:ascii="Book Antiqua" w:hAnsi="Book Antiqua" w:cs="Times New Roman"/>
          <w:bCs/>
          <w:color w:val="000000" w:themeColor="text1"/>
          <w:sz w:val="24"/>
          <w:szCs w:val="24"/>
          <w:vertAlign w:val="superscript"/>
        </w:rPr>
        <w:t>a</w:t>
      </w:r>
      <w:r w:rsidR="00871A74" w:rsidRPr="00F75917">
        <w:rPr>
          <w:rFonts w:ascii="Book Antiqua" w:hAnsi="Book Antiqua" w:cs="Times New Roman"/>
          <w:bCs/>
          <w:i/>
          <w:color w:val="000000" w:themeColor="text1"/>
          <w:sz w:val="24"/>
          <w:szCs w:val="24"/>
        </w:rPr>
        <w:t>P</w:t>
      </w:r>
      <w:r w:rsidR="00871A74" w:rsidRPr="00F75917">
        <w:rPr>
          <w:rFonts w:ascii="Book Antiqua" w:hAnsi="Book Antiqua" w:cs="Times New Roman"/>
          <w:bCs/>
          <w:color w:val="000000" w:themeColor="text1"/>
          <w:sz w:val="24"/>
          <w:szCs w:val="24"/>
        </w:rPr>
        <w:t xml:space="preserve"> &lt; 0.05 comparing between </w:t>
      </w:r>
      <w:r w:rsidR="00871A74" w:rsidRPr="00F75917">
        <w:rPr>
          <w:rFonts w:ascii="Book Antiqua" w:hAnsi="Book Antiqua" w:cs="Times New Roman"/>
          <w:bCs/>
          <w:color w:val="000000" w:themeColor="text1"/>
          <w:sz w:val="24"/>
          <w:szCs w:val="24"/>
        </w:rPr>
        <w:lastRenderedPageBreak/>
        <w:t>MTBE and TAEE.</w:t>
      </w:r>
      <w:r w:rsidR="00E54E39" w:rsidRPr="00F75917">
        <w:rPr>
          <w:rFonts w:ascii="Book Antiqua" w:hAnsi="Book Antiqua" w:cs="Times New Roman"/>
          <w:bCs/>
          <w:color w:val="000000" w:themeColor="text1"/>
          <w:sz w:val="24"/>
          <w:szCs w:val="24"/>
        </w:rPr>
        <w:t xml:space="preserve"> </w:t>
      </w:r>
      <w:r w:rsidR="00871A74" w:rsidRPr="00F75917">
        <w:rPr>
          <w:rFonts w:ascii="Book Antiqua" w:hAnsi="Book Antiqua" w:cs="Times New Roman"/>
          <w:bCs/>
          <w:color w:val="000000" w:themeColor="text1"/>
          <w:sz w:val="24"/>
          <w:szCs w:val="24"/>
          <w:vertAlign w:val="superscript"/>
        </w:rPr>
        <w:t>c</w:t>
      </w:r>
      <w:r w:rsidR="00871A74" w:rsidRPr="00F75917">
        <w:rPr>
          <w:rFonts w:ascii="Book Antiqua" w:hAnsi="Book Antiqua" w:cs="Times New Roman"/>
          <w:bCs/>
          <w:i/>
          <w:color w:val="000000" w:themeColor="text1"/>
          <w:sz w:val="24"/>
          <w:szCs w:val="24"/>
        </w:rPr>
        <w:t>P</w:t>
      </w:r>
      <w:r w:rsidR="00871A74" w:rsidRPr="00F75917">
        <w:rPr>
          <w:rFonts w:ascii="Book Antiqua" w:hAnsi="Book Antiqua" w:cs="Times New Roman"/>
          <w:bCs/>
          <w:color w:val="000000" w:themeColor="text1"/>
          <w:sz w:val="24"/>
          <w:szCs w:val="24"/>
        </w:rPr>
        <w:t xml:space="preserve"> &lt; 0.05 between hamsters with cholesterol gallstones and those with pigmented gallstones.</w:t>
      </w:r>
      <w:r w:rsidR="00E54E39" w:rsidRPr="00F75917">
        <w:rPr>
          <w:rFonts w:ascii="Book Antiqua" w:hAnsi="Book Antiqua" w:cs="Times New Roman"/>
          <w:bCs/>
          <w:color w:val="000000" w:themeColor="text1"/>
          <w:sz w:val="24"/>
          <w:szCs w:val="24"/>
        </w:rPr>
        <w:t xml:space="preserve"> </w:t>
      </w:r>
      <w:r w:rsidR="00871A74" w:rsidRPr="00F75917">
        <w:rPr>
          <w:rFonts w:ascii="Book Antiqua" w:hAnsi="Book Antiqua" w:cs="Times New Roman"/>
          <w:bCs/>
          <w:color w:val="000000" w:themeColor="text1"/>
          <w:sz w:val="24"/>
          <w:szCs w:val="24"/>
          <w:vertAlign w:val="superscript"/>
        </w:rPr>
        <w:t>e</w:t>
      </w:r>
      <w:r w:rsidR="00871A74" w:rsidRPr="00F75917">
        <w:rPr>
          <w:rFonts w:ascii="Book Antiqua" w:hAnsi="Book Antiqua" w:cs="Times New Roman"/>
          <w:bCs/>
          <w:i/>
          <w:iCs/>
          <w:color w:val="000000" w:themeColor="text1"/>
          <w:sz w:val="24"/>
          <w:szCs w:val="24"/>
        </w:rPr>
        <w:t>P</w:t>
      </w:r>
      <w:r w:rsidR="00871A74" w:rsidRPr="00F75917">
        <w:rPr>
          <w:rFonts w:ascii="Book Antiqua" w:hAnsi="Book Antiqua" w:cs="Times New Roman"/>
          <w:bCs/>
          <w:color w:val="000000" w:themeColor="text1"/>
          <w:sz w:val="24"/>
          <w:szCs w:val="24"/>
        </w:rPr>
        <w:t xml:space="preserve"> &lt; 0.05 </w:t>
      </w:r>
      <w:r w:rsidR="00871A74" w:rsidRPr="00F75917">
        <w:rPr>
          <w:rFonts w:ascii="Book Antiqua" w:hAnsi="Book Antiqua" w:cs="Times New Roman"/>
          <w:bCs/>
          <w:i/>
          <w:iCs/>
          <w:color w:val="000000" w:themeColor="text1"/>
          <w:sz w:val="24"/>
          <w:szCs w:val="24"/>
        </w:rPr>
        <w:t>vs</w:t>
      </w:r>
      <w:r w:rsidR="00871A74" w:rsidRPr="00F75917">
        <w:rPr>
          <w:rFonts w:ascii="Book Antiqua" w:hAnsi="Book Antiqua" w:cs="Times New Roman"/>
          <w:bCs/>
          <w:color w:val="000000" w:themeColor="text1"/>
          <w:sz w:val="24"/>
          <w:szCs w:val="24"/>
        </w:rPr>
        <w:t xml:space="preserve"> control (DMSO).</w:t>
      </w:r>
      <w:r w:rsidR="00E54E39" w:rsidRPr="00F75917">
        <w:rPr>
          <w:rFonts w:ascii="Book Antiqua" w:hAnsi="Book Antiqua" w:cs="Times New Roman"/>
          <w:bCs/>
          <w:color w:val="000000" w:themeColor="text1"/>
          <w:sz w:val="24"/>
          <w:szCs w:val="24"/>
        </w:rPr>
        <w:t xml:space="preserve"> </w:t>
      </w:r>
      <w:r w:rsidRPr="00F75917">
        <w:rPr>
          <w:rFonts w:ascii="Book Antiqua" w:eastAsia="Malgun Gothic" w:hAnsi="Book Antiqua"/>
          <w:bCs/>
          <w:color w:val="000000" w:themeColor="text1"/>
          <w:sz w:val="24"/>
          <w:szCs w:val="24"/>
        </w:rPr>
        <w:t>DMSO</w:t>
      </w:r>
      <w:r w:rsidR="00871A74" w:rsidRPr="00F75917">
        <w:rPr>
          <w:rFonts w:ascii="Book Antiqua" w:eastAsia="Malgun Gothic" w:hAnsi="Book Antiqua"/>
          <w:bCs/>
          <w:color w:val="000000" w:themeColor="text1"/>
          <w:sz w:val="24"/>
          <w:szCs w:val="24"/>
        </w:rPr>
        <w:t xml:space="preserve">: </w:t>
      </w:r>
      <w:r w:rsidR="00F75917" w:rsidRPr="00F75917">
        <w:rPr>
          <w:rFonts w:ascii="Book Antiqua" w:eastAsia="Malgun Gothic" w:hAnsi="Book Antiqua"/>
          <w:bCs/>
          <w:color w:val="000000" w:themeColor="text1"/>
          <w:sz w:val="24"/>
          <w:szCs w:val="24"/>
        </w:rPr>
        <w:t>D</w:t>
      </w:r>
      <w:r w:rsidRPr="00F75917">
        <w:rPr>
          <w:rFonts w:ascii="Book Antiqua" w:eastAsia="Malgun Gothic" w:hAnsi="Book Antiqua"/>
          <w:bCs/>
          <w:color w:val="000000" w:themeColor="text1"/>
          <w:sz w:val="24"/>
          <w:szCs w:val="24"/>
        </w:rPr>
        <w:t xml:space="preserve">imethyl sulfoxide; </w:t>
      </w:r>
      <w:r w:rsidRPr="00F75917">
        <w:rPr>
          <w:rFonts w:ascii="Book Antiqua" w:hAnsi="Book Antiqua"/>
          <w:bCs/>
          <w:color w:val="000000" w:themeColor="text1"/>
          <w:sz w:val="24"/>
          <w:szCs w:val="24"/>
        </w:rPr>
        <w:t>MTBE</w:t>
      </w:r>
      <w:r w:rsidR="00871A74" w:rsidRPr="00F75917">
        <w:rPr>
          <w:rFonts w:ascii="Book Antiqua" w:hAnsi="Book Antiqua"/>
          <w:bCs/>
          <w:color w:val="000000" w:themeColor="text1"/>
          <w:sz w:val="24"/>
          <w:szCs w:val="24"/>
        </w:rPr>
        <w:t>:</w:t>
      </w:r>
      <w:r w:rsidRPr="00F75917">
        <w:rPr>
          <w:rFonts w:ascii="Book Antiqua" w:hAnsi="Book Antiqua"/>
          <w:bCs/>
          <w:color w:val="000000" w:themeColor="text1"/>
          <w:sz w:val="24"/>
          <w:szCs w:val="24"/>
        </w:rPr>
        <w:t xml:space="preserve"> </w:t>
      </w:r>
      <w:r w:rsidR="00F75917" w:rsidRPr="00F75917">
        <w:rPr>
          <w:rFonts w:ascii="Book Antiqua" w:hAnsi="Book Antiqua" w:cs="Times New Roman"/>
          <w:bCs/>
          <w:color w:val="000000" w:themeColor="text1"/>
          <w:sz w:val="24"/>
          <w:szCs w:val="24"/>
        </w:rPr>
        <w:t>M</w:t>
      </w:r>
      <w:r w:rsidRPr="00F75917">
        <w:rPr>
          <w:rFonts w:ascii="Book Antiqua" w:hAnsi="Book Antiqua" w:cs="Times New Roman"/>
          <w:bCs/>
          <w:color w:val="000000" w:themeColor="text1"/>
          <w:sz w:val="24"/>
          <w:szCs w:val="24"/>
        </w:rPr>
        <w:t>ethyl tert-butyl ether</w:t>
      </w:r>
      <w:r w:rsidR="00F75917">
        <w:rPr>
          <w:rFonts w:ascii="Book Antiqua" w:hAnsi="Book Antiqua" w:cs="Times New Roman"/>
          <w:bCs/>
          <w:color w:val="000000" w:themeColor="text1"/>
          <w:sz w:val="24"/>
          <w:szCs w:val="24"/>
        </w:rPr>
        <w:t>;</w:t>
      </w:r>
      <w:r w:rsidRPr="00F75917">
        <w:rPr>
          <w:rFonts w:ascii="Book Antiqua" w:hAnsi="Book Antiqua" w:cs="Times New Roman"/>
          <w:bCs/>
          <w:color w:val="000000" w:themeColor="text1"/>
          <w:sz w:val="24"/>
          <w:szCs w:val="24"/>
        </w:rPr>
        <w:t xml:space="preserve"> TAEE</w:t>
      </w:r>
      <w:r w:rsidR="00E54E39" w:rsidRPr="00F75917">
        <w:rPr>
          <w:rFonts w:ascii="Book Antiqua" w:hAnsi="Book Antiqua"/>
          <w:bCs/>
          <w:color w:val="000000" w:themeColor="text1"/>
          <w:sz w:val="24"/>
          <w:szCs w:val="24"/>
        </w:rPr>
        <w:t xml:space="preserve">: </w:t>
      </w:r>
      <w:r w:rsidR="00F75917" w:rsidRPr="00F75917">
        <w:rPr>
          <w:rFonts w:ascii="Book Antiqua" w:hAnsi="Book Antiqua"/>
          <w:bCs/>
          <w:color w:val="000000" w:themeColor="text1"/>
          <w:sz w:val="24"/>
          <w:szCs w:val="24"/>
        </w:rPr>
        <w:t>T</w:t>
      </w:r>
      <w:r w:rsidR="00E54E39" w:rsidRPr="00F75917">
        <w:rPr>
          <w:rFonts w:ascii="Book Antiqua" w:hAnsi="Book Antiqua"/>
          <w:bCs/>
          <w:color w:val="000000" w:themeColor="text1"/>
          <w:sz w:val="24"/>
          <w:szCs w:val="24"/>
        </w:rPr>
        <w:t>ert-amyl ethyl ether.</w:t>
      </w:r>
    </w:p>
    <w:p w14:paraId="2217FFB4" w14:textId="08E7CBA5" w:rsidR="00F75917" w:rsidRDefault="00F75917">
      <w:pPr>
        <w:widowControl/>
        <w:wordWrap/>
        <w:autoSpaceDE/>
        <w:autoSpaceDN/>
        <w:spacing w:after="200" w:line="276" w:lineRule="auto"/>
        <w:rPr>
          <w:rFonts w:ascii="Book Antiqua" w:hAnsi="Book Antiqua"/>
          <w:color w:val="000000" w:themeColor="text1"/>
          <w:sz w:val="24"/>
          <w:szCs w:val="24"/>
        </w:rPr>
      </w:pPr>
      <w:r>
        <w:rPr>
          <w:rFonts w:ascii="Book Antiqua" w:hAnsi="Book Antiqua"/>
          <w:color w:val="000000" w:themeColor="text1"/>
          <w:sz w:val="24"/>
          <w:szCs w:val="24"/>
        </w:rPr>
        <w:br w:type="page"/>
      </w:r>
    </w:p>
    <w:p w14:paraId="06DF3377" w14:textId="411E0AD9" w:rsidR="00A40FBA" w:rsidRPr="0050120B" w:rsidRDefault="00A40FBA" w:rsidP="0075341C">
      <w:pPr>
        <w:wordWrap/>
        <w:spacing w:after="0" w:line="360" w:lineRule="auto"/>
        <w:rPr>
          <w:rFonts w:ascii="Book Antiqua" w:hAnsi="Book Antiqua"/>
          <w:b/>
          <w:color w:val="000000" w:themeColor="text1"/>
          <w:sz w:val="24"/>
          <w:szCs w:val="24"/>
        </w:rPr>
      </w:pPr>
      <w:r w:rsidRPr="0050120B">
        <w:rPr>
          <w:rFonts w:ascii="Book Antiqua" w:hAnsi="Book Antiqua"/>
          <w:b/>
          <w:noProof/>
          <w:color w:val="000000" w:themeColor="text1"/>
          <w:sz w:val="24"/>
          <w:szCs w:val="24"/>
          <w:lang w:eastAsia="zh-CN"/>
        </w:rPr>
        <w:lastRenderedPageBreak/>
        <w:drawing>
          <wp:inline distT="0" distB="0" distL="0" distR="0" wp14:anchorId="3892F1FC" wp14:editId="60E9374A">
            <wp:extent cx="5731510" cy="8644255"/>
            <wp:effectExtent l="0" t="0" r="2540" b="444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644255"/>
                    </a:xfrm>
                    <a:prstGeom prst="rect">
                      <a:avLst/>
                    </a:prstGeom>
                  </pic:spPr>
                </pic:pic>
              </a:graphicData>
            </a:graphic>
          </wp:inline>
        </w:drawing>
      </w:r>
    </w:p>
    <w:p w14:paraId="537F0B0C" w14:textId="3552E0FA" w:rsidR="00A40FBA" w:rsidRPr="00F75917" w:rsidRDefault="003565F9" w:rsidP="00F75917">
      <w:pPr>
        <w:wordWrap/>
        <w:spacing w:after="0" w:line="360" w:lineRule="auto"/>
        <w:rPr>
          <w:rFonts w:ascii="Book Antiqua" w:hAnsi="Book Antiqua"/>
          <w:bCs/>
          <w:color w:val="000000" w:themeColor="text1"/>
          <w:sz w:val="24"/>
          <w:szCs w:val="24"/>
        </w:rPr>
      </w:pPr>
      <w:r w:rsidRPr="0050120B">
        <w:rPr>
          <w:rFonts w:ascii="Book Antiqua" w:hAnsi="Book Antiqua" w:cs="Times New Roman"/>
          <w:b/>
          <w:color w:val="000000" w:themeColor="text1"/>
          <w:sz w:val="24"/>
          <w:szCs w:val="24"/>
        </w:rPr>
        <w:lastRenderedPageBreak/>
        <w:t>Figure</w:t>
      </w:r>
      <w:r w:rsidRPr="0050120B">
        <w:rPr>
          <w:rFonts w:ascii="Book Antiqua" w:hAnsi="Book Antiqua"/>
          <w:b/>
          <w:color w:val="000000" w:themeColor="text1"/>
          <w:sz w:val="24"/>
          <w:szCs w:val="24"/>
        </w:rPr>
        <w:t xml:space="preserve"> 5</w:t>
      </w:r>
      <w:r w:rsidRPr="0050120B">
        <w:rPr>
          <w:rFonts w:ascii="Book Antiqua" w:hAnsi="Book Antiqua"/>
          <w:color w:val="000000" w:themeColor="text1"/>
          <w:sz w:val="24"/>
          <w:szCs w:val="24"/>
        </w:rPr>
        <w:t xml:space="preserve"> </w:t>
      </w:r>
      <w:r w:rsidRPr="0050120B">
        <w:rPr>
          <w:rFonts w:ascii="Book Antiqua" w:hAnsi="Book Antiqua"/>
          <w:b/>
          <w:color w:val="000000" w:themeColor="text1"/>
          <w:sz w:val="24"/>
          <w:szCs w:val="24"/>
        </w:rPr>
        <w:t xml:space="preserve">Determination of solvent toxicity in the </w:t>
      </w:r>
      <w:r w:rsidRPr="0050120B">
        <w:rPr>
          <w:rFonts w:ascii="Book Antiqua" w:hAnsi="Book Antiqua"/>
          <w:b/>
          <w:i/>
          <w:color w:val="000000" w:themeColor="text1"/>
          <w:sz w:val="24"/>
          <w:szCs w:val="24"/>
        </w:rPr>
        <w:t>in vivo</w:t>
      </w:r>
      <w:r w:rsidRPr="0050120B">
        <w:rPr>
          <w:rFonts w:ascii="Book Antiqua" w:hAnsi="Book Antiqua"/>
          <w:b/>
          <w:color w:val="000000" w:themeColor="text1"/>
          <w:sz w:val="24"/>
          <w:szCs w:val="24"/>
        </w:rPr>
        <w:t xml:space="preserve"> models of gallstones. </w:t>
      </w:r>
      <w:r w:rsidRPr="00F75917">
        <w:rPr>
          <w:rFonts w:ascii="Book Antiqua" w:hAnsi="Book Antiqua"/>
          <w:bCs/>
          <w:color w:val="000000" w:themeColor="text1"/>
          <w:sz w:val="24"/>
          <w:szCs w:val="24"/>
        </w:rPr>
        <w:t>A</w:t>
      </w:r>
      <w:r w:rsidR="00F75917">
        <w:rPr>
          <w:rFonts w:ascii="Book Antiqua" w:hAnsi="Book Antiqua"/>
          <w:bCs/>
          <w:color w:val="000000" w:themeColor="text1"/>
          <w:sz w:val="24"/>
          <w:szCs w:val="24"/>
        </w:rPr>
        <w:t>:</w:t>
      </w:r>
      <w:r w:rsidRPr="00F75917">
        <w:rPr>
          <w:rFonts w:ascii="Book Antiqua" w:hAnsi="Book Antiqua"/>
          <w:bCs/>
          <w:color w:val="000000" w:themeColor="text1"/>
          <w:sz w:val="24"/>
          <w:szCs w:val="24"/>
        </w:rPr>
        <w:t xml:space="preserve"> Cleaved caspase-3 immunohistochemistry of the gallbladder tissues obtained from the hamsters with cholesterol (Top) and pigmented (Bottom) gallstones at 24 h after the intracystic injection of each solvent. </w:t>
      </w:r>
      <w:r w:rsidRPr="00F75917">
        <w:rPr>
          <w:rFonts w:ascii="Book Antiqua" w:hAnsi="Book Antiqua" w:cs="Times New Roman"/>
          <w:bCs/>
          <w:color w:val="000000" w:themeColor="text1"/>
          <w:sz w:val="24"/>
          <w:szCs w:val="24"/>
        </w:rPr>
        <w:t xml:space="preserve">Regarding both cholesterol and pigmented gallstones, </w:t>
      </w:r>
      <w:r w:rsidR="00F75917" w:rsidRPr="00F75917">
        <w:rPr>
          <w:rFonts w:ascii="Book Antiqua" w:hAnsi="Book Antiqua"/>
          <w:bCs/>
          <w:color w:val="000000" w:themeColor="text1"/>
          <w:sz w:val="24"/>
          <w:szCs w:val="24"/>
        </w:rPr>
        <w:t>tert-amyl ethyl ether</w:t>
      </w:r>
      <w:r w:rsidR="00F75917" w:rsidRPr="00F75917">
        <w:rPr>
          <w:rFonts w:ascii="Book Antiqua" w:hAnsi="Book Antiqua" w:cs="Times New Roman"/>
          <w:bCs/>
          <w:color w:val="000000" w:themeColor="text1"/>
          <w:sz w:val="24"/>
          <w:szCs w:val="24"/>
        </w:rPr>
        <w:t xml:space="preserve"> </w:t>
      </w:r>
      <w:r w:rsidR="00F75917">
        <w:rPr>
          <w:rFonts w:ascii="Book Antiqua" w:hAnsi="Book Antiqua" w:cs="Times New Roman"/>
          <w:bCs/>
          <w:color w:val="000000" w:themeColor="text1"/>
          <w:sz w:val="24"/>
          <w:szCs w:val="24"/>
        </w:rPr>
        <w:t>(</w:t>
      </w:r>
      <w:r w:rsidRPr="00F75917">
        <w:rPr>
          <w:rFonts w:ascii="Book Antiqua" w:hAnsi="Book Antiqua" w:cs="Times New Roman"/>
          <w:bCs/>
          <w:color w:val="000000" w:themeColor="text1"/>
          <w:sz w:val="24"/>
          <w:szCs w:val="24"/>
        </w:rPr>
        <w:t>TAEE</w:t>
      </w:r>
      <w:r w:rsidR="00F75917">
        <w:rPr>
          <w:rFonts w:ascii="Book Antiqua" w:hAnsi="Book Antiqua" w:cs="Times New Roman"/>
          <w:bCs/>
          <w:color w:val="000000" w:themeColor="text1"/>
          <w:sz w:val="24"/>
          <w:szCs w:val="24"/>
        </w:rPr>
        <w:t>)</w:t>
      </w:r>
      <w:r w:rsidRPr="00F75917">
        <w:rPr>
          <w:rFonts w:ascii="Book Antiqua" w:hAnsi="Book Antiqua" w:cs="Times New Roman"/>
          <w:bCs/>
          <w:color w:val="000000" w:themeColor="text1"/>
          <w:sz w:val="24"/>
          <w:szCs w:val="24"/>
        </w:rPr>
        <w:t xml:space="preserve"> infusion resulted in significantly lower expression of cleaved caspase-3 than did </w:t>
      </w:r>
      <w:r w:rsidR="00F75917" w:rsidRPr="00F75917">
        <w:rPr>
          <w:rFonts w:ascii="Book Antiqua" w:hAnsi="Book Antiqua" w:cs="Times New Roman"/>
          <w:bCs/>
          <w:color w:val="000000" w:themeColor="text1"/>
          <w:sz w:val="24"/>
          <w:szCs w:val="24"/>
        </w:rPr>
        <w:t xml:space="preserve">methyl tert-butyl ether </w:t>
      </w:r>
      <w:r w:rsidR="00F75917">
        <w:rPr>
          <w:rFonts w:ascii="Book Antiqua" w:hAnsi="Book Antiqua" w:cs="Times New Roman"/>
          <w:bCs/>
          <w:color w:val="000000" w:themeColor="text1"/>
          <w:sz w:val="24"/>
          <w:szCs w:val="24"/>
        </w:rPr>
        <w:t>(</w:t>
      </w:r>
      <w:r w:rsidRPr="00F75917">
        <w:rPr>
          <w:rFonts w:ascii="Book Antiqua" w:hAnsi="Book Antiqua" w:cs="Times New Roman"/>
          <w:bCs/>
          <w:color w:val="000000" w:themeColor="text1"/>
          <w:sz w:val="24"/>
          <w:szCs w:val="24"/>
        </w:rPr>
        <w:t>MTBE</w:t>
      </w:r>
      <w:r w:rsidR="00F75917">
        <w:rPr>
          <w:rFonts w:ascii="Book Antiqua" w:hAnsi="Book Antiqua" w:cs="Times New Roman"/>
          <w:bCs/>
          <w:color w:val="000000" w:themeColor="text1"/>
          <w:sz w:val="24"/>
          <w:szCs w:val="24"/>
        </w:rPr>
        <w:t>)</w:t>
      </w:r>
      <w:r w:rsidRPr="00F75917">
        <w:rPr>
          <w:rFonts w:ascii="Book Antiqua" w:hAnsi="Book Antiqua" w:cs="Times New Roman"/>
          <w:bCs/>
          <w:color w:val="000000" w:themeColor="text1"/>
          <w:sz w:val="24"/>
          <w:szCs w:val="24"/>
        </w:rPr>
        <w:t xml:space="preserve"> infusion, suggesting a lower toxicity of TAEE compared with MTBE</w:t>
      </w:r>
      <w:r w:rsidR="00F75917">
        <w:rPr>
          <w:rFonts w:ascii="Book Antiqua" w:hAnsi="Book Antiqua" w:cs="Times New Roman"/>
          <w:bCs/>
          <w:color w:val="000000" w:themeColor="text1"/>
          <w:sz w:val="24"/>
          <w:szCs w:val="24"/>
        </w:rPr>
        <w:t>;</w:t>
      </w:r>
      <w:r w:rsidRPr="00F75917">
        <w:rPr>
          <w:rFonts w:ascii="Book Antiqua" w:hAnsi="Book Antiqua" w:cs="Times New Roman"/>
          <w:bCs/>
          <w:color w:val="000000" w:themeColor="text1"/>
          <w:sz w:val="24"/>
          <w:szCs w:val="24"/>
        </w:rPr>
        <w:t xml:space="preserve"> </w:t>
      </w:r>
      <w:r w:rsidRPr="00F75917">
        <w:rPr>
          <w:rFonts w:ascii="Book Antiqua" w:hAnsi="Book Antiqua"/>
          <w:bCs/>
          <w:color w:val="000000" w:themeColor="text1"/>
          <w:sz w:val="24"/>
          <w:szCs w:val="24"/>
        </w:rPr>
        <w:t>B</w:t>
      </w:r>
      <w:r w:rsidR="00F75917">
        <w:rPr>
          <w:rFonts w:ascii="Book Antiqua" w:hAnsi="Book Antiqua"/>
          <w:bCs/>
          <w:color w:val="000000" w:themeColor="text1"/>
          <w:sz w:val="24"/>
          <w:szCs w:val="24"/>
        </w:rPr>
        <w:t>:</w:t>
      </w:r>
      <w:r w:rsidRPr="00F75917">
        <w:rPr>
          <w:rFonts w:ascii="Book Antiqua" w:hAnsi="Book Antiqua"/>
          <w:bCs/>
          <w:color w:val="000000" w:themeColor="text1"/>
          <w:sz w:val="24"/>
          <w:szCs w:val="24"/>
        </w:rPr>
        <w:t xml:space="preserve"> Hematoxylin-eosin stains of the liver and kidney tissues obtained from the hamsters with cholesterol (Left) and pigmented (Right) gallstones at 24 h after the intracystic injection of each solvent. The degree of injury of the liver and kidney were calculated as the Suzuki injury scores and EGTI scores, respectively. Whereas MTBE significantly increased the injuries of the liver and kidney, TAEE did not increase the injuries in both hamster models of cholesterol and pigmented gallstones</w:t>
      </w:r>
      <w:r w:rsidR="00F75917">
        <w:rPr>
          <w:rFonts w:ascii="Book Antiqua" w:hAnsi="Book Antiqua"/>
          <w:bCs/>
          <w:color w:val="000000" w:themeColor="text1"/>
          <w:sz w:val="24"/>
          <w:szCs w:val="24"/>
        </w:rPr>
        <w:t>;</w:t>
      </w:r>
      <w:r w:rsidRPr="00F75917">
        <w:rPr>
          <w:rFonts w:ascii="Book Antiqua" w:hAnsi="Book Antiqua"/>
          <w:bCs/>
          <w:color w:val="000000" w:themeColor="text1"/>
          <w:sz w:val="24"/>
          <w:szCs w:val="24"/>
        </w:rPr>
        <w:t xml:space="preserve"> C</w:t>
      </w:r>
      <w:r w:rsidR="00F75917">
        <w:rPr>
          <w:rFonts w:ascii="Book Antiqua" w:hAnsi="Book Antiqua"/>
          <w:bCs/>
          <w:color w:val="000000" w:themeColor="text1"/>
          <w:sz w:val="24"/>
          <w:szCs w:val="24"/>
        </w:rPr>
        <w:t>:</w:t>
      </w:r>
      <w:r w:rsidRPr="00F75917">
        <w:rPr>
          <w:rFonts w:ascii="Book Antiqua" w:hAnsi="Book Antiqua"/>
          <w:bCs/>
          <w:color w:val="000000" w:themeColor="text1"/>
          <w:sz w:val="24"/>
          <w:szCs w:val="24"/>
        </w:rPr>
        <w:t xml:space="preserve"> ELISA results demonstrating the serum levels of pro-inflammatory cytokines, IL-6, and TNF-α in the hamster models of cholesterol (Left) and pigmented (Right) gallstones at 24 h after the intracystic injection of each solvent. </w:t>
      </w:r>
      <w:r w:rsidRPr="00F75917">
        <w:rPr>
          <w:rFonts w:ascii="Book Antiqua" w:hAnsi="Book Antiqua" w:cs="Times New Roman"/>
          <w:bCs/>
          <w:color w:val="000000" w:themeColor="text1"/>
          <w:sz w:val="24"/>
          <w:szCs w:val="24"/>
        </w:rPr>
        <w:t xml:space="preserve">In the hamsters with cholesterol gallstones, whereas MTBE significantly increased the serum levels of both IL-6 and TNF-α, TAEE rather decreased the serum levels of the cytokines. In the hamsters with pigmented gallstones, MTBE significantly increased the serum level of IL-6, and TAEE increased it, not significantly. However, both treatment groups did not increase the serum levels of TNF-α in the hamsters with pigmented gallstones. </w:t>
      </w:r>
      <w:r w:rsidR="00E54E39" w:rsidRPr="00F75917">
        <w:rPr>
          <w:rFonts w:ascii="Book Antiqua" w:hAnsi="Book Antiqua" w:cs="Times New Roman"/>
          <w:bCs/>
          <w:color w:val="000000" w:themeColor="text1"/>
          <w:sz w:val="24"/>
          <w:szCs w:val="24"/>
          <w:vertAlign w:val="superscript"/>
        </w:rPr>
        <w:t>a</w:t>
      </w:r>
      <w:r w:rsidR="00E54E39" w:rsidRPr="00F75917">
        <w:rPr>
          <w:rFonts w:ascii="Book Antiqua" w:hAnsi="Book Antiqua" w:cs="Times New Roman"/>
          <w:bCs/>
          <w:i/>
          <w:color w:val="000000" w:themeColor="text1"/>
          <w:sz w:val="24"/>
          <w:szCs w:val="24"/>
        </w:rPr>
        <w:t>P</w:t>
      </w:r>
      <w:r w:rsidR="00E54E39" w:rsidRPr="00F75917">
        <w:rPr>
          <w:rFonts w:ascii="Book Antiqua" w:hAnsi="Book Antiqua" w:cs="Times New Roman"/>
          <w:bCs/>
          <w:color w:val="000000" w:themeColor="text1"/>
          <w:sz w:val="24"/>
          <w:szCs w:val="24"/>
        </w:rPr>
        <w:t xml:space="preserve"> &lt; 0.05 between MTBE and TAEE. </w:t>
      </w:r>
      <w:r w:rsidR="00E54E39" w:rsidRPr="00F75917">
        <w:rPr>
          <w:rFonts w:ascii="Book Antiqua" w:hAnsi="Book Antiqua" w:cs="Times New Roman"/>
          <w:bCs/>
          <w:color w:val="000000" w:themeColor="text1"/>
          <w:sz w:val="24"/>
          <w:szCs w:val="24"/>
          <w:vertAlign w:val="superscript"/>
        </w:rPr>
        <w:t>e</w:t>
      </w:r>
      <w:r w:rsidR="00E54E39" w:rsidRPr="00F75917">
        <w:rPr>
          <w:rFonts w:ascii="Book Antiqua" w:hAnsi="Book Antiqua" w:cs="Times New Roman"/>
          <w:bCs/>
          <w:i/>
          <w:iCs/>
          <w:color w:val="000000" w:themeColor="text1"/>
          <w:sz w:val="24"/>
          <w:szCs w:val="24"/>
        </w:rPr>
        <w:t>P</w:t>
      </w:r>
      <w:r w:rsidR="00E54E39" w:rsidRPr="00F75917">
        <w:rPr>
          <w:rFonts w:ascii="Book Antiqua" w:hAnsi="Book Antiqua" w:cs="Times New Roman"/>
          <w:bCs/>
          <w:color w:val="000000" w:themeColor="text1"/>
          <w:sz w:val="24"/>
          <w:szCs w:val="24"/>
        </w:rPr>
        <w:t xml:space="preserve"> &lt; 0.05 </w:t>
      </w:r>
      <w:r w:rsidR="00E54E39" w:rsidRPr="00F75917">
        <w:rPr>
          <w:rFonts w:ascii="Book Antiqua" w:hAnsi="Book Antiqua" w:cs="Times New Roman"/>
          <w:bCs/>
          <w:i/>
          <w:iCs/>
          <w:color w:val="000000" w:themeColor="text1"/>
          <w:sz w:val="24"/>
          <w:szCs w:val="24"/>
        </w:rPr>
        <w:t>vs</w:t>
      </w:r>
      <w:r w:rsidR="00E54E39" w:rsidRPr="00F75917">
        <w:rPr>
          <w:rFonts w:ascii="Book Antiqua" w:hAnsi="Book Antiqua" w:cs="Times New Roman"/>
          <w:bCs/>
          <w:color w:val="000000" w:themeColor="text1"/>
          <w:sz w:val="24"/>
          <w:szCs w:val="24"/>
        </w:rPr>
        <w:t xml:space="preserve"> control (</w:t>
      </w:r>
      <w:r w:rsidR="00F75917" w:rsidRPr="00F75917">
        <w:rPr>
          <w:rFonts w:ascii="Book Antiqua" w:eastAsia="Malgun Gothic" w:hAnsi="Book Antiqua"/>
          <w:bCs/>
          <w:color w:val="000000" w:themeColor="text1"/>
          <w:sz w:val="24"/>
          <w:szCs w:val="24"/>
        </w:rPr>
        <w:t>dimethyl sulfoxide</w:t>
      </w:r>
      <w:r w:rsidR="00E54E39" w:rsidRPr="00F75917">
        <w:rPr>
          <w:rFonts w:ascii="Book Antiqua" w:hAnsi="Book Antiqua" w:cs="Times New Roman"/>
          <w:bCs/>
          <w:color w:val="000000" w:themeColor="text1"/>
          <w:sz w:val="24"/>
          <w:szCs w:val="24"/>
        </w:rPr>
        <w:t xml:space="preserve">). </w:t>
      </w:r>
      <w:r w:rsidR="00F75917" w:rsidRPr="00F75917">
        <w:rPr>
          <w:rFonts w:ascii="Book Antiqua" w:hAnsi="Book Antiqua" w:cs="Times New Roman"/>
          <w:bCs/>
          <w:color w:val="000000" w:themeColor="text1"/>
          <w:sz w:val="24"/>
          <w:szCs w:val="24"/>
          <w:vertAlign w:val="superscript"/>
        </w:rPr>
        <w:t>a</w:t>
      </w:r>
      <w:r w:rsidRPr="00F75917">
        <w:rPr>
          <w:rFonts w:ascii="Book Antiqua" w:hAnsi="Book Antiqua"/>
          <w:bCs/>
          <w:i/>
          <w:color w:val="000000" w:themeColor="text1"/>
          <w:sz w:val="24"/>
          <w:szCs w:val="24"/>
        </w:rPr>
        <w:t>P</w:t>
      </w:r>
      <w:r w:rsidRPr="00F75917">
        <w:rPr>
          <w:rFonts w:ascii="Book Antiqua" w:hAnsi="Book Antiqua"/>
          <w:bCs/>
          <w:color w:val="000000" w:themeColor="text1"/>
          <w:sz w:val="24"/>
          <w:szCs w:val="24"/>
        </w:rPr>
        <w:t xml:space="preserve"> &lt; 0.05. </w:t>
      </w:r>
      <w:r w:rsidRPr="00F75917">
        <w:rPr>
          <w:rFonts w:ascii="Book Antiqua" w:eastAsia="Malgun Gothic" w:hAnsi="Book Antiqua"/>
          <w:bCs/>
          <w:color w:val="000000" w:themeColor="text1"/>
          <w:sz w:val="24"/>
          <w:szCs w:val="24"/>
        </w:rPr>
        <w:t>DMSO</w:t>
      </w:r>
      <w:r w:rsidR="00E54E39" w:rsidRPr="00F75917">
        <w:rPr>
          <w:rFonts w:ascii="Book Antiqua" w:eastAsia="Malgun Gothic" w:hAnsi="Book Antiqua"/>
          <w:bCs/>
          <w:color w:val="000000" w:themeColor="text1"/>
          <w:sz w:val="24"/>
          <w:szCs w:val="24"/>
        </w:rPr>
        <w:t>:</w:t>
      </w:r>
      <w:r w:rsidRPr="00F75917">
        <w:rPr>
          <w:rFonts w:ascii="Book Antiqua" w:eastAsia="Malgun Gothic" w:hAnsi="Book Antiqua"/>
          <w:bCs/>
          <w:color w:val="000000" w:themeColor="text1"/>
          <w:sz w:val="24"/>
          <w:szCs w:val="24"/>
        </w:rPr>
        <w:t xml:space="preserve"> </w:t>
      </w:r>
      <w:r w:rsidR="00F75917" w:rsidRPr="00F75917">
        <w:rPr>
          <w:rFonts w:ascii="Book Antiqua" w:eastAsia="Malgun Gothic" w:hAnsi="Book Antiqua"/>
          <w:bCs/>
          <w:color w:val="000000" w:themeColor="text1"/>
          <w:sz w:val="24"/>
          <w:szCs w:val="24"/>
        </w:rPr>
        <w:t>D</w:t>
      </w:r>
      <w:r w:rsidRPr="00F75917">
        <w:rPr>
          <w:rFonts w:ascii="Book Antiqua" w:eastAsia="Malgun Gothic" w:hAnsi="Book Antiqua"/>
          <w:bCs/>
          <w:color w:val="000000" w:themeColor="text1"/>
          <w:sz w:val="24"/>
          <w:szCs w:val="24"/>
        </w:rPr>
        <w:t xml:space="preserve">imethyl sulfoxide; </w:t>
      </w:r>
      <w:r w:rsidRPr="00F75917">
        <w:rPr>
          <w:rFonts w:ascii="Book Antiqua" w:hAnsi="Book Antiqua"/>
          <w:bCs/>
          <w:color w:val="000000" w:themeColor="text1"/>
          <w:sz w:val="24"/>
          <w:szCs w:val="24"/>
        </w:rPr>
        <w:t>MTBE</w:t>
      </w:r>
      <w:r w:rsidR="00E54E39" w:rsidRPr="00F75917">
        <w:rPr>
          <w:rFonts w:ascii="Book Antiqua" w:hAnsi="Book Antiqua"/>
          <w:bCs/>
          <w:color w:val="000000" w:themeColor="text1"/>
          <w:sz w:val="24"/>
          <w:szCs w:val="24"/>
        </w:rPr>
        <w:t>:</w:t>
      </w:r>
      <w:r w:rsidRPr="00F75917">
        <w:rPr>
          <w:rFonts w:ascii="Book Antiqua" w:hAnsi="Book Antiqua"/>
          <w:bCs/>
          <w:color w:val="000000" w:themeColor="text1"/>
          <w:sz w:val="24"/>
          <w:szCs w:val="24"/>
        </w:rPr>
        <w:t xml:space="preserve"> </w:t>
      </w:r>
      <w:r w:rsidR="00F75917" w:rsidRPr="00F75917">
        <w:rPr>
          <w:rFonts w:ascii="Book Antiqua" w:hAnsi="Book Antiqua" w:cs="Times New Roman"/>
          <w:bCs/>
          <w:color w:val="000000" w:themeColor="text1"/>
          <w:sz w:val="24"/>
          <w:szCs w:val="24"/>
        </w:rPr>
        <w:t>M</w:t>
      </w:r>
      <w:r w:rsidRPr="00F75917">
        <w:rPr>
          <w:rFonts w:ascii="Book Antiqua" w:hAnsi="Book Antiqua" w:cs="Times New Roman"/>
          <w:bCs/>
          <w:color w:val="000000" w:themeColor="text1"/>
          <w:sz w:val="24"/>
          <w:szCs w:val="24"/>
        </w:rPr>
        <w:t>ethyl tert-butyl ether</w:t>
      </w:r>
      <w:r w:rsidR="00E54E39" w:rsidRPr="00F75917">
        <w:rPr>
          <w:rFonts w:ascii="Book Antiqua" w:hAnsi="Book Antiqua" w:cs="Times New Roman"/>
          <w:bCs/>
          <w:color w:val="000000" w:themeColor="text1"/>
          <w:sz w:val="24"/>
          <w:szCs w:val="24"/>
        </w:rPr>
        <w:t>;</w:t>
      </w:r>
      <w:r w:rsidRPr="00F75917">
        <w:rPr>
          <w:rFonts w:ascii="Book Antiqua" w:hAnsi="Book Antiqua" w:cs="Times New Roman"/>
          <w:bCs/>
          <w:color w:val="000000" w:themeColor="text1"/>
          <w:sz w:val="24"/>
          <w:szCs w:val="24"/>
        </w:rPr>
        <w:t xml:space="preserve"> TAEE</w:t>
      </w:r>
      <w:r w:rsidR="00E54E39" w:rsidRPr="00F75917">
        <w:rPr>
          <w:rFonts w:ascii="Book Antiqua" w:hAnsi="Book Antiqua"/>
          <w:bCs/>
          <w:color w:val="000000" w:themeColor="text1"/>
          <w:sz w:val="24"/>
          <w:szCs w:val="24"/>
        </w:rPr>
        <w:t xml:space="preserve">: </w:t>
      </w:r>
      <w:r w:rsidR="00F75917" w:rsidRPr="00F75917">
        <w:rPr>
          <w:rFonts w:ascii="Book Antiqua" w:hAnsi="Book Antiqua"/>
          <w:bCs/>
          <w:color w:val="000000" w:themeColor="text1"/>
          <w:sz w:val="24"/>
          <w:szCs w:val="24"/>
        </w:rPr>
        <w:t>T</w:t>
      </w:r>
      <w:r w:rsidR="00E54E39" w:rsidRPr="00F75917">
        <w:rPr>
          <w:rFonts w:ascii="Book Antiqua" w:hAnsi="Book Antiqua"/>
          <w:bCs/>
          <w:color w:val="000000" w:themeColor="text1"/>
          <w:sz w:val="24"/>
          <w:szCs w:val="24"/>
        </w:rPr>
        <w:t>ert-amyl ethyl ether.</w:t>
      </w:r>
    </w:p>
    <w:p w14:paraId="18E120F9" w14:textId="2A680D05" w:rsidR="003565F9" w:rsidRPr="0050120B" w:rsidRDefault="00A40FBA" w:rsidP="0075341C">
      <w:pPr>
        <w:widowControl/>
        <w:wordWrap/>
        <w:autoSpaceDE/>
        <w:autoSpaceDN/>
        <w:spacing w:after="0" w:line="360" w:lineRule="auto"/>
        <w:rPr>
          <w:rFonts w:ascii="Book Antiqua" w:hAnsi="Book Antiqua"/>
          <w:b/>
          <w:color w:val="000000" w:themeColor="text1"/>
          <w:sz w:val="24"/>
          <w:szCs w:val="24"/>
        </w:rPr>
      </w:pPr>
      <w:r w:rsidRPr="0050120B">
        <w:rPr>
          <w:rFonts w:ascii="Book Antiqua" w:hAnsi="Book Antiqua"/>
          <w:noProof/>
          <w:color w:val="000000" w:themeColor="text1"/>
          <w:sz w:val="24"/>
          <w:szCs w:val="24"/>
          <w:lang w:eastAsia="zh-CN"/>
        </w:rPr>
        <w:lastRenderedPageBreak/>
        <w:drawing>
          <wp:inline distT="0" distB="0" distL="0" distR="0" wp14:anchorId="74C84BD6" wp14:editId="7304764C">
            <wp:extent cx="5731510" cy="7035800"/>
            <wp:effectExtent l="0" t="0" r="254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7035800"/>
                    </a:xfrm>
                    <a:prstGeom prst="rect">
                      <a:avLst/>
                    </a:prstGeom>
                  </pic:spPr>
                </pic:pic>
              </a:graphicData>
            </a:graphic>
          </wp:inline>
        </w:drawing>
      </w:r>
    </w:p>
    <w:p w14:paraId="05300503" w14:textId="47452330" w:rsidR="003565F9" w:rsidRPr="00316F2C" w:rsidRDefault="003565F9" w:rsidP="0075341C">
      <w:pPr>
        <w:wordWrap/>
        <w:spacing w:after="0" w:line="360" w:lineRule="auto"/>
        <w:rPr>
          <w:rFonts w:ascii="Book Antiqua" w:hAnsi="Book Antiqua"/>
          <w:bCs/>
          <w:color w:val="000000" w:themeColor="text1"/>
          <w:sz w:val="24"/>
          <w:szCs w:val="24"/>
        </w:rPr>
      </w:pPr>
      <w:r w:rsidRPr="0050120B">
        <w:rPr>
          <w:rFonts w:ascii="Book Antiqua" w:hAnsi="Book Antiqua" w:cs="Times New Roman"/>
          <w:b/>
          <w:color w:val="000000" w:themeColor="text1"/>
          <w:sz w:val="24"/>
          <w:szCs w:val="24"/>
        </w:rPr>
        <w:t>Figure</w:t>
      </w:r>
      <w:r w:rsidRPr="0050120B">
        <w:rPr>
          <w:rFonts w:ascii="Book Antiqua" w:hAnsi="Book Antiqua"/>
          <w:b/>
          <w:color w:val="000000" w:themeColor="text1"/>
          <w:sz w:val="24"/>
          <w:szCs w:val="24"/>
        </w:rPr>
        <w:t xml:space="preserve"> 6</w:t>
      </w:r>
      <w:r w:rsidRPr="0050120B">
        <w:rPr>
          <w:rFonts w:ascii="Book Antiqua" w:hAnsi="Book Antiqua"/>
          <w:color w:val="000000" w:themeColor="text1"/>
          <w:sz w:val="24"/>
          <w:szCs w:val="24"/>
        </w:rPr>
        <w:t xml:space="preserve"> </w:t>
      </w:r>
      <w:r w:rsidRPr="0050120B">
        <w:rPr>
          <w:rFonts w:ascii="Book Antiqua" w:hAnsi="Book Antiqua"/>
          <w:b/>
          <w:color w:val="000000" w:themeColor="text1"/>
          <w:sz w:val="24"/>
          <w:szCs w:val="24"/>
        </w:rPr>
        <w:t xml:space="preserve">Validation of gallstone-dissolving compound toxicity in </w:t>
      </w:r>
      <w:r w:rsidRPr="0050120B">
        <w:rPr>
          <w:rFonts w:ascii="Book Antiqua" w:hAnsi="Book Antiqua"/>
          <w:b/>
          <w:i/>
          <w:color w:val="000000" w:themeColor="text1"/>
          <w:sz w:val="24"/>
          <w:szCs w:val="24"/>
        </w:rPr>
        <w:t>in vitro</w:t>
      </w:r>
      <w:r w:rsidRPr="0050120B">
        <w:rPr>
          <w:rFonts w:ascii="Book Antiqua" w:hAnsi="Book Antiqua"/>
          <w:b/>
          <w:color w:val="000000" w:themeColor="text1"/>
          <w:sz w:val="24"/>
          <w:szCs w:val="24"/>
        </w:rPr>
        <w:t xml:space="preserve"> and </w:t>
      </w:r>
      <w:r w:rsidRPr="0050120B">
        <w:rPr>
          <w:rFonts w:ascii="Book Antiqua" w:hAnsi="Book Antiqua"/>
          <w:b/>
          <w:i/>
          <w:color w:val="000000" w:themeColor="text1"/>
          <w:sz w:val="24"/>
          <w:szCs w:val="24"/>
        </w:rPr>
        <w:t>in vivo</w:t>
      </w:r>
      <w:r w:rsidRPr="0050120B">
        <w:rPr>
          <w:rFonts w:ascii="Book Antiqua" w:hAnsi="Book Antiqua"/>
          <w:b/>
          <w:color w:val="000000" w:themeColor="text1"/>
          <w:sz w:val="24"/>
          <w:szCs w:val="24"/>
        </w:rPr>
        <w:t xml:space="preserve"> models. </w:t>
      </w:r>
      <w:r w:rsidRPr="00316F2C">
        <w:rPr>
          <w:rFonts w:ascii="Book Antiqua" w:hAnsi="Book Antiqua"/>
          <w:bCs/>
          <w:color w:val="000000" w:themeColor="text1"/>
          <w:sz w:val="24"/>
          <w:szCs w:val="24"/>
        </w:rPr>
        <w:t>A</w:t>
      </w:r>
      <w:r w:rsidR="00316F2C">
        <w:rPr>
          <w:rFonts w:ascii="Book Antiqua" w:hAnsi="Book Antiqua"/>
          <w:bCs/>
          <w:color w:val="000000" w:themeColor="text1"/>
          <w:sz w:val="24"/>
          <w:szCs w:val="24"/>
        </w:rPr>
        <w:t>:</w:t>
      </w:r>
      <w:r w:rsidRPr="00316F2C">
        <w:rPr>
          <w:rFonts w:ascii="Book Antiqua" w:hAnsi="Book Antiqua"/>
          <w:bCs/>
          <w:color w:val="000000" w:themeColor="text1"/>
          <w:sz w:val="24"/>
          <w:szCs w:val="24"/>
        </w:rPr>
        <w:t xml:space="preserve"> Cell viability assay showing the effects of each solvent on the viability of human gallbladder epithelial cells (hGBECs). </w:t>
      </w:r>
      <w:r w:rsidRPr="00316F2C">
        <w:rPr>
          <w:rFonts w:ascii="Book Antiqua" w:hAnsi="Book Antiqua" w:cs="Times New Roman"/>
          <w:bCs/>
          <w:color w:val="000000" w:themeColor="text1"/>
          <w:sz w:val="24"/>
          <w:szCs w:val="24"/>
        </w:rPr>
        <w:t xml:space="preserve">Overall, </w:t>
      </w:r>
      <w:r w:rsidR="00055C0C" w:rsidRPr="00F75917">
        <w:rPr>
          <w:rFonts w:ascii="Book Antiqua" w:hAnsi="Book Antiqua"/>
          <w:bCs/>
          <w:color w:val="000000" w:themeColor="text1"/>
          <w:sz w:val="24"/>
          <w:szCs w:val="24"/>
        </w:rPr>
        <w:t>t</w:t>
      </w:r>
      <w:r w:rsidR="00316F2C" w:rsidRPr="00F75917">
        <w:rPr>
          <w:rFonts w:ascii="Book Antiqua" w:hAnsi="Book Antiqua"/>
          <w:bCs/>
          <w:color w:val="000000" w:themeColor="text1"/>
          <w:sz w:val="24"/>
          <w:szCs w:val="24"/>
        </w:rPr>
        <w:t>ert-amyl ethyl ether</w:t>
      </w:r>
      <w:r w:rsidR="00316F2C" w:rsidRPr="00316F2C">
        <w:rPr>
          <w:rFonts w:ascii="Book Antiqua" w:hAnsi="Book Antiqua" w:cs="Times New Roman"/>
          <w:bCs/>
          <w:color w:val="000000" w:themeColor="text1"/>
          <w:sz w:val="24"/>
          <w:szCs w:val="24"/>
        </w:rPr>
        <w:t xml:space="preserve"> </w:t>
      </w:r>
      <w:r w:rsidR="00055C0C">
        <w:rPr>
          <w:rFonts w:ascii="Book Antiqua" w:hAnsi="Book Antiqua" w:cs="Times New Roman"/>
          <w:bCs/>
          <w:color w:val="000000" w:themeColor="text1"/>
          <w:sz w:val="24"/>
          <w:szCs w:val="24"/>
        </w:rPr>
        <w:t>(</w:t>
      </w:r>
      <w:r w:rsidRPr="00316F2C">
        <w:rPr>
          <w:rFonts w:ascii="Book Antiqua" w:hAnsi="Book Antiqua" w:cs="Times New Roman"/>
          <w:bCs/>
          <w:color w:val="000000" w:themeColor="text1"/>
          <w:sz w:val="24"/>
          <w:szCs w:val="24"/>
        </w:rPr>
        <w:t>TAEE</w:t>
      </w:r>
      <w:r w:rsidR="00055C0C">
        <w:rPr>
          <w:rFonts w:ascii="Book Antiqua" w:hAnsi="Book Antiqua" w:cs="Times New Roman"/>
          <w:bCs/>
          <w:color w:val="000000" w:themeColor="text1"/>
          <w:sz w:val="24"/>
          <w:szCs w:val="24"/>
        </w:rPr>
        <w:t>)</w:t>
      </w:r>
      <w:r w:rsidRPr="00316F2C">
        <w:rPr>
          <w:rFonts w:ascii="Book Antiqua" w:hAnsi="Book Antiqua" w:cs="Times New Roman"/>
          <w:bCs/>
          <w:color w:val="000000" w:themeColor="text1"/>
          <w:sz w:val="24"/>
          <w:szCs w:val="24"/>
        </w:rPr>
        <w:t xml:space="preserve"> induced lesser significant reduction of the viability of hGBECs than did </w:t>
      </w:r>
      <w:r w:rsidR="00055C0C" w:rsidRPr="00F75917">
        <w:rPr>
          <w:rFonts w:ascii="Book Antiqua" w:hAnsi="Book Antiqua" w:cs="Times New Roman"/>
          <w:bCs/>
          <w:color w:val="000000" w:themeColor="text1"/>
          <w:sz w:val="24"/>
          <w:szCs w:val="24"/>
        </w:rPr>
        <w:t>methyl tert-butyl ether</w:t>
      </w:r>
      <w:r w:rsidR="00055C0C" w:rsidRPr="00316F2C">
        <w:rPr>
          <w:rFonts w:ascii="Book Antiqua" w:hAnsi="Book Antiqua" w:cs="Times New Roman"/>
          <w:bCs/>
          <w:color w:val="000000" w:themeColor="text1"/>
          <w:sz w:val="24"/>
          <w:szCs w:val="24"/>
        </w:rPr>
        <w:t xml:space="preserve"> </w:t>
      </w:r>
      <w:r w:rsidR="00055C0C">
        <w:rPr>
          <w:rFonts w:ascii="Book Antiqua" w:hAnsi="Book Antiqua" w:cs="Times New Roman"/>
          <w:bCs/>
          <w:color w:val="000000" w:themeColor="text1"/>
          <w:sz w:val="24"/>
          <w:szCs w:val="24"/>
        </w:rPr>
        <w:t>(</w:t>
      </w:r>
      <w:r w:rsidRPr="00316F2C">
        <w:rPr>
          <w:rFonts w:ascii="Book Antiqua" w:hAnsi="Book Antiqua" w:cs="Times New Roman"/>
          <w:bCs/>
          <w:color w:val="000000" w:themeColor="text1"/>
          <w:sz w:val="24"/>
          <w:szCs w:val="24"/>
        </w:rPr>
        <w:t>MTBE</w:t>
      </w:r>
      <w:r w:rsidR="00055C0C">
        <w:rPr>
          <w:rFonts w:ascii="Book Antiqua" w:hAnsi="Book Antiqua" w:cs="Times New Roman"/>
          <w:bCs/>
          <w:color w:val="000000" w:themeColor="text1"/>
          <w:sz w:val="24"/>
          <w:szCs w:val="24"/>
        </w:rPr>
        <w:t>)</w:t>
      </w:r>
      <w:r w:rsidRPr="00316F2C">
        <w:rPr>
          <w:rFonts w:ascii="Book Antiqua" w:hAnsi="Book Antiqua" w:cs="Times New Roman"/>
          <w:bCs/>
          <w:color w:val="000000" w:themeColor="text1"/>
          <w:sz w:val="24"/>
          <w:szCs w:val="24"/>
        </w:rPr>
        <w:t xml:space="preserve"> at the tested concentrations</w:t>
      </w:r>
      <w:r w:rsidR="00316F2C">
        <w:rPr>
          <w:rFonts w:ascii="Book Antiqua" w:hAnsi="Book Antiqua" w:cs="Times New Roman"/>
          <w:bCs/>
          <w:color w:val="000000" w:themeColor="text1"/>
          <w:sz w:val="24"/>
          <w:szCs w:val="24"/>
        </w:rPr>
        <w:t>;</w:t>
      </w:r>
      <w:r w:rsidRPr="00316F2C">
        <w:rPr>
          <w:rFonts w:ascii="Book Antiqua" w:hAnsi="Book Antiqua" w:cs="Times New Roman"/>
          <w:bCs/>
          <w:color w:val="000000" w:themeColor="text1"/>
          <w:sz w:val="24"/>
          <w:szCs w:val="24"/>
        </w:rPr>
        <w:t xml:space="preserve"> </w:t>
      </w:r>
      <w:r w:rsidRPr="00316F2C">
        <w:rPr>
          <w:rFonts w:ascii="Book Antiqua" w:hAnsi="Book Antiqua"/>
          <w:bCs/>
          <w:color w:val="000000" w:themeColor="text1"/>
          <w:sz w:val="24"/>
          <w:szCs w:val="24"/>
        </w:rPr>
        <w:t>B</w:t>
      </w:r>
      <w:r w:rsidR="00316F2C">
        <w:rPr>
          <w:rFonts w:ascii="Book Antiqua" w:hAnsi="Book Antiqua"/>
          <w:bCs/>
          <w:color w:val="000000" w:themeColor="text1"/>
          <w:sz w:val="24"/>
          <w:szCs w:val="24"/>
        </w:rPr>
        <w:t>:</w:t>
      </w:r>
      <w:r w:rsidRPr="00316F2C">
        <w:rPr>
          <w:rFonts w:ascii="Book Antiqua" w:hAnsi="Book Antiqua"/>
          <w:bCs/>
          <w:color w:val="000000" w:themeColor="text1"/>
          <w:sz w:val="24"/>
          <w:szCs w:val="24"/>
        </w:rPr>
        <w:t xml:space="preserve"> Western blot analysis showing the </w:t>
      </w:r>
      <w:r w:rsidRPr="00316F2C">
        <w:rPr>
          <w:rFonts w:ascii="Book Antiqua" w:hAnsi="Book Antiqua"/>
          <w:bCs/>
          <w:color w:val="000000" w:themeColor="text1"/>
          <w:sz w:val="24"/>
          <w:szCs w:val="24"/>
        </w:rPr>
        <w:lastRenderedPageBreak/>
        <w:t xml:space="preserve">effects of TAEE on the expression of PCNA (a proliferation marker) and </w:t>
      </w:r>
      <w:r w:rsidR="00055C0C" w:rsidRPr="00316F2C">
        <w:rPr>
          <w:rFonts w:ascii="Book Antiqua" w:hAnsi="Book Antiqua"/>
          <w:bCs/>
          <w:color w:val="000000" w:themeColor="text1"/>
          <w:sz w:val="24"/>
          <w:szCs w:val="24"/>
        </w:rPr>
        <w:t>myeloid cell leukemia 1</w:t>
      </w:r>
      <w:r w:rsidR="00055C0C">
        <w:rPr>
          <w:rFonts w:ascii="Book Antiqua" w:hAnsi="Book Antiqua"/>
          <w:bCs/>
          <w:color w:val="000000" w:themeColor="text1"/>
          <w:sz w:val="24"/>
          <w:szCs w:val="24"/>
        </w:rPr>
        <w:t xml:space="preserve"> (</w:t>
      </w:r>
      <w:r w:rsidRPr="00316F2C">
        <w:rPr>
          <w:rFonts w:ascii="Book Antiqua" w:hAnsi="Book Antiqua"/>
          <w:bCs/>
          <w:color w:val="000000" w:themeColor="text1"/>
          <w:sz w:val="24"/>
          <w:szCs w:val="24"/>
        </w:rPr>
        <w:t>Mcl-1</w:t>
      </w:r>
      <w:r w:rsidR="00055C0C">
        <w:rPr>
          <w:rFonts w:ascii="Book Antiqua" w:hAnsi="Book Antiqua"/>
          <w:bCs/>
          <w:color w:val="000000" w:themeColor="text1"/>
          <w:sz w:val="24"/>
          <w:szCs w:val="24"/>
        </w:rPr>
        <w:t xml:space="preserve">, </w:t>
      </w:r>
      <w:r w:rsidRPr="00316F2C">
        <w:rPr>
          <w:rFonts w:ascii="Book Antiqua" w:hAnsi="Book Antiqua"/>
          <w:bCs/>
          <w:color w:val="000000" w:themeColor="text1"/>
          <w:sz w:val="24"/>
          <w:szCs w:val="24"/>
        </w:rPr>
        <w:t>an anti-apoptosis marker) (Left). Relative density of each group (Right). With an increasing concentration of TAEE, PCNA tended to increase progressively, and Mcl-1 tended to decrease progressively, after an initial increase</w:t>
      </w:r>
      <w:r w:rsidR="00055C0C">
        <w:rPr>
          <w:rFonts w:ascii="Book Antiqua" w:hAnsi="Book Antiqua"/>
          <w:bCs/>
          <w:color w:val="000000" w:themeColor="text1"/>
          <w:sz w:val="24"/>
          <w:szCs w:val="24"/>
        </w:rPr>
        <w:t>;</w:t>
      </w:r>
      <w:r w:rsidRPr="00316F2C">
        <w:rPr>
          <w:rFonts w:ascii="Book Antiqua" w:hAnsi="Book Antiqua"/>
          <w:bCs/>
          <w:color w:val="000000" w:themeColor="text1"/>
          <w:sz w:val="24"/>
          <w:szCs w:val="24"/>
        </w:rPr>
        <w:t xml:space="preserve"> C</w:t>
      </w:r>
      <w:r w:rsidR="00055C0C">
        <w:rPr>
          <w:rFonts w:ascii="Book Antiqua" w:hAnsi="Book Antiqua"/>
          <w:bCs/>
          <w:color w:val="000000" w:themeColor="text1"/>
          <w:sz w:val="24"/>
          <w:szCs w:val="24"/>
        </w:rPr>
        <w:t>:</w:t>
      </w:r>
      <w:r w:rsidRPr="00316F2C">
        <w:rPr>
          <w:rFonts w:ascii="Book Antiqua" w:hAnsi="Book Antiqua"/>
          <w:bCs/>
          <w:color w:val="000000" w:themeColor="text1"/>
          <w:sz w:val="24"/>
          <w:szCs w:val="24"/>
        </w:rPr>
        <w:t xml:space="preserve"> </w:t>
      </w:r>
      <w:r w:rsidRPr="00316F2C">
        <w:rPr>
          <w:rFonts w:ascii="Book Antiqua" w:hAnsi="Book Antiqua"/>
          <w:bCs/>
          <w:i/>
          <w:color w:val="000000" w:themeColor="text1"/>
          <w:sz w:val="24"/>
          <w:szCs w:val="24"/>
        </w:rPr>
        <w:t>In vitro</w:t>
      </w:r>
      <w:r w:rsidRPr="00316F2C">
        <w:rPr>
          <w:rFonts w:ascii="Book Antiqua" w:hAnsi="Book Antiqua"/>
          <w:bCs/>
          <w:color w:val="000000" w:themeColor="text1"/>
          <w:sz w:val="24"/>
          <w:szCs w:val="24"/>
        </w:rPr>
        <w:t xml:space="preserve"> cytotoxicity of each solvent in Vero, L929, NIH3T3, and CHI-K1 cells. The viability of these cells did not change considerably with the concentration of MTBE or TAEE (0–1000 </w:t>
      </w:r>
      <w:r w:rsidRPr="00316F2C">
        <w:rPr>
          <w:rFonts w:ascii="Book Antiqua" w:eastAsia="Malgun Gothic" w:hAnsi="Book Antiqua" w:cs="Times"/>
          <w:bCs/>
          <w:color w:val="000000" w:themeColor="text1"/>
          <w:sz w:val="24"/>
          <w:szCs w:val="24"/>
        </w:rPr>
        <w:t>μ</w:t>
      </w:r>
      <w:r w:rsidRPr="00316F2C">
        <w:rPr>
          <w:rFonts w:ascii="Book Antiqua" w:hAnsi="Book Antiqua"/>
          <w:bCs/>
          <w:color w:val="000000" w:themeColor="text1"/>
          <w:sz w:val="24"/>
          <w:szCs w:val="24"/>
        </w:rPr>
        <w:t>M) over 24 h</w:t>
      </w:r>
      <w:r w:rsidR="00055C0C">
        <w:rPr>
          <w:rFonts w:ascii="Book Antiqua" w:hAnsi="Book Antiqua"/>
          <w:bCs/>
          <w:color w:val="000000" w:themeColor="text1"/>
          <w:sz w:val="24"/>
          <w:szCs w:val="24"/>
        </w:rPr>
        <w:t>;</w:t>
      </w:r>
      <w:r w:rsidRPr="00316F2C">
        <w:rPr>
          <w:rFonts w:ascii="Book Antiqua" w:hAnsi="Book Antiqua"/>
          <w:bCs/>
          <w:color w:val="000000" w:themeColor="text1"/>
          <w:sz w:val="24"/>
          <w:szCs w:val="24"/>
        </w:rPr>
        <w:t xml:space="preserve"> D</w:t>
      </w:r>
      <w:r w:rsidR="00055C0C">
        <w:rPr>
          <w:rFonts w:ascii="Book Antiqua" w:hAnsi="Book Antiqua"/>
          <w:bCs/>
          <w:color w:val="000000" w:themeColor="text1"/>
          <w:sz w:val="24"/>
          <w:szCs w:val="24"/>
        </w:rPr>
        <w:t>:</w:t>
      </w:r>
      <w:r w:rsidRPr="00316F2C">
        <w:rPr>
          <w:rFonts w:ascii="Book Antiqua" w:eastAsia="Yu Mincho" w:hAnsi="Book Antiqua"/>
          <w:bCs/>
          <w:color w:val="000000" w:themeColor="text1"/>
          <w:sz w:val="24"/>
          <w:szCs w:val="24"/>
          <w:lang w:eastAsia="ja-JP"/>
        </w:rPr>
        <w:t xml:space="preserve"> Survival rate</w:t>
      </w:r>
      <w:r w:rsidRPr="00316F2C">
        <w:rPr>
          <w:rFonts w:ascii="Book Antiqua" w:hAnsi="Book Antiqua"/>
          <w:bCs/>
          <w:color w:val="000000" w:themeColor="text1"/>
          <w:sz w:val="24"/>
          <w:szCs w:val="24"/>
        </w:rPr>
        <w:t xml:space="preserve"> patterns (Left)</w:t>
      </w:r>
      <w:r w:rsidRPr="00316F2C">
        <w:rPr>
          <w:rFonts w:ascii="Book Antiqua" w:eastAsia="Yu Mincho" w:hAnsi="Book Antiqua"/>
          <w:bCs/>
          <w:color w:val="000000" w:themeColor="text1"/>
          <w:sz w:val="24"/>
          <w:szCs w:val="24"/>
          <w:lang w:eastAsia="ja-JP"/>
        </w:rPr>
        <w:t xml:space="preserve"> and body weight changes </w:t>
      </w:r>
      <w:r w:rsidRPr="00316F2C">
        <w:rPr>
          <w:rFonts w:ascii="Book Antiqua" w:hAnsi="Book Antiqua"/>
          <w:bCs/>
          <w:color w:val="000000" w:themeColor="text1"/>
          <w:sz w:val="24"/>
          <w:szCs w:val="24"/>
        </w:rPr>
        <w:t>(Right)</w:t>
      </w:r>
      <w:r w:rsidRPr="00316F2C">
        <w:rPr>
          <w:rFonts w:ascii="Book Antiqua" w:eastAsia="Yu Mincho" w:hAnsi="Book Antiqua"/>
          <w:bCs/>
          <w:color w:val="000000" w:themeColor="text1"/>
          <w:sz w:val="24"/>
          <w:szCs w:val="24"/>
          <w:lang w:eastAsia="ja-JP"/>
        </w:rPr>
        <w:t xml:space="preserve"> </w:t>
      </w:r>
      <w:r w:rsidRPr="00316F2C">
        <w:rPr>
          <w:rFonts w:ascii="Book Antiqua" w:hAnsi="Book Antiqua" w:cs="Times New Roman"/>
          <w:bCs/>
          <w:color w:val="000000" w:themeColor="text1"/>
          <w:sz w:val="24"/>
          <w:szCs w:val="24"/>
        </w:rPr>
        <w:t>after oral administration of high-dose (2000 mg/kg) of each solvent.</w:t>
      </w:r>
      <w:r w:rsidRPr="00316F2C">
        <w:rPr>
          <w:rFonts w:ascii="Book Antiqua" w:hAnsi="Book Antiqua"/>
          <w:bCs/>
          <w:color w:val="000000" w:themeColor="text1"/>
          <w:sz w:val="24"/>
          <w:szCs w:val="24"/>
        </w:rPr>
        <w:t xml:space="preserve"> </w:t>
      </w:r>
      <w:r w:rsidRPr="00316F2C">
        <w:rPr>
          <w:rFonts w:ascii="Book Antiqua" w:hAnsi="Book Antiqua" w:cs="Times New Roman"/>
          <w:bCs/>
          <w:color w:val="000000" w:themeColor="text1"/>
          <w:sz w:val="24"/>
          <w:szCs w:val="24"/>
        </w:rPr>
        <w:t>Whereas MTBE-treated mice (</w:t>
      </w:r>
      <w:r w:rsidR="00055C0C" w:rsidRPr="00055C0C">
        <w:rPr>
          <w:rFonts w:ascii="Book Antiqua" w:hAnsi="Book Antiqua" w:cs="Times New Roman"/>
          <w:bCs/>
          <w:i/>
          <w:iCs/>
          <w:color w:val="000000" w:themeColor="text1"/>
          <w:sz w:val="24"/>
          <w:szCs w:val="24"/>
        </w:rPr>
        <w:t>n</w:t>
      </w:r>
      <w:r w:rsidRPr="00316F2C">
        <w:rPr>
          <w:rFonts w:ascii="Book Antiqua" w:hAnsi="Book Antiqua" w:cs="Times New Roman"/>
          <w:bCs/>
          <w:color w:val="000000" w:themeColor="text1"/>
          <w:sz w:val="24"/>
          <w:szCs w:val="24"/>
        </w:rPr>
        <w:t xml:space="preserve"> = 14) showed 21.4% (3/14) of mortality, all of which were happened within first 24 h, TAEE-treated mice (</w:t>
      </w:r>
      <w:r w:rsidR="00055C0C" w:rsidRPr="00055C0C">
        <w:rPr>
          <w:rFonts w:ascii="Book Antiqua" w:hAnsi="Book Antiqua" w:cs="Times New Roman"/>
          <w:bCs/>
          <w:i/>
          <w:iCs/>
          <w:color w:val="000000" w:themeColor="text1"/>
          <w:sz w:val="24"/>
          <w:szCs w:val="24"/>
        </w:rPr>
        <w:t>n</w:t>
      </w:r>
      <w:r w:rsidRPr="00316F2C">
        <w:rPr>
          <w:rFonts w:ascii="Book Antiqua" w:hAnsi="Book Antiqua" w:cs="Times New Roman"/>
          <w:bCs/>
          <w:color w:val="000000" w:themeColor="text1"/>
          <w:sz w:val="24"/>
          <w:szCs w:val="24"/>
        </w:rPr>
        <w:t xml:space="preserve"> = 14) did not show any mortality. TAEE-treated mice were found slightly underweight during the first 3 d and, subsequently, recovered thereafter</w:t>
      </w:r>
      <w:r w:rsidR="00055C0C">
        <w:rPr>
          <w:rFonts w:ascii="Book Antiqua" w:hAnsi="Book Antiqua" w:cs="Times New Roman"/>
          <w:bCs/>
          <w:color w:val="000000" w:themeColor="text1"/>
          <w:sz w:val="24"/>
          <w:szCs w:val="24"/>
        </w:rPr>
        <w:t>;</w:t>
      </w:r>
      <w:r w:rsidRPr="00316F2C">
        <w:rPr>
          <w:rFonts w:ascii="Book Antiqua" w:hAnsi="Book Antiqua" w:cs="Times New Roman"/>
          <w:bCs/>
          <w:color w:val="000000" w:themeColor="text1"/>
          <w:sz w:val="24"/>
          <w:szCs w:val="24"/>
        </w:rPr>
        <w:t xml:space="preserve"> </w:t>
      </w:r>
      <w:r w:rsidRPr="00316F2C">
        <w:rPr>
          <w:rFonts w:ascii="Book Antiqua" w:hAnsi="Book Antiqua"/>
          <w:bCs/>
          <w:color w:val="000000" w:themeColor="text1"/>
          <w:sz w:val="24"/>
          <w:szCs w:val="24"/>
        </w:rPr>
        <w:t>E</w:t>
      </w:r>
      <w:r w:rsidR="00055C0C">
        <w:rPr>
          <w:rFonts w:ascii="Book Antiqua" w:hAnsi="Book Antiqua"/>
          <w:bCs/>
          <w:color w:val="000000" w:themeColor="text1"/>
          <w:sz w:val="24"/>
          <w:szCs w:val="24"/>
        </w:rPr>
        <w:t>:</w:t>
      </w:r>
      <w:r w:rsidRPr="00316F2C">
        <w:rPr>
          <w:rFonts w:ascii="Book Antiqua" w:hAnsi="Book Antiqua"/>
          <w:bCs/>
          <w:color w:val="000000" w:themeColor="text1"/>
          <w:sz w:val="24"/>
          <w:szCs w:val="24"/>
        </w:rPr>
        <w:t xml:space="preserve"> </w:t>
      </w:r>
      <w:r w:rsidRPr="00316F2C">
        <w:rPr>
          <w:rFonts w:ascii="Book Antiqua" w:eastAsia="Yu Mincho" w:hAnsi="Book Antiqua"/>
          <w:bCs/>
          <w:color w:val="000000" w:themeColor="text1"/>
          <w:sz w:val="24"/>
          <w:szCs w:val="24"/>
          <w:lang w:eastAsia="ja-JP"/>
        </w:rPr>
        <w:t>The effect of each solvent on locomotor activity of larval zebrafish.</w:t>
      </w:r>
      <w:r w:rsidRPr="00316F2C">
        <w:rPr>
          <w:rFonts w:ascii="Book Antiqua" w:hAnsi="Book Antiqua"/>
          <w:bCs/>
          <w:color w:val="000000" w:themeColor="text1"/>
          <w:sz w:val="24"/>
          <w:szCs w:val="24"/>
        </w:rPr>
        <w:t xml:space="preserve"> </w:t>
      </w:r>
      <w:r w:rsidRPr="00316F2C">
        <w:rPr>
          <w:rFonts w:ascii="Book Antiqua" w:eastAsia="Yu Mincho" w:hAnsi="Book Antiqua"/>
          <w:bCs/>
          <w:color w:val="000000" w:themeColor="text1"/>
          <w:sz w:val="24"/>
          <w:szCs w:val="24"/>
          <w:lang w:eastAsia="ja-JP"/>
        </w:rPr>
        <w:t xml:space="preserve">To determine the </w:t>
      </w:r>
      <w:r w:rsidR="00C7003F" w:rsidRPr="0050120B">
        <w:rPr>
          <w:rFonts w:ascii="Book Antiqua" w:hAnsi="Book Antiqua" w:cs="Times New Roman"/>
          <w:color w:val="000000" w:themeColor="text1"/>
          <w:sz w:val="24"/>
          <w:szCs w:val="24"/>
        </w:rPr>
        <w:t xml:space="preserve">central nervous system </w:t>
      </w:r>
      <w:r w:rsidR="00C7003F">
        <w:rPr>
          <w:rFonts w:ascii="Book Antiqua" w:hAnsi="Book Antiqua" w:cs="Times New Roman"/>
          <w:color w:val="000000" w:themeColor="text1"/>
          <w:sz w:val="24"/>
          <w:szCs w:val="24"/>
        </w:rPr>
        <w:t>(</w:t>
      </w:r>
      <w:r w:rsidRPr="00316F2C">
        <w:rPr>
          <w:rFonts w:ascii="Book Antiqua" w:eastAsia="Yu Mincho" w:hAnsi="Book Antiqua"/>
          <w:bCs/>
          <w:color w:val="000000" w:themeColor="text1"/>
          <w:sz w:val="24"/>
          <w:szCs w:val="24"/>
          <w:lang w:eastAsia="ja-JP"/>
        </w:rPr>
        <w:t>CNS</w:t>
      </w:r>
      <w:r w:rsidR="00C7003F">
        <w:rPr>
          <w:rFonts w:ascii="Book Antiqua" w:eastAsia="Yu Mincho" w:hAnsi="Book Antiqua"/>
          <w:bCs/>
          <w:color w:val="000000" w:themeColor="text1"/>
          <w:sz w:val="24"/>
          <w:szCs w:val="24"/>
          <w:lang w:eastAsia="ja-JP"/>
        </w:rPr>
        <w:t>)</w:t>
      </w:r>
      <w:r w:rsidRPr="00316F2C">
        <w:rPr>
          <w:rFonts w:ascii="Book Antiqua" w:eastAsia="Yu Mincho" w:hAnsi="Book Antiqua"/>
          <w:bCs/>
          <w:color w:val="000000" w:themeColor="text1"/>
          <w:sz w:val="24"/>
          <w:szCs w:val="24"/>
          <w:lang w:eastAsia="ja-JP"/>
        </w:rPr>
        <w:t xml:space="preserve"> toxicity of each solvent, we tracked the locomotion of larval zebrafish </w:t>
      </w:r>
      <w:r w:rsidRPr="00316F2C">
        <w:rPr>
          <w:rFonts w:ascii="Book Antiqua" w:hAnsi="Book Antiqua"/>
          <w:bCs/>
          <w:color w:val="000000" w:themeColor="text1"/>
          <w:sz w:val="24"/>
          <w:szCs w:val="24"/>
        </w:rPr>
        <w:t xml:space="preserve">after </w:t>
      </w:r>
      <w:r w:rsidRPr="00316F2C">
        <w:rPr>
          <w:rFonts w:ascii="Book Antiqua" w:eastAsia="Yu Mincho" w:hAnsi="Book Antiqua"/>
          <w:bCs/>
          <w:color w:val="000000" w:themeColor="text1"/>
          <w:sz w:val="24"/>
          <w:szCs w:val="24"/>
          <w:lang w:eastAsia="ja-JP"/>
        </w:rPr>
        <w:t>treatment with 1 mM MTBE and</w:t>
      </w:r>
      <w:r w:rsidRPr="00316F2C">
        <w:rPr>
          <w:rFonts w:ascii="Book Antiqua" w:hAnsi="Book Antiqua"/>
          <w:bCs/>
          <w:color w:val="000000" w:themeColor="text1"/>
          <w:sz w:val="24"/>
          <w:szCs w:val="24"/>
        </w:rPr>
        <w:t xml:space="preserve"> 1 mM</w:t>
      </w:r>
      <w:r w:rsidRPr="00316F2C">
        <w:rPr>
          <w:rFonts w:ascii="Book Antiqua" w:eastAsia="Yu Mincho" w:hAnsi="Book Antiqua"/>
          <w:bCs/>
          <w:color w:val="000000" w:themeColor="text1"/>
          <w:sz w:val="24"/>
          <w:szCs w:val="24"/>
          <w:lang w:eastAsia="ja-JP"/>
        </w:rPr>
        <w:t xml:space="preserve"> </w:t>
      </w:r>
      <w:r w:rsidRPr="00316F2C">
        <w:rPr>
          <w:rFonts w:ascii="Book Antiqua" w:hAnsi="Book Antiqua"/>
          <w:bCs/>
          <w:color w:val="000000" w:themeColor="text1"/>
          <w:sz w:val="24"/>
          <w:szCs w:val="24"/>
        </w:rPr>
        <w:t>TAEE, respectively,</w:t>
      </w:r>
      <w:r w:rsidRPr="00316F2C">
        <w:rPr>
          <w:rFonts w:ascii="Book Antiqua" w:eastAsia="Yu Mincho" w:hAnsi="Book Antiqua"/>
          <w:bCs/>
          <w:color w:val="000000" w:themeColor="text1"/>
          <w:sz w:val="24"/>
          <w:szCs w:val="24"/>
          <w:lang w:eastAsia="ja-JP"/>
        </w:rPr>
        <w:t xml:space="preserve"> over 60 min. The locomotor activity was normalized against </w:t>
      </w:r>
      <w:r w:rsidR="00055C0C" w:rsidRPr="00F75917">
        <w:rPr>
          <w:rFonts w:ascii="Book Antiqua" w:eastAsia="Malgun Gothic" w:hAnsi="Book Antiqua"/>
          <w:bCs/>
          <w:color w:val="000000" w:themeColor="text1"/>
          <w:sz w:val="24"/>
          <w:szCs w:val="24"/>
        </w:rPr>
        <w:t>dimethyl sulfoxide</w:t>
      </w:r>
      <w:r w:rsidR="00055C0C" w:rsidRPr="00316F2C">
        <w:rPr>
          <w:rFonts w:ascii="Book Antiqua" w:eastAsia="Yu Mincho" w:hAnsi="Book Antiqua"/>
          <w:bCs/>
          <w:color w:val="000000" w:themeColor="text1"/>
          <w:sz w:val="24"/>
          <w:szCs w:val="24"/>
          <w:lang w:eastAsia="ja-JP"/>
        </w:rPr>
        <w:t xml:space="preserve"> </w:t>
      </w:r>
      <w:r w:rsidR="00055C0C">
        <w:rPr>
          <w:rFonts w:ascii="Book Antiqua" w:eastAsia="Yu Mincho" w:hAnsi="Book Antiqua"/>
          <w:bCs/>
          <w:color w:val="000000" w:themeColor="text1"/>
          <w:sz w:val="24"/>
          <w:szCs w:val="24"/>
          <w:lang w:eastAsia="ja-JP"/>
        </w:rPr>
        <w:t>(</w:t>
      </w:r>
      <w:r w:rsidRPr="00316F2C">
        <w:rPr>
          <w:rFonts w:ascii="Book Antiqua" w:eastAsia="Yu Mincho" w:hAnsi="Book Antiqua"/>
          <w:bCs/>
          <w:color w:val="000000" w:themeColor="text1"/>
          <w:sz w:val="24"/>
          <w:szCs w:val="24"/>
          <w:lang w:eastAsia="ja-JP"/>
        </w:rPr>
        <w:t>DMSO</w:t>
      </w:r>
      <w:r w:rsidR="00055C0C">
        <w:rPr>
          <w:rFonts w:ascii="Book Antiqua" w:eastAsia="Yu Mincho" w:hAnsi="Book Antiqua"/>
          <w:bCs/>
          <w:color w:val="000000" w:themeColor="text1"/>
          <w:sz w:val="24"/>
          <w:szCs w:val="24"/>
          <w:lang w:eastAsia="ja-JP"/>
        </w:rPr>
        <w:t>)</w:t>
      </w:r>
      <w:r w:rsidRPr="00316F2C">
        <w:rPr>
          <w:rFonts w:ascii="Book Antiqua" w:eastAsia="Yu Mincho" w:hAnsi="Book Antiqua"/>
          <w:bCs/>
          <w:color w:val="000000" w:themeColor="text1"/>
          <w:sz w:val="24"/>
          <w:szCs w:val="24"/>
          <w:lang w:eastAsia="ja-JP"/>
        </w:rPr>
        <w:t xml:space="preserve"> as a control and presented as a percentage.</w:t>
      </w:r>
      <w:r w:rsidRPr="00316F2C">
        <w:rPr>
          <w:rFonts w:ascii="Book Antiqua" w:hAnsi="Book Antiqua"/>
          <w:bCs/>
          <w:color w:val="000000" w:themeColor="text1"/>
          <w:sz w:val="24"/>
          <w:szCs w:val="24"/>
        </w:rPr>
        <w:t xml:space="preserve"> During the first 6 min after treatment, TAEE</w:t>
      </w:r>
      <w:r w:rsidRPr="00316F2C">
        <w:rPr>
          <w:rFonts w:ascii="Book Antiqua" w:eastAsia="Yu Mincho" w:hAnsi="Book Antiqua"/>
          <w:bCs/>
          <w:color w:val="000000" w:themeColor="text1"/>
          <w:sz w:val="24"/>
          <w:szCs w:val="24"/>
          <w:lang w:eastAsia="ja-JP"/>
        </w:rPr>
        <w:t xml:space="preserve"> </w:t>
      </w:r>
      <w:r w:rsidRPr="00316F2C">
        <w:rPr>
          <w:rFonts w:ascii="Book Antiqua" w:hAnsi="Book Antiqua"/>
          <w:bCs/>
          <w:color w:val="000000" w:themeColor="text1"/>
          <w:sz w:val="24"/>
          <w:szCs w:val="24"/>
        </w:rPr>
        <w:t xml:space="preserve">did not affect the locomotor activity of zebrafish, while </w:t>
      </w:r>
      <w:r w:rsidRPr="00316F2C">
        <w:rPr>
          <w:rFonts w:ascii="Book Antiqua" w:eastAsia="Yu Mincho" w:hAnsi="Book Antiqua"/>
          <w:bCs/>
          <w:color w:val="000000" w:themeColor="text1"/>
          <w:sz w:val="24"/>
          <w:szCs w:val="24"/>
          <w:lang w:eastAsia="ja-JP"/>
        </w:rPr>
        <w:t>MTBE</w:t>
      </w:r>
      <w:r w:rsidR="00823022" w:rsidRPr="00316F2C">
        <w:rPr>
          <w:rFonts w:ascii="Book Antiqua" w:eastAsia="Yu Mincho" w:hAnsi="Book Antiqua"/>
          <w:bCs/>
          <w:color w:val="000000" w:themeColor="text1"/>
          <w:sz w:val="24"/>
          <w:szCs w:val="24"/>
          <w:lang w:eastAsia="ja-JP"/>
        </w:rPr>
        <w:t xml:space="preserve"> significantly</w:t>
      </w:r>
      <w:r w:rsidRPr="00316F2C">
        <w:rPr>
          <w:rFonts w:ascii="Book Antiqua" w:eastAsia="Yu Mincho" w:hAnsi="Book Antiqua"/>
          <w:bCs/>
          <w:color w:val="000000" w:themeColor="text1"/>
          <w:sz w:val="24"/>
          <w:szCs w:val="24"/>
          <w:lang w:eastAsia="ja-JP"/>
        </w:rPr>
        <w:t xml:space="preserve"> increased</w:t>
      </w:r>
      <w:r w:rsidRPr="00316F2C">
        <w:rPr>
          <w:rFonts w:ascii="Book Antiqua" w:hAnsi="Book Antiqua"/>
          <w:bCs/>
          <w:color w:val="000000" w:themeColor="text1"/>
          <w:sz w:val="24"/>
          <w:szCs w:val="24"/>
        </w:rPr>
        <w:t xml:space="preserve"> it</w:t>
      </w:r>
      <w:r w:rsidR="00823022" w:rsidRPr="00316F2C">
        <w:rPr>
          <w:rFonts w:ascii="Book Antiqua" w:hAnsi="Book Antiqua"/>
          <w:bCs/>
          <w:color w:val="000000" w:themeColor="text1"/>
          <w:sz w:val="24"/>
          <w:szCs w:val="24"/>
        </w:rPr>
        <w:t xml:space="preserve"> (</w:t>
      </w:r>
      <w:r w:rsidR="00823022" w:rsidRPr="00316F2C">
        <w:rPr>
          <w:rFonts w:ascii="Book Antiqua" w:hAnsi="Book Antiqua" w:cs="Times New Roman"/>
          <w:bCs/>
          <w:color w:val="000000" w:themeColor="text1"/>
          <w:sz w:val="24"/>
          <w:szCs w:val="24"/>
          <w:vertAlign w:val="superscript"/>
        </w:rPr>
        <w:t>e</w:t>
      </w:r>
      <w:r w:rsidR="00823022" w:rsidRPr="00316F2C">
        <w:rPr>
          <w:rFonts w:ascii="Book Antiqua" w:hAnsi="Book Antiqua" w:cs="Times New Roman"/>
          <w:bCs/>
          <w:i/>
          <w:iCs/>
          <w:color w:val="000000" w:themeColor="text1"/>
          <w:sz w:val="24"/>
          <w:szCs w:val="24"/>
        </w:rPr>
        <w:t>P</w:t>
      </w:r>
      <w:r w:rsidR="00823022" w:rsidRPr="00316F2C">
        <w:rPr>
          <w:rFonts w:ascii="Book Antiqua" w:hAnsi="Book Antiqua" w:cs="Times New Roman"/>
          <w:bCs/>
          <w:color w:val="000000" w:themeColor="text1"/>
          <w:sz w:val="24"/>
          <w:szCs w:val="24"/>
        </w:rPr>
        <w:t xml:space="preserve"> &lt; 0.05) </w:t>
      </w:r>
      <w:r w:rsidRPr="00316F2C">
        <w:rPr>
          <w:rFonts w:ascii="Book Antiqua" w:hAnsi="Book Antiqua"/>
          <w:bCs/>
          <w:color w:val="000000" w:themeColor="text1"/>
          <w:sz w:val="24"/>
          <w:szCs w:val="24"/>
        </w:rPr>
        <w:t>(</w:t>
      </w:r>
      <w:r w:rsidRPr="00316F2C">
        <w:rPr>
          <w:rFonts w:ascii="Book Antiqua" w:eastAsia="Yu Mincho" w:hAnsi="Book Antiqua"/>
          <w:bCs/>
          <w:color w:val="000000" w:themeColor="text1"/>
          <w:sz w:val="24"/>
          <w:szCs w:val="24"/>
          <w:lang w:eastAsia="ja-JP"/>
        </w:rPr>
        <w:t>Right</w:t>
      </w:r>
      <w:r w:rsidRPr="00316F2C">
        <w:rPr>
          <w:rFonts w:ascii="Book Antiqua" w:hAnsi="Book Antiqua"/>
          <w:bCs/>
          <w:color w:val="000000" w:themeColor="text1"/>
          <w:sz w:val="24"/>
          <w:szCs w:val="24"/>
        </w:rPr>
        <w:t>).</w:t>
      </w:r>
      <w:r w:rsidRPr="00316F2C">
        <w:rPr>
          <w:rFonts w:ascii="Book Antiqua" w:eastAsia="Yu Mincho" w:hAnsi="Book Antiqua"/>
          <w:bCs/>
          <w:color w:val="000000" w:themeColor="text1"/>
          <w:sz w:val="24"/>
          <w:szCs w:val="24"/>
          <w:lang w:eastAsia="ja-JP"/>
        </w:rPr>
        <w:t xml:space="preserve"> </w:t>
      </w:r>
      <w:r w:rsidRPr="00316F2C">
        <w:rPr>
          <w:rFonts w:ascii="Book Antiqua" w:hAnsi="Book Antiqua"/>
          <w:bCs/>
          <w:color w:val="000000" w:themeColor="text1"/>
          <w:sz w:val="24"/>
          <w:szCs w:val="24"/>
        </w:rPr>
        <w:t xml:space="preserve">The overall locomotor activity during 60 min. During the overall period, both treatment groups did not significantly increase the locomotor activity of zebrafish than did control group, suggesting no significantly harmful effects of MTBE and TAEE on CNS (Left). Values are presented as mean ± standard deviation of three independent experiments. </w:t>
      </w:r>
      <w:r w:rsidR="008270F7" w:rsidRPr="00316F2C">
        <w:rPr>
          <w:rFonts w:ascii="Book Antiqua" w:hAnsi="Book Antiqua" w:cs="Times New Roman"/>
          <w:bCs/>
          <w:color w:val="000000" w:themeColor="text1"/>
          <w:sz w:val="24"/>
          <w:szCs w:val="24"/>
          <w:vertAlign w:val="superscript"/>
        </w:rPr>
        <w:t>a</w:t>
      </w:r>
      <w:r w:rsidR="008270F7" w:rsidRPr="00316F2C">
        <w:rPr>
          <w:rFonts w:ascii="Book Antiqua" w:hAnsi="Book Antiqua" w:cs="Times New Roman"/>
          <w:bCs/>
          <w:i/>
          <w:color w:val="000000" w:themeColor="text1"/>
          <w:sz w:val="24"/>
          <w:szCs w:val="24"/>
        </w:rPr>
        <w:t>P</w:t>
      </w:r>
      <w:r w:rsidR="008270F7" w:rsidRPr="00316F2C">
        <w:rPr>
          <w:rFonts w:ascii="Book Antiqua" w:hAnsi="Book Antiqua" w:cs="Times New Roman"/>
          <w:bCs/>
          <w:color w:val="000000" w:themeColor="text1"/>
          <w:sz w:val="24"/>
          <w:szCs w:val="24"/>
        </w:rPr>
        <w:t xml:space="preserve"> &lt; 0.05 between MTBE and TAEE. </w:t>
      </w:r>
      <w:r w:rsidR="008270F7" w:rsidRPr="00316F2C">
        <w:rPr>
          <w:rFonts w:ascii="Book Antiqua" w:hAnsi="Book Antiqua" w:cs="Times New Roman"/>
          <w:bCs/>
          <w:color w:val="000000" w:themeColor="text1"/>
          <w:sz w:val="24"/>
          <w:szCs w:val="24"/>
          <w:vertAlign w:val="superscript"/>
        </w:rPr>
        <w:t>e</w:t>
      </w:r>
      <w:r w:rsidR="008270F7" w:rsidRPr="00316F2C">
        <w:rPr>
          <w:rFonts w:ascii="Book Antiqua" w:hAnsi="Book Antiqua" w:cs="Times New Roman"/>
          <w:bCs/>
          <w:i/>
          <w:iCs/>
          <w:color w:val="000000" w:themeColor="text1"/>
          <w:sz w:val="24"/>
          <w:szCs w:val="24"/>
        </w:rPr>
        <w:t>P</w:t>
      </w:r>
      <w:r w:rsidR="008270F7" w:rsidRPr="00316F2C">
        <w:rPr>
          <w:rFonts w:ascii="Book Antiqua" w:hAnsi="Book Antiqua" w:cs="Times New Roman"/>
          <w:bCs/>
          <w:color w:val="000000" w:themeColor="text1"/>
          <w:sz w:val="24"/>
          <w:szCs w:val="24"/>
        </w:rPr>
        <w:t xml:space="preserve"> &lt; 0.05 </w:t>
      </w:r>
      <w:r w:rsidR="008270F7" w:rsidRPr="00055C0C">
        <w:rPr>
          <w:rFonts w:ascii="Book Antiqua" w:hAnsi="Book Antiqua" w:cs="Times New Roman"/>
          <w:bCs/>
          <w:i/>
          <w:iCs/>
          <w:color w:val="000000" w:themeColor="text1"/>
          <w:sz w:val="24"/>
          <w:szCs w:val="24"/>
        </w:rPr>
        <w:t>vs</w:t>
      </w:r>
      <w:r w:rsidR="008270F7" w:rsidRPr="00316F2C">
        <w:rPr>
          <w:rFonts w:ascii="Book Antiqua" w:hAnsi="Book Antiqua" w:cs="Times New Roman"/>
          <w:bCs/>
          <w:color w:val="000000" w:themeColor="text1"/>
          <w:sz w:val="24"/>
          <w:szCs w:val="24"/>
        </w:rPr>
        <w:t xml:space="preserve"> control (DMSO). </w:t>
      </w:r>
      <w:r w:rsidR="008270F7" w:rsidRPr="00316F2C">
        <w:rPr>
          <w:rFonts w:ascii="Book Antiqua" w:hAnsi="Book Antiqua" w:cs="Times New Roman"/>
          <w:bCs/>
          <w:color w:val="000000" w:themeColor="text1"/>
          <w:sz w:val="24"/>
          <w:szCs w:val="24"/>
          <w:vertAlign w:val="superscript"/>
        </w:rPr>
        <w:t>g</w:t>
      </w:r>
      <w:r w:rsidR="008270F7" w:rsidRPr="00316F2C">
        <w:rPr>
          <w:rFonts w:ascii="Book Antiqua" w:hAnsi="Book Antiqua" w:cs="Times New Roman"/>
          <w:bCs/>
          <w:i/>
          <w:color w:val="000000" w:themeColor="text1"/>
          <w:sz w:val="24"/>
          <w:szCs w:val="24"/>
        </w:rPr>
        <w:t>P</w:t>
      </w:r>
      <w:r w:rsidR="008270F7" w:rsidRPr="00316F2C">
        <w:rPr>
          <w:rFonts w:ascii="Book Antiqua" w:hAnsi="Book Antiqua" w:cs="Times New Roman"/>
          <w:bCs/>
          <w:color w:val="000000" w:themeColor="text1"/>
          <w:sz w:val="24"/>
          <w:szCs w:val="24"/>
        </w:rPr>
        <w:t xml:space="preserve"> &lt; 0.05 </w:t>
      </w:r>
      <w:r w:rsidR="008270F7" w:rsidRPr="00055C0C">
        <w:rPr>
          <w:rFonts w:ascii="Book Antiqua" w:hAnsi="Book Antiqua" w:cs="Times New Roman"/>
          <w:bCs/>
          <w:i/>
          <w:iCs/>
          <w:color w:val="000000" w:themeColor="text1"/>
          <w:sz w:val="24"/>
          <w:szCs w:val="24"/>
        </w:rPr>
        <w:t>vs</w:t>
      </w:r>
      <w:r w:rsidR="008270F7" w:rsidRPr="00316F2C">
        <w:rPr>
          <w:rFonts w:ascii="Book Antiqua" w:hAnsi="Book Antiqua" w:cs="Times New Roman"/>
          <w:bCs/>
          <w:color w:val="000000" w:themeColor="text1"/>
          <w:sz w:val="24"/>
          <w:szCs w:val="24"/>
        </w:rPr>
        <w:t xml:space="preserve"> control concentration (in MTBE), </w:t>
      </w:r>
      <w:r w:rsidR="008270F7" w:rsidRPr="00316F2C">
        <w:rPr>
          <w:rFonts w:ascii="Book Antiqua" w:hAnsi="Book Antiqua" w:cs="Times New Roman"/>
          <w:bCs/>
          <w:color w:val="000000" w:themeColor="text1"/>
          <w:sz w:val="24"/>
          <w:szCs w:val="24"/>
          <w:vertAlign w:val="superscript"/>
        </w:rPr>
        <w:t>i</w:t>
      </w:r>
      <w:r w:rsidR="008270F7" w:rsidRPr="00316F2C">
        <w:rPr>
          <w:rFonts w:ascii="Book Antiqua" w:hAnsi="Book Antiqua" w:cs="Times New Roman"/>
          <w:bCs/>
          <w:i/>
          <w:color w:val="000000" w:themeColor="text1"/>
          <w:sz w:val="24"/>
          <w:szCs w:val="24"/>
        </w:rPr>
        <w:t>P</w:t>
      </w:r>
      <w:r w:rsidR="008270F7" w:rsidRPr="00316F2C">
        <w:rPr>
          <w:rFonts w:ascii="Book Antiqua" w:hAnsi="Book Antiqua" w:cs="Times New Roman"/>
          <w:bCs/>
          <w:color w:val="000000" w:themeColor="text1"/>
          <w:sz w:val="24"/>
          <w:szCs w:val="24"/>
        </w:rPr>
        <w:t xml:space="preserve"> &lt; 0.05 </w:t>
      </w:r>
      <w:r w:rsidR="008270F7" w:rsidRPr="00055C0C">
        <w:rPr>
          <w:rFonts w:ascii="Book Antiqua" w:hAnsi="Book Antiqua" w:cs="Times New Roman"/>
          <w:bCs/>
          <w:i/>
          <w:iCs/>
          <w:color w:val="000000" w:themeColor="text1"/>
          <w:sz w:val="24"/>
          <w:szCs w:val="24"/>
        </w:rPr>
        <w:t>vs</w:t>
      </w:r>
      <w:r w:rsidR="008270F7" w:rsidRPr="00316F2C">
        <w:rPr>
          <w:rFonts w:ascii="Book Antiqua" w:hAnsi="Book Antiqua" w:cs="Times New Roman"/>
          <w:bCs/>
          <w:color w:val="000000" w:themeColor="text1"/>
          <w:sz w:val="24"/>
          <w:szCs w:val="24"/>
        </w:rPr>
        <w:t xml:space="preserve"> control concentration (in TAEE). </w:t>
      </w:r>
      <w:r w:rsidRPr="00316F2C">
        <w:rPr>
          <w:rFonts w:ascii="Book Antiqua" w:hAnsi="Book Antiqua"/>
          <w:bCs/>
          <w:color w:val="000000" w:themeColor="text1"/>
          <w:sz w:val="24"/>
          <w:szCs w:val="24"/>
        </w:rPr>
        <w:t>PCNA</w:t>
      </w:r>
      <w:r w:rsidR="00E54E39" w:rsidRPr="00316F2C">
        <w:rPr>
          <w:rFonts w:ascii="Book Antiqua" w:hAnsi="Book Antiqua"/>
          <w:bCs/>
          <w:color w:val="000000" w:themeColor="text1"/>
          <w:sz w:val="24"/>
          <w:szCs w:val="24"/>
        </w:rPr>
        <w:t>:</w:t>
      </w:r>
      <w:r w:rsidRPr="00316F2C">
        <w:rPr>
          <w:rFonts w:ascii="Book Antiqua" w:hAnsi="Book Antiqua"/>
          <w:bCs/>
          <w:color w:val="000000" w:themeColor="text1"/>
          <w:sz w:val="24"/>
          <w:szCs w:val="24"/>
        </w:rPr>
        <w:t xml:space="preserve"> </w:t>
      </w:r>
      <w:r w:rsidR="00055C0C" w:rsidRPr="00316F2C">
        <w:rPr>
          <w:rFonts w:ascii="Book Antiqua" w:hAnsi="Book Antiqua"/>
          <w:bCs/>
          <w:color w:val="000000" w:themeColor="text1"/>
          <w:sz w:val="24"/>
          <w:szCs w:val="24"/>
        </w:rPr>
        <w:t>P</w:t>
      </w:r>
      <w:r w:rsidRPr="00316F2C">
        <w:rPr>
          <w:rFonts w:ascii="Book Antiqua" w:hAnsi="Book Antiqua"/>
          <w:bCs/>
          <w:color w:val="000000" w:themeColor="text1"/>
          <w:sz w:val="24"/>
          <w:szCs w:val="24"/>
        </w:rPr>
        <w:t>roliferation cell nuclear antigen</w:t>
      </w:r>
      <w:r w:rsidR="00055C0C">
        <w:rPr>
          <w:rFonts w:ascii="Book Antiqua" w:hAnsi="Book Antiqua"/>
          <w:bCs/>
          <w:color w:val="000000" w:themeColor="text1"/>
          <w:sz w:val="24"/>
          <w:szCs w:val="24"/>
        </w:rPr>
        <w:t>;</w:t>
      </w:r>
      <w:r w:rsidRPr="00316F2C">
        <w:rPr>
          <w:rFonts w:ascii="Book Antiqua" w:hAnsi="Book Antiqua"/>
          <w:bCs/>
          <w:color w:val="000000" w:themeColor="text1"/>
          <w:sz w:val="24"/>
          <w:szCs w:val="24"/>
        </w:rPr>
        <w:t xml:space="preserve"> </w:t>
      </w:r>
      <w:r w:rsidR="00055C0C" w:rsidRPr="00F75917">
        <w:rPr>
          <w:rFonts w:ascii="Book Antiqua" w:hAnsi="Book Antiqua"/>
          <w:bCs/>
          <w:color w:val="000000" w:themeColor="text1"/>
          <w:sz w:val="24"/>
          <w:szCs w:val="24"/>
        </w:rPr>
        <w:t xml:space="preserve">MTBE: </w:t>
      </w:r>
      <w:r w:rsidR="00055C0C" w:rsidRPr="00F75917">
        <w:rPr>
          <w:rFonts w:ascii="Book Antiqua" w:hAnsi="Book Antiqua" w:cs="Times New Roman"/>
          <w:bCs/>
          <w:color w:val="000000" w:themeColor="text1"/>
          <w:sz w:val="24"/>
          <w:szCs w:val="24"/>
        </w:rPr>
        <w:t>Methyl tert-butyl ether; TAEE</w:t>
      </w:r>
      <w:r w:rsidR="00055C0C" w:rsidRPr="00F75917">
        <w:rPr>
          <w:rFonts w:ascii="Book Antiqua" w:hAnsi="Book Antiqua"/>
          <w:bCs/>
          <w:color w:val="000000" w:themeColor="text1"/>
          <w:sz w:val="24"/>
          <w:szCs w:val="24"/>
        </w:rPr>
        <w:t>: Tert-amyl ethyl ether.</w:t>
      </w:r>
    </w:p>
    <w:sectPr w:rsidR="003565F9" w:rsidRPr="00316F2C" w:rsidSect="003C275B">
      <w:headerReference w:type="default" r:id="rId14"/>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191AEA" w14:textId="77777777" w:rsidR="00AB3D91" w:rsidRDefault="00AB3D91">
      <w:pPr>
        <w:spacing w:after="0" w:line="240" w:lineRule="auto"/>
      </w:pPr>
      <w:r>
        <w:separator/>
      </w:r>
    </w:p>
  </w:endnote>
  <w:endnote w:type="continuationSeparator" w:id="0">
    <w:p w14:paraId="361B55C2" w14:textId="77777777" w:rsidR="00AB3D91" w:rsidRDefault="00AB3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Gulim">
    <w:altName w:val="Malgun Gothic Semilight"/>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Garamond-Bold">
    <w:charset w:val="00"/>
    <w:family w:val="auto"/>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Batang">
    <w:altName w:val="Malgun Gothic Semilight"/>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7A6E3C" w14:textId="77777777" w:rsidR="00AB3D91" w:rsidRDefault="00AB3D91">
      <w:pPr>
        <w:spacing w:after="0" w:line="240" w:lineRule="auto"/>
      </w:pPr>
      <w:r>
        <w:separator/>
      </w:r>
    </w:p>
  </w:footnote>
  <w:footnote w:type="continuationSeparator" w:id="0">
    <w:p w14:paraId="3330331E" w14:textId="77777777" w:rsidR="00AB3D91" w:rsidRDefault="00AB3D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9626084"/>
      <w:docPartObj>
        <w:docPartGallery w:val="Page Numbers (Top of Page)"/>
        <w:docPartUnique/>
      </w:docPartObj>
    </w:sdtPr>
    <w:sdtEndPr/>
    <w:sdtContent>
      <w:p w14:paraId="196A06C4" w14:textId="56EAD58C" w:rsidR="00316F2C" w:rsidRPr="00DB3087" w:rsidRDefault="00316F2C" w:rsidP="003C275B">
        <w:pPr>
          <w:pStyle w:val="a3"/>
          <w:jc w:val="right"/>
        </w:pPr>
        <w:r w:rsidRPr="00DB3087">
          <w:fldChar w:fldCharType="begin"/>
        </w:r>
        <w:r w:rsidRPr="00DB3087">
          <w:instrText>PAGE   \* MERGEFORMAT</w:instrText>
        </w:r>
        <w:r w:rsidRPr="00DB3087">
          <w:fldChar w:fldCharType="separate"/>
        </w:r>
        <w:r w:rsidR="003837E4">
          <w:rPr>
            <w:noProof/>
          </w:rPr>
          <w:t>34</w:t>
        </w:r>
        <w:r w:rsidRPr="00DB3087">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74396"/>
    <w:multiLevelType w:val="multilevel"/>
    <w:tmpl w:val="3AA8A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1C4711"/>
    <w:multiLevelType w:val="hybridMultilevel"/>
    <w:tmpl w:val="223005D2"/>
    <w:lvl w:ilvl="0" w:tplc="A6A6D03C">
      <w:start w:val="1"/>
      <w:numFmt w:val="upperLetter"/>
      <w:lvlText w:val="%1)"/>
      <w:lvlJc w:val="left"/>
      <w:pPr>
        <w:tabs>
          <w:tab w:val="num" w:pos="720"/>
        </w:tabs>
        <w:ind w:left="720" w:hanging="360"/>
      </w:pPr>
    </w:lvl>
    <w:lvl w:ilvl="1" w:tplc="15466C4C" w:tentative="1">
      <w:start w:val="1"/>
      <w:numFmt w:val="upperLetter"/>
      <w:lvlText w:val="%2)"/>
      <w:lvlJc w:val="left"/>
      <w:pPr>
        <w:tabs>
          <w:tab w:val="num" w:pos="1440"/>
        </w:tabs>
        <w:ind w:left="1440" w:hanging="360"/>
      </w:pPr>
    </w:lvl>
    <w:lvl w:ilvl="2" w:tplc="FAFC5578" w:tentative="1">
      <w:start w:val="1"/>
      <w:numFmt w:val="upperLetter"/>
      <w:lvlText w:val="%3)"/>
      <w:lvlJc w:val="left"/>
      <w:pPr>
        <w:tabs>
          <w:tab w:val="num" w:pos="2160"/>
        </w:tabs>
        <w:ind w:left="2160" w:hanging="360"/>
      </w:pPr>
    </w:lvl>
    <w:lvl w:ilvl="3" w:tplc="58CC0D24" w:tentative="1">
      <w:start w:val="1"/>
      <w:numFmt w:val="upperLetter"/>
      <w:lvlText w:val="%4)"/>
      <w:lvlJc w:val="left"/>
      <w:pPr>
        <w:tabs>
          <w:tab w:val="num" w:pos="2880"/>
        </w:tabs>
        <w:ind w:left="2880" w:hanging="360"/>
      </w:pPr>
    </w:lvl>
    <w:lvl w:ilvl="4" w:tplc="6960EEB2" w:tentative="1">
      <w:start w:val="1"/>
      <w:numFmt w:val="upperLetter"/>
      <w:lvlText w:val="%5)"/>
      <w:lvlJc w:val="left"/>
      <w:pPr>
        <w:tabs>
          <w:tab w:val="num" w:pos="3600"/>
        </w:tabs>
        <w:ind w:left="3600" w:hanging="360"/>
      </w:pPr>
    </w:lvl>
    <w:lvl w:ilvl="5" w:tplc="C384240A" w:tentative="1">
      <w:start w:val="1"/>
      <w:numFmt w:val="upperLetter"/>
      <w:lvlText w:val="%6)"/>
      <w:lvlJc w:val="left"/>
      <w:pPr>
        <w:tabs>
          <w:tab w:val="num" w:pos="4320"/>
        </w:tabs>
        <w:ind w:left="4320" w:hanging="360"/>
      </w:pPr>
    </w:lvl>
    <w:lvl w:ilvl="6" w:tplc="1D12A574" w:tentative="1">
      <w:start w:val="1"/>
      <w:numFmt w:val="upperLetter"/>
      <w:lvlText w:val="%7)"/>
      <w:lvlJc w:val="left"/>
      <w:pPr>
        <w:tabs>
          <w:tab w:val="num" w:pos="5040"/>
        </w:tabs>
        <w:ind w:left="5040" w:hanging="360"/>
      </w:pPr>
    </w:lvl>
    <w:lvl w:ilvl="7" w:tplc="064E3AAE" w:tentative="1">
      <w:start w:val="1"/>
      <w:numFmt w:val="upperLetter"/>
      <w:lvlText w:val="%8)"/>
      <w:lvlJc w:val="left"/>
      <w:pPr>
        <w:tabs>
          <w:tab w:val="num" w:pos="5760"/>
        </w:tabs>
        <w:ind w:left="5760" w:hanging="360"/>
      </w:pPr>
    </w:lvl>
    <w:lvl w:ilvl="8" w:tplc="B31CC6C8" w:tentative="1">
      <w:start w:val="1"/>
      <w:numFmt w:val="upperLetter"/>
      <w:lvlText w:val="%9)"/>
      <w:lvlJc w:val="left"/>
      <w:pPr>
        <w:tabs>
          <w:tab w:val="num" w:pos="6480"/>
        </w:tabs>
        <w:ind w:left="6480" w:hanging="360"/>
      </w:pPr>
    </w:lvl>
  </w:abstractNum>
  <w:abstractNum w:abstractNumId="2" w15:restartNumberingAfterBreak="0">
    <w:nsid w:val="2005259B"/>
    <w:multiLevelType w:val="hybridMultilevel"/>
    <w:tmpl w:val="66E86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F31E38"/>
    <w:multiLevelType w:val="hybridMultilevel"/>
    <w:tmpl w:val="98FEF206"/>
    <w:lvl w:ilvl="0" w:tplc="6A6A060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6B834EEF"/>
    <w:multiLevelType w:val="hybridMultilevel"/>
    <w:tmpl w:val="E3C2054E"/>
    <w:lvl w:ilvl="0" w:tplc="CD84D5AE">
      <w:start w:val="1"/>
      <w:numFmt w:val="upperLetter"/>
      <w:lvlText w:val="%1)"/>
      <w:lvlJc w:val="left"/>
      <w:pPr>
        <w:tabs>
          <w:tab w:val="num" w:pos="720"/>
        </w:tabs>
        <w:ind w:left="720" w:hanging="360"/>
      </w:pPr>
    </w:lvl>
    <w:lvl w:ilvl="1" w:tplc="0FB01F70" w:tentative="1">
      <w:start w:val="1"/>
      <w:numFmt w:val="upperLetter"/>
      <w:lvlText w:val="%2)"/>
      <w:lvlJc w:val="left"/>
      <w:pPr>
        <w:tabs>
          <w:tab w:val="num" w:pos="1440"/>
        </w:tabs>
        <w:ind w:left="1440" w:hanging="360"/>
      </w:pPr>
    </w:lvl>
    <w:lvl w:ilvl="2" w:tplc="65BEC9A4" w:tentative="1">
      <w:start w:val="1"/>
      <w:numFmt w:val="upperLetter"/>
      <w:lvlText w:val="%3)"/>
      <w:lvlJc w:val="left"/>
      <w:pPr>
        <w:tabs>
          <w:tab w:val="num" w:pos="2160"/>
        </w:tabs>
        <w:ind w:left="2160" w:hanging="360"/>
      </w:pPr>
    </w:lvl>
    <w:lvl w:ilvl="3" w:tplc="0EA4101C" w:tentative="1">
      <w:start w:val="1"/>
      <w:numFmt w:val="upperLetter"/>
      <w:lvlText w:val="%4)"/>
      <w:lvlJc w:val="left"/>
      <w:pPr>
        <w:tabs>
          <w:tab w:val="num" w:pos="2880"/>
        </w:tabs>
        <w:ind w:left="2880" w:hanging="360"/>
      </w:pPr>
    </w:lvl>
    <w:lvl w:ilvl="4" w:tplc="45AE7668" w:tentative="1">
      <w:start w:val="1"/>
      <w:numFmt w:val="upperLetter"/>
      <w:lvlText w:val="%5)"/>
      <w:lvlJc w:val="left"/>
      <w:pPr>
        <w:tabs>
          <w:tab w:val="num" w:pos="3600"/>
        </w:tabs>
        <w:ind w:left="3600" w:hanging="360"/>
      </w:pPr>
    </w:lvl>
    <w:lvl w:ilvl="5" w:tplc="0D724CEE" w:tentative="1">
      <w:start w:val="1"/>
      <w:numFmt w:val="upperLetter"/>
      <w:lvlText w:val="%6)"/>
      <w:lvlJc w:val="left"/>
      <w:pPr>
        <w:tabs>
          <w:tab w:val="num" w:pos="4320"/>
        </w:tabs>
        <w:ind w:left="4320" w:hanging="360"/>
      </w:pPr>
    </w:lvl>
    <w:lvl w:ilvl="6" w:tplc="B7FA769A" w:tentative="1">
      <w:start w:val="1"/>
      <w:numFmt w:val="upperLetter"/>
      <w:lvlText w:val="%7)"/>
      <w:lvlJc w:val="left"/>
      <w:pPr>
        <w:tabs>
          <w:tab w:val="num" w:pos="5040"/>
        </w:tabs>
        <w:ind w:left="5040" w:hanging="360"/>
      </w:pPr>
    </w:lvl>
    <w:lvl w:ilvl="7" w:tplc="89BEA73C" w:tentative="1">
      <w:start w:val="1"/>
      <w:numFmt w:val="upperLetter"/>
      <w:lvlText w:val="%8)"/>
      <w:lvlJc w:val="left"/>
      <w:pPr>
        <w:tabs>
          <w:tab w:val="num" w:pos="5760"/>
        </w:tabs>
        <w:ind w:left="5760" w:hanging="360"/>
      </w:pPr>
    </w:lvl>
    <w:lvl w:ilvl="8" w:tplc="40124C5A" w:tentative="1">
      <w:start w:val="1"/>
      <w:numFmt w:val="upperLetter"/>
      <w:lvlText w:val="%9)"/>
      <w:lvlJc w:val="left"/>
      <w:pPr>
        <w:tabs>
          <w:tab w:val="num" w:pos="6480"/>
        </w:tabs>
        <w:ind w:left="6480" w:hanging="36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565F9"/>
    <w:rsid w:val="00001799"/>
    <w:rsid w:val="000065CD"/>
    <w:rsid w:val="000436F5"/>
    <w:rsid w:val="00055C0C"/>
    <w:rsid w:val="00071EBE"/>
    <w:rsid w:val="000958B8"/>
    <w:rsid w:val="000966EA"/>
    <w:rsid w:val="000A3348"/>
    <w:rsid w:val="001118DD"/>
    <w:rsid w:val="00132F2D"/>
    <w:rsid w:val="001547CD"/>
    <w:rsid w:val="001E0096"/>
    <w:rsid w:val="00220125"/>
    <w:rsid w:val="00244024"/>
    <w:rsid w:val="002867BB"/>
    <w:rsid w:val="002908BE"/>
    <w:rsid w:val="00292B58"/>
    <w:rsid w:val="002D5E5B"/>
    <w:rsid w:val="00316F2C"/>
    <w:rsid w:val="00337D32"/>
    <w:rsid w:val="003565F9"/>
    <w:rsid w:val="003837E4"/>
    <w:rsid w:val="003A2422"/>
    <w:rsid w:val="003C275B"/>
    <w:rsid w:val="003D3ADF"/>
    <w:rsid w:val="003D4DFD"/>
    <w:rsid w:val="00411C91"/>
    <w:rsid w:val="004332B8"/>
    <w:rsid w:val="004656E3"/>
    <w:rsid w:val="004C520A"/>
    <w:rsid w:val="004D1FE7"/>
    <w:rsid w:val="0050120B"/>
    <w:rsid w:val="0054019E"/>
    <w:rsid w:val="00544406"/>
    <w:rsid w:val="0056247A"/>
    <w:rsid w:val="005A44DE"/>
    <w:rsid w:val="005A4C58"/>
    <w:rsid w:val="005C00FA"/>
    <w:rsid w:val="00650A56"/>
    <w:rsid w:val="006A26AE"/>
    <w:rsid w:val="006C6FC0"/>
    <w:rsid w:val="006F5DEE"/>
    <w:rsid w:val="00735E6A"/>
    <w:rsid w:val="00746209"/>
    <w:rsid w:val="0075341C"/>
    <w:rsid w:val="0078301B"/>
    <w:rsid w:val="007E2E1F"/>
    <w:rsid w:val="007F506E"/>
    <w:rsid w:val="008011F5"/>
    <w:rsid w:val="00823022"/>
    <w:rsid w:val="008270F7"/>
    <w:rsid w:val="008338D7"/>
    <w:rsid w:val="00871A74"/>
    <w:rsid w:val="00872ACB"/>
    <w:rsid w:val="008B2A4B"/>
    <w:rsid w:val="008C792F"/>
    <w:rsid w:val="009142F1"/>
    <w:rsid w:val="009D39D9"/>
    <w:rsid w:val="009E6C0D"/>
    <w:rsid w:val="00A05587"/>
    <w:rsid w:val="00A07F96"/>
    <w:rsid w:val="00A40FBA"/>
    <w:rsid w:val="00A83475"/>
    <w:rsid w:val="00AB3D91"/>
    <w:rsid w:val="00AB4454"/>
    <w:rsid w:val="00AB4BE8"/>
    <w:rsid w:val="00AD4A5A"/>
    <w:rsid w:val="00AE601A"/>
    <w:rsid w:val="00C7003F"/>
    <w:rsid w:val="00C71F49"/>
    <w:rsid w:val="00C86861"/>
    <w:rsid w:val="00CC0070"/>
    <w:rsid w:val="00CC37C9"/>
    <w:rsid w:val="00CE0AA1"/>
    <w:rsid w:val="00CF7AB0"/>
    <w:rsid w:val="00D04549"/>
    <w:rsid w:val="00D15CB3"/>
    <w:rsid w:val="00D3661C"/>
    <w:rsid w:val="00D40287"/>
    <w:rsid w:val="00D40DAA"/>
    <w:rsid w:val="00D83937"/>
    <w:rsid w:val="00DD0331"/>
    <w:rsid w:val="00DF36EB"/>
    <w:rsid w:val="00E54E39"/>
    <w:rsid w:val="00E955DE"/>
    <w:rsid w:val="00EC0D25"/>
    <w:rsid w:val="00F17595"/>
    <w:rsid w:val="00F20EDB"/>
    <w:rsid w:val="00F23279"/>
    <w:rsid w:val="00F7161D"/>
    <w:rsid w:val="00F7591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CC75A"/>
  <w15:docId w15:val="{052E864B-9EC6-4C4D-92AF-917E11102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65F9"/>
    <w:pPr>
      <w:widowControl w:val="0"/>
      <w:wordWrap w:val="0"/>
      <w:autoSpaceDE w:val="0"/>
      <w:autoSpaceDN w:val="0"/>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565F9"/>
    <w:pPr>
      <w:tabs>
        <w:tab w:val="center" w:pos="4513"/>
        <w:tab w:val="right" w:pos="9026"/>
      </w:tabs>
      <w:snapToGrid w:val="0"/>
    </w:pPr>
  </w:style>
  <w:style w:type="character" w:customStyle="1" w:styleId="a4">
    <w:name w:val="页眉 字符"/>
    <w:basedOn w:val="a0"/>
    <w:link w:val="a3"/>
    <w:uiPriority w:val="99"/>
    <w:rsid w:val="003565F9"/>
  </w:style>
  <w:style w:type="paragraph" w:styleId="a5">
    <w:name w:val="footer"/>
    <w:basedOn w:val="a"/>
    <w:link w:val="a6"/>
    <w:uiPriority w:val="99"/>
    <w:unhideWhenUsed/>
    <w:rsid w:val="003565F9"/>
    <w:pPr>
      <w:tabs>
        <w:tab w:val="center" w:pos="4513"/>
        <w:tab w:val="right" w:pos="9026"/>
      </w:tabs>
      <w:snapToGrid w:val="0"/>
    </w:pPr>
  </w:style>
  <w:style w:type="character" w:customStyle="1" w:styleId="a6">
    <w:name w:val="页脚 字符"/>
    <w:basedOn w:val="a0"/>
    <w:link w:val="a5"/>
    <w:uiPriority w:val="99"/>
    <w:rsid w:val="003565F9"/>
  </w:style>
  <w:style w:type="paragraph" w:styleId="a7">
    <w:name w:val="Balloon Text"/>
    <w:basedOn w:val="a"/>
    <w:link w:val="a8"/>
    <w:uiPriority w:val="99"/>
    <w:semiHidden/>
    <w:unhideWhenUsed/>
    <w:rsid w:val="003565F9"/>
    <w:pPr>
      <w:spacing w:after="0" w:line="240" w:lineRule="auto"/>
    </w:pPr>
    <w:rPr>
      <w:rFonts w:asciiTheme="majorHAnsi" w:eastAsiaTheme="majorEastAsia" w:hAnsiTheme="majorHAnsi" w:cstheme="majorBidi"/>
      <w:sz w:val="18"/>
      <w:szCs w:val="18"/>
    </w:rPr>
  </w:style>
  <w:style w:type="character" w:customStyle="1" w:styleId="a8">
    <w:name w:val="批注框文本 字符"/>
    <w:basedOn w:val="a0"/>
    <w:link w:val="a7"/>
    <w:uiPriority w:val="99"/>
    <w:semiHidden/>
    <w:rsid w:val="003565F9"/>
    <w:rPr>
      <w:rFonts w:asciiTheme="majorHAnsi" w:eastAsiaTheme="majorEastAsia" w:hAnsiTheme="majorHAnsi" w:cstheme="majorBidi"/>
      <w:sz w:val="18"/>
      <w:szCs w:val="18"/>
    </w:rPr>
  </w:style>
  <w:style w:type="character" w:styleId="a9">
    <w:name w:val="Strong"/>
    <w:basedOn w:val="a0"/>
    <w:uiPriority w:val="22"/>
    <w:qFormat/>
    <w:rsid w:val="003565F9"/>
    <w:rPr>
      <w:b/>
      <w:bCs/>
    </w:rPr>
  </w:style>
  <w:style w:type="character" w:styleId="aa">
    <w:name w:val="Hyperlink"/>
    <w:basedOn w:val="a0"/>
    <w:uiPriority w:val="99"/>
    <w:unhideWhenUsed/>
    <w:rsid w:val="003565F9"/>
    <w:rPr>
      <w:color w:val="0000FF" w:themeColor="hyperlink"/>
      <w:u w:val="single"/>
    </w:rPr>
  </w:style>
  <w:style w:type="paragraph" w:customStyle="1" w:styleId="EndNoteBibliographyTitle">
    <w:name w:val="EndNote Bibliography Title"/>
    <w:basedOn w:val="a"/>
    <w:link w:val="EndNoteBibliographyTitleChar"/>
    <w:rsid w:val="003565F9"/>
    <w:pPr>
      <w:spacing w:after="0"/>
      <w:jc w:val="center"/>
    </w:pPr>
    <w:rPr>
      <w:rFonts w:ascii="Malgun Gothic" w:eastAsia="Malgun Gothic" w:hAnsi="Malgun Gothic"/>
      <w:noProof/>
    </w:rPr>
  </w:style>
  <w:style w:type="character" w:customStyle="1" w:styleId="EndNoteBibliographyTitleChar">
    <w:name w:val="EndNote Bibliography Title Char"/>
    <w:basedOn w:val="a0"/>
    <w:link w:val="EndNoteBibliographyTitle"/>
    <w:rsid w:val="003565F9"/>
    <w:rPr>
      <w:rFonts w:ascii="Malgun Gothic" w:eastAsia="Malgun Gothic" w:hAnsi="Malgun Gothic"/>
      <w:noProof/>
    </w:rPr>
  </w:style>
  <w:style w:type="paragraph" w:customStyle="1" w:styleId="EndNoteBibliography">
    <w:name w:val="EndNote Bibliography"/>
    <w:basedOn w:val="a"/>
    <w:link w:val="EndNoteBibliographyChar"/>
    <w:rsid w:val="003565F9"/>
    <w:pPr>
      <w:spacing w:line="240" w:lineRule="auto"/>
    </w:pPr>
    <w:rPr>
      <w:rFonts w:ascii="Malgun Gothic" w:eastAsia="Malgun Gothic" w:hAnsi="Malgun Gothic"/>
      <w:noProof/>
    </w:rPr>
  </w:style>
  <w:style w:type="character" w:customStyle="1" w:styleId="EndNoteBibliographyChar">
    <w:name w:val="EndNote Bibliography Char"/>
    <w:basedOn w:val="a0"/>
    <w:link w:val="EndNoteBibliography"/>
    <w:rsid w:val="003565F9"/>
    <w:rPr>
      <w:rFonts w:ascii="Malgun Gothic" w:eastAsia="Malgun Gothic" w:hAnsi="Malgun Gothic"/>
      <w:noProof/>
    </w:rPr>
  </w:style>
  <w:style w:type="paragraph" w:customStyle="1" w:styleId="ab">
    <w:name w:val="바탕글"/>
    <w:basedOn w:val="a"/>
    <w:rsid w:val="003565F9"/>
    <w:pPr>
      <w:spacing w:after="0" w:line="384" w:lineRule="auto"/>
      <w:textAlignment w:val="baseline"/>
    </w:pPr>
    <w:rPr>
      <w:rFonts w:ascii="Gulim" w:eastAsia="Gulim" w:hAnsi="Gulim" w:cs="Gulim"/>
      <w:color w:val="000000"/>
      <w:kern w:val="0"/>
      <w:szCs w:val="20"/>
    </w:rPr>
  </w:style>
  <w:style w:type="character" w:styleId="ac">
    <w:name w:val="annotation reference"/>
    <w:basedOn w:val="a0"/>
    <w:uiPriority w:val="99"/>
    <w:unhideWhenUsed/>
    <w:qFormat/>
    <w:rsid w:val="003565F9"/>
    <w:rPr>
      <w:sz w:val="16"/>
      <w:szCs w:val="16"/>
    </w:rPr>
  </w:style>
  <w:style w:type="paragraph" w:styleId="ad">
    <w:name w:val="annotation text"/>
    <w:basedOn w:val="a"/>
    <w:link w:val="ae"/>
    <w:uiPriority w:val="99"/>
    <w:unhideWhenUsed/>
    <w:qFormat/>
    <w:rsid w:val="003565F9"/>
    <w:pPr>
      <w:spacing w:line="240" w:lineRule="auto"/>
    </w:pPr>
    <w:rPr>
      <w:szCs w:val="20"/>
    </w:rPr>
  </w:style>
  <w:style w:type="character" w:customStyle="1" w:styleId="ae">
    <w:name w:val="批注文字 字符"/>
    <w:basedOn w:val="a0"/>
    <w:link w:val="ad"/>
    <w:uiPriority w:val="99"/>
    <w:semiHidden/>
    <w:rsid w:val="003565F9"/>
    <w:rPr>
      <w:szCs w:val="20"/>
    </w:rPr>
  </w:style>
  <w:style w:type="paragraph" w:styleId="af">
    <w:name w:val="annotation subject"/>
    <w:basedOn w:val="ad"/>
    <w:next w:val="ad"/>
    <w:link w:val="af0"/>
    <w:uiPriority w:val="99"/>
    <w:semiHidden/>
    <w:unhideWhenUsed/>
    <w:rsid w:val="003565F9"/>
    <w:rPr>
      <w:b/>
      <w:bCs/>
    </w:rPr>
  </w:style>
  <w:style w:type="character" w:customStyle="1" w:styleId="af0">
    <w:name w:val="批注主题 字符"/>
    <w:basedOn w:val="ae"/>
    <w:link w:val="af"/>
    <w:uiPriority w:val="99"/>
    <w:semiHidden/>
    <w:rsid w:val="003565F9"/>
    <w:rPr>
      <w:b/>
      <w:bCs/>
      <w:szCs w:val="20"/>
    </w:rPr>
  </w:style>
  <w:style w:type="character" w:styleId="af1">
    <w:name w:val="line number"/>
    <w:basedOn w:val="a0"/>
    <w:uiPriority w:val="99"/>
    <w:semiHidden/>
    <w:unhideWhenUsed/>
    <w:rsid w:val="003565F9"/>
  </w:style>
  <w:style w:type="paragraph" w:styleId="af2">
    <w:name w:val="Normal (Web)"/>
    <w:basedOn w:val="a"/>
    <w:uiPriority w:val="99"/>
    <w:semiHidden/>
    <w:unhideWhenUsed/>
    <w:rsid w:val="003565F9"/>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lang w:val="en-IN" w:eastAsia="zh-CN"/>
    </w:rPr>
  </w:style>
  <w:style w:type="paragraph" w:styleId="af3">
    <w:name w:val="Revision"/>
    <w:hidden/>
    <w:uiPriority w:val="99"/>
    <w:semiHidden/>
    <w:rsid w:val="003565F9"/>
    <w:pPr>
      <w:spacing w:after="0" w:line="240" w:lineRule="auto"/>
      <w:jc w:val="left"/>
    </w:pPr>
  </w:style>
  <w:style w:type="character" w:customStyle="1" w:styleId="1">
    <w:name w:val="확인되지 않은 멘션1"/>
    <w:basedOn w:val="a0"/>
    <w:uiPriority w:val="99"/>
    <w:semiHidden/>
    <w:unhideWhenUsed/>
    <w:rsid w:val="003565F9"/>
    <w:rPr>
      <w:color w:val="808080"/>
      <w:shd w:val="clear" w:color="auto" w:fill="E6E6E6"/>
    </w:rPr>
  </w:style>
  <w:style w:type="paragraph" w:styleId="af4">
    <w:name w:val="List Paragraph"/>
    <w:basedOn w:val="a"/>
    <w:uiPriority w:val="34"/>
    <w:qFormat/>
    <w:rsid w:val="003565F9"/>
    <w:pPr>
      <w:ind w:leftChars="400" w:left="800"/>
    </w:pPr>
  </w:style>
  <w:style w:type="character" w:customStyle="1" w:styleId="10">
    <w:name w:val="批注文字 字符1"/>
    <w:basedOn w:val="a0"/>
    <w:uiPriority w:val="99"/>
    <w:qFormat/>
    <w:rsid w:val="00A05587"/>
    <w:rPr>
      <w:rFonts w:ascii="Calibri" w:eastAsia="宋体" w:hAnsi="Calibri" w:cs="Times New Roman"/>
      <w:kern w:val="0"/>
      <w:sz w:val="22"/>
      <w:lang w:val="en-GB" w:eastAsia="en-US"/>
    </w:rPr>
  </w:style>
  <w:style w:type="paragraph" w:customStyle="1" w:styleId="11">
    <w:name w:val="正文1"/>
    <w:uiPriority w:val="99"/>
    <w:rsid w:val="008B2A4B"/>
    <w:pPr>
      <w:spacing w:after="0"/>
      <w:jc w:val="left"/>
    </w:pPr>
    <w:rPr>
      <w:rFonts w:ascii="Arial" w:eastAsia="宋体"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sayjunekim@gmail.com"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8238</Words>
  <Characters>46961</Characters>
  <Application>Microsoft Office Word</Application>
  <DocSecurity>0</DocSecurity>
  <Lines>391</Lines>
  <Paragraphs>110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cmc</dc:creator>
  <cp:lastModifiedBy>HP</cp:lastModifiedBy>
  <cp:revision>2</cp:revision>
  <cp:lastPrinted>2019-08-16T04:39:00Z</cp:lastPrinted>
  <dcterms:created xsi:type="dcterms:W3CDTF">2019-09-10T20:16:00Z</dcterms:created>
  <dcterms:modified xsi:type="dcterms:W3CDTF">2019-09-10T20:16:00Z</dcterms:modified>
</cp:coreProperties>
</file>