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9B8E4" w14:textId="30613E68" w:rsidR="00490455" w:rsidRPr="00F33209" w:rsidRDefault="00490455" w:rsidP="002671D6">
      <w:pPr>
        <w:adjustRightInd w:val="0"/>
        <w:snapToGrid w:val="0"/>
        <w:spacing w:after="0" w:line="360" w:lineRule="auto"/>
        <w:jc w:val="both"/>
        <w:rPr>
          <w:rFonts w:ascii="Book Antiqua" w:eastAsia="Times New Roman" w:hAnsi="Book Antiqua"/>
          <w:i/>
          <w:color w:val="000000"/>
          <w:sz w:val="24"/>
          <w:szCs w:val="24"/>
          <w:lang w:val="en-US"/>
        </w:rPr>
      </w:pPr>
      <w:r w:rsidRPr="00F33209">
        <w:rPr>
          <w:rFonts w:ascii="Book Antiqua" w:eastAsia="Times New Roman" w:hAnsi="Book Antiqua"/>
          <w:b/>
          <w:color w:val="000000"/>
          <w:sz w:val="24"/>
          <w:szCs w:val="24"/>
          <w:lang w:val="en-US"/>
        </w:rPr>
        <w:t xml:space="preserve">Name of Journal: </w:t>
      </w:r>
      <w:r w:rsidR="00382469" w:rsidRPr="00F33209">
        <w:rPr>
          <w:rFonts w:ascii="Book Antiqua" w:hAnsi="Book Antiqua"/>
          <w:i/>
          <w:iCs/>
          <w:color w:val="000000"/>
          <w:sz w:val="24"/>
          <w:szCs w:val="24"/>
          <w:shd w:val="clear" w:color="auto" w:fill="FFFFFF"/>
          <w:lang w:val="en-US"/>
        </w:rPr>
        <w:t>World Journal of Gastroenterology</w:t>
      </w:r>
    </w:p>
    <w:p w14:paraId="0856DF5E" w14:textId="36F4913B" w:rsidR="00490455" w:rsidRPr="00F33209" w:rsidRDefault="00490455" w:rsidP="002671D6">
      <w:pPr>
        <w:adjustRightInd w:val="0"/>
        <w:snapToGrid w:val="0"/>
        <w:spacing w:after="0" w:line="360" w:lineRule="auto"/>
        <w:jc w:val="both"/>
        <w:rPr>
          <w:rFonts w:ascii="Book Antiqua" w:hAnsi="Book Antiqua"/>
          <w:color w:val="000000"/>
          <w:sz w:val="24"/>
          <w:szCs w:val="24"/>
          <w:lang w:val="en" w:eastAsia="zh-CN"/>
        </w:rPr>
      </w:pPr>
      <w:bookmarkStart w:id="0" w:name="_Hlk5632321"/>
      <w:r w:rsidRPr="00F33209">
        <w:rPr>
          <w:rFonts w:ascii="Book Antiqua" w:eastAsia="Times New Roman" w:hAnsi="Book Antiqua"/>
          <w:b/>
          <w:bCs/>
          <w:color w:val="000000"/>
          <w:sz w:val="24"/>
          <w:szCs w:val="24"/>
          <w:lang w:val="en-US"/>
        </w:rPr>
        <w:t>Manuscript NO</w:t>
      </w:r>
      <w:r w:rsidRPr="00F33209">
        <w:rPr>
          <w:rFonts w:ascii="Book Antiqua" w:hAnsi="Book Antiqua"/>
          <w:b/>
          <w:color w:val="000000"/>
          <w:sz w:val="24"/>
          <w:szCs w:val="24"/>
          <w:lang w:val="en"/>
        </w:rPr>
        <w:t xml:space="preserve">: </w:t>
      </w:r>
      <w:r w:rsidR="00382469" w:rsidRPr="00F33209">
        <w:rPr>
          <w:rFonts w:ascii="Book Antiqua" w:hAnsi="Book Antiqua"/>
          <w:color w:val="000000"/>
          <w:sz w:val="24"/>
          <w:szCs w:val="24"/>
          <w:shd w:val="clear" w:color="auto" w:fill="FFFFFF"/>
          <w:lang w:val="en-US"/>
        </w:rPr>
        <w:t>50061</w:t>
      </w:r>
    </w:p>
    <w:bookmarkEnd w:id="0"/>
    <w:p w14:paraId="07C3D924" w14:textId="31F538C2" w:rsidR="00DB5CF7" w:rsidRPr="00F33209" w:rsidRDefault="00490455" w:rsidP="002671D6">
      <w:pPr>
        <w:spacing w:after="0" w:line="360" w:lineRule="auto"/>
        <w:jc w:val="both"/>
        <w:rPr>
          <w:rFonts w:ascii="Book Antiqua" w:hAnsi="Book Antiqua"/>
          <w:color w:val="000000"/>
          <w:sz w:val="24"/>
          <w:szCs w:val="24"/>
          <w:shd w:val="clear" w:color="auto" w:fill="FFFFFF"/>
          <w:lang w:val="en-US"/>
        </w:rPr>
      </w:pPr>
      <w:r w:rsidRPr="00F33209">
        <w:rPr>
          <w:rFonts w:ascii="Book Antiqua" w:hAnsi="Book Antiqua"/>
          <w:b/>
          <w:color w:val="000000"/>
          <w:sz w:val="24"/>
          <w:szCs w:val="24"/>
          <w:shd w:val="clear" w:color="auto" w:fill="FFFFFF"/>
          <w:lang w:val="en-US"/>
        </w:rPr>
        <w:t>Manuscript Type</w:t>
      </w:r>
      <w:r w:rsidRPr="00F33209">
        <w:rPr>
          <w:rFonts w:ascii="Book Antiqua" w:hAnsi="Book Antiqua"/>
          <w:b/>
          <w:color w:val="000000"/>
          <w:sz w:val="24"/>
          <w:szCs w:val="24"/>
          <w:lang w:val="en-US"/>
        </w:rPr>
        <w:t>:</w:t>
      </w:r>
      <w:r w:rsidR="00382469" w:rsidRPr="00F33209">
        <w:rPr>
          <w:rFonts w:ascii="Book Antiqua" w:hAnsi="Book Antiqua"/>
          <w:b/>
          <w:color w:val="000000"/>
          <w:sz w:val="24"/>
          <w:szCs w:val="24"/>
          <w:lang w:val="en-US"/>
        </w:rPr>
        <w:t xml:space="preserve"> </w:t>
      </w:r>
      <w:r w:rsidR="002671D6" w:rsidRPr="00F33209">
        <w:rPr>
          <w:rFonts w:ascii="Book Antiqua" w:hAnsi="Book Antiqua"/>
          <w:color w:val="000000"/>
          <w:sz w:val="24"/>
          <w:szCs w:val="24"/>
          <w:shd w:val="clear" w:color="auto" w:fill="FFFFFF"/>
          <w:lang w:val="en-US"/>
        </w:rPr>
        <w:t>MINIREVIEWS</w:t>
      </w:r>
    </w:p>
    <w:p w14:paraId="01054241" w14:textId="77777777" w:rsidR="002671D6" w:rsidRPr="00F33209" w:rsidRDefault="002671D6" w:rsidP="002671D6">
      <w:pPr>
        <w:spacing w:after="0" w:line="360" w:lineRule="auto"/>
        <w:jc w:val="both"/>
        <w:rPr>
          <w:rFonts w:ascii="Book Antiqua" w:hAnsi="Book Antiqua"/>
          <w:b/>
          <w:color w:val="000000"/>
          <w:sz w:val="24"/>
          <w:szCs w:val="24"/>
          <w:lang w:val="en-US" w:eastAsia="zh-CN"/>
        </w:rPr>
      </w:pPr>
    </w:p>
    <w:p w14:paraId="7F6DF232" w14:textId="3A687533" w:rsidR="00414F00" w:rsidRPr="00F33209" w:rsidRDefault="00414F00" w:rsidP="002671D6">
      <w:pPr>
        <w:spacing w:after="0" w:line="360" w:lineRule="auto"/>
        <w:jc w:val="both"/>
        <w:rPr>
          <w:rFonts w:ascii="Book Antiqua" w:hAnsi="Book Antiqua"/>
          <w:b/>
          <w:color w:val="000000"/>
          <w:sz w:val="24"/>
          <w:szCs w:val="24"/>
          <w:lang w:val="en-US"/>
        </w:rPr>
      </w:pPr>
      <w:bookmarkStart w:id="1" w:name="OLE_LINK12"/>
      <w:r w:rsidRPr="00F33209">
        <w:rPr>
          <w:rFonts w:ascii="Book Antiqua" w:hAnsi="Book Antiqua"/>
          <w:b/>
          <w:color w:val="000000"/>
          <w:sz w:val="24"/>
          <w:szCs w:val="24"/>
          <w:lang w:val="en-US"/>
        </w:rPr>
        <w:t xml:space="preserve">Sarcopenia and cognitive impairment in liver cirrhosis: </w:t>
      </w:r>
      <w:r w:rsidR="002671D6" w:rsidRPr="00F33209">
        <w:rPr>
          <w:rFonts w:ascii="Book Antiqua" w:hAnsi="Book Antiqua"/>
          <w:b/>
          <w:color w:val="000000"/>
          <w:sz w:val="24"/>
          <w:szCs w:val="24"/>
          <w:lang w:val="en-US"/>
        </w:rPr>
        <w:t>A</w:t>
      </w:r>
      <w:r w:rsidRPr="00F33209">
        <w:rPr>
          <w:rFonts w:ascii="Book Antiqua" w:hAnsi="Book Antiqua"/>
          <w:b/>
          <w:color w:val="000000"/>
          <w:sz w:val="24"/>
          <w:szCs w:val="24"/>
          <w:lang w:val="en-US"/>
        </w:rPr>
        <w:t xml:space="preserve"> viewpoint on the clinical impact of minimal hepatic encephalopathy</w:t>
      </w:r>
    </w:p>
    <w:bookmarkEnd w:id="1"/>
    <w:p w14:paraId="37F16A3E" w14:textId="5464F0C1" w:rsidR="00414F00" w:rsidRPr="00F33209" w:rsidRDefault="00414F00" w:rsidP="002671D6">
      <w:pPr>
        <w:spacing w:after="0" w:line="360" w:lineRule="auto"/>
        <w:jc w:val="both"/>
        <w:rPr>
          <w:rFonts w:ascii="Book Antiqua" w:hAnsi="Book Antiqua"/>
          <w:b/>
          <w:color w:val="000000"/>
          <w:sz w:val="24"/>
          <w:szCs w:val="24"/>
          <w:lang w:val="en-US"/>
        </w:rPr>
      </w:pPr>
    </w:p>
    <w:p w14:paraId="01166A44" w14:textId="3D73A30C" w:rsidR="002671D6" w:rsidRPr="00B1643C" w:rsidRDefault="002671D6" w:rsidP="002671D6">
      <w:pPr>
        <w:spacing w:after="0" w:line="360" w:lineRule="auto"/>
        <w:jc w:val="both"/>
        <w:rPr>
          <w:rFonts w:ascii="Book Antiqua" w:hAnsi="Book Antiqua" w:cs="Tahoma"/>
          <w:color w:val="000000"/>
          <w:sz w:val="24"/>
          <w:szCs w:val="24"/>
          <w:lang w:val="en-US"/>
        </w:rPr>
      </w:pPr>
      <w:r w:rsidRPr="00B1643C">
        <w:rPr>
          <w:rFonts w:ascii="Book Antiqua" w:hAnsi="Book Antiqua"/>
          <w:color w:val="000000"/>
          <w:sz w:val="24"/>
          <w:szCs w:val="24"/>
        </w:rPr>
        <w:t>Nardelli</w:t>
      </w:r>
      <w:r w:rsidRPr="00B1643C">
        <w:rPr>
          <w:rFonts w:ascii="Book Antiqua" w:hAnsi="Book Antiqua"/>
          <w:color w:val="000000"/>
          <w:sz w:val="24"/>
          <w:szCs w:val="24"/>
          <w:lang w:val="en-US"/>
        </w:rPr>
        <w:t xml:space="preserve"> S </w:t>
      </w:r>
      <w:r w:rsidRPr="00B1643C">
        <w:rPr>
          <w:rFonts w:ascii="Book Antiqua" w:hAnsi="Book Antiqua"/>
          <w:i/>
          <w:iCs/>
          <w:color w:val="000000"/>
          <w:sz w:val="24"/>
          <w:szCs w:val="24"/>
          <w:lang w:val="en-US"/>
        </w:rPr>
        <w:t>et al</w:t>
      </w:r>
      <w:r w:rsidRPr="00B1643C">
        <w:rPr>
          <w:rFonts w:ascii="Book Antiqua" w:hAnsi="Book Antiqua"/>
          <w:color w:val="000000"/>
          <w:sz w:val="24"/>
          <w:szCs w:val="24"/>
          <w:lang w:val="en-US"/>
        </w:rPr>
        <w:t xml:space="preserve">. </w:t>
      </w:r>
      <w:bookmarkStart w:id="2" w:name="OLE_LINK13"/>
      <w:r w:rsidRPr="00B1643C">
        <w:rPr>
          <w:rFonts w:ascii="Book Antiqua" w:hAnsi="Book Antiqua"/>
          <w:color w:val="000000"/>
          <w:sz w:val="24"/>
          <w:szCs w:val="24"/>
          <w:lang w:val="en-US"/>
        </w:rPr>
        <w:t>Sarcopenia and cognitive impairment in liver cirrhosis</w:t>
      </w:r>
      <w:bookmarkEnd w:id="2"/>
    </w:p>
    <w:p w14:paraId="3F75040A" w14:textId="0728CB01" w:rsidR="002671D6" w:rsidRPr="00F33209" w:rsidRDefault="002671D6" w:rsidP="002671D6">
      <w:pPr>
        <w:spacing w:after="0" w:line="360" w:lineRule="auto"/>
        <w:jc w:val="both"/>
        <w:rPr>
          <w:rFonts w:ascii="Book Antiqua" w:hAnsi="Book Antiqua"/>
          <w:b/>
          <w:color w:val="000000"/>
          <w:sz w:val="24"/>
          <w:szCs w:val="24"/>
          <w:lang w:val="en-US"/>
        </w:rPr>
      </w:pPr>
    </w:p>
    <w:p w14:paraId="6F052114" w14:textId="77777777" w:rsidR="002671D6" w:rsidRPr="00B1643C" w:rsidRDefault="002671D6" w:rsidP="002671D6">
      <w:pPr>
        <w:spacing w:after="0" w:line="360" w:lineRule="auto"/>
        <w:jc w:val="both"/>
        <w:rPr>
          <w:rFonts w:ascii="Book Antiqua" w:hAnsi="Book Antiqua"/>
          <w:color w:val="000000"/>
          <w:sz w:val="24"/>
          <w:szCs w:val="24"/>
        </w:rPr>
      </w:pPr>
      <w:r w:rsidRPr="00B1643C">
        <w:rPr>
          <w:rFonts w:ascii="Book Antiqua" w:hAnsi="Book Antiqua"/>
          <w:color w:val="000000"/>
          <w:sz w:val="24"/>
          <w:szCs w:val="24"/>
        </w:rPr>
        <w:t>Silvia Nardelli, Stefania Gioia, Jessica Faccioli, Oliviero Riggio</w:t>
      </w:r>
      <w:r w:rsidRPr="00B1643C">
        <w:rPr>
          <w:rFonts w:ascii="Book Antiqua" w:hAnsi="Book Antiqua" w:hint="eastAsia"/>
          <w:color w:val="000000"/>
          <w:sz w:val="24"/>
          <w:szCs w:val="24"/>
          <w:lang w:eastAsia="zh-CN"/>
        </w:rPr>
        <w:t>,</w:t>
      </w:r>
      <w:r w:rsidRPr="00B1643C">
        <w:rPr>
          <w:rFonts w:ascii="Book Antiqua" w:hAnsi="Book Antiqua"/>
          <w:color w:val="000000"/>
          <w:sz w:val="24"/>
          <w:szCs w:val="24"/>
          <w:lang w:eastAsia="zh-CN"/>
        </w:rPr>
        <w:t xml:space="preserve"> </w:t>
      </w:r>
      <w:r w:rsidRPr="00B1643C">
        <w:rPr>
          <w:rFonts w:ascii="Book Antiqua" w:hAnsi="Book Antiqua"/>
          <w:color w:val="000000"/>
          <w:sz w:val="24"/>
          <w:szCs w:val="24"/>
        </w:rPr>
        <w:t>Lorenzo Ridola</w:t>
      </w:r>
    </w:p>
    <w:p w14:paraId="3F926A4F" w14:textId="77777777" w:rsidR="002671D6" w:rsidRPr="00F33209" w:rsidRDefault="002671D6" w:rsidP="002671D6">
      <w:pPr>
        <w:spacing w:after="0" w:line="360" w:lineRule="auto"/>
        <w:jc w:val="both"/>
        <w:rPr>
          <w:rFonts w:ascii="Book Antiqua" w:hAnsi="Book Antiqua"/>
          <w:b/>
          <w:color w:val="000000"/>
          <w:sz w:val="24"/>
          <w:szCs w:val="24"/>
          <w:lang w:val="en-US"/>
        </w:rPr>
      </w:pPr>
    </w:p>
    <w:p w14:paraId="756F3BF1" w14:textId="572F21BD" w:rsidR="00414F00" w:rsidRPr="00F33209" w:rsidRDefault="00414F00" w:rsidP="002671D6">
      <w:pPr>
        <w:spacing w:after="0" w:line="360" w:lineRule="auto"/>
        <w:jc w:val="both"/>
        <w:rPr>
          <w:rFonts w:ascii="Book Antiqua" w:hAnsi="Book Antiqua"/>
          <w:bCs/>
          <w:color w:val="000000"/>
          <w:sz w:val="24"/>
          <w:szCs w:val="24"/>
        </w:rPr>
      </w:pPr>
      <w:r w:rsidRPr="00F33209">
        <w:rPr>
          <w:rFonts w:ascii="Book Antiqua" w:hAnsi="Book Antiqua"/>
          <w:b/>
          <w:bCs/>
          <w:color w:val="000000"/>
          <w:sz w:val="24"/>
          <w:szCs w:val="24"/>
        </w:rPr>
        <w:t>Silvia Nardelli, Stefania Gioia, Jessica Faccioli, Oliviero Riggio</w:t>
      </w:r>
      <w:r w:rsidR="002671D6" w:rsidRPr="00F33209">
        <w:rPr>
          <w:rFonts w:ascii="Book Antiqua" w:hAnsi="Book Antiqua" w:hint="eastAsia"/>
          <w:b/>
          <w:bCs/>
          <w:color w:val="000000"/>
          <w:sz w:val="24"/>
          <w:szCs w:val="24"/>
          <w:lang w:eastAsia="zh-CN"/>
        </w:rPr>
        <w:t>,</w:t>
      </w:r>
      <w:r w:rsidR="002671D6" w:rsidRPr="00F33209">
        <w:rPr>
          <w:rFonts w:ascii="Book Antiqua" w:hAnsi="Book Antiqua"/>
          <w:b/>
          <w:bCs/>
          <w:color w:val="000000"/>
          <w:sz w:val="24"/>
          <w:szCs w:val="24"/>
          <w:lang w:eastAsia="zh-CN"/>
        </w:rPr>
        <w:t xml:space="preserve"> </w:t>
      </w:r>
      <w:r w:rsidRPr="00F33209">
        <w:rPr>
          <w:rFonts w:ascii="Book Antiqua" w:hAnsi="Book Antiqua"/>
          <w:b/>
          <w:bCs/>
          <w:color w:val="000000"/>
          <w:sz w:val="24"/>
          <w:szCs w:val="24"/>
        </w:rPr>
        <w:t>Lorenzo Ridola</w:t>
      </w:r>
      <w:r w:rsidR="002671D6" w:rsidRPr="00F33209">
        <w:rPr>
          <w:rFonts w:ascii="Book Antiqua" w:hAnsi="Book Antiqua"/>
          <w:b/>
          <w:bCs/>
          <w:color w:val="000000"/>
          <w:sz w:val="24"/>
          <w:szCs w:val="24"/>
        </w:rPr>
        <w:t>,</w:t>
      </w:r>
      <w:r w:rsidR="002671D6" w:rsidRPr="00F33209">
        <w:rPr>
          <w:rFonts w:ascii="Book Antiqua" w:hAnsi="Book Antiqua" w:hint="cs"/>
          <w:b/>
          <w:bCs/>
          <w:color w:val="000000"/>
          <w:sz w:val="24"/>
          <w:szCs w:val="24"/>
        </w:rPr>
        <w:t xml:space="preserve"> </w:t>
      </w:r>
      <w:r w:rsidRPr="00F33209">
        <w:rPr>
          <w:rFonts w:ascii="Book Antiqua" w:hAnsi="Book Antiqua"/>
          <w:bCs/>
          <w:color w:val="000000"/>
          <w:sz w:val="24"/>
          <w:szCs w:val="24"/>
          <w:lang w:val="en-US"/>
        </w:rPr>
        <w:t>Department of Translational and Precision Medicine, “Sapienza” University of Rome</w:t>
      </w:r>
      <w:r w:rsidR="002671D6" w:rsidRPr="00F33209">
        <w:rPr>
          <w:rFonts w:ascii="Book Antiqua" w:hAnsi="Book Antiqua"/>
          <w:bCs/>
          <w:color w:val="000000"/>
          <w:sz w:val="24"/>
          <w:szCs w:val="24"/>
          <w:lang w:val="en-US"/>
        </w:rPr>
        <w:t xml:space="preserve">, </w:t>
      </w:r>
      <w:r w:rsidR="002671D6" w:rsidRPr="00F33209">
        <w:rPr>
          <w:rFonts w:ascii="Book Antiqua" w:hAnsi="Book Antiqua"/>
          <w:bCs/>
          <w:color w:val="000000"/>
          <w:sz w:val="24"/>
          <w:szCs w:val="24"/>
        </w:rPr>
        <w:t>Rome 00185, Italy</w:t>
      </w:r>
    </w:p>
    <w:p w14:paraId="462E40E0" w14:textId="777BBCD2" w:rsidR="002671D6" w:rsidRPr="00F33209" w:rsidRDefault="002671D6" w:rsidP="002671D6">
      <w:pPr>
        <w:spacing w:after="0" w:line="360" w:lineRule="auto"/>
        <w:jc w:val="both"/>
        <w:rPr>
          <w:rFonts w:ascii="Book Antiqua" w:hAnsi="Book Antiqua"/>
          <w:bCs/>
          <w:color w:val="000000"/>
          <w:sz w:val="24"/>
          <w:szCs w:val="24"/>
        </w:rPr>
      </w:pPr>
    </w:p>
    <w:p w14:paraId="14B5F269" w14:textId="71B09655" w:rsidR="002671D6" w:rsidRPr="00B1643C" w:rsidRDefault="002671D6" w:rsidP="002671D6">
      <w:pPr>
        <w:spacing w:after="0" w:line="360" w:lineRule="auto"/>
        <w:jc w:val="both"/>
        <w:rPr>
          <w:rFonts w:ascii="Book Antiqua" w:hAnsi="Book Antiqua"/>
          <w:color w:val="000000"/>
          <w:sz w:val="24"/>
          <w:szCs w:val="24"/>
        </w:rPr>
      </w:pPr>
      <w:bookmarkStart w:id="3" w:name="_Hlk13494439"/>
      <w:r w:rsidRPr="00F33209">
        <w:rPr>
          <w:rFonts w:ascii="Book Antiqua" w:hAnsi="Book Antiqua"/>
          <w:b/>
          <w:bCs/>
          <w:color w:val="000000"/>
          <w:sz w:val="24"/>
          <w:szCs w:val="24"/>
          <w:lang w:val="en-US"/>
        </w:rPr>
        <w:t>ORCID number</w:t>
      </w:r>
      <w:r w:rsidRPr="00F33209">
        <w:rPr>
          <w:rFonts w:ascii="Book Antiqua" w:hAnsi="Book Antiqua"/>
          <w:b/>
          <w:bCs/>
          <w:color w:val="000000"/>
          <w:sz w:val="24"/>
          <w:szCs w:val="24"/>
          <w:lang w:val="en-GB"/>
        </w:rPr>
        <w:t>:</w:t>
      </w:r>
      <w:bookmarkEnd w:id="3"/>
      <w:r w:rsidRPr="00F33209">
        <w:rPr>
          <w:rFonts w:ascii="Book Antiqua" w:hAnsi="Book Antiqua" w:hint="cs"/>
          <w:bCs/>
          <w:color w:val="000000"/>
          <w:sz w:val="24"/>
          <w:szCs w:val="24"/>
          <w:lang w:val="en-US"/>
        </w:rPr>
        <w:t xml:space="preserve"> </w:t>
      </w:r>
      <w:r w:rsidRPr="00F33209">
        <w:rPr>
          <w:rFonts w:ascii="Book Antiqua" w:hAnsi="Book Antiqua"/>
          <w:color w:val="000000"/>
          <w:sz w:val="24"/>
          <w:szCs w:val="24"/>
        </w:rPr>
        <w:t>Silvia Nardelli (</w:t>
      </w:r>
      <w:hyperlink r:id="rId7" w:tgtFrame="_blank" w:history="1">
        <w:r w:rsidRPr="00F33209">
          <w:rPr>
            <w:rStyle w:val="a5"/>
            <w:rFonts w:ascii="Book Antiqua" w:hAnsi="Book Antiqua"/>
            <w:color w:val="000000"/>
            <w:sz w:val="24"/>
            <w:szCs w:val="24"/>
            <w:u w:val="none"/>
          </w:rPr>
          <w:t>0000-0002-7038-9539</w:t>
        </w:r>
      </w:hyperlink>
      <w:r w:rsidRPr="00F33209">
        <w:rPr>
          <w:rFonts w:ascii="Book Antiqua" w:hAnsi="Book Antiqua"/>
          <w:color w:val="000000"/>
          <w:sz w:val="24"/>
          <w:szCs w:val="24"/>
        </w:rPr>
        <w:t>); Stefania Gioia (</w:t>
      </w:r>
      <w:hyperlink r:id="rId8" w:tgtFrame="_blank" w:history="1">
        <w:r w:rsidRPr="00F33209">
          <w:rPr>
            <w:rStyle w:val="a5"/>
            <w:rFonts w:ascii="Book Antiqua" w:hAnsi="Book Antiqua"/>
            <w:color w:val="000000"/>
            <w:sz w:val="24"/>
            <w:szCs w:val="24"/>
            <w:u w:val="none"/>
          </w:rPr>
          <w:t>0000-0002-3940-4390</w:t>
        </w:r>
      </w:hyperlink>
      <w:r w:rsidRPr="00F33209">
        <w:rPr>
          <w:rFonts w:ascii="Book Antiqua" w:hAnsi="Book Antiqua"/>
          <w:color w:val="000000"/>
          <w:sz w:val="24"/>
          <w:szCs w:val="24"/>
        </w:rPr>
        <w:t>); Jessica Faccioli (</w:t>
      </w:r>
      <w:hyperlink r:id="rId9" w:tgtFrame="_blank" w:history="1">
        <w:r w:rsidRPr="00F33209">
          <w:rPr>
            <w:rStyle w:val="a5"/>
            <w:rFonts w:ascii="Book Antiqua" w:hAnsi="Book Antiqua"/>
            <w:color w:val="000000"/>
            <w:sz w:val="24"/>
            <w:szCs w:val="24"/>
            <w:u w:val="none"/>
          </w:rPr>
          <w:t>0000-0001-6960-9701</w:t>
        </w:r>
      </w:hyperlink>
      <w:r w:rsidRPr="00F33209">
        <w:rPr>
          <w:rFonts w:ascii="Book Antiqua" w:hAnsi="Book Antiqua"/>
          <w:color w:val="000000"/>
          <w:sz w:val="24"/>
          <w:szCs w:val="24"/>
        </w:rPr>
        <w:t>); Oliviero Riggio (</w:t>
      </w:r>
      <w:hyperlink r:id="rId10" w:tgtFrame="_blank" w:history="1">
        <w:r w:rsidRPr="00F33209">
          <w:rPr>
            <w:rStyle w:val="a5"/>
            <w:rFonts w:ascii="Book Antiqua" w:hAnsi="Book Antiqua"/>
            <w:color w:val="000000"/>
            <w:sz w:val="24"/>
            <w:szCs w:val="24"/>
            <w:u w:val="none"/>
          </w:rPr>
          <w:t>0000-0000-2241-3223</w:t>
        </w:r>
      </w:hyperlink>
      <w:r w:rsidRPr="00F33209">
        <w:rPr>
          <w:rFonts w:ascii="Book Antiqua" w:hAnsi="Book Antiqua"/>
          <w:color w:val="000000"/>
          <w:sz w:val="24"/>
          <w:szCs w:val="24"/>
        </w:rPr>
        <w:t>)</w:t>
      </w:r>
      <w:r w:rsidRPr="00F33209">
        <w:rPr>
          <w:rFonts w:ascii="Book Antiqua" w:hAnsi="Book Antiqua"/>
          <w:color w:val="000000"/>
          <w:sz w:val="24"/>
          <w:szCs w:val="24"/>
          <w:lang w:eastAsia="zh-CN"/>
        </w:rPr>
        <w:t xml:space="preserve">; </w:t>
      </w:r>
      <w:r w:rsidRPr="00F33209">
        <w:rPr>
          <w:rFonts w:ascii="Book Antiqua" w:hAnsi="Book Antiqua"/>
          <w:color w:val="000000"/>
          <w:sz w:val="24"/>
          <w:szCs w:val="24"/>
        </w:rPr>
        <w:t>Lorenzo Ridola (</w:t>
      </w:r>
      <w:hyperlink r:id="rId11" w:tgtFrame="_blank" w:history="1">
        <w:r w:rsidRPr="00F33209">
          <w:rPr>
            <w:rStyle w:val="a5"/>
            <w:rFonts w:ascii="Book Antiqua" w:hAnsi="Book Antiqua"/>
            <w:color w:val="000000"/>
            <w:sz w:val="24"/>
            <w:szCs w:val="24"/>
            <w:u w:val="none"/>
          </w:rPr>
          <w:t>0000-0002-8596-2609</w:t>
        </w:r>
      </w:hyperlink>
      <w:r w:rsidRPr="00F33209">
        <w:rPr>
          <w:rFonts w:ascii="Book Antiqua" w:hAnsi="Book Antiqua"/>
          <w:color w:val="000000"/>
          <w:sz w:val="24"/>
          <w:szCs w:val="24"/>
        </w:rPr>
        <w:t>).</w:t>
      </w:r>
    </w:p>
    <w:p w14:paraId="4F0FA6A7" w14:textId="77777777" w:rsidR="002671D6" w:rsidRPr="00F33209" w:rsidRDefault="002671D6" w:rsidP="002671D6">
      <w:pPr>
        <w:spacing w:after="0" w:line="360" w:lineRule="auto"/>
        <w:jc w:val="both"/>
        <w:rPr>
          <w:rFonts w:ascii="Book Antiqua" w:hAnsi="Book Antiqua"/>
          <w:color w:val="000000"/>
          <w:sz w:val="24"/>
          <w:szCs w:val="24"/>
          <w:shd w:val="clear" w:color="auto" w:fill="FFFFFF"/>
        </w:rPr>
      </w:pPr>
    </w:p>
    <w:p w14:paraId="6231E0E9" w14:textId="2E8E30A0" w:rsidR="002671D6" w:rsidRPr="00F33209" w:rsidRDefault="002671D6" w:rsidP="002671D6">
      <w:pPr>
        <w:spacing w:after="0" w:line="360" w:lineRule="auto"/>
        <w:jc w:val="both"/>
        <w:rPr>
          <w:rFonts w:ascii="Book Antiqua" w:hAnsi="Book Antiqua"/>
          <w:color w:val="000000"/>
          <w:sz w:val="24"/>
          <w:szCs w:val="24"/>
          <w:shd w:val="clear" w:color="auto" w:fill="FFFFFF"/>
          <w:lang w:val="en-US"/>
        </w:rPr>
      </w:pPr>
      <w:bookmarkStart w:id="4" w:name="_Hlk13494459"/>
      <w:r w:rsidRPr="00F33209">
        <w:rPr>
          <w:rFonts w:ascii="Book Antiqua" w:hAnsi="Book Antiqua"/>
          <w:b/>
          <w:bCs/>
          <w:color w:val="000000"/>
          <w:sz w:val="24"/>
          <w:szCs w:val="24"/>
          <w:shd w:val="clear" w:color="auto" w:fill="FFFFFF"/>
          <w:lang w:val="en-US"/>
        </w:rPr>
        <w:t>Author contributions</w:t>
      </w:r>
      <w:r w:rsidRPr="00F33209">
        <w:rPr>
          <w:rFonts w:ascii="Book Antiqua" w:hAnsi="Book Antiqua"/>
          <w:bCs/>
          <w:color w:val="000000"/>
          <w:sz w:val="24"/>
          <w:szCs w:val="24"/>
          <w:shd w:val="clear" w:color="auto" w:fill="FFFFFF"/>
          <w:lang w:val="en-US"/>
        </w:rPr>
        <w:t>:</w:t>
      </w:r>
      <w:bookmarkEnd w:id="4"/>
      <w:r w:rsidRPr="00F33209">
        <w:rPr>
          <w:rFonts w:ascii="Book Antiqua" w:hAnsi="Book Antiqua"/>
          <w:color w:val="000000"/>
          <w:sz w:val="24"/>
          <w:szCs w:val="24"/>
          <w:shd w:val="clear" w:color="auto" w:fill="FFFFFF"/>
          <w:lang w:val="en-US"/>
        </w:rPr>
        <w:t xml:space="preserve"> </w:t>
      </w:r>
      <w:r w:rsidR="002815B4" w:rsidRPr="00F33209">
        <w:rPr>
          <w:rFonts w:ascii="Book Antiqua" w:hAnsi="Book Antiqua" w:cs="Calibri"/>
          <w:color w:val="000000"/>
          <w:sz w:val="24"/>
          <w:szCs w:val="24"/>
          <w:lang w:val="en-US"/>
        </w:rPr>
        <w:t>Nardelli S</w:t>
      </w:r>
      <w:r w:rsidR="00414F00" w:rsidRPr="00F33209">
        <w:rPr>
          <w:rFonts w:ascii="Book Antiqua" w:hAnsi="Book Antiqua" w:cs="Calibri"/>
          <w:color w:val="000000"/>
          <w:sz w:val="24"/>
          <w:szCs w:val="24"/>
          <w:lang w:val="en-US"/>
        </w:rPr>
        <w:t xml:space="preserve"> </w:t>
      </w:r>
      <w:r w:rsidRPr="00F33209">
        <w:rPr>
          <w:rFonts w:ascii="Book Antiqua" w:hAnsi="Book Antiqua" w:cs="Calibri"/>
          <w:color w:val="000000"/>
          <w:sz w:val="24"/>
          <w:szCs w:val="24"/>
          <w:lang w:val="en-US"/>
        </w:rPr>
        <w:t xml:space="preserve">and </w:t>
      </w:r>
      <w:r w:rsidRPr="00B1643C">
        <w:rPr>
          <w:rFonts w:ascii="Book Antiqua" w:hAnsi="Book Antiqua" w:cs="Calibri"/>
          <w:color w:val="000000"/>
          <w:sz w:val="24"/>
          <w:szCs w:val="24"/>
          <w:lang w:val="en-US"/>
        </w:rPr>
        <w:t xml:space="preserve">Ridola L </w:t>
      </w:r>
      <w:r w:rsidR="00414F00" w:rsidRPr="00F33209">
        <w:rPr>
          <w:rFonts w:ascii="Book Antiqua" w:hAnsi="Book Antiqua" w:cs="Calibri"/>
          <w:color w:val="000000"/>
          <w:sz w:val="24"/>
          <w:szCs w:val="24"/>
          <w:lang w:val="en-US"/>
        </w:rPr>
        <w:t>draft</w:t>
      </w:r>
      <w:r w:rsidRPr="00F33209">
        <w:rPr>
          <w:rFonts w:ascii="Book Antiqua" w:hAnsi="Book Antiqua" w:cs="Calibri"/>
          <w:color w:val="000000"/>
          <w:sz w:val="24"/>
          <w:szCs w:val="24"/>
          <w:lang w:val="en-US"/>
        </w:rPr>
        <w:t>ed</w:t>
      </w:r>
      <w:r w:rsidR="00414F00" w:rsidRPr="00F33209">
        <w:rPr>
          <w:rFonts w:ascii="Book Antiqua" w:hAnsi="Book Antiqua" w:cs="Calibri"/>
          <w:color w:val="000000"/>
          <w:sz w:val="24"/>
          <w:szCs w:val="24"/>
          <w:lang w:val="en-US"/>
        </w:rPr>
        <w:t xml:space="preserve"> the article</w:t>
      </w:r>
      <w:r w:rsidRPr="00F33209">
        <w:rPr>
          <w:rFonts w:ascii="Book Antiqua" w:hAnsi="Book Antiqua" w:cs="Calibri"/>
          <w:color w:val="000000"/>
          <w:sz w:val="24"/>
          <w:szCs w:val="24"/>
          <w:lang w:val="en-US"/>
        </w:rPr>
        <w:t>;</w:t>
      </w:r>
      <w:r w:rsidR="00414F00" w:rsidRPr="00F33209">
        <w:rPr>
          <w:rFonts w:ascii="Book Antiqua" w:hAnsi="Book Antiqua" w:cs="Calibri"/>
          <w:color w:val="000000"/>
          <w:sz w:val="24"/>
          <w:szCs w:val="24"/>
          <w:lang w:val="en-US"/>
        </w:rPr>
        <w:t xml:space="preserve"> </w:t>
      </w:r>
      <w:r w:rsidRPr="00B1643C">
        <w:rPr>
          <w:rFonts w:ascii="Book Antiqua" w:hAnsi="Book Antiqua" w:cs="Calibri"/>
          <w:color w:val="000000"/>
          <w:sz w:val="24"/>
          <w:szCs w:val="24"/>
          <w:lang w:val="en-US"/>
        </w:rPr>
        <w:t xml:space="preserve">Nardelli S, Riggio O and Ridola L contributed to critical revision of the article for important intellectual content; </w:t>
      </w:r>
      <w:r w:rsidR="002815B4" w:rsidRPr="00F33209">
        <w:rPr>
          <w:rFonts w:ascii="Book Antiqua" w:hAnsi="Book Antiqua" w:cs="Calibri"/>
          <w:color w:val="000000"/>
          <w:sz w:val="24"/>
          <w:szCs w:val="24"/>
          <w:lang w:val="en-US"/>
        </w:rPr>
        <w:t>Gioia S</w:t>
      </w:r>
      <w:r w:rsidRPr="00F33209">
        <w:rPr>
          <w:rFonts w:ascii="Book Antiqua" w:hAnsi="Book Antiqua" w:cs="Calibri"/>
          <w:color w:val="000000"/>
          <w:sz w:val="24"/>
          <w:szCs w:val="24"/>
          <w:lang w:val="en-US"/>
        </w:rPr>
        <w:t xml:space="preserve"> and</w:t>
      </w:r>
      <w:r w:rsidR="002815B4" w:rsidRPr="00F33209">
        <w:rPr>
          <w:rFonts w:ascii="Book Antiqua" w:hAnsi="Book Antiqua" w:cs="Calibri"/>
          <w:color w:val="000000"/>
          <w:sz w:val="24"/>
          <w:szCs w:val="24"/>
          <w:lang w:val="en-US"/>
        </w:rPr>
        <w:t xml:space="preserve"> Faccioli J</w:t>
      </w:r>
      <w:r w:rsidR="00414F00" w:rsidRPr="00F33209">
        <w:rPr>
          <w:rFonts w:ascii="Book Antiqua" w:hAnsi="Book Antiqua" w:cs="Calibri"/>
          <w:color w:val="000000"/>
          <w:sz w:val="24"/>
          <w:szCs w:val="24"/>
          <w:lang w:val="en-US"/>
        </w:rPr>
        <w:t xml:space="preserve"> </w:t>
      </w:r>
      <w:r w:rsidRPr="00F33209">
        <w:rPr>
          <w:rFonts w:ascii="Book Antiqua" w:hAnsi="Book Antiqua" w:cs="Calibri"/>
          <w:color w:val="000000"/>
          <w:sz w:val="24"/>
          <w:szCs w:val="24"/>
          <w:lang w:val="en-US"/>
        </w:rPr>
        <w:t xml:space="preserve">contributed to </w:t>
      </w:r>
      <w:r w:rsidR="00414F00" w:rsidRPr="00F33209">
        <w:rPr>
          <w:rFonts w:ascii="Book Antiqua" w:hAnsi="Book Antiqua" w:cs="Calibri"/>
          <w:color w:val="000000"/>
          <w:sz w:val="24"/>
          <w:szCs w:val="24"/>
          <w:lang w:val="en-US"/>
        </w:rPr>
        <w:t>acquisition of data</w:t>
      </w:r>
      <w:r w:rsidRPr="00F33209">
        <w:rPr>
          <w:rFonts w:ascii="Book Antiqua" w:hAnsi="Book Antiqua" w:cs="Calibri"/>
          <w:color w:val="000000"/>
          <w:sz w:val="24"/>
          <w:szCs w:val="24"/>
          <w:lang w:val="en-US"/>
        </w:rPr>
        <w:t>;</w:t>
      </w:r>
      <w:r w:rsidRPr="00F33209">
        <w:rPr>
          <w:rFonts w:ascii="Book Antiqua" w:hAnsi="Book Antiqua" w:hint="cs"/>
          <w:color w:val="000000"/>
          <w:sz w:val="24"/>
          <w:szCs w:val="24"/>
          <w:shd w:val="clear" w:color="auto" w:fill="FFFFFF"/>
        </w:rPr>
        <w:t xml:space="preserve"> </w:t>
      </w:r>
      <w:r w:rsidRPr="00B1643C">
        <w:rPr>
          <w:rFonts w:ascii="Book Antiqua" w:hAnsi="Book Antiqua" w:cs="Calibri"/>
          <w:color w:val="000000"/>
          <w:sz w:val="24"/>
          <w:szCs w:val="24"/>
          <w:lang w:val="en-US"/>
        </w:rPr>
        <w:t>Ridola L contributed to conception and design; Riggio O and Ridola L contributed to final approval of the article.</w:t>
      </w:r>
    </w:p>
    <w:p w14:paraId="6DA0C4B2" w14:textId="77777777" w:rsidR="00414F00" w:rsidRPr="00F33209" w:rsidRDefault="00414F00" w:rsidP="002671D6">
      <w:pPr>
        <w:spacing w:after="0" w:line="360" w:lineRule="auto"/>
        <w:jc w:val="both"/>
        <w:rPr>
          <w:rFonts w:ascii="Book Antiqua" w:hAnsi="Book Antiqua"/>
          <w:b/>
          <w:color w:val="000000"/>
          <w:sz w:val="24"/>
          <w:szCs w:val="24"/>
        </w:rPr>
      </w:pPr>
    </w:p>
    <w:p w14:paraId="5BBA77B8" w14:textId="77777777" w:rsidR="009D27F4" w:rsidRPr="00F33209" w:rsidRDefault="00414F00" w:rsidP="009D27F4">
      <w:pPr>
        <w:spacing w:after="0" w:line="360" w:lineRule="auto"/>
        <w:jc w:val="both"/>
        <w:rPr>
          <w:rFonts w:ascii="Book Antiqua" w:hAnsi="Book Antiqua"/>
          <w:b/>
          <w:color w:val="000000"/>
          <w:sz w:val="24"/>
          <w:szCs w:val="24"/>
          <w:lang w:val="en-GB"/>
        </w:rPr>
      </w:pPr>
      <w:r w:rsidRPr="00F33209">
        <w:rPr>
          <w:rFonts w:ascii="Book Antiqua" w:hAnsi="Book Antiqua"/>
          <w:b/>
          <w:color w:val="000000"/>
          <w:sz w:val="24"/>
          <w:szCs w:val="24"/>
          <w:lang w:val="en-US"/>
        </w:rPr>
        <w:t>Conflict of interest statement:</w:t>
      </w:r>
      <w:r w:rsidR="009D27F4" w:rsidRPr="00F33209">
        <w:rPr>
          <w:rFonts w:ascii="Book Antiqua" w:hAnsi="Book Antiqua"/>
          <w:color w:val="000000"/>
          <w:sz w:val="24"/>
          <w:szCs w:val="24"/>
          <w:lang w:val="en-US"/>
        </w:rPr>
        <w:t xml:space="preserve"> </w:t>
      </w:r>
      <w:r w:rsidR="009D27F4" w:rsidRPr="00F33209">
        <w:rPr>
          <w:rFonts w:ascii="Book Antiqua" w:hAnsi="Book Antiqua"/>
          <w:color w:val="000000"/>
          <w:sz w:val="24"/>
          <w:szCs w:val="24"/>
          <w:lang w:val="en-GB"/>
        </w:rPr>
        <w:t>There are no conflicts of interest arising from this work.</w:t>
      </w:r>
    </w:p>
    <w:p w14:paraId="4BA6E0CB" w14:textId="1D04C9B2" w:rsidR="00414F00" w:rsidRPr="00F33209" w:rsidRDefault="00414F00" w:rsidP="002671D6">
      <w:pPr>
        <w:spacing w:after="0" w:line="360" w:lineRule="auto"/>
        <w:jc w:val="both"/>
        <w:rPr>
          <w:rFonts w:ascii="Book Antiqua" w:hAnsi="Book Antiqua"/>
          <w:b/>
          <w:color w:val="000000"/>
          <w:sz w:val="24"/>
          <w:szCs w:val="24"/>
          <w:lang w:val="en-GB"/>
        </w:rPr>
      </w:pPr>
    </w:p>
    <w:p w14:paraId="30BAD835" w14:textId="77777777" w:rsidR="009D27F4" w:rsidRPr="009D27F4" w:rsidRDefault="009D27F4" w:rsidP="009D27F4">
      <w:pPr>
        <w:suppressAutoHyphens w:val="0"/>
        <w:spacing w:after="0" w:line="360" w:lineRule="auto"/>
        <w:jc w:val="both"/>
        <w:rPr>
          <w:rFonts w:ascii="宋体" w:hAnsi="宋体" w:cs="宋体"/>
          <w:color w:val="000000"/>
          <w:sz w:val="24"/>
          <w:szCs w:val="24"/>
          <w:lang w:val="en-US" w:eastAsia="zh-CN"/>
        </w:rPr>
      </w:pPr>
      <w:bookmarkStart w:id="5" w:name="OLE_LINK507"/>
      <w:bookmarkStart w:id="6" w:name="OLE_LINK506"/>
      <w:bookmarkStart w:id="7" w:name="OLE_LINK496"/>
      <w:bookmarkStart w:id="8" w:name="OLE_LINK479"/>
      <w:bookmarkStart w:id="9" w:name="OLE_LINK8"/>
      <w:bookmarkStart w:id="10" w:name="OLE_LINK9"/>
      <w:bookmarkStart w:id="11" w:name="OLE_LINK899"/>
      <w:bookmarkStart w:id="12" w:name="OLE_LINK902"/>
      <w:r w:rsidRPr="009D27F4">
        <w:rPr>
          <w:rFonts w:ascii="Book Antiqua" w:hAnsi="Book Antiqua" w:cs="宋体"/>
          <w:b/>
          <w:color w:val="000000"/>
          <w:sz w:val="24"/>
          <w:szCs w:val="24"/>
          <w:lang w:val="en-US" w:eastAsia="zh-CN"/>
        </w:rPr>
        <w:t xml:space="preserve">Open-Access: </w:t>
      </w:r>
      <w:r w:rsidRPr="009D27F4">
        <w:rPr>
          <w:rFonts w:ascii="Book Antiqua" w:hAnsi="Book Antiqua" w:cs="宋体"/>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w:t>
      </w:r>
      <w:r w:rsidRPr="009D27F4">
        <w:rPr>
          <w:rFonts w:ascii="Book Antiqua" w:hAnsi="Book Antiqua" w:cs="宋体"/>
          <w:color w:val="000000"/>
          <w:sz w:val="24"/>
          <w:szCs w:val="24"/>
          <w:lang w:val="en-US"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9D27F4">
          <w:rPr>
            <w:rFonts w:ascii="Book Antiqua" w:hAnsi="Book Antiqua" w:cs="宋体"/>
            <w:color w:val="000000"/>
            <w:sz w:val="24"/>
            <w:szCs w:val="24"/>
            <w:u w:val="single"/>
            <w:lang w:val="en-US" w:eastAsia="zh-CN"/>
          </w:rPr>
          <w:t>http://creativecommons.org/licenses/by-nc/4.0/</w:t>
        </w:r>
      </w:hyperlink>
      <w:bookmarkEnd w:id="5"/>
      <w:bookmarkEnd w:id="6"/>
      <w:bookmarkEnd w:id="7"/>
      <w:bookmarkEnd w:id="8"/>
    </w:p>
    <w:bookmarkEnd w:id="9"/>
    <w:bookmarkEnd w:id="10"/>
    <w:bookmarkEnd w:id="11"/>
    <w:bookmarkEnd w:id="12"/>
    <w:p w14:paraId="5C0A9699" w14:textId="0669AE22" w:rsidR="00414F00" w:rsidRPr="00F33209" w:rsidRDefault="00414F00" w:rsidP="002671D6">
      <w:pPr>
        <w:spacing w:after="0" w:line="360" w:lineRule="auto"/>
        <w:jc w:val="both"/>
        <w:rPr>
          <w:rFonts w:ascii="Book Antiqua" w:hAnsi="Book Antiqua"/>
          <w:b/>
          <w:color w:val="000000"/>
          <w:sz w:val="24"/>
          <w:szCs w:val="24"/>
          <w:lang w:val="en-US"/>
        </w:rPr>
      </w:pPr>
    </w:p>
    <w:p w14:paraId="1F4A0487" w14:textId="03927ED1" w:rsidR="009D27F4" w:rsidRPr="00B1643C" w:rsidRDefault="009D27F4" w:rsidP="002671D6">
      <w:pPr>
        <w:spacing w:after="0" w:line="360" w:lineRule="auto"/>
        <w:jc w:val="both"/>
        <w:rPr>
          <w:rFonts w:ascii="Book Antiqua" w:hAnsi="Book Antiqua"/>
          <w:b/>
          <w:color w:val="000000"/>
          <w:sz w:val="24"/>
          <w:szCs w:val="24"/>
          <w:lang w:val="en-US"/>
        </w:rPr>
      </w:pPr>
      <w:r w:rsidRPr="00F33209">
        <w:rPr>
          <w:rFonts w:ascii="Book Antiqua" w:hAnsi="Book Antiqua"/>
          <w:b/>
          <w:color w:val="000000"/>
          <w:sz w:val="24"/>
          <w:szCs w:val="24"/>
          <w:lang w:val="en-US"/>
        </w:rPr>
        <w:t xml:space="preserve">Manuscript source: </w:t>
      </w:r>
      <w:r w:rsidRPr="00B1643C">
        <w:rPr>
          <w:rFonts w:ascii="Book Antiqua" w:hAnsi="Book Antiqua"/>
          <w:bCs/>
          <w:color w:val="000000"/>
          <w:sz w:val="24"/>
          <w:szCs w:val="24"/>
          <w:lang w:val="en-US"/>
        </w:rPr>
        <w:t>Invited manuscript</w:t>
      </w:r>
    </w:p>
    <w:p w14:paraId="2617BA05" w14:textId="77777777" w:rsidR="009D27F4" w:rsidRPr="00F33209" w:rsidRDefault="009D27F4" w:rsidP="002671D6">
      <w:pPr>
        <w:spacing w:after="0" w:line="360" w:lineRule="auto"/>
        <w:jc w:val="both"/>
        <w:rPr>
          <w:rFonts w:ascii="Book Antiqua" w:hAnsi="Book Antiqua"/>
          <w:b/>
          <w:color w:val="000000"/>
          <w:sz w:val="24"/>
          <w:szCs w:val="24"/>
          <w:lang w:val="en-US"/>
        </w:rPr>
      </w:pPr>
    </w:p>
    <w:p w14:paraId="24925643" w14:textId="117B10A8" w:rsidR="009D27F4" w:rsidRPr="00B1643C" w:rsidRDefault="009D27F4" w:rsidP="002671D6">
      <w:pPr>
        <w:spacing w:after="0" w:line="360" w:lineRule="auto"/>
        <w:jc w:val="both"/>
        <w:rPr>
          <w:rFonts w:ascii="Book Antiqua" w:hAnsi="Book Antiqua"/>
          <w:color w:val="000000"/>
          <w:sz w:val="24"/>
          <w:szCs w:val="24"/>
          <w:lang w:val="en-US"/>
        </w:rPr>
      </w:pPr>
      <w:bookmarkStart w:id="13" w:name="OLE_LINK10"/>
      <w:bookmarkStart w:id="14" w:name="OLE_LINK11"/>
      <w:bookmarkStart w:id="15" w:name="_Hlk13492531"/>
      <w:bookmarkStart w:id="16" w:name="OLE_LINK900"/>
      <w:r w:rsidRPr="00B1643C">
        <w:rPr>
          <w:rFonts w:ascii="Book Antiqua" w:hAnsi="Book Antiqua"/>
          <w:b/>
          <w:sz w:val="24"/>
          <w:szCs w:val="24"/>
          <w:lang w:val="en-US" w:eastAsia="en-US"/>
        </w:rPr>
        <w:t>Corresponding author:</w:t>
      </w:r>
      <w:bookmarkEnd w:id="13"/>
      <w:bookmarkEnd w:id="14"/>
      <w:bookmarkEnd w:id="15"/>
      <w:bookmarkEnd w:id="16"/>
      <w:r w:rsidRPr="00F33209">
        <w:rPr>
          <w:rFonts w:ascii="Book Antiqua" w:hAnsi="Book Antiqua"/>
          <w:b/>
          <w:color w:val="000000"/>
          <w:sz w:val="24"/>
          <w:szCs w:val="24"/>
          <w:lang w:val="en-US"/>
        </w:rPr>
        <w:t xml:space="preserve"> </w:t>
      </w:r>
      <w:r w:rsidR="00414F00" w:rsidRPr="00F33209">
        <w:rPr>
          <w:rFonts w:ascii="Book Antiqua" w:hAnsi="Book Antiqua"/>
          <w:b/>
          <w:bCs/>
          <w:color w:val="000000"/>
          <w:sz w:val="24"/>
          <w:szCs w:val="24"/>
          <w:lang w:val="en-US"/>
        </w:rPr>
        <w:t>Lorenzo Ridola,</w:t>
      </w:r>
      <w:r w:rsidR="00414F00" w:rsidRPr="00F33209">
        <w:rPr>
          <w:rFonts w:ascii="Book Antiqua" w:hAnsi="Book Antiqua"/>
          <w:color w:val="000000"/>
          <w:sz w:val="24"/>
          <w:szCs w:val="24"/>
          <w:lang w:val="en-US"/>
        </w:rPr>
        <w:t xml:space="preserve"> </w:t>
      </w:r>
      <w:r w:rsidRPr="00B1643C">
        <w:rPr>
          <w:rFonts w:ascii="Book Antiqua" w:hAnsi="Book Antiqua"/>
          <w:b/>
          <w:bCs/>
          <w:color w:val="000000"/>
          <w:sz w:val="24"/>
          <w:szCs w:val="24"/>
          <w:lang w:val="en-US"/>
        </w:rPr>
        <w:t>MD, PhD, Doctor,</w:t>
      </w:r>
      <w:r w:rsidRPr="00B1643C">
        <w:rPr>
          <w:rFonts w:ascii="Book Antiqua" w:hAnsi="Book Antiqua"/>
          <w:color w:val="000000"/>
          <w:sz w:val="24"/>
          <w:szCs w:val="24"/>
          <w:lang w:val="en-US"/>
        </w:rPr>
        <w:t xml:space="preserve"> </w:t>
      </w:r>
      <w:bookmarkStart w:id="17" w:name="OLE_LINK22"/>
      <w:r w:rsidRPr="00B1643C">
        <w:rPr>
          <w:rFonts w:ascii="Book Antiqua" w:hAnsi="Book Antiqua"/>
          <w:bCs/>
          <w:color w:val="000000"/>
          <w:sz w:val="24"/>
          <w:szCs w:val="24"/>
          <w:lang w:val="en-US"/>
        </w:rPr>
        <w:t>Department of Translational and Precision Medicine</w:t>
      </w:r>
      <w:bookmarkEnd w:id="17"/>
      <w:r w:rsidRPr="00B1643C">
        <w:rPr>
          <w:rFonts w:ascii="Book Antiqua" w:hAnsi="Book Antiqua"/>
          <w:bCs/>
          <w:color w:val="000000"/>
          <w:sz w:val="24"/>
          <w:szCs w:val="24"/>
          <w:lang w:val="en-US"/>
        </w:rPr>
        <w:t xml:space="preserve">, </w:t>
      </w:r>
      <w:bookmarkStart w:id="18" w:name="OLE_LINK23"/>
      <w:bookmarkStart w:id="19" w:name="OLE_LINK24"/>
      <w:r w:rsidRPr="00B1643C">
        <w:rPr>
          <w:rFonts w:ascii="Book Antiqua" w:hAnsi="Book Antiqua"/>
          <w:bCs/>
          <w:color w:val="000000"/>
          <w:sz w:val="24"/>
          <w:szCs w:val="24"/>
          <w:lang w:val="en-US"/>
        </w:rPr>
        <w:t>“Sapienza” University of Rome</w:t>
      </w:r>
      <w:bookmarkEnd w:id="18"/>
      <w:bookmarkEnd w:id="19"/>
      <w:r w:rsidRPr="00B1643C">
        <w:rPr>
          <w:rFonts w:ascii="Book Antiqua" w:hAnsi="Book Antiqua"/>
          <w:bCs/>
          <w:color w:val="000000"/>
          <w:sz w:val="24"/>
          <w:szCs w:val="24"/>
          <w:lang w:val="en-US"/>
        </w:rPr>
        <w:t xml:space="preserve">, </w:t>
      </w:r>
      <w:bookmarkStart w:id="20" w:name="OLE_LINK25"/>
      <w:bookmarkStart w:id="21" w:name="OLE_LINK26"/>
      <w:r w:rsidRPr="00B1643C">
        <w:rPr>
          <w:rFonts w:ascii="Book Antiqua" w:hAnsi="Book Antiqua"/>
          <w:bCs/>
          <w:color w:val="000000"/>
          <w:sz w:val="24"/>
          <w:szCs w:val="24"/>
          <w:lang w:val="en-US"/>
        </w:rPr>
        <w:t>viale dell’Università 37</w:t>
      </w:r>
      <w:bookmarkEnd w:id="20"/>
      <w:bookmarkEnd w:id="21"/>
      <w:r w:rsidRPr="00B1643C">
        <w:rPr>
          <w:rFonts w:ascii="Book Antiqua" w:hAnsi="Book Antiqua"/>
          <w:bCs/>
          <w:color w:val="000000"/>
          <w:sz w:val="24"/>
          <w:szCs w:val="24"/>
          <w:lang w:val="en-US"/>
        </w:rPr>
        <w:t xml:space="preserve">, </w:t>
      </w:r>
      <w:r w:rsidRPr="00B1643C">
        <w:rPr>
          <w:rFonts w:ascii="Book Antiqua" w:hAnsi="Book Antiqua"/>
          <w:bCs/>
          <w:color w:val="000000"/>
          <w:sz w:val="24"/>
          <w:szCs w:val="24"/>
        </w:rPr>
        <w:t xml:space="preserve">Rome 00185, Italy. </w:t>
      </w:r>
      <w:r w:rsidRPr="00B1643C">
        <w:rPr>
          <w:rFonts w:ascii="Book Antiqua" w:hAnsi="Book Antiqua"/>
          <w:color w:val="000000"/>
          <w:sz w:val="24"/>
          <w:szCs w:val="24"/>
          <w:lang w:val="en-US"/>
        </w:rPr>
        <w:t>lorenzo.ridola@uniroma1.it</w:t>
      </w:r>
    </w:p>
    <w:p w14:paraId="48579384" w14:textId="11E651F5" w:rsidR="007B3925" w:rsidRPr="00F33209" w:rsidRDefault="007B3925" w:rsidP="002671D6">
      <w:pPr>
        <w:autoSpaceDE w:val="0"/>
        <w:autoSpaceDN w:val="0"/>
        <w:adjustRightInd w:val="0"/>
        <w:snapToGrid w:val="0"/>
        <w:spacing w:after="0" w:line="360" w:lineRule="auto"/>
        <w:jc w:val="both"/>
        <w:rPr>
          <w:rFonts w:ascii="Book Antiqua" w:hAnsi="Book Antiqua" w:cs="Garamond-Bold"/>
          <w:b/>
          <w:bCs/>
          <w:color w:val="000000"/>
          <w:sz w:val="24"/>
          <w:szCs w:val="24"/>
        </w:rPr>
      </w:pPr>
      <w:r w:rsidRPr="00F33209">
        <w:rPr>
          <w:rFonts w:ascii="Book Antiqua" w:hAnsi="Book Antiqua" w:cs="Garamond-Bold"/>
          <w:b/>
          <w:bCs/>
          <w:color w:val="000000"/>
          <w:sz w:val="24"/>
          <w:szCs w:val="24"/>
        </w:rPr>
        <w:t>Telephone:</w:t>
      </w:r>
      <w:r w:rsidR="002815B4" w:rsidRPr="00F33209">
        <w:rPr>
          <w:rFonts w:ascii="Book Antiqua" w:hAnsi="Book Antiqua" w:cs="Garamond-Bold"/>
          <w:b/>
          <w:bCs/>
          <w:color w:val="000000"/>
          <w:sz w:val="24"/>
          <w:szCs w:val="24"/>
        </w:rPr>
        <w:t xml:space="preserve"> </w:t>
      </w:r>
      <w:bookmarkStart w:id="22" w:name="OLE_LINK27"/>
      <w:r w:rsidR="009D27F4" w:rsidRPr="00F33209">
        <w:rPr>
          <w:rFonts w:ascii="Book Antiqua" w:hAnsi="Book Antiqua" w:cs="Garamond-Bold"/>
          <w:color w:val="000000"/>
          <w:sz w:val="24"/>
          <w:szCs w:val="24"/>
        </w:rPr>
        <w:t>+39-</w:t>
      </w:r>
      <w:r w:rsidR="002815B4" w:rsidRPr="00F33209">
        <w:rPr>
          <w:rFonts w:ascii="Book Antiqua" w:hAnsi="Book Antiqua" w:cs="Garamond-Bold"/>
          <w:color w:val="000000"/>
          <w:sz w:val="24"/>
          <w:szCs w:val="24"/>
        </w:rPr>
        <w:t>773</w:t>
      </w:r>
      <w:r w:rsidR="009D27F4" w:rsidRPr="00F33209">
        <w:rPr>
          <w:rFonts w:ascii="Book Antiqua" w:hAnsi="Book Antiqua" w:cs="Garamond-Bold"/>
          <w:color w:val="000000"/>
          <w:sz w:val="24"/>
          <w:szCs w:val="24"/>
        </w:rPr>
        <w:t>-</w:t>
      </w:r>
      <w:r w:rsidR="002815B4" w:rsidRPr="00F33209">
        <w:rPr>
          <w:rFonts w:ascii="Book Antiqua" w:hAnsi="Book Antiqua" w:cs="Garamond-Bold"/>
          <w:color w:val="000000"/>
          <w:sz w:val="24"/>
          <w:szCs w:val="24"/>
        </w:rPr>
        <w:t>6556155</w:t>
      </w:r>
      <w:bookmarkEnd w:id="22"/>
    </w:p>
    <w:p w14:paraId="62C2FEFA" w14:textId="4BE2F018" w:rsidR="00414F00" w:rsidRPr="00F33209" w:rsidRDefault="007B3925" w:rsidP="002671D6">
      <w:pPr>
        <w:pStyle w:val="Titlepageinfo"/>
        <w:spacing w:line="360" w:lineRule="auto"/>
        <w:rPr>
          <w:rFonts w:ascii="Book Antiqua" w:hAnsi="Book Antiqua"/>
          <w:color w:val="000000"/>
        </w:rPr>
      </w:pPr>
      <w:r w:rsidRPr="00F33209">
        <w:rPr>
          <w:rFonts w:ascii="Book Antiqua" w:hAnsi="Book Antiqua" w:cs="Garamond-Bold"/>
          <w:b/>
          <w:bCs/>
          <w:color w:val="000000"/>
        </w:rPr>
        <w:t>Fax</w:t>
      </w:r>
      <w:r w:rsidRPr="00F33209">
        <w:rPr>
          <w:rFonts w:ascii="Book Antiqua" w:hAnsi="Book Antiqua" w:cs="Garamond-Bold"/>
          <w:b/>
          <w:bCs/>
          <w:color w:val="000000"/>
          <w:lang w:eastAsia="zh-CN"/>
        </w:rPr>
        <w:t>:</w:t>
      </w:r>
      <w:r w:rsidRPr="00F33209">
        <w:rPr>
          <w:rFonts w:ascii="Book Antiqua" w:hAnsi="Book Antiqua"/>
          <w:color w:val="000000"/>
        </w:rPr>
        <w:t xml:space="preserve"> </w:t>
      </w:r>
      <w:r w:rsidR="009D27F4" w:rsidRPr="00F33209">
        <w:rPr>
          <w:rFonts w:ascii="Book Antiqua" w:hAnsi="Book Antiqua" w:cs="Garamond-Bold"/>
          <w:color w:val="000000"/>
        </w:rPr>
        <w:t>+39-</w:t>
      </w:r>
      <w:r w:rsidR="002815B4" w:rsidRPr="00F33209">
        <w:rPr>
          <w:rFonts w:ascii="Book Antiqua" w:hAnsi="Book Antiqua" w:cs="Garamond-Bold"/>
          <w:color w:val="000000"/>
        </w:rPr>
        <w:t>773</w:t>
      </w:r>
      <w:r w:rsidR="009D27F4" w:rsidRPr="00F33209">
        <w:rPr>
          <w:rFonts w:ascii="Book Antiqua" w:hAnsi="Book Antiqua" w:cs="Garamond-Bold"/>
          <w:color w:val="000000"/>
        </w:rPr>
        <w:t>-</w:t>
      </w:r>
      <w:r w:rsidR="002815B4" w:rsidRPr="00F33209">
        <w:rPr>
          <w:rFonts w:ascii="Book Antiqua" w:hAnsi="Book Antiqua" w:cs="Garamond-Bold"/>
          <w:color w:val="000000"/>
        </w:rPr>
        <w:t>6556155</w:t>
      </w:r>
    </w:p>
    <w:p w14:paraId="6DBC965B" w14:textId="77777777" w:rsidR="00414F00" w:rsidRPr="00F33209" w:rsidRDefault="00414F00" w:rsidP="002671D6">
      <w:pPr>
        <w:spacing w:after="0" w:line="360" w:lineRule="auto"/>
        <w:jc w:val="both"/>
        <w:rPr>
          <w:rFonts w:ascii="Book Antiqua" w:hAnsi="Book Antiqua"/>
          <w:b/>
          <w:color w:val="000000"/>
          <w:sz w:val="24"/>
          <w:szCs w:val="24"/>
          <w:lang w:val="en-US"/>
        </w:rPr>
      </w:pPr>
    </w:p>
    <w:p w14:paraId="564A1941" w14:textId="16AEA24E" w:rsidR="00B1643C" w:rsidRPr="00B1643C" w:rsidRDefault="00B1643C" w:rsidP="00B1643C">
      <w:pPr>
        <w:widowControl w:val="0"/>
        <w:suppressAutoHyphens w:val="0"/>
        <w:spacing w:after="0" w:line="360" w:lineRule="auto"/>
        <w:jc w:val="both"/>
        <w:rPr>
          <w:rFonts w:ascii="Book Antiqua" w:hAnsi="Book Antiqua"/>
          <w:b/>
          <w:kern w:val="2"/>
          <w:sz w:val="24"/>
          <w:szCs w:val="24"/>
          <w:lang w:val="en-US" w:eastAsia="zh-CN"/>
        </w:rPr>
      </w:pPr>
      <w:bookmarkStart w:id="23" w:name="OLE_LINK75"/>
      <w:bookmarkStart w:id="24" w:name="OLE_LINK76"/>
      <w:bookmarkStart w:id="25" w:name="OLE_LINK269"/>
      <w:bookmarkStart w:id="26" w:name="OLE_LINK239"/>
      <w:r w:rsidRPr="00B1643C">
        <w:rPr>
          <w:rFonts w:ascii="Book Antiqua" w:hAnsi="Book Antiqua"/>
          <w:b/>
          <w:kern w:val="2"/>
          <w:sz w:val="24"/>
          <w:szCs w:val="24"/>
          <w:lang w:val="en-US" w:eastAsia="zh-CN"/>
        </w:rPr>
        <w:t xml:space="preserve">Received: </w:t>
      </w:r>
      <w:r w:rsidRPr="00B1643C">
        <w:rPr>
          <w:rFonts w:ascii="Book Antiqua" w:hAnsi="Book Antiqua"/>
          <w:kern w:val="2"/>
          <w:sz w:val="24"/>
          <w:szCs w:val="24"/>
          <w:lang w:val="en-US" w:eastAsia="zh-CN"/>
        </w:rPr>
        <w:t>July 2, 2019</w:t>
      </w:r>
    </w:p>
    <w:p w14:paraId="73B7C7A6" w14:textId="09AF86EA" w:rsidR="00B1643C" w:rsidRPr="00B1643C"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B1643C">
        <w:rPr>
          <w:rFonts w:ascii="Book Antiqua" w:hAnsi="Book Antiqua"/>
          <w:b/>
          <w:kern w:val="2"/>
          <w:sz w:val="24"/>
          <w:szCs w:val="24"/>
          <w:lang w:val="en-US" w:eastAsia="zh-CN"/>
        </w:rPr>
        <w:t xml:space="preserve">Peer-review started: </w:t>
      </w:r>
      <w:r w:rsidRPr="00B1643C">
        <w:rPr>
          <w:rFonts w:ascii="Book Antiqua" w:hAnsi="Book Antiqua"/>
          <w:kern w:val="2"/>
          <w:sz w:val="24"/>
          <w:szCs w:val="24"/>
          <w:lang w:val="en-US" w:eastAsia="zh-CN"/>
        </w:rPr>
        <w:t>July 2, 2019</w:t>
      </w:r>
    </w:p>
    <w:p w14:paraId="6C732C54" w14:textId="0859B4AE" w:rsidR="00B1643C" w:rsidRPr="00B1643C"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B1643C">
        <w:rPr>
          <w:rFonts w:ascii="Book Antiqua" w:hAnsi="Book Antiqua"/>
          <w:b/>
          <w:kern w:val="2"/>
          <w:sz w:val="24"/>
          <w:szCs w:val="24"/>
          <w:lang w:val="en-US" w:eastAsia="zh-CN"/>
        </w:rPr>
        <w:t xml:space="preserve">First decision: </w:t>
      </w:r>
      <w:r w:rsidRPr="00B1643C">
        <w:rPr>
          <w:rFonts w:ascii="Book Antiqua" w:hAnsi="Book Antiqua"/>
          <w:kern w:val="2"/>
          <w:sz w:val="24"/>
          <w:szCs w:val="24"/>
          <w:lang w:val="en-US" w:eastAsia="zh-CN"/>
        </w:rPr>
        <w:t>August 2, 2019</w:t>
      </w:r>
    </w:p>
    <w:p w14:paraId="19788AA1" w14:textId="559D05A0" w:rsidR="00B1643C" w:rsidRPr="00B1643C"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B1643C">
        <w:rPr>
          <w:rFonts w:ascii="Book Antiqua" w:hAnsi="Book Antiqua"/>
          <w:b/>
          <w:kern w:val="2"/>
          <w:sz w:val="24"/>
          <w:szCs w:val="24"/>
          <w:lang w:val="en-US" w:eastAsia="zh-CN"/>
        </w:rPr>
        <w:t xml:space="preserve">Revised: </w:t>
      </w:r>
      <w:r w:rsidRPr="00B1643C">
        <w:rPr>
          <w:rFonts w:ascii="Book Antiqua" w:hAnsi="Book Antiqua"/>
          <w:kern w:val="2"/>
          <w:sz w:val="24"/>
          <w:szCs w:val="24"/>
          <w:lang w:val="en-US" w:eastAsia="zh-CN"/>
        </w:rPr>
        <w:t>August 8, 2019</w:t>
      </w:r>
    </w:p>
    <w:p w14:paraId="406AFC8F" w14:textId="450F09F7" w:rsidR="00B1643C" w:rsidRPr="00B1643C" w:rsidRDefault="00B1643C" w:rsidP="00B1643C">
      <w:pPr>
        <w:widowControl w:val="0"/>
        <w:suppressAutoHyphens w:val="0"/>
        <w:spacing w:after="0" w:line="360" w:lineRule="auto"/>
        <w:jc w:val="both"/>
        <w:rPr>
          <w:rFonts w:ascii="Book Antiqua" w:hAnsi="Book Antiqua"/>
          <w:color w:val="000000"/>
          <w:kern w:val="2"/>
          <w:sz w:val="24"/>
          <w:szCs w:val="24"/>
          <w:lang w:val="en-US" w:eastAsia="zh-CN"/>
        </w:rPr>
      </w:pPr>
      <w:r w:rsidRPr="00B1643C">
        <w:rPr>
          <w:rFonts w:ascii="Book Antiqua" w:hAnsi="Book Antiqua"/>
          <w:b/>
          <w:kern w:val="2"/>
          <w:sz w:val="24"/>
          <w:szCs w:val="24"/>
          <w:lang w:val="en-US" w:eastAsia="zh-CN"/>
        </w:rPr>
        <w:t>Accepted:</w:t>
      </w:r>
      <w:r w:rsidR="00E86710" w:rsidRPr="00E86710">
        <w:t xml:space="preserve"> </w:t>
      </w:r>
      <w:r w:rsidR="00E86710" w:rsidRPr="00E86710">
        <w:rPr>
          <w:rFonts w:ascii="Book Antiqua" w:hAnsi="Book Antiqua"/>
          <w:kern w:val="2"/>
          <w:sz w:val="24"/>
          <w:szCs w:val="24"/>
          <w:lang w:val="en-US" w:eastAsia="zh-CN"/>
        </w:rPr>
        <w:t>August 24, 2019</w:t>
      </w:r>
      <w:r w:rsidRPr="00E86710">
        <w:rPr>
          <w:rFonts w:ascii="Book Antiqua" w:hAnsi="Book Antiqua"/>
          <w:kern w:val="2"/>
          <w:sz w:val="24"/>
          <w:szCs w:val="24"/>
          <w:lang w:val="en-US" w:eastAsia="zh-CN"/>
        </w:rPr>
        <w:t xml:space="preserve"> </w:t>
      </w:r>
    </w:p>
    <w:p w14:paraId="6367CB05" w14:textId="77777777" w:rsidR="00B1643C" w:rsidRPr="00B1643C"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B1643C">
        <w:rPr>
          <w:rFonts w:ascii="Book Antiqua" w:hAnsi="Book Antiqua"/>
          <w:b/>
          <w:kern w:val="2"/>
          <w:sz w:val="24"/>
          <w:szCs w:val="24"/>
          <w:lang w:val="en-US" w:eastAsia="zh-CN"/>
        </w:rPr>
        <w:t>Article in press:</w:t>
      </w:r>
    </w:p>
    <w:p w14:paraId="1FE46D30" w14:textId="77777777" w:rsidR="00B1643C" w:rsidRPr="00B1643C" w:rsidRDefault="00B1643C" w:rsidP="00B1643C">
      <w:pPr>
        <w:widowControl w:val="0"/>
        <w:suppressAutoHyphens w:val="0"/>
        <w:spacing w:after="0" w:line="360" w:lineRule="auto"/>
        <w:jc w:val="both"/>
        <w:rPr>
          <w:rFonts w:ascii="Book Antiqua" w:hAnsi="Book Antiqua"/>
          <w:b/>
          <w:kern w:val="2"/>
          <w:sz w:val="24"/>
          <w:szCs w:val="24"/>
          <w:lang w:val="en-US" w:eastAsia="zh-CN"/>
        </w:rPr>
      </w:pPr>
      <w:r w:rsidRPr="00B1643C">
        <w:rPr>
          <w:rFonts w:ascii="Book Antiqua" w:hAnsi="Book Antiqua"/>
          <w:b/>
          <w:kern w:val="2"/>
          <w:sz w:val="24"/>
          <w:szCs w:val="24"/>
          <w:lang w:val="en-US" w:eastAsia="zh-CN"/>
        </w:rPr>
        <w:t>Published online:</w:t>
      </w:r>
    </w:p>
    <w:bookmarkEnd w:id="23"/>
    <w:bookmarkEnd w:id="24"/>
    <w:bookmarkEnd w:id="25"/>
    <w:bookmarkEnd w:id="26"/>
    <w:p w14:paraId="361EF527" w14:textId="77777777" w:rsidR="00414F00" w:rsidRPr="00F33209" w:rsidRDefault="00414F00" w:rsidP="002671D6">
      <w:pPr>
        <w:spacing w:after="0" w:line="360" w:lineRule="auto"/>
        <w:jc w:val="both"/>
        <w:rPr>
          <w:rFonts w:ascii="Book Antiqua" w:hAnsi="Book Antiqua"/>
          <w:b/>
          <w:color w:val="000000"/>
          <w:sz w:val="24"/>
          <w:szCs w:val="24"/>
          <w:lang w:val="en-US"/>
        </w:rPr>
      </w:pPr>
    </w:p>
    <w:p w14:paraId="5B95A3D8" w14:textId="509ED53A" w:rsidR="00414F00" w:rsidRPr="00F33209" w:rsidRDefault="00B1643C" w:rsidP="002671D6">
      <w:pPr>
        <w:spacing w:after="0" w:line="360" w:lineRule="auto"/>
        <w:jc w:val="both"/>
        <w:rPr>
          <w:rFonts w:ascii="Book Antiqua" w:hAnsi="Book Antiqua"/>
          <w:color w:val="000000"/>
          <w:sz w:val="24"/>
          <w:szCs w:val="24"/>
          <w:lang w:val="en-US"/>
        </w:rPr>
      </w:pPr>
      <w:r w:rsidRPr="00F33209">
        <w:rPr>
          <w:rFonts w:ascii="Book Antiqua" w:hAnsi="Book Antiqua"/>
          <w:b/>
          <w:color w:val="000000"/>
          <w:sz w:val="24"/>
          <w:szCs w:val="24"/>
          <w:lang w:val="en-US" w:eastAsia="zh-CN"/>
        </w:rPr>
        <w:br w:type="page"/>
      </w:r>
      <w:r w:rsidR="00414F00" w:rsidRPr="00F33209">
        <w:rPr>
          <w:rFonts w:ascii="Book Antiqua" w:hAnsi="Book Antiqua"/>
          <w:b/>
          <w:color w:val="000000"/>
          <w:sz w:val="24"/>
          <w:szCs w:val="24"/>
          <w:lang w:val="en-US"/>
        </w:rPr>
        <w:lastRenderedPageBreak/>
        <w:t>Abstract</w:t>
      </w:r>
    </w:p>
    <w:p w14:paraId="16BB8A23" w14:textId="6B617221" w:rsidR="00414F00" w:rsidRPr="00F33209" w:rsidRDefault="00414F00"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 xml:space="preserve">Minimal hepatic encephalopathy (MHE) represents the mildest type of hepatic encephalopathy (HE). </w:t>
      </w:r>
      <w:r w:rsidR="00B1643C" w:rsidRPr="00B1643C">
        <w:rPr>
          <w:rFonts w:ascii="Book Antiqua" w:hAnsi="Book Antiqua"/>
          <w:color w:val="000000"/>
          <w:sz w:val="24"/>
          <w:szCs w:val="24"/>
          <w:lang w:val="en-US"/>
        </w:rPr>
        <w:t>MHE is considered as a preclinical stage of HE and is part of a wide spectrum of typical neurocognitive alterations characteristic of patients with liver cirrhosis, particularly involving the areas of attention, alertness, response inhibition, and executive functions.</w:t>
      </w:r>
      <w:r w:rsidR="00B1643C" w:rsidRPr="00F33209">
        <w:rPr>
          <w:rFonts w:ascii="Book Antiqua" w:hAnsi="Book Antiqua"/>
          <w:color w:val="000000"/>
          <w:sz w:val="24"/>
          <w:szCs w:val="24"/>
          <w:lang w:val="en-US"/>
        </w:rPr>
        <w:t xml:space="preserve"> </w:t>
      </w:r>
      <w:r w:rsidR="002815B4" w:rsidRPr="00F33209">
        <w:rPr>
          <w:rFonts w:ascii="Book Antiqua" w:hAnsi="Book Antiqua"/>
          <w:color w:val="000000"/>
          <w:sz w:val="24"/>
          <w:szCs w:val="24"/>
          <w:lang w:val="en-US"/>
        </w:rPr>
        <w:t>MHE can</w:t>
      </w:r>
      <w:r w:rsidRPr="00F33209">
        <w:rPr>
          <w:rFonts w:ascii="Book Antiqua" w:hAnsi="Book Antiqua"/>
          <w:color w:val="000000"/>
          <w:sz w:val="24"/>
          <w:szCs w:val="24"/>
          <w:lang w:val="en-US"/>
        </w:rPr>
        <w:t xml:space="preserve"> be detected by testing the patients’ psychometric performance, attention, working memory, psychomotor speed, and visuospatial ability, as well as by means of electrophysiological and other functional brain measures. MHE is very frequent, affecting </w:t>
      </w:r>
      <w:r w:rsidR="000E262B" w:rsidRPr="00F33209">
        <w:rPr>
          <w:rFonts w:ascii="Book Antiqua" w:hAnsi="Book Antiqua"/>
          <w:color w:val="000000"/>
          <w:sz w:val="24"/>
          <w:szCs w:val="24"/>
          <w:lang w:val="en-US"/>
        </w:rPr>
        <w:t>from 20</w:t>
      </w:r>
      <w:r w:rsidR="00B1643C" w:rsidRPr="00F33209">
        <w:rPr>
          <w:rFonts w:ascii="Book Antiqua" w:hAnsi="Book Antiqua"/>
          <w:color w:val="000000"/>
          <w:sz w:val="24"/>
          <w:szCs w:val="24"/>
          <w:lang w:val="en-US"/>
        </w:rPr>
        <w:t>%</w:t>
      </w:r>
      <w:r w:rsidR="000E262B" w:rsidRPr="00F33209">
        <w:rPr>
          <w:rFonts w:ascii="Book Antiqua" w:hAnsi="Book Antiqua"/>
          <w:color w:val="000000"/>
          <w:sz w:val="24"/>
          <w:szCs w:val="24"/>
          <w:lang w:val="en-US"/>
        </w:rPr>
        <w:t xml:space="preserve"> </w:t>
      </w:r>
      <w:r w:rsidRPr="00F33209">
        <w:rPr>
          <w:rFonts w:ascii="Book Antiqua" w:hAnsi="Book Antiqua"/>
          <w:color w:val="000000"/>
          <w:sz w:val="24"/>
          <w:szCs w:val="24"/>
          <w:lang w:val="en-US"/>
        </w:rPr>
        <w:t>up to 80% of patients tested, depending of the diagnostic tools used</w:t>
      </w:r>
      <w:r w:rsidR="002815B4" w:rsidRPr="00F33209">
        <w:rPr>
          <w:rFonts w:ascii="Book Antiqua" w:hAnsi="Book Antiqua"/>
          <w:color w:val="000000"/>
          <w:sz w:val="24"/>
          <w:szCs w:val="24"/>
          <w:lang w:val="en-US"/>
        </w:rPr>
        <w:t xml:space="preserve">. </w:t>
      </w:r>
      <w:r w:rsidRPr="00F33209">
        <w:rPr>
          <w:rFonts w:ascii="Book Antiqua" w:hAnsi="Book Antiqua"/>
          <w:color w:val="000000"/>
          <w:sz w:val="24"/>
          <w:szCs w:val="24"/>
          <w:lang w:val="en-US"/>
        </w:rPr>
        <w:t>Although subclinical, MHE is considered to be clinically relevant. In fact, MHE has been related to the patients’ falls, fitness to drive, and working ability. As a consequence, MHE affects the patients and caregivers lives by altering their quality of life and even their socioeconomic status. Recently sarcopenia, a very common condition in patients with advanced liver disease, has been shown to be strictly related to both minimal and overt HE. Aim of this review is to summarize the most recently published evidences about the emerging relationship between sarcopenia and cognitive impairment in cirrhotic patients</w:t>
      </w:r>
      <w:r w:rsidR="000E262B" w:rsidRPr="00F33209">
        <w:rPr>
          <w:rFonts w:ascii="Book Antiqua" w:hAnsi="Book Antiqua"/>
          <w:color w:val="000000"/>
          <w:sz w:val="24"/>
          <w:szCs w:val="24"/>
          <w:lang w:val="en-US"/>
        </w:rPr>
        <w:t xml:space="preserve"> and provide suggestions for future research</w:t>
      </w:r>
      <w:r w:rsidRPr="00F33209">
        <w:rPr>
          <w:rFonts w:ascii="Book Antiqua" w:hAnsi="Book Antiqua"/>
          <w:color w:val="000000"/>
          <w:sz w:val="24"/>
          <w:szCs w:val="24"/>
          <w:lang w:val="en-US"/>
        </w:rPr>
        <w:t xml:space="preserve">. </w:t>
      </w:r>
    </w:p>
    <w:p w14:paraId="33AF0D13" w14:textId="77777777" w:rsidR="00414F00" w:rsidRPr="00F33209" w:rsidRDefault="00414F00" w:rsidP="002671D6">
      <w:pPr>
        <w:spacing w:after="0" w:line="360" w:lineRule="auto"/>
        <w:jc w:val="both"/>
        <w:rPr>
          <w:rFonts w:ascii="Book Antiqua" w:hAnsi="Book Antiqua"/>
          <w:b/>
          <w:color w:val="000000"/>
          <w:sz w:val="24"/>
          <w:szCs w:val="24"/>
          <w:lang w:val="en-US"/>
        </w:rPr>
      </w:pPr>
    </w:p>
    <w:p w14:paraId="45A148BC" w14:textId="435250E2" w:rsidR="00414F00" w:rsidRPr="00F33209" w:rsidRDefault="00B1643C" w:rsidP="002671D6">
      <w:pPr>
        <w:spacing w:after="0" w:line="360" w:lineRule="auto"/>
        <w:jc w:val="both"/>
        <w:rPr>
          <w:rFonts w:ascii="Book Antiqua" w:hAnsi="Book Antiqua"/>
          <w:color w:val="000000"/>
          <w:sz w:val="24"/>
          <w:szCs w:val="24"/>
          <w:lang w:val="en-US"/>
        </w:rPr>
      </w:pPr>
      <w:bookmarkStart w:id="27" w:name="_Hlk13494727"/>
      <w:r w:rsidRPr="00F33209">
        <w:rPr>
          <w:rFonts w:ascii="Book Antiqua" w:hAnsi="Book Antiqua"/>
          <w:b/>
          <w:color w:val="000000"/>
          <w:sz w:val="24"/>
          <w:szCs w:val="24"/>
          <w:lang w:val="en-US"/>
        </w:rPr>
        <w:t>Key words:</w:t>
      </w:r>
      <w:bookmarkEnd w:id="27"/>
      <w:r w:rsidRPr="00F33209">
        <w:rPr>
          <w:rFonts w:ascii="Book Antiqua" w:hAnsi="Book Antiqua" w:hint="cs"/>
          <w:b/>
          <w:color w:val="000000"/>
          <w:sz w:val="24"/>
          <w:szCs w:val="24"/>
          <w:lang w:val="en-US"/>
        </w:rPr>
        <w:t xml:space="preserve"> </w:t>
      </w:r>
      <w:bookmarkStart w:id="28" w:name="OLE_LINK14"/>
      <w:r w:rsidRPr="00F33209">
        <w:rPr>
          <w:rFonts w:ascii="Book Antiqua" w:hAnsi="Book Antiqua"/>
          <w:color w:val="000000"/>
          <w:sz w:val="24"/>
          <w:szCs w:val="24"/>
          <w:lang w:val="en-US"/>
        </w:rPr>
        <w:t>M</w:t>
      </w:r>
      <w:r w:rsidR="00414F00" w:rsidRPr="00F33209">
        <w:rPr>
          <w:rFonts w:ascii="Book Antiqua" w:hAnsi="Book Antiqua"/>
          <w:color w:val="000000"/>
          <w:sz w:val="24"/>
          <w:szCs w:val="24"/>
          <w:lang w:val="en-US"/>
        </w:rPr>
        <w:t>inimal hepatic encephalopathy</w:t>
      </w:r>
      <w:bookmarkEnd w:id="28"/>
      <w:r w:rsidRPr="00F33209">
        <w:rPr>
          <w:rFonts w:ascii="Book Antiqua" w:hAnsi="Book Antiqua"/>
          <w:color w:val="000000"/>
          <w:sz w:val="24"/>
          <w:szCs w:val="24"/>
          <w:lang w:val="en-US"/>
        </w:rPr>
        <w:t>;</w:t>
      </w:r>
      <w:r w:rsidR="00414F00" w:rsidRPr="00F33209">
        <w:rPr>
          <w:rFonts w:ascii="Book Antiqua" w:hAnsi="Book Antiqua"/>
          <w:color w:val="000000"/>
          <w:sz w:val="24"/>
          <w:szCs w:val="24"/>
          <w:lang w:val="en-US"/>
        </w:rPr>
        <w:t xml:space="preserve"> </w:t>
      </w:r>
      <w:bookmarkStart w:id="29" w:name="OLE_LINK15"/>
      <w:bookmarkStart w:id="30" w:name="OLE_LINK16"/>
      <w:r w:rsidRPr="00F33209">
        <w:rPr>
          <w:rFonts w:ascii="Book Antiqua" w:hAnsi="Book Antiqua"/>
          <w:color w:val="000000"/>
          <w:sz w:val="24"/>
          <w:szCs w:val="24"/>
          <w:lang w:val="en-US"/>
        </w:rPr>
        <w:t>C</w:t>
      </w:r>
      <w:r w:rsidR="00414F00" w:rsidRPr="00F33209">
        <w:rPr>
          <w:rFonts w:ascii="Book Antiqua" w:hAnsi="Book Antiqua"/>
          <w:color w:val="000000"/>
          <w:sz w:val="24"/>
          <w:szCs w:val="24"/>
          <w:lang w:val="en-US"/>
        </w:rPr>
        <w:t>ognitive impairment</w:t>
      </w:r>
      <w:bookmarkEnd w:id="29"/>
      <w:bookmarkEnd w:id="30"/>
      <w:r w:rsidRPr="00F33209">
        <w:rPr>
          <w:rFonts w:ascii="Book Antiqua" w:hAnsi="Book Antiqua"/>
          <w:color w:val="000000"/>
          <w:sz w:val="24"/>
          <w:szCs w:val="24"/>
          <w:lang w:val="en-US"/>
        </w:rPr>
        <w:t>;</w:t>
      </w:r>
      <w:r w:rsidR="00414F00" w:rsidRPr="00F33209">
        <w:rPr>
          <w:rFonts w:ascii="Book Antiqua" w:hAnsi="Book Antiqua"/>
          <w:color w:val="000000"/>
          <w:sz w:val="24"/>
          <w:szCs w:val="24"/>
          <w:lang w:val="en-US"/>
        </w:rPr>
        <w:t xml:space="preserve"> </w:t>
      </w:r>
      <w:bookmarkStart w:id="31" w:name="OLE_LINK17"/>
      <w:r w:rsidRPr="00F33209">
        <w:rPr>
          <w:rFonts w:ascii="Book Antiqua" w:hAnsi="Book Antiqua"/>
          <w:color w:val="000000"/>
          <w:sz w:val="24"/>
          <w:szCs w:val="24"/>
          <w:lang w:val="en-US"/>
        </w:rPr>
        <w:t>S</w:t>
      </w:r>
      <w:r w:rsidR="00414F00" w:rsidRPr="00F33209">
        <w:rPr>
          <w:rFonts w:ascii="Book Antiqua" w:hAnsi="Book Antiqua"/>
          <w:color w:val="000000"/>
          <w:sz w:val="24"/>
          <w:szCs w:val="24"/>
          <w:lang w:val="en-US"/>
        </w:rPr>
        <w:t>arcopenia</w:t>
      </w:r>
      <w:bookmarkEnd w:id="31"/>
      <w:r w:rsidRPr="00F33209">
        <w:rPr>
          <w:rFonts w:ascii="Book Antiqua" w:hAnsi="Book Antiqua"/>
          <w:color w:val="000000"/>
          <w:sz w:val="24"/>
          <w:szCs w:val="24"/>
          <w:lang w:val="en-US"/>
        </w:rPr>
        <w:t>;</w:t>
      </w:r>
      <w:r w:rsidR="00414F00" w:rsidRPr="00F33209">
        <w:rPr>
          <w:rFonts w:ascii="Book Antiqua" w:hAnsi="Book Antiqua"/>
          <w:color w:val="000000"/>
          <w:sz w:val="24"/>
          <w:szCs w:val="24"/>
          <w:lang w:val="en-US"/>
        </w:rPr>
        <w:t xml:space="preserve"> </w:t>
      </w:r>
      <w:bookmarkStart w:id="32" w:name="OLE_LINK18"/>
      <w:bookmarkStart w:id="33" w:name="OLE_LINK19"/>
      <w:r w:rsidRPr="00F33209">
        <w:rPr>
          <w:rFonts w:ascii="Book Antiqua" w:hAnsi="Book Antiqua"/>
          <w:color w:val="000000"/>
          <w:sz w:val="24"/>
          <w:szCs w:val="24"/>
          <w:lang w:val="en-US"/>
        </w:rPr>
        <w:t>M</w:t>
      </w:r>
      <w:r w:rsidR="00414F00" w:rsidRPr="00F33209">
        <w:rPr>
          <w:rFonts w:ascii="Book Antiqua" w:hAnsi="Book Antiqua"/>
          <w:color w:val="000000"/>
          <w:sz w:val="24"/>
          <w:szCs w:val="24"/>
          <w:lang w:val="en-US"/>
        </w:rPr>
        <w:t>uscle alterations</w:t>
      </w:r>
      <w:bookmarkEnd w:id="32"/>
      <w:bookmarkEnd w:id="33"/>
      <w:r w:rsidRPr="00F33209">
        <w:rPr>
          <w:rFonts w:ascii="Book Antiqua" w:hAnsi="Book Antiqua"/>
          <w:color w:val="000000"/>
          <w:sz w:val="24"/>
          <w:szCs w:val="24"/>
          <w:lang w:val="en-US"/>
        </w:rPr>
        <w:t>;</w:t>
      </w:r>
      <w:r w:rsidR="00414F00" w:rsidRPr="00F33209">
        <w:rPr>
          <w:rFonts w:ascii="Book Antiqua" w:hAnsi="Book Antiqua"/>
          <w:color w:val="000000"/>
          <w:sz w:val="24"/>
          <w:szCs w:val="24"/>
          <w:lang w:val="en-US"/>
        </w:rPr>
        <w:t xml:space="preserve"> </w:t>
      </w:r>
      <w:bookmarkStart w:id="34" w:name="OLE_LINK20"/>
      <w:bookmarkStart w:id="35" w:name="OLE_LINK21"/>
      <w:r w:rsidRPr="00F33209">
        <w:rPr>
          <w:rFonts w:ascii="Book Antiqua" w:hAnsi="Book Antiqua"/>
          <w:color w:val="000000"/>
          <w:sz w:val="24"/>
          <w:szCs w:val="24"/>
          <w:lang w:val="en-US"/>
        </w:rPr>
        <w:t>C</w:t>
      </w:r>
      <w:r w:rsidR="00414F00" w:rsidRPr="00F33209">
        <w:rPr>
          <w:rFonts w:ascii="Book Antiqua" w:hAnsi="Book Antiqua"/>
          <w:color w:val="000000"/>
          <w:sz w:val="24"/>
          <w:szCs w:val="24"/>
          <w:lang w:val="en-US"/>
        </w:rPr>
        <w:t>irrhosis</w:t>
      </w:r>
      <w:bookmarkEnd w:id="34"/>
      <w:bookmarkEnd w:id="35"/>
    </w:p>
    <w:p w14:paraId="47F5B7C2" w14:textId="3897619F" w:rsidR="00B1643C" w:rsidRPr="00F33209" w:rsidRDefault="00B1643C" w:rsidP="002671D6">
      <w:pPr>
        <w:spacing w:after="0" w:line="360" w:lineRule="auto"/>
        <w:jc w:val="both"/>
        <w:rPr>
          <w:rFonts w:ascii="Book Antiqua" w:hAnsi="Book Antiqua"/>
          <w:color w:val="000000"/>
          <w:sz w:val="24"/>
          <w:szCs w:val="24"/>
          <w:lang w:val="en-US"/>
        </w:rPr>
      </w:pPr>
    </w:p>
    <w:p w14:paraId="6579E391" w14:textId="0EEA16C3" w:rsidR="00B1643C" w:rsidRPr="00B1643C" w:rsidRDefault="00B1643C" w:rsidP="00B1643C">
      <w:pPr>
        <w:suppressAutoHyphens w:val="0"/>
        <w:spacing w:after="0" w:line="360" w:lineRule="auto"/>
        <w:jc w:val="both"/>
        <w:rPr>
          <w:rFonts w:ascii="Book Antiqua" w:hAnsi="Book Antiqua"/>
          <w:i/>
          <w:iCs/>
          <w:sz w:val="24"/>
          <w:szCs w:val="24"/>
          <w:lang w:val="en-US" w:eastAsia="en-US"/>
        </w:rPr>
      </w:pPr>
      <w:bookmarkStart w:id="36" w:name="_Hlk13494748"/>
      <w:r w:rsidRPr="00B1643C">
        <w:rPr>
          <w:rFonts w:ascii="Book Antiqua" w:hAnsi="Book Antiqua" w:cs="Tahoma"/>
          <w:b/>
          <w:color w:val="000000"/>
          <w:sz w:val="24"/>
          <w:szCs w:val="24"/>
          <w:lang w:val="en-GB" w:eastAsia="ja-JP"/>
        </w:rPr>
        <w:t xml:space="preserve">© </w:t>
      </w:r>
      <w:r w:rsidRPr="00B1643C">
        <w:rPr>
          <w:rFonts w:ascii="Book Antiqua" w:eastAsia="AdvTimes" w:hAnsi="Book Antiqua" w:cs="AdvTimes"/>
          <w:b/>
          <w:color w:val="000000"/>
          <w:sz w:val="24"/>
          <w:szCs w:val="24"/>
          <w:lang w:val="fr-FR" w:eastAsia="ja-JP"/>
        </w:rPr>
        <w:t xml:space="preserve">The Author(s) </w:t>
      </w:r>
      <w:r w:rsidRPr="00B1643C">
        <w:rPr>
          <w:rFonts w:ascii="Book Antiqua" w:hAnsi="Book Antiqua" w:cs="AdvTimes" w:hint="eastAsia"/>
          <w:b/>
          <w:color w:val="000000"/>
          <w:sz w:val="24"/>
          <w:szCs w:val="24"/>
          <w:lang w:val="fr-FR" w:eastAsia="zh-CN"/>
        </w:rPr>
        <w:t>201</w:t>
      </w:r>
      <w:r>
        <w:rPr>
          <w:rFonts w:ascii="Book Antiqua" w:hAnsi="Book Antiqua" w:cs="AdvTimes"/>
          <w:b/>
          <w:color w:val="000000"/>
          <w:sz w:val="24"/>
          <w:szCs w:val="24"/>
          <w:lang w:val="fr-FR" w:eastAsia="zh-CN"/>
        </w:rPr>
        <w:t>9</w:t>
      </w:r>
      <w:r w:rsidRPr="00B1643C">
        <w:rPr>
          <w:rFonts w:ascii="Book Antiqua" w:eastAsia="AdvTimes" w:hAnsi="Book Antiqua" w:cs="AdvTimes"/>
          <w:b/>
          <w:color w:val="000000"/>
          <w:sz w:val="24"/>
          <w:szCs w:val="24"/>
          <w:lang w:val="fr-FR" w:eastAsia="ja-JP"/>
        </w:rPr>
        <w:t>.</w:t>
      </w:r>
      <w:r w:rsidRPr="00B1643C">
        <w:rPr>
          <w:rFonts w:ascii="Book Antiqua" w:eastAsia="AdvTimes" w:hAnsi="Book Antiqua" w:cs="AdvTimes"/>
          <w:color w:val="000000"/>
          <w:sz w:val="24"/>
          <w:szCs w:val="24"/>
          <w:lang w:val="fr-FR" w:eastAsia="ja-JP"/>
        </w:rPr>
        <w:t xml:space="preserve"> Published by </w:t>
      </w:r>
      <w:r w:rsidRPr="00B1643C">
        <w:rPr>
          <w:rFonts w:ascii="Book Antiqua" w:hAnsi="Book Antiqua" w:cs="Arial Unicode MS"/>
          <w:color w:val="000000"/>
          <w:sz w:val="24"/>
          <w:szCs w:val="24"/>
          <w:lang w:val="en-GB" w:eastAsia="ja-JP"/>
        </w:rPr>
        <w:t>Baishideng Publishing Group Inc.</w:t>
      </w:r>
      <w:r w:rsidRPr="00B1643C">
        <w:rPr>
          <w:rFonts w:ascii="Book Antiqua" w:hAnsi="Book Antiqua" w:cs="Arial Unicode MS"/>
          <w:sz w:val="24"/>
          <w:szCs w:val="24"/>
          <w:lang w:val="en-GB" w:eastAsia="ja-JP"/>
        </w:rPr>
        <w:t xml:space="preserve"> </w:t>
      </w:r>
      <w:r w:rsidRPr="00B1643C">
        <w:rPr>
          <w:rFonts w:ascii="Book Antiqua" w:hAnsi="Book Antiqua" w:cs="Arial Unicode MS"/>
          <w:sz w:val="24"/>
          <w:szCs w:val="24"/>
          <w:lang w:val="fr-FR" w:eastAsia="ja-JP"/>
        </w:rPr>
        <w:t>All rights reserved</w:t>
      </w:r>
      <w:r w:rsidRPr="00B1643C">
        <w:rPr>
          <w:rFonts w:ascii="Book Antiqua" w:hAnsi="Book Antiqua" w:cs="Arial Unicode MS" w:hint="eastAsia"/>
          <w:sz w:val="24"/>
          <w:szCs w:val="24"/>
          <w:lang w:val="fr-FR" w:eastAsia="en-US"/>
        </w:rPr>
        <w:t>.</w:t>
      </w:r>
    </w:p>
    <w:bookmarkEnd w:id="36"/>
    <w:p w14:paraId="5770254B" w14:textId="77777777" w:rsidR="00414F00" w:rsidRPr="00F33209" w:rsidRDefault="00414F00" w:rsidP="002671D6">
      <w:pPr>
        <w:spacing w:after="0" w:line="360" w:lineRule="auto"/>
        <w:jc w:val="both"/>
        <w:rPr>
          <w:rFonts w:ascii="Book Antiqua" w:hAnsi="Book Antiqua"/>
          <w:b/>
          <w:color w:val="000000"/>
          <w:sz w:val="24"/>
          <w:szCs w:val="24"/>
          <w:lang w:val="en-US"/>
        </w:rPr>
      </w:pPr>
    </w:p>
    <w:p w14:paraId="045395A7" w14:textId="76998684" w:rsidR="00414F00" w:rsidRPr="00F33209" w:rsidRDefault="00414F00" w:rsidP="002671D6">
      <w:pPr>
        <w:spacing w:after="0" w:line="360" w:lineRule="auto"/>
        <w:jc w:val="both"/>
        <w:rPr>
          <w:rFonts w:ascii="Book Antiqua" w:hAnsi="Book Antiqua"/>
          <w:color w:val="000000"/>
          <w:sz w:val="24"/>
          <w:szCs w:val="24"/>
          <w:lang w:val="en-US"/>
        </w:rPr>
      </w:pPr>
      <w:r w:rsidRPr="00F33209">
        <w:rPr>
          <w:rFonts w:ascii="Book Antiqua" w:hAnsi="Book Antiqua"/>
          <w:b/>
          <w:color w:val="000000"/>
          <w:sz w:val="24"/>
          <w:szCs w:val="24"/>
          <w:lang w:val="en-US"/>
        </w:rPr>
        <w:t xml:space="preserve">Core </w:t>
      </w:r>
      <w:r w:rsidR="00B1643C" w:rsidRPr="00F33209">
        <w:rPr>
          <w:rFonts w:ascii="Book Antiqua" w:hAnsi="Book Antiqua"/>
          <w:b/>
          <w:color w:val="000000"/>
          <w:sz w:val="24"/>
          <w:szCs w:val="24"/>
          <w:lang w:val="en-US"/>
        </w:rPr>
        <w:t>t</w:t>
      </w:r>
      <w:r w:rsidRPr="00F33209">
        <w:rPr>
          <w:rFonts w:ascii="Book Antiqua" w:hAnsi="Book Antiqua"/>
          <w:b/>
          <w:color w:val="000000"/>
          <w:sz w:val="24"/>
          <w:szCs w:val="24"/>
          <w:lang w:val="en-US"/>
        </w:rPr>
        <w:t xml:space="preserve">ip: </w:t>
      </w:r>
      <w:r w:rsidR="000E262B" w:rsidRPr="00F33209">
        <w:rPr>
          <w:rFonts w:ascii="Book Antiqua" w:hAnsi="Book Antiqua"/>
          <w:color w:val="000000"/>
          <w:sz w:val="24"/>
          <w:szCs w:val="24"/>
          <w:lang w:val="en-US"/>
        </w:rPr>
        <w:t>Minimal hepatic encephalopathy (MHE) represents the mildest type of hepatic encephalopathy, is very frequent, affecting from 20</w:t>
      </w:r>
      <w:r w:rsidR="00B1643C" w:rsidRPr="00F33209">
        <w:rPr>
          <w:rFonts w:ascii="Book Antiqua" w:hAnsi="Book Antiqua"/>
          <w:color w:val="000000"/>
          <w:sz w:val="24"/>
          <w:szCs w:val="24"/>
          <w:lang w:val="en-US"/>
        </w:rPr>
        <w:t>%</w:t>
      </w:r>
      <w:r w:rsidR="000E262B" w:rsidRPr="00F33209">
        <w:rPr>
          <w:rFonts w:ascii="Book Antiqua" w:hAnsi="Book Antiqua"/>
          <w:color w:val="000000"/>
          <w:sz w:val="24"/>
          <w:szCs w:val="24"/>
          <w:lang w:val="en-US"/>
        </w:rPr>
        <w:t xml:space="preserve"> up to 80% of patients tested, depending of the diagnostic tools used and has been related to the patients’ falls, fitness to drive, and working ability. As a consequence, MHE affects the patients and caregivers lives by altering their quality of life and even </w:t>
      </w:r>
      <w:r w:rsidR="000E262B" w:rsidRPr="00F33209">
        <w:rPr>
          <w:rFonts w:ascii="Book Antiqua" w:hAnsi="Book Antiqua"/>
          <w:color w:val="000000"/>
          <w:sz w:val="24"/>
          <w:szCs w:val="24"/>
          <w:lang w:val="en-US"/>
        </w:rPr>
        <w:lastRenderedPageBreak/>
        <w:t xml:space="preserve">their socioeconomic status. </w:t>
      </w:r>
      <w:r w:rsidRPr="00F33209">
        <w:rPr>
          <w:rFonts w:ascii="Book Antiqua" w:hAnsi="Book Antiqua"/>
          <w:color w:val="000000"/>
          <w:sz w:val="24"/>
          <w:szCs w:val="24"/>
          <w:lang w:val="en-US"/>
        </w:rPr>
        <w:t>Sarcopenia has been recently proposed as a risk factor for both minimal and overt Hepatic Encephalopathy. Aim of this review is to summarize the most recently published evidences about the emerging relationship between sarcopenia and cognitive impairment</w:t>
      </w:r>
      <w:r w:rsidR="00B1643C" w:rsidRPr="00F33209">
        <w:rPr>
          <w:rFonts w:ascii="Book Antiqua" w:hAnsi="Book Antiqua"/>
          <w:color w:val="000000"/>
          <w:sz w:val="24"/>
          <w:szCs w:val="24"/>
          <w:lang w:val="en-US"/>
        </w:rPr>
        <w:t>.</w:t>
      </w:r>
    </w:p>
    <w:p w14:paraId="40F688F8" w14:textId="77777777" w:rsidR="00E67F5F" w:rsidRPr="00E67F5F" w:rsidRDefault="00E67F5F" w:rsidP="00E67F5F">
      <w:pPr>
        <w:spacing w:after="0" w:line="360" w:lineRule="auto"/>
        <w:jc w:val="both"/>
        <w:rPr>
          <w:rFonts w:ascii="Book Antiqua" w:hAnsi="Book Antiqua"/>
          <w:b/>
          <w:color w:val="000000"/>
          <w:sz w:val="24"/>
          <w:szCs w:val="24"/>
          <w:lang w:val="en-US" w:eastAsia="zh-CN"/>
        </w:rPr>
      </w:pPr>
    </w:p>
    <w:p w14:paraId="4CF16125" w14:textId="6AE886AB" w:rsidR="00E67F5F" w:rsidRPr="00E67F5F" w:rsidRDefault="00E67F5F" w:rsidP="00E67F5F">
      <w:pPr>
        <w:spacing w:after="0" w:line="360" w:lineRule="auto"/>
        <w:jc w:val="both"/>
        <w:rPr>
          <w:rFonts w:ascii="Book Antiqua" w:hAnsi="Book Antiqua"/>
          <w:bCs/>
          <w:color w:val="000000"/>
          <w:sz w:val="24"/>
          <w:szCs w:val="24"/>
          <w:lang w:val="en-US"/>
        </w:rPr>
      </w:pPr>
      <w:r w:rsidRPr="00B1643C">
        <w:rPr>
          <w:rFonts w:ascii="Book Antiqua" w:hAnsi="Book Antiqua"/>
          <w:color w:val="000000"/>
          <w:sz w:val="24"/>
          <w:szCs w:val="24"/>
        </w:rPr>
        <w:t>Nardelli</w:t>
      </w:r>
      <w:r w:rsidRPr="00B1643C">
        <w:rPr>
          <w:rFonts w:ascii="Book Antiqua" w:hAnsi="Book Antiqua"/>
          <w:color w:val="000000"/>
          <w:sz w:val="24"/>
          <w:szCs w:val="24"/>
          <w:lang w:val="en-US"/>
        </w:rPr>
        <w:t xml:space="preserve"> S</w:t>
      </w:r>
      <w:r>
        <w:rPr>
          <w:rFonts w:ascii="Book Antiqua" w:hAnsi="Book Antiqua"/>
          <w:color w:val="000000"/>
          <w:sz w:val="24"/>
          <w:szCs w:val="24"/>
          <w:lang w:val="en-US"/>
        </w:rPr>
        <w:t>,</w:t>
      </w:r>
      <w:r w:rsidRPr="00B1643C">
        <w:rPr>
          <w:rFonts w:ascii="Book Antiqua" w:hAnsi="Book Antiqua"/>
          <w:color w:val="000000"/>
          <w:sz w:val="24"/>
          <w:szCs w:val="24"/>
          <w:lang w:val="en-US"/>
        </w:rPr>
        <w:t xml:space="preserve"> </w:t>
      </w:r>
      <w:r w:rsidRPr="00B1643C">
        <w:rPr>
          <w:rFonts w:ascii="Book Antiqua" w:hAnsi="Book Antiqua"/>
          <w:color w:val="000000"/>
          <w:sz w:val="24"/>
          <w:szCs w:val="24"/>
        </w:rPr>
        <w:t>Gioia</w:t>
      </w:r>
      <w:r w:rsidRPr="00E67F5F">
        <w:rPr>
          <w:rFonts w:ascii="Book Antiqua" w:hAnsi="Book Antiqua"/>
          <w:bCs/>
          <w:color w:val="000000"/>
          <w:sz w:val="24"/>
          <w:szCs w:val="24"/>
          <w:lang w:val="en-US"/>
        </w:rPr>
        <w:t xml:space="preserve"> </w:t>
      </w:r>
      <w:r>
        <w:rPr>
          <w:rFonts w:ascii="Book Antiqua" w:hAnsi="Book Antiqua"/>
          <w:bCs/>
          <w:color w:val="000000"/>
          <w:sz w:val="24"/>
          <w:szCs w:val="24"/>
          <w:lang w:val="en-US"/>
        </w:rPr>
        <w:t xml:space="preserve">S, </w:t>
      </w:r>
      <w:r w:rsidRPr="00B1643C">
        <w:rPr>
          <w:rFonts w:ascii="Book Antiqua" w:hAnsi="Book Antiqua"/>
          <w:color w:val="000000"/>
          <w:sz w:val="24"/>
          <w:szCs w:val="24"/>
        </w:rPr>
        <w:t>Faccioli</w:t>
      </w:r>
      <w:r w:rsidRPr="00E67F5F">
        <w:rPr>
          <w:rFonts w:ascii="Book Antiqua" w:hAnsi="Book Antiqua"/>
          <w:bCs/>
          <w:color w:val="000000"/>
          <w:sz w:val="24"/>
          <w:szCs w:val="24"/>
          <w:lang w:val="en-US"/>
        </w:rPr>
        <w:t xml:space="preserve"> </w:t>
      </w:r>
      <w:r>
        <w:rPr>
          <w:rFonts w:ascii="Book Antiqua" w:hAnsi="Book Antiqua"/>
          <w:bCs/>
          <w:color w:val="000000"/>
          <w:sz w:val="24"/>
          <w:szCs w:val="24"/>
          <w:lang w:val="en-US"/>
        </w:rPr>
        <w:t xml:space="preserve">J, </w:t>
      </w:r>
      <w:r w:rsidRPr="00B1643C">
        <w:rPr>
          <w:rFonts w:ascii="Book Antiqua" w:hAnsi="Book Antiqua"/>
          <w:color w:val="000000"/>
          <w:sz w:val="24"/>
          <w:szCs w:val="24"/>
        </w:rPr>
        <w:t>Riggio</w:t>
      </w:r>
      <w:r w:rsidRPr="00E67F5F">
        <w:rPr>
          <w:rFonts w:ascii="Book Antiqua" w:hAnsi="Book Antiqua"/>
          <w:bCs/>
          <w:color w:val="000000"/>
          <w:sz w:val="24"/>
          <w:szCs w:val="24"/>
          <w:lang w:val="en-US"/>
        </w:rPr>
        <w:t xml:space="preserve"> </w:t>
      </w:r>
      <w:r>
        <w:rPr>
          <w:rFonts w:ascii="Book Antiqua" w:hAnsi="Book Antiqua"/>
          <w:bCs/>
          <w:color w:val="000000"/>
          <w:sz w:val="24"/>
          <w:szCs w:val="24"/>
          <w:lang w:val="en-US"/>
        </w:rPr>
        <w:t xml:space="preserve">O, </w:t>
      </w:r>
      <w:r w:rsidRPr="00B1643C">
        <w:rPr>
          <w:rFonts w:ascii="Book Antiqua" w:hAnsi="Book Antiqua"/>
          <w:color w:val="000000"/>
          <w:sz w:val="24"/>
          <w:szCs w:val="24"/>
        </w:rPr>
        <w:t>Ridola</w:t>
      </w:r>
      <w:r w:rsidRPr="00E67F5F">
        <w:rPr>
          <w:rFonts w:ascii="Book Antiqua" w:hAnsi="Book Antiqua"/>
          <w:bCs/>
          <w:color w:val="000000"/>
          <w:sz w:val="24"/>
          <w:szCs w:val="24"/>
          <w:lang w:val="en-US"/>
        </w:rPr>
        <w:t xml:space="preserve"> </w:t>
      </w:r>
      <w:r>
        <w:rPr>
          <w:rFonts w:ascii="Book Antiqua" w:hAnsi="Book Antiqua"/>
          <w:bCs/>
          <w:color w:val="000000"/>
          <w:sz w:val="24"/>
          <w:szCs w:val="24"/>
          <w:lang w:val="en-US"/>
        </w:rPr>
        <w:t xml:space="preserve">L. </w:t>
      </w:r>
      <w:r w:rsidRPr="00E67F5F">
        <w:rPr>
          <w:rFonts w:ascii="Book Antiqua" w:hAnsi="Book Antiqua"/>
          <w:bCs/>
          <w:color w:val="000000"/>
          <w:sz w:val="24"/>
          <w:szCs w:val="24"/>
          <w:lang w:val="en-US"/>
        </w:rPr>
        <w:t>Sarcopenia and cognitive impairment in liver cirrhosis: A viewpoint on the clinical impact of minimal hepatic encephalopathy</w:t>
      </w:r>
      <w:r>
        <w:rPr>
          <w:rFonts w:ascii="Book Antiqua" w:hAnsi="Book Antiqua"/>
          <w:bCs/>
          <w:color w:val="000000"/>
          <w:sz w:val="24"/>
          <w:szCs w:val="24"/>
          <w:lang w:val="en-US"/>
        </w:rPr>
        <w:t xml:space="preserve">. </w:t>
      </w:r>
      <w:r w:rsidRPr="00E67F5F">
        <w:rPr>
          <w:rFonts w:ascii="Book Antiqua" w:hAnsi="Book Antiqua"/>
          <w:i/>
          <w:iCs/>
          <w:color w:val="000000"/>
          <w:sz w:val="24"/>
          <w:szCs w:val="24"/>
          <w:shd w:val="clear" w:color="auto" w:fill="FFFFFF"/>
          <w:lang w:val="en-US"/>
        </w:rPr>
        <w:t>World J Gastroenterol</w:t>
      </w:r>
      <w:r>
        <w:rPr>
          <w:rFonts w:ascii="Book Antiqua" w:hAnsi="Book Antiqua"/>
          <w:i/>
          <w:iCs/>
          <w:color w:val="000000"/>
          <w:sz w:val="24"/>
          <w:szCs w:val="24"/>
          <w:shd w:val="clear" w:color="auto" w:fill="FFFFFF"/>
          <w:lang w:val="en-US"/>
        </w:rPr>
        <w:t xml:space="preserve"> </w:t>
      </w:r>
      <w:r>
        <w:rPr>
          <w:rFonts w:ascii="Book Antiqua" w:hAnsi="Book Antiqua"/>
          <w:color w:val="000000"/>
          <w:sz w:val="24"/>
          <w:szCs w:val="24"/>
          <w:shd w:val="clear" w:color="auto" w:fill="FFFFFF"/>
          <w:lang w:val="en-US"/>
        </w:rPr>
        <w:t>2019; In press</w:t>
      </w:r>
    </w:p>
    <w:p w14:paraId="68E1B7AB" w14:textId="36500F69" w:rsidR="000E262B" w:rsidRPr="00C710F2" w:rsidRDefault="000E262B" w:rsidP="002671D6">
      <w:pPr>
        <w:spacing w:after="0" w:line="360" w:lineRule="auto"/>
        <w:jc w:val="both"/>
        <w:rPr>
          <w:rFonts w:ascii="Book Antiqua" w:hAnsi="Book Antiqua"/>
          <w:b/>
          <w:color w:val="000000"/>
          <w:sz w:val="24"/>
          <w:szCs w:val="24"/>
          <w:lang w:val="en-US"/>
        </w:rPr>
      </w:pPr>
    </w:p>
    <w:p w14:paraId="1EDE6472" w14:textId="235586A1" w:rsidR="00414F00" w:rsidRPr="00736AFC" w:rsidRDefault="00E67F5F" w:rsidP="002671D6">
      <w:pPr>
        <w:spacing w:after="0" w:line="360" w:lineRule="auto"/>
        <w:jc w:val="both"/>
        <w:rPr>
          <w:rFonts w:ascii="Book Antiqua" w:hAnsi="Book Antiqua"/>
          <w:iCs/>
          <w:color w:val="000000"/>
          <w:sz w:val="24"/>
          <w:szCs w:val="24"/>
          <w:lang w:val="en-US"/>
        </w:rPr>
      </w:pPr>
      <w:r w:rsidRPr="00F33209">
        <w:rPr>
          <w:rFonts w:ascii="Book Antiqua" w:hAnsi="Book Antiqua"/>
          <w:b/>
          <w:i/>
          <w:color w:val="000000"/>
          <w:sz w:val="24"/>
          <w:szCs w:val="24"/>
          <w:lang w:val="en-US"/>
        </w:rPr>
        <w:br w:type="page"/>
      </w:r>
      <w:r w:rsidR="00736AFC" w:rsidRPr="00736AFC">
        <w:rPr>
          <w:rFonts w:ascii="Book Antiqua" w:hAnsi="Book Antiqua"/>
          <w:b/>
          <w:iCs/>
          <w:color w:val="000000"/>
          <w:sz w:val="24"/>
          <w:szCs w:val="24"/>
          <w:lang w:val="en-US"/>
        </w:rPr>
        <w:lastRenderedPageBreak/>
        <w:t xml:space="preserve">THE BURDEN OF MINIMAL HEPATIC ENCEPHALOPATHY IN LIVER CIRRHOSIS </w:t>
      </w:r>
    </w:p>
    <w:p w14:paraId="24789E99" w14:textId="68F9295C" w:rsidR="00DA1AD7" w:rsidRPr="00F33209" w:rsidRDefault="00414F00" w:rsidP="002671D6">
      <w:pPr>
        <w:spacing w:after="0" w:line="360" w:lineRule="auto"/>
        <w:jc w:val="both"/>
        <w:rPr>
          <w:rFonts w:ascii="Book Antiqua" w:hAnsi="Book Antiqua"/>
          <w:color w:val="000000"/>
          <w:sz w:val="24"/>
          <w:szCs w:val="24"/>
          <w:lang w:val="en-GB"/>
        </w:rPr>
      </w:pPr>
      <w:r w:rsidRPr="00F33209">
        <w:rPr>
          <w:rFonts w:ascii="Book Antiqua" w:hAnsi="Book Antiqua"/>
          <w:color w:val="000000"/>
          <w:sz w:val="24"/>
          <w:szCs w:val="24"/>
          <w:lang w:val="en-US"/>
        </w:rPr>
        <w:t>Hepatic encephalopathy (HE) is a complex neurological syndrome caused by liver failure and shunting of the portal blood into the systemic circulation. HE produces a wide and complex spectrum of nonspecific neurological and psychiatric manifestations</w:t>
      </w:r>
      <w:r w:rsidRPr="00F33209">
        <w:rPr>
          <w:rFonts w:ascii="Book Antiqua" w:hAnsi="Book Antiqua"/>
          <w:color w:val="000000"/>
          <w:sz w:val="24"/>
          <w:szCs w:val="24"/>
          <w:vertAlign w:val="superscript"/>
          <w:lang w:val="en-US"/>
        </w:rPr>
        <w:t>[1]</w:t>
      </w:r>
      <w:r w:rsidRPr="00F33209">
        <w:rPr>
          <w:rFonts w:ascii="Book Antiqua" w:hAnsi="Book Antiqua"/>
          <w:color w:val="000000"/>
          <w:sz w:val="24"/>
          <w:szCs w:val="24"/>
          <w:lang w:val="en-US"/>
        </w:rPr>
        <w:t>. In its milder expression, the so called minimal HE (MHE)</w:t>
      </w:r>
      <w:r w:rsidRPr="00F33209">
        <w:rPr>
          <w:rFonts w:ascii="Book Antiqua" w:hAnsi="Book Antiqua"/>
          <w:color w:val="000000"/>
          <w:sz w:val="24"/>
          <w:szCs w:val="24"/>
          <w:vertAlign w:val="superscript"/>
          <w:lang w:val="en-US"/>
        </w:rPr>
        <w:t>[2,3]</w:t>
      </w:r>
      <w:r w:rsidRPr="00F33209">
        <w:rPr>
          <w:rFonts w:ascii="Book Antiqua" w:hAnsi="Book Antiqua"/>
          <w:color w:val="000000"/>
          <w:sz w:val="24"/>
          <w:szCs w:val="24"/>
          <w:lang w:val="en-US"/>
        </w:rPr>
        <w:t>, the manifestations are subclinical and detectable only by means of psychometric testing as well as electrophysiological and other functional brain measures</w:t>
      </w:r>
      <w:r w:rsidRPr="00F33209">
        <w:rPr>
          <w:rFonts w:ascii="Book Antiqua" w:hAnsi="Book Antiqua"/>
          <w:color w:val="000000"/>
          <w:sz w:val="24"/>
          <w:szCs w:val="24"/>
          <w:vertAlign w:val="superscript"/>
          <w:lang w:val="en-US"/>
        </w:rPr>
        <w:t>[4,5]</w:t>
      </w:r>
      <w:r w:rsidRPr="00F33209">
        <w:rPr>
          <w:rFonts w:ascii="Book Antiqua" w:hAnsi="Book Antiqua"/>
          <w:color w:val="000000"/>
          <w:sz w:val="24"/>
          <w:szCs w:val="24"/>
          <w:lang w:val="en-US"/>
        </w:rPr>
        <w:t>. Depending on the population studied and the diagnostic tool used, MHE ranges between 20% and 80% and thus, may be considered the most complication of liver cirrhosis</w:t>
      </w:r>
      <w:r w:rsidRPr="00F33209">
        <w:rPr>
          <w:rFonts w:ascii="Book Antiqua" w:hAnsi="Book Antiqua"/>
          <w:color w:val="000000"/>
          <w:sz w:val="24"/>
          <w:szCs w:val="24"/>
          <w:vertAlign w:val="superscript"/>
          <w:lang w:val="en-US"/>
        </w:rPr>
        <w:t>[6-11]</w:t>
      </w:r>
      <w:r w:rsidRPr="00F33209">
        <w:rPr>
          <w:rFonts w:ascii="Book Antiqua" w:hAnsi="Book Antiqua"/>
          <w:color w:val="000000"/>
          <w:sz w:val="24"/>
          <w:szCs w:val="24"/>
          <w:lang w:val="en-GB"/>
        </w:rPr>
        <w:t>.</w:t>
      </w:r>
      <w:r w:rsidRPr="00F33209">
        <w:rPr>
          <w:rFonts w:ascii="Book Antiqua" w:hAnsi="Book Antiqua"/>
          <w:color w:val="000000"/>
          <w:sz w:val="24"/>
          <w:szCs w:val="24"/>
          <w:lang w:val="en-US"/>
        </w:rPr>
        <w:t xml:space="preserve"> </w:t>
      </w:r>
      <w:r w:rsidRPr="00F33209">
        <w:rPr>
          <w:rFonts w:ascii="Book Antiqua" w:hAnsi="Book Antiqua"/>
          <w:color w:val="000000"/>
          <w:sz w:val="24"/>
          <w:szCs w:val="24"/>
          <w:lang w:val="en-GB"/>
        </w:rPr>
        <w:t xml:space="preserve">Although subclinical, MHE involves the areas of attention, alertness, response inhibition, and executive functions as well as </w:t>
      </w:r>
      <w:r w:rsidRPr="00F33209">
        <w:rPr>
          <w:rFonts w:ascii="Book Antiqua" w:hAnsi="Book Antiqua"/>
          <w:color w:val="000000"/>
          <w:sz w:val="24"/>
          <w:szCs w:val="24"/>
          <w:lang w:val="en-US"/>
        </w:rPr>
        <w:t>the working memory, psychomotor speed, and visuospatial ability</w:t>
      </w:r>
      <w:r w:rsidRPr="00F33209">
        <w:rPr>
          <w:rFonts w:ascii="Book Antiqua" w:hAnsi="Book Antiqua"/>
          <w:color w:val="000000"/>
          <w:sz w:val="24"/>
          <w:szCs w:val="24"/>
          <w:vertAlign w:val="superscript"/>
          <w:lang w:val="en-GB"/>
        </w:rPr>
        <w:t>[12-15]</w:t>
      </w:r>
      <w:r w:rsidRPr="00F33209">
        <w:rPr>
          <w:rFonts w:ascii="Book Antiqua" w:hAnsi="Book Antiqua"/>
          <w:color w:val="000000"/>
          <w:sz w:val="24"/>
          <w:szCs w:val="24"/>
          <w:lang w:val="en-US"/>
        </w:rPr>
        <w:t>.</w:t>
      </w:r>
    </w:p>
    <w:p w14:paraId="5781DF98" w14:textId="4DD8552A" w:rsidR="00DA1AD7" w:rsidRPr="00F33209" w:rsidRDefault="00DA1AD7" w:rsidP="008109A6">
      <w:pPr>
        <w:spacing w:after="0" w:line="360" w:lineRule="auto"/>
        <w:ind w:firstLineChars="100" w:firstLine="240"/>
        <w:jc w:val="both"/>
        <w:rPr>
          <w:rFonts w:ascii="Book Antiqua" w:hAnsi="Book Antiqua"/>
          <w:color w:val="000000"/>
          <w:sz w:val="24"/>
          <w:szCs w:val="24"/>
          <w:lang w:val="en-GB"/>
        </w:rPr>
      </w:pPr>
      <w:r w:rsidRPr="00DA1AD7">
        <w:rPr>
          <w:rFonts w:ascii="Book Antiqua" w:hAnsi="Book Antiqua"/>
          <w:color w:val="000000"/>
          <w:sz w:val="24"/>
          <w:szCs w:val="24"/>
          <w:lang w:val="en-GB"/>
        </w:rPr>
        <w:t xml:space="preserve">Depending on the population studied and the diagnostic tool used, MHE can be detected in 20%-80% of patients with cirrhosis, MHE is considered as a pre-clinical stage of HE and is part of a wide spectrum of typical neurocognitive alterations in liver cirrhosis, particularly involving the areas of attention, alertness, response inhibition, and executive functions. Although these typical characteristics of MHE reduce the safety and quality of life of patients with cirrhosis together with their caregivers, they are difficult to detect from the clinical point of view.  The optimal diagnostic criteria for MHE remain controversial, also because an essential condition for MHE diagnosis is the correct standardization of the tests used by age, education and also employment of the patient. To overcome the difficulties in the execution of complex psychometric batteries, which may require specialist staff for their administration, are time and money consuming, other techniques have been proposed, such as the critical flicker frequency, the smooth pursuit eye movement, and the use of cognitive evoked potentials. Computerized psychometric tests, </w:t>
      </w:r>
      <w:r w:rsidRPr="00332D4D">
        <w:rPr>
          <w:rFonts w:ascii="Book Antiqua" w:hAnsi="Book Antiqua"/>
          <w:color w:val="000000"/>
          <w:sz w:val="24"/>
          <w:szCs w:val="24"/>
          <w:lang w:val="en-GB"/>
        </w:rPr>
        <w:t>including the scan test and</w:t>
      </w:r>
      <w:r w:rsidRPr="00DA1AD7">
        <w:rPr>
          <w:rFonts w:ascii="Book Antiqua" w:hAnsi="Book Antiqua"/>
          <w:color w:val="000000"/>
          <w:sz w:val="24"/>
          <w:szCs w:val="24"/>
          <w:lang w:val="en-GB"/>
        </w:rPr>
        <w:t xml:space="preserve"> the inhibitory control test (ICT), which may be more specific and repeatable, have also been proposed. An electroencephalogram is also useful for detecting conditions MHE, especially if </w:t>
      </w:r>
      <w:r w:rsidRPr="00DA1AD7">
        <w:rPr>
          <w:rFonts w:ascii="Book Antiqua" w:hAnsi="Book Antiqua"/>
          <w:color w:val="000000"/>
          <w:sz w:val="24"/>
          <w:szCs w:val="24"/>
          <w:lang w:val="en-GB"/>
        </w:rPr>
        <w:lastRenderedPageBreak/>
        <w:t>a spectral analysis is carried out. A comprehensive summary on the clinical manifestations and diagnosis of MHE has been recently published by our group</w:t>
      </w:r>
      <w:r w:rsidRPr="008109A6">
        <w:rPr>
          <w:rFonts w:ascii="Book Antiqua" w:hAnsi="Book Antiqua"/>
          <w:color w:val="000000"/>
          <w:sz w:val="24"/>
          <w:szCs w:val="24"/>
          <w:vertAlign w:val="superscript"/>
          <w:lang w:val="en-GB"/>
        </w:rPr>
        <w:t>[12,16]</w:t>
      </w:r>
      <w:r w:rsidRPr="00DA1AD7">
        <w:rPr>
          <w:rFonts w:ascii="Book Antiqua" w:hAnsi="Book Antiqua"/>
          <w:color w:val="000000"/>
          <w:sz w:val="24"/>
          <w:szCs w:val="24"/>
          <w:lang w:val="en-GB"/>
        </w:rPr>
        <w:t>.</w:t>
      </w:r>
    </w:p>
    <w:p w14:paraId="6A1B3D3F" w14:textId="0A694FE3" w:rsidR="00414F00" w:rsidRPr="00F33209" w:rsidRDefault="00414F00" w:rsidP="008109A6">
      <w:pPr>
        <w:spacing w:after="0" w:line="360" w:lineRule="auto"/>
        <w:ind w:firstLineChars="100" w:firstLine="240"/>
        <w:jc w:val="both"/>
        <w:rPr>
          <w:rFonts w:ascii="Book Antiqua" w:hAnsi="Book Antiqua"/>
          <w:color w:val="000000"/>
          <w:sz w:val="24"/>
          <w:szCs w:val="24"/>
          <w:lang w:val="en-US"/>
        </w:rPr>
      </w:pPr>
      <w:r w:rsidRPr="00F33209">
        <w:rPr>
          <w:rFonts w:ascii="Book Antiqua" w:hAnsi="Book Antiqua"/>
          <w:color w:val="000000"/>
          <w:sz w:val="24"/>
          <w:szCs w:val="24"/>
          <w:lang w:val="en-GB"/>
        </w:rPr>
        <w:t>Low quality of life,</w:t>
      </w:r>
      <w:r w:rsidRPr="00F33209">
        <w:rPr>
          <w:rFonts w:ascii="Book Antiqua" w:hAnsi="Book Antiqua"/>
          <w:color w:val="000000"/>
          <w:sz w:val="24"/>
          <w:szCs w:val="24"/>
          <w:lang w:val="en-US"/>
        </w:rPr>
        <w:t xml:space="preserve"> falls, sleep disorders, erectile dysfunction in males, impairment in fitness to drive and car accident incidence have been found to be more frequent in patients with MHE than in those without. Moreover, MHE by reducing the patients’ working capacity, may affects their socioeconomic status</w:t>
      </w:r>
      <w:r w:rsidRPr="00F33209">
        <w:rPr>
          <w:rFonts w:ascii="Book Antiqua" w:hAnsi="Book Antiqua"/>
          <w:color w:val="000000"/>
          <w:sz w:val="24"/>
          <w:szCs w:val="24"/>
          <w:vertAlign w:val="superscript"/>
          <w:lang w:val="en-US"/>
        </w:rPr>
        <w:t>[16</w:t>
      </w:r>
      <w:r w:rsidR="008109A6">
        <w:rPr>
          <w:rFonts w:ascii="Book Antiqua" w:hAnsi="Book Antiqua"/>
          <w:color w:val="000000"/>
          <w:sz w:val="24"/>
          <w:szCs w:val="24"/>
          <w:vertAlign w:val="superscript"/>
          <w:lang w:val="en-US"/>
        </w:rPr>
        <w:t>,</w:t>
      </w:r>
      <w:r w:rsidRPr="00F33209">
        <w:rPr>
          <w:rFonts w:ascii="Book Antiqua" w:hAnsi="Book Antiqua"/>
          <w:color w:val="000000"/>
          <w:sz w:val="24"/>
          <w:szCs w:val="24"/>
          <w:vertAlign w:val="superscript"/>
          <w:lang w:val="en-US"/>
        </w:rPr>
        <w:t>17]</w:t>
      </w:r>
      <w:r w:rsidRPr="00F33209">
        <w:rPr>
          <w:rFonts w:ascii="Book Antiqua" w:hAnsi="Book Antiqua"/>
          <w:color w:val="000000"/>
          <w:sz w:val="24"/>
          <w:szCs w:val="24"/>
          <w:lang w:val="en-US"/>
        </w:rPr>
        <w:t>. Finally, MHE is a clear risk factor for the development of overt HE and for its recurrence, leading to frequent hospitalization of the patients. In summary, MHE, despite subclinical is a burden for the patients and their caregivers, which results in the use of more health care resource than other manifestations of liver disease</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6,</w:t>
      </w:r>
      <w:r w:rsidRPr="00F33209">
        <w:rPr>
          <w:rFonts w:ascii="Book Antiqua" w:hAnsi="Book Antiqua"/>
          <w:color w:val="000000"/>
          <w:sz w:val="24"/>
          <w:szCs w:val="24"/>
          <w:vertAlign w:val="superscript"/>
          <w:lang w:val="en-US"/>
        </w:rPr>
        <w:t>18-</w:t>
      </w:r>
      <w:r w:rsidR="002B2227" w:rsidRPr="00F33209">
        <w:rPr>
          <w:rFonts w:ascii="Book Antiqua" w:hAnsi="Book Antiqua"/>
          <w:color w:val="000000"/>
          <w:sz w:val="24"/>
          <w:szCs w:val="24"/>
          <w:vertAlign w:val="superscript"/>
          <w:lang w:val="en-US"/>
        </w:rPr>
        <w:t>2</w:t>
      </w:r>
      <w:r w:rsidR="002B2227">
        <w:rPr>
          <w:rFonts w:ascii="Book Antiqua" w:hAnsi="Book Antiqua"/>
          <w:color w:val="000000"/>
          <w:sz w:val="24"/>
          <w:szCs w:val="24"/>
          <w:vertAlign w:val="superscript"/>
          <w:lang w:val="en-US"/>
        </w:rPr>
        <w:t>1</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Recently, a strong statistical correlation between muscle alterations, sarcopenia and myosteatosis, and MHE was found</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2</w:t>
      </w:r>
      <w:r w:rsidR="00324DE3">
        <w:rPr>
          <w:rFonts w:ascii="Book Antiqua" w:hAnsi="Book Antiqua"/>
          <w:color w:val="000000"/>
          <w:sz w:val="24"/>
          <w:szCs w:val="24"/>
          <w:vertAlign w:val="superscript"/>
          <w:lang w:val="en-US"/>
        </w:rPr>
        <w:t>2</w:t>
      </w:r>
      <w:r w:rsidR="002B2227">
        <w:rPr>
          <w:rFonts w:ascii="Book Antiqua" w:hAnsi="Book Antiqua"/>
          <w:color w:val="000000"/>
          <w:sz w:val="24"/>
          <w:szCs w:val="24"/>
          <w:vertAlign w:val="superscript"/>
          <w:lang w:val="en-US"/>
        </w:rPr>
        <w:t>-25</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A first consequence of this observation is that muscle alterations should be investigated in all patients with cirrhosis and cognitive impairment. </w:t>
      </w:r>
    </w:p>
    <w:p w14:paraId="32098C61" w14:textId="77777777" w:rsidR="00414F00" w:rsidRPr="00F33209" w:rsidRDefault="00414F00" w:rsidP="002671D6">
      <w:pPr>
        <w:spacing w:after="0" w:line="360" w:lineRule="auto"/>
        <w:jc w:val="both"/>
        <w:rPr>
          <w:rFonts w:ascii="Book Antiqua" w:hAnsi="Book Antiqua"/>
          <w:color w:val="000000"/>
          <w:sz w:val="24"/>
          <w:szCs w:val="24"/>
          <w:lang w:val="en-US"/>
        </w:rPr>
      </w:pPr>
    </w:p>
    <w:p w14:paraId="335B2DB2" w14:textId="043AA719" w:rsidR="00414F00" w:rsidRPr="008109A6" w:rsidRDefault="008109A6" w:rsidP="002671D6">
      <w:pPr>
        <w:spacing w:after="0" w:line="360" w:lineRule="auto"/>
        <w:jc w:val="both"/>
        <w:rPr>
          <w:rFonts w:ascii="Book Antiqua" w:hAnsi="Book Antiqua"/>
          <w:color w:val="000000"/>
          <w:sz w:val="24"/>
          <w:szCs w:val="24"/>
          <w:lang w:val="en-US"/>
        </w:rPr>
      </w:pPr>
      <w:r w:rsidRPr="008109A6">
        <w:rPr>
          <w:rFonts w:ascii="Book Antiqua" w:hAnsi="Book Antiqua"/>
          <w:b/>
          <w:color w:val="000000"/>
          <w:sz w:val="24"/>
          <w:szCs w:val="24"/>
          <w:lang w:val="en-US"/>
        </w:rPr>
        <w:t>PREVALENCE AND CAUSE OF SARCOPENIA IN LIVER CIRRHOSIS</w:t>
      </w:r>
    </w:p>
    <w:p w14:paraId="4BF4D1F1" w14:textId="453EC947" w:rsidR="00414F00" w:rsidRPr="00F33209" w:rsidRDefault="00414F00"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In cirrhotic patients, sarcopenia has been assessed by different techniques such as anthropometry (Triceps-Skinfold-Thickness or Mid-Arm-Muscle-Circumference), the bioelectrical impedance analysis and the dual-energy X-ray. The functional consequence of sarcopenia is estimable by the Hand Grip or other more composite tests such the six-minute walk test</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26-30</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Moreover, some evidences showed that patients with cirrhosis may develop simultaneously loss of skeletal muscle and gain of intermuscular and intramuscular fat, denominated ‘myosteatosis’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3</w:t>
      </w:r>
      <w:r w:rsidR="002B2227">
        <w:rPr>
          <w:rFonts w:ascii="Book Antiqua" w:hAnsi="Book Antiqua"/>
          <w:color w:val="000000"/>
          <w:sz w:val="24"/>
          <w:szCs w:val="24"/>
          <w:vertAlign w:val="superscript"/>
          <w:lang w:val="en-US"/>
        </w:rPr>
        <w:t>1</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w:t>
      </w:r>
      <w:r w:rsidRPr="00F33209">
        <w:rPr>
          <w:rFonts w:ascii="Book Antiqua" w:hAnsi="Book Antiqua"/>
          <w:bCs/>
          <w:color w:val="000000"/>
          <w:sz w:val="24"/>
          <w:szCs w:val="24"/>
          <w:lang w:val="en-GB"/>
        </w:rPr>
        <w:t xml:space="preserve"> </w:t>
      </w:r>
    </w:p>
    <w:p w14:paraId="0A26E0F2" w14:textId="09553F8C" w:rsidR="00414F00" w:rsidRPr="00F33209" w:rsidRDefault="00414F00" w:rsidP="008109A6">
      <w:pPr>
        <w:pStyle w:val="TextBody"/>
        <w:ind w:firstLineChars="100" w:firstLine="240"/>
        <w:rPr>
          <w:rFonts w:ascii="Book Antiqua" w:hAnsi="Book Antiqua"/>
          <w:color w:val="000000"/>
          <w:sz w:val="24"/>
          <w:szCs w:val="24"/>
          <w:lang w:val="en-US"/>
        </w:rPr>
      </w:pPr>
      <w:r w:rsidRPr="00F33209">
        <w:rPr>
          <w:rFonts w:ascii="Book Antiqua" w:hAnsi="Book Antiqua"/>
          <w:color w:val="000000"/>
          <w:sz w:val="24"/>
          <w:szCs w:val="24"/>
          <w:lang w:val="en-US"/>
        </w:rPr>
        <w:t xml:space="preserve">The gold standard to quantify muscle mass is to date represented by the </w:t>
      </w:r>
      <w:r w:rsidR="008109A6" w:rsidRPr="00F33209">
        <w:rPr>
          <w:rFonts w:ascii="Book Antiqua" w:hAnsi="Book Antiqua"/>
          <w:color w:val="000000"/>
          <w:sz w:val="24"/>
          <w:szCs w:val="24"/>
          <w:lang w:val="en-US"/>
        </w:rPr>
        <w:t xml:space="preserve">computed tomography </w:t>
      </w:r>
      <w:r w:rsidRPr="00F33209">
        <w:rPr>
          <w:rFonts w:ascii="Book Antiqua" w:hAnsi="Book Antiqua"/>
          <w:color w:val="000000"/>
          <w:sz w:val="24"/>
          <w:szCs w:val="24"/>
          <w:lang w:val="en-US"/>
        </w:rPr>
        <w:t>(CT) and magnetic resonance image (MRI) analysis</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32-34</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w:t>
      </w:r>
      <w:r w:rsidRPr="00F33209">
        <w:rPr>
          <w:rFonts w:ascii="Book Antiqua" w:hAnsi="Book Antiqua"/>
          <w:bCs/>
          <w:color w:val="000000"/>
          <w:sz w:val="24"/>
          <w:szCs w:val="24"/>
          <w:lang w:val="en-GB"/>
        </w:rPr>
        <w:t>The CT scan,</w:t>
      </w:r>
      <w:r w:rsidRPr="00F33209">
        <w:rPr>
          <w:rFonts w:ascii="Book Antiqua" w:hAnsi="Book Antiqua"/>
          <w:color w:val="000000"/>
          <w:sz w:val="24"/>
          <w:szCs w:val="24"/>
          <w:lang w:val="en-US"/>
        </w:rPr>
        <w:t xml:space="preserve"> by using muscle attenuation, is indirectly able to measure muscle fat infiltration and to add informations not only on quantity but also on the quality of muscle tissue</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31,35</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MRI is able to quantify the muscle mass and the fat free muscle mass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3</w:t>
      </w:r>
      <w:r w:rsidR="002B2227">
        <w:rPr>
          <w:rFonts w:ascii="Book Antiqua" w:hAnsi="Book Antiqua"/>
          <w:color w:val="000000"/>
          <w:sz w:val="24"/>
          <w:szCs w:val="24"/>
          <w:vertAlign w:val="superscript"/>
          <w:lang w:val="en-US"/>
        </w:rPr>
        <w:t>6</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These diagnostic tools are certainly limited by cost, </w:t>
      </w:r>
      <w:r w:rsidRPr="00F33209">
        <w:rPr>
          <w:rFonts w:ascii="Book Antiqua" w:hAnsi="Book Antiqua"/>
          <w:color w:val="000000"/>
          <w:sz w:val="24"/>
          <w:szCs w:val="24"/>
          <w:lang w:val="en-US"/>
        </w:rPr>
        <w:lastRenderedPageBreak/>
        <w:t>radiation exposure and logistic concerns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3</w:t>
      </w:r>
      <w:r w:rsidR="002B2227">
        <w:rPr>
          <w:rFonts w:ascii="Book Antiqua" w:hAnsi="Book Antiqua"/>
          <w:color w:val="000000"/>
          <w:sz w:val="24"/>
          <w:szCs w:val="24"/>
          <w:vertAlign w:val="superscript"/>
          <w:lang w:val="en-US"/>
        </w:rPr>
        <w:t>7</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Nevertheless, a CT or MR scan is often performed in cirrhotic patient for clinical reasons, such as the suspicion of hepatocellular carcinoma or portal vein thrombosis. In these patients, sarcopenia can be easily assessed by validated softwares such as </w:t>
      </w:r>
      <w:r w:rsidRPr="00F33209">
        <w:rPr>
          <w:rFonts w:ascii="Book Antiqua" w:hAnsi="Book Antiqua"/>
          <w:color w:val="000000"/>
          <w:sz w:val="24"/>
          <w:szCs w:val="24"/>
          <w:lang w:val="en-GB"/>
        </w:rPr>
        <w:t>SliceOmatic V4.2 software (Tomovision, Montreal, Quebec, Canada), which enables specific tissue demarcation by using previously reported Hounsfield unit (HU) thresholds</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38</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GB"/>
        </w:rPr>
        <w:t>, as shown in Figure 1. Skeletal muscle is identified and quantified by HU thresholds of -29 to +150 as previously described</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3</w:t>
      </w:r>
      <w:r w:rsidR="002B2227">
        <w:rPr>
          <w:rFonts w:ascii="Book Antiqua" w:hAnsi="Book Antiqua"/>
          <w:color w:val="000000"/>
          <w:sz w:val="24"/>
          <w:szCs w:val="24"/>
          <w:vertAlign w:val="superscript"/>
          <w:lang w:val="en-US"/>
        </w:rPr>
        <w:t>4</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vertAlign w:val="superscript"/>
          <w:lang w:val="en-GB"/>
        </w:rPr>
        <w:t xml:space="preserve"> </w:t>
      </w:r>
      <w:r w:rsidRPr="00F33209">
        <w:rPr>
          <w:rFonts w:ascii="Book Antiqua" w:hAnsi="Book Antiqua"/>
          <w:color w:val="000000"/>
          <w:sz w:val="24"/>
          <w:szCs w:val="24"/>
          <w:lang w:val="en-GB"/>
        </w:rPr>
        <w:t>and with these specific HU thresholds, measurements of the SMI are not influenced by the presence of ascites. Cross-sectional areas (cm</w:t>
      </w:r>
      <w:r w:rsidRPr="00F33209">
        <w:rPr>
          <w:rFonts w:ascii="Book Antiqua" w:hAnsi="Book Antiqua"/>
          <w:color w:val="000000"/>
          <w:sz w:val="24"/>
          <w:szCs w:val="24"/>
          <w:vertAlign w:val="superscript"/>
          <w:lang w:val="en-GB"/>
        </w:rPr>
        <w:t>2</w:t>
      </w:r>
      <w:r w:rsidRPr="00F33209">
        <w:rPr>
          <w:rFonts w:ascii="Book Antiqua" w:hAnsi="Book Antiqua"/>
          <w:color w:val="000000"/>
          <w:sz w:val="24"/>
          <w:szCs w:val="24"/>
          <w:lang w:val="en-GB"/>
        </w:rPr>
        <w:t>) were automatically computed by summing tissue pixels and multiplying by pixel surface area. Muscle cross-sectional area was normalized for stature (cm</w:t>
      </w:r>
      <w:r w:rsidRPr="00F33209">
        <w:rPr>
          <w:rFonts w:ascii="Book Antiqua" w:hAnsi="Book Antiqua"/>
          <w:color w:val="000000"/>
          <w:sz w:val="24"/>
          <w:szCs w:val="24"/>
          <w:vertAlign w:val="superscript"/>
          <w:lang w:val="en-GB"/>
        </w:rPr>
        <w:t>2</w:t>
      </w:r>
      <w:r w:rsidRPr="00F33209">
        <w:rPr>
          <w:rFonts w:ascii="Book Antiqua" w:hAnsi="Book Antiqua"/>
          <w:color w:val="000000"/>
          <w:sz w:val="24"/>
          <w:szCs w:val="24"/>
          <w:lang w:val="en-GB"/>
        </w:rPr>
        <w:t>/m</w:t>
      </w:r>
      <w:r w:rsidRPr="00F33209">
        <w:rPr>
          <w:rFonts w:ascii="Book Antiqua" w:hAnsi="Book Antiqua"/>
          <w:color w:val="000000"/>
          <w:sz w:val="24"/>
          <w:szCs w:val="24"/>
          <w:vertAlign w:val="superscript"/>
          <w:lang w:val="en-GB"/>
        </w:rPr>
        <w:t>2</w:t>
      </w:r>
      <w:r w:rsidRPr="00F33209">
        <w:rPr>
          <w:rFonts w:ascii="Book Antiqua" w:hAnsi="Book Antiqua"/>
          <w:color w:val="000000"/>
          <w:sz w:val="24"/>
          <w:szCs w:val="24"/>
          <w:lang w:val="en-GB"/>
        </w:rPr>
        <w:t>) to obtain the L3 Skeletal Muscle Index (L3 SMI). Sarcopenia was defined according to previously validated cutoff values in cirrhotic patients: L3 SMI: &lt;</w:t>
      </w:r>
      <w:r w:rsidR="008109A6">
        <w:rPr>
          <w:rFonts w:ascii="Book Antiqua" w:hAnsi="Book Antiqua"/>
          <w:color w:val="000000"/>
          <w:sz w:val="24"/>
          <w:szCs w:val="24"/>
          <w:lang w:val="en-GB"/>
        </w:rPr>
        <w:t xml:space="preserve"> </w:t>
      </w:r>
      <w:r w:rsidRPr="00F33209">
        <w:rPr>
          <w:rFonts w:ascii="Book Antiqua" w:hAnsi="Book Antiqua"/>
          <w:color w:val="000000"/>
          <w:sz w:val="24"/>
          <w:szCs w:val="24"/>
          <w:lang w:val="en-GB"/>
        </w:rPr>
        <w:t>39 cm</w:t>
      </w:r>
      <w:r w:rsidRPr="00F33209">
        <w:rPr>
          <w:rFonts w:ascii="Book Antiqua" w:hAnsi="Book Antiqua"/>
          <w:color w:val="000000"/>
          <w:sz w:val="24"/>
          <w:szCs w:val="24"/>
          <w:vertAlign w:val="superscript"/>
          <w:lang w:val="en-GB"/>
        </w:rPr>
        <w:t>2</w:t>
      </w:r>
      <w:r w:rsidRPr="00F33209">
        <w:rPr>
          <w:rFonts w:ascii="Book Antiqua" w:hAnsi="Book Antiqua"/>
          <w:color w:val="000000"/>
          <w:sz w:val="24"/>
          <w:szCs w:val="24"/>
          <w:lang w:val="en-GB"/>
        </w:rPr>
        <w:t>/m</w:t>
      </w:r>
      <w:r w:rsidRPr="00F33209">
        <w:rPr>
          <w:rFonts w:ascii="Book Antiqua" w:hAnsi="Book Antiqua"/>
          <w:color w:val="000000"/>
          <w:sz w:val="24"/>
          <w:szCs w:val="24"/>
          <w:vertAlign w:val="superscript"/>
          <w:lang w:val="en-GB"/>
        </w:rPr>
        <w:t xml:space="preserve">2 </w:t>
      </w:r>
      <w:r w:rsidRPr="00F33209">
        <w:rPr>
          <w:rFonts w:ascii="Book Antiqua" w:hAnsi="Book Antiqua"/>
          <w:color w:val="000000"/>
          <w:sz w:val="24"/>
          <w:szCs w:val="24"/>
          <w:lang w:val="en-GB"/>
        </w:rPr>
        <w:t>for females and &lt;</w:t>
      </w:r>
      <w:r w:rsidR="008109A6">
        <w:rPr>
          <w:rFonts w:ascii="Book Antiqua" w:hAnsi="Book Antiqua"/>
          <w:color w:val="000000"/>
          <w:sz w:val="24"/>
          <w:szCs w:val="24"/>
          <w:lang w:val="en-GB"/>
        </w:rPr>
        <w:t xml:space="preserve"> </w:t>
      </w:r>
      <w:r w:rsidRPr="00F33209">
        <w:rPr>
          <w:rFonts w:ascii="Book Antiqua" w:hAnsi="Book Antiqua"/>
          <w:color w:val="000000"/>
          <w:sz w:val="24"/>
          <w:szCs w:val="24"/>
          <w:lang w:val="en-GB"/>
        </w:rPr>
        <w:t>50 cm</w:t>
      </w:r>
      <w:r w:rsidRPr="00F33209">
        <w:rPr>
          <w:rFonts w:ascii="Book Antiqua" w:hAnsi="Book Antiqua"/>
          <w:color w:val="000000"/>
          <w:sz w:val="24"/>
          <w:szCs w:val="24"/>
          <w:vertAlign w:val="superscript"/>
          <w:lang w:val="en-GB"/>
        </w:rPr>
        <w:t>2</w:t>
      </w:r>
      <w:r w:rsidRPr="00F33209">
        <w:rPr>
          <w:rFonts w:ascii="Book Antiqua" w:hAnsi="Book Antiqua"/>
          <w:color w:val="000000"/>
          <w:sz w:val="24"/>
          <w:szCs w:val="24"/>
          <w:lang w:val="en-GB"/>
        </w:rPr>
        <w:t>/m</w:t>
      </w:r>
      <w:r w:rsidRPr="00F33209">
        <w:rPr>
          <w:rFonts w:ascii="Book Antiqua" w:hAnsi="Book Antiqua"/>
          <w:color w:val="000000"/>
          <w:sz w:val="24"/>
          <w:szCs w:val="24"/>
          <w:vertAlign w:val="superscript"/>
          <w:lang w:val="en-GB"/>
        </w:rPr>
        <w:t xml:space="preserve">2 </w:t>
      </w:r>
      <w:r w:rsidRPr="00F33209">
        <w:rPr>
          <w:rFonts w:ascii="Book Antiqua" w:hAnsi="Book Antiqua"/>
          <w:color w:val="000000"/>
          <w:sz w:val="24"/>
          <w:szCs w:val="24"/>
          <w:lang w:val="en-GB"/>
        </w:rPr>
        <w:t>for males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2</w:t>
      </w:r>
      <w:r w:rsidR="002B2227">
        <w:rPr>
          <w:rFonts w:ascii="Book Antiqua" w:hAnsi="Book Antiqua"/>
          <w:color w:val="000000"/>
          <w:sz w:val="24"/>
          <w:szCs w:val="24"/>
          <w:vertAlign w:val="superscript"/>
          <w:lang w:val="en-US"/>
        </w:rPr>
        <w:t>6</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GB"/>
        </w:rPr>
        <w:t xml:space="preserve">. </w:t>
      </w:r>
      <w:r w:rsidRPr="00F33209">
        <w:rPr>
          <w:rFonts w:ascii="Book Antiqua" w:hAnsi="Book Antiqua"/>
          <w:color w:val="000000"/>
          <w:sz w:val="24"/>
          <w:szCs w:val="24"/>
          <w:lang w:val="en-US"/>
        </w:rPr>
        <w:t>The following HU thresholds were used for adipose tissues: -190 to -30 for subcutaneous and intermuscular adipose tissue</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39</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and -150 to -50 for visceral adipose tissue</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0</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w:t>
      </w:r>
    </w:p>
    <w:p w14:paraId="109067F4" w14:textId="38EF152F" w:rsidR="00414F00" w:rsidRPr="00F33209" w:rsidRDefault="00414F00" w:rsidP="00455F35">
      <w:pPr>
        <w:spacing w:after="0" w:line="360" w:lineRule="auto"/>
        <w:ind w:firstLineChars="100" w:firstLine="240"/>
        <w:jc w:val="both"/>
        <w:rPr>
          <w:rFonts w:ascii="Book Antiqua" w:hAnsi="Book Antiqua"/>
          <w:color w:val="000000"/>
          <w:sz w:val="24"/>
          <w:szCs w:val="24"/>
          <w:lang w:val="en-US"/>
        </w:rPr>
      </w:pPr>
      <w:r w:rsidRPr="00F33209">
        <w:rPr>
          <w:rFonts w:ascii="Book Antiqua" w:hAnsi="Book Antiqua"/>
          <w:color w:val="000000"/>
          <w:sz w:val="24"/>
          <w:szCs w:val="24"/>
          <w:lang w:val="en-US"/>
        </w:rPr>
        <w:t>Since muscle attenuation indirectly measures fat infiltration in muscles, mean muscle attenuation in HU was reported for the entire muscle area from the same image used to calculate L3 SMI. To define myosteatosis, we used cutoff values that have been previously associated with mortality: &lt; 41 HU in patients with a body mass index (BMI) up to 24.9, and &lt;</w:t>
      </w:r>
      <w:r w:rsidR="00455F35">
        <w:rPr>
          <w:rFonts w:ascii="Book Antiqua" w:hAnsi="Book Antiqua"/>
          <w:color w:val="000000"/>
          <w:sz w:val="24"/>
          <w:szCs w:val="24"/>
          <w:lang w:val="en-US"/>
        </w:rPr>
        <w:t xml:space="preserve"> </w:t>
      </w:r>
      <w:r w:rsidRPr="00F33209">
        <w:rPr>
          <w:rFonts w:ascii="Book Antiqua" w:hAnsi="Book Antiqua"/>
          <w:color w:val="000000"/>
          <w:sz w:val="24"/>
          <w:szCs w:val="24"/>
          <w:lang w:val="en-US"/>
        </w:rPr>
        <w:t>33 in those with a BMI ≥ 2</w:t>
      </w:r>
      <w:r w:rsidR="008A1A64" w:rsidRPr="00F33209">
        <w:rPr>
          <w:rFonts w:ascii="Book Antiqua" w:hAnsi="Book Antiqua"/>
          <w:color w:val="000000"/>
          <w:sz w:val="24"/>
          <w:szCs w:val="24"/>
          <w:lang w:val="en-US"/>
        </w:rPr>
        <w:t>5</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2</w:t>
      </w:r>
      <w:r w:rsidR="002B2227">
        <w:rPr>
          <w:rFonts w:ascii="Book Antiqua" w:hAnsi="Book Antiqua"/>
          <w:color w:val="000000"/>
          <w:sz w:val="24"/>
          <w:szCs w:val="24"/>
          <w:vertAlign w:val="superscript"/>
          <w:lang w:val="en-US"/>
        </w:rPr>
        <w:t>7</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3</w:t>
      </w:r>
      <w:r w:rsidR="002B2227">
        <w:rPr>
          <w:rFonts w:ascii="Book Antiqua" w:hAnsi="Book Antiqua"/>
          <w:color w:val="000000"/>
          <w:sz w:val="24"/>
          <w:szCs w:val="24"/>
          <w:vertAlign w:val="superscript"/>
          <w:lang w:val="en-US"/>
        </w:rPr>
        <w:t>1</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w:t>
      </w:r>
    </w:p>
    <w:p w14:paraId="0EF0AC6C" w14:textId="622DFBA2" w:rsidR="00414F00" w:rsidRPr="00F33209" w:rsidRDefault="00414F00" w:rsidP="00455F35">
      <w:pPr>
        <w:spacing w:after="0" w:line="360" w:lineRule="auto"/>
        <w:ind w:firstLineChars="100" w:firstLine="240"/>
        <w:jc w:val="both"/>
        <w:rPr>
          <w:rFonts w:ascii="Book Antiqua" w:hAnsi="Book Antiqua"/>
          <w:color w:val="000000"/>
          <w:sz w:val="24"/>
          <w:szCs w:val="24"/>
          <w:lang w:val="en-US"/>
        </w:rPr>
      </w:pPr>
      <w:r w:rsidRPr="00F33209">
        <w:rPr>
          <w:rFonts w:ascii="Book Antiqua" w:hAnsi="Book Antiqua"/>
          <w:color w:val="000000"/>
          <w:sz w:val="24"/>
          <w:szCs w:val="24"/>
          <w:lang w:val="en-US"/>
        </w:rPr>
        <w:t>Using these cut off, sarcopenia, with a prevalence ranging between 65 and 90%, has to be considered a very common condition in patients with advanced liver disease</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1</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The severity and prevalence of sarcopenia correlates with Child-Pugh’s Class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2</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and, when added to model for end-stage liver disease (MELD) score, sarcopenia has been shown to improve the prediction of the patients’ survival</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22,23</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Sarcopenia contributes to fatigue, limits exercise tolerance and may have a heavy burden on performance status and activities of daily living</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2</w:t>
      </w:r>
      <w:r w:rsidR="002B2227">
        <w:rPr>
          <w:rFonts w:ascii="Book Antiqua" w:hAnsi="Book Antiqua"/>
          <w:color w:val="000000"/>
          <w:sz w:val="24"/>
          <w:szCs w:val="24"/>
          <w:vertAlign w:val="superscript"/>
          <w:lang w:val="en-US"/>
        </w:rPr>
        <w:t>4</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Multiple factors are involved in sarcopenia development. In </w:t>
      </w:r>
      <w:r w:rsidRPr="00F33209">
        <w:rPr>
          <w:rFonts w:ascii="Book Antiqua" w:hAnsi="Book Antiqua"/>
          <w:color w:val="000000"/>
          <w:sz w:val="24"/>
          <w:szCs w:val="24"/>
          <w:lang w:val="en-US"/>
        </w:rPr>
        <w:lastRenderedPageBreak/>
        <w:t>liver disease dietary intake may be inadequate to the energy expenditure; nutrient absorption compromised and substrate utilization impaired</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2</w:t>
      </w:r>
      <w:r w:rsidR="002B2227">
        <w:rPr>
          <w:rFonts w:ascii="Book Antiqua" w:hAnsi="Book Antiqua"/>
          <w:color w:val="000000"/>
          <w:sz w:val="24"/>
          <w:szCs w:val="24"/>
          <w:vertAlign w:val="superscript"/>
          <w:lang w:val="en-US"/>
        </w:rPr>
        <w:t>5</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Moreover, malabsorption, altered metabolism, hormonal factors, hyperammonemia, may also play a role. </w:t>
      </w:r>
    </w:p>
    <w:p w14:paraId="4213683A" w14:textId="77777777" w:rsidR="00414F00" w:rsidRPr="00F33209" w:rsidRDefault="00414F00" w:rsidP="002671D6">
      <w:pPr>
        <w:spacing w:after="0" w:line="360" w:lineRule="auto"/>
        <w:jc w:val="both"/>
        <w:rPr>
          <w:rFonts w:ascii="Book Antiqua" w:hAnsi="Book Antiqua"/>
          <w:color w:val="000000"/>
          <w:sz w:val="24"/>
          <w:szCs w:val="24"/>
          <w:lang w:val="en-US"/>
        </w:rPr>
      </w:pPr>
    </w:p>
    <w:p w14:paraId="7D924D5C" w14:textId="758AA982" w:rsidR="00414F00" w:rsidRPr="00455F35" w:rsidRDefault="00455F35" w:rsidP="002671D6">
      <w:pPr>
        <w:spacing w:after="0" w:line="360" w:lineRule="auto"/>
        <w:jc w:val="both"/>
        <w:rPr>
          <w:rFonts w:ascii="Book Antiqua" w:hAnsi="Book Antiqua"/>
          <w:color w:val="000000"/>
          <w:sz w:val="24"/>
          <w:szCs w:val="24"/>
          <w:lang w:val="en-US"/>
        </w:rPr>
      </w:pPr>
      <w:r w:rsidRPr="00455F35">
        <w:rPr>
          <w:rFonts w:ascii="Book Antiqua" w:hAnsi="Book Antiqua"/>
          <w:b/>
          <w:color w:val="000000"/>
          <w:sz w:val="24"/>
          <w:szCs w:val="24"/>
          <w:lang w:val="en-US"/>
        </w:rPr>
        <w:t>SARCOPENIA AND HE</w:t>
      </w:r>
    </w:p>
    <w:p w14:paraId="7D6A0EE7" w14:textId="6BB632A9" w:rsidR="00414F00" w:rsidRPr="00F33209" w:rsidRDefault="00414F00"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In Addition to the prognostic impact</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3</w:t>
      </w:r>
      <w:r w:rsidR="002B2227">
        <w:rPr>
          <w:rFonts w:ascii="Book Antiqua" w:hAnsi="Book Antiqua"/>
          <w:color w:val="000000"/>
          <w:sz w:val="24"/>
          <w:szCs w:val="24"/>
          <w:vertAlign w:val="superscript"/>
          <w:lang w:val="en-US"/>
        </w:rPr>
        <w:t>2</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3</w:t>
      </w:r>
      <w:r w:rsidR="00455F35">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4</w:t>
      </w:r>
      <w:r w:rsidRPr="00F33209">
        <w:rPr>
          <w:rFonts w:ascii="Book Antiqua" w:hAnsi="Book Antiqua"/>
          <w:color w:val="000000"/>
          <w:sz w:val="24"/>
          <w:szCs w:val="24"/>
          <w:vertAlign w:val="superscript"/>
          <w:lang w:val="en-US"/>
        </w:rPr>
        <w:t>]</w:t>
      </w:r>
      <w:r w:rsidR="00455F35" w:rsidRPr="00455F35">
        <w:rPr>
          <w:rFonts w:ascii="Book Antiqua" w:hAnsi="Book Antiqua"/>
          <w:color w:val="000000"/>
          <w:sz w:val="24"/>
          <w:szCs w:val="24"/>
          <w:lang w:val="en-US"/>
        </w:rPr>
        <w:t>,</w:t>
      </w:r>
      <w:r w:rsidRPr="00F33209">
        <w:rPr>
          <w:rFonts w:ascii="Book Antiqua" w:hAnsi="Book Antiqua"/>
          <w:color w:val="000000"/>
          <w:sz w:val="24"/>
          <w:szCs w:val="24"/>
          <w:lang w:val="en-US"/>
        </w:rPr>
        <w:t xml:space="preserve"> sarcopenia is related to several complications of </w:t>
      </w:r>
      <w:r w:rsidRPr="00332D4D">
        <w:rPr>
          <w:rFonts w:ascii="Book Antiqua" w:hAnsi="Book Antiqua"/>
          <w:color w:val="000000"/>
          <w:sz w:val="24"/>
          <w:szCs w:val="24"/>
          <w:lang w:val="en-US"/>
        </w:rPr>
        <w:t>cirrhosis</w:t>
      </w:r>
      <w:r w:rsidRPr="00332D4D">
        <w:rPr>
          <w:rFonts w:ascii="Book Antiqua" w:hAnsi="Book Antiqua"/>
          <w:color w:val="000000"/>
          <w:sz w:val="24"/>
          <w:szCs w:val="24"/>
          <w:vertAlign w:val="superscript"/>
          <w:lang w:val="en-US"/>
        </w:rPr>
        <w:t>[</w:t>
      </w:r>
      <w:r w:rsidR="002B2227" w:rsidRPr="00332D4D">
        <w:rPr>
          <w:rFonts w:ascii="Book Antiqua" w:hAnsi="Book Antiqua"/>
          <w:color w:val="000000"/>
          <w:sz w:val="24"/>
          <w:szCs w:val="24"/>
          <w:vertAlign w:val="superscript"/>
          <w:lang w:val="en-US"/>
        </w:rPr>
        <w:t>45</w:t>
      </w:r>
      <w:r w:rsidR="00FE6554" w:rsidRPr="00332D4D">
        <w:rPr>
          <w:rFonts w:ascii="Book Antiqua" w:hAnsi="Book Antiqua"/>
          <w:color w:val="000000"/>
          <w:sz w:val="24"/>
          <w:szCs w:val="24"/>
          <w:vertAlign w:val="superscript"/>
          <w:lang w:val="en-US"/>
        </w:rPr>
        <w:t>-49</w:t>
      </w:r>
      <w:r w:rsidRPr="00332D4D">
        <w:rPr>
          <w:rFonts w:ascii="Book Antiqua" w:hAnsi="Book Antiqua"/>
          <w:color w:val="000000"/>
          <w:sz w:val="24"/>
          <w:szCs w:val="24"/>
          <w:vertAlign w:val="superscript"/>
          <w:lang w:val="en-US"/>
        </w:rPr>
        <w:t>]</w:t>
      </w:r>
      <w:r w:rsidRPr="00332D4D">
        <w:rPr>
          <w:rFonts w:ascii="Book Antiqua" w:hAnsi="Book Antiqua"/>
          <w:color w:val="000000"/>
          <w:sz w:val="24"/>
          <w:szCs w:val="24"/>
          <w:lang w:val="en-US"/>
        </w:rPr>
        <w:t>, including overt HE</w:t>
      </w:r>
      <w:r w:rsidR="00733C8D" w:rsidRPr="00332D4D">
        <w:rPr>
          <w:rFonts w:ascii="Book Antiqua" w:hAnsi="Book Antiqua"/>
          <w:color w:val="000000"/>
          <w:sz w:val="24"/>
          <w:szCs w:val="24"/>
          <w:vertAlign w:val="superscript"/>
          <w:lang w:val="en-US"/>
        </w:rPr>
        <w:t>[</w:t>
      </w:r>
      <w:r w:rsidR="002B2227" w:rsidRPr="00332D4D">
        <w:rPr>
          <w:rFonts w:ascii="Book Antiqua" w:hAnsi="Book Antiqua"/>
          <w:color w:val="000000"/>
          <w:sz w:val="24"/>
          <w:szCs w:val="24"/>
          <w:vertAlign w:val="superscript"/>
          <w:lang w:val="en-US"/>
        </w:rPr>
        <w:t>22-24</w:t>
      </w:r>
      <w:r w:rsidR="00733C8D" w:rsidRPr="00332D4D">
        <w:rPr>
          <w:rFonts w:ascii="Book Antiqua" w:hAnsi="Book Antiqua"/>
          <w:color w:val="000000"/>
          <w:sz w:val="24"/>
          <w:szCs w:val="24"/>
          <w:vertAlign w:val="superscript"/>
          <w:lang w:val="en-US"/>
        </w:rPr>
        <w:t>,</w:t>
      </w:r>
      <w:r w:rsidR="002B2227" w:rsidRPr="00332D4D">
        <w:rPr>
          <w:rFonts w:ascii="Book Antiqua" w:hAnsi="Book Antiqua"/>
          <w:color w:val="000000"/>
          <w:sz w:val="24"/>
          <w:szCs w:val="24"/>
          <w:vertAlign w:val="superscript"/>
          <w:lang w:val="en-US"/>
        </w:rPr>
        <w:t>38</w:t>
      </w:r>
      <w:r w:rsidR="00733C8D" w:rsidRPr="00332D4D">
        <w:rPr>
          <w:rFonts w:ascii="Book Antiqua" w:hAnsi="Book Antiqua"/>
          <w:color w:val="000000"/>
          <w:sz w:val="24"/>
          <w:szCs w:val="24"/>
          <w:vertAlign w:val="superscript"/>
          <w:lang w:val="en-US"/>
        </w:rPr>
        <w:t>,</w:t>
      </w:r>
      <w:r w:rsidR="002B2227" w:rsidRPr="00332D4D">
        <w:rPr>
          <w:rFonts w:ascii="Book Antiqua" w:hAnsi="Book Antiqua"/>
          <w:color w:val="000000"/>
          <w:sz w:val="24"/>
          <w:szCs w:val="24"/>
          <w:vertAlign w:val="superscript"/>
          <w:lang w:val="en-US"/>
        </w:rPr>
        <w:t>50</w:t>
      </w:r>
      <w:r w:rsidR="00733C8D" w:rsidRPr="00332D4D">
        <w:rPr>
          <w:rFonts w:ascii="Book Antiqua" w:hAnsi="Book Antiqua"/>
          <w:color w:val="000000"/>
          <w:sz w:val="24"/>
          <w:szCs w:val="24"/>
          <w:vertAlign w:val="superscript"/>
          <w:lang w:val="en-US"/>
        </w:rPr>
        <w:t>]</w:t>
      </w:r>
      <w:r w:rsidR="00733C8D" w:rsidRPr="00332D4D">
        <w:rPr>
          <w:rFonts w:ascii="Book Antiqua" w:hAnsi="Book Antiqua"/>
          <w:color w:val="000000"/>
          <w:sz w:val="24"/>
          <w:szCs w:val="24"/>
          <w:lang w:val="en-US"/>
        </w:rPr>
        <w:t>.</w:t>
      </w:r>
      <w:r w:rsidR="00455F35" w:rsidRPr="00332D4D">
        <w:rPr>
          <w:rFonts w:ascii="Book Antiqua" w:hAnsi="Book Antiqua" w:hint="cs"/>
          <w:color w:val="000000"/>
          <w:sz w:val="24"/>
          <w:szCs w:val="24"/>
          <w:lang w:val="en-US"/>
        </w:rPr>
        <w:t xml:space="preserve"> </w:t>
      </w:r>
      <w:r w:rsidRPr="00332D4D">
        <w:rPr>
          <w:rFonts w:ascii="Book Antiqua" w:hAnsi="Book Antiqua"/>
          <w:color w:val="000000"/>
          <w:sz w:val="24"/>
          <w:szCs w:val="24"/>
          <w:lang w:val="en-US"/>
        </w:rPr>
        <w:t>The</w:t>
      </w:r>
      <w:r w:rsidRPr="00F33209">
        <w:rPr>
          <w:rFonts w:ascii="Book Antiqua" w:hAnsi="Book Antiqua"/>
          <w:color w:val="000000"/>
          <w:sz w:val="24"/>
          <w:szCs w:val="24"/>
          <w:lang w:val="en-US"/>
        </w:rPr>
        <w:t xml:space="preserve"> pathophysiological background supporting the relationship between muscle depletion and HE origins from the involvement of muscle tissue in ammonia metabolism and trafficking (Figure 2). Ammonia plays a central role in the pathogenesis of cognitive impairment of cirrhosis. Its concentrations is increased because of the inability of the impaired liver in removing ammonia through urea synthesis due to liver failure and porto-systemic shunts. Skeletal muscle may plays a compensatory role in ammonia clearance</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49</w:t>
      </w:r>
      <w:r w:rsidR="00F30713">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5</w:t>
      </w:r>
      <w:r w:rsidR="002B2227">
        <w:rPr>
          <w:rFonts w:ascii="Book Antiqua" w:hAnsi="Book Antiqua"/>
          <w:color w:val="000000"/>
          <w:sz w:val="24"/>
          <w:szCs w:val="24"/>
          <w:vertAlign w:val="superscript"/>
          <w:lang w:val="en-US"/>
        </w:rPr>
        <w:t>0</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through glutamine-synthase, which metabolize ammonia into glutamine. Consequently, a muscle depletion may favor the ammonia accumulation. Furthermore, any catabolic increases the glutamine release from muscle. Glutamine metabolism in the small intestine and the kidney to glutamic acid and ammonia, may contribute to the appearance of ammonia in portal circulation where, due to liver failure and the shunts may lead the whole-body ammonia availability</w:t>
      </w:r>
      <w:r w:rsidRPr="00F33209">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49</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5</w:t>
      </w:r>
      <w:r w:rsidR="002B2227">
        <w:rPr>
          <w:rFonts w:ascii="Book Antiqua" w:hAnsi="Book Antiqua"/>
          <w:color w:val="000000"/>
          <w:sz w:val="24"/>
          <w:szCs w:val="24"/>
          <w:vertAlign w:val="superscript"/>
          <w:lang w:val="en-US"/>
        </w:rPr>
        <w:t>1</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Moreover, on the other hand, ammonia impairs muscle protein synthesis in part through the up regulation of myostatin production</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5</w:t>
      </w:r>
      <w:r w:rsidR="002B2227">
        <w:rPr>
          <w:rFonts w:ascii="Book Antiqua" w:hAnsi="Book Antiqua"/>
          <w:color w:val="000000"/>
          <w:sz w:val="24"/>
          <w:szCs w:val="24"/>
          <w:vertAlign w:val="superscript"/>
          <w:lang w:val="en-US"/>
        </w:rPr>
        <w:t>2</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that is upregulated because skeletal muscle removes large quantities of ammonia from the circulation</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5</w:t>
      </w:r>
      <w:r w:rsidR="002B2227">
        <w:rPr>
          <w:rFonts w:ascii="Book Antiqua" w:hAnsi="Book Antiqua"/>
          <w:color w:val="000000"/>
          <w:sz w:val="24"/>
          <w:szCs w:val="24"/>
          <w:vertAlign w:val="superscript"/>
          <w:lang w:val="en-US"/>
        </w:rPr>
        <w:t>3</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Finally, the mitochondrial dysfunction increases reactive oxygen species bringing to autophagy and muscle damage. Therefore, hyperammonemia may be considered the trigger of a vicious circle: </w:t>
      </w:r>
      <w:r w:rsidR="00F30713" w:rsidRPr="00F33209">
        <w:rPr>
          <w:rFonts w:ascii="Book Antiqua" w:hAnsi="Book Antiqua"/>
          <w:color w:val="000000"/>
          <w:sz w:val="24"/>
          <w:szCs w:val="24"/>
          <w:lang w:val="en-US"/>
        </w:rPr>
        <w:t>B</w:t>
      </w:r>
      <w:r w:rsidRPr="00F33209">
        <w:rPr>
          <w:rFonts w:ascii="Book Antiqua" w:hAnsi="Book Antiqua"/>
          <w:color w:val="000000"/>
          <w:sz w:val="24"/>
          <w:szCs w:val="24"/>
          <w:lang w:val="en-US"/>
        </w:rPr>
        <w:t xml:space="preserve">y one side the occurrence of hyperammonemia is a consequence of sarcopenia due to the inability of the depleted muscle to metabolize ammonia, on the other side, the increase in ammonia concentrations, through the above processes, induces further muscle wasting. </w:t>
      </w:r>
    </w:p>
    <w:p w14:paraId="72D6938B" w14:textId="61563DD7" w:rsidR="00DA1AD7" w:rsidRDefault="00414F00" w:rsidP="00F30713">
      <w:pPr>
        <w:spacing w:after="0" w:line="360" w:lineRule="auto"/>
        <w:ind w:firstLineChars="100" w:firstLine="240"/>
        <w:jc w:val="both"/>
        <w:rPr>
          <w:rFonts w:ascii="Book Antiqua" w:hAnsi="Book Antiqua"/>
          <w:color w:val="000000"/>
          <w:sz w:val="24"/>
          <w:szCs w:val="24"/>
          <w:lang w:val="en-US"/>
        </w:rPr>
      </w:pPr>
      <w:r w:rsidRPr="00F33209">
        <w:rPr>
          <w:rFonts w:ascii="Book Antiqua" w:hAnsi="Book Antiqua"/>
          <w:color w:val="000000"/>
          <w:sz w:val="24"/>
          <w:szCs w:val="24"/>
          <w:lang w:val="en-US"/>
        </w:rPr>
        <w:lastRenderedPageBreak/>
        <w:t>The studies in which the possible association between muscle alterations and MHE was evaluated are summarized in Table 1. In the first one</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7</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conducted </w:t>
      </w:r>
      <w:r w:rsidRPr="00F33209">
        <w:rPr>
          <w:rFonts w:ascii="Book Antiqua" w:hAnsi="Book Antiqua"/>
          <w:color w:val="000000"/>
          <w:sz w:val="24"/>
          <w:szCs w:val="24"/>
          <w:lang w:val="en-GB"/>
        </w:rPr>
        <w:t>on 300 hospitalized cirrhotic patients, muscle depletion was evaluated with anthropometry, muscle function with handgrip strength and minimal HE with psychometric tests. At multivariate analysis, muscle depletion was significantly and independently associated with MHE. In another study MHE was found to be higher in patients with sarcopenia than in those without and sarcopenia was an independent predictor of MHE at multivariate analysis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5</w:t>
      </w:r>
      <w:r w:rsidR="002B2227">
        <w:rPr>
          <w:rFonts w:ascii="Book Antiqua" w:hAnsi="Book Antiqua"/>
          <w:color w:val="000000"/>
          <w:sz w:val="24"/>
          <w:szCs w:val="24"/>
          <w:vertAlign w:val="superscript"/>
          <w:lang w:val="en-US"/>
        </w:rPr>
        <w:t>4</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GB"/>
        </w:rPr>
        <w:t>.</w:t>
      </w:r>
      <w:r w:rsidRPr="00F33209">
        <w:rPr>
          <w:rFonts w:ascii="Book Antiqua" w:hAnsi="Book Antiqua"/>
          <w:color w:val="000000"/>
          <w:sz w:val="24"/>
          <w:szCs w:val="24"/>
          <w:vertAlign w:val="superscript"/>
          <w:lang w:val="en-GB"/>
        </w:rPr>
        <w:t xml:space="preserve"> </w:t>
      </w:r>
      <w:r w:rsidRPr="00F33209">
        <w:rPr>
          <w:rFonts w:ascii="Book Antiqua" w:hAnsi="Book Antiqua"/>
          <w:color w:val="000000"/>
          <w:sz w:val="24"/>
          <w:szCs w:val="24"/>
          <w:lang w:val="en-US"/>
        </w:rPr>
        <w:t>In a further study, a multivariate analysis showed that the time needed to perform number connection test A (one of the tests used to detect MHE) was independently correlated to age, Child Pugh class, malnutrition and diabetes</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5</w:t>
      </w:r>
      <w:r w:rsidR="002B2227">
        <w:rPr>
          <w:rFonts w:ascii="Book Antiqua" w:hAnsi="Book Antiqua"/>
          <w:color w:val="000000"/>
          <w:sz w:val="24"/>
          <w:szCs w:val="24"/>
          <w:vertAlign w:val="superscript"/>
          <w:lang w:val="en-US"/>
        </w:rPr>
        <w:t>5</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None of the above studies used the CT scan to determine muscle quantity and quality. This limitation was recently filled by a prospective study which used CT scan for the quantitative estimation of sarcopenia and myosteatosis and the Phychometric Hepatic Encephalopathy Score (PHES) for the estimation of the cognitive impairment in order to investigate the link between muscle quantitative alteration and MHE. In this study both myosteatosis and sarcopenia were strongly related to presence of MHE as well as to the development of overt HE during the follow-up</w:t>
      </w:r>
      <w:r w:rsidRPr="00F33209">
        <w:rPr>
          <w:rFonts w:ascii="Book Antiqua" w:hAnsi="Book Antiqua"/>
          <w:color w:val="000000"/>
          <w:sz w:val="24"/>
          <w:szCs w:val="24"/>
          <w:vertAlign w:val="superscript"/>
          <w:lang w:val="en-US"/>
        </w:rPr>
        <w:t>[</w:t>
      </w:r>
      <w:r w:rsidR="002B2227" w:rsidRPr="00F33209">
        <w:rPr>
          <w:rFonts w:ascii="Book Antiqua" w:hAnsi="Book Antiqua"/>
          <w:color w:val="000000"/>
          <w:sz w:val="24"/>
          <w:szCs w:val="24"/>
          <w:vertAlign w:val="superscript"/>
          <w:lang w:val="en-US"/>
        </w:rPr>
        <w:t>4</w:t>
      </w:r>
      <w:r w:rsidR="002B2227">
        <w:rPr>
          <w:rFonts w:ascii="Book Antiqua" w:hAnsi="Book Antiqua"/>
          <w:color w:val="000000"/>
          <w:sz w:val="24"/>
          <w:szCs w:val="24"/>
          <w:vertAlign w:val="superscript"/>
          <w:lang w:val="en-US"/>
        </w:rPr>
        <w:t>6</w:t>
      </w:r>
      <w:r w:rsidRPr="00F33209">
        <w:rPr>
          <w:rFonts w:ascii="Book Antiqua" w:hAnsi="Book Antiqua"/>
          <w:color w:val="000000"/>
          <w:sz w:val="24"/>
          <w:szCs w:val="24"/>
          <w:vertAlign w:val="superscript"/>
          <w:lang w:val="en-US"/>
        </w:rPr>
        <w:t>]</w:t>
      </w:r>
      <w:r w:rsidRPr="00F33209">
        <w:rPr>
          <w:rFonts w:ascii="Book Antiqua" w:hAnsi="Book Antiqua"/>
          <w:color w:val="000000"/>
          <w:sz w:val="24"/>
          <w:szCs w:val="24"/>
          <w:lang w:val="en-US"/>
        </w:rPr>
        <w:t xml:space="preserve">. In particular, a direct correlation was found between the muscle quantity estimated by the SMI and the psychometric performance estimated by the PHES (more muscle = better psychometric performance) while SMI was inversely correlated to </w:t>
      </w:r>
      <w:r w:rsidRPr="00F33209">
        <w:rPr>
          <w:rFonts w:ascii="Book Antiqua" w:eastAsia="AdvPTimes" w:hAnsi="Book Antiqua"/>
          <w:color w:val="000000"/>
          <w:sz w:val="24"/>
          <w:szCs w:val="24"/>
          <w:lang w:val="en-US"/>
        </w:rPr>
        <w:t xml:space="preserve">ammonia levels. These correlations support the possibility that a reduced muscle mass (and muscle quality) is able at least to contribute to higher ammonia levels and to the cognitive impairment observable in cirrhotic patients. A further evidence on the importance of muscle alteration on both ammonia level and HE is provided by </w:t>
      </w:r>
      <w:r w:rsidRPr="00F33209">
        <w:rPr>
          <w:rFonts w:ascii="Book Antiqua" w:hAnsi="Book Antiqua"/>
          <w:color w:val="000000"/>
          <w:sz w:val="24"/>
          <w:szCs w:val="24"/>
          <w:lang w:val="en-US"/>
        </w:rPr>
        <w:t xml:space="preserve">a recently published paper on the modification of muscle mass and the evolution of HE after a </w:t>
      </w:r>
      <w:r w:rsidR="00F30713" w:rsidRPr="00F30713">
        <w:rPr>
          <w:rFonts w:ascii="Book Antiqua" w:hAnsi="Book Antiqua"/>
          <w:color w:val="000000"/>
          <w:sz w:val="24"/>
          <w:szCs w:val="24"/>
        </w:rPr>
        <w:t xml:space="preserve">transjugular intrahepatic portosystemic </w:t>
      </w:r>
      <w:r w:rsidR="00F30713" w:rsidRPr="00332D4D">
        <w:rPr>
          <w:rFonts w:ascii="Book Antiqua" w:hAnsi="Book Antiqua"/>
          <w:color w:val="000000"/>
          <w:sz w:val="24"/>
          <w:szCs w:val="24"/>
        </w:rPr>
        <w:t>shunt</w:t>
      </w:r>
      <w:r w:rsidR="00F30713" w:rsidRPr="00332D4D">
        <w:rPr>
          <w:rFonts w:ascii="Book Antiqua" w:hAnsi="Book Antiqua"/>
          <w:color w:val="000000"/>
          <w:sz w:val="24"/>
          <w:szCs w:val="24"/>
          <w:lang w:val="en-US"/>
        </w:rPr>
        <w:t xml:space="preserve"> (</w:t>
      </w:r>
      <w:r w:rsidRPr="00332D4D">
        <w:rPr>
          <w:rFonts w:ascii="Book Antiqua" w:hAnsi="Book Antiqua"/>
          <w:color w:val="000000"/>
          <w:sz w:val="24"/>
          <w:szCs w:val="24"/>
          <w:lang w:val="en-US"/>
        </w:rPr>
        <w:t>TIPS</w:t>
      </w:r>
      <w:r w:rsidR="00F30713" w:rsidRPr="00332D4D">
        <w:rPr>
          <w:rFonts w:ascii="Book Antiqua" w:hAnsi="Book Antiqua"/>
          <w:color w:val="000000"/>
          <w:sz w:val="24"/>
          <w:szCs w:val="24"/>
          <w:lang w:val="en-US"/>
        </w:rPr>
        <w:t>)</w:t>
      </w:r>
      <w:r w:rsidRPr="00332D4D">
        <w:rPr>
          <w:rFonts w:ascii="Book Antiqua" w:hAnsi="Book Antiqua"/>
          <w:color w:val="000000"/>
          <w:sz w:val="24"/>
          <w:szCs w:val="24"/>
          <w:vertAlign w:val="superscript"/>
          <w:lang w:val="en-US"/>
        </w:rPr>
        <w:t>[</w:t>
      </w:r>
      <w:r w:rsidR="002B2227" w:rsidRPr="00332D4D">
        <w:rPr>
          <w:rFonts w:ascii="Book Antiqua" w:hAnsi="Book Antiqua"/>
          <w:color w:val="000000"/>
          <w:sz w:val="24"/>
          <w:szCs w:val="24"/>
          <w:vertAlign w:val="superscript"/>
          <w:lang w:val="en-US"/>
        </w:rPr>
        <w:t>56</w:t>
      </w:r>
      <w:r w:rsidR="00FE6554" w:rsidRPr="00332D4D">
        <w:rPr>
          <w:rFonts w:ascii="Book Antiqua" w:hAnsi="Book Antiqua"/>
          <w:color w:val="000000"/>
          <w:sz w:val="24"/>
          <w:szCs w:val="24"/>
          <w:vertAlign w:val="superscript"/>
          <w:lang w:val="en-US"/>
        </w:rPr>
        <w:t>,57</w:t>
      </w:r>
      <w:r w:rsidRPr="00332D4D">
        <w:rPr>
          <w:rFonts w:ascii="Book Antiqua" w:hAnsi="Book Antiqua"/>
          <w:color w:val="000000"/>
          <w:sz w:val="24"/>
          <w:szCs w:val="24"/>
          <w:vertAlign w:val="superscript"/>
          <w:lang w:val="en-US"/>
        </w:rPr>
        <w:t>]</w:t>
      </w:r>
      <w:r w:rsidRPr="00332D4D">
        <w:rPr>
          <w:rFonts w:ascii="Book Antiqua" w:hAnsi="Book Antiqua"/>
          <w:color w:val="000000"/>
          <w:sz w:val="24"/>
          <w:szCs w:val="24"/>
          <w:lang w:val="en-US"/>
        </w:rPr>
        <w:t>.</w:t>
      </w:r>
      <w:r w:rsidRPr="00F33209">
        <w:rPr>
          <w:rFonts w:ascii="Book Antiqua" w:hAnsi="Book Antiqua"/>
          <w:color w:val="000000"/>
          <w:sz w:val="24"/>
          <w:szCs w:val="24"/>
          <w:lang w:val="en-US"/>
        </w:rPr>
        <w:t xml:space="preserve"> TIPS can ameliorate the muscle mass, at least in some patients. In this setting we described that the patients with a muscle wasting amelioration after TIPS placement </w:t>
      </w:r>
      <w:r w:rsidRPr="00F33209">
        <w:rPr>
          <w:rStyle w:val="CharAttribute104"/>
          <w:rFonts w:ascii="Book Antiqua" w:eastAsia="Batang" w:hAnsi="Book Antiqua"/>
          <w:color w:val="000000"/>
          <w:szCs w:val="24"/>
          <w:lang w:val="en-GB"/>
        </w:rPr>
        <w:t xml:space="preserve">obtained an improvement of MHE </w:t>
      </w:r>
      <w:r w:rsidRPr="00F33209">
        <w:rPr>
          <w:rStyle w:val="CharAttribute105"/>
          <w:rFonts w:ascii="Book Antiqua" w:eastAsia="Batang" w:hAnsi="Book Antiqua"/>
          <w:color w:val="000000"/>
          <w:szCs w:val="24"/>
          <w:lang w:val="en-GB"/>
        </w:rPr>
        <w:t xml:space="preserve">and a lower number </w:t>
      </w:r>
      <w:r w:rsidRPr="00F33209">
        <w:rPr>
          <w:rStyle w:val="CharAttribute105"/>
          <w:rFonts w:ascii="Book Antiqua" w:eastAsia="Batang" w:hAnsi="Book Antiqua"/>
          <w:color w:val="000000"/>
          <w:szCs w:val="24"/>
          <w:lang w:val="en-GB"/>
        </w:rPr>
        <w:lastRenderedPageBreak/>
        <w:t xml:space="preserve">of episodes of overt </w:t>
      </w:r>
      <w:r w:rsidR="00872E19">
        <w:rPr>
          <w:rStyle w:val="CharAttribute105"/>
          <w:rFonts w:ascii="Book Antiqua" w:eastAsia="Batang" w:hAnsi="Book Antiqua"/>
          <w:color w:val="000000"/>
          <w:szCs w:val="24"/>
          <w:lang w:val="en-GB"/>
        </w:rPr>
        <w:t>HE</w:t>
      </w:r>
      <w:r w:rsidRPr="00F33209">
        <w:rPr>
          <w:rStyle w:val="CharAttribute105"/>
          <w:rFonts w:ascii="Book Antiqua" w:eastAsia="Batang" w:hAnsi="Book Antiqua"/>
          <w:color w:val="000000"/>
          <w:szCs w:val="24"/>
          <w:lang w:val="en-GB"/>
        </w:rPr>
        <w:t xml:space="preserve"> in the follow up </w:t>
      </w:r>
      <w:r w:rsidRPr="00F33209">
        <w:rPr>
          <w:rFonts w:ascii="Book Antiqua" w:hAnsi="Book Antiqua"/>
          <w:color w:val="000000"/>
          <w:sz w:val="24"/>
          <w:szCs w:val="24"/>
          <w:lang w:val="en-US"/>
        </w:rPr>
        <w:t>supporting a causal relationship between muscle alterations and cognitive impairment. Ammonia was also reduced in the patients with muscle mass amelioration and a significant correlation between muscle and ammonia modifications after TIPS was observed.</w:t>
      </w:r>
      <w:r w:rsidR="00F30713">
        <w:rPr>
          <w:rFonts w:ascii="Book Antiqua" w:hAnsi="Book Antiqua" w:hint="cs"/>
          <w:color w:val="000000"/>
          <w:sz w:val="24"/>
          <w:szCs w:val="24"/>
          <w:lang w:val="en-US"/>
        </w:rPr>
        <w:t xml:space="preserve"> </w:t>
      </w:r>
      <w:r w:rsidR="00DA1AD7" w:rsidRPr="00DA1AD7">
        <w:rPr>
          <w:rFonts w:ascii="Book Antiqua" w:hAnsi="Book Antiqua"/>
          <w:color w:val="000000"/>
          <w:sz w:val="24"/>
          <w:szCs w:val="24"/>
          <w:lang w:val="en-US"/>
        </w:rPr>
        <w:t xml:space="preserve">The last study, recently published by </w:t>
      </w:r>
      <w:r w:rsidR="00DA1AD7" w:rsidRPr="00332D4D">
        <w:rPr>
          <w:rFonts w:ascii="Book Antiqua" w:hAnsi="Book Antiqua"/>
          <w:color w:val="000000"/>
          <w:sz w:val="24"/>
          <w:szCs w:val="24"/>
          <w:lang w:val="en-US"/>
        </w:rPr>
        <w:t xml:space="preserve">Tapper </w:t>
      </w:r>
      <w:r w:rsidR="00DA1AD7" w:rsidRPr="00332D4D">
        <w:rPr>
          <w:rFonts w:ascii="Book Antiqua" w:hAnsi="Book Antiqua"/>
          <w:i/>
          <w:iCs/>
          <w:color w:val="000000"/>
          <w:sz w:val="24"/>
          <w:szCs w:val="24"/>
          <w:lang w:val="en-US"/>
        </w:rPr>
        <w:t>et al</w:t>
      </w:r>
      <w:r w:rsidR="00DA1AD7" w:rsidRPr="00332D4D">
        <w:rPr>
          <w:rFonts w:ascii="Book Antiqua" w:hAnsi="Book Antiqua"/>
          <w:color w:val="000000"/>
          <w:sz w:val="24"/>
          <w:szCs w:val="24"/>
          <w:vertAlign w:val="superscript"/>
          <w:lang w:val="en-US"/>
        </w:rPr>
        <w:t>[</w:t>
      </w:r>
      <w:r w:rsidR="002B2227" w:rsidRPr="00332D4D">
        <w:rPr>
          <w:rFonts w:ascii="Book Antiqua" w:hAnsi="Book Antiqua"/>
          <w:color w:val="000000"/>
          <w:sz w:val="24"/>
          <w:szCs w:val="24"/>
          <w:vertAlign w:val="superscript"/>
          <w:lang w:val="en-US"/>
        </w:rPr>
        <w:t>58</w:t>
      </w:r>
      <w:r w:rsidR="00DA1AD7" w:rsidRPr="00332D4D">
        <w:rPr>
          <w:rFonts w:ascii="Book Antiqua" w:hAnsi="Book Antiqua"/>
          <w:color w:val="000000"/>
          <w:sz w:val="24"/>
          <w:szCs w:val="24"/>
          <w:vertAlign w:val="superscript"/>
          <w:lang w:val="en-US"/>
        </w:rPr>
        <w:t>]</w:t>
      </w:r>
      <w:r w:rsidR="00DA1AD7" w:rsidRPr="00332D4D">
        <w:rPr>
          <w:rFonts w:ascii="Book Antiqua" w:hAnsi="Book Antiqua"/>
          <w:color w:val="000000"/>
          <w:sz w:val="24"/>
          <w:szCs w:val="24"/>
          <w:lang w:val="en-US"/>
        </w:rPr>
        <w:t xml:space="preserve"> evaluated</w:t>
      </w:r>
      <w:r w:rsidR="00DA1AD7" w:rsidRPr="00DA1AD7">
        <w:rPr>
          <w:rFonts w:ascii="Book Antiqua" w:hAnsi="Book Antiqua"/>
          <w:color w:val="000000"/>
          <w:sz w:val="24"/>
          <w:szCs w:val="24"/>
          <w:lang w:val="en-US"/>
        </w:rPr>
        <w:t xml:space="preserve"> the cognitive impairment with the ICT, a computerized test previously validated on cirrhotic patients. In this study, hand grip correlated strongly with skeletal muscle area and mildly with ICT performance.</w:t>
      </w:r>
    </w:p>
    <w:p w14:paraId="56EC5761" w14:textId="77777777" w:rsidR="00F30713" w:rsidRPr="00F33209" w:rsidRDefault="00F30713" w:rsidP="00F30713">
      <w:pPr>
        <w:spacing w:after="0" w:line="360" w:lineRule="auto"/>
        <w:jc w:val="both"/>
        <w:rPr>
          <w:rFonts w:ascii="Book Antiqua" w:hAnsi="Book Antiqua"/>
          <w:color w:val="000000"/>
          <w:sz w:val="24"/>
          <w:szCs w:val="24"/>
          <w:lang w:val="en-US"/>
        </w:rPr>
      </w:pPr>
    </w:p>
    <w:p w14:paraId="434A5C8F" w14:textId="2B2C63AB" w:rsidR="00414F00" w:rsidRPr="00F30713" w:rsidRDefault="00F30713" w:rsidP="002671D6">
      <w:pPr>
        <w:spacing w:after="0" w:line="360" w:lineRule="auto"/>
        <w:jc w:val="both"/>
        <w:rPr>
          <w:rFonts w:ascii="Book Antiqua" w:hAnsi="Book Antiqua"/>
          <w:color w:val="000000"/>
          <w:sz w:val="24"/>
          <w:szCs w:val="24"/>
          <w:lang w:val="en-US"/>
        </w:rPr>
      </w:pPr>
      <w:r w:rsidRPr="00F30713">
        <w:rPr>
          <w:rFonts w:ascii="Book Antiqua" w:hAnsi="Book Antiqua"/>
          <w:b/>
          <w:color w:val="000000"/>
          <w:sz w:val="24"/>
          <w:szCs w:val="24"/>
          <w:lang w:val="en-US"/>
        </w:rPr>
        <w:t>HYPOTHESIS AND FUTURE RESEARCH</w:t>
      </w:r>
    </w:p>
    <w:p w14:paraId="3BB139A8" w14:textId="77777777" w:rsidR="00DA1AD7" w:rsidRPr="00F33209" w:rsidRDefault="00414F00"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 xml:space="preserve">Given the above background, a possible hypothetical point of view is that at least some of the clinical effects attributed until now to the presence of MHE may be partially or totally explained by the contemporary presence of sarcopenia. The falls, which have been shown to be more frequent in the cirrhotic patients with MHE could be due to sarcopenia and to their functional consequences. The same could be hypothesized for the reduced driven capacity and car accidents. Even the reduced working capacity could be considered as an outcome of muscle alterations. This hypothesis should be supported by studies in which the contemporary assessment of the quantity, quality and functionality of the muscle mass are coupled with the assessment of the cognitive impairment. Multivariate analysis should be used to distinguish, at least statistically, the relative role of these two components, which are expected to covariate. This point of view, which must be supported by adequate observations could open a new perspective on the evaluation of the patients’ risk. </w:t>
      </w:r>
    </w:p>
    <w:p w14:paraId="6B6C0CC7" w14:textId="42F70036" w:rsidR="00414F00" w:rsidRPr="00F33209" w:rsidRDefault="00DA1AD7" w:rsidP="00567E26">
      <w:pPr>
        <w:spacing w:after="0" w:line="360" w:lineRule="auto"/>
        <w:ind w:firstLineChars="100" w:firstLine="240"/>
        <w:jc w:val="both"/>
        <w:rPr>
          <w:rFonts w:ascii="Book Antiqua" w:hAnsi="Book Antiqua"/>
          <w:color w:val="000000"/>
          <w:sz w:val="24"/>
          <w:szCs w:val="24"/>
          <w:lang w:val="en-US"/>
        </w:rPr>
      </w:pPr>
      <w:r w:rsidRPr="00DA1AD7">
        <w:rPr>
          <w:rFonts w:ascii="Book Antiqua" w:hAnsi="Book Antiqua"/>
          <w:color w:val="000000"/>
          <w:sz w:val="24"/>
          <w:szCs w:val="24"/>
          <w:lang w:val="en-US"/>
        </w:rPr>
        <w:t>Moreover, recent studies showed an improvement of the nutritional assessment after physical exercise in patients with cirrhosis</w:t>
      </w:r>
      <w:r w:rsidRPr="00A55A51">
        <w:rPr>
          <w:rFonts w:ascii="Book Antiqua" w:hAnsi="Book Antiqua"/>
          <w:color w:val="000000"/>
          <w:sz w:val="24"/>
          <w:szCs w:val="24"/>
          <w:vertAlign w:val="superscript"/>
          <w:lang w:val="en-US"/>
        </w:rPr>
        <w:t>[</w:t>
      </w:r>
      <w:r w:rsidR="002B2227">
        <w:rPr>
          <w:rFonts w:ascii="Book Antiqua" w:hAnsi="Book Antiqua"/>
          <w:color w:val="000000"/>
          <w:sz w:val="24"/>
          <w:szCs w:val="24"/>
          <w:vertAlign w:val="superscript"/>
          <w:lang w:val="en-US"/>
        </w:rPr>
        <w:t>59-</w:t>
      </w:r>
      <w:bookmarkStart w:id="37" w:name="_GoBack"/>
      <w:r w:rsidR="002B2227">
        <w:rPr>
          <w:rFonts w:ascii="Book Antiqua" w:hAnsi="Book Antiqua"/>
          <w:color w:val="000000"/>
          <w:sz w:val="24"/>
          <w:szCs w:val="24"/>
          <w:vertAlign w:val="superscript"/>
          <w:lang w:val="en-US"/>
        </w:rPr>
        <w:t>61</w:t>
      </w:r>
      <w:r w:rsidRPr="00A55A51">
        <w:rPr>
          <w:rFonts w:ascii="Book Antiqua" w:hAnsi="Book Antiqua"/>
          <w:color w:val="000000"/>
          <w:sz w:val="24"/>
          <w:szCs w:val="24"/>
          <w:vertAlign w:val="superscript"/>
          <w:lang w:val="en-US"/>
        </w:rPr>
        <w:t>]</w:t>
      </w:r>
      <w:bookmarkEnd w:id="37"/>
      <w:r w:rsidRPr="00DA1AD7">
        <w:rPr>
          <w:rFonts w:ascii="Book Antiqua" w:hAnsi="Book Antiqua"/>
          <w:color w:val="000000"/>
          <w:sz w:val="24"/>
          <w:szCs w:val="24"/>
          <w:lang w:val="en-US"/>
        </w:rPr>
        <w:t>, but no study investigated the modifications of cognitive impairment after physical activity. Thus, the</w:t>
      </w:r>
      <w:r w:rsidRPr="00F33209">
        <w:rPr>
          <w:rFonts w:ascii="Book Antiqua" w:hAnsi="Book Antiqua"/>
          <w:color w:val="000000"/>
          <w:sz w:val="24"/>
          <w:szCs w:val="24"/>
          <w:lang w:val="en-US"/>
        </w:rPr>
        <w:t xml:space="preserve"> </w:t>
      </w:r>
      <w:r w:rsidR="00414F00" w:rsidRPr="00F33209">
        <w:rPr>
          <w:rFonts w:ascii="Book Antiqua" w:hAnsi="Book Antiqua"/>
          <w:color w:val="000000"/>
          <w:sz w:val="24"/>
          <w:szCs w:val="24"/>
          <w:lang w:val="en-US"/>
        </w:rPr>
        <w:t xml:space="preserve">management of cirrhotic patients could be also seen from a new perspective. In fact, </w:t>
      </w:r>
      <w:r w:rsidR="00414F00" w:rsidRPr="00F33209">
        <w:rPr>
          <w:rFonts w:ascii="Book Antiqua" w:hAnsi="Book Antiqua"/>
          <w:color w:val="000000"/>
          <w:sz w:val="24"/>
          <w:szCs w:val="24"/>
          <w:lang w:val="en-GB"/>
        </w:rPr>
        <w:t xml:space="preserve">the amelioration of nutritional status may be a possible goal to decrease the prevalence of MHE and its clinical consequences. </w:t>
      </w:r>
    </w:p>
    <w:p w14:paraId="2B332E32" w14:textId="77777777" w:rsidR="00414F00" w:rsidRPr="00F33209" w:rsidRDefault="00414F00" w:rsidP="002671D6">
      <w:pPr>
        <w:spacing w:after="0" w:line="360" w:lineRule="auto"/>
        <w:jc w:val="both"/>
        <w:rPr>
          <w:rFonts w:ascii="Book Antiqua" w:hAnsi="Book Antiqua"/>
          <w:color w:val="000000"/>
          <w:sz w:val="24"/>
          <w:szCs w:val="24"/>
          <w:lang w:val="en-US"/>
        </w:rPr>
        <w:sectPr w:rsidR="00414F00" w:rsidRPr="00F33209" w:rsidSect="00736AFC">
          <w:pgSz w:w="11906" w:h="16838"/>
          <w:pgMar w:top="1440" w:right="1800" w:bottom="1440" w:left="1800" w:header="720" w:footer="720" w:gutter="0"/>
          <w:cols w:space="720"/>
          <w:docGrid w:linePitch="600" w:charSpace="40960"/>
        </w:sectPr>
      </w:pPr>
    </w:p>
    <w:p w14:paraId="65801066" w14:textId="388F35A1" w:rsidR="00414F00" w:rsidRPr="00545D1D" w:rsidRDefault="00545D1D" w:rsidP="002671D6">
      <w:pPr>
        <w:spacing w:after="0" w:line="360" w:lineRule="auto"/>
        <w:jc w:val="both"/>
        <w:rPr>
          <w:rFonts w:ascii="Book Antiqua" w:hAnsi="Book Antiqua"/>
          <w:iCs/>
          <w:color w:val="000000"/>
          <w:sz w:val="24"/>
          <w:szCs w:val="24"/>
        </w:rPr>
      </w:pPr>
      <w:r w:rsidRPr="00545D1D">
        <w:rPr>
          <w:rFonts w:ascii="Book Antiqua" w:hAnsi="Book Antiqua"/>
          <w:b/>
          <w:iCs/>
          <w:color w:val="000000"/>
          <w:sz w:val="24"/>
          <w:szCs w:val="24"/>
          <w:lang w:val="en-US"/>
        </w:rPr>
        <w:lastRenderedPageBreak/>
        <w:t xml:space="preserve">REFERENCES </w:t>
      </w:r>
    </w:p>
    <w:p w14:paraId="5E5B3DC8"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 </w:t>
      </w:r>
      <w:r w:rsidRPr="005D688D">
        <w:rPr>
          <w:rFonts w:ascii="Book Antiqua" w:eastAsia="等线" w:hAnsi="Book Antiqua"/>
          <w:b/>
          <w:kern w:val="2"/>
          <w:sz w:val="24"/>
          <w:szCs w:val="24"/>
          <w:lang w:val="en-US" w:eastAsia="zh-CN"/>
        </w:rPr>
        <w:t>Vilstrup H</w:t>
      </w:r>
      <w:r w:rsidRPr="005D688D">
        <w:rPr>
          <w:rFonts w:ascii="Book Antiqua" w:eastAsia="等线" w:hAnsi="Book Antiqua"/>
          <w:kern w:val="2"/>
          <w:sz w:val="24"/>
          <w:szCs w:val="24"/>
          <w:lang w:val="en-US" w:eastAsia="zh-CN"/>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2014; </w:t>
      </w:r>
      <w:r w:rsidRPr="005D688D">
        <w:rPr>
          <w:rFonts w:ascii="Book Antiqua" w:eastAsia="等线" w:hAnsi="Book Antiqua"/>
          <w:b/>
          <w:kern w:val="2"/>
          <w:sz w:val="24"/>
          <w:szCs w:val="24"/>
          <w:lang w:val="en-US" w:eastAsia="zh-CN"/>
        </w:rPr>
        <w:t>60</w:t>
      </w:r>
      <w:r w:rsidRPr="005D688D">
        <w:rPr>
          <w:rFonts w:ascii="Book Antiqua" w:eastAsia="等线" w:hAnsi="Book Antiqua"/>
          <w:kern w:val="2"/>
          <w:sz w:val="24"/>
          <w:szCs w:val="24"/>
          <w:lang w:val="en-US" w:eastAsia="zh-CN"/>
        </w:rPr>
        <w:t>: 715-735 [PMID: 25042402 DOI: 10.1002/hep.27210]</w:t>
      </w:r>
    </w:p>
    <w:p w14:paraId="6D5DF8CC"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 </w:t>
      </w:r>
      <w:r w:rsidRPr="005D688D">
        <w:rPr>
          <w:rFonts w:ascii="Book Antiqua" w:eastAsia="等线" w:hAnsi="Book Antiqua"/>
          <w:b/>
          <w:kern w:val="2"/>
          <w:sz w:val="24"/>
          <w:szCs w:val="24"/>
          <w:lang w:val="en-US" w:eastAsia="zh-CN"/>
        </w:rPr>
        <w:t>Gitlin N</w:t>
      </w:r>
      <w:r w:rsidRPr="005D688D">
        <w:rPr>
          <w:rFonts w:ascii="Book Antiqua" w:eastAsia="等线" w:hAnsi="Book Antiqua"/>
          <w:kern w:val="2"/>
          <w:sz w:val="24"/>
          <w:szCs w:val="24"/>
          <w:lang w:val="en-US" w:eastAsia="zh-CN"/>
        </w:rPr>
        <w:t xml:space="preserve">, Lewis DC, Hinkley L. The diagnosis and prevalence of subclinical hepatic encephalopathy in apparently healthy, ambulant, non-shunted patients with cirrhosis.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1986; </w:t>
      </w:r>
      <w:r w:rsidRPr="005D688D">
        <w:rPr>
          <w:rFonts w:ascii="Book Antiqua" w:eastAsia="等线" w:hAnsi="Book Antiqua"/>
          <w:b/>
          <w:kern w:val="2"/>
          <w:sz w:val="24"/>
          <w:szCs w:val="24"/>
          <w:lang w:val="en-US" w:eastAsia="zh-CN"/>
        </w:rPr>
        <w:t>3</w:t>
      </w:r>
      <w:r w:rsidRPr="005D688D">
        <w:rPr>
          <w:rFonts w:ascii="Book Antiqua" w:eastAsia="等线" w:hAnsi="Book Antiqua"/>
          <w:kern w:val="2"/>
          <w:sz w:val="24"/>
          <w:szCs w:val="24"/>
          <w:lang w:val="en-US" w:eastAsia="zh-CN"/>
        </w:rPr>
        <w:t>: 75-82 [PMID: 3745889 DOI: 10.1016/S0168-8278(86)80149-0]</w:t>
      </w:r>
    </w:p>
    <w:p w14:paraId="491E8D77"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 </w:t>
      </w:r>
      <w:r w:rsidRPr="005D688D">
        <w:rPr>
          <w:rFonts w:ascii="Book Antiqua" w:eastAsia="等线" w:hAnsi="Book Antiqua"/>
          <w:b/>
          <w:kern w:val="2"/>
          <w:sz w:val="24"/>
          <w:szCs w:val="24"/>
          <w:lang w:val="en-US" w:eastAsia="zh-CN"/>
        </w:rPr>
        <w:t>Lockwood AH</w:t>
      </w:r>
      <w:r w:rsidRPr="005D688D">
        <w:rPr>
          <w:rFonts w:ascii="Book Antiqua" w:eastAsia="等线" w:hAnsi="Book Antiqua"/>
          <w:kern w:val="2"/>
          <w:sz w:val="24"/>
          <w:szCs w:val="24"/>
          <w:lang w:val="en-US" w:eastAsia="zh-CN"/>
        </w:rPr>
        <w:t xml:space="preserve">. "What's in a name?" Improving the care of cirrhotics.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2000; </w:t>
      </w:r>
      <w:r w:rsidRPr="005D688D">
        <w:rPr>
          <w:rFonts w:ascii="Book Antiqua" w:eastAsia="等线" w:hAnsi="Book Antiqua"/>
          <w:b/>
          <w:kern w:val="2"/>
          <w:sz w:val="24"/>
          <w:szCs w:val="24"/>
          <w:lang w:val="en-US" w:eastAsia="zh-CN"/>
        </w:rPr>
        <w:t>32</w:t>
      </w:r>
      <w:r w:rsidRPr="005D688D">
        <w:rPr>
          <w:rFonts w:ascii="Book Antiqua" w:eastAsia="等线" w:hAnsi="Book Antiqua"/>
          <w:kern w:val="2"/>
          <w:sz w:val="24"/>
          <w:szCs w:val="24"/>
          <w:lang w:val="en-US" w:eastAsia="zh-CN"/>
        </w:rPr>
        <w:t>: 859-861 [PMID: 10845675 DOI: 10.1016/S0168-8278(00)80257-3]</w:t>
      </w:r>
    </w:p>
    <w:p w14:paraId="3425E2AD"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 </w:t>
      </w:r>
      <w:r w:rsidRPr="005D688D">
        <w:rPr>
          <w:rFonts w:ascii="Book Antiqua" w:eastAsia="等线" w:hAnsi="Book Antiqua"/>
          <w:b/>
          <w:kern w:val="2"/>
          <w:sz w:val="24"/>
          <w:szCs w:val="24"/>
          <w:lang w:val="en-US" w:eastAsia="zh-CN"/>
        </w:rPr>
        <w:t>Amodio P</w:t>
      </w:r>
      <w:r w:rsidRPr="005D688D">
        <w:rPr>
          <w:rFonts w:ascii="Book Antiqua" w:eastAsia="等线" w:hAnsi="Book Antiqua"/>
          <w:kern w:val="2"/>
          <w:sz w:val="24"/>
          <w:szCs w:val="24"/>
          <w:lang w:val="en-US" w:eastAsia="zh-CN"/>
        </w:rPr>
        <w:t xml:space="preserve">, Montagnese S, Gatta A, Morgan MY. Characteristics of minimal hepatic encephalopathy. </w:t>
      </w:r>
      <w:r w:rsidRPr="005D688D">
        <w:rPr>
          <w:rFonts w:ascii="Book Antiqua" w:eastAsia="等线" w:hAnsi="Book Antiqua"/>
          <w:i/>
          <w:kern w:val="2"/>
          <w:sz w:val="24"/>
          <w:szCs w:val="24"/>
          <w:lang w:val="en-US" w:eastAsia="zh-CN"/>
        </w:rPr>
        <w:t>Metab Brain Dis</w:t>
      </w:r>
      <w:r w:rsidRPr="005D688D">
        <w:rPr>
          <w:rFonts w:ascii="Book Antiqua" w:eastAsia="等线" w:hAnsi="Book Antiqua"/>
          <w:kern w:val="2"/>
          <w:sz w:val="24"/>
          <w:szCs w:val="24"/>
          <w:lang w:val="en-US" w:eastAsia="zh-CN"/>
        </w:rPr>
        <w:t xml:space="preserve"> 2004; </w:t>
      </w:r>
      <w:r w:rsidRPr="005D688D">
        <w:rPr>
          <w:rFonts w:ascii="Book Antiqua" w:eastAsia="等线" w:hAnsi="Book Antiqua"/>
          <w:b/>
          <w:kern w:val="2"/>
          <w:sz w:val="24"/>
          <w:szCs w:val="24"/>
          <w:lang w:val="en-US" w:eastAsia="zh-CN"/>
        </w:rPr>
        <w:t>19</w:t>
      </w:r>
      <w:r w:rsidRPr="005D688D">
        <w:rPr>
          <w:rFonts w:ascii="Book Antiqua" w:eastAsia="等线" w:hAnsi="Book Antiqua"/>
          <w:kern w:val="2"/>
          <w:sz w:val="24"/>
          <w:szCs w:val="24"/>
          <w:lang w:val="en-US" w:eastAsia="zh-CN"/>
        </w:rPr>
        <w:t>: 253-267 [PMID: 15554421 DOI: 10.1023/B:MEBR.0000043975.01841.de]</w:t>
      </w:r>
    </w:p>
    <w:p w14:paraId="2C75D586"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 </w:t>
      </w:r>
      <w:r w:rsidRPr="005D688D">
        <w:rPr>
          <w:rFonts w:ascii="Book Antiqua" w:eastAsia="等线" w:hAnsi="Book Antiqua"/>
          <w:b/>
          <w:kern w:val="2"/>
          <w:sz w:val="24"/>
          <w:szCs w:val="24"/>
          <w:lang w:val="en-US" w:eastAsia="zh-CN"/>
        </w:rPr>
        <w:t>McCrea M</w:t>
      </w:r>
      <w:r w:rsidRPr="005D688D">
        <w:rPr>
          <w:rFonts w:ascii="Book Antiqua" w:eastAsia="等线" w:hAnsi="Book Antiqua"/>
          <w:kern w:val="2"/>
          <w:sz w:val="24"/>
          <w:szCs w:val="24"/>
          <w:lang w:val="en-US" w:eastAsia="zh-CN"/>
        </w:rPr>
        <w:t xml:space="preserve">, Cordoba J, Vessey G, Blei AT, Randolph C. Neuropsychological characterization and detection of subclinical hepatic encephalopathy. </w:t>
      </w:r>
      <w:r w:rsidRPr="005D688D">
        <w:rPr>
          <w:rFonts w:ascii="Book Antiqua" w:eastAsia="等线" w:hAnsi="Book Antiqua"/>
          <w:i/>
          <w:kern w:val="2"/>
          <w:sz w:val="24"/>
          <w:szCs w:val="24"/>
          <w:lang w:val="en-US" w:eastAsia="zh-CN"/>
        </w:rPr>
        <w:t>Arch Neurol</w:t>
      </w:r>
      <w:r w:rsidRPr="005D688D">
        <w:rPr>
          <w:rFonts w:ascii="Book Antiqua" w:eastAsia="等线" w:hAnsi="Book Antiqua"/>
          <w:kern w:val="2"/>
          <w:sz w:val="24"/>
          <w:szCs w:val="24"/>
          <w:lang w:val="en-US" w:eastAsia="zh-CN"/>
        </w:rPr>
        <w:t xml:space="preserve"> 1996; </w:t>
      </w:r>
      <w:r w:rsidRPr="005D688D">
        <w:rPr>
          <w:rFonts w:ascii="Book Antiqua" w:eastAsia="等线" w:hAnsi="Book Antiqua"/>
          <w:b/>
          <w:kern w:val="2"/>
          <w:sz w:val="24"/>
          <w:szCs w:val="24"/>
          <w:lang w:val="en-US" w:eastAsia="zh-CN"/>
        </w:rPr>
        <w:t>53</w:t>
      </w:r>
      <w:r w:rsidRPr="005D688D">
        <w:rPr>
          <w:rFonts w:ascii="Book Antiqua" w:eastAsia="等线" w:hAnsi="Book Antiqua"/>
          <w:kern w:val="2"/>
          <w:sz w:val="24"/>
          <w:szCs w:val="24"/>
          <w:lang w:val="en-US" w:eastAsia="zh-CN"/>
        </w:rPr>
        <w:t>: 758-763 [PMID: 8759982 DOI: 10.1001/archneur.1996.00550080076015]</w:t>
      </w:r>
    </w:p>
    <w:p w14:paraId="3F8D44E1"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6 </w:t>
      </w:r>
      <w:r w:rsidRPr="005D688D">
        <w:rPr>
          <w:rFonts w:ascii="Book Antiqua" w:eastAsia="等线" w:hAnsi="Book Antiqua"/>
          <w:b/>
          <w:kern w:val="2"/>
          <w:sz w:val="24"/>
          <w:szCs w:val="24"/>
          <w:lang w:val="en-US" w:eastAsia="zh-CN"/>
        </w:rPr>
        <w:t>Bajaj JS</w:t>
      </w:r>
      <w:r w:rsidRPr="005D688D">
        <w:rPr>
          <w:rFonts w:ascii="Book Antiqua" w:eastAsia="等线" w:hAnsi="Book Antiqua"/>
          <w:kern w:val="2"/>
          <w:sz w:val="24"/>
          <w:szCs w:val="24"/>
          <w:lang w:val="en-US" w:eastAsia="zh-CN"/>
        </w:rPr>
        <w:t xml:space="preserve">, Wade JB, Gibson DP, Heuman DM, Thacker LR, Sterling RK, Stravitz RT, Luketic V, Fuchs M, White MB, Bell DE, Gilles H, Morton K, Noble N, Puri P, Sanyal AJ. The multi-dimensional burden of cirrhosis and hepatic encephalopathy on patients and caregivers. </w:t>
      </w:r>
      <w:r w:rsidRPr="005D688D">
        <w:rPr>
          <w:rFonts w:ascii="Book Antiqua" w:eastAsia="等线" w:hAnsi="Book Antiqua"/>
          <w:i/>
          <w:kern w:val="2"/>
          <w:sz w:val="24"/>
          <w:szCs w:val="24"/>
          <w:lang w:val="en-US" w:eastAsia="zh-CN"/>
        </w:rPr>
        <w:t>Am J Gastroenterol</w:t>
      </w:r>
      <w:r w:rsidRPr="005D688D">
        <w:rPr>
          <w:rFonts w:ascii="Book Antiqua" w:eastAsia="等线" w:hAnsi="Book Antiqua"/>
          <w:kern w:val="2"/>
          <w:sz w:val="24"/>
          <w:szCs w:val="24"/>
          <w:lang w:val="en-US" w:eastAsia="zh-CN"/>
        </w:rPr>
        <w:t xml:space="preserve"> 2011; </w:t>
      </w:r>
      <w:r w:rsidRPr="005D688D">
        <w:rPr>
          <w:rFonts w:ascii="Book Antiqua" w:eastAsia="等线" w:hAnsi="Book Antiqua"/>
          <w:b/>
          <w:kern w:val="2"/>
          <w:sz w:val="24"/>
          <w:szCs w:val="24"/>
          <w:lang w:val="en-US" w:eastAsia="zh-CN"/>
        </w:rPr>
        <w:t>106</w:t>
      </w:r>
      <w:r w:rsidRPr="005D688D">
        <w:rPr>
          <w:rFonts w:ascii="Book Antiqua" w:eastAsia="等线" w:hAnsi="Book Antiqua"/>
          <w:kern w:val="2"/>
          <w:sz w:val="24"/>
          <w:szCs w:val="24"/>
          <w:lang w:val="en-US" w:eastAsia="zh-CN"/>
        </w:rPr>
        <w:t>: 1646-1653 [PMID: 21556040 DOI: 10.1038/ajg.2011.157]</w:t>
      </w:r>
    </w:p>
    <w:p w14:paraId="2998455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7 </w:t>
      </w:r>
      <w:r w:rsidRPr="005D688D">
        <w:rPr>
          <w:rFonts w:ascii="Book Antiqua" w:eastAsia="等线" w:hAnsi="Book Antiqua"/>
          <w:b/>
          <w:kern w:val="2"/>
          <w:sz w:val="24"/>
          <w:szCs w:val="24"/>
          <w:lang w:val="en-US" w:eastAsia="zh-CN"/>
        </w:rPr>
        <w:t>Groeneweg M</w:t>
      </w:r>
      <w:r w:rsidRPr="005D688D">
        <w:rPr>
          <w:rFonts w:ascii="Book Antiqua" w:eastAsia="等线" w:hAnsi="Book Antiqua"/>
          <w:kern w:val="2"/>
          <w:sz w:val="24"/>
          <w:szCs w:val="24"/>
          <w:lang w:val="en-US" w:eastAsia="zh-CN"/>
        </w:rPr>
        <w:t xml:space="preserve">, Moerland W, Quero JC, Hop WC, Krabbe PF, Schalm SW. Screening of subclinical hepatic encephalopathy.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2000; </w:t>
      </w:r>
      <w:r w:rsidRPr="005D688D">
        <w:rPr>
          <w:rFonts w:ascii="Book Antiqua" w:eastAsia="等线" w:hAnsi="Book Antiqua"/>
          <w:b/>
          <w:kern w:val="2"/>
          <w:sz w:val="24"/>
          <w:szCs w:val="24"/>
          <w:lang w:val="en-US" w:eastAsia="zh-CN"/>
        </w:rPr>
        <w:t>32</w:t>
      </w:r>
      <w:r w:rsidRPr="005D688D">
        <w:rPr>
          <w:rFonts w:ascii="Book Antiqua" w:eastAsia="等线" w:hAnsi="Book Antiqua"/>
          <w:kern w:val="2"/>
          <w:sz w:val="24"/>
          <w:szCs w:val="24"/>
          <w:lang w:val="en-US" w:eastAsia="zh-CN"/>
        </w:rPr>
        <w:t>: 748-753 [PMID: 10845661 DOI: 10.1016/S0168-8278(00)80243-3]</w:t>
      </w:r>
    </w:p>
    <w:p w14:paraId="51A970D3"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8 </w:t>
      </w:r>
      <w:r w:rsidRPr="005D688D">
        <w:rPr>
          <w:rFonts w:ascii="Book Antiqua" w:eastAsia="等线" w:hAnsi="Book Antiqua"/>
          <w:b/>
          <w:kern w:val="2"/>
          <w:sz w:val="24"/>
          <w:szCs w:val="24"/>
          <w:lang w:val="en-US" w:eastAsia="zh-CN"/>
        </w:rPr>
        <w:t>Saxena N</w:t>
      </w:r>
      <w:r w:rsidRPr="005D688D">
        <w:rPr>
          <w:rFonts w:ascii="Book Antiqua" w:eastAsia="等线" w:hAnsi="Book Antiqua"/>
          <w:kern w:val="2"/>
          <w:sz w:val="24"/>
          <w:szCs w:val="24"/>
          <w:lang w:val="en-US" w:eastAsia="zh-CN"/>
        </w:rPr>
        <w:t xml:space="preserve">, Bhatia M, Joshi YK, Garg PK, Tandon RK. Auditory P300 event-related potentials and number connection test for evaluation of subclinical hepatic encephalopathy in patients with cirrhosis of the liver: A follow-up study. </w:t>
      </w:r>
      <w:r w:rsidRPr="005D688D">
        <w:rPr>
          <w:rFonts w:ascii="Book Antiqua" w:eastAsia="等线" w:hAnsi="Book Antiqua"/>
          <w:i/>
          <w:kern w:val="2"/>
          <w:sz w:val="24"/>
          <w:szCs w:val="24"/>
          <w:lang w:val="en-US" w:eastAsia="zh-CN"/>
        </w:rPr>
        <w:t>J Gastroenterol Hepatol</w:t>
      </w:r>
      <w:r w:rsidRPr="005D688D">
        <w:rPr>
          <w:rFonts w:ascii="Book Antiqua" w:eastAsia="等线" w:hAnsi="Book Antiqua"/>
          <w:kern w:val="2"/>
          <w:sz w:val="24"/>
          <w:szCs w:val="24"/>
          <w:lang w:val="en-US" w:eastAsia="zh-CN"/>
        </w:rPr>
        <w:t xml:space="preserve"> 2001; </w:t>
      </w:r>
      <w:r w:rsidRPr="005D688D">
        <w:rPr>
          <w:rFonts w:ascii="Book Antiqua" w:eastAsia="等线" w:hAnsi="Book Antiqua"/>
          <w:b/>
          <w:kern w:val="2"/>
          <w:sz w:val="24"/>
          <w:szCs w:val="24"/>
          <w:lang w:val="en-US" w:eastAsia="zh-CN"/>
        </w:rPr>
        <w:t>16</w:t>
      </w:r>
      <w:r w:rsidRPr="005D688D">
        <w:rPr>
          <w:rFonts w:ascii="Book Antiqua" w:eastAsia="等线" w:hAnsi="Book Antiqua"/>
          <w:kern w:val="2"/>
          <w:sz w:val="24"/>
          <w:szCs w:val="24"/>
          <w:lang w:val="en-US" w:eastAsia="zh-CN"/>
        </w:rPr>
        <w:t>: 322-327 [PMID: 11339425 DOI: 10.1046/j.1440-1746.2001.02388.x]</w:t>
      </w:r>
    </w:p>
    <w:p w14:paraId="6C5A3467"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9 </w:t>
      </w:r>
      <w:r w:rsidRPr="005D688D">
        <w:rPr>
          <w:rFonts w:ascii="Book Antiqua" w:eastAsia="等线" w:hAnsi="Book Antiqua"/>
          <w:b/>
          <w:kern w:val="2"/>
          <w:sz w:val="24"/>
          <w:szCs w:val="24"/>
          <w:lang w:val="en-US" w:eastAsia="zh-CN"/>
        </w:rPr>
        <w:t>Schomerus H</w:t>
      </w:r>
      <w:r w:rsidRPr="005D688D">
        <w:rPr>
          <w:rFonts w:ascii="Book Antiqua" w:eastAsia="等线" w:hAnsi="Book Antiqua"/>
          <w:kern w:val="2"/>
          <w:sz w:val="24"/>
          <w:szCs w:val="24"/>
          <w:lang w:val="en-US" w:eastAsia="zh-CN"/>
        </w:rPr>
        <w:t xml:space="preserve">, Hamster W. Quality of life in cirrhotics with minimal hepatic encephalopathy. </w:t>
      </w:r>
      <w:r w:rsidRPr="005D688D">
        <w:rPr>
          <w:rFonts w:ascii="Book Antiqua" w:eastAsia="等线" w:hAnsi="Book Antiqua"/>
          <w:i/>
          <w:kern w:val="2"/>
          <w:sz w:val="24"/>
          <w:szCs w:val="24"/>
          <w:lang w:val="en-US" w:eastAsia="zh-CN"/>
        </w:rPr>
        <w:t>Metab Brain Dis</w:t>
      </w:r>
      <w:r w:rsidRPr="005D688D">
        <w:rPr>
          <w:rFonts w:ascii="Book Antiqua" w:eastAsia="等线" w:hAnsi="Book Antiqua"/>
          <w:kern w:val="2"/>
          <w:sz w:val="24"/>
          <w:szCs w:val="24"/>
          <w:lang w:val="en-US" w:eastAsia="zh-CN"/>
        </w:rPr>
        <w:t xml:space="preserve"> 2001; </w:t>
      </w:r>
      <w:r w:rsidRPr="005D688D">
        <w:rPr>
          <w:rFonts w:ascii="Book Antiqua" w:eastAsia="等线" w:hAnsi="Book Antiqua"/>
          <w:b/>
          <w:kern w:val="2"/>
          <w:sz w:val="24"/>
          <w:szCs w:val="24"/>
          <w:lang w:val="en-US" w:eastAsia="zh-CN"/>
        </w:rPr>
        <w:t>16</w:t>
      </w:r>
      <w:r w:rsidRPr="005D688D">
        <w:rPr>
          <w:rFonts w:ascii="Book Antiqua" w:eastAsia="等线" w:hAnsi="Book Antiqua"/>
          <w:kern w:val="2"/>
          <w:sz w:val="24"/>
          <w:szCs w:val="24"/>
          <w:lang w:val="en-US" w:eastAsia="zh-CN"/>
        </w:rPr>
        <w:t>: 37-41 [PMID: 11726087 DOI: 10.1023/A:1011610427843]</w:t>
      </w:r>
    </w:p>
    <w:p w14:paraId="5B9946E2"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10 </w:t>
      </w:r>
      <w:r w:rsidRPr="005D688D">
        <w:rPr>
          <w:rFonts w:ascii="Book Antiqua" w:eastAsia="等线" w:hAnsi="Book Antiqua"/>
          <w:b/>
          <w:kern w:val="2"/>
          <w:sz w:val="24"/>
          <w:szCs w:val="24"/>
          <w:lang w:val="en-US" w:eastAsia="zh-CN"/>
        </w:rPr>
        <w:t>Sharma P</w:t>
      </w:r>
      <w:r w:rsidRPr="005D688D">
        <w:rPr>
          <w:rFonts w:ascii="Book Antiqua" w:eastAsia="等线" w:hAnsi="Book Antiqua"/>
          <w:kern w:val="2"/>
          <w:sz w:val="24"/>
          <w:szCs w:val="24"/>
          <w:lang w:val="en-US" w:eastAsia="zh-CN"/>
        </w:rPr>
        <w:t xml:space="preserve">, Sharma BC, Puri V, Sarin SK. Critical flicker frequency: Diagnostic tool for minimal hepatic encephalopathy.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2007; </w:t>
      </w:r>
      <w:r w:rsidRPr="005D688D">
        <w:rPr>
          <w:rFonts w:ascii="Book Antiqua" w:eastAsia="等线" w:hAnsi="Book Antiqua"/>
          <w:b/>
          <w:kern w:val="2"/>
          <w:sz w:val="24"/>
          <w:szCs w:val="24"/>
          <w:lang w:val="en-US" w:eastAsia="zh-CN"/>
        </w:rPr>
        <w:t>47</w:t>
      </w:r>
      <w:r w:rsidRPr="005D688D">
        <w:rPr>
          <w:rFonts w:ascii="Book Antiqua" w:eastAsia="等线" w:hAnsi="Book Antiqua"/>
          <w:kern w:val="2"/>
          <w:sz w:val="24"/>
          <w:szCs w:val="24"/>
          <w:lang w:val="en-US" w:eastAsia="zh-CN"/>
        </w:rPr>
        <w:t xml:space="preserve">: 67-73 [PMID: 17459511 DOI: </w:t>
      </w:r>
      <w:r w:rsidRPr="005D688D">
        <w:rPr>
          <w:rFonts w:ascii="Book Antiqua" w:eastAsia="等线" w:hAnsi="Book Antiqua"/>
          <w:kern w:val="2"/>
          <w:sz w:val="24"/>
          <w:szCs w:val="24"/>
          <w:lang w:val="en-US" w:eastAsia="zh-CN"/>
        </w:rPr>
        <w:lastRenderedPageBreak/>
        <w:t>10.1016/j.jhep.2007.02.022]</w:t>
      </w:r>
    </w:p>
    <w:p w14:paraId="2241227F"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11 </w:t>
      </w:r>
      <w:r w:rsidRPr="005D688D">
        <w:rPr>
          <w:rFonts w:ascii="Book Antiqua" w:eastAsia="等线" w:hAnsi="Book Antiqua"/>
          <w:b/>
          <w:kern w:val="2"/>
          <w:sz w:val="24"/>
          <w:szCs w:val="24"/>
          <w:lang w:val="en-US" w:eastAsia="zh-CN"/>
        </w:rPr>
        <w:t>Bajaj JS</w:t>
      </w:r>
      <w:r w:rsidRPr="005D688D">
        <w:rPr>
          <w:rFonts w:ascii="Book Antiqua" w:eastAsia="等线" w:hAnsi="Book Antiqua"/>
          <w:kern w:val="2"/>
          <w:sz w:val="24"/>
          <w:szCs w:val="24"/>
          <w:lang w:val="en-US" w:eastAsia="zh-CN"/>
        </w:rPr>
        <w:t xml:space="preserve">. Management options for minimal hepatic encephalopathy. </w:t>
      </w:r>
      <w:r w:rsidRPr="005D688D">
        <w:rPr>
          <w:rFonts w:ascii="Book Antiqua" w:eastAsia="等线" w:hAnsi="Book Antiqua"/>
          <w:i/>
          <w:kern w:val="2"/>
          <w:sz w:val="24"/>
          <w:szCs w:val="24"/>
          <w:lang w:val="en-US" w:eastAsia="zh-CN"/>
        </w:rPr>
        <w:t>Expert Rev Gastroenterol Hepatol</w:t>
      </w:r>
      <w:r w:rsidRPr="005D688D">
        <w:rPr>
          <w:rFonts w:ascii="Book Antiqua" w:eastAsia="等线" w:hAnsi="Book Antiqua"/>
          <w:kern w:val="2"/>
          <w:sz w:val="24"/>
          <w:szCs w:val="24"/>
          <w:lang w:val="en-US" w:eastAsia="zh-CN"/>
        </w:rPr>
        <w:t xml:space="preserve"> 2008; </w:t>
      </w:r>
      <w:r w:rsidRPr="005D688D">
        <w:rPr>
          <w:rFonts w:ascii="Book Antiqua" w:eastAsia="等线" w:hAnsi="Book Antiqua"/>
          <w:b/>
          <w:kern w:val="2"/>
          <w:sz w:val="24"/>
          <w:szCs w:val="24"/>
          <w:lang w:val="en-US" w:eastAsia="zh-CN"/>
        </w:rPr>
        <w:t>2</w:t>
      </w:r>
      <w:r w:rsidRPr="005D688D">
        <w:rPr>
          <w:rFonts w:ascii="Book Antiqua" w:eastAsia="等线" w:hAnsi="Book Antiqua"/>
          <w:kern w:val="2"/>
          <w:sz w:val="24"/>
          <w:szCs w:val="24"/>
          <w:lang w:val="en-US" w:eastAsia="zh-CN"/>
        </w:rPr>
        <w:t>: 785-790 [PMID: 19090738 DOI: 10.1586/17474124.2.6.785]</w:t>
      </w:r>
    </w:p>
    <w:p w14:paraId="37D5262C"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12 </w:t>
      </w:r>
      <w:r w:rsidRPr="005D688D">
        <w:rPr>
          <w:rFonts w:ascii="Book Antiqua" w:eastAsia="等线" w:hAnsi="Book Antiqua"/>
          <w:b/>
          <w:kern w:val="2"/>
          <w:sz w:val="24"/>
          <w:szCs w:val="24"/>
          <w:lang w:val="en-US" w:eastAsia="zh-CN"/>
        </w:rPr>
        <w:t>Ridola L</w:t>
      </w:r>
      <w:r w:rsidRPr="005D688D">
        <w:rPr>
          <w:rFonts w:ascii="Book Antiqua" w:eastAsia="等线" w:hAnsi="Book Antiqua"/>
          <w:kern w:val="2"/>
          <w:sz w:val="24"/>
          <w:szCs w:val="24"/>
          <w:lang w:val="en-US" w:eastAsia="zh-CN"/>
        </w:rPr>
        <w:t xml:space="preserve">, Cardinale V, Riggio O. The burden of minimal hepatic encephalopathy: From diagnosis to therapeutic strategies. </w:t>
      </w:r>
      <w:r w:rsidRPr="005D688D">
        <w:rPr>
          <w:rFonts w:ascii="Book Antiqua" w:eastAsia="等线" w:hAnsi="Book Antiqua"/>
          <w:i/>
          <w:kern w:val="2"/>
          <w:sz w:val="24"/>
          <w:szCs w:val="24"/>
          <w:lang w:val="en-US" w:eastAsia="zh-CN"/>
        </w:rPr>
        <w:t>Ann Gastroenterol</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31</w:t>
      </w:r>
      <w:r w:rsidRPr="005D688D">
        <w:rPr>
          <w:rFonts w:ascii="Book Antiqua" w:eastAsia="等线" w:hAnsi="Book Antiqua"/>
          <w:kern w:val="2"/>
          <w:sz w:val="24"/>
          <w:szCs w:val="24"/>
          <w:lang w:val="en-US" w:eastAsia="zh-CN"/>
        </w:rPr>
        <w:t>: 151-164 [PMID: 29507462 DOI: 10.20524/aog.2018.0232]</w:t>
      </w:r>
    </w:p>
    <w:p w14:paraId="07263D21"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13 </w:t>
      </w:r>
      <w:r w:rsidRPr="005D688D">
        <w:rPr>
          <w:rFonts w:ascii="Book Antiqua" w:eastAsia="等线" w:hAnsi="Book Antiqua"/>
          <w:b/>
          <w:kern w:val="2"/>
          <w:sz w:val="24"/>
          <w:szCs w:val="24"/>
          <w:lang w:val="en-US" w:eastAsia="zh-CN"/>
        </w:rPr>
        <w:t>Bajaj JS</w:t>
      </w:r>
      <w:r w:rsidRPr="005D688D">
        <w:rPr>
          <w:rFonts w:ascii="Book Antiqua" w:eastAsia="等线" w:hAnsi="Book Antiqua"/>
          <w:kern w:val="2"/>
          <w:sz w:val="24"/>
          <w:szCs w:val="24"/>
          <w:lang w:val="en-US" w:eastAsia="zh-CN"/>
        </w:rPr>
        <w:t xml:space="preserve">, Saeian K, Verber MD, Hischke D, Hoffmann RG, Franco J, Varma RR, Rao SM. Inhibitory control test is a simple method to diagnose minimal hepatic encephalopathy and predict development of overt hepatic encephalopathy. </w:t>
      </w:r>
      <w:r w:rsidRPr="005D688D">
        <w:rPr>
          <w:rFonts w:ascii="Book Antiqua" w:eastAsia="等线" w:hAnsi="Book Antiqua"/>
          <w:i/>
          <w:kern w:val="2"/>
          <w:sz w:val="24"/>
          <w:szCs w:val="24"/>
          <w:lang w:val="en-US" w:eastAsia="zh-CN"/>
        </w:rPr>
        <w:t>Am J Gastroenterol</w:t>
      </w:r>
      <w:r w:rsidRPr="005D688D">
        <w:rPr>
          <w:rFonts w:ascii="Book Antiqua" w:eastAsia="等线" w:hAnsi="Book Antiqua"/>
          <w:kern w:val="2"/>
          <w:sz w:val="24"/>
          <w:szCs w:val="24"/>
          <w:lang w:val="en-US" w:eastAsia="zh-CN"/>
        </w:rPr>
        <w:t xml:space="preserve"> 2007; </w:t>
      </w:r>
      <w:r w:rsidRPr="005D688D">
        <w:rPr>
          <w:rFonts w:ascii="Book Antiqua" w:eastAsia="等线" w:hAnsi="Book Antiqua"/>
          <w:b/>
          <w:kern w:val="2"/>
          <w:sz w:val="24"/>
          <w:szCs w:val="24"/>
          <w:lang w:val="en-US" w:eastAsia="zh-CN"/>
        </w:rPr>
        <w:t>102</w:t>
      </w:r>
      <w:r w:rsidRPr="005D688D">
        <w:rPr>
          <w:rFonts w:ascii="Book Antiqua" w:eastAsia="等线" w:hAnsi="Book Antiqua"/>
          <w:kern w:val="2"/>
          <w:sz w:val="24"/>
          <w:szCs w:val="24"/>
          <w:lang w:val="en-US" w:eastAsia="zh-CN"/>
        </w:rPr>
        <w:t>: 754-760 [PMID: 17222319 DOI: 10.1111/j.1572-0241.2007.01048.x]</w:t>
      </w:r>
    </w:p>
    <w:p w14:paraId="6103D7FA"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14 </w:t>
      </w:r>
      <w:r w:rsidRPr="005D688D">
        <w:rPr>
          <w:rFonts w:ascii="Book Antiqua" w:eastAsia="等线" w:hAnsi="Book Antiqua"/>
          <w:b/>
          <w:kern w:val="2"/>
          <w:sz w:val="24"/>
          <w:szCs w:val="24"/>
          <w:lang w:val="en-US" w:eastAsia="zh-CN"/>
        </w:rPr>
        <w:t>Ford JM</w:t>
      </w:r>
      <w:r w:rsidRPr="005D688D">
        <w:rPr>
          <w:rFonts w:ascii="Book Antiqua" w:eastAsia="等线" w:hAnsi="Book Antiqua"/>
          <w:kern w:val="2"/>
          <w:sz w:val="24"/>
          <w:szCs w:val="24"/>
          <w:lang w:val="en-US" w:eastAsia="zh-CN"/>
        </w:rPr>
        <w:t xml:space="preserve">, Gray M, Whitfield SL, Turken AU, Glover G, Faustman WO, Mathalon DH. Acquiring and inhibiting prepotent responses in schizophrenia: Event-related brain potentials and functional magnetic resonance imaging. </w:t>
      </w:r>
      <w:r w:rsidRPr="005D688D">
        <w:rPr>
          <w:rFonts w:ascii="Book Antiqua" w:eastAsia="等线" w:hAnsi="Book Antiqua"/>
          <w:i/>
          <w:kern w:val="2"/>
          <w:sz w:val="24"/>
          <w:szCs w:val="24"/>
          <w:lang w:val="en-US" w:eastAsia="zh-CN"/>
        </w:rPr>
        <w:t>Arch Gen Psychiatry</w:t>
      </w:r>
      <w:r w:rsidRPr="005D688D">
        <w:rPr>
          <w:rFonts w:ascii="Book Antiqua" w:eastAsia="等线" w:hAnsi="Book Antiqua"/>
          <w:kern w:val="2"/>
          <w:sz w:val="24"/>
          <w:szCs w:val="24"/>
          <w:lang w:val="en-US" w:eastAsia="zh-CN"/>
        </w:rPr>
        <w:t xml:space="preserve"> 2004; </w:t>
      </w:r>
      <w:r w:rsidRPr="005D688D">
        <w:rPr>
          <w:rFonts w:ascii="Book Antiqua" w:eastAsia="等线" w:hAnsi="Book Antiqua"/>
          <w:b/>
          <w:kern w:val="2"/>
          <w:sz w:val="24"/>
          <w:szCs w:val="24"/>
          <w:lang w:val="en-US" w:eastAsia="zh-CN"/>
        </w:rPr>
        <w:t>61</w:t>
      </w:r>
      <w:r w:rsidRPr="005D688D">
        <w:rPr>
          <w:rFonts w:ascii="Book Antiqua" w:eastAsia="等线" w:hAnsi="Book Antiqua"/>
          <w:kern w:val="2"/>
          <w:sz w:val="24"/>
          <w:szCs w:val="24"/>
          <w:lang w:val="en-US" w:eastAsia="zh-CN"/>
        </w:rPr>
        <w:t>: 119-129 [PMID: 14757588 DOI: 10.1001/archpsyc.61.2.119]</w:t>
      </w:r>
    </w:p>
    <w:p w14:paraId="6B818C7A"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15 </w:t>
      </w:r>
      <w:r w:rsidRPr="005D688D">
        <w:rPr>
          <w:rFonts w:ascii="Book Antiqua" w:eastAsia="等线" w:hAnsi="Book Antiqua"/>
          <w:b/>
          <w:kern w:val="2"/>
          <w:sz w:val="24"/>
          <w:szCs w:val="24"/>
          <w:lang w:val="en-US" w:eastAsia="zh-CN"/>
        </w:rPr>
        <w:t>Schiff S</w:t>
      </w:r>
      <w:r w:rsidRPr="005D688D">
        <w:rPr>
          <w:rFonts w:ascii="Book Antiqua" w:eastAsia="等线" w:hAnsi="Book Antiqua"/>
          <w:kern w:val="2"/>
          <w:sz w:val="24"/>
          <w:szCs w:val="24"/>
          <w:lang w:val="en-US" w:eastAsia="zh-CN"/>
        </w:rPr>
        <w:t xml:space="preserve">, Vallesi A, Mapelli D, Orsato R, Pellegrini A, Umiltà C, Gatta A, Amodio P. Impairment of response inhibition precedes motor alteration in the early stage of liver cirrhosis: A behavioral and electrophysiological study. </w:t>
      </w:r>
      <w:r w:rsidRPr="005D688D">
        <w:rPr>
          <w:rFonts w:ascii="Book Antiqua" w:eastAsia="等线" w:hAnsi="Book Antiqua"/>
          <w:i/>
          <w:kern w:val="2"/>
          <w:sz w:val="24"/>
          <w:szCs w:val="24"/>
          <w:lang w:val="en-US" w:eastAsia="zh-CN"/>
        </w:rPr>
        <w:t>Metab Brain Dis</w:t>
      </w:r>
      <w:r w:rsidRPr="005D688D">
        <w:rPr>
          <w:rFonts w:ascii="Book Antiqua" w:eastAsia="等线" w:hAnsi="Book Antiqua"/>
          <w:kern w:val="2"/>
          <w:sz w:val="24"/>
          <w:szCs w:val="24"/>
          <w:lang w:val="en-US" w:eastAsia="zh-CN"/>
        </w:rPr>
        <w:t xml:space="preserve"> 2005; </w:t>
      </w:r>
      <w:r w:rsidRPr="005D688D">
        <w:rPr>
          <w:rFonts w:ascii="Book Antiqua" w:eastAsia="等线" w:hAnsi="Book Antiqua"/>
          <w:b/>
          <w:kern w:val="2"/>
          <w:sz w:val="24"/>
          <w:szCs w:val="24"/>
          <w:lang w:val="en-US" w:eastAsia="zh-CN"/>
        </w:rPr>
        <w:t>20</w:t>
      </w:r>
      <w:r w:rsidRPr="005D688D">
        <w:rPr>
          <w:rFonts w:ascii="Book Antiqua" w:eastAsia="等线" w:hAnsi="Book Antiqua"/>
          <w:kern w:val="2"/>
          <w:sz w:val="24"/>
          <w:szCs w:val="24"/>
          <w:lang w:val="en-US" w:eastAsia="zh-CN"/>
        </w:rPr>
        <w:t>: 381-392 [PMID: 16382348 DOI: 10.1007/s11011-005-7922-4]</w:t>
      </w:r>
    </w:p>
    <w:p w14:paraId="63F70B6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16 </w:t>
      </w:r>
      <w:r w:rsidRPr="005D688D">
        <w:rPr>
          <w:rFonts w:ascii="Book Antiqua" w:eastAsia="等线" w:hAnsi="Book Antiqua"/>
          <w:b/>
          <w:kern w:val="2"/>
          <w:sz w:val="24"/>
          <w:szCs w:val="24"/>
          <w:lang w:val="en-US" w:eastAsia="zh-CN"/>
        </w:rPr>
        <w:t>Ridola L</w:t>
      </w:r>
      <w:r w:rsidRPr="005D688D">
        <w:rPr>
          <w:rFonts w:ascii="Book Antiqua" w:eastAsia="等线" w:hAnsi="Book Antiqua"/>
          <w:kern w:val="2"/>
          <w:sz w:val="24"/>
          <w:szCs w:val="24"/>
          <w:lang w:val="en-US" w:eastAsia="zh-CN"/>
        </w:rPr>
        <w:t xml:space="preserve">, Nardelli S, Gioia S, Riggio O. Quality of life in patients with minimal hepatic encephalopathy. </w:t>
      </w:r>
      <w:r w:rsidRPr="005D688D">
        <w:rPr>
          <w:rFonts w:ascii="Book Antiqua" w:eastAsia="等线" w:hAnsi="Book Antiqua"/>
          <w:i/>
          <w:kern w:val="2"/>
          <w:sz w:val="24"/>
          <w:szCs w:val="24"/>
          <w:lang w:val="en-US" w:eastAsia="zh-CN"/>
        </w:rPr>
        <w:t>World J Gastroenterol</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24</w:t>
      </w:r>
      <w:r w:rsidRPr="005D688D">
        <w:rPr>
          <w:rFonts w:ascii="Book Antiqua" w:eastAsia="等线" w:hAnsi="Book Antiqua"/>
          <w:kern w:val="2"/>
          <w:sz w:val="24"/>
          <w:szCs w:val="24"/>
          <w:lang w:val="en-US" w:eastAsia="zh-CN"/>
        </w:rPr>
        <w:t>: 5446-5453 [PMID: 30622374 DOI: 10.3748/wjg.v24.i48.5446]</w:t>
      </w:r>
    </w:p>
    <w:p w14:paraId="177E05AE"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17 </w:t>
      </w:r>
      <w:r w:rsidRPr="005D688D">
        <w:rPr>
          <w:rFonts w:ascii="Book Antiqua" w:eastAsia="等线" w:hAnsi="Book Antiqua"/>
          <w:b/>
          <w:kern w:val="2"/>
          <w:sz w:val="24"/>
          <w:szCs w:val="24"/>
          <w:lang w:val="en-US" w:eastAsia="zh-CN"/>
        </w:rPr>
        <w:t>Bajaj JS</w:t>
      </w:r>
      <w:r w:rsidRPr="005D688D">
        <w:rPr>
          <w:rFonts w:ascii="Book Antiqua" w:eastAsia="等线" w:hAnsi="Book Antiqua"/>
          <w:kern w:val="2"/>
          <w:sz w:val="24"/>
          <w:szCs w:val="24"/>
          <w:lang w:val="en-US" w:eastAsia="zh-CN"/>
        </w:rPr>
        <w:t xml:space="preserve">, Riggio O, Allampati S, Prakash R, Gioia S, Onori E, Piazza N, Noble NA, White MB, Mullen KD. Cognitive dysfunction is associated with poor socioeconomic status in patients with cirrhosis: An international multicenter study. </w:t>
      </w:r>
      <w:r w:rsidRPr="005D688D">
        <w:rPr>
          <w:rFonts w:ascii="Book Antiqua" w:eastAsia="等线" w:hAnsi="Book Antiqua"/>
          <w:i/>
          <w:kern w:val="2"/>
          <w:sz w:val="24"/>
          <w:szCs w:val="24"/>
          <w:lang w:val="en-US" w:eastAsia="zh-CN"/>
        </w:rPr>
        <w:t>Clin Gastroenterol Hepatol</w:t>
      </w:r>
      <w:r w:rsidRPr="005D688D">
        <w:rPr>
          <w:rFonts w:ascii="Book Antiqua" w:eastAsia="等线" w:hAnsi="Book Antiqua"/>
          <w:kern w:val="2"/>
          <w:sz w:val="24"/>
          <w:szCs w:val="24"/>
          <w:lang w:val="en-US" w:eastAsia="zh-CN"/>
        </w:rPr>
        <w:t xml:space="preserve"> 2013; </w:t>
      </w:r>
      <w:r w:rsidRPr="005D688D">
        <w:rPr>
          <w:rFonts w:ascii="Book Antiqua" w:eastAsia="等线" w:hAnsi="Book Antiqua"/>
          <w:b/>
          <w:kern w:val="2"/>
          <w:sz w:val="24"/>
          <w:szCs w:val="24"/>
          <w:lang w:val="en-US" w:eastAsia="zh-CN"/>
        </w:rPr>
        <w:t>11</w:t>
      </w:r>
      <w:r w:rsidRPr="005D688D">
        <w:rPr>
          <w:rFonts w:ascii="Book Antiqua" w:eastAsia="等线" w:hAnsi="Book Antiqua"/>
          <w:kern w:val="2"/>
          <w:sz w:val="24"/>
          <w:szCs w:val="24"/>
          <w:lang w:val="en-US" w:eastAsia="zh-CN"/>
        </w:rPr>
        <w:t>: 1511-1516 [PMID: 23707462 DOI: 10.1016/j.cgh.2013.05.010]</w:t>
      </w:r>
    </w:p>
    <w:p w14:paraId="58AC96B6"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18 </w:t>
      </w:r>
      <w:r w:rsidRPr="005D688D">
        <w:rPr>
          <w:rFonts w:ascii="Book Antiqua" w:eastAsia="等线" w:hAnsi="Book Antiqua"/>
          <w:b/>
          <w:kern w:val="2"/>
          <w:sz w:val="24"/>
          <w:szCs w:val="24"/>
          <w:lang w:val="en-US" w:eastAsia="zh-CN"/>
        </w:rPr>
        <w:t>Rakoski MO</w:t>
      </w:r>
      <w:r w:rsidRPr="005D688D">
        <w:rPr>
          <w:rFonts w:ascii="Book Antiqua" w:eastAsia="等线" w:hAnsi="Book Antiqua"/>
          <w:kern w:val="2"/>
          <w:sz w:val="24"/>
          <w:szCs w:val="24"/>
          <w:lang w:val="en-US" w:eastAsia="zh-CN"/>
        </w:rPr>
        <w:t xml:space="preserve">, McCammon RJ, Piette JD, Iwashyna TJ, Marrero JA, Lok AS, Langa KM, Volk ML. Burden of cirrhosis on older Americans and their families: Analysis of the health and retirement study.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2012; </w:t>
      </w:r>
      <w:r w:rsidRPr="005D688D">
        <w:rPr>
          <w:rFonts w:ascii="Book Antiqua" w:eastAsia="等线" w:hAnsi="Book Antiqua"/>
          <w:b/>
          <w:kern w:val="2"/>
          <w:sz w:val="24"/>
          <w:szCs w:val="24"/>
          <w:lang w:val="en-US" w:eastAsia="zh-CN"/>
        </w:rPr>
        <w:t>55</w:t>
      </w:r>
      <w:r w:rsidRPr="005D688D">
        <w:rPr>
          <w:rFonts w:ascii="Book Antiqua" w:eastAsia="等线" w:hAnsi="Book Antiqua"/>
          <w:kern w:val="2"/>
          <w:sz w:val="24"/>
          <w:szCs w:val="24"/>
          <w:lang w:val="en-US" w:eastAsia="zh-CN"/>
        </w:rPr>
        <w:t>: 184-191 [PMID: 21858847 DOI: 10.1002/hep.24616]</w:t>
      </w:r>
    </w:p>
    <w:p w14:paraId="701EAE4A"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19 </w:t>
      </w:r>
      <w:r w:rsidRPr="005D688D">
        <w:rPr>
          <w:rFonts w:ascii="Book Antiqua" w:eastAsia="等线" w:hAnsi="Book Antiqua"/>
          <w:b/>
          <w:kern w:val="2"/>
          <w:sz w:val="24"/>
          <w:szCs w:val="24"/>
          <w:lang w:val="en-US" w:eastAsia="zh-CN"/>
        </w:rPr>
        <w:t>Kappus MR</w:t>
      </w:r>
      <w:r w:rsidRPr="005D688D">
        <w:rPr>
          <w:rFonts w:ascii="Book Antiqua" w:eastAsia="等线" w:hAnsi="Book Antiqua"/>
          <w:kern w:val="2"/>
          <w:sz w:val="24"/>
          <w:szCs w:val="24"/>
          <w:lang w:val="en-US" w:eastAsia="zh-CN"/>
        </w:rPr>
        <w:t xml:space="preserve">, Bajaj JS. Covert hepatic encephalopathy: Not as minimal as you might think. </w:t>
      </w:r>
      <w:r w:rsidRPr="005D688D">
        <w:rPr>
          <w:rFonts w:ascii="Book Antiqua" w:eastAsia="等线" w:hAnsi="Book Antiqua"/>
          <w:i/>
          <w:kern w:val="2"/>
          <w:sz w:val="24"/>
          <w:szCs w:val="24"/>
          <w:lang w:val="en-US" w:eastAsia="zh-CN"/>
        </w:rPr>
        <w:t>Clin Gastroenterol Hepatol</w:t>
      </w:r>
      <w:r w:rsidRPr="005D688D">
        <w:rPr>
          <w:rFonts w:ascii="Book Antiqua" w:eastAsia="等线" w:hAnsi="Book Antiqua"/>
          <w:kern w:val="2"/>
          <w:sz w:val="24"/>
          <w:szCs w:val="24"/>
          <w:lang w:val="en-US" w:eastAsia="zh-CN"/>
        </w:rPr>
        <w:t xml:space="preserve"> 2012; </w:t>
      </w:r>
      <w:r w:rsidRPr="005D688D">
        <w:rPr>
          <w:rFonts w:ascii="Book Antiqua" w:eastAsia="等线" w:hAnsi="Book Antiqua"/>
          <w:b/>
          <w:kern w:val="2"/>
          <w:sz w:val="24"/>
          <w:szCs w:val="24"/>
          <w:lang w:val="en-US" w:eastAsia="zh-CN"/>
        </w:rPr>
        <w:t>10</w:t>
      </w:r>
      <w:r w:rsidRPr="005D688D">
        <w:rPr>
          <w:rFonts w:ascii="Book Antiqua" w:eastAsia="等线" w:hAnsi="Book Antiqua"/>
          <w:kern w:val="2"/>
          <w:sz w:val="24"/>
          <w:szCs w:val="24"/>
          <w:lang w:val="en-US" w:eastAsia="zh-CN"/>
        </w:rPr>
        <w:t>: 1208-1219 [PMID: 22728384 DOI: 10.1016/j.cgh.2012.05.026]</w:t>
      </w:r>
    </w:p>
    <w:p w14:paraId="6411357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20 </w:t>
      </w:r>
      <w:r w:rsidRPr="005D688D">
        <w:rPr>
          <w:rFonts w:ascii="Book Antiqua" w:eastAsia="等线" w:hAnsi="Book Antiqua"/>
          <w:b/>
          <w:kern w:val="2"/>
          <w:sz w:val="24"/>
          <w:szCs w:val="24"/>
          <w:lang w:val="en-US" w:eastAsia="zh-CN"/>
        </w:rPr>
        <w:t>Bajaj JS</w:t>
      </w:r>
      <w:r w:rsidRPr="005D688D">
        <w:rPr>
          <w:rFonts w:ascii="Book Antiqua" w:eastAsia="等线" w:hAnsi="Book Antiqua"/>
          <w:kern w:val="2"/>
          <w:sz w:val="24"/>
          <w:szCs w:val="24"/>
          <w:lang w:val="en-US" w:eastAsia="zh-CN"/>
        </w:rPr>
        <w:t xml:space="preserve">, Hafeezullah M, Hoffmann RG, Varma RR, Franco J, Binion DG, Hammeke TA, </w:t>
      </w:r>
      <w:r w:rsidRPr="005D688D">
        <w:rPr>
          <w:rFonts w:ascii="Book Antiqua" w:eastAsia="等线" w:hAnsi="Book Antiqua"/>
          <w:kern w:val="2"/>
          <w:sz w:val="24"/>
          <w:szCs w:val="24"/>
          <w:lang w:val="en-US" w:eastAsia="zh-CN"/>
        </w:rPr>
        <w:lastRenderedPageBreak/>
        <w:t xml:space="preserve">Saeian K. Navigation skill impairment: Another dimension of the driving difficulties in minimal hepatic encephalopathy.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2008; </w:t>
      </w:r>
      <w:r w:rsidRPr="005D688D">
        <w:rPr>
          <w:rFonts w:ascii="Book Antiqua" w:eastAsia="等线" w:hAnsi="Book Antiqua"/>
          <w:b/>
          <w:kern w:val="2"/>
          <w:sz w:val="24"/>
          <w:szCs w:val="24"/>
          <w:lang w:val="en-US" w:eastAsia="zh-CN"/>
        </w:rPr>
        <w:t>47</w:t>
      </w:r>
      <w:r w:rsidRPr="005D688D">
        <w:rPr>
          <w:rFonts w:ascii="Book Antiqua" w:eastAsia="等线" w:hAnsi="Book Antiqua"/>
          <w:kern w:val="2"/>
          <w:sz w:val="24"/>
          <w:szCs w:val="24"/>
          <w:lang w:val="en-US" w:eastAsia="zh-CN"/>
        </w:rPr>
        <w:t>: 596-604 [PMID: 18000989 DOI: 10.1002/hep.22032]</w:t>
      </w:r>
    </w:p>
    <w:p w14:paraId="033D9F68"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21 </w:t>
      </w:r>
      <w:r w:rsidRPr="005D688D">
        <w:rPr>
          <w:rFonts w:ascii="Book Antiqua" w:eastAsia="等线" w:hAnsi="Book Antiqua"/>
          <w:b/>
          <w:kern w:val="2"/>
          <w:sz w:val="24"/>
          <w:szCs w:val="24"/>
          <w:lang w:val="en-US" w:eastAsia="zh-CN"/>
        </w:rPr>
        <w:t>Prasad S</w:t>
      </w:r>
      <w:r w:rsidRPr="005D688D">
        <w:rPr>
          <w:rFonts w:ascii="Book Antiqua" w:eastAsia="等线" w:hAnsi="Book Antiqua"/>
          <w:kern w:val="2"/>
          <w:sz w:val="24"/>
          <w:szCs w:val="24"/>
          <w:lang w:val="en-US" w:eastAsia="zh-CN"/>
        </w:rPr>
        <w:t xml:space="preserve">, Dhiman RK, Duseja A, Chawla YK, Sharma A, Agarwal R. Lactulose improves cognitive functions and health-related quality of life in patients with cirrhosis who have minimal hepatic encephalopathy.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2007; </w:t>
      </w:r>
      <w:r w:rsidRPr="005D688D">
        <w:rPr>
          <w:rFonts w:ascii="Book Antiqua" w:eastAsia="等线" w:hAnsi="Book Antiqua"/>
          <w:b/>
          <w:kern w:val="2"/>
          <w:sz w:val="24"/>
          <w:szCs w:val="24"/>
          <w:lang w:val="en-US" w:eastAsia="zh-CN"/>
        </w:rPr>
        <w:t>45</w:t>
      </w:r>
      <w:r w:rsidRPr="005D688D">
        <w:rPr>
          <w:rFonts w:ascii="Book Antiqua" w:eastAsia="等线" w:hAnsi="Book Antiqua"/>
          <w:kern w:val="2"/>
          <w:sz w:val="24"/>
          <w:szCs w:val="24"/>
          <w:lang w:val="en-US" w:eastAsia="zh-CN"/>
        </w:rPr>
        <w:t>: 549-559 [PMID: 17326150 DOI: 10.1002/hep.21533]</w:t>
      </w:r>
    </w:p>
    <w:p w14:paraId="6E190596"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22 </w:t>
      </w:r>
      <w:r w:rsidRPr="005D688D">
        <w:rPr>
          <w:rFonts w:ascii="Book Antiqua" w:eastAsia="等线" w:hAnsi="Book Antiqua"/>
          <w:b/>
          <w:kern w:val="2"/>
          <w:sz w:val="24"/>
          <w:szCs w:val="24"/>
          <w:lang w:val="en-US" w:eastAsia="zh-CN"/>
        </w:rPr>
        <w:t>Nardelli S</w:t>
      </w:r>
      <w:r w:rsidRPr="005D688D">
        <w:rPr>
          <w:rFonts w:ascii="Book Antiqua" w:eastAsia="等线" w:hAnsi="Book Antiqua"/>
          <w:kern w:val="2"/>
          <w:sz w:val="24"/>
          <w:szCs w:val="24"/>
          <w:lang w:val="en-US" w:eastAsia="zh-CN"/>
        </w:rPr>
        <w:t xml:space="preserve">, Lattanzi B, Merli M, Farcomeni A, Gioia S, Ridola L, Riggio O. Muscle Alterations Are Associated With Minimal and Overt Hepatic Encephalopathy in Patients With Liver Cirrhosis.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2019 [PMID: </w:t>
      </w:r>
      <w:bookmarkStart w:id="38" w:name="OLE_LINK7"/>
      <w:r w:rsidRPr="005D688D">
        <w:rPr>
          <w:rFonts w:ascii="Book Antiqua" w:eastAsia="等线" w:hAnsi="Book Antiqua"/>
          <w:kern w:val="2"/>
          <w:sz w:val="24"/>
          <w:szCs w:val="24"/>
          <w:lang w:val="en-US" w:eastAsia="zh-CN"/>
        </w:rPr>
        <w:t>31038758</w:t>
      </w:r>
      <w:bookmarkEnd w:id="38"/>
      <w:r w:rsidRPr="005D688D">
        <w:rPr>
          <w:rFonts w:ascii="Book Antiqua" w:eastAsia="等线" w:hAnsi="Book Antiqua"/>
          <w:kern w:val="2"/>
          <w:sz w:val="24"/>
          <w:szCs w:val="24"/>
          <w:lang w:val="en-US" w:eastAsia="zh-CN"/>
        </w:rPr>
        <w:t xml:space="preserve"> DOI: 10.1002/hep.30692]</w:t>
      </w:r>
    </w:p>
    <w:p w14:paraId="50F83D29"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23 </w:t>
      </w:r>
      <w:r w:rsidRPr="005D688D">
        <w:rPr>
          <w:rFonts w:ascii="Book Antiqua" w:eastAsia="等线" w:hAnsi="Book Antiqua"/>
          <w:b/>
          <w:kern w:val="2"/>
          <w:sz w:val="24"/>
          <w:szCs w:val="24"/>
          <w:lang w:val="en-US" w:eastAsia="zh-CN"/>
        </w:rPr>
        <w:t>Merli M</w:t>
      </w:r>
      <w:r w:rsidRPr="005D688D">
        <w:rPr>
          <w:rFonts w:ascii="Book Antiqua" w:eastAsia="等线" w:hAnsi="Book Antiqua"/>
          <w:kern w:val="2"/>
          <w:sz w:val="24"/>
          <w:szCs w:val="24"/>
          <w:lang w:val="en-US" w:eastAsia="zh-CN"/>
        </w:rPr>
        <w:t xml:space="preserve">, Giusto M, Lucidi C, Giannelli V, Pentassuglio I, Di Gregorio V, Lattanzi B, Riggio O. Muscle depletion increases the risk of overt and minimal hepatic encephalopathy: Results of a prospective study. </w:t>
      </w:r>
      <w:r w:rsidRPr="005D688D">
        <w:rPr>
          <w:rFonts w:ascii="Book Antiqua" w:eastAsia="等线" w:hAnsi="Book Antiqua"/>
          <w:i/>
          <w:kern w:val="2"/>
          <w:sz w:val="24"/>
          <w:szCs w:val="24"/>
          <w:lang w:val="en-US" w:eastAsia="zh-CN"/>
        </w:rPr>
        <w:t>Metab Brain Dis</w:t>
      </w:r>
      <w:r w:rsidRPr="005D688D">
        <w:rPr>
          <w:rFonts w:ascii="Book Antiqua" w:eastAsia="等线" w:hAnsi="Book Antiqua"/>
          <w:kern w:val="2"/>
          <w:sz w:val="24"/>
          <w:szCs w:val="24"/>
          <w:lang w:val="en-US" w:eastAsia="zh-CN"/>
        </w:rPr>
        <w:t xml:space="preserve"> 2013; </w:t>
      </w:r>
      <w:r w:rsidRPr="005D688D">
        <w:rPr>
          <w:rFonts w:ascii="Book Antiqua" w:eastAsia="等线" w:hAnsi="Book Antiqua"/>
          <w:b/>
          <w:kern w:val="2"/>
          <w:sz w:val="24"/>
          <w:szCs w:val="24"/>
          <w:lang w:val="en-US" w:eastAsia="zh-CN"/>
        </w:rPr>
        <w:t>28</w:t>
      </w:r>
      <w:r w:rsidRPr="005D688D">
        <w:rPr>
          <w:rFonts w:ascii="Book Antiqua" w:eastAsia="等线" w:hAnsi="Book Antiqua"/>
          <w:kern w:val="2"/>
          <w:sz w:val="24"/>
          <w:szCs w:val="24"/>
          <w:lang w:val="en-US" w:eastAsia="zh-CN"/>
        </w:rPr>
        <w:t>: 281-284 [PMID: 23224378 DOI: 10.1007/s11011-012-9365-z]</w:t>
      </w:r>
    </w:p>
    <w:p w14:paraId="5E4F2D6D"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24 </w:t>
      </w:r>
      <w:r w:rsidRPr="005D688D">
        <w:rPr>
          <w:rFonts w:ascii="Book Antiqua" w:eastAsia="等线" w:hAnsi="Book Antiqua"/>
          <w:b/>
          <w:kern w:val="2"/>
          <w:sz w:val="24"/>
          <w:szCs w:val="24"/>
          <w:lang w:val="en-US" w:eastAsia="zh-CN"/>
        </w:rPr>
        <w:t>Nardelli S</w:t>
      </w:r>
      <w:r w:rsidRPr="005D688D">
        <w:rPr>
          <w:rFonts w:ascii="Book Antiqua" w:eastAsia="等线" w:hAnsi="Book Antiqua"/>
          <w:kern w:val="2"/>
          <w:sz w:val="24"/>
          <w:szCs w:val="24"/>
          <w:lang w:val="en-US" w:eastAsia="zh-CN"/>
        </w:rPr>
        <w:t xml:space="preserve">, Lattanzi B, Torrisi S, Greco F, Farcomeni A, Gioia S, Merli M, Riggio O. Sarcopenia Is Risk Factor for Development of Hepatic Encephalopathy After Transjugular Intrahepatic Portosystemic Shunt Placement. </w:t>
      </w:r>
      <w:r w:rsidRPr="005D688D">
        <w:rPr>
          <w:rFonts w:ascii="Book Antiqua" w:eastAsia="等线" w:hAnsi="Book Antiqua"/>
          <w:i/>
          <w:kern w:val="2"/>
          <w:sz w:val="24"/>
          <w:szCs w:val="24"/>
          <w:lang w:val="en-US" w:eastAsia="zh-CN"/>
        </w:rPr>
        <w:t>Clin Gastroenterol Hepatol</w:t>
      </w:r>
      <w:r w:rsidRPr="005D688D">
        <w:rPr>
          <w:rFonts w:ascii="Book Antiqua" w:eastAsia="等线" w:hAnsi="Book Antiqua"/>
          <w:kern w:val="2"/>
          <w:sz w:val="24"/>
          <w:szCs w:val="24"/>
          <w:lang w:val="en-US" w:eastAsia="zh-CN"/>
        </w:rPr>
        <w:t xml:space="preserve"> 2017; </w:t>
      </w:r>
      <w:r w:rsidRPr="005D688D">
        <w:rPr>
          <w:rFonts w:ascii="Book Antiqua" w:eastAsia="等线" w:hAnsi="Book Antiqua"/>
          <w:b/>
          <w:kern w:val="2"/>
          <w:sz w:val="24"/>
          <w:szCs w:val="24"/>
          <w:lang w:val="en-US" w:eastAsia="zh-CN"/>
        </w:rPr>
        <w:t>15</w:t>
      </w:r>
      <w:r w:rsidRPr="005D688D">
        <w:rPr>
          <w:rFonts w:ascii="Book Antiqua" w:eastAsia="等线" w:hAnsi="Book Antiqua"/>
          <w:kern w:val="2"/>
          <w:sz w:val="24"/>
          <w:szCs w:val="24"/>
          <w:lang w:val="en-US" w:eastAsia="zh-CN"/>
        </w:rPr>
        <w:t>: 934-936 [PMID: 27816756 DOI: 10.1016/j.cgh.2016.10.028]</w:t>
      </w:r>
    </w:p>
    <w:p w14:paraId="1E8E9F24"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25 </w:t>
      </w:r>
      <w:r w:rsidRPr="005D688D">
        <w:rPr>
          <w:rFonts w:ascii="Book Antiqua" w:eastAsia="等线" w:hAnsi="Book Antiqua"/>
          <w:b/>
          <w:kern w:val="2"/>
          <w:sz w:val="24"/>
          <w:szCs w:val="24"/>
          <w:lang w:val="en-US" w:eastAsia="zh-CN"/>
        </w:rPr>
        <w:t>Gioia S</w:t>
      </w:r>
      <w:r w:rsidRPr="005D688D">
        <w:rPr>
          <w:rFonts w:ascii="Book Antiqua" w:eastAsia="等线" w:hAnsi="Book Antiqua"/>
          <w:kern w:val="2"/>
          <w:sz w:val="24"/>
          <w:szCs w:val="24"/>
          <w:lang w:val="en-US" w:eastAsia="zh-CN"/>
        </w:rPr>
        <w:t xml:space="preserve">, Merli M, Nardelli S, Lattanzi B, Pitocchi F, Ridola L, Riggio O. The modification of quantity and quality of muscle mass improves the cognitive impairment after TIPS. </w:t>
      </w:r>
      <w:r w:rsidRPr="005D688D">
        <w:rPr>
          <w:rFonts w:ascii="Book Antiqua" w:eastAsia="等线" w:hAnsi="Book Antiqua"/>
          <w:i/>
          <w:kern w:val="2"/>
          <w:sz w:val="24"/>
          <w:szCs w:val="24"/>
          <w:lang w:val="en-US" w:eastAsia="zh-CN"/>
        </w:rPr>
        <w:t>Liver Int</w:t>
      </w:r>
      <w:r w:rsidRPr="005D688D">
        <w:rPr>
          <w:rFonts w:ascii="Book Antiqua" w:eastAsia="等线" w:hAnsi="Book Antiqua"/>
          <w:kern w:val="2"/>
          <w:sz w:val="24"/>
          <w:szCs w:val="24"/>
          <w:lang w:val="en-US" w:eastAsia="zh-CN"/>
        </w:rPr>
        <w:t xml:space="preserve"> 2019; </w:t>
      </w:r>
      <w:r w:rsidRPr="005D688D">
        <w:rPr>
          <w:rFonts w:ascii="Book Antiqua" w:eastAsia="等线" w:hAnsi="Book Antiqua"/>
          <w:b/>
          <w:kern w:val="2"/>
          <w:sz w:val="24"/>
          <w:szCs w:val="24"/>
          <w:lang w:val="en-US" w:eastAsia="zh-CN"/>
        </w:rPr>
        <w:t>39</w:t>
      </w:r>
      <w:r w:rsidRPr="005D688D">
        <w:rPr>
          <w:rFonts w:ascii="Book Antiqua" w:eastAsia="等线" w:hAnsi="Book Antiqua"/>
          <w:kern w:val="2"/>
          <w:sz w:val="24"/>
          <w:szCs w:val="24"/>
          <w:lang w:val="en-US" w:eastAsia="zh-CN"/>
        </w:rPr>
        <w:t>: 871-877 [PMID: 30667572 DOI: 10.1111/liv.14050]</w:t>
      </w:r>
    </w:p>
    <w:p w14:paraId="607BFB2C"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26 </w:t>
      </w:r>
      <w:r w:rsidRPr="005D688D">
        <w:rPr>
          <w:rFonts w:ascii="Book Antiqua" w:eastAsia="等线" w:hAnsi="Book Antiqua"/>
          <w:b/>
          <w:kern w:val="2"/>
          <w:sz w:val="24"/>
          <w:szCs w:val="24"/>
          <w:lang w:val="en-US" w:eastAsia="zh-CN"/>
        </w:rPr>
        <w:t>Carey EJ</w:t>
      </w:r>
      <w:r w:rsidRPr="005D688D">
        <w:rPr>
          <w:rFonts w:ascii="Book Antiqua" w:eastAsia="等线" w:hAnsi="Book Antiqua"/>
          <w:kern w:val="2"/>
          <w:sz w:val="24"/>
          <w:szCs w:val="24"/>
          <w:lang w:val="en-US" w:eastAsia="zh-CN"/>
        </w:rPr>
        <w:t xml:space="preserve">, Lai JC, Wang CW, Dasarathy S, Lobach I, Montano-Loza AJ, Dunn MA; Fitness, Life Enhancement, and Exercise in Liver Transplantation Consortium. A multicenter study to define sarcopenia in patients with end-stage liver disease. </w:t>
      </w:r>
      <w:r w:rsidRPr="005D688D">
        <w:rPr>
          <w:rFonts w:ascii="Book Antiqua" w:eastAsia="等线" w:hAnsi="Book Antiqua"/>
          <w:i/>
          <w:kern w:val="2"/>
          <w:sz w:val="24"/>
          <w:szCs w:val="24"/>
          <w:lang w:val="en-US" w:eastAsia="zh-CN"/>
        </w:rPr>
        <w:t>Liver Transpl</w:t>
      </w:r>
      <w:r w:rsidRPr="005D688D">
        <w:rPr>
          <w:rFonts w:ascii="Book Antiqua" w:eastAsia="等线" w:hAnsi="Book Antiqua"/>
          <w:kern w:val="2"/>
          <w:sz w:val="24"/>
          <w:szCs w:val="24"/>
          <w:lang w:val="en-US" w:eastAsia="zh-CN"/>
        </w:rPr>
        <w:t xml:space="preserve"> 2017; </w:t>
      </w:r>
      <w:r w:rsidRPr="005D688D">
        <w:rPr>
          <w:rFonts w:ascii="Book Antiqua" w:eastAsia="等线" w:hAnsi="Book Antiqua"/>
          <w:b/>
          <w:kern w:val="2"/>
          <w:sz w:val="24"/>
          <w:szCs w:val="24"/>
          <w:lang w:val="en-US" w:eastAsia="zh-CN"/>
        </w:rPr>
        <w:t>23</w:t>
      </w:r>
      <w:r w:rsidRPr="005D688D">
        <w:rPr>
          <w:rFonts w:ascii="Book Antiqua" w:eastAsia="等线" w:hAnsi="Book Antiqua"/>
          <w:kern w:val="2"/>
          <w:sz w:val="24"/>
          <w:szCs w:val="24"/>
          <w:lang w:val="en-US" w:eastAsia="zh-CN"/>
        </w:rPr>
        <w:t>: 625-633 [PMID: 28240805 DOI: 10.1002/lt.24750]</w:t>
      </w:r>
    </w:p>
    <w:p w14:paraId="0F5FB1B0"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27 </w:t>
      </w:r>
      <w:r w:rsidRPr="005D688D">
        <w:rPr>
          <w:rFonts w:ascii="Book Antiqua" w:eastAsia="等线" w:hAnsi="Book Antiqua"/>
          <w:b/>
          <w:kern w:val="2"/>
          <w:sz w:val="24"/>
          <w:szCs w:val="24"/>
          <w:lang w:val="en-US" w:eastAsia="zh-CN"/>
        </w:rPr>
        <w:t>Martin L</w:t>
      </w:r>
      <w:r w:rsidRPr="005D688D">
        <w:rPr>
          <w:rFonts w:ascii="Book Antiqua" w:eastAsia="等线" w:hAnsi="Book Antiqua"/>
          <w:kern w:val="2"/>
          <w:sz w:val="24"/>
          <w:szCs w:val="24"/>
          <w:lang w:val="en-US" w:eastAsia="zh-CN"/>
        </w:rPr>
        <w:t xml:space="preserve">, Birdsell L, Macdonald N, Reiman T, Clandinin MT, McCargar LJ, Murphy R, Ghosh S, Sawyer MB, Baracos VE. Cancer cachexia in the age of obesity: Skeletal muscle depletion is a powerful prognostic factor, independent of body mass index. </w:t>
      </w:r>
      <w:r w:rsidRPr="005D688D">
        <w:rPr>
          <w:rFonts w:ascii="Book Antiqua" w:eastAsia="等线" w:hAnsi="Book Antiqua"/>
          <w:i/>
          <w:kern w:val="2"/>
          <w:sz w:val="24"/>
          <w:szCs w:val="24"/>
          <w:lang w:val="en-US" w:eastAsia="zh-CN"/>
        </w:rPr>
        <w:t>J Clin Oncol</w:t>
      </w:r>
      <w:r w:rsidRPr="005D688D">
        <w:rPr>
          <w:rFonts w:ascii="Book Antiqua" w:eastAsia="等线" w:hAnsi="Book Antiqua"/>
          <w:kern w:val="2"/>
          <w:sz w:val="24"/>
          <w:szCs w:val="24"/>
          <w:lang w:val="en-US" w:eastAsia="zh-CN"/>
        </w:rPr>
        <w:t xml:space="preserve"> 2013; </w:t>
      </w:r>
      <w:r w:rsidRPr="005D688D">
        <w:rPr>
          <w:rFonts w:ascii="Book Antiqua" w:eastAsia="等线" w:hAnsi="Book Antiqua"/>
          <w:b/>
          <w:kern w:val="2"/>
          <w:sz w:val="24"/>
          <w:szCs w:val="24"/>
          <w:lang w:val="en-US" w:eastAsia="zh-CN"/>
        </w:rPr>
        <w:t>31</w:t>
      </w:r>
      <w:r w:rsidRPr="005D688D">
        <w:rPr>
          <w:rFonts w:ascii="Book Antiqua" w:eastAsia="等线" w:hAnsi="Book Antiqua"/>
          <w:kern w:val="2"/>
          <w:sz w:val="24"/>
          <w:szCs w:val="24"/>
          <w:lang w:val="en-US" w:eastAsia="zh-CN"/>
        </w:rPr>
        <w:t>: 1539-1547 [PMID: 23530101 DOI: 10.1200/JCO.2012.45.2722]</w:t>
      </w:r>
    </w:p>
    <w:p w14:paraId="65305339"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28 </w:t>
      </w:r>
      <w:r w:rsidRPr="005D688D">
        <w:rPr>
          <w:rFonts w:ascii="Book Antiqua" w:eastAsia="等线" w:hAnsi="Book Antiqua"/>
          <w:b/>
          <w:kern w:val="2"/>
          <w:sz w:val="24"/>
          <w:szCs w:val="24"/>
          <w:lang w:val="en-US" w:eastAsia="zh-CN"/>
        </w:rPr>
        <w:t>Giusto M</w:t>
      </w:r>
      <w:r w:rsidRPr="005D688D">
        <w:rPr>
          <w:rFonts w:ascii="Book Antiqua" w:eastAsia="等线" w:hAnsi="Book Antiqua"/>
          <w:kern w:val="2"/>
          <w:sz w:val="24"/>
          <w:szCs w:val="24"/>
          <w:lang w:val="en-US" w:eastAsia="zh-CN"/>
        </w:rPr>
        <w:t xml:space="preserve">, Lattanzi B, Albanese C, Galtieri A, Farcomeni A, Giannelli V, Lucidi C, Di Martino M, Catalano C, Merli M. Sarcopenia in liver cirrhosis: The role of computed tomography scan for the assessment of muscle mass compared with dual-energy X-ray </w:t>
      </w:r>
      <w:r w:rsidRPr="005D688D">
        <w:rPr>
          <w:rFonts w:ascii="Book Antiqua" w:eastAsia="等线" w:hAnsi="Book Antiqua"/>
          <w:kern w:val="2"/>
          <w:sz w:val="24"/>
          <w:szCs w:val="24"/>
          <w:lang w:val="en-US" w:eastAsia="zh-CN"/>
        </w:rPr>
        <w:lastRenderedPageBreak/>
        <w:t xml:space="preserve">absorptiometry and anthropometry. </w:t>
      </w:r>
      <w:r w:rsidRPr="005D688D">
        <w:rPr>
          <w:rFonts w:ascii="Book Antiqua" w:eastAsia="等线" w:hAnsi="Book Antiqua"/>
          <w:i/>
          <w:kern w:val="2"/>
          <w:sz w:val="24"/>
          <w:szCs w:val="24"/>
          <w:lang w:val="en-US" w:eastAsia="zh-CN"/>
        </w:rPr>
        <w:t>Eur J Gastroenterol Hepatol</w:t>
      </w:r>
      <w:r w:rsidRPr="005D688D">
        <w:rPr>
          <w:rFonts w:ascii="Book Antiqua" w:eastAsia="等线" w:hAnsi="Book Antiqua"/>
          <w:kern w:val="2"/>
          <w:sz w:val="24"/>
          <w:szCs w:val="24"/>
          <w:lang w:val="en-US" w:eastAsia="zh-CN"/>
        </w:rPr>
        <w:t xml:space="preserve"> 2015; </w:t>
      </w:r>
      <w:r w:rsidRPr="005D688D">
        <w:rPr>
          <w:rFonts w:ascii="Book Antiqua" w:eastAsia="等线" w:hAnsi="Book Antiqua"/>
          <w:b/>
          <w:kern w:val="2"/>
          <w:sz w:val="24"/>
          <w:szCs w:val="24"/>
          <w:lang w:val="en-US" w:eastAsia="zh-CN"/>
        </w:rPr>
        <w:t>27</w:t>
      </w:r>
      <w:r w:rsidRPr="005D688D">
        <w:rPr>
          <w:rFonts w:ascii="Book Antiqua" w:eastAsia="等线" w:hAnsi="Book Antiqua"/>
          <w:kern w:val="2"/>
          <w:sz w:val="24"/>
          <w:szCs w:val="24"/>
          <w:lang w:val="en-US" w:eastAsia="zh-CN"/>
        </w:rPr>
        <w:t>: 328-334 [PMID: 25569567 DOI: 10.1097/MEG.0000000000000274]</w:t>
      </w:r>
    </w:p>
    <w:p w14:paraId="09F5AAF2"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29 </w:t>
      </w:r>
      <w:r w:rsidRPr="005D688D">
        <w:rPr>
          <w:rFonts w:ascii="Book Antiqua" w:eastAsia="等线" w:hAnsi="Book Antiqua"/>
          <w:b/>
          <w:kern w:val="2"/>
          <w:sz w:val="24"/>
          <w:szCs w:val="24"/>
          <w:lang w:val="en-US" w:eastAsia="zh-CN"/>
        </w:rPr>
        <w:t>Dazzani F</w:t>
      </w:r>
      <w:r w:rsidRPr="005D688D">
        <w:rPr>
          <w:rFonts w:ascii="Book Antiqua" w:eastAsia="等线" w:hAnsi="Book Antiqua"/>
          <w:kern w:val="2"/>
          <w:sz w:val="24"/>
          <w:szCs w:val="24"/>
          <w:lang w:val="en-US" w:eastAsia="zh-CN"/>
        </w:rPr>
        <w:t xml:space="preserve">, Micati M, Caraceni P, Drago GM, Domenicali M, Pacilli P, Tomassetti V, Gelonesi E, Trevisani F, Bernardi M. Transthoracic electrical bioimpedance: A non-invasive technique for the evaluation of the haemodynamic alterations in patients with liver cirrhosis. </w:t>
      </w:r>
      <w:r w:rsidRPr="005D688D">
        <w:rPr>
          <w:rFonts w:ascii="Book Antiqua" w:eastAsia="等线" w:hAnsi="Book Antiqua"/>
          <w:i/>
          <w:kern w:val="2"/>
          <w:sz w:val="24"/>
          <w:szCs w:val="24"/>
          <w:lang w:val="en-US" w:eastAsia="zh-CN"/>
        </w:rPr>
        <w:t>Dig Liver Dis</w:t>
      </w:r>
      <w:r w:rsidRPr="005D688D">
        <w:rPr>
          <w:rFonts w:ascii="Book Antiqua" w:eastAsia="等线" w:hAnsi="Book Antiqua"/>
          <w:kern w:val="2"/>
          <w:sz w:val="24"/>
          <w:szCs w:val="24"/>
          <w:lang w:val="en-US" w:eastAsia="zh-CN"/>
        </w:rPr>
        <w:t xml:space="preserve"> 2005; </w:t>
      </w:r>
      <w:r w:rsidRPr="005D688D">
        <w:rPr>
          <w:rFonts w:ascii="Book Antiqua" w:eastAsia="等线" w:hAnsi="Book Antiqua"/>
          <w:b/>
          <w:kern w:val="2"/>
          <w:sz w:val="24"/>
          <w:szCs w:val="24"/>
          <w:lang w:val="en-US" w:eastAsia="zh-CN"/>
        </w:rPr>
        <w:t>37</w:t>
      </w:r>
      <w:r w:rsidRPr="005D688D">
        <w:rPr>
          <w:rFonts w:ascii="Book Antiqua" w:eastAsia="等线" w:hAnsi="Book Antiqua"/>
          <w:kern w:val="2"/>
          <w:sz w:val="24"/>
          <w:szCs w:val="24"/>
          <w:lang w:val="en-US" w:eastAsia="zh-CN"/>
        </w:rPr>
        <w:t>: 786-792 [PMID: 16027054 DOI: 10.1016/j.dld.2005.05.008]</w:t>
      </w:r>
    </w:p>
    <w:p w14:paraId="30ABB558"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30 </w:t>
      </w:r>
      <w:r w:rsidRPr="005D688D">
        <w:rPr>
          <w:rFonts w:ascii="Book Antiqua" w:eastAsia="等线" w:hAnsi="Book Antiqua"/>
          <w:b/>
          <w:kern w:val="2"/>
          <w:sz w:val="24"/>
          <w:szCs w:val="24"/>
          <w:lang w:val="en-US" w:eastAsia="zh-CN"/>
        </w:rPr>
        <w:t>Bhanji RA</w:t>
      </w:r>
      <w:r w:rsidRPr="005D688D">
        <w:rPr>
          <w:rFonts w:ascii="Book Antiqua" w:eastAsia="等线" w:hAnsi="Book Antiqua"/>
          <w:kern w:val="2"/>
          <w:sz w:val="24"/>
          <w:szCs w:val="24"/>
          <w:lang w:val="en-US" w:eastAsia="zh-CN"/>
        </w:rPr>
        <w:t xml:space="preserve">, Narayanan P, Allen AM, Malhi H, Watt KD. Sarcopenia in hiding: The risk and consequence of underestimating muscle dysfunction in nonalcoholic steatohepatitis.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2017; </w:t>
      </w:r>
      <w:r w:rsidRPr="005D688D">
        <w:rPr>
          <w:rFonts w:ascii="Book Antiqua" w:eastAsia="等线" w:hAnsi="Book Antiqua"/>
          <w:b/>
          <w:kern w:val="2"/>
          <w:sz w:val="24"/>
          <w:szCs w:val="24"/>
          <w:lang w:val="en-US" w:eastAsia="zh-CN"/>
        </w:rPr>
        <w:t>66</w:t>
      </w:r>
      <w:r w:rsidRPr="005D688D">
        <w:rPr>
          <w:rFonts w:ascii="Book Antiqua" w:eastAsia="等线" w:hAnsi="Book Antiqua"/>
          <w:kern w:val="2"/>
          <w:sz w:val="24"/>
          <w:szCs w:val="24"/>
          <w:lang w:val="en-US" w:eastAsia="zh-CN"/>
        </w:rPr>
        <w:t>: 2055-2065 [PMID: 28777879 DOI: 10.1002/hep.29420]</w:t>
      </w:r>
    </w:p>
    <w:p w14:paraId="4658C9FC"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31 </w:t>
      </w:r>
      <w:r w:rsidRPr="005D688D">
        <w:rPr>
          <w:rFonts w:ascii="Book Antiqua" w:eastAsia="等线" w:hAnsi="Book Antiqua"/>
          <w:b/>
          <w:kern w:val="2"/>
          <w:sz w:val="24"/>
          <w:szCs w:val="24"/>
          <w:lang w:val="en-US" w:eastAsia="zh-CN"/>
        </w:rPr>
        <w:t>Montano-Loza AJ</w:t>
      </w:r>
      <w:r w:rsidRPr="005D688D">
        <w:rPr>
          <w:rFonts w:ascii="Book Antiqua" w:eastAsia="等线" w:hAnsi="Book Antiqua"/>
          <w:kern w:val="2"/>
          <w:sz w:val="24"/>
          <w:szCs w:val="24"/>
          <w:lang w:val="en-US" w:eastAsia="zh-CN"/>
        </w:rPr>
        <w:t xml:space="preserve">, Angulo P, Meza-Junco J, Prado CM, Sawyer MB, Beaumont C, Esfandiari N, Ma M, Baracos VE. Sarcopenic obesity and myosteatosis are associated with higher mortality in patients with cirrhosis. </w:t>
      </w:r>
      <w:r w:rsidRPr="005D688D">
        <w:rPr>
          <w:rFonts w:ascii="Book Antiqua" w:eastAsia="等线" w:hAnsi="Book Antiqua"/>
          <w:i/>
          <w:kern w:val="2"/>
          <w:sz w:val="24"/>
          <w:szCs w:val="24"/>
          <w:lang w:val="en-US" w:eastAsia="zh-CN"/>
        </w:rPr>
        <w:t>J Cachexia Sarcopenia Muscle</w:t>
      </w:r>
      <w:r w:rsidRPr="005D688D">
        <w:rPr>
          <w:rFonts w:ascii="Book Antiqua" w:eastAsia="等线" w:hAnsi="Book Antiqua"/>
          <w:kern w:val="2"/>
          <w:sz w:val="24"/>
          <w:szCs w:val="24"/>
          <w:lang w:val="en-US" w:eastAsia="zh-CN"/>
        </w:rPr>
        <w:t xml:space="preserve"> 2016; </w:t>
      </w:r>
      <w:r w:rsidRPr="005D688D">
        <w:rPr>
          <w:rFonts w:ascii="Book Antiqua" w:eastAsia="等线" w:hAnsi="Book Antiqua"/>
          <w:b/>
          <w:kern w:val="2"/>
          <w:sz w:val="24"/>
          <w:szCs w:val="24"/>
          <w:lang w:val="en-US" w:eastAsia="zh-CN"/>
        </w:rPr>
        <w:t>7</w:t>
      </w:r>
      <w:r w:rsidRPr="005D688D">
        <w:rPr>
          <w:rFonts w:ascii="Book Antiqua" w:eastAsia="等线" w:hAnsi="Book Antiqua"/>
          <w:kern w:val="2"/>
          <w:sz w:val="24"/>
          <w:szCs w:val="24"/>
          <w:lang w:val="en-US" w:eastAsia="zh-CN"/>
        </w:rPr>
        <w:t>: 126-135 [PMID: 27493866 DOI: 10.1002/jcsm.12039]</w:t>
      </w:r>
    </w:p>
    <w:p w14:paraId="57499A4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32 </w:t>
      </w:r>
      <w:r w:rsidRPr="005D688D">
        <w:rPr>
          <w:rFonts w:ascii="Book Antiqua" w:eastAsia="等线" w:hAnsi="Book Antiqua"/>
          <w:b/>
          <w:kern w:val="2"/>
          <w:sz w:val="24"/>
          <w:szCs w:val="24"/>
          <w:lang w:val="en-US" w:eastAsia="zh-CN"/>
        </w:rPr>
        <w:t>Montano-Loza AJ</w:t>
      </w:r>
      <w:r w:rsidRPr="005D688D">
        <w:rPr>
          <w:rFonts w:ascii="Book Antiqua" w:eastAsia="等线" w:hAnsi="Book Antiqua"/>
          <w:kern w:val="2"/>
          <w:sz w:val="24"/>
          <w:szCs w:val="24"/>
          <w:lang w:val="en-US" w:eastAsia="zh-CN"/>
        </w:rPr>
        <w:t xml:space="preserve">, Meza-Junco J, Prado CM, Lieffers JR, Baracos VE, Bain VG, Sawyer MB. Muscle wasting is associated with mortality in patients with cirrhosis. </w:t>
      </w:r>
      <w:r w:rsidRPr="005D688D">
        <w:rPr>
          <w:rFonts w:ascii="Book Antiqua" w:eastAsia="等线" w:hAnsi="Book Antiqua"/>
          <w:i/>
          <w:kern w:val="2"/>
          <w:sz w:val="24"/>
          <w:szCs w:val="24"/>
          <w:lang w:val="en-US" w:eastAsia="zh-CN"/>
        </w:rPr>
        <w:t>Clin Gastroenterol Hepatol</w:t>
      </w:r>
      <w:r w:rsidRPr="005D688D">
        <w:rPr>
          <w:rFonts w:ascii="Book Antiqua" w:eastAsia="等线" w:hAnsi="Book Antiqua"/>
          <w:kern w:val="2"/>
          <w:sz w:val="24"/>
          <w:szCs w:val="24"/>
          <w:lang w:val="en-US" w:eastAsia="zh-CN"/>
        </w:rPr>
        <w:t xml:space="preserve"> 2012; </w:t>
      </w:r>
      <w:r w:rsidRPr="005D688D">
        <w:rPr>
          <w:rFonts w:ascii="Book Antiqua" w:eastAsia="等线" w:hAnsi="Book Antiqua"/>
          <w:b/>
          <w:kern w:val="2"/>
          <w:sz w:val="24"/>
          <w:szCs w:val="24"/>
          <w:lang w:val="en-US" w:eastAsia="zh-CN"/>
        </w:rPr>
        <w:t>10</w:t>
      </w:r>
      <w:r w:rsidRPr="005D688D">
        <w:rPr>
          <w:rFonts w:ascii="Book Antiqua" w:eastAsia="等线" w:hAnsi="Book Antiqua"/>
          <w:kern w:val="2"/>
          <w:sz w:val="24"/>
          <w:szCs w:val="24"/>
          <w:lang w:val="en-US" w:eastAsia="zh-CN"/>
        </w:rPr>
        <w:t>: 166-173, 173.e1 [PMID: 21893129 DOI: 10.1016/j.cgh.2011.08.028]</w:t>
      </w:r>
    </w:p>
    <w:p w14:paraId="3DB10F9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33 </w:t>
      </w:r>
      <w:r w:rsidRPr="005D688D">
        <w:rPr>
          <w:rFonts w:ascii="Book Antiqua" w:eastAsia="等线" w:hAnsi="Book Antiqua"/>
          <w:b/>
          <w:kern w:val="2"/>
          <w:sz w:val="24"/>
          <w:szCs w:val="24"/>
          <w:lang w:val="en-US" w:eastAsia="zh-CN"/>
        </w:rPr>
        <w:t>Shen W</w:t>
      </w:r>
      <w:r w:rsidRPr="005D688D">
        <w:rPr>
          <w:rFonts w:ascii="Book Antiqua" w:eastAsia="等线" w:hAnsi="Book Antiqua"/>
          <w:kern w:val="2"/>
          <w:sz w:val="24"/>
          <w:szCs w:val="24"/>
          <w:lang w:val="en-US" w:eastAsia="zh-CN"/>
        </w:rPr>
        <w:t xml:space="preserve">, Punyanitya M, Wang Z, Gallagher D, St-Onge MP, Albu J, Heymsfield SB, Heshka S. Total body skeletal muscle and adipose tissue volumes: Estimation from a single abdominal cross-sectional image. </w:t>
      </w:r>
      <w:r w:rsidRPr="005D688D">
        <w:rPr>
          <w:rFonts w:ascii="Book Antiqua" w:eastAsia="等线" w:hAnsi="Book Antiqua"/>
          <w:i/>
          <w:kern w:val="2"/>
          <w:sz w:val="24"/>
          <w:szCs w:val="24"/>
          <w:lang w:val="en-US" w:eastAsia="zh-CN"/>
        </w:rPr>
        <w:t>J Appl Physiol (1985)</w:t>
      </w:r>
      <w:r w:rsidRPr="005D688D">
        <w:rPr>
          <w:rFonts w:ascii="Book Antiqua" w:eastAsia="等线" w:hAnsi="Book Antiqua"/>
          <w:kern w:val="2"/>
          <w:sz w:val="24"/>
          <w:szCs w:val="24"/>
          <w:lang w:val="en-US" w:eastAsia="zh-CN"/>
        </w:rPr>
        <w:t xml:space="preserve"> 2004; </w:t>
      </w:r>
      <w:r w:rsidRPr="005D688D">
        <w:rPr>
          <w:rFonts w:ascii="Book Antiqua" w:eastAsia="等线" w:hAnsi="Book Antiqua"/>
          <w:b/>
          <w:kern w:val="2"/>
          <w:sz w:val="24"/>
          <w:szCs w:val="24"/>
          <w:lang w:val="en-US" w:eastAsia="zh-CN"/>
        </w:rPr>
        <w:t>97</w:t>
      </w:r>
      <w:r w:rsidRPr="005D688D">
        <w:rPr>
          <w:rFonts w:ascii="Book Antiqua" w:eastAsia="等线" w:hAnsi="Book Antiqua"/>
          <w:kern w:val="2"/>
          <w:sz w:val="24"/>
          <w:szCs w:val="24"/>
          <w:lang w:val="en-US" w:eastAsia="zh-CN"/>
        </w:rPr>
        <w:t>: 2333-2338 [PMID: 15310748 DOI: 10.1152/japplphysiol.00744.2004]</w:t>
      </w:r>
    </w:p>
    <w:p w14:paraId="4CB0776A"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34 </w:t>
      </w:r>
      <w:r w:rsidRPr="005D688D">
        <w:rPr>
          <w:rFonts w:ascii="Book Antiqua" w:eastAsia="等线" w:hAnsi="Book Antiqua"/>
          <w:b/>
          <w:kern w:val="2"/>
          <w:sz w:val="24"/>
          <w:szCs w:val="24"/>
          <w:lang w:val="en-US" w:eastAsia="zh-CN"/>
        </w:rPr>
        <w:t>Mitsiopoulos N</w:t>
      </w:r>
      <w:r w:rsidRPr="005D688D">
        <w:rPr>
          <w:rFonts w:ascii="Book Antiqua" w:eastAsia="等线" w:hAnsi="Book Antiqua"/>
          <w:kern w:val="2"/>
          <w:sz w:val="24"/>
          <w:szCs w:val="24"/>
          <w:lang w:val="en-US" w:eastAsia="zh-CN"/>
        </w:rPr>
        <w:t xml:space="preserve">, Baumgartner RN, Heymsfield SB, Lyons W, Gallagher D, Ross R. Cadaver validation of skeletal muscle measurement by magnetic resonance imaging and computerized tomography. </w:t>
      </w:r>
      <w:r w:rsidRPr="005D688D">
        <w:rPr>
          <w:rFonts w:ascii="Book Antiqua" w:eastAsia="等线" w:hAnsi="Book Antiqua"/>
          <w:i/>
          <w:kern w:val="2"/>
          <w:sz w:val="24"/>
          <w:szCs w:val="24"/>
          <w:lang w:val="en-US" w:eastAsia="zh-CN"/>
        </w:rPr>
        <w:t>J Appl Physiol (1985)</w:t>
      </w:r>
      <w:r w:rsidRPr="005D688D">
        <w:rPr>
          <w:rFonts w:ascii="Book Antiqua" w:eastAsia="等线" w:hAnsi="Book Antiqua"/>
          <w:kern w:val="2"/>
          <w:sz w:val="24"/>
          <w:szCs w:val="24"/>
          <w:lang w:val="en-US" w:eastAsia="zh-CN"/>
        </w:rPr>
        <w:t xml:space="preserve"> 1998; </w:t>
      </w:r>
      <w:r w:rsidRPr="005D688D">
        <w:rPr>
          <w:rFonts w:ascii="Book Antiqua" w:eastAsia="等线" w:hAnsi="Book Antiqua"/>
          <w:b/>
          <w:kern w:val="2"/>
          <w:sz w:val="24"/>
          <w:szCs w:val="24"/>
          <w:lang w:val="en-US" w:eastAsia="zh-CN"/>
        </w:rPr>
        <w:t>85</w:t>
      </w:r>
      <w:r w:rsidRPr="005D688D">
        <w:rPr>
          <w:rFonts w:ascii="Book Antiqua" w:eastAsia="等线" w:hAnsi="Book Antiqua"/>
          <w:kern w:val="2"/>
          <w:sz w:val="24"/>
          <w:szCs w:val="24"/>
          <w:lang w:val="en-US" w:eastAsia="zh-CN"/>
        </w:rPr>
        <w:t>: 115-122 [PMID: 9655763 DOI: 10.1152/jappl.1998.85.1.115]</w:t>
      </w:r>
    </w:p>
    <w:p w14:paraId="28E1E9A3"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35 </w:t>
      </w:r>
      <w:r w:rsidRPr="005D688D">
        <w:rPr>
          <w:rFonts w:ascii="Book Antiqua" w:eastAsia="等线" w:hAnsi="Book Antiqua"/>
          <w:b/>
          <w:kern w:val="2"/>
          <w:sz w:val="24"/>
          <w:szCs w:val="24"/>
          <w:lang w:val="en-US" w:eastAsia="zh-CN"/>
        </w:rPr>
        <w:t>Cruz-Jentoft AJ</w:t>
      </w:r>
      <w:r w:rsidRPr="005D688D">
        <w:rPr>
          <w:rFonts w:ascii="Book Antiqua" w:eastAsia="等线" w:hAnsi="Book Antiqua"/>
          <w:kern w:val="2"/>
          <w:sz w:val="24"/>
          <w:szCs w:val="24"/>
          <w:lang w:val="en-US" w:eastAsia="zh-CN"/>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5D688D">
        <w:rPr>
          <w:rFonts w:ascii="Book Antiqua" w:eastAsia="等线" w:hAnsi="Book Antiqua"/>
          <w:i/>
          <w:kern w:val="2"/>
          <w:sz w:val="24"/>
          <w:szCs w:val="24"/>
          <w:lang w:val="en-US" w:eastAsia="zh-CN"/>
        </w:rPr>
        <w:t>Age Ageing</w:t>
      </w:r>
      <w:r w:rsidRPr="005D688D">
        <w:rPr>
          <w:rFonts w:ascii="Book Antiqua" w:eastAsia="等线" w:hAnsi="Book Antiqua"/>
          <w:kern w:val="2"/>
          <w:sz w:val="24"/>
          <w:szCs w:val="24"/>
          <w:lang w:val="en-US" w:eastAsia="zh-CN"/>
        </w:rPr>
        <w:t xml:space="preserve"> 2010; </w:t>
      </w:r>
      <w:r w:rsidRPr="005D688D">
        <w:rPr>
          <w:rFonts w:ascii="Book Antiqua" w:eastAsia="等线" w:hAnsi="Book Antiqua"/>
          <w:b/>
          <w:kern w:val="2"/>
          <w:sz w:val="24"/>
          <w:szCs w:val="24"/>
          <w:lang w:val="en-US" w:eastAsia="zh-CN"/>
        </w:rPr>
        <w:t>39</w:t>
      </w:r>
      <w:r w:rsidRPr="005D688D">
        <w:rPr>
          <w:rFonts w:ascii="Book Antiqua" w:eastAsia="等线" w:hAnsi="Book Antiqua"/>
          <w:kern w:val="2"/>
          <w:sz w:val="24"/>
          <w:szCs w:val="24"/>
          <w:lang w:val="en-US" w:eastAsia="zh-CN"/>
        </w:rPr>
        <w:t>: 412-423 [PMID: 20392703 DOI: 10.1093/ageing/afq034]</w:t>
      </w:r>
    </w:p>
    <w:p w14:paraId="7DCCDAA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36 </w:t>
      </w:r>
      <w:r w:rsidRPr="005D688D">
        <w:rPr>
          <w:rFonts w:ascii="Book Antiqua" w:eastAsia="等线" w:hAnsi="Book Antiqua"/>
          <w:b/>
          <w:kern w:val="2"/>
          <w:sz w:val="24"/>
          <w:szCs w:val="24"/>
          <w:lang w:val="en-US" w:eastAsia="zh-CN"/>
        </w:rPr>
        <w:t>Praktiknjo M</w:t>
      </w:r>
      <w:r w:rsidRPr="005D688D">
        <w:rPr>
          <w:rFonts w:ascii="Book Antiqua" w:eastAsia="等线" w:hAnsi="Book Antiqua"/>
          <w:kern w:val="2"/>
          <w:sz w:val="24"/>
          <w:szCs w:val="24"/>
          <w:lang w:val="en-US" w:eastAsia="zh-CN"/>
        </w:rPr>
        <w:t xml:space="preserve">, Book M, Luetkens J, Pohlmann A, Meyer C, Thomas D, Jansen C, Feist A, Chang J, Grimm J, Lehmann J, Strassburg CP, Abraldes JG, Kukuk G, Trebicka J. Fat-free muscle mass in magnetic resonance imaging predicts acute-on-chronic liver failure and </w:t>
      </w:r>
      <w:r w:rsidRPr="005D688D">
        <w:rPr>
          <w:rFonts w:ascii="Book Antiqua" w:eastAsia="等线" w:hAnsi="Book Antiqua"/>
          <w:kern w:val="2"/>
          <w:sz w:val="24"/>
          <w:szCs w:val="24"/>
          <w:lang w:val="en-US" w:eastAsia="zh-CN"/>
        </w:rPr>
        <w:lastRenderedPageBreak/>
        <w:t xml:space="preserve">survival in decompensated cirrhosis.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67</w:t>
      </w:r>
      <w:r w:rsidRPr="005D688D">
        <w:rPr>
          <w:rFonts w:ascii="Book Antiqua" w:eastAsia="等线" w:hAnsi="Book Antiqua"/>
          <w:kern w:val="2"/>
          <w:sz w:val="24"/>
          <w:szCs w:val="24"/>
          <w:lang w:val="en-US" w:eastAsia="zh-CN"/>
        </w:rPr>
        <w:t>: 1014-1026 [PMID: 29059469 DOI: 10.1002/hep.29602]</w:t>
      </w:r>
    </w:p>
    <w:p w14:paraId="36EDC4C3"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37 </w:t>
      </w:r>
      <w:r w:rsidRPr="005D688D">
        <w:rPr>
          <w:rFonts w:ascii="Book Antiqua" w:eastAsia="等线" w:hAnsi="Book Antiqua"/>
          <w:b/>
          <w:kern w:val="2"/>
          <w:sz w:val="24"/>
          <w:szCs w:val="24"/>
          <w:lang w:val="en-US" w:eastAsia="zh-CN"/>
        </w:rPr>
        <w:t>Dasarathy S</w:t>
      </w:r>
      <w:r w:rsidRPr="005D688D">
        <w:rPr>
          <w:rFonts w:ascii="Book Antiqua" w:eastAsia="等线" w:hAnsi="Book Antiqua"/>
          <w:kern w:val="2"/>
          <w:sz w:val="24"/>
          <w:szCs w:val="24"/>
          <w:lang w:val="en-US" w:eastAsia="zh-CN"/>
        </w:rPr>
        <w:t xml:space="preserve">, Merli M. Sarcopenia from mechanism to diagnosis and treatment in liver disease.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2016; </w:t>
      </w:r>
      <w:r w:rsidRPr="005D688D">
        <w:rPr>
          <w:rFonts w:ascii="Book Antiqua" w:eastAsia="等线" w:hAnsi="Book Antiqua"/>
          <w:b/>
          <w:kern w:val="2"/>
          <w:sz w:val="24"/>
          <w:szCs w:val="24"/>
          <w:lang w:val="en-US" w:eastAsia="zh-CN"/>
        </w:rPr>
        <w:t>65</w:t>
      </w:r>
      <w:r w:rsidRPr="005D688D">
        <w:rPr>
          <w:rFonts w:ascii="Book Antiqua" w:eastAsia="等线" w:hAnsi="Book Antiqua"/>
          <w:kern w:val="2"/>
          <w:sz w:val="24"/>
          <w:szCs w:val="24"/>
          <w:lang w:val="en-US" w:eastAsia="zh-CN"/>
        </w:rPr>
        <w:t>: 1232-1244 [PMID: 27515775 DOI: 10.1016/j.jhep.2016.07.040]</w:t>
      </w:r>
    </w:p>
    <w:p w14:paraId="5AA24361"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38 </w:t>
      </w:r>
      <w:r w:rsidRPr="005D688D">
        <w:rPr>
          <w:rFonts w:ascii="Book Antiqua" w:eastAsia="等线" w:hAnsi="Book Antiqua"/>
          <w:b/>
          <w:kern w:val="2"/>
          <w:sz w:val="24"/>
          <w:szCs w:val="24"/>
          <w:lang w:val="en-US" w:eastAsia="zh-CN"/>
        </w:rPr>
        <w:t>Bhanji RA</w:t>
      </w:r>
      <w:r w:rsidRPr="005D688D">
        <w:rPr>
          <w:rFonts w:ascii="Book Antiqua" w:eastAsia="等线" w:hAnsi="Book Antiqua"/>
          <w:kern w:val="2"/>
          <w:sz w:val="24"/>
          <w:szCs w:val="24"/>
          <w:lang w:val="en-US" w:eastAsia="zh-CN"/>
        </w:rPr>
        <w:t xml:space="preserve">, Moctezuma-Velazquez C, Duarte-Rojo A, Ebadi M, Ghosh S, Rose C, Montano-Loza AJ. Myosteatosis and sarcopenia are associated with hepatic encephalopathy in patients with cirrhosis. </w:t>
      </w:r>
      <w:r w:rsidRPr="005D688D">
        <w:rPr>
          <w:rFonts w:ascii="Book Antiqua" w:eastAsia="等线" w:hAnsi="Book Antiqua"/>
          <w:i/>
          <w:kern w:val="2"/>
          <w:sz w:val="24"/>
          <w:szCs w:val="24"/>
          <w:lang w:val="en-US" w:eastAsia="zh-CN"/>
        </w:rPr>
        <w:t>Hepatol Int</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12</w:t>
      </w:r>
      <w:r w:rsidRPr="005D688D">
        <w:rPr>
          <w:rFonts w:ascii="Book Antiqua" w:eastAsia="等线" w:hAnsi="Book Antiqua"/>
          <w:kern w:val="2"/>
          <w:sz w:val="24"/>
          <w:szCs w:val="24"/>
          <w:lang w:val="en-US" w:eastAsia="zh-CN"/>
        </w:rPr>
        <w:t>: 377-386 [PMID: 29881992 DOI: 10.1007/s12072-018-9875-9]</w:t>
      </w:r>
    </w:p>
    <w:p w14:paraId="1DFFD893"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39 </w:t>
      </w:r>
      <w:r w:rsidRPr="005D688D">
        <w:rPr>
          <w:rFonts w:ascii="Book Antiqua" w:eastAsia="等线" w:hAnsi="Book Antiqua"/>
          <w:b/>
          <w:kern w:val="2"/>
          <w:sz w:val="24"/>
          <w:szCs w:val="24"/>
          <w:lang w:val="en-US" w:eastAsia="zh-CN"/>
        </w:rPr>
        <w:t>Kvist H</w:t>
      </w:r>
      <w:r w:rsidRPr="005D688D">
        <w:rPr>
          <w:rFonts w:ascii="Book Antiqua" w:eastAsia="等线" w:hAnsi="Book Antiqua"/>
          <w:kern w:val="2"/>
          <w:sz w:val="24"/>
          <w:szCs w:val="24"/>
          <w:lang w:val="en-US" w:eastAsia="zh-CN"/>
        </w:rPr>
        <w:t xml:space="preserve">, Sjöström L, Tylén U. Adipose tissue volume determinations in women by computed tomography: Technical considerations. </w:t>
      </w:r>
      <w:r w:rsidRPr="005D688D">
        <w:rPr>
          <w:rFonts w:ascii="Book Antiqua" w:eastAsia="等线" w:hAnsi="Book Antiqua"/>
          <w:i/>
          <w:kern w:val="2"/>
          <w:sz w:val="24"/>
          <w:szCs w:val="24"/>
          <w:lang w:val="en-US" w:eastAsia="zh-CN"/>
        </w:rPr>
        <w:t>Int J Obes</w:t>
      </w:r>
      <w:r w:rsidRPr="005D688D">
        <w:rPr>
          <w:rFonts w:ascii="Book Antiqua" w:eastAsia="等线" w:hAnsi="Book Antiqua"/>
          <w:kern w:val="2"/>
          <w:sz w:val="24"/>
          <w:szCs w:val="24"/>
          <w:lang w:val="en-US" w:eastAsia="zh-CN"/>
        </w:rPr>
        <w:t xml:space="preserve"> 1986; </w:t>
      </w:r>
      <w:r w:rsidRPr="005D688D">
        <w:rPr>
          <w:rFonts w:ascii="Book Antiqua" w:eastAsia="等线" w:hAnsi="Book Antiqua"/>
          <w:b/>
          <w:kern w:val="2"/>
          <w:sz w:val="24"/>
          <w:szCs w:val="24"/>
          <w:lang w:val="en-US" w:eastAsia="zh-CN"/>
        </w:rPr>
        <w:t>10</w:t>
      </w:r>
      <w:r w:rsidRPr="005D688D">
        <w:rPr>
          <w:rFonts w:ascii="Book Antiqua" w:eastAsia="等线" w:hAnsi="Book Antiqua"/>
          <w:kern w:val="2"/>
          <w:sz w:val="24"/>
          <w:szCs w:val="24"/>
          <w:lang w:val="en-US" w:eastAsia="zh-CN"/>
        </w:rPr>
        <w:t>: 53-67 [PMID: 3710689 DOI: 10.1159/000180330]</w:t>
      </w:r>
    </w:p>
    <w:p w14:paraId="7B244E4C"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40 </w:t>
      </w:r>
      <w:r w:rsidRPr="005D688D">
        <w:rPr>
          <w:rFonts w:ascii="Book Antiqua" w:eastAsia="等线" w:hAnsi="Book Antiqua"/>
          <w:b/>
          <w:kern w:val="2"/>
          <w:sz w:val="24"/>
          <w:szCs w:val="24"/>
          <w:lang w:val="en-US" w:eastAsia="zh-CN"/>
        </w:rPr>
        <w:t>Vehmas T</w:t>
      </w:r>
      <w:r w:rsidRPr="005D688D">
        <w:rPr>
          <w:rFonts w:ascii="Book Antiqua" w:eastAsia="等线" w:hAnsi="Book Antiqua"/>
          <w:kern w:val="2"/>
          <w:sz w:val="24"/>
          <w:szCs w:val="24"/>
          <w:lang w:val="en-US" w:eastAsia="zh-CN"/>
        </w:rPr>
        <w:t xml:space="preserve">, Kairemo KJ, Taavitsainen MJ. Measuring visceral adipose tissue content from contrast enhanced computed tomography. </w:t>
      </w:r>
      <w:r w:rsidRPr="005D688D">
        <w:rPr>
          <w:rFonts w:ascii="Book Antiqua" w:eastAsia="等线" w:hAnsi="Book Antiqua"/>
          <w:i/>
          <w:kern w:val="2"/>
          <w:sz w:val="24"/>
          <w:szCs w:val="24"/>
          <w:lang w:val="en-US" w:eastAsia="zh-CN"/>
        </w:rPr>
        <w:t>Int J Obes Relat Metab Disord</w:t>
      </w:r>
      <w:r w:rsidRPr="005D688D">
        <w:rPr>
          <w:rFonts w:ascii="Book Antiqua" w:eastAsia="等线" w:hAnsi="Book Antiqua"/>
          <w:kern w:val="2"/>
          <w:sz w:val="24"/>
          <w:szCs w:val="24"/>
          <w:lang w:val="en-US" w:eastAsia="zh-CN"/>
        </w:rPr>
        <w:t xml:space="preserve"> 1996; </w:t>
      </w:r>
      <w:r w:rsidRPr="005D688D">
        <w:rPr>
          <w:rFonts w:ascii="Book Antiqua" w:eastAsia="等线" w:hAnsi="Book Antiqua"/>
          <w:b/>
          <w:kern w:val="2"/>
          <w:sz w:val="24"/>
          <w:szCs w:val="24"/>
          <w:lang w:val="en-US" w:eastAsia="zh-CN"/>
        </w:rPr>
        <w:t>20</w:t>
      </w:r>
      <w:r w:rsidRPr="005D688D">
        <w:rPr>
          <w:rFonts w:ascii="Book Antiqua" w:eastAsia="等线" w:hAnsi="Book Antiqua"/>
          <w:kern w:val="2"/>
          <w:sz w:val="24"/>
          <w:szCs w:val="24"/>
          <w:lang w:val="en-US" w:eastAsia="zh-CN"/>
        </w:rPr>
        <w:t>: 570-573 [PMID: 8782734 DOI: 10.1006/hbeh.1996.0022]</w:t>
      </w:r>
    </w:p>
    <w:p w14:paraId="3ADCC414"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41 </w:t>
      </w:r>
      <w:r w:rsidRPr="005D688D">
        <w:rPr>
          <w:rFonts w:ascii="Book Antiqua" w:eastAsia="等线" w:hAnsi="Book Antiqua"/>
          <w:b/>
          <w:kern w:val="2"/>
          <w:sz w:val="24"/>
          <w:szCs w:val="24"/>
          <w:lang w:val="en-US" w:eastAsia="zh-CN"/>
        </w:rPr>
        <w:t>Merli M</w:t>
      </w:r>
      <w:r w:rsidRPr="005D688D">
        <w:rPr>
          <w:rFonts w:ascii="Book Antiqua" w:eastAsia="等线" w:hAnsi="Book Antiqua"/>
          <w:kern w:val="2"/>
          <w:sz w:val="24"/>
          <w:szCs w:val="24"/>
          <w:lang w:val="en-US" w:eastAsia="zh-CN"/>
        </w:rPr>
        <w:t xml:space="preserve">, Giusto M, Gentili F, Novelli G, Ferretti G, Riggio O, Corradini SG, Siciliano M, Farcomeni A, Attili AF, Berloco P, Rossi M. Nutritional status: Its influence on the outcome of patients undergoing liver transplantation. </w:t>
      </w:r>
      <w:r w:rsidRPr="005D688D">
        <w:rPr>
          <w:rFonts w:ascii="Book Antiqua" w:eastAsia="等线" w:hAnsi="Book Antiqua"/>
          <w:i/>
          <w:kern w:val="2"/>
          <w:sz w:val="24"/>
          <w:szCs w:val="24"/>
          <w:lang w:val="en-US" w:eastAsia="zh-CN"/>
        </w:rPr>
        <w:t>Liver Int</w:t>
      </w:r>
      <w:r w:rsidRPr="005D688D">
        <w:rPr>
          <w:rFonts w:ascii="Book Antiqua" w:eastAsia="等线" w:hAnsi="Book Antiqua"/>
          <w:kern w:val="2"/>
          <w:sz w:val="24"/>
          <w:szCs w:val="24"/>
          <w:lang w:val="en-US" w:eastAsia="zh-CN"/>
        </w:rPr>
        <w:t xml:space="preserve"> 2010; </w:t>
      </w:r>
      <w:r w:rsidRPr="005D688D">
        <w:rPr>
          <w:rFonts w:ascii="Book Antiqua" w:eastAsia="等线" w:hAnsi="Book Antiqua"/>
          <w:b/>
          <w:kern w:val="2"/>
          <w:sz w:val="24"/>
          <w:szCs w:val="24"/>
          <w:lang w:val="en-US" w:eastAsia="zh-CN"/>
        </w:rPr>
        <w:t>30</w:t>
      </w:r>
      <w:r w:rsidRPr="005D688D">
        <w:rPr>
          <w:rFonts w:ascii="Book Antiqua" w:eastAsia="等线" w:hAnsi="Book Antiqua"/>
          <w:kern w:val="2"/>
          <w:sz w:val="24"/>
          <w:szCs w:val="24"/>
          <w:lang w:val="en-US" w:eastAsia="zh-CN"/>
        </w:rPr>
        <w:t>: 208-214 [PMID: 19840246 DOI: 10.1111/j.1478-3231.2009.02135.x]</w:t>
      </w:r>
    </w:p>
    <w:p w14:paraId="425B0084"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42 </w:t>
      </w:r>
      <w:r w:rsidRPr="005D688D">
        <w:rPr>
          <w:rFonts w:ascii="Book Antiqua" w:eastAsia="等线" w:hAnsi="Book Antiqua"/>
          <w:b/>
          <w:kern w:val="2"/>
          <w:sz w:val="24"/>
          <w:szCs w:val="24"/>
          <w:lang w:val="en-US" w:eastAsia="zh-CN"/>
        </w:rPr>
        <w:t>Kim G</w:t>
      </w:r>
      <w:r w:rsidRPr="005D688D">
        <w:rPr>
          <w:rFonts w:ascii="Book Antiqua" w:eastAsia="等线" w:hAnsi="Book Antiqua"/>
          <w:kern w:val="2"/>
          <w:sz w:val="24"/>
          <w:szCs w:val="24"/>
          <w:lang w:val="en-US" w:eastAsia="zh-CN"/>
        </w:rPr>
        <w:t xml:space="preserve">, Kang SH, Kim MY, Baik SK. Prognostic value of sarcopenia in patients with liver cirrhosis: A systematic review and meta-analysis. </w:t>
      </w:r>
      <w:r w:rsidRPr="005D688D">
        <w:rPr>
          <w:rFonts w:ascii="Book Antiqua" w:eastAsia="等线" w:hAnsi="Book Antiqua"/>
          <w:i/>
          <w:kern w:val="2"/>
          <w:sz w:val="24"/>
          <w:szCs w:val="24"/>
          <w:lang w:val="en-US" w:eastAsia="zh-CN"/>
        </w:rPr>
        <w:t>PLoS One</w:t>
      </w:r>
      <w:r w:rsidRPr="005D688D">
        <w:rPr>
          <w:rFonts w:ascii="Book Antiqua" w:eastAsia="等线" w:hAnsi="Book Antiqua"/>
          <w:kern w:val="2"/>
          <w:sz w:val="24"/>
          <w:szCs w:val="24"/>
          <w:lang w:val="en-US" w:eastAsia="zh-CN"/>
        </w:rPr>
        <w:t xml:space="preserve"> 2017; </w:t>
      </w:r>
      <w:r w:rsidRPr="005D688D">
        <w:rPr>
          <w:rFonts w:ascii="Book Antiqua" w:eastAsia="等线" w:hAnsi="Book Antiqua"/>
          <w:b/>
          <w:kern w:val="2"/>
          <w:sz w:val="24"/>
          <w:szCs w:val="24"/>
          <w:lang w:val="en-US" w:eastAsia="zh-CN"/>
        </w:rPr>
        <w:t>12</w:t>
      </w:r>
      <w:r w:rsidRPr="005D688D">
        <w:rPr>
          <w:rFonts w:ascii="Book Antiqua" w:eastAsia="等线" w:hAnsi="Book Antiqua"/>
          <w:kern w:val="2"/>
          <w:sz w:val="24"/>
          <w:szCs w:val="24"/>
          <w:lang w:val="en-US" w:eastAsia="zh-CN"/>
        </w:rPr>
        <w:t>: e0186990 [PMID: 29065187 DOI: 10.1371/journal.pone.0186990]</w:t>
      </w:r>
    </w:p>
    <w:p w14:paraId="382FAC35"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43 </w:t>
      </w:r>
      <w:r w:rsidRPr="005D688D">
        <w:rPr>
          <w:rFonts w:ascii="Book Antiqua" w:eastAsia="等线" w:hAnsi="Book Antiqua"/>
          <w:b/>
          <w:kern w:val="2"/>
          <w:sz w:val="24"/>
          <w:szCs w:val="24"/>
          <w:lang w:val="en-US" w:eastAsia="zh-CN"/>
        </w:rPr>
        <w:t>Montano-Loza AJ</w:t>
      </w:r>
      <w:r w:rsidRPr="005D688D">
        <w:rPr>
          <w:rFonts w:ascii="Book Antiqua" w:eastAsia="等线" w:hAnsi="Book Antiqua"/>
          <w:kern w:val="2"/>
          <w:sz w:val="24"/>
          <w:szCs w:val="24"/>
          <w:lang w:val="en-US" w:eastAsia="zh-CN"/>
        </w:rPr>
        <w:t xml:space="preserve">, Duarte-Rojo A, Meza-Junco J, Baracos VE, Sawyer MB, Pang JX, Beaumont C, Esfandiari N, Myers RP. Inclusion of Sarcopenia Within MELD (MELD-Sarcopenia) and the Prediction of Mortality in Patients With Cirrhosis. </w:t>
      </w:r>
      <w:r w:rsidRPr="005D688D">
        <w:rPr>
          <w:rFonts w:ascii="Book Antiqua" w:eastAsia="等线" w:hAnsi="Book Antiqua"/>
          <w:i/>
          <w:kern w:val="2"/>
          <w:sz w:val="24"/>
          <w:szCs w:val="24"/>
          <w:lang w:val="en-US" w:eastAsia="zh-CN"/>
        </w:rPr>
        <w:t>Clin Transl Gastroenterol</w:t>
      </w:r>
      <w:r w:rsidRPr="005D688D">
        <w:rPr>
          <w:rFonts w:ascii="Book Antiqua" w:eastAsia="等线" w:hAnsi="Book Antiqua"/>
          <w:kern w:val="2"/>
          <w:sz w:val="24"/>
          <w:szCs w:val="24"/>
          <w:lang w:val="en-US" w:eastAsia="zh-CN"/>
        </w:rPr>
        <w:t xml:space="preserve"> 2015; </w:t>
      </w:r>
      <w:r w:rsidRPr="005D688D">
        <w:rPr>
          <w:rFonts w:ascii="Book Antiqua" w:eastAsia="等线" w:hAnsi="Book Antiqua"/>
          <w:b/>
          <w:kern w:val="2"/>
          <w:sz w:val="24"/>
          <w:szCs w:val="24"/>
          <w:lang w:val="en-US" w:eastAsia="zh-CN"/>
        </w:rPr>
        <w:t>6</w:t>
      </w:r>
      <w:r w:rsidRPr="005D688D">
        <w:rPr>
          <w:rFonts w:ascii="Book Antiqua" w:eastAsia="等线" w:hAnsi="Book Antiqua"/>
          <w:kern w:val="2"/>
          <w:sz w:val="24"/>
          <w:szCs w:val="24"/>
          <w:lang w:val="en-US" w:eastAsia="zh-CN"/>
        </w:rPr>
        <w:t>: e102 [PMID: 26181291 DOI: 10.1038/ctg.2015.31]</w:t>
      </w:r>
    </w:p>
    <w:p w14:paraId="17EE4872"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44 </w:t>
      </w:r>
      <w:r w:rsidRPr="005D688D">
        <w:rPr>
          <w:rFonts w:ascii="Book Antiqua" w:eastAsia="等线" w:hAnsi="Book Antiqua"/>
          <w:b/>
          <w:kern w:val="2"/>
          <w:sz w:val="24"/>
          <w:szCs w:val="24"/>
          <w:lang w:val="en-US" w:eastAsia="zh-CN"/>
        </w:rPr>
        <w:t>Kang SH</w:t>
      </w:r>
      <w:r w:rsidRPr="005D688D">
        <w:rPr>
          <w:rFonts w:ascii="Book Antiqua" w:eastAsia="等线" w:hAnsi="Book Antiqua"/>
          <w:kern w:val="2"/>
          <w:sz w:val="24"/>
          <w:szCs w:val="24"/>
          <w:lang w:val="en-US" w:eastAsia="zh-CN"/>
        </w:rPr>
        <w:t xml:space="preserve">, Jeong WK, Baik SK, Cha SH, Kim MY. Impact of sarcopenia on prognostic value of cirrhosis: Going beyond the hepatic venous pressure gradient and MELD score. </w:t>
      </w:r>
      <w:r w:rsidRPr="005D688D">
        <w:rPr>
          <w:rFonts w:ascii="Book Antiqua" w:eastAsia="等线" w:hAnsi="Book Antiqua"/>
          <w:i/>
          <w:kern w:val="2"/>
          <w:sz w:val="24"/>
          <w:szCs w:val="24"/>
          <w:lang w:val="en-US" w:eastAsia="zh-CN"/>
        </w:rPr>
        <w:t>J Cachexia Sarcopenia Muscle</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9</w:t>
      </w:r>
      <w:r w:rsidRPr="005D688D">
        <w:rPr>
          <w:rFonts w:ascii="Book Antiqua" w:eastAsia="等线" w:hAnsi="Book Antiqua"/>
          <w:kern w:val="2"/>
          <w:sz w:val="24"/>
          <w:szCs w:val="24"/>
          <w:lang w:val="en-US" w:eastAsia="zh-CN"/>
        </w:rPr>
        <w:t>: 860-870 [PMID: 30371017 DOI: 10.1002/jcsm.12333]</w:t>
      </w:r>
    </w:p>
    <w:p w14:paraId="2B5DF310"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highlight w:val="yellow"/>
          <w:lang w:val="en-US" w:eastAsia="zh-CN"/>
        </w:rPr>
        <w:t xml:space="preserve">45 </w:t>
      </w:r>
      <w:r w:rsidRPr="005D688D">
        <w:rPr>
          <w:rFonts w:ascii="Book Antiqua" w:eastAsia="等线" w:hAnsi="Book Antiqua"/>
          <w:b/>
          <w:bCs/>
          <w:kern w:val="2"/>
          <w:sz w:val="24"/>
          <w:szCs w:val="24"/>
          <w:highlight w:val="yellow"/>
          <w:lang w:val="en-US" w:eastAsia="zh-CN"/>
        </w:rPr>
        <w:t>Musumeci G</w:t>
      </w:r>
      <w:r w:rsidRPr="005D688D">
        <w:rPr>
          <w:rFonts w:ascii="Book Antiqua" w:eastAsia="等线" w:hAnsi="Book Antiqua"/>
          <w:kern w:val="2"/>
          <w:sz w:val="24"/>
          <w:szCs w:val="24"/>
          <w:highlight w:val="yellow"/>
          <w:lang w:val="en-US" w:eastAsia="zh-CN"/>
        </w:rPr>
        <w:t xml:space="preserve">. Sarcopenia and exercise “The State of the Art”. </w:t>
      </w:r>
      <w:r w:rsidRPr="005D688D">
        <w:rPr>
          <w:rFonts w:ascii="Book Antiqua" w:eastAsia="等线" w:hAnsi="Book Antiqua"/>
          <w:i/>
          <w:iCs/>
          <w:kern w:val="2"/>
          <w:sz w:val="24"/>
          <w:szCs w:val="24"/>
          <w:highlight w:val="yellow"/>
          <w:lang w:val="en-US" w:eastAsia="zh-CN"/>
        </w:rPr>
        <w:t>J Funct Morphol Kinesiol</w:t>
      </w:r>
      <w:r w:rsidRPr="005D688D">
        <w:rPr>
          <w:rFonts w:ascii="Book Antiqua" w:eastAsia="等线" w:hAnsi="Book Antiqua"/>
          <w:kern w:val="2"/>
          <w:sz w:val="24"/>
          <w:szCs w:val="24"/>
          <w:highlight w:val="yellow"/>
          <w:lang w:val="en-US" w:eastAsia="zh-CN"/>
        </w:rPr>
        <w:t xml:space="preserve"> 2017; </w:t>
      </w:r>
      <w:r w:rsidRPr="005D688D">
        <w:rPr>
          <w:rFonts w:ascii="Book Antiqua" w:eastAsia="等线" w:hAnsi="Book Antiqua"/>
          <w:b/>
          <w:bCs/>
          <w:kern w:val="2"/>
          <w:sz w:val="24"/>
          <w:szCs w:val="24"/>
          <w:highlight w:val="yellow"/>
          <w:lang w:val="en-US" w:eastAsia="zh-CN"/>
        </w:rPr>
        <w:t>2</w:t>
      </w:r>
      <w:r w:rsidRPr="005D688D">
        <w:rPr>
          <w:rFonts w:ascii="Book Antiqua" w:eastAsia="等线" w:hAnsi="Book Antiqua"/>
          <w:kern w:val="2"/>
          <w:sz w:val="24"/>
          <w:szCs w:val="24"/>
          <w:highlight w:val="yellow"/>
          <w:lang w:val="en-US" w:eastAsia="zh-CN"/>
        </w:rPr>
        <w:t>: 40 [DOI: 10.3390/jfmk2040040</w:t>
      </w:r>
      <w:r w:rsidRPr="005D688D">
        <w:rPr>
          <w:rFonts w:ascii="Book Antiqua" w:eastAsia="等线" w:hAnsi="Book Antiqua"/>
          <w:kern w:val="2"/>
          <w:sz w:val="24"/>
          <w:szCs w:val="24"/>
          <w:lang w:val="en-US" w:eastAsia="zh-CN"/>
        </w:rPr>
        <w:t>]</w:t>
      </w:r>
    </w:p>
    <w:p w14:paraId="4E4288C0" w14:textId="5AEF9711"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46 </w:t>
      </w:r>
      <w:r w:rsidRPr="005D688D">
        <w:rPr>
          <w:rFonts w:ascii="Book Antiqua" w:eastAsia="等线" w:hAnsi="Book Antiqua"/>
          <w:b/>
          <w:kern w:val="2"/>
          <w:sz w:val="24"/>
          <w:szCs w:val="24"/>
          <w:lang w:val="en-US" w:eastAsia="zh-CN"/>
        </w:rPr>
        <w:t>European Association for the Study of the Liver</w:t>
      </w:r>
      <w:r w:rsidRPr="005D688D">
        <w:rPr>
          <w:rFonts w:ascii="Book Antiqua" w:eastAsia="等线" w:hAnsi="Book Antiqua"/>
          <w:kern w:val="2"/>
          <w:sz w:val="24"/>
          <w:szCs w:val="24"/>
          <w:lang w:val="en-US" w:eastAsia="zh-CN"/>
        </w:rPr>
        <w:t xml:space="preserve">. EASL Clinical Practice Guidelines on nutrition in chronic liver disease.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2019; </w:t>
      </w:r>
      <w:r w:rsidRPr="005D688D">
        <w:rPr>
          <w:rFonts w:ascii="Book Antiqua" w:eastAsia="等线" w:hAnsi="Book Antiqua"/>
          <w:b/>
          <w:kern w:val="2"/>
          <w:sz w:val="24"/>
          <w:szCs w:val="24"/>
          <w:lang w:val="en-US" w:eastAsia="zh-CN"/>
        </w:rPr>
        <w:t>70</w:t>
      </w:r>
      <w:r w:rsidRPr="005D688D">
        <w:rPr>
          <w:rFonts w:ascii="Book Antiqua" w:eastAsia="等线" w:hAnsi="Book Antiqua"/>
          <w:kern w:val="2"/>
          <w:sz w:val="24"/>
          <w:szCs w:val="24"/>
          <w:lang w:val="en-US" w:eastAsia="zh-CN"/>
        </w:rPr>
        <w:t xml:space="preserve">: 172-193 [PMID: 30144956 DOI: </w:t>
      </w:r>
      <w:r w:rsidRPr="005D688D">
        <w:rPr>
          <w:rFonts w:ascii="Book Antiqua" w:eastAsia="等线" w:hAnsi="Book Antiqua"/>
          <w:kern w:val="2"/>
          <w:sz w:val="24"/>
          <w:szCs w:val="24"/>
          <w:lang w:val="en-US" w:eastAsia="zh-CN"/>
        </w:rPr>
        <w:lastRenderedPageBreak/>
        <w:t>10.1016/j.jhep.2018.06.024]</w:t>
      </w:r>
    </w:p>
    <w:p w14:paraId="698502B7"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47 </w:t>
      </w:r>
      <w:r w:rsidRPr="005D688D">
        <w:rPr>
          <w:rFonts w:ascii="Book Antiqua" w:eastAsia="等线" w:hAnsi="Book Antiqua"/>
          <w:b/>
          <w:kern w:val="2"/>
          <w:sz w:val="24"/>
          <w:szCs w:val="24"/>
          <w:lang w:val="en-US" w:eastAsia="zh-CN"/>
        </w:rPr>
        <w:t>Hanai T</w:t>
      </w:r>
      <w:r w:rsidRPr="005D688D">
        <w:rPr>
          <w:rFonts w:ascii="Book Antiqua" w:eastAsia="等线" w:hAnsi="Book Antiqua"/>
          <w:kern w:val="2"/>
          <w:sz w:val="24"/>
          <w:szCs w:val="24"/>
          <w:lang w:val="en-US" w:eastAsia="zh-CN"/>
        </w:rPr>
        <w:t xml:space="preserve">, Shiraki M, Nishimura K, Ohnishi S, Imai K, Suetsugu A, Takai K, Shimizu M, Moriwaki H. Sarcopenia impairs prognosis of patients with liver cirrhosis. </w:t>
      </w:r>
      <w:r w:rsidRPr="005D688D">
        <w:rPr>
          <w:rFonts w:ascii="Book Antiqua" w:eastAsia="等线" w:hAnsi="Book Antiqua"/>
          <w:i/>
          <w:kern w:val="2"/>
          <w:sz w:val="24"/>
          <w:szCs w:val="24"/>
          <w:lang w:val="en-US" w:eastAsia="zh-CN"/>
        </w:rPr>
        <w:t>Nutrition</w:t>
      </w:r>
      <w:r w:rsidRPr="005D688D">
        <w:rPr>
          <w:rFonts w:ascii="Book Antiqua" w:eastAsia="等线" w:hAnsi="Book Antiqua"/>
          <w:kern w:val="2"/>
          <w:sz w:val="24"/>
          <w:szCs w:val="24"/>
          <w:lang w:val="en-US" w:eastAsia="zh-CN"/>
        </w:rPr>
        <w:t xml:space="preserve"> 2015; </w:t>
      </w:r>
      <w:r w:rsidRPr="005D688D">
        <w:rPr>
          <w:rFonts w:ascii="Book Antiqua" w:eastAsia="等线" w:hAnsi="Book Antiqua"/>
          <w:b/>
          <w:kern w:val="2"/>
          <w:sz w:val="24"/>
          <w:szCs w:val="24"/>
          <w:lang w:val="en-US" w:eastAsia="zh-CN"/>
        </w:rPr>
        <w:t>31</w:t>
      </w:r>
      <w:r w:rsidRPr="005D688D">
        <w:rPr>
          <w:rFonts w:ascii="Book Antiqua" w:eastAsia="等线" w:hAnsi="Book Antiqua"/>
          <w:kern w:val="2"/>
          <w:sz w:val="24"/>
          <w:szCs w:val="24"/>
          <w:lang w:val="en-US" w:eastAsia="zh-CN"/>
        </w:rPr>
        <w:t>: 193-199 [PMID: 25441595 DOI: 10.1016/j.nut.2014.07.005]</w:t>
      </w:r>
    </w:p>
    <w:p w14:paraId="2EC625EF"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48 </w:t>
      </w:r>
      <w:r w:rsidRPr="005D688D">
        <w:rPr>
          <w:rFonts w:ascii="Book Antiqua" w:eastAsia="等线" w:hAnsi="Book Antiqua"/>
          <w:b/>
          <w:kern w:val="2"/>
          <w:sz w:val="24"/>
          <w:szCs w:val="24"/>
          <w:lang w:val="en-US" w:eastAsia="zh-CN"/>
        </w:rPr>
        <w:t>Durand F</w:t>
      </w:r>
      <w:r w:rsidRPr="005D688D">
        <w:rPr>
          <w:rFonts w:ascii="Book Antiqua" w:eastAsia="等线" w:hAnsi="Book Antiqua"/>
          <w:kern w:val="2"/>
          <w:sz w:val="24"/>
          <w:szCs w:val="24"/>
          <w:lang w:val="en-US" w:eastAsia="zh-CN"/>
        </w:rPr>
        <w:t xml:space="preserve">, Buyse S, Francoz C, Laouénan C, Bruno O, Belghiti J, Moreau R, Vilgrain V, Valla D. Prognostic value of muscle atrophy in cirrhosis using psoas muscle thickness on computed tomography. </w:t>
      </w:r>
      <w:r w:rsidRPr="005D688D">
        <w:rPr>
          <w:rFonts w:ascii="Book Antiqua" w:eastAsia="等线" w:hAnsi="Book Antiqua"/>
          <w:i/>
          <w:kern w:val="2"/>
          <w:sz w:val="24"/>
          <w:szCs w:val="24"/>
          <w:lang w:val="en-US" w:eastAsia="zh-CN"/>
        </w:rPr>
        <w:t>J Hepatol</w:t>
      </w:r>
      <w:r w:rsidRPr="005D688D">
        <w:rPr>
          <w:rFonts w:ascii="Book Antiqua" w:eastAsia="等线" w:hAnsi="Book Antiqua"/>
          <w:kern w:val="2"/>
          <w:sz w:val="24"/>
          <w:szCs w:val="24"/>
          <w:lang w:val="en-US" w:eastAsia="zh-CN"/>
        </w:rPr>
        <w:t xml:space="preserve"> 2014; </w:t>
      </w:r>
      <w:r w:rsidRPr="005D688D">
        <w:rPr>
          <w:rFonts w:ascii="Book Antiqua" w:eastAsia="等线" w:hAnsi="Book Antiqua"/>
          <w:b/>
          <w:kern w:val="2"/>
          <w:sz w:val="24"/>
          <w:szCs w:val="24"/>
          <w:lang w:val="en-US" w:eastAsia="zh-CN"/>
        </w:rPr>
        <w:t>60</w:t>
      </w:r>
      <w:r w:rsidRPr="005D688D">
        <w:rPr>
          <w:rFonts w:ascii="Book Antiqua" w:eastAsia="等线" w:hAnsi="Book Antiqua"/>
          <w:kern w:val="2"/>
          <w:sz w:val="24"/>
          <w:szCs w:val="24"/>
          <w:lang w:val="en-US" w:eastAsia="zh-CN"/>
        </w:rPr>
        <w:t>: 1151-1157 [PMID: 24607622 DOI: 10.1016/j.jhep.2014.02.026]</w:t>
      </w:r>
    </w:p>
    <w:p w14:paraId="02AA1A8B"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49 </w:t>
      </w:r>
      <w:r w:rsidRPr="005D688D">
        <w:rPr>
          <w:rFonts w:ascii="Book Antiqua" w:eastAsia="等线" w:hAnsi="Book Antiqua"/>
          <w:b/>
          <w:kern w:val="2"/>
          <w:sz w:val="24"/>
          <w:szCs w:val="24"/>
          <w:lang w:val="en-US" w:eastAsia="zh-CN"/>
        </w:rPr>
        <w:t>Eslamparast T</w:t>
      </w:r>
      <w:r w:rsidRPr="005D688D">
        <w:rPr>
          <w:rFonts w:ascii="Book Antiqua" w:eastAsia="等线" w:hAnsi="Book Antiqua"/>
          <w:kern w:val="2"/>
          <w:sz w:val="24"/>
          <w:szCs w:val="24"/>
          <w:lang w:val="en-US" w:eastAsia="zh-CN"/>
        </w:rPr>
        <w:t xml:space="preserve">, Montano-Loza AJ, Raman M, Tandon P. Sarcopenic obesity in cirrhosis-The confluence of 2 prognostic titans. </w:t>
      </w:r>
      <w:r w:rsidRPr="005D688D">
        <w:rPr>
          <w:rFonts w:ascii="Book Antiqua" w:eastAsia="等线" w:hAnsi="Book Antiqua"/>
          <w:i/>
          <w:kern w:val="2"/>
          <w:sz w:val="24"/>
          <w:szCs w:val="24"/>
          <w:lang w:val="en-US" w:eastAsia="zh-CN"/>
        </w:rPr>
        <w:t>Liver Int</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38</w:t>
      </w:r>
      <w:r w:rsidRPr="005D688D">
        <w:rPr>
          <w:rFonts w:ascii="Book Antiqua" w:eastAsia="等线" w:hAnsi="Book Antiqua"/>
          <w:kern w:val="2"/>
          <w:sz w:val="24"/>
          <w:szCs w:val="24"/>
          <w:lang w:val="en-US" w:eastAsia="zh-CN"/>
        </w:rPr>
        <w:t>: 1706-1717 [PMID: 29738109 DOI: 10.1111/liv.13876]</w:t>
      </w:r>
    </w:p>
    <w:p w14:paraId="52C8FC5E"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50 </w:t>
      </w:r>
      <w:r w:rsidRPr="005D688D">
        <w:rPr>
          <w:rFonts w:ascii="Book Antiqua" w:eastAsia="等线" w:hAnsi="Book Antiqua"/>
          <w:b/>
          <w:kern w:val="2"/>
          <w:sz w:val="24"/>
          <w:szCs w:val="24"/>
          <w:lang w:val="en-US" w:eastAsia="zh-CN"/>
        </w:rPr>
        <w:t>Lattanzi B</w:t>
      </w:r>
      <w:r w:rsidRPr="005D688D">
        <w:rPr>
          <w:rFonts w:ascii="Book Antiqua" w:eastAsia="等线" w:hAnsi="Book Antiqua"/>
          <w:kern w:val="2"/>
          <w:sz w:val="24"/>
          <w:szCs w:val="24"/>
          <w:lang w:val="en-US" w:eastAsia="zh-CN"/>
        </w:rPr>
        <w:t xml:space="preserve">, D'Ambrosio D, Merli M. Hepatic Encephalopathy and Sarcopenia: Two Faces of the Same Metabolic Alteration. </w:t>
      </w:r>
      <w:r w:rsidRPr="005D688D">
        <w:rPr>
          <w:rFonts w:ascii="Book Antiqua" w:eastAsia="等线" w:hAnsi="Book Antiqua"/>
          <w:i/>
          <w:kern w:val="2"/>
          <w:sz w:val="24"/>
          <w:szCs w:val="24"/>
          <w:lang w:val="en-US" w:eastAsia="zh-CN"/>
        </w:rPr>
        <w:t>J Clin Exp Hepatol</w:t>
      </w:r>
      <w:r w:rsidRPr="005D688D">
        <w:rPr>
          <w:rFonts w:ascii="Book Antiqua" w:eastAsia="等线" w:hAnsi="Book Antiqua"/>
          <w:kern w:val="2"/>
          <w:sz w:val="24"/>
          <w:szCs w:val="24"/>
          <w:lang w:val="en-US" w:eastAsia="zh-CN"/>
        </w:rPr>
        <w:t xml:space="preserve"> 2019; </w:t>
      </w:r>
      <w:r w:rsidRPr="005D688D">
        <w:rPr>
          <w:rFonts w:ascii="Book Antiqua" w:eastAsia="等线" w:hAnsi="Book Antiqua"/>
          <w:b/>
          <w:kern w:val="2"/>
          <w:sz w:val="24"/>
          <w:szCs w:val="24"/>
          <w:lang w:val="en-US" w:eastAsia="zh-CN"/>
        </w:rPr>
        <w:t>9</w:t>
      </w:r>
      <w:r w:rsidRPr="005D688D">
        <w:rPr>
          <w:rFonts w:ascii="Book Antiqua" w:eastAsia="等线" w:hAnsi="Book Antiqua"/>
          <w:kern w:val="2"/>
          <w:sz w:val="24"/>
          <w:szCs w:val="24"/>
          <w:lang w:val="en-US" w:eastAsia="zh-CN"/>
        </w:rPr>
        <w:t>: 125-130 [PMID: 30765945 DOI: 10.1016/j.jceh.2018.04.007]</w:t>
      </w:r>
    </w:p>
    <w:p w14:paraId="038692FF"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51 </w:t>
      </w:r>
      <w:r w:rsidRPr="005D688D">
        <w:rPr>
          <w:rFonts w:ascii="Book Antiqua" w:eastAsia="等线" w:hAnsi="Book Antiqua"/>
          <w:b/>
          <w:kern w:val="2"/>
          <w:sz w:val="24"/>
          <w:szCs w:val="24"/>
          <w:lang w:val="en-US" w:eastAsia="zh-CN"/>
        </w:rPr>
        <w:t>Olde Damink SW</w:t>
      </w:r>
      <w:r w:rsidRPr="005D688D">
        <w:rPr>
          <w:rFonts w:ascii="Book Antiqua" w:eastAsia="等线" w:hAnsi="Book Antiqua"/>
          <w:kern w:val="2"/>
          <w:sz w:val="24"/>
          <w:szCs w:val="24"/>
          <w:lang w:val="en-US" w:eastAsia="zh-CN"/>
        </w:rPr>
        <w:t xml:space="preserve">, Jalan R, Redhead DN, Hayes PC, Deutz NE, Soeters PB. Interorgan ammonia and amino acid metabolism in metabolically stable patients with cirrhosis and a TIPSS. </w:t>
      </w:r>
      <w:r w:rsidRPr="005D688D">
        <w:rPr>
          <w:rFonts w:ascii="Book Antiqua" w:eastAsia="等线" w:hAnsi="Book Antiqua"/>
          <w:i/>
          <w:kern w:val="2"/>
          <w:sz w:val="24"/>
          <w:szCs w:val="24"/>
          <w:lang w:val="en-US" w:eastAsia="zh-CN"/>
        </w:rPr>
        <w:t>Hepatology</w:t>
      </w:r>
      <w:r w:rsidRPr="005D688D">
        <w:rPr>
          <w:rFonts w:ascii="Book Antiqua" w:eastAsia="等线" w:hAnsi="Book Antiqua"/>
          <w:kern w:val="2"/>
          <w:sz w:val="24"/>
          <w:szCs w:val="24"/>
          <w:lang w:val="en-US" w:eastAsia="zh-CN"/>
        </w:rPr>
        <w:t xml:space="preserve"> 2002; </w:t>
      </w:r>
      <w:r w:rsidRPr="005D688D">
        <w:rPr>
          <w:rFonts w:ascii="Book Antiqua" w:eastAsia="等线" w:hAnsi="Book Antiqua"/>
          <w:b/>
          <w:kern w:val="2"/>
          <w:sz w:val="24"/>
          <w:szCs w:val="24"/>
          <w:lang w:val="en-US" w:eastAsia="zh-CN"/>
        </w:rPr>
        <w:t>36</w:t>
      </w:r>
      <w:r w:rsidRPr="005D688D">
        <w:rPr>
          <w:rFonts w:ascii="Book Antiqua" w:eastAsia="等线" w:hAnsi="Book Antiqua"/>
          <w:kern w:val="2"/>
          <w:sz w:val="24"/>
          <w:szCs w:val="24"/>
          <w:lang w:val="en-US" w:eastAsia="zh-CN"/>
        </w:rPr>
        <w:t>: 1163-1171 [PMID: 12395326 DOI: 10.1053/jhep.2002.36497]</w:t>
      </w:r>
    </w:p>
    <w:p w14:paraId="5CC1F9E1"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52 </w:t>
      </w:r>
      <w:r w:rsidRPr="005D688D">
        <w:rPr>
          <w:rFonts w:ascii="Book Antiqua" w:eastAsia="等线" w:hAnsi="Book Antiqua"/>
          <w:b/>
          <w:kern w:val="2"/>
          <w:sz w:val="24"/>
          <w:szCs w:val="24"/>
          <w:lang w:val="en-US" w:eastAsia="zh-CN"/>
        </w:rPr>
        <w:t>Ganda OP</w:t>
      </w:r>
      <w:r w:rsidRPr="005D688D">
        <w:rPr>
          <w:rFonts w:ascii="Book Antiqua" w:eastAsia="等线" w:hAnsi="Book Antiqua"/>
          <w:kern w:val="2"/>
          <w:sz w:val="24"/>
          <w:szCs w:val="24"/>
          <w:lang w:val="en-US" w:eastAsia="zh-CN"/>
        </w:rPr>
        <w:t xml:space="preserve">, Ruderman NB. Muscle nitrogen metabolism in chronic hepatic insufficiency. </w:t>
      </w:r>
      <w:r w:rsidRPr="005D688D">
        <w:rPr>
          <w:rFonts w:ascii="Book Antiqua" w:eastAsia="等线" w:hAnsi="Book Antiqua"/>
          <w:i/>
          <w:kern w:val="2"/>
          <w:sz w:val="24"/>
          <w:szCs w:val="24"/>
          <w:lang w:val="en-US" w:eastAsia="zh-CN"/>
        </w:rPr>
        <w:t>Metabolism</w:t>
      </w:r>
      <w:r w:rsidRPr="005D688D">
        <w:rPr>
          <w:rFonts w:ascii="Book Antiqua" w:eastAsia="等线" w:hAnsi="Book Antiqua"/>
          <w:kern w:val="2"/>
          <w:sz w:val="24"/>
          <w:szCs w:val="24"/>
          <w:lang w:val="en-US" w:eastAsia="zh-CN"/>
        </w:rPr>
        <w:t xml:space="preserve"> 1976; </w:t>
      </w:r>
      <w:r w:rsidRPr="005D688D">
        <w:rPr>
          <w:rFonts w:ascii="Book Antiqua" w:eastAsia="等线" w:hAnsi="Book Antiqua"/>
          <w:b/>
          <w:kern w:val="2"/>
          <w:sz w:val="24"/>
          <w:szCs w:val="24"/>
          <w:lang w:val="en-US" w:eastAsia="zh-CN"/>
        </w:rPr>
        <w:t>25</w:t>
      </w:r>
      <w:r w:rsidRPr="005D688D">
        <w:rPr>
          <w:rFonts w:ascii="Book Antiqua" w:eastAsia="等线" w:hAnsi="Book Antiqua"/>
          <w:kern w:val="2"/>
          <w:sz w:val="24"/>
          <w:szCs w:val="24"/>
          <w:lang w:val="en-US" w:eastAsia="zh-CN"/>
        </w:rPr>
        <w:t>: 427-435 [PMID: 1263837 DOI: 10.1016/0026-0495(76)90075-5]</w:t>
      </w:r>
    </w:p>
    <w:p w14:paraId="189C2440"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53 </w:t>
      </w:r>
      <w:r w:rsidRPr="005D688D">
        <w:rPr>
          <w:rFonts w:ascii="Book Antiqua" w:eastAsia="等线" w:hAnsi="Book Antiqua"/>
          <w:b/>
          <w:kern w:val="2"/>
          <w:sz w:val="24"/>
          <w:szCs w:val="24"/>
          <w:lang w:val="en-US" w:eastAsia="zh-CN"/>
        </w:rPr>
        <w:t>Wright G</w:t>
      </w:r>
      <w:r w:rsidRPr="005D688D">
        <w:rPr>
          <w:rFonts w:ascii="Book Antiqua" w:eastAsia="等线" w:hAnsi="Book Antiqua"/>
          <w:kern w:val="2"/>
          <w:sz w:val="24"/>
          <w:szCs w:val="24"/>
          <w:lang w:val="en-US" w:eastAsia="zh-CN"/>
        </w:rPr>
        <w:t xml:space="preserve">, Noiret L, Olde Damink SW, Jalan R. Interorgan ammonia metabolism in liver failure: The basis of current and future therapies. </w:t>
      </w:r>
      <w:r w:rsidRPr="005D688D">
        <w:rPr>
          <w:rFonts w:ascii="Book Antiqua" w:eastAsia="等线" w:hAnsi="Book Antiqua"/>
          <w:i/>
          <w:kern w:val="2"/>
          <w:sz w:val="24"/>
          <w:szCs w:val="24"/>
          <w:lang w:val="en-US" w:eastAsia="zh-CN"/>
        </w:rPr>
        <w:t>Liver Int</w:t>
      </w:r>
      <w:r w:rsidRPr="005D688D">
        <w:rPr>
          <w:rFonts w:ascii="Book Antiqua" w:eastAsia="等线" w:hAnsi="Book Antiqua"/>
          <w:kern w:val="2"/>
          <w:sz w:val="24"/>
          <w:szCs w:val="24"/>
          <w:lang w:val="en-US" w:eastAsia="zh-CN"/>
        </w:rPr>
        <w:t xml:space="preserve"> 2011; </w:t>
      </w:r>
      <w:r w:rsidRPr="005D688D">
        <w:rPr>
          <w:rFonts w:ascii="Book Antiqua" w:eastAsia="等线" w:hAnsi="Book Antiqua"/>
          <w:b/>
          <w:kern w:val="2"/>
          <w:sz w:val="24"/>
          <w:szCs w:val="24"/>
          <w:lang w:val="en-US" w:eastAsia="zh-CN"/>
        </w:rPr>
        <w:t>31</w:t>
      </w:r>
      <w:r w:rsidRPr="005D688D">
        <w:rPr>
          <w:rFonts w:ascii="Book Antiqua" w:eastAsia="等线" w:hAnsi="Book Antiqua"/>
          <w:kern w:val="2"/>
          <w:sz w:val="24"/>
          <w:szCs w:val="24"/>
          <w:lang w:val="en-US" w:eastAsia="zh-CN"/>
        </w:rPr>
        <w:t>: 163-175 [PMID: 20673233 DOI: 10.1111/j.1478-3231.2010.02302.x]</w:t>
      </w:r>
    </w:p>
    <w:p w14:paraId="39277A3A"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54 </w:t>
      </w:r>
      <w:r w:rsidRPr="005D688D">
        <w:rPr>
          <w:rFonts w:ascii="Book Antiqua" w:eastAsia="等线" w:hAnsi="Book Antiqua"/>
          <w:b/>
          <w:kern w:val="2"/>
          <w:sz w:val="24"/>
          <w:szCs w:val="24"/>
          <w:lang w:val="en-US" w:eastAsia="zh-CN"/>
        </w:rPr>
        <w:t>Dasarathy S</w:t>
      </w:r>
      <w:r w:rsidRPr="005D688D">
        <w:rPr>
          <w:rFonts w:ascii="Book Antiqua" w:eastAsia="等线" w:hAnsi="Book Antiqua"/>
          <w:kern w:val="2"/>
          <w:sz w:val="24"/>
          <w:szCs w:val="24"/>
          <w:lang w:val="en-US" w:eastAsia="zh-CN"/>
        </w:rPr>
        <w:t xml:space="preserve">. Myostatin and beyond in cirrhosis: All roads lead to sarcopenia. </w:t>
      </w:r>
      <w:r w:rsidRPr="005D688D">
        <w:rPr>
          <w:rFonts w:ascii="Book Antiqua" w:eastAsia="等线" w:hAnsi="Book Antiqua"/>
          <w:i/>
          <w:kern w:val="2"/>
          <w:sz w:val="24"/>
          <w:szCs w:val="24"/>
          <w:lang w:val="en-US" w:eastAsia="zh-CN"/>
        </w:rPr>
        <w:t>J Cachexia Sarcopenia Muscle</w:t>
      </w:r>
      <w:r w:rsidRPr="005D688D">
        <w:rPr>
          <w:rFonts w:ascii="Book Antiqua" w:eastAsia="等线" w:hAnsi="Book Antiqua"/>
          <w:kern w:val="2"/>
          <w:sz w:val="24"/>
          <w:szCs w:val="24"/>
          <w:lang w:val="en-US" w:eastAsia="zh-CN"/>
        </w:rPr>
        <w:t xml:space="preserve"> 2017; </w:t>
      </w:r>
      <w:r w:rsidRPr="005D688D">
        <w:rPr>
          <w:rFonts w:ascii="Book Antiqua" w:eastAsia="等线" w:hAnsi="Book Antiqua"/>
          <w:b/>
          <w:kern w:val="2"/>
          <w:sz w:val="24"/>
          <w:szCs w:val="24"/>
          <w:lang w:val="en-US" w:eastAsia="zh-CN"/>
        </w:rPr>
        <w:t>8</w:t>
      </w:r>
      <w:r w:rsidRPr="005D688D">
        <w:rPr>
          <w:rFonts w:ascii="Book Antiqua" w:eastAsia="等线" w:hAnsi="Book Antiqua"/>
          <w:kern w:val="2"/>
          <w:sz w:val="24"/>
          <w:szCs w:val="24"/>
          <w:lang w:val="en-US" w:eastAsia="zh-CN"/>
        </w:rPr>
        <w:t>: 864-869 [PMID: 29168629 DOI: 10.1002/jcsm.12262]</w:t>
      </w:r>
    </w:p>
    <w:p w14:paraId="3A88C7C8"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55 </w:t>
      </w:r>
      <w:r w:rsidRPr="005D688D">
        <w:rPr>
          <w:rFonts w:ascii="Book Antiqua" w:eastAsia="等线" w:hAnsi="Book Antiqua"/>
          <w:b/>
          <w:kern w:val="2"/>
          <w:sz w:val="24"/>
          <w:szCs w:val="24"/>
          <w:lang w:val="en-US" w:eastAsia="zh-CN"/>
        </w:rPr>
        <w:t>Qiu J</w:t>
      </w:r>
      <w:r w:rsidRPr="005D688D">
        <w:rPr>
          <w:rFonts w:ascii="Book Antiqua" w:eastAsia="等线" w:hAnsi="Book Antiqua"/>
          <w:kern w:val="2"/>
          <w:sz w:val="24"/>
          <w:szCs w:val="24"/>
          <w:lang w:val="en-US" w:eastAsia="zh-CN"/>
        </w:rPr>
        <w:t xml:space="preserve">, Tsien C, Thapalaya S, Narayanan A, Weihl CC, Ching JK, Eghtesad B, Singh K, Fu X, Dubyak G, McDonald C, Almasan A, Hazen SL, Naga Prasad SV, Dasarathy S. Hyperammonemia-mediated autophagy in skeletal muscle contributes to sarcopenia of cirrhosis. </w:t>
      </w:r>
      <w:r w:rsidRPr="005D688D">
        <w:rPr>
          <w:rFonts w:ascii="Book Antiqua" w:eastAsia="等线" w:hAnsi="Book Antiqua"/>
          <w:i/>
          <w:kern w:val="2"/>
          <w:sz w:val="24"/>
          <w:szCs w:val="24"/>
          <w:lang w:val="en-US" w:eastAsia="zh-CN"/>
        </w:rPr>
        <w:t>Am J Physiol Endocrinol Metab</w:t>
      </w:r>
      <w:r w:rsidRPr="005D688D">
        <w:rPr>
          <w:rFonts w:ascii="Book Antiqua" w:eastAsia="等线" w:hAnsi="Book Antiqua"/>
          <w:kern w:val="2"/>
          <w:sz w:val="24"/>
          <w:szCs w:val="24"/>
          <w:lang w:val="en-US" w:eastAsia="zh-CN"/>
        </w:rPr>
        <w:t xml:space="preserve"> 2012; </w:t>
      </w:r>
      <w:r w:rsidRPr="005D688D">
        <w:rPr>
          <w:rFonts w:ascii="Book Antiqua" w:eastAsia="等线" w:hAnsi="Book Antiqua"/>
          <w:b/>
          <w:kern w:val="2"/>
          <w:sz w:val="24"/>
          <w:szCs w:val="24"/>
          <w:lang w:val="en-US" w:eastAsia="zh-CN"/>
        </w:rPr>
        <w:t>303</w:t>
      </w:r>
      <w:r w:rsidRPr="005D688D">
        <w:rPr>
          <w:rFonts w:ascii="Book Antiqua" w:eastAsia="等线" w:hAnsi="Book Antiqua"/>
          <w:kern w:val="2"/>
          <w:sz w:val="24"/>
          <w:szCs w:val="24"/>
          <w:lang w:val="en-US" w:eastAsia="zh-CN"/>
        </w:rPr>
        <w:t>: E983-E993 [PMID: 22895779 DOI: 10.1152/ajpendo.00183.2012]</w:t>
      </w:r>
    </w:p>
    <w:p w14:paraId="2C650CCA"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56 </w:t>
      </w:r>
      <w:r w:rsidRPr="005D688D">
        <w:rPr>
          <w:rFonts w:ascii="Book Antiqua" w:eastAsia="等线" w:hAnsi="Book Antiqua"/>
          <w:b/>
          <w:kern w:val="2"/>
          <w:sz w:val="24"/>
          <w:szCs w:val="24"/>
          <w:lang w:val="en-US" w:eastAsia="zh-CN"/>
        </w:rPr>
        <w:t>Hanai T</w:t>
      </w:r>
      <w:r w:rsidRPr="005D688D">
        <w:rPr>
          <w:rFonts w:ascii="Book Antiqua" w:eastAsia="等线" w:hAnsi="Book Antiqua"/>
          <w:kern w:val="2"/>
          <w:sz w:val="24"/>
          <w:szCs w:val="24"/>
          <w:lang w:val="en-US" w:eastAsia="zh-CN"/>
        </w:rPr>
        <w:t xml:space="preserve">, Shiraki M, Watanabe S, Kochi T, Imai K, Suetsugu A, Takai K, Moriwaki H, Shimizu M. Sarcopenia predicts minimal hepatic encephalopathy in patients with liver cirrhosis. </w:t>
      </w:r>
      <w:r w:rsidRPr="005D688D">
        <w:rPr>
          <w:rFonts w:ascii="Book Antiqua" w:eastAsia="等线" w:hAnsi="Book Antiqua"/>
          <w:i/>
          <w:kern w:val="2"/>
          <w:sz w:val="24"/>
          <w:szCs w:val="24"/>
          <w:lang w:val="en-US" w:eastAsia="zh-CN"/>
        </w:rPr>
        <w:t>Hepatol Res</w:t>
      </w:r>
      <w:r w:rsidRPr="005D688D">
        <w:rPr>
          <w:rFonts w:ascii="Book Antiqua" w:eastAsia="等线" w:hAnsi="Book Antiqua"/>
          <w:kern w:val="2"/>
          <w:sz w:val="24"/>
          <w:szCs w:val="24"/>
          <w:lang w:val="en-US" w:eastAsia="zh-CN"/>
        </w:rPr>
        <w:t xml:space="preserve"> 2017; </w:t>
      </w:r>
      <w:r w:rsidRPr="005D688D">
        <w:rPr>
          <w:rFonts w:ascii="Book Antiqua" w:eastAsia="等线" w:hAnsi="Book Antiqua"/>
          <w:b/>
          <w:kern w:val="2"/>
          <w:sz w:val="24"/>
          <w:szCs w:val="24"/>
          <w:lang w:val="en-US" w:eastAsia="zh-CN"/>
        </w:rPr>
        <w:t>47</w:t>
      </w:r>
      <w:r w:rsidRPr="005D688D">
        <w:rPr>
          <w:rFonts w:ascii="Book Antiqua" w:eastAsia="等线" w:hAnsi="Book Antiqua"/>
          <w:kern w:val="2"/>
          <w:sz w:val="24"/>
          <w:szCs w:val="24"/>
          <w:lang w:val="en-US" w:eastAsia="zh-CN"/>
        </w:rPr>
        <w:t>: 1359-1367 [PMID: 28199774 DOI: 10.1111/hepr.12873]</w:t>
      </w:r>
    </w:p>
    <w:p w14:paraId="3BA85FA6"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lastRenderedPageBreak/>
        <w:t xml:space="preserve">57 </w:t>
      </w:r>
      <w:r w:rsidRPr="005D688D">
        <w:rPr>
          <w:rFonts w:ascii="Book Antiqua" w:eastAsia="等线" w:hAnsi="Book Antiqua"/>
          <w:b/>
          <w:kern w:val="2"/>
          <w:sz w:val="24"/>
          <w:szCs w:val="24"/>
          <w:lang w:val="en-US" w:eastAsia="zh-CN"/>
        </w:rPr>
        <w:t>Kalaitzakis E</w:t>
      </w:r>
      <w:r w:rsidRPr="005D688D">
        <w:rPr>
          <w:rFonts w:ascii="Book Antiqua" w:eastAsia="等线" w:hAnsi="Book Antiqua"/>
          <w:kern w:val="2"/>
          <w:sz w:val="24"/>
          <w:szCs w:val="24"/>
          <w:lang w:val="en-US" w:eastAsia="zh-CN"/>
        </w:rPr>
        <w:t xml:space="preserve">, Olsson R, Henfridsson P, Hugosson I, Bengtsson M, Jalan R, Björnsson E. Malnutrition and diabetes mellitus are related to hepatic encephalopathy in patients with liver cirrhosis. </w:t>
      </w:r>
      <w:r w:rsidRPr="005D688D">
        <w:rPr>
          <w:rFonts w:ascii="Book Antiqua" w:eastAsia="等线" w:hAnsi="Book Antiqua"/>
          <w:i/>
          <w:kern w:val="2"/>
          <w:sz w:val="24"/>
          <w:szCs w:val="24"/>
          <w:lang w:val="en-US" w:eastAsia="zh-CN"/>
        </w:rPr>
        <w:t>Liver Int</w:t>
      </w:r>
      <w:r w:rsidRPr="005D688D">
        <w:rPr>
          <w:rFonts w:ascii="Book Antiqua" w:eastAsia="等线" w:hAnsi="Book Antiqua"/>
          <w:kern w:val="2"/>
          <w:sz w:val="24"/>
          <w:szCs w:val="24"/>
          <w:lang w:val="en-US" w:eastAsia="zh-CN"/>
        </w:rPr>
        <w:t xml:space="preserve"> 2007; </w:t>
      </w:r>
      <w:r w:rsidRPr="005D688D">
        <w:rPr>
          <w:rFonts w:ascii="Book Antiqua" w:eastAsia="等线" w:hAnsi="Book Antiqua"/>
          <w:b/>
          <w:kern w:val="2"/>
          <w:sz w:val="24"/>
          <w:szCs w:val="24"/>
          <w:lang w:val="en-US" w:eastAsia="zh-CN"/>
        </w:rPr>
        <w:t>27</w:t>
      </w:r>
      <w:r w:rsidRPr="005D688D">
        <w:rPr>
          <w:rFonts w:ascii="Book Antiqua" w:eastAsia="等线" w:hAnsi="Book Antiqua"/>
          <w:kern w:val="2"/>
          <w:sz w:val="24"/>
          <w:szCs w:val="24"/>
          <w:lang w:val="en-US" w:eastAsia="zh-CN"/>
        </w:rPr>
        <w:t>: 1194-1201 [PMID: 17919230 DOI: 10.1111/j.1478-3231.2007.01562.x]</w:t>
      </w:r>
    </w:p>
    <w:p w14:paraId="456A3AF9"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58 </w:t>
      </w:r>
      <w:r w:rsidRPr="005D688D">
        <w:rPr>
          <w:rFonts w:ascii="Book Antiqua" w:eastAsia="等线" w:hAnsi="Book Antiqua"/>
          <w:b/>
          <w:kern w:val="2"/>
          <w:sz w:val="24"/>
          <w:szCs w:val="24"/>
          <w:lang w:val="en-US" w:eastAsia="zh-CN"/>
        </w:rPr>
        <w:t>Tapper EB</w:t>
      </w:r>
      <w:r w:rsidRPr="005D688D">
        <w:rPr>
          <w:rFonts w:ascii="Book Antiqua" w:eastAsia="等线" w:hAnsi="Book Antiqua"/>
          <w:kern w:val="2"/>
          <w:sz w:val="24"/>
          <w:szCs w:val="24"/>
          <w:lang w:val="en-US" w:eastAsia="zh-CN"/>
        </w:rPr>
        <w:t xml:space="preserve">, Derstine B, Baki J, Su GL. Bedside Measures of Frailty and Cognitive Function Correlate with Sarcopenia in Patients with Cirrhosis. </w:t>
      </w:r>
      <w:r w:rsidRPr="005D688D">
        <w:rPr>
          <w:rFonts w:ascii="Book Antiqua" w:eastAsia="等线" w:hAnsi="Book Antiqua"/>
          <w:i/>
          <w:kern w:val="2"/>
          <w:sz w:val="24"/>
          <w:szCs w:val="24"/>
          <w:lang w:val="en-US" w:eastAsia="zh-CN"/>
        </w:rPr>
        <w:t>Dig Dis Sci</w:t>
      </w:r>
      <w:r w:rsidRPr="005D688D">
        <w:rPr>
          <w:rFonts w:ascii="Book Antiqua" w:eastAsia="等线" w:hAnsi="Book Antiqua"/>
          <w:kern w:val="2"/>
          <w:sz w:val="24"/>
          <w:szCs w:val="24"/>
          <w:lang w:val="en-US" w:eastAsia="zh-CN"/>
        </w:rPr>
        <w:t xml:space="preserve"> 2019 [PMID: </w:t>
      </w:r>
      <w:bookmarkStart w:id="39" w:name="OLE_LINK5"/>
      <w:r w:rsidRPr="005D688D">
        <w:rPr>
          <w:rFonts w:ascii="Book Antiqua" w:eastAsia="等线" w:hAnsi="Book Antiqua"/>
          <w:kern w:val="2"/>
          <w:sz w:val="24"/>
          <w:szCs w:val="24"/>
          <w:lang w:val="en-US" w:eastAsia="zh-CN"/>
        </w:rPr>
        <w:t>31292783</w:t>
      </w:r>
      <w:bookmarkEnd w:id="39"/>
      <w:r w:rsidRPr="005D688D">
        <w:rPr>
          <w:rFonts w:ascii="Book Antiqua" w:eastAsia="等线" w:hAnsi="Book Antiqua"/>
          <w:kern w:val="2"/>
          <w:sz w:val="24"/>
          <w:szCs w:val="24"/>
          <w:lang w:val="en-US" w:eastAsia="zh-CN"/>
        </w:rPr>
        <w:t xml:space="preserve"> DOI: 10.1007/s10620-019-05713-4]</w:t>
      </w:r>
    </w:p>
    <w:p w14:paraId="176529DE" w14:textId="29EB427A"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59 </w:t>
      </w:r>
      <w:r w:rsidRPr="005D688D">
        <w:rPr>
          <w:rFonts w:ascii="Book Antiqua" w:eastAsia="等线" w:hAnsi="Book Antiqua"/>
          <w:b/>
          <w:kern w:val="2"/>
          <w:sz w:val="24"/>
          <w:szCs w:val="24"/>
          <w:lang w:val="en-US" w:eastAsia="zh-CN"/>
        </w:rPr>
        <w:t>Zenith L</w:t>
      </w:r>
      <w:r w:rsidRPr="005D688D">
        <w:rPr>
          <w:rFonts w:ascii="Book Antiqua" w:eastAsia="等线" w:hAnsi="Book Antiqua"/>
          <w:kern w:val="2"/>
          <w:sz w:val="24"/>
          <w:szCs w:val="24"/>
          <w:lang w:val="en-US" w:eastAsia="zh-CN"/>
        </w:rPr>
        <w:t xml:space="preserve">, Meena N, Ramadi A, Yavari M, Harvey A, Carbonneau M, Ma M, Abraldes JG, Paterson I, Haykowsky MJ, Tandon P. Eight weeks of exercise training increases aerobic capacity and muscle mass and reduces fatigue in patients with cirrhosis. </w:t>
      </w:r>
      <w:r w:rsidRPr="005D688D">
        <w:rPr>
          <w:rFonts w:ascii="Book Antiqua" w:eastAsia="等线" w:hAnsi="Book Antiqua"/>
          <w:i/>
          <w:kern w:val="2"/>
          <w:sz w:val="24"/>
          <w:szCs w:val="24"/>
          <w:lang w:val="en-US" w:eastAsia="zh-CN"/>
        </w:rPr>
        <w:t>Clin Gastroenterol Hepatol</w:t>
      </w:r>
      <w:r w:rsidRPr="005D688D">
        <w:rPr>
          <w:rFonts w:ascii="Book Antiqua" w:eastAsia="等线" w:hAnsi="Book Antiqua"/>
          <w:kern w:val="2"/>
          <w:sz w:val="24"/>
          <w:szCs w:val="24"/>
          <w:lang w:val="en-US" w:eastAsia="zh-CN"/>
        </w:rPr>
        <w:t xml:space="preserve"> 2014; </w:t>
      </w:r>
      <w:r w:rsidRPr="005D688D">
        <w:rPr>
          <w:rFonts w:ascii="Book Antiqua" w:eastAsia="等线" w:hAnsi="Book Antiqua"/>
          <w:b/>
          <w:kern w:val="2"/>
          <w:sz w:val="24"/>
          <w:szCs w:val="24"/>
          <w:lang w:val="en-US" w:eastAsia="zh-CN"/>
        </w:rPr>
        <w:t>12</w:t>
      </w:r>
      <w:r w:rsidRPr="005D688D">
        <w:rPr>
          <w:rFonts w:ascii="Book Antiqua" w:eastAsia="等线" w:hAnsi="Book Antiqua"/>
          <w:kern w:val="2"/>
          <w:sz w:val="24"/>
          <w:szCs w:val="24"/>
          <w:lang w:val="en-US" w:eastAsia="zh-CN"/>
        </w:rPr>
        <w:t>: 1920-</w:t>
      </w:r>
      <w:r w:rsidR="004472FB">
        <w:rPr>
          <w:rFonts w:ascii="Book Antiqua" w:eastAsia="等线" w:hAnsi="Book Antiqua"/>
          <w:kern w:val="2"/>
          <w:sz w:val="24"/>
          <w:szCs w:val="24"/>
          <w:lang w:val="en-US" w:eastAsia="zh-CN"/>
        </w:rPr>
        <w:t>192</w:t>
      </w:r>
      <w:r w:rsidRPr="005D688D">
        <w:rPr>
          <w:rFonts w:ascii="Book Antiqua" w:eastAsia="等线" w:hAnsi="Book Antiqua"/>
          <w:kern w:val="2"/>
          <w:sz w:val="24"/>
          <w:szCs w:val="24"/>
          <w:lang w:val="en-US" w:eastAsia="zh-CN"/>
        </w:rPr>
        <w:t>6.e2 [PMID: 24768811 DOI: 10.1016/j.cgh.2014.04.016]</w:t>
      </w:r>
    </w:p>
    <w:p w14:paraId="1F03E119"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60 </w:t>
      </w:r>
      <w:r w:rsidRPr="005D688D">
        <w:rPr>
          <w:rFonts w:ascii="Book Antiqua" w:eastAsia="等线" w:hAnsi="Book Antiqua"/>
          <w:b/>
          <w:kern w:val="2"/>
          <w:sz w:val="24"/>
          <w:szCs w:val="24"/>
          <w:lang w:val="en-US" w:eastAsia="zh-CN"/>
        </w:rPr>
        <w:t>Duarte-Rojo A</w:t>
      </w:r>
      <w:r w:rsidRPr="005D688D">
        <w:rPr>
          <w:rFonts w:ascii="Book Antiqua" w:eastAsia="等线" w:hAnsi="Book Antiqua"/>
          <w:kern w:val="2"/>
          <w:sz w:val="24"/>
          <w:szCs w:val="24"/>
          <w:lang w:val="en-US" w:eastAsia="zh-CN"/>
        </w:rPr>
        <w:t xml:space="preserve">, Ruiz-Margáin A, Montaño-Loza AJ, Macías-Rodríguez RU, Ferrando A, Kim WR. Exercise and physical activity for patients with end-stage liver disease: Improving functional status and sarcopenia while on the transplant waiting list. </w:t>
      </w:r>
      <w:r w:rsidRPr="005D688D">
        <w:rPr>
          <w:rFonts w:ascii="Book Antiqua" w:eastAsia="等线" w:hAnsi="Book Antiqua"/>
          <w:i/>
          <w:kern w:val="2"/>
          <w:sz w:val="24"/>
          <w:szCs w:val="24"/>
          <w:lang w:val="en-US" w:eastAsia="zh-CN"/>
        </w:rPr>
        <w:t>Liver Transpl</w:t>
      </w:r>
      <w:r w:rsidRPr="005D688D">
        <w:rPr>
          <w:rFonts w:ascii="Book Antiqua" w:eastAsia="等线" w:hAnsi="Book Antiqua"/>
          <w:kern w:val="2"/>
          <w:sz w:val="24"/>
          <w:szCs w:val="24"/>
          <w:lang w:val="en-US" w:eastAsia="zh-CN"/>
        </w:rPr>
        <w:t xml:space="preserve"> 2018; </w:t>
      </w:r>
      <w:r w:rsidRPr="005D688D">
        <w:rPr>
          <w:rFonts w:ascii="Book Antiqua" w:eastAsia="等线" w:hAnsi="Book Antiqua"/>
          <w:b/>
          <w:kern w:val="2"/>
          <w:sz w:val="24"/>
          <w:szCs w:val="24"/>
          <w:lang w:val="en-US" w:eastAsia="zh-CN"/>
        </w:rPr>
        <w:t>24</w:t>
      </w:r>
      <w:r w:rsidRPr="005D688D">
        <w:rPr>
          <w:rFonts w:ascii="Book Antiqua" w:eastAsia="等线" w:hAnsi="Book Antiqua"/>
          <w:kern w:val="2"/>
          <w:sz w:val="24"/>
          <w:szCs w:val="24"/>
          <w:lang w:val="en-US" w:eastAsia="zh-CN"/>
        </w:rPr>
        <w:t>: 122-139 [PMID: 29024353 DOI: 10.1002/lt.24958]</w:t>
      </w:r>
    </w:p>
    <w:p w14:paraId="72DF3F71" w14:textId="77777777" w:rsidR="005D688D" w:rsidRPr="005D688D" w:rsidRDefault="005D688D" w:rsidP="005D688D">
      <w:pPr>
        <w:widowControl w:val="0"/>
        <w:suppressAutoHyphens w:val="0"/>
        <w:spacing w:after="0" w:line="360" w:lineRule="auto"/>
        <w:jc w:val="both"/>
        <w:rPr>
          <w:rFonts w:ascii="Book Antiqua" w:eastAsia="等线" w:hAnsi="Book Antiqua"/>
          <w:kern w:val="2"/>
          <w:sz w:val="24"/>
          <w:szCs w:val="24"/>
          <w:lang w:val="en-US" w:eastAsia="zh-CN"/>
        </w:rPr>
      </w:pPr>
      <w:r w:rsidRPr="005D688D">
        <w:rPr>
          <w:rFonts w:ascii="Book Antiqua" w:eastAsia="等线" w:hAnsi="Book Antiqua"/>
          <w:kern w:val="2"/>
          <w:sz w:val="24"/>
          <w:szCs w:val="24"/>
          <w:lang w:val="en-US" w:eastAsia="zh-CN"/>
        </w:rPr>
        <w:t xml:space="preserve">61 </w:t>
      </w:r>
      <w:r w:rsidRPr="005D688D">
        <w:rPr>
          <w:rFonts w:ascii="Book Antiqua" w:eastAsia="等线" w:hAnsi="Book Antiqua"/>
          <w:b/>
          <w:kern w:val="2"/>
          <w:sz w:val="24"/>
          <w:szCs w:val="24"/>
          <w:lang w:val="en-US" w:eastAsia="zh-CN"/>
        </w:rPr>
        <w:t>Reuter B</w:t>
      </w:r>
      <w:r w:rsidRPr="005D688D">
        <w:rPr>
          <w:rFonts w:ascii="Book Antiqua" w:eastAsia="等线" w:hAnsi="Book Antiqua"/>
          <w:kern w:val="2"/>
          <w:sz w:val="24"/>
          <w:szCs w:val="24"/>
          <w:lang w:val="en-US" w:eastAsia="zh-CN"/>
        </w:rPr>
        <w:t xml:space="preserve">, Shaw J, Hanson J, Tate V, Acharya C, Bajaj JS. Nutritional Assessment in Inpatients with Cirrhosis can be Improved after Training and is Associated with Lower Readmissions. </w:t>
      </w:r>
      <w:r w:rsidRPr="005D688D">
        <w:rPr>
          <w:rFonts w:ascii="Book Antiqua" w:eastAsia="等线" w:hAnsi="Book Antiqua"/>
          <w:i/>
          <w:kern w:val="2"/>
          <w:sz w:val="24"/>
          <w:szCs w:val="24"/>
          <w:lang w:val="en-US" w:eastAsia="zh-CN"/>
        </w:rPr>
        <w:t>Liver Transpl</w:t>
      </w:r>
      <w:r w:rsidRPr="005D688D">
        <w:rPr>
          <w:rFonts w:ascii="Book Antiqua" w:eastAsia="等线" w:hAnsi="Book Antiqua"/>
          <w:kern w:val="2"/>
          <w:sz w:val="24"/>
          <w:szCs w:val="24"/>
          <w:lang w:val="en-US" w:eastAsia="zh-CN"/>
        </w:rPr>
        <w:t xml:space="preserve"> 2019 [PMID: </w:t>
      </w:r>
      <w:bookmarkStart w:id="40" w:name="OLE_LINK6"/>
      <w:r w:rsidRPr="005D688D">
        <w:rPr>
          <w:rFonts w:ascii="Book Antiqua" w:eastAsia="等线" w:hAnsi="Book Antiqua"/>
          <w:kern w:val="2"/>
          <w:sz w:val="24"/>
          <w:szCs w:val="24"/>
          <w:lang w:val="en-US" w:eastAsia="zh-CN"/>
        </w:rPr>
        <w:t>31301208</w:t>
      </w:r>
      <w:bookmarkEnd w:id="40"/>
      <w:r w:rsidRPr="005D688D">
        <w:rPr>
          <w:rFonts w:ascii="Book Antiqua" w:eastAsia="等线" w:hAnsi="Book Antiqua"/>
          <w:kern w:val="2"/>
          <w:sz w:val="24"/>
          <w:szCs w:val="24"/>
          <w:lang w:val="en-US" w:eastAsia="zh-CN"/>
        </w:rPr>
        <w:t xml:space="preserve"> DOI: 10.1002/lt.25602]</w:t>
      </w:r>
    </w:p>
    <w:p w14:paraId="19F3E44A" w14:textId="4918B5AF" w:rsidR="005D688D" w:rsidRPr="005D688D" w:rsidRDefault="005D688D" w:rsidP="005D688D">
      <w:pPr>
        <w:widowControl w:val="0"/>
        <w:suppressAutoHyphens w:val="0"/>
        <w:adjustRightInd w:val="0"/>
        <w:snapToGrid w:val="0"/>
        <w:spacing w:after="0" w:line="360" w:lineRule="auto"/>
        <w:jc w:val="right"/>
        <w:rPr>
          <w:rFonts w:ascii="Book Antiqua" w:hAnsi="Book Antiqua"/>
          <w:color w:val="000000"/>
          <w:kern w:val="2"/>
          <w:sz w:val="24"/>
          <w:szCs w:val="24"/>
          <w:lang w:val="en-US" w:eastAsia="zh-CN"/>
        </w:rPr>
      </w:pPr>
      <w:bookmarkStart w:id="41" w:name="OLE_LINK139"/>
      <w:bookmarkStart w:id="42" w:name="OLE_LINK140"/>
      <w:bookmarkStart w:id="43" w:name="OLE_LINK287"/>
      <w:bookmarkStart w:id="44" w:name="OLE_LINK288"/>
      <w:bookmarkStart w:id="45" w:name="OLE_LINK70"/>
      <w:bookmarkStart w:id="46" w:name="OLE_LINK110"/>
      <w:bookmarkStart w:id="47" w:name="OLE_LINK109"/>
      <w:bookmarkStart w:id="48" w:name="OLE_LINK138"/>
      <w:bookmarkStart w:id="49" w:name="OLE_LINK72"/>
      <w:bookmarkStart w:id="50" w:name="OLE_LINK116"/>
      <w:bookmarkStart w:id="51" w:name="OLE_LINK95"/>
      <w:bookmarkStart w:id="52" w:name="OLE_LINK118"/>
      <w:bookmarkStart w:id="53" w:name="OLE_LINK198"/>
      <w:bookmarkStart w:id="54" w:name="OLE_LINK154"/>
      <w:bookmarkStart w:id="55" w:name="OLE_LINK251"/>
      <w:bookmarkStart w:id="56" w:name="OLE_LINK167"/>
      <w:bookmarkStart w:id="57" w:name="OLE_LINK126"/>
      <w:bookmarkStart w:id="58" w:name="OLE_LINK234"/>
      <w:bookmarkStart w:id="59" w:name="OLE_LINK157"/>
      <w:bookmarkStart w:id="60" w:name="OLE_LINK187"/>
      <w:bookmarkStart w:id="61" w:name="OLE_LINK204"/>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bookmarkStart w:id="73" w:name="OLE_LINK254"/>
      <w:bookmarkStart w:id="74" w:name="OLE_LINK357"/>
      <w:bookmarkStart w:id="75" w:name="OLE_LINK382"/>
      <w:bookmarkStart w:id="76" w:name="OLE_LINK333"/>
      <w:bookmarkStart w:id="77" w:name="OLE_LINK334"/>
      <w:bookmarkStart w:id="78" w:name="OLE_LINK400"/>
      <w:bookmarkStart w:id="79" w:name="OLE_LINK365"/>
      <w:bookmarkStart w:id="80" w:name="OLE_LINK467"/>
      <w:bookmarkStart w:id="81" w:name="OLE_LINK399"/>
      <w:bookmarkStart w:id="82" w:name="OLE_LINK443"/>
      <w:bookmarkStart w:id="83" w:name="OLE_LINK372"/>
      <w:bookmarkStart w:id="84" w:name="OLE_LINK425"/>
      <w:bookmarkStart w:id="85" w:name="OLE_LINK450"/>
      <w:bookmarkStart w:id="86" w:name="OLE_LINK402"/>
      <w:bookmarkStart w:id="87" w:name="OLE_LINK385"/>
      <w:bookmarkStart w:id="88" w:name="OLE_LINK396"/>
      <w:bookmarkStart w:id="89" w:name="OLE_LINK436"/>
      <w:bookmarkStart w:id="90" w:name="OLE_LINK421"/>
      <w:bookmarkStart w:id="91" w:name="OLE_LINK426"/>
      <w:bookmarkStart w:id="92" w:name="OLE_LINK456"/>
      <w:bookmarkStart w:id="93" w:name="OLE_LINK505"/>
      <w:bookmarkStart w:id="94" w:name="OLE_LINK490"/>
      <w:bookmarkStart w:id="95" w:name="OLE_LINK531"/>
      <w:bookmarkStart w:id="96" w:name="OLE_LINK460"/>
      <w:bookmarkStart w:id="97" w:name="OLE_LINK463"/>
      <w:bookmarkStart w:id="98" w:name="OLE_LINK487"/>
      <w:bookmarkStart w:id="99" w:name="OLE_LINK515"/>
      <w:bookmarkStart w:id="100" w:name="OLE_LINK509"/>
      <w:bookmarkStart w:id="101" w:name="OLE_LINK538"/>
      <w:bookmarkStart w:id="102" w:name="OLE_LINK606"/>
      <w:bookmarkStart w:id="103" w:name="OLE_LINK662"/>
      <w:bookmarkStart w:id="104" w:name="OLE_LINK663"/>
      <w:bookmarkStart w:id="105" w:name="OLE_LINK738"/>
      <w:bookmarkStart w:id="106" w:name="OLE_LINK666"/>
      <w:bookmarkStart w:id="107" w:name="OLE_LINK667"/>
      <w:bookmarkStart w:id="108" w:name="OLE_LINK672"/>
      <w:bookmarkStart w:id="109" w:name="OLE_LINK727"/>
      <w:bookmarkStart w:id="110" w:name="OLE_LINK703"/>
      <w:bookmarkStart w:id="111" w:name="OLE_LINK765"/>
      <w:bookmarkStart w:id="112" w:name="OLE_LINK724"/>
      <w:bookmarkStart w:id="113" w:name="OLE_LINK771"/>
      <w:bookmarkStart w:id="114" w:name="OLE_LINK879"/>
      <w:bookmarkStart w:id="115" w:name="OLE_LINK903"/>
      <w:bookmarkStart w:id="116" w:name="OLE_LINK880"/>
      <w:bookmarkStart w:id="117" w:name="OLE_LINK944"/>
      <w:bookmarkStart w:id="118" w:name="OLE_LINK881"/>
      <w:bookmarkStart w:id="119" w:name="OLE_LINK882"/>
      <w:bookmarkStart w:id="120" w:name="OLE_LINK883"/>
      <w:bookmarkStart w:id="121" w:name="OLE_LINK884"/>
      <w:bookmarkStart w:id="122" w:name="OLE_LINK907"/>
      <w:bookmarkStart w:id="123" w:name="OLE_LINK941"/>
      <w:bookmarkStart w:id="124" w:name="OLE_LINK886"/>
      <w:bookmarkStart w:id="125" w:name="OLE_LINK887"/>
      <w:bookmarkStart w:id="126" w:name="OLE_LINK918"/>
      <w:bookmarkStart w:id="127" w:name="OLE_LINK894"/>
      <w:bookmarkStart w:id="128" w:name="OLE_LINK953"/>
      <w:bookmarkStart w:id="129" w:name="OLE_LINK954"/>
      <w:bookmarkStart w:id="130" w:name="OLE_LINK977"/>
      <w:bookmarkStart w:id="131" w:name="OLE_LINK978"/>
      <w:bookmarkStart w:id="132" w:name="OLE_LINK1034"/>
      <w:bookmarkStart w:id="133" w:name="OLE_LINK991"/>
      <w:bookmarkStart w:id="134" w:name="OLE_LINK1013"/>
      <w:bookmarkStart w:id="135" w:name="OLE_LINK1022"/>
      <w:bookmarkStart w:id="136" w:name="OLE_LINK1030"/>
      <w:bookmarkStart w:id="137" w:name="OLE_LINK1063"/>
      <w:bookmarkStart w:id="138" w:name="OLE_LINK1009"/>
      <w:bookmarkStart w:id="139" w:name="OLE_LINK1064"/>
      <w:bookmarkStart w:id="140" w:name="OLE_LINK1035"/>
      <w:bookmarkStart w:id="141" w:name="OLE_LINK1012"/>
      <w:r w:rsidRPr="005D688D">
        <w:rPr>
          <w:rFonts w:ascii="Book Antiqua" w:hAnsi="Book Antiqua"/>
          <w:b/>
          <w:bCs/>
          <w:color w:val="000000"/>
          <w:kern w:val="2"/>
          <w:sz w:val="24"/>
          <w:szCs w:val="24"/>
          <w:lang w:val="en-US" w:eastAsia="zh-CN"/>
        </w:rPr>
        <w:t>P-Reviewer:</w:t>
      </w:r>
      <w:r w:rsidRPr="005D688D">
        <w:rPr>
          <w:rFonts w:ascii="Book Antiqua" w:hAnsi="Book Antiqua"/>
          <w:bCs/>
          <w:color w:val="000000"/>
          <w:kern w:val="2"/>
          <w:sz w:val="24"/>
          <w:szCs w:val="24"/>
          <w:lang w:val="en-US" w:eastAsia="zh-CN"/>
        </w:rPr>
        <w:t xml:space="preserve"> </w:t>
      </w:r>
      <w:r w:rsidRPr="005D688D">
        <w:rPr>
          <w:rFonts w:ascii="Book Antiqua" w:hAnsi="Book Antiqua"/>
          <w:bCs/>
          <w:color w:val="000000"/>
          <w:kern w:val="2"/>
          <w:sz w:val="24"/>
          <w:szCs w:val="24"/>
          <w:lang w:eastAsia="zh-CN"/>
        </w:rPr>
        <w:t>Li</w:t>
      </w:r>
      <w:r>
        <w:rPr>
          <w:rFonts w:ascii="Book Antiqua" w:hAnsi="Book Antiqua"/>
          <w:bCs/>
          <w:color w:val="000000"/>
          <w:kern w:val="2"/>
          <w:sz w:val="24"/>
          <w:szCs w:val="24"/>
          <w:lang w:eastAsia="zh-CN"/>
        </w:rPr>
        <w:t xml:space="preserve"> LJ, </w:t>
      </w:r>
      <w:r w:rsidRPr="005D688D">
        <w:rPr>
          <w:rFonts w:ascii="Book Antiqua" w:hAnsi="Book Antiqua"/>
          <w:bCs/>
          <w:color w:val="000000"/>
          <w:kern w:val="2"/>
          <w:sz w:val="24"/>
          <w:szCs w:val="24"/>
          <w:lang w:eastAsia="zh-CN"/>
        </w:rPr>
        <w:t>Lv</w:t>
      </w:r>
      <w:r>
        <w:rPr>
          <w:rFonts w:ascii="Book Antiqua" w:hAnsi="Book Antiqua"/>
          <w:bCs/>
          <w:color w:val="000000"/>
          <w:kern w:val="2"/>
          <w:sz w:val="24"/>
          <w:szCs w:val="24"/>
          <w:lang w:eastAsia="zh-CN"/>
        </w:rPr>
        <w:t xml:space="preserve"> Y, </w:t>
      </w:r>
      <w:r w:rsidRPr="005D688D">
        <w:rPr>
          <w:rFonts w:ascii="Book Antiqua" w:hAnsi="Book Antiqua"/>
          <w:bCs/>
          <w:color w:val="000000"/>
          <w:kern w:val="2"/>
          <w:sz w:val="24"/>
          <w:szCs w:val="24"/>
          <w:lang w:eastAsia="zh-CN"/>
        </w:rPr>
        <w:t>Shi</w:t>
      </w:r>
      <w:r>
        <w:rPr>
          <w:rFonts w:ascii="Book Antiqua" w:hAnsi="Book Antiqua"/>
          <w:bCs/>
          <w:color w:val="000000"/>
          <w:kern w:val="2"/>
          <w:sz w:val="24"/>
          <w:szCs w:val="24"/>
          <w:lang w:eastAsia="zh-CN"/>
        </w:rPr>
        <w:t xml:space="preserve"> YJ </w:t>
      </w:r>
      <w:r w:rsidRPr="005D688D">
        <w:rPr>
          <w:rFonts w:ascii="Book Antiqua" w:hAnsi="Book Antiqua"/>
          <w:b/>
          <w:bCs/>
          <w:color w:val="000000"/>
          <w:kern w:val="2"/>
          <w:sz w:val="24"/>
          <w:szCs w:val="24"/>
          <w:lang w:val="en-US" w:eastAsia="zh-CN"/>
        </w:rPr>
        <w:t>S-Editor:</w:t>
      </w:r>
      <w:r w:rsidRPr="005D688D">
        <w:rPr>
          <w:rFonts w:ascii="Book Antiqua" w:hAnsi="Book Antiqua"/>
          <w:color w:val="000000"/>
          <w:kern w:val="2"/>
          <w:sz w:val="24"/>
          <w:szCs w:val="24"/>
          <w:lang w:val="en-US" w:eastAsia="zh-CN"/>
        </w:rPr>
        <w:t xml:space="preserve"> Yan JP</w:t>
      </w:r>
    </w:p>
    <w:p w14:paraId="3C89B74F" w14:textId="77777777" w:rsidR="005D688D" w:rsidRPr="005D688D" w:rsidRDefault="005D688D" w:rsidP="005D688D">
      <w:pPr>
        <w:widowControl w:val="0"/>
        <w:suppressAutoHyphens w:val="0"/>
        <w:adjustRightInd w:val="0"/>
        <w:snapToGrid w:val="0"/>
        <w:spacing w:after="0" w:line="360" w:lineRule="auto"/>
        <w:jc w:val="right"/>
        <w:rPr>
          <w:rFonts w:ascii="Book Antiqua" w:hAnsi="Book Antiqua"/>
          <w:b/>
          <w:bCs/>
          <w:color w:val="000000"/>
          <w:kern w:val="2"/>
          <w:sz w:val="24"/>
          <w:szCs w:val="24"/>
          <w:lang w:val="en-US" w:eastAsia="zh-CN"/>
        </w:rPr>
      </w:pPr>
      <w:r w:rsidRPr="005D688D">
        <w:rPr>
          <w:rFonts w:ascii="Book Antiqua" w:hAnsi="Book Antiqua"/>
          <w:b/>
          <w:bCs/>
          <w:color w:val="000000"/>
          <w:kern w:val="2"/>
          <w:sz w:val="24"/>
          <w:szCs w:val="24"/>
          <w:lang w:val="en-US" w:eastAsia="zh-CN"/>
        </w:rPr>
        <w:t>L-Editor:</w:t>
      </w:r>
      <w:r w:rsidRPr="005D688D">
        <w:rPr>
          <w:rFonts w:ascii="Book Antiqua" w:hAnsi="Book Antiqua"/>
          <w:color w:val="000000"/>
          <w:kern w:val="2"/>
          <w:sz w:val="24"/>
          <w:szCs w:val="24"/>
          <w:lang w:val="en-US" w:eastAsia="zh-CN"/>
        </w:rPr>
        <w:t xml:space="preserve"> </w:t>
      </w:r>
      <w:r w:rsidRPr="005D688D">
        <w:rPr>
          <w:rFonts w:ascii="Book Antiqua" w:hAnsi="Book Antiqua"/>
          <w:b/>
          <w:bCs/>
          <w:color w:val="000000"/>
          <w:kern w:val="2"/>
          <w:sz w:val="24"/>
          <w:szCs w:val="24"/>
          <w:lang w:val="en-US" w:eastAsia="zh-CN"/>
        </w:rPr>
        <w:t>E-Editor:</w:t>
      </w:r>
    </w:p>
    <w:bookmarkEnd w:id="41"/>
    <w:bookmarkEnd w:id="42"/>
    <w:p w14:paraId="5C078CB3" w14:textId="27296325" w:rsidR="005D688D" w:rsidRPr="005D688D" w:rsidRDefault="005D688D" w:rsidP="005D688D">
      <w:pPr>
        <w:suppressAutoHyphens w:val="0"/>
        <w:spacing w:after="0" w:line="360" w:lineRule="auto"/>
        <w:rPr>
          <w:rFonts w:ascii="Book Antiqua" w:hAnsi="Book Antiqua" w:cs="宋体"/>
          <w:sz w:val="24"/>
          <w:szCs w:val="24"/>
          <w:lang w:val="en-US" w:eastAsia="zh-CN"/>
        </w:rPr>
      </w:pPr>
      <w:r w:rsidRPr="005D688D">
        <w:rPr>
          <w:rFonts w:ascii="Book Antiqua" w:hAnsi="Book Antiqua" w:cs="宋体"/>
          <w:b/>
          <w:sz w:val="24"/>
          <w:szCs w:val="24"/>
          <w:lang w:val="en-US" w:eastAsia="zh-CN"/>
        </w:rPr>
        <w:t xml:space="preserve">Specialty type: </w:t>
      </w:r>
      <w:r w:rsidRPr="005D688D">
        <w:rPr>
          <w:rFonts w:ascii="Book Antiqua" w:eastAsia="微软雅黑" w:hAnsi="Book Antiqua" w:cs="宋体"/>
          <w:sz w:val="24"/>
          <w:szCs w:val="24"/>
          <w:lang w:val="en-US" w:eastAsia="zh-CN"/>
        </w:rPr>
        <w:t>Gastroenterology and hepatology</w:t>
      </w:r>
      <w:r w:rsidRPr="005D688D">
        <w:rPr>
          <w:rFonts w:ascii="Book Antiqua" w:hAnsi="Book Antiqua" w:cs="宋体"/>
          <w:sz w:val="24"/>
          <w:szCs w:val="24"/>
          <w:lang w:val="en-US" w:eastAsia="zh-CN"/>
        </w:rPr>
        <w:t xml:space="preserve"> </w:t>
      </w:r>
      <w:r w:rsidRPr="005D688D">
        <w:rPr>
          <w:rFonts w:ascii="Book Antiqua" w:hAnsi="Book Antiqua" w:cs="宋体"/>
          <w:sz w:val="24"/>
          <w:szCs w:val="24"/>
          <w:lang w:val="en-US" w:eastAsia="zh-CN"/>
        </w:rPr>
        <w:br/>
      </w:r>
      <w:r w:rsidRPr="005D688D">
        <w:rPr>
          <w:rFonts w:ascii="Book Antiqua" w:hAnsi="Book Antiqua" w:cs="宋体"/>
          <w:b/>
          <w:sz w:val="24"/>
          <w:szCs w:val="24"/>
          <w:lang w:val="en-US" w:eastAsia="zh-CN"/>
        </w:rPr>
        <w:t xml:space="preserve">Country of origin: </w:t>
      </w:r>
      <w:r w:rsidRPr="005D688D">
        <w:rPr>
          <w:rFonts w:ascii="Book Antiqua" w:hAnsi="Book Antiqua" w:cs="宋体"/>
          <w:sz w:val="24"/>
          <w:szCs w:val="24"/>
          <w:lang w:val="en-US" w:eastAsia="zh-CN"/>
        </w:rPr>
        <w:t xml:space="preserve">Italy </w:t>
      </w:r>
      <w:r w:rsidRPr="005D688D">
        <w:rPr>
          <w:rFonts w:ascii="Book Antiqua" w:hAnsi="Book Antiqua" w:cs="宋体"/>
          <w:sz w:val="24"/>
          <w:szCs w:val="24"/>
          <w:lang w:val="en-US" w:eastAsia="zh-CN"/>
        </w:rPr>
        <w:br/>
      </w:r>
      <w:r w:rsidRPr="005D688D">
        <w:rPr>
          <w:rFonts w:ascii="Book Antiqua" w:hAnsi="Book Antiqua" w:cs="宋体"/>
          <w:b/>
          <w:sz w:val="24"/>
          <w:szCs w:val="24"/>
          <w:lang w:val="en-US" w:eastAsia="zh-CN"/>
        </w:rPr>
        <w:t>Peer-review report classification</w:t>
      </w:r>
      <w:r w:rsidRPr="005D688D">
        <w:rPr>
          <w:rFonts w:ascii="Book Antiqua" w:hAnsi="Book Antiqua" w:cs="宋体"/>
          <w:sz w:val="24"/>
          <w:szCs w:val="24"/>
          <w:lang w:val="en-US" w:eastAsia="zh-CN"/>
        </w:rPr>
        <w:br/>
      </w:r>
      <w:r w:rsidRPr="005D688D">
        <w:rPr>
          <w:rFonts w:ascii="Book Antiqua" w:hAnsi="Book Antiqua" w:cs="宋体"/>
          <w:b/>
          <w:sz w:val="24"/>
          <w:szCs w:val="24"/>
          <w:lang w:val="en-US" w:eastAsia="zh-CN"/>
        </w:rPr>
        <w:t xml:space="preserve">Grade A (Excellent): </w:t>
      </w:r>
      <w:r>
        <w:rPr>
          <w:rFonts w:ascii="Book Antiqua" w:hAnsi="Book Antiqua" w:cs="宋体"/>
          <w:sz w:val="24"/>
          <w:szCs w:val="24"/>
          <w:lang w:val="en-US" w:eastAsia="zh-CN"/>
        </w:rPr>
        <w:t>0</w:t>
      </w:r>
      <w:r w:rsidRPr="005D688D">
        <w:rPr>
          <w:rFonts w:ascii="Book Antiqua" w:hAnsi="Book Antiqua" w:cs="宋体"/>
          <w:sz w:val="24"/>
          <w:szCs w:val="24"/>
          <w:lang w:val="en-US" w:eastAsia="zh-CN"/>
        </w:rPr>
        <w:br/>
      </w:r>
      <w:r w:rsidRPr="005D688D">
        <w:rPr>
          <w:rFonts w:ascii="Book Antiqua" w:hAnsi="Book Antiqua" w:cs="宋体"/>
          <w:b/>
          <w:sz w:val="24"/>
          <w:szCs w:val="24"/>
          <w:lang w:val="en-US" w:eastAsia="zh-CN"/>
        </w:rPr>
        <w:t xml:space="preserve">Grade B (Very good): </w:t>
      </w:r>
      <w:r w:rsidRPr="005D688D">
        <w:rPr>
          <w:rFonts w:ascii="Book Antiqua" w:hAnsi="Book Antiqua" w:cs="宋体"/>
          <w:sz w:val="24"/>
          <w:szCs w:val="24"/>
          <w:lang w:val="en-US" w:eastAsia="zh-CN"/>
        </w:rPr>
        <w:t>B</w:t>
      </w:r>
      <w:r>
        <w:rPr>
          <w:rFonts w:ascii="Book Antiqua" w:hAnsi="Book Antiqua" w:cs="宋体"/>
          <w:sz w:val="24"/>
          <w:szCs w:val="24"/>
          <w:lang w:val="en-US" w:eastAsia="zh-CN"/>
        </w:rPr>
        <w:t>, B</w:t>
      </w:r>
      <w:r w:rsidRPr="005D688D">
        <w:rPr>
          <w:rFonts w:ascii="Book Antiqua" w:hAnsi="Book Antiqua" w:cs="宋体"/>
          <w:sz w:val="24"/>
          <w:szCs w:val="24"/>
          <w:lang w:val="en-US" w:eastAsia="zh-CN"/>
        </w:rPr>
        <w:br/>
      </w:r>
      <w:r w:rsidRPr="005D688D">
        <w:rPr>
          <w:rFonts w:ascii="Book Antiqua" w:hAnsi="Book Antiqua" w:cs="宋体"/>
          <w:b/>
          <w:sz w:val="24"/>
          <w:szCs w:val="24"/>
          <w:lang w:val="en-US" w:eastAsia="zh-CN"/>
        </w:rPr>
        <w:t xml:space="preserve">Grade C (Good): </w:t>
      </w:r>
      <w:r>
        <w:rPr>
          <w:rFonts w:ascii="Book Antiqua" w:hAnsi="Book Antiqua" w:cs="宋体"/>
          <w:sz w:val="24"/>
          <w:szCs w:val="24"/>
          <w:lang w:val="en-US" w:eastAsia="zh-CN"/>
        </w:rPr>
        <w:t>C</w:t>
      </w:r>
      <w:r w:rsidRPr="005D688D">
        <w:rPr>
          <w:rFonts w:ascii="Book Antiqua" w:hAnsi="Book Antiqua" w:cs="宋体"/>
          <w:sz w:val="24"/>
          <w:szCs w:val="24"/>
          <w:lang w:val="en-US" w:eastAsia="zh-CN"/>
        </w:rPr>
        <w:br/>
      </w:r>
      <w:r w:rsidRPr="005D688D">
        <w:rPr>
          <w:rFonts w:ascii="Book Antiqua" w:hAnsi="Book Antiqua" w:cs="宋体"/>
          <w:b/>
          <w:sz w:val="24"/>
          <w:szCs w:val="24"/>
          <w:lang w:val="en-US" w:eastAsia="zh-CN"/>
        </w:rPr>
        <w:t xml:space="preserve">Grade D (Fair): </w:t>
      </w:r>
      <w:r w:rsidRPr="005D688D">
        <w:rPr>
          <w:rFonts w:ascii="Book Antiqua" w:hAnsi="Book Antiqua" w:cs="宋体"/>
          <w:sz w:val="24"/>
          <w:szCs w:val="24"/>
          <w:lang w:val="en-US" w:eastAsia="zh-CN"/>
        </w:rPr>
        <w:t>0</w:t>
      </w:r>
      <w:r w:rsidRPr="005D688D">
        <w:rPr>
          <w:rFonts w:ascii="Book Antiqua" w:hAnsi="Book Antiqua" w:cs="宋体"/>
          <w:b/>
          <w:sz w:val="24"/>
          <w:szCs w:val="24"/>
          <w:lang w:val="en-US" w:eastAsia="zh-CN"/>
        </w:rPr>
        <w:br/>
        <w:t xml:space="preserve">Grade E (Poor): </w:t>
      </w:r>
      <w:r w:rsidRPr="005D688D">
        <w:rPr>
          <w:rFonts w:ascii="Book Antiqua" w:hAnsi="Book Antiqua" w:cs="宋体"/>
          <w:sz w:val="24"/>
          <w:szCs w:val="24"/>
          <w:lang w:val="en-US" w:eastAsia="zh-CN"/>
        </w:rPr>
        <w:t>0</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56D7FE0F" w14:textId="77777777" w:rsidR="00414F00" w:rsidRPr="00F33209" w:rsidRDefault="00414F00" w:rsidP="002671D6">
      <w:pPr>
        <w:spacing w:after="0" w:line="360" w:lineRule="auto"/>
        <w:jc w:val="both"/>
        <w:rPr>
          <w:rFonts w:ascii="Book Antiqua" w:hAnsi="Book Antiqua"/>
          <w:color w:val="000000"/>
          <w:sz w:val="24"/>
          <w:szCs w:val="24"/>
          <w:lang w:val="en-US"/>
        </w:rPr>
      </w:pPr>
    </w:p>
    <w:p w14:paraId="373A7791" w14:textId="77777777" w:rsidR="00414F00" w:rsidRPr="002C0942" w:rsidRDefault="00414F00" w:rsidP="002671D6">
      <w:pPr>
        <w:spacing w:after="0" w:line="360" w:lineRule="auto"/>
        <w:jc w:val="both"/>
        <w:rPr>
          <w:rFonts w:ascii="Book Antiqua" w:hAnsi="Book Antiqua"/>
          <w:color w:val="000000"/>
          <w:sz w:val="24"/>
          <w:szCs w:val="24"/>
          <w:lang w:val="en-US"/>
        </w:rPr>
        <w:sectPr w:rsidR="00414F00" w:rsidRPr="002C0942">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20" w:footer="720" w:gutter="0"/>
          <w:cols w:space="720"/>
          <w:docGrid w:linePitch="600" w:charSpace="40960"/>
        </w:sectPr>
      </w:pPr>
    </w:p>
    <w:p w14:paraId="6657048C" w14:textId="3E41398E" w:rsidR="00414F00" w:rsidRPr="005D688D" w:rsidRDefault="00414F00" w:rsidP="002671D6">
      <w:pPr>
        <w:spacing w:after="0" w:line="360" w:lineRule="auto"/>
        <w:jc w:val="both"/>
        <w:rPr>
          <w:rFonts w:ascii="Book Antiqua" w:hAnsi="Book Antiqua"/>
          <w:b/>
          <w:bCs/>
          <w:color w:val="000000"/>
          <w:sz w:val="24"/>
          <w:szCs w:val="24"/>
          <w:lang w:val="en-GB"/>
        </w:rPr>
      </w:pPr>
      <w:r w:rsidRPr="005D688D">
        <w:rPr>
          <w:rFonts w:ascii="Book Antiqua" w:hAnsi="Book Antiqua"/>
          <w:b/>
          <w:bCs/>
          <w:color w:val="000000"/>
          <w:sz w:val="24"/>
          <w:szCs w:val="24"/>
          <w:lang w:val="en-GB"/>
        </w:rPr>
        <w:lastRenderedPageBreak/>
        <w:t>Table 1 Studies evaluating the relationship between muscle alterations and minimal hepatic encephalopathy in cirrhosis</w:t>
      </w:r>
    </w:p>
    <w:tbl>
      <w:tblPr>
        <w:tblW w:w="14560" w:type="dxa"/>
        <w:tblInd w:w="-25" w:type="dxa"/>
        <w:tblLayout w:type="fixed"/>
        <w:tblLook w:val="04A0" w:firstRow="1" w:lastRow="0" w:firstColumn="1" w:lastColumn="0" w:noHBand="0" w:noVBand="1"/>
      </w:tblPr>
      <w:tblGrid>
        <w:gridCol w:w="1851"/>
        <w:gridCol w:w="1340"/>
        <w:gridCol w:w="2414"/>
        <w:gridCol w:w="3742"/>
        <w:gridCol w:w="5213"/>
      </w:tblGrid>
      <w:tr w:rsidR="002671D6" w:rsidRPr="00F33209" w14:paraId="05BAF6BF" w14:textId="77777777" w:rsidTr="00041B93">
        <w:trPr>
          <w:trHeight w:val="1214"/>
        </w:trPr>
        <w:tc>
          <w:tcPr>
            <w:tcW w:w="1851" w:type="dxa"/>
            <w:tcBorders>
              <w:top w:val="single" w:sz="4" w:space="0" w:color="auto"/>
              <w:bottom w:val="single" w:sz="4" w:space="0" w:color="auto"/>
            </w:tcBorders>
            <w:shd w:val="clear" w:color="auto" w:fill="FFFFFF"/>
            <w:hideMark/>
          </w:tcPr>
          <w:p w14:paraId="4CE5C276" w14:textId="77777777" w:rsidR="00733C8D" w:rsidRPr="00F33209" w:rsidRDefault="00733C8D" w:rsidP="002671D6">
            <w:pPr>
              <w:spacing w:after="0" w:line="360" w:lineRule="auto"/>
              <w:jc w:val="both"/>
              <w:rPr>
                <w:rFonts w:ascii="Book Antiqua" w:hAnsi="Book Antiqua"/>
                <w:b/>
                <w:color w:val="000000"/>
                <w:sz w:val="24"/>
                <w:szCs w:val="24"/>
                <w:lang w:val="en-GB"/>
              </w:rPr>
            </w:pPr>
            <w:r w:rsidRPr="00F33209">
              <w:rPr>
                <w:rFonts w:ascii="Book Antiqua" w:hAnsi="Book Antiqua"/>
                <w:b/>
                <w:color w:val="000000"/>
                <w:sz w:val="24"/>
                <w:szCs w:val="24"/>
                <w:lang w:val="en-GB"/>
              </w:rPr>
              <w:t>First author (year)</w:t>
            </w:r>
          </w:p>
        </w:tc>
        <w:tc>
          <w:tcPr>
            <w:tcW w:w="1340" w:type="dxa"/>
            <w:tcBorders>
              <w:top w:val="single" w:sz="4" w:space="0" w:color="auto"/>
              <w:bottom w:val="single" w:sz="4" w:space="0" w:color="auto"/>
            </w:tcBorders>
            <w:shd w:val="clear" w:color="auto" w:fill="FFFFFF"/>
            <w:hideMark/>
          </w:tcPr>
          <w:p w14:paraId="256211FE" w14:textId="77777777" w:rsidR="00733C8D" w:rsidRPr="00F33209" w:rsidRDefault="00733C8D" w:rsidP="002671D6">
            <w:pPr>
              <w:spacing w:after="0" w:line="360" w:lineRule="auto"/>
              <w:jc w:val="both"/>
              <w:rPr>
                <w:rFonts w:ascii="Book Antiqua" w:hAnsi="Book Antiqua"/>
                <w:b/>
                <w:color w:val="000000"/>
                <w:sz w:val="24"/>
                <w:szCs w:val="24"/>
                <w:lang w:val="en-GB"/>
              </w:rPr>
            </w:pPr>
            <w:r w:rsidRPr="00F33209">
              <w:rPr>
                <w:rFonts w:ascii="Book Antiqua" w:hAnsi="Book Antiqua"/>
                <w:b/>
                <w:color w:val="000000"/>
                <w:sz w:val="24"/>
                <w:szCs w:val="24"/>
                <w:lang w:val="en-GB"/>
              </w:rPr>
              <w:t>Number of patients</w:t>
            </w:r>
          </w:p>
        </w:tc>
        <w:tc>
          <w:tcPr>
            <w:tcW w:w="2414" w:type="dxa"/>
            <w:tcBorders>
              <w:top w:val="single" w:sz="4" w:space="0" w:color="auto"/>
              <w:bottom w:val="single" w:sz="4" w:space="0" w:color="auto"/>
            </w:tcBorders>
            <w:shd w:val="clear" w:color="auto" w:fill="FFFFFF"/>
            <w:hideMark/>
          </w:tcPr>
          <w:p w14:paraId="3E59110B" w14:textId="77777777" w:rsidR="00733C8D" w:rsidRPr="00F33209" w:rsidRDefault="00733C8D" w:rsidP="002671D6">
            <w:pPr>
              <w:spacing w:after="0" w:line="360" w:lineRule="auto"/>
              <w:jc w:val="both"/>
              <w:rPr>
                <w:rFonts w:ascii="Book Antiqua" w:hAnsi="Book Antiqua"/>
                <w:b/>
                <w:color w:val="000000"/>
                <w:sz w:val="24"/>
                <w:szCs w:val="24"/>
                <w:lang w:val="en-US"/>
              </w:rPr>
            </w:pPr>
            <w:r w:rsidRPr="00F33209">
              <w:rPr>
                <w:rFonts w:ascii="Book Antiqua" w:hAnsi="Book Antiqua"/>
                <w:b/>
                <w:color w:val="000000"/>
                <w:sz w:val="24"/>
                <w:szCs w:val="24"/>
                <w:lang w:val="en-GB"/>
              </w:rPr>
              <w:t>Methods to identify sarcopenia and/or myosteatosis</w:t>
            </w:r>
          </w:p>
        </w:tc>
        <w:tc>
          <w:tcPr>
            <w:tcW w:w="3742" w:type="dxa"/>
            <w:tcBorders>
              <w:top w:val="single" w:sz="4" w:space="0" w:color="auto"/>
              <w:bottom w:val="single" w:sz="4" w:space="0" w:color="auto"/>
            </w:tcBorders>
            <w:shd w:val="clear" w:color="auto" w:fill="FFFFFF"/>
            <w:hideMark/>
          </w:tcPr>
          <w:p w14:paraId="79EFAFAE" w14:textId="77777777" w:rsidR="00733C8D" w:rsidRPr="00F33209" w:rsidRDefault="00733C8D" w:rsidP="002671D6">
            <w:pPr>
              <w:spacing w:after="0" w:line="360" w:lineRule="auto"/>
              <w:jc w:val="both"/>
              <w:rPr>
                <w:rFonts w:ascii="Book Antiqua" w:hAnsi="Book Antiqua"/>
                <w:b/>
                <w:color w:val="000000"/>
                <w:sz w:val="24"/>
                <w:szCs w:val="24"/>
                <w:lang w:val="en-US"/>
              </w:rPr>
            </w:pPr>
            <w:r w:rsidRPr="00F33209">
              <w:rPr>
                <w:rFonts w:ascii="Book Antiqua" w:hAnsi="Book Antiqua"/>
                <w:b/>
                <w:color w:val="000000"/>
                <w:sz w:val="24"/>
                <w:szCs w:val="24"/>
                <w:lang w:val="en-US"/>
              </w:rPr>
              <w:t>Tests to detect minimal hepatic encephalopathy</w:t>
            </w:r>
          </w:p>
        </w:tc>
        <w:tc>
          <w:tcPr>
            <w:tcW w:w="5213" w:type="dxa"/>
            <w:tcBorders>
              <w:top w:val="single" w:sz="4" w:space="0" w:color="auto"/>
              <w:bottom w:val="single" w:sz="4" w:space="0" w:color="auto"/>
            </w:tcBorders>
            <w:hideMark/>
          </w:tcPr>
          <w:p w14:paraId="7B339A7F" w14:textId="77777777" w:rsidR="00733C8D" w:rsidRPr="00F33209" w:rsidRDefault="00733C8D" w:rsidP="002671D6">
            <w:pPr>
              <w:spacing w:after="0" w:line="360" w:lineRule="auto"/>
              <w:jc w:val="both"/>
              <w:rPr>
                <w:rFonts w:ascii="Book Antiqua" w:hAnsi="Book Antiqua"/>
                <w:color w:val="000000"/>
                <w:sz w:val="24"/>
                <w:szCs w:val="24"/>
              </w:rPr>
            </w:pPr>
            <w:r w:rsidRPr="00F33209">
              <w:rPr>
                <w:rFonts w:ascii="Book Antiqua" w:hAnsi="Book Antiqua"/>
                <w:b/>
                <w:color w:val="000000"/>
                <w:sz w:val="24"/>
                <w:szCs w:val="24"/>
                <w:lang w:val="en-US"/>
              </w:rPr>
              <w:t>Results</w:t>
            </w:r>
          </w:p>
        </w:tc>
      </w:tr>
      <w:tr w:rsidR="002671D6" w:rsidRPr="00F33209" w14:paraId="44CA06B7" w14:textId="77777777" w:rsidTr="002C0942">
        <w:trPr>
          <w:trHeight w:val="5159"/>
        </w:trPr>
        <w:tc>
          <w:tcPr>
            <w:tcW w:w="1851" w:type="dxa"/>
            <w:tcBorders>
              <w:top w:val="single" w:sz="4" w:space="0" w:color="auto"/>
            </w:tcBorders>
            <w:shd w:val="clear" w:color="auto" w:fill="FFFFFF"/>
            <w:hideMark/>
          </w:tcPr>
          <w:p w14:paraId="7098B38F" w14:textId="5F9B4371" w:rsidR="00733C8D" w:rsidRPr="001274EF" w:rsidRDefault="00733C8D" w:rsidP="002671D6">
            <w:pPr>
              <w:spacing w:after="0" w:line="360" w:lineRule="auto"/>
              <w:jc w:val="both"/>
              <w:rPr>
                <w:rFonts w:ascii="Book Antiqua" w:hAnsi="Book Antiqua"/>
                <w:bCs/>
                <w:color w:val="000000"/>
                <w:sz w:val="24"/>
                <w:szCs w:val="24"/>
              </w:rPr>
            </w:pPr>
            <w:r w:rsidRPr="001274EF">
              <w:rPr>
                <w:rFonts w:ascii="Book Antiqua" w:hAnsi="Book Antiqua"/>
                <w:bCs/>
                <w:iCs/>
                <w:color w:val="000000"/>
                <w:sz w:val="24"/>
                <w:szCs w:val="24"/>
              </w:rPr>
              <w:t>Merli</w:t>
            </w:r>
            <w:r w:rsidRPr="001274EF">
              <w:rPr>
                <w:rFonts w:ascii="Book Antiqua" w:hAnsi="Book Antiqua"/>
                <w:bCs/>
                <w:i/>
                <w:color w:val="000000"/>
                <w:sz w:val="24"/>
                <w:szCs w:val="24"/>
              </w:rPr>
              <w:t xml:space="preserve"> et al</w:t>
            </w:r>
            <w:r w:rsidRPr="001274EF">
              <w:rPr>
                <w:rFonts w:ascii="Book Antiqua" w:eastAsia="AdvPTimes" w:hAnsi="Book Antiqua"/>
                <w:bCs/>
                <w:color w:val="000000"/>
                <w:sz w:val="24"/>
                <w:szCs w:val="24"/>
                <w:vertAlign w:val="superscript"/>
                <w:lang w:val="en-GB"/>
              </w:rPr>
              <w:t>[</w:t>
            </w:r>
            <w:r w:rsidR="002B2227" w:rsidRPr="001274EF">
              <w:rPr>
                <w:rFonts w:ascii="Book Antiqua" w:eastAsia="AdvPTimes" w:hAnsi="Book Antiqua"/>
                <w:bCs/>
                <w:color w:val="000000"/>
                <w:sz w:val="24"/>
                <w:szCs w:val="24"/>
                <w:vertAlign w:val="superscript"/>
                <w:lang w:val="en-GB"/>
              </w:rPr>
              <w:t>2</w:t>
            </w:r>
            <w:r w:rsidR="002B2227">
              <w:rPr>
                <w:rFonts w:ascii="Book Antiqua" w:eastAsia="AdvPTimes" w:hAnsi="Book Antiqua"/>
                <w:bCs/>
                <w:color w:val="000000"/>
                <w:sz w:val="24"/>
                <w:szCs w:val="24"/>
                <w:vertAlign w:val="superscript"/>
                <w:lang w:val="en-GB"/>
              </w:rPr>
              <w:t>3</w:t>
            </w:r>
            <w:r w:rsidRPr="001274EF">
              <w:rPr>
                <w:rFonts w:ascii="Book Antiqua" w:eastAsia="AdvPTimes" w:hAnsi="Book Antiqua"/>
                <w:bCs/>
                <w:color w:val="000000"/>
                <w:sz w:val="24"/>
                <w:szCs w:val="24"/>
                <w:vertAlign w:val="superscript"/>
                <w:lang w:val="en-GB"/>
              </w:rPr>
              <w:t>]</w:t>
            </w:r>
            <w:r w:rsidR="001274EF" w:rsidRPr="00041B93">
              <w:rPr>
                <w:rFonts w:ascii="Book Antiqua" w:eastAsia="AdvPTimes" w:hAnsi="Book Antiqua"/>
                <w:bCs/>
                <w:color w:val="000000"/>
                <w:sz w:val="24"/>
                <w:szCs w:val="24"/>
                <w:lang w:val="en-GB"/>
              </w:rPr>
              <w:t>,</w:t>
            </w:r>
            <w:r w:rsidR="001274EF">
              <w:rPr>
                <w:rFonts w:ascii="Book Antiqua" w:eastAsia="AdvPTimes" w:hAnsi="Book Antiqua"/>
                <w:bCs/>
                <w:color w:val="000000"/>
                <w:sz w:val="24"/>
                <w:szCs w:val="24"/>
                <w:vertAlign w:val="superscript"/>
                <w:lang w:val="en-GB"/>
              </w:rPr>
              <w:t xml:space="preserve"> </w:t>
            </w:r>
            <w:r w:rsidR="001274EF" w:rsidRPr="001274EF">
              <w:rPr>
                <w:rFonts w:ascii="Book Antiqua" w:hAnsi="Book Antiqua"/>
                <w:bCs/>
                <w:iCs/>
                <w:color w:val="000000"/>
                <w:sz w:val="24"/>
                <w:szCs w:val="24"/>
              </w:rPr>
              <w:t>(2013)</w:t>
            </w:r>
          </w:p>
        </w:tc>
        <w:tc>
          <w:tcPr>
            <w:tcW w:w="1340" w:type="dxa"/>
            <w:tcBorders>
              <w:top w:val="single" w:sz="4" w:space="0" w:color="auto"/>
            </w:tcBorders>
            <w:shd w:val="clear" w:color="auto" w:fill="FFFFFF"/>
            <w:hideMark/>
          </w:tcPr>
          <w:p w14:paraId="2D2D5B4E"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rPr>
              <w:t>300 hospitalized cirrhotics</w:t>
            </w:r>
          </w:p>
        </w:tc>
        <w:tc>
          <w:tcPr>
            <w:tcW w:w="2414" w:type="dxa"/>
            <w:tcBorders>
              <w:top w:val="single" w:sz="4" w:space="0" w:color="auto"/>
            </w:tcBorders>
            <w:shd w:val="clear" w:color="auto" w:fill="FFFFFF"/>
            <w:hideMark/>
          </w:tcPr>
          <w:p w14:paraId="4014779B"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 xml:space="preserve">Anthropometric measurements (MAMC) and hand grip strenght </w:t>
            </w:r>
          </w:p>
        </w:tc>
        <w:tc>
          <w:tcPr>
            <w:tcW w:w="3742" w:type="dxa"/>
            <w:tcBorders>
              <w:top w:val="single" w:sz="4" w:space="0" w:color="auto"/>
            </w:tcBorders>
            <w:shd w:val="clear" w:color="auto" w:fill="FFFFFF"/>
            <w:hideMark/>
          </w:tcPr>
          <w:p w14:paraId="6C3D5EF5"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PHES battery (NCT-A, NCT-B, LT, SDT, LTT): 5 paper pencil tests</w:t>
            </w:r>
          </w:p>
        </w:tc>
        <w:tc>
          <w:tcPr>
            <w:tcW w:w="5213" w:type="dxa"/>
            <w:tcBorders>
              <w:top w:val="single" w:sz="4" w:space="0" w:color="auto"/>
            </w:tcBorders>
            <w:hideMark/>
          </w:tcPr>
          <w:p w14:paraId="0970BB31" w14:textId="1CA64758"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 xml:space="preserve">MHE prevalence was higher in pts with malnutrition compared to those without (49% </w:t>
            </w:r>
            <w:r w:rsidRPr="001274EF">
              <w:rPr>
                <w:rFonts w:ascii="Book Antiqua" w:hAnsi="Book Antiqua"/>
                <w:i/>
                <w:iCs/>
                <w:color w:val="000000"/>
                <w:sz w:val="24"/>
                <w:szCs w:val="24"/>
                <w:lang w:val="en-US"/>
              </w:rPr>
              <w:t>vs</w:t>
            </w:r>
            <w:r w:rsidRPr="00F33209">
              <w:rPr>
                <w:rFonts w:ascii="Book Antiqua" w:hAnsi="Book Antiqua"/>
                <w:color w:val="000000"/>
                <w:sz w:val="24"/>
                <w:szCs w:val="24"/>
                <w:lang w:val="en-US"/>
              </w:rPr>
              <w:t xml:space="preserve"> 30%,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w:t>
            </w:r>
            <w:r w:rsidRPr="00F33209">
              <w:rPr>
                <w:rFonts w:ascii="Book Antiqua" w:hAnsi="Book Antiqua"/>
                <w:color w:val="000000"/>
                <w:sz w:val="24"/>
                <w:szCs w:val="24"/>
                <w:lang w:val="en-US"/>
              </w:rPr>
              <w:t>&lt;</w:t>
            </w:r>
            <w:r w:rsidR="001274EF">
              <w:rPr>
                <w:rFonts w:ascii="Book Antiqua" w:hAnsi="Book Antiqua"/>
                <w:color w:val="000000"/>
                <w:sz w:val="24"/>
                <w:szCs w:val="24"/>
                <w:lang w:val="en-US"/>
              </w:rPr>
              <w:t xml:space="preserve"> </w:t>
            </w:r>
            <w:r w:rsidRPr="00F33209">
              <w:rPr>
                <w:rFonts w:ascii="Book Antiqua" w:hAnsi="Book Antiqua"/>
                <w:color w:val="000000"/>
                <w:sz w:val="24"/>
                <w:szCs w:val="24"/>
                <w:lang w:val="en-US"/>
              </w:rPr>
              <w:t>0.001). At multivariate analysis, only protein malnutrition (OR 2.15</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95%CI</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1.1</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4.1</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 </w:t>
            </w:r>
            <w:r w:rsidRPr="00F33209">
              <w:rPr>
                <w:rFonts w:ascii="Book Antiqua" w:hAnsi="Book Antiqua"/>
                <w:color w:val="000000"/>
                <w:sz w:val="24"/>
                <w:szCs w:val="24"/>
                <w:lang w:val="en-US"/>
              </w:rPr>
              <w:t>00.02) and hyponatremia (OR 4.6</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95%CI</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1.9</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9</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 </w:t>
            </w:r>
            <w:r w:rsidRPr="00F33209">
              <w:rPr>
                <w:rFonts w:ascii="Book Antiqua" w:hAnsi="Book Antiqua"/>
                <w:color w:val="000000"/>
                <w:sz w:val="24"/>
                <w:szCs w:val="24"/>
                <w:lang w:val="en-US"/>
              </w:rPr>
              <w:t>00.01) were independent predictors of MHE</w:t>
            </w:r>
            <w:r w:rsidR="001274EF" w:rsidRPr="001274EF">
              <w:rPr>
                <w:rFonts w:ascii="Book Antiqua" w:hAnsi="Book Antiqua"/>
                <w:color w:val="000000"/>
                <w:sz w:val="24"/>
                <w:szCs w:val="24"/>
                <w:lang w:val="en-US"/>
              </w:rPr>
              <w:t xml:space="preserve">. Venous blood ammonia levels resulted significantly higher in patients with </w:t>
            </w:r>
            <w:r w:rsidR="001274EF" w:rsidRPr="001274EF">
              <w:rPr>
                <w:rFonts w:ascii="Book Antiqua" w:hAnsi="Book Antiqua"/>
                <w:i/>
                <w:iCs/>
                <w:color w:val="000000"/>
                <w:sz w:val="24"/>
                <w:szCs w:val="24"/>
                <w:lang w:val="en-US"/>
              </w:rPr>
              <w:t>vs</w:t>
            </w:r>
            <w:r w:rsidR="001274EF" w:rsidRPr="001274EF">
              <w:rPr>
                <w:rFonts w:ascii="Book Antiqua" w:hAnsi="Book Antiqua"/>
                <w:color w:val="000000"/>
                <w:sz w:val="24"/>
                <w:szCs w:val="24"/>
                <w:lang w:val="en-US"/>
              </w:rPr>
              <w:t xml:space="preserve"> those without muscle depletion (85</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 xml:space="preserve">64 </w:t>
            </w:r>
            <w:r w:rsidR="001274EF" w:rsidRPr="001274EF">
              <w:rPr>
                <w:rFonts w:ascii="Book Antiqua" w:hAnsi="Book Antiqua"/>
                <w:i/>
                <w:iCs/>
                <w:color w:val="000000"/>
                <w:sz w:val="24"/>
                <w:szCs w:val="24"/>
                <w:lang w:val="en-US"/>
              </w:rPr>
              <w:t xml:space="preserve">vs </w:t>
            </w:r>
            <w:r w:rsidR="001274EF" w:rsidRPr="001274EF">
              <w:rPr>
                <w:rFonts w:ascii="Book Antiqua" w:hAnsi="Book Antiqua"/>
                <w:color w:val="000000"/>
                <w:sz w:val="24"/>
                <w:szCs w:val="24"/>
                <w:lang w:val="en-US"/>
              </w:rPr>
              <w:t>61</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 xml:space="preserve">46 </w:t>
            </w:r>
            <w:r w:rsidR="001274EF">
              <w:rPr>
                <w:rFonts w:ascii="Book Antiqua" w:hAnsi="Book Antiqua"/>
                <w:color w:val="000000"/>
                <w:sz w:val="24"/>
                <w:szCs w:val="24"/>
                <w:lang w:val="en-US"/>
              </w:rPr>
              <w:t>µg</w:t>
            </w:r>
            <w:r w:rsidR="001274EF" w:rsidRPr="001274EF">
              <w:rPr>
                <w:rFonts w:ascii="Book Antiqua" w:hAnsi="Book Antiqua"/>
                <w:color w:val="000000"/>
                <w:sz w:val="24"/>
                <w:szCs w:val="24"/>
                <w:lang w:val="en-US"/>
              </w:rPr>
              <w:t>/dL</w:t>
            </w:r>
            <w:r w:rsidR="001274EF">
              <w:rPr>
                <w:rFonts w:ascii="Book Antiqua" w:hAnsi="Book Antiqua"/>
                <w:color w:val="000000"/>
                <w:sz w:val="24"/>
                <w:szCs w:val="24"/>
                <w:lang w:val="en-US"/>
              </w:rPr>
              <w:t>,</w:t>
            </w:r>
            <w:r w:rsidR="001274EF" w:rsidRPr="001274EF">
              <w:rPr>
                <w:rFonts w:ascii="Book Antiqua" w:hAnsi="Book Antiqua"/>
                <w:color w:val="000000"/>
                <w:sz w:val="24"/>
                <w:szCs w:val="24"/>
                <w:lang w:val="en-US"/>
              </w:rPr>
              <w:t xml:space="preserve">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 xml:space="preserve">0.025) and in patients with </w:t>
            </w:r>
            <w:r w:rsidR="001274EF" w:rsidRPr="001274EF">
              <w:rPr>
                <w:rFonts w:ascii="Book Antiqua" w:hAnsi="Book Antiqua"/>
                <w:i/>
                <w:iCs/>
                <w:color w:val="000000"/>
                <w:sz w:val="24"/>
                <w:szCs w:val="24"/>
                <w:lang w:val="en-US"/>
              </w:rPr>
              <w:t>vs</w:t>
            </w:r>
            <w:r w:rsidR="001274EF" w:rsidRPr="001274EF">
              <w:rPr>
                <w:rFonts w:ascii="Book Antiqua" w:hAnsi="Book Antiqua"/>
                <w:color w:val="000000"/>
                <w:sz w:val="24"/>
                <w:szCs w:val="24"/>
                <w:lang w:val="en-US"/>
              </w:rPr>
              <w:t xml:space="preserve"> those without a decreased muscle strength (81</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62</w:t>
            </w:r>
            <w:r w:rsidR="002C0942">
              <w:rPr>
                <w:rFonts w:ascii="Book Antiqua" w:hAnsi="Book Antiqua"/>
                <w:color w:val="000000"/>
                <w:sz w:val="24"/>
                <w:szCs w:val="24"/>
                <w:lang w:val="en-US"/>
              </w:rPr>
              <w:t xml:space="preserve"> µg</w:t>
            </w:r>
            <w:r w:rsidR="002C0942" w:rsidRPr="001274EF">
              <w:rPr>
                <w:rFonts w:ascii="Book Antiqua" w:hAnsi="Book Antiqua"/>
                <w:color w:val="000000"/>
                <w:sz w:val="24"/>
                <w:szCs w:val="24"/>
                <w:lang w:val="en-US"/>
              </w:rPr>
              <w:t>/dL</w:t>
            </w:r>
            <w:r w:rsidR="002C0942">
              <w:rPr>
                <w:rFonts w:ascii="Book Antiqua" w:hAnsi="Book Antiqua"/>
                <w:i/>
                <w:iCs/>
                <w:color w:val="000000"/>
                <w:sz w:val="24"/>
                <w:szCs w:val="24"/>
                <w:lang w:val="en-US"/>
              </w:rPr>
              <w:t xml:space="preserve"> </w:t>
            </w:r>
            <w:r w:rsidR="001274EF" w:rsidRPr="001274EF">
              <w:rPr>
                <w:rFonts w:ascii="Book Antiqua" w:hAnsi="Book Antiqua"/>
                <w:i/>
                <w:iCs/>
                <w:color w:val="000000"/>
                <w:sz w:val="24"/>
                <w:szCs w:val="24"/>
                <w:lang w:val="en-US"/>
              </w:rPr>
              <w:t>vs</w:t>
            </w:r>
            <w:r w:rsidR="001274EF" w:rsidRPr="001274EF">
              <w:rPr>
                <w:rFonts w:ascii="Book Antiqua" w:hAnsi="Book Antiqua"/>
                <w:color w:val="000000"/>
                <w:sz w:val="24"/>
                <w:szCs w:val="24"/>
                <w:lang w:val="en-US"/>
              </w:rPr>
              <w:t xml:space="preserve"> 63</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45</w:t>
            </w:r>
            <w:r w:rsidR="002C0942">
              <w:rPr>
                <w:rFonts w:ascii="Book Antiqua" w:hAnsi="Book Antiqua"/>
                <w:color w:val="000000"/>
                <w:sz w:val="24"/>
                <w:szCs w:val="24"/>
                <w:lang w:val="en-US"/>
              </w:rPr>
              <w:t xml:space="preserve"> </w:t>
            </w:r>
            <w:r w:rsidR="001274EF">
              <w:rPr>
                <w:rFonts w:ascii="Book Antiqua" w:hAnsi="Book Antiqua"/>
                <w:color w:val="000000"/>
                <w:sz w:val="24"/>
                <w:szCs w:val="24"/>
                <w:lang w:val="en-US"/>
              </w:rPr>
              <w:t>µg</w:t>
            </w:r>
            <w:r w:rsidR="001274EF" w:rsidRPr="001274EF">
              <w:rPr>
                <w:rFonts w:ascii="Book Antiqua" w:hAnsi="Book Antiqua"/>
                <w:color w:val="000000"/>
                <w:sz w:val="24"/>
                <w:szCs w:val="24"/>
                <w:lang w:val="en-US"/>
              </w:rPr>
              <w:t>/dL</w:t>
            </w:r>
            <w:r w:rsidR="001274EF">
              <w:rPr>
                <w:rFonts w:ascii="Book Antiqua" w:hAnsi="Book Antiqua"/>
                <w:color w:val="000000"/>
                <w:sz w:val="24"/>
                <w:szCs w:val="24"/>
                <w:lang w:val="en-US"/>
              </w:rPr>
              <w:t>,</w:t>
            </w:r>
            <w:r w:rsidR="001274EF" w:rsidRPr="001274EF">
              <w:rPr>
                <w:rFonts w:ascii="Book Antiqua" w:hAnsi="Book Antiqua"/>
                <w:color w:val="000000"/>
                <w:sz w:val="24"/>
                <w:szCs w:val="24"/>
                <w:lang w:val="en-US"/>
              </w:rPr>
              <w:t xml:space="preserve">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0.047)</w:t>
            </w:r>
          </w:p>
        </w:tc>
      </w:tr>
      <w:tr w:rsidR="002671D6" w:rsidRPr="00F33209" w14:paraId="693DC2D1" w14:textId="77777777" w:rsidTr="00041B93">
        <w:trPr>
          <w:trHeight w:val="453"/>
        </w:trPr>
        <w:tc>
          <w:tcPr>
            <w:tcW w:w="1851" w:type="dxa"/>
            <w:shd w:val="clear" w:color="auto" w:fill="FFFFFF"/>
            <w:hideMark/>
          </w:tcPr>
          <w:p w14:paraId="15707200" w14:textId="62772F2C" w:rsidR="00733C8D" w:rsidRPr="001274EF" w:rsidRDefault="00733C8D" w:rsidP="002671D6">
            <w:pPr>
              <w:spacing w:after="0" w:line="360" w:lineRule="auto"/>
              <w:jc w:val="both"/>
              <w:rPr>
                <w:rFonts w:ascii="Book Antiqua" w:hAnsi="Book Antiqua"/>
                <w:bCs/>
                <w:color w:val="000000"/>
                <w:sz w:val="24"/>
                <w:szCs w:val="24"/>
              </w:rPr>
            </w:pPr>
            <w:r w:rsidRPr="00041B93">
              <w:rPr>
                <w:rFonts w:ascii="Book Antiqua" w:hAnsi="Book Antiqua"/>
                <w:bCs/>
                <w:iCs/>
                <w:color w:val="000000"/>
                <w:sz w:val="24"/>
                <w:szCs w:val="24"/>
              </w:rPr>
              <w:t>Hanai</w:t>
            </w:r>
            <w:r w:rsidRPr="001274EF">
              <w:rPr>
                <w:rFonts w:ascii="Book Antiqua" w:hAnsi="Book Antiqua"/>
                <w:bCs/>
                <w:i/>
                <w:color w:val="000000"/>
                <w:sz w:val="24"/>
                <w:szCs w:val="24"/>
              </w:rPr>
              <w:t xml:space="preserve"> </w:t>
            </w:r>
            <w:r w:rsidR="00041B93" w:rsidRPr="001274EF">
              <w:rPr>
                <w:rFonts w:ascii="Book Antiqua" w:hAnsi="Book Antiqua"/>
                <w:bCs/>
                <w:i/>
                <w:color w:val="000000"/>
                <w:sz w:val="24"/>
                <w:szCs w:val="24"/>
              </w:rPr>
              <w:t>et al</w:t>
            </w:r>
            <w:r w:rsidR="00041B93" w:rsidRPr="001274EF">
              <w:rPr>
                <w:rFonts w:ascii="Book Antiqua" w:eastAsia="AdvPTimes" w:hAnsi="Book Antiqua"/>
                <w:bCs/>
                <w:color w:val="000000"/>
                <w:sz w:val="24"/>
                <w:szCs w:val="24"/>
                <w:vertAlign w:val="superscript"/>
                <w:lang w:val="en-GB"/>
              </w:rPr>
              <w:t>[</w:t>
            </w:r>
            <w:r w:rsidR="002B2227">
              <w:rPr>
                <w:rFonts w:ascii="Book Antiqua" w:eastAsia="AdvPTimes" w:hAnsi="Book Antiqua"/>
                <w:bCs/>
                <w:color w:val="000000"/>
                <w:sz w:val="24"/>
                <w:szCs w:val="24"/>
                <w:vertAlign w:val="superscript"/>
                <w:lang w:val="en-GB"/>
              </w:rPr>
              <w:t>56</w:t>
            </w:r>
            <w:r w:rsidR="00041B93" w:rsidRPr="001274EF">
              <w:rPr>
                <w:rFonts w:ascii="Book Antiqua" w:eastAsia="AdvPTimes" w:hAnsi="Book Antiqua"/>
                <w:bCs/>
                <w:color w:val="000000"/>
                <w:sz w:val="24"/>
                <w:szCs w:val="24"/>
                <w:vertAlign w:val="superscript"/>
                <w:lang w:val="en-GB"/>
              </w:rPr>
              <w:t>]</w:t>
            </w:r>
            <w:r w:rsidR="00041B93" w:rsidRPr="00041B93">
              <w:rPr>
                <w:rFonts w:ascii="Book Antiqua" w:eastAsia="AdvPTimes" w:hAnsi="Book Antiqua"/>
                <w:bCs/>
                <w:color w:val="000000"/>
                <w:sz w:val="24"/>
                <w:szCs w:val="24"/>
                <w:lang w:val="en-GB"/>
              </w:rPr>
              <w:t>,</w:t>
            </w:r>
            <w:r w:rsidR="00041B93">
              <w:rPr>
                <w:rFonts w:ascii="Book Antiqua" w:eastAsia="AdvPTimes" w:hAnsi="Book Antiqua"/>
                <w:bCs/>
                <w:color w:val="000000"/>
                <w:sz w:val="24"/>
                <w:szCs w:val="24"/>
                <w:vertAlign w:val="superscript"/>
                <w:lang w:val="en-GB"/>
              </w:rPr>
              <w:t xml:space="preserve"> </w:t>
            </w:r>
            <w:r w:rsidRPr="00041B93">
              <w:rPr>
                <w:rFonts w:ascii="Book Antiqua" w:hAnsi="Book Antiqua"/>
                <w:bCs/>
                <w:iCs/>
                <w:color w:val="000000"/>
                <w:sz w:val="24"/>
                <w:szCs w:val="24"/>
              </w:rPr>
              <w:t>(2017)</w:t>
            </w:r>
          </w:p>
        </w:tc>
        <w:tc>
          <w:tcPr>
            <w:tcW w:w="1340" w:type="dxa"/>
            <w:shd w:val="clear" w:color="auto" w:fill="FFFFFF"/>
            <w:hideMark/>
          </w:tcPr>
          <w:p w14:paraId="15D22379"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rPr>
              <w:t>120 cirrhotic patients</w:t>
            </w:r>
          </w:p>
        </w:tc>
        <w:tc>
          <w:tcPr>
            <w:tcW w:w="2414" w:type="dxa"/>
            <w:shd w:val="clear" w:color="auto" w:fill="FFFFFF"/>
            <w:hideMark/>
          </w:tcPr>
          <w:p w14:paraId="39A798A6"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Bioelectrical impedance analysis and hand grip strenght</w:t>
            </w:r>
          </w:p>
        </w:tc>
        <w:tc>
          <w:tcPr>
            <w:tcW w:w="3742" w:type="dxa"/>
            <w:shd w:val="clear" w:color="auto" w:fill="FFFFFF"/>
            <w:hideMark/>
          </w:tcPr>
          <w:p w14:paraId="6D97DAEA"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NCT-A, NCT-B, DST, BDT</w:t>
            </w:r>
          </w:p>
        </w:tc>
        <w:tc>
          <w:tcPr>
            <w:tcW w:w="5213" w:type="dxa"/>
            <w:hideMark/>
          </w:tcPr>
          <w:p w14:paraId="75B62F34" w14:textId="0660CF62"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The prevalence of MHE was higher in patients with sarcopenia than in those without sarcopenia (</w:t>
            </w:r>
            <w:r w:rsidR="001274EF" w:rsidRPr="00F33209">
              <w:rPr>
                <w:rFonts w:ascii="Book Antiqua" w:hAnsi="Book Antiqua"/>
                <w:i/>
                <w:iCs/>
                <w:color w:val="000000"/>
                <w:sz w:val="24"/>
                <w:szCs w:val="24"/>
                <w:lang w:val="en-US"/>
              </w:rPr>
              <w:t>P</w:t>
            </w:r>
            <w:r w:rsidRPr="00F33209">
              <w:rPr>
                <w:rFonts w:ascii="Book Antiqua" w:hAnsi="Book Antiqua"/>
                <w:i/>
                <w:iCs/>
                <w:color w:val="000000"/>
                <w:sz w:val="24"/>
                <w:szCs w:val="24"/>
                <w:lang w:val="en-US"/>
              </w:rPr>
              <w:t xml:space="preserve"> </w:t>
            </w:r>
            <w:r w:rsidRPr="00F33209">
              <w:rPr>
                <w:rFonts w:ascii="Book Antiqua" w:hAnsi="Book Antiqua"/>
                <w:color w:val="000000"/>
                <w:sz w:val="24"/>
                <w:szCs w:val="24"/>
                <w:lang w:val="en-US"/>
              </w:rPr>
              <w:t xml:space="preserve">= 0.01). In the multivariate analysis, serum BCAA levels (OR </w:t>
            </w:r>
            <w:r w:rsidR="002C0942">
              <w:rPr>
                <w:rFonts w:ascii="Book Antiqua" w:hAnsi="Book Antiqua"/>
                <w:color w:val="000000"/>
                <w:sz w:val="24"/>
                <w:szCs w:val="24"/>
                <w:lang w:val="en-US"/>
              </w:rPr>
              <w:t xml:space="preserve">= </w:t>
            </w:r>
            <w:r w:rsidRPr="00F33209">
              <w:rPr>
                <w:rFonts w:ascii="Book Antiqua" w:hAnsi="Book Antiqua"/>
                <w:color w:val="000000"/>
                <w:sz w:val="24"/>
                <w:szCs w:val="24"/>
                <w:lang w:val="en-US"/>
              </w:rPr>
              <w:t>2.98, 95%CI</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1.08-8.34,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 </w:t>
            </w:r>
            <w:r w:rsidRPr="00F33209">
              <w:rPr>
                <w:rFonts w:ascii="Book Antiqua" w:hAnsi="Book Antiqua"/>
                <w:color w:val="000000"/>
                <w:sz w:val="24"/>
                <w:szCs w:val="24"/>
                <w:lang w:val="en-US"/>
              </w:rPr>
              <w:t xml:space="preserve">0.03) and sarcopenia (OR </w:t>
            </w:r>
            <w:r w:rsidRPr="00F33209">
              <w:rPr>
                <w:rFonts w:ascii="Book Antiqua" w:hAnsi="Book Antiqua"/>
                <w:color w:val="000000"/>
                <w:sz w:val="24"/>
                <w:szCs w:val="24"/>
                <w:lang w:val="en-US"/>
              </w:rPr>
              <w:lastRenderedPageBreak/>
              <w:t>3.31, 95%CI</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1.19</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9.42</w:t>
            </w:r>
            <w:r w:rsidR="001274EF">
              <w:rPr>
                <w:rFonts w:ascii="Book Antiqua" w:hAnsi="Book Antiqua"/>
                <w:color w:val="000000"/>
                <w:sz w:val="24"/>
                <w:szCs w:val="24"/>
                <w:lang w:val="en-US"/>
              </w:rPr>
              <w:t>,</w:t>
            </w:r>
            <w:r w:rsidRPr="00F33209">
              <w:rPr>
                <w:rFonts w:ascii="Book Antiqua" w:hAnsi="Book Antiqua"/>
                <w:color w:val="000000"/>
                <w:sz w:val="24"/>
                <w:szCs w:val="24"/>
                <w:lang w:val="en-US"/>
              </w:rPr>
              <w:t xml:space="preserve"> </w:t>
            </w:r>
            <w:r w:rsidR="001274EF" w:rsidRPr="00F33209">
              <w:rPr>
                <w:rFonts w:ascii="Book Antiqua" w:hAnsi="Book Antiqua"/>
                <w:i/>
                <w:iCs/>
                <w:color w:val="000000"/>
                <w:sz w:val="24"/>
                <w:szCs w:val="24"/>
                <w:lang w:val="en-US"/>
              </w:rPr>
              <w:t>P</w:t>
            </w:r>
            <w:r w:rsidR="001274EF">
              <w:rPr>
                <w:rFonts w:ascii="Book Antiqua" w:hAnsi="Book Antiqua"/>
                <w:i/>
                <w:iCs/>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i/>
                <w:iCs/>
                <w:color w:val="000000"/>
                <w:sz w:val="24"/>
                <w:szCs w:val="24"/>
                <w:lang w:val="en-US"/>
              </w:rPr>
              <w:t xml:space="preserve"> </w:t>
            </w:r>
            <w:r w:rsidRPr="00F33209">
              <w:rPr>
                <w:rFonts w:ascii="Book Antiqua" w:hAnsi="Book Antiqua"/>
                <w:color w:val="000000"/>
                <w:sz w:val="24"/>
                <w:szCs w:val="24"/>
                <w:lang w:val="en-US"/>
              </w:rPr>
              <w:t>0.02) were found to be associated with MHE.</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Ammonia levels were similar in sarcopenic and non-sarcopenic patients</w:t>
            </w:r>
          </w:p>
        </w:tc>
      </w:tr>
      <w:tr w:rsidR="002671D6" w:rsidRPr="00F33209" w14:paraId="1901D0E6" w14:textId="77777777" w:rsidTr="004B66C0">
        <w:trPr>
          <w:trHeight w:val="4369"/>
        </w:trPr>
        <w:tc>
          <w:tcPr>
            <w:tcW w:w="1851" w:type="dxa"/>
            <w:shd w:val="clear" w:color="auto" w:fill="FFFFFF"/>
            <w:hideMark/>
          </w:tcPr>
          <w:p w14:paraId="0167BF8B" w14:textId="1159A51F" w:rsidR="00733C8D" w:rsidRPr="001274EF" w:rsidRDefault="00733C8D" w:rsidP="002671D6">
            <w:pPr>
              <w:spacing w:after="0" w:line="360" w:lineRule="auto"/>
              <w:jc w:val="both"/>
              <w:rPr>
                <w:rFonts w:ascii="Book Antiqua" w:hAnsi="Book Antiqua"/>
                <w:bCs/>
                <w:color w:val="000000"/>
                <w:sz w:val="24"/>
                <w:szCs w:val="24"/>
              </w:rPr>
            </w:pPr>
            <w:r w:rsidRPr="00041B93">
              <w:rPr>
                <w:rFonts w:ascii="Book Antiqua" w:hAnsi="Book Antiqua"/>
                <w:bCs/>
                <w:iCs/>
                <w:color w:val="000000"/>
                <w:sz w:val="24"/>
                <w:szCs w:val="24"/>
                <w:lang w:val="en-US"/>
              </w:rPr>
              <w:lastRenderedPageBreak/>
              <w:t>Kalaitzakis</w:t>
            </w:r>
            <w:r w:rsidRPr="001274EF">
              <w:rPr>
                <w:rFonts w:ascii="Book Antiqua" w:hAnsi="Book Antiqua"/>
                <w:bCs/>
                <w:i/>
                <w:color w:val="000000"/>
                <w:sz w:val="24"/>
                <w:szCs w:val="24"/>
                <w:lang w:val="en-US"/>
              </w:rPr>
              <w:t xml:space="preserve"> </w:t>
            </w:r>
            <w:r w:rsidR="00041B93" w:rsidRPr="001274EF">
              <w:rPr>
                <w:rFonts w:ascii="Book Antiqua" w:hAnsi="Book Antiqua"/>
                <w:bCs/>
                <w:i/>
                <w:color w:val="000000"/>
                <w:sz w:val="24"/>
                <w:szCs w:val="24"/>
              </w:rPr>
              <w:t>et al</w:t>
            </w:r>
            <w:r w:rsidR="00041B93" w:rsidRPr="001274EF">
              <w:rPr>
                <w:rFonts w:ascii="Book Antiqua" w:eastAsia="AdvPTimes" w:hAnsi="Book Antiqua"/>
                <w:bCs/>
                <w:color w:val="000000"/>
                <w:sz w:val="24"/>
                <w:szCs w:val="24"/>
                <w:vertAlign w:val="superscript"/>
                <w:lang w:val="en-GB"/>
              </w:rPr>
              <w:t>[</w:t>
            </w:r>
            <w:r w:rsidR="002B2227">
              <w:rPr>
                <w:rFonts w:ascii="Book Antiqua" w:eastAsia="AdvPTimes" w:hAnsi="Book Antiqua"/>
                <w:bCs/>
                <w:color w:val="000000"/>
                <w:sz w:val="24"/>
                <w:szCs w:val="24"/>
                <w:vertAlign w:val="superscript"/>
                <w:lang w:val="en-GB"/>
              </w:rPr>
              <w:t>57</w:t>
            </w:r>
            <w:r w:rsidR="00041B93" w:rsidRPr="001274EF">
              <w:rPr>
                <w:rFonts w:ascii="Book Antiqua" w:eastAsia="AdvPTimes" w:hAnsi="Book Antiqua"/>
                <w:bCs/>
                <w:color w:val="000000"/>
                <w:sz w:val="24"/>
                <w:szCs w:val="24"/>
                <w:vertAlign w:val="superscript"/>
                <w:lang w:val="en-GB"/>
              </w:rPr>
              <w:t>]</w:t>
            </w:r>
            <w:r w:rsidR="00041B93" w:rsidRPr="00041B93">
              <w:rPr>
                <w:rFonts w:ascii="Book Antiqua" w:eastAsia="AdvPTimes" w:hAnsi="Book Antiqua"/>
                <w:bCs/>
                <w:color w:val="000000"/>
                <w:sz w:val="24"/>
                <w:szCs w:val="24"/>
                <w:lang w:val="en-GB"/>
              </w:rPr>
              <w:t>,</w:t>
            </w:r>
            <w:r w:rsidRPr="001274EF">
              <w:rPr>
                <w:rFonts w:ascii="Book Antiqua" w:hAnsi="Book Antiqua"/>
                <w:bCs/>
                <w:i/>
                <w:color w:val="000000"/>
                <w:sz w:val="24"/>
                <w:szCs w:val="24"/>
                <w:lang w:val="en-US"/>
              </w:rPr>
              <w:t xml:space="preserve"> </w:t>
            </w:r>
            <w:r w:rsidRPr="00041B93">
              <w:rPr>
                <w:rFonts w:ascii="Book Antiqua" w:hAnsi="Book Antiqua"/>
                <w:bCs/>
                <w:iCs/>
                <w:color w:val="000000"/>
                <w:sz w:val="24"/>
                <w:szCs w:val="24"/>
                <w:lang w:val="en-US"/>
              </w:rPr>
              <w:t>(2007)</w:t>
            </w:r>
          </w:p>
        </w:tc>
        <w:tc>
          <w:tcPr>
            <w:tcW w:w="1340" w:type="dxa"/>
            <w:shd w:val="clear" w:color="auto" w:fill="FFFFFF"/>
            <w:hideMark/>
          </w:tcPr>
          <w:p w14:paraId="042BF564"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rPr>
              <w:t>128 cirrhotic patients</w:t>
            </w:r>
          </w:p>
        </w:tc>
        <w:tc>
          <w:tcPr>
            <w:tcW w:w="2414" w:type="dxa"/>
            <w:shd w:val="clear" w:color="auto" w:fill="FFFFFF"/>
            <w:hideMark/>
          </w:tcPr>
          <w:p w14:paraId="2571B228"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BMI, weight loss, MAMC and triceps skinfold</w:t>
            </w:r>
          </w:p>
        </w:tc>
        <w:tc>
          <w:tcPr>
            <w:tcW w:w="3742" w:type="dxa"/>
            <w:shd w:val="clear" w:color="auto" w:fill="FFFFFF"/>
            <w:hideMark/>
          </w:tcPr>
          <w:p w14:paraId="15CC69AE"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rPr>
              <w:t>NCT-A, NCT-B</w:t>
            </w:r>
          </w:p>
        </w:tc>
        <w:tc>
          <w:tcPr>
            <w:tcW w:w="5213" w:type="dxa"/>
            <w:hideMark/>
          </w:tcPr>
          <w:p w14:paraId="6DAE57B4" w14:textId="546789BA" w:rsidR="001274EF"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Multivariate analysis showed that the time needed to perform number connection test was independently associated to age, the Child–Pugh score, diabetes and malnutrition (</w:t>
            </w:r>
            <w:r w:rsidR="001274EF" w:rsidRPr="00F33209">
              <w:rPr>
                <w:rFonts w:ascii="Book Antiqua" w:hAnsi="Book Antiqua"/>
                <w:i/>
                <w:iCs/>
                <w:color w:val="000000"/>
                <w:sz w:val="24"/>
                <w:szCs w:val="24"/>
                <w:lang w:val="en-US"/>
              </w:rPr>
              <w:t>P</w:t>
            </w:r>
            <w:r w:rsidR="001274EF">
              <w:rPr>
                <w:rFonts w:ascii="Book Antiqua" w:hAnsi="Book Antiqua"/>
                <w:i/>
                <w:iCs/>
                <w:color w:val="000000"/>
                <w:sz w:val="24"/>
                <w:szCs w:val="24"/>
                <w:lang w:val="en-US"/>
              </w:rPr>
              <w:t xml:space="preserve"> </w:t>
            </w:r>
            <w:r w:rsidRPr="00F33209">
              <w:rPr>
                <w:rFonts w:ascii="Book Antiqua" w:hAnsi="Book Antiqua"/>
                <w:color w:val="000000"/>
                <w:sz w:val="24"/>
                <w:szCs w:val="24"/>
                <w:lang w:val="en-US"/>
              </w:rPr>
              <w:t>&lt;</w:t>
            </w:r>
            <w:r w:rsidR="001274EF">
              <w:rPr>
                <w:rFonts w:ascii="Book Antiqua" w:hAnsi="Book Antiqua"/>
                <w:color w:val="000000"/>
                <w:sz w:val="24"/>
                <w:szCs w:val="24"/>
                <w:lang w:val="en-US"/>
              </w:rPr>
              <w:t xml:space="preserve"> </w:t>
            </w:r>
            <w:r w:rsidRPr="00F33209">
              <w:rPr>
                <w:rFonts w:ascii="Book Antiqua" w:hAnsi="Book Antiqua"/>
                <w:color w:val="000000"/>
                <w:sz w:val="24"/>
                <w:szCs w:val="24"/>
                <w:lang w:val="en-US"/>
              </w:rPr>
              <w:t xml:space="preserve">0.05). </w:t>
            </w:r>
            <w:r w:rsidR="001274EF" w:rsidRPr="001274EF">
              <w:rPr>
                <w:rFonts w:ascii="Book Antiqua" w:hAnsi="Book Antiqua"/>
                <w:color w:val="000000"/>
                <w:sz w:val="24"/>
                <w:szCs w:val="24"/>
                <w:lang w:val="en-US"/>
              </w:rPr>
              <w:t>Plasma ammonium ion was also related to BMI (</w:t>
            </w:r>
            <w:r w:rsidR="001274EF" w:rsidRPr="001274EF">
              <w:rPr>
                <w:rFonts w:ascii="Book Antiqua" w:hAnsi="Book Antiqua"/>
                <w:i/>
                <w:iCs/>
                <w:color w:val="000000"/>
                <w:sz w:val="24"/>
                <w:szCs w:val="24"/>
                <w:lang w:val="en-US"/>
              </w:rPr>
              <w:t>r</w:t>
            </w:r>
            <w:r w:rsidR="001274EF" w:rsidRPr="001274EF">
              <w:rPr>
                <w:rFonts w:ascii="Book Antiqua" w:hAnsi="Book Antiqua"/>
                <w:color w:val="000000"/>
                <w:sz w:val="24"/>
                <w:szCs w:val="24"/>
                <w:lang w:val="en-US"/>
              </w:rPr>
              <w:t xml:space="preserve"> = 0.26, </w:t>
            </w:r>
            <w:r w:rsidR="001274EF" w:rsidRPr="001274EF">
              <w:rPr>
                <w:rFonts w:ascii="Book Antiqua" w:hAnsi="Book Antiqua"/>
                <w:i/>
                <w:iCs/>
                <w:color w:val="000000"/>
                <w:sz w:val="24"/>
                <w:szCs w:val="24"/>
                <w:lang w:val="en-US"/>
              </w:rPr>
              <w:t>P</w:t>
            </w:r>
            <w:r w:rsidR="001274EF" w:rsidRPr="001274EF">
              <w:rPr>
                <w:rFonts w:ascii="Book Antiqua" w:hAnsi="Book Antiqua"/>
                <w:color w:val="000000"/>
                <w:sz w:val="24"/>
                <w:szCs w:val="24"/>
                <w:lang w:val="en-US"/>
              </w:rPr>
              <w:t xml:space="preserve"> = 0.006) and to muscle mass expressed as mid-arm muscle circumference (</w:t>
            </w:r>
            <w:r w:rsidR="001274EF" w:rsidRPr="001274EF">
              <w:rPr>
                <w:rFonts w:ascii="Book Antiqua" w:hAnsi="Book Antiqua"/>
                <w:i/>
                <w:iCs/>
                <w:color w:val="000000"/>
                <w:sz w:val="24"/>
                <w:szCs w:val="24"/>
                <w:lang w:val="en-US"/>
              </w:rPr>
              <w:t>r</w:t>
            </w:r>
            <w:r w:rsidR="001274EF" w:rsidRPr="001274EF">
              <w:rPr>
                <w:rFonts w:ascii="Book Antiqua" w:hAnsi="Book Antiqua"/>
                <w:color w:val="000000"/>
                <w:sz w:val="24"/>
                <w:szCs w:val="24"/>
                <w:lang w:val="en-US"/>
              </w:rPr>
              <w:t xml:space="preserve"> = 0.28, </w:t>
            </w:r>
            <w:r w:rsidR="001274EF" w:rsidRPr="001274EF">
              <w:rPr>
                <w:rFonts w:ascii="Book Antiqua" w:hAnsi="Book Antiqua"/>
                <w:i/>
                <w:iCs/>
                <w:color w:val="000000"/>
                <w:sz w:val="24"/>
                <w:szCs w:val="24"/>
                <w:lang w:val="en-US"/>
              </w:rPr>
              <w:t>P</w:t>
            </w:r>
            <w:r w:rsidR="001274EF" w:rsidRPr="001274EF">
              <w:rPr>
                <w:rFonts w:ascii="Book Antiqua" w:hAnsi="Book Antiqua"/>
                <w:color w:val="000000"/>
                <w:sz w:val="24"/>
                <w:szCs w:val="24"/>
                <w:lang w:val="en-US"/>
              </w:rPr>
              <w:t xml:space="preserve"> = 0.003) but not to fat mass expressed as triceps skin-fold thickness (</w:t>
            </w:r>
            <w:r w:rsidR="001274EF" w:rsidRPr="001274EF">
              <w:rPr>
                <w:rFonts w:ascii="Book Antiqua" w:hAnsi="Book Antiqua"/>
                <w:i/>
                <w:iCs/>
                <w:color w:val="000000"/>
                <w:sz w:val="24"/>
                <w:szCs w:val="24"/>
                <w:lang w:val="en-US"/>
              </w:rPr>
              <w:t>r</w:t>
            </w:r>
            <w:r w:rsidR="001274EF" w:rsidRPr="001274EF">
              <w:rPr>
                <w:rFonts w:ascii="Book Antiqua" w:hAnsi="Book Antiqua"/>
                <w:color w:val="000000"/>
                <w:sz w:val="24"/>
                <w:szCs w:val="24"/>
                <w:lang w:val="en-US"/>
              </w:rPr>
              <w:t xml:space="preserve"> = 0.02, NS).</w:t>
            </w:r>
          </w:p>
          <w:p w14:paraId="5DFEF4CA" w14:textId="7FE548F2" w:rsidR="00733C8D" w:rsidRPr="00F33209" w:rsidRDefault="00733C8D" w:rsidP="002671D6">
            <w:pPr>
              <w:spacing w:after="0" w:line="360" w:lineRule="auto"/>
              <w:jc w:val="both"/>
              <w:rPr>
                <w:rFonts w:ascii="Book Antiqua" w:hAnsi="Book Antiqua"/>
                <w:color w:val="000000"/>
                <w:sz w:val="24"/>
                <w:szCs w:val="24"/>
                <w:lang w:val="en-US"/>
              </w:rPr>
            </w:pPr>
          </w:p>
        </w:tc>
      </w:tr>
      <w:tr w:rsidR="002671D6" w:rsidRPr="00F33209" w14:paraId="019E93C1" w14:textId="77777777" w:rsidTr="00041B93">
        <w:trPr>
          <w:trHeight w:val="893"/>
        </w:trPr>
        <w:tc>
          <w:tcPr>
            <w:tcW w:w="1851" w:type="dxa"/>
            <w:shd w:val="clear" w:color="auto" w:fill="FFFFFF"/>
            <w:hideMark/>
          </w:tcPr>
          <w:p w14:paraId="75B7CBBD" w14:textId="6D26E46A" w:rsidR="00733C8D" w:rsidRPr="001274EF" w:rsidRDefault="00733C8D" w:rsidP="002671D6">
            <w:pPr>
              <w:spacing w:after="0" w:line="360" w:lineRule="auto"/>
              <w:jc w:val="both"/>
              <w:rPr>
                <w:rFonts w:ascii="Book Antiqua" w:hAnsi="Book Antiqua"/>
                <w:bCs/>
                <w:color w:val="000000"/>
                <w:sz w:val="24"/>
                <w:szCs w:val="24"/>
              </w:rPr>
            </w:pPr>
            <w:r w:rsidRPr="00041B93">
              <w:rPr>
                <w:rFonts w:ascii="Book Antiqua" w:hAnsi="Book Antiqua"/>
                <w:bCs/>
                <w:iCs/>
                <w:color w:val="000000"/>
                <w:sz w:val="24"/>
                <w:szCs w:val="24"/>
              </w:rPr>
              <w:t>Nardelli</w:t>
            </w:r>
            <w:r w:rsidRPr="001274EF">
              <w:rPr>
                <w:rFonts w:ascii="Book Antiqua" w:hAnsi="Book Antiqua"/>
                <w:bCs/>
                <w:i/>
                <w:color w:val="000000"/>
                <w:sz w:val="24"/>
                <w:szCs w:val="24"/>
              </w:rPr>
              <w:t xml:space="preserve"> </w:t>
            </w:r>
            <w:r w:rsidR="00041B93" w:rsidRPr="001274EF">
              <w:rPr>
                <w:rFonts w:ascii="Book Antiqua" w:hAnsi="Book Antiqua"/>
                <w:bCs/>
                <w:i/>
                <w:color w:val="000000"/>
                <w:sz w:val="24"/>
                <w:szCs w:val="24"/>
              </w:rPr>
              <w:t>et al</w:t>
            </w:r>
            <w:r w:rsidR="00041B93" w:rsidRPr="001274EF">
              <w:rPr>
                <w:rFonts w:ascii="Book Antiqua" w:eastAsia="AdvPTimes" w:hAnsi="Book Antiqua"/>
                <w:bCs/>
                <w:color w:val="000000"/>
                <w:sz w:val="24"/>
                <w:szCs w:val="24"/>
                <w:vertAlign w:val="superscript"/>
                <w:lang w:val="en-GB"/>
              </w:rPr>
              <w:t>[</w:t>
            </w:r>
            <w:r w:rsidR="002B2227" w:rsidRPr="001274EF">
              <w:rPr>
                <w:rFonts w:ascii="Book Antiqua" w:eastAsia="AdvPTimes" w:hAnsi="Book Antiqua"/>
                <w:bCs/>
                <w:color w:val="000000"/>
                <w:sz w:val="24"/>
                <w:szCs w:val="24"/>
                <w:vertAlign w:val="superscript"/>
                <w:lang w:val="en-GB"/>
              </w:rPr>
              <w:t>2</w:t>
            </w:r>
            <w:r w:rsidR="002B2227">
              <w:rPr>
                <w:rFonts w:ascii="Book Antiqua" w:eastAsia="AdvPTimes" w:hAnsi="Book Antiqua"/>
                <w:bCs/>
                <w:color w:val="000000"/>
                <w:sz w:val="24"/>
                <w:szCs w:val="24"/>
                <w:vertAlign w:val="superscript"/>
                <w:lang w:val="en-GB"/>
              </w:rPr>
              <w:t>2</w:t>
            </w:r>
            <w:r w:rsidR="00041B93" w:rsidRPr="001274EF">
              <w:rPr>
                <w:rFonts w:ascii="Book Antiqua" w:eastAsia="AdvPTimes" w:hAnsi="Book Antiqua"/>
                <w:bCs/>
                <w:color w:val="000000"/>
                <w:sz w:val="24"/>
                <w:szCs w:val="24"/>
                <w:vertAlign w:val="superscript"/>
                <w:lang w:val="en-GB"/>
              </w:rPr>
              <w:t>]</w:t>
            </w:r>
            <w:r w:rsidR="00041B93" w:rsidRPr="00041B93">
              <w:rPr>
                <w:rFonts w:ascii="Book Antiqua" w:eastAsia="AdvPTimes" w:hAnsi="Book Antiqua"/>
                <w:bCs/>
                <w:color w:val="000000"/>
                <w:sz w:val="24"/>
                <w:szCs w:val="24"/>
                <w:lang w:val="en-GB"/>
              </w:rPr>
              <w:t>,</w:t>
            </w:r>
            <w:r w:rsidR="00041B93">
              <w:rPr>
                <w:rFonts w:ascii="Book Antiqua" w:eastAsia="AdvPTimes" w:hAnsi="Book Antiqua"/>
                <w:bCs/>
                <w:color w:val="000000"/>
                <w:sz w:val="24"/>
                <w:szCs w:val="24"/>
                <w:vertAlign w:val="superscript"/>
                <w:lang w:val="en-GB"/>
              </w:rPr>
              <w:t xml:space="preserve"> </w:t>
            </w:r>
            <w:r w:rsidRPr="00041B93">
              <w:rPr>
                <w:rFonts w:ascii="Book Antiqua" w:hAnsi="Book Antiqua"/>
                <w:bCs/>
                <w:iCs/>
                <w:color w:val="000000"/>
                <w:sz w:val="24"/>
                <w:szCs w:val="24"/>
              </w:rPr>
              <w:t>(2019)</w:t>
            </w:r>
          </w:p>
        </w:tc>
        <w:tc>
          <w:tcPr>
            <w:tcW w:w="1340" w:type="dxa"/>
            <w:shd w:val="clear" w:color="auto" w:fill="FFFFFF"/>
            <w:hideMark/>
          </w:tcPr>
          <w:p w14:paraId="270FF6BE"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rPr>
              <w:t>89 cirrhotic patients</w:t>
            </w:r>
          </w:p>
        </w:tc>
        <w:tc>
          <w:tcPr>
            <w:tcW w:w="2414" w:type="dxa"/>
            <w:shd w:val="clear" w:color="auto" w:fill="FFFFFF"/>
            <w:hideMark/>
          </w:tcPr>
          <w:p w14:paraId="2A798BD9" w14:textId="77777777" w:rsidR="00733C8D"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CT scan to evaluate sarcopenia and myosteatosis</w:t>
            </w:r>
          </w:p>
        </w:tc>
        <w:tc>
          <w:tcPr>
            <w:tcW w:w="3742" w:type="dxa"/>
            <w:shd w:val="clear" w:color="auto" w:fill="FFFFFF"/>
            <w:hideMark/>
          </w:tcPr>
          <w:p w14:paraId="13F6DFD9" w14:textId="77777777" w:rsidR="00733C8D" w:rsidRPr="00F33209" w:rsidRDefault="00733C8D" w:rsidP="002671D6">
            <w:pPr>
              <w:spacing w:after="0" w:line="360" w:lineRule="auto"/>
              <w:jc w:val="both"/>
              <w:rPr>
                <w:rFonts w:ascii="Book Antiqua" w:hAnsi="Book Antiqua"/>
                <w:color w:val="000000"/>
                <w:sz w:val="24"/>
                <w:szCs w:val="24"/>
                <w:lang w:val="en-GB"/>
              </w:rPr>
            </w:pPr>
            <w:r w:rsidRPr="00F33209">
              <w:rPr>
                <w:rFonts w:ascii="Book Antiqua" w:hAnsi="Book Antiqua"/>
                <w:color w:val="000000"/>
                <w:sz w:val="24"/>
                <w:szCs w:val="24"/>
                <w:lang w:val="en-US"/>
              </w:rPr>
              <w:t>PHES battery (NCT-A, NCT-B, LT, SDT, LTT): 5 paper pencil tests</w:t>
            </w:r>
          </w:p>
        </w:tc>
        <w:tc>
          <w:tcPr>
            <w:tcW w:w="5213" w:type="dxa"/>
            <w:hideMark/>
          </w:tcPr>
          <w:p w14:paraId="00F63D69" w14:textId="6D13A11D" w:rsidR="00733C8D" w:rsidRPr="001274EF" w:rsidRDefault="00733C8D" w:rsidP="002671D6">
            <w:pPr>
              <w:spacing w:after="0" w:line="360" w:lineRule="auto"/>
              <w:jc w:val="both"/>
              <w:rPr>
                <w:rFonts w:ascii="Book Antiqua" w:hAnsi="Book Antiqua"/>
                <w:color w:val="000000"/>
                <w:sz w:val="24"/>
                <w:szCs w:val="24"/>
                <w:lang w:val="en-GB"/>
              </w:rPr>
            </w:pPr>
            <w:r w:rsidRPr="00F33209">
              <w:rPr>
                <w:rFonts w:ascii="Book Antiqua" w:hAnsi="Book Antiqua"/>
                <w:color w:val="000000"/>
                <w:sz w:val="24"/>
                <w:szCs w:val="24"/>
                <w:lang w:val="en-GB"/>
              </w:rPr>
              <w:t>Both myosteatosis (62.5</w:t>
            </w:r>
            <w:r w:rsidR="001274EF">
              <w:rPr>
                <w:rFonts w:ascii="Book Antiqua" w:hAnsi="Book Antiqua"/>
                <w:color w:val="000000"/>
                <w:sz w:val="24"/>
                <w:szCs w:val="24"/>
                <w:lang w:val="en-GB"/>
              </w:rPr>
              <w:t xml:space="preserve">% </w:t>
            </w:r>
            <w:r w:rsidRPr="001274EF">
              <w:rPr>
                <w:rFonts w:ascii="Book Antiqua" w:hAnsi="Book Antiqua"/>
                <w:i/>
                <w:iCs/>
                <w:color w:val="000000"/>
                <w:sz w:val="24"/>
                <w:szCs w:val="24"/>
                <w:lang w:val="en-GB"/>
              </w:rPr>
              <w:t>vs</w:t>
            </w:r>
            <w:r w:rsidR="001274EF">
              <w:rPr>
                <w:rFonts w:ascii="Book Antiqua" w:hAnsi="Book Antiqua"/>
                <w:color w:val="000000"/>
                <w:sz w:val="24"/>
                <w:szCs w:val="24"/>
                <w:lang w:val="en-GB"/>
              </w:rPr>
              <w:t xml:space="preserve"> </w:t>
            </w:r>
            <w:r w:rsidRPr="00F33209">
              <w:rPr>
                <w:rFonts w:ascii="Book Antiqua" w:hAnsi="Book Antiqua"/>
                <w:color w:val="000000"/>
                <w:sz w:val="24"/>
                <w:szCs w:val="24"/>
                <w:lang w:val="en-GB"/>
              </w:rPr>
              <w:t>12.5%</w:t>
            </w:r>
            <w:r w:rsidR="001274EF">
              <w:rPr>
                <w:rFonts w:ascii="Book Antiqua" w:hAnsi="Book Antiqua"/>
                <w:color w:val="000000"/>
                <w:sz w:val="24"/>
                <w:szCs w:val="24"/>
                <w:lang w:val="en-GB"/>
              </w:rPr>
              <w:t xml:space="preserve">, </w:t>
            </w:r>
            <w:r w:rsidR="001274EF" w:rsidRPr="001274EF">
              <w:rPr>
                <w:rFonts w:ascii="Book Antiqua" w:hAnsi="Book Antiqua"/>
                <w:i/>
                <w:iCs/>
                <w:color w:val="000000"/>
                <w:sz w:val="24"/>
                <w:szCs w:val="24"/>
                <w:lang w:val="en-GB"/>
              </w:rPr>
              <w:t>P</w:t>
            </w:r>
            <w:r w:rsidR="001274EF">
              <w:rPr>
                <w:rFonts w:ascii="Book Antiqua" w:hAnsi="Book Antiqua"/>
                <w:color w:val="000000"/>
                <w:sz w:val="24"/>
                <w:szCs w:val="24"/>
                <w:lang w:val="en-GB"/>
              </w:rPr>
              <w:t xml:space="preserve"> </w:t>
            </w:r>
            <w:r w:rsidRPr="00F33209">
              <w:rPr>
                <w:rFonts w:ascii="Book Antiqua" w:hAnsi="Book Antiqua"/>
                <w:color w:val="000000"/>
                <w:sz w:val="24"/>
                <w:szCs w:val="24"/>
                <w:lang w:val="en-GB"/>
              </w:rPr>
              <w:t>&lt;</w:t>
            </w:r>
            <w:r w:rsidR="001274EF">
              <w:rPr>
                <w:rFonts w:ascii="Book Antiqua" w:hAnsi="Book Antiqua"/>
                <w:color w:val="000000"/>
                <w:sz w:val="24"/>
                <w:szCs w:val="24"/>
                <w:lang w:val="en-GB"/>
              </w:rPr>
              <w:t xml:space="preserve"> </w:t>
            </w:r>
            <w:r w:rsidRPr="00F33209">
              <w:rPr>
                <w:rFonts w:ascii="Book Antiqua" w:hAnsi="Book Antiqua"/>
                <w:color w:val="000000"/>
                <w:sz w:val="24"/>
                <w:szCs w:val="24"/>
                <w:lang w:val="en-GB"/>
              </w:rPr>
              <w:t>0.001) and sarcopenia (84</w:t>
            </w:r>
            <w:r w:rsidR="001274EF">
              <w:rPr>
                <w:rFonts w:ascii="Book Antiqua" w:hAnsi="Book Antiqua"/>
                <w:color w:val="000000"/>
                <w:sz w:val="24"/>
                <w:szCs w:val="24"/>
                <w:lang w:val="en-GB"/>
              </w:rPr>
              <w:t xml:space="preserve">% </w:t>
            </w:r>
            <w:r w:rsidRPr="001274EF">
              <w:rPr>
                <w:rFonts w:ascii="Book Antiqua" w:hAnsi="Book Antiqua"/>
                <w:i/>
                <w:iCs/>
                <w:color w:val="000000"/>
                <w:sz w:val="24"/>
                <w:szCs w:val="24"/>
                <w:lang w:val="en-GB"/>
              </w:rPr>
              <w:t>vs</w:t>
            </w:r>
            <w:r w:rsidR="001274EF">
              <w:rPr>
                <w:rFonts w:ascii="Book Antiqua" w:hAnsi="Book Antiqua"/>
                <w:color w:val="000000"/>
                <w:sz w:val="24"/>
                <w:szCs w:val="24"/>
                <w:lang w:val="en-GB"/>
              </w:rPr>
              <w:t xml:space="preserve"> </w:t>
            </w:r>
            <w:r w:rsidRPr="00F33209">
              <w:rPr>
                <w:rFonts w:ascii="Book Antiqua" w:hAnsi="Book Antiqua"/>
                <w:color w:val="000000"/>
                <w:sz w:val="24"/>
                <w:szCs w:val="24"/>
                <w:lang w:val="en-GB"/>
              </w:rPr>
              <w:t>31%</w:t>
            </w:r>
            <w:r w:rsidR="001274EF">
              <w:rPr>
                <w:rFonts w:ascii="Book Antiqua" w:hAnsi="Book Antiqua"/>
                <w:color w:val="000000"/>
                <w:sz w:val="24"/>
                <w:szCs w:val="24"/>
                <w:lang w:val="en-GB"/>
              </w:rPr>
              <w:t xml:space="preserve">, </w:t>
            </w:r>
            <w:r w:rsidR="001274EF" w:rsidRPr="001274EF">
              <w:rPr>
                <w:rFonts w:ascii="Book Antiqua" w:hAnsi="Book Antiqua"/>
                <w:i/>
                <w:iCs/>
                <w:color w:val="000000"/>
                <w:sz w:val="24"/>
                <w:szCs w:val="24"/>
                <w:lang w:val="en-GB"/>
              </w:rPr>
              <w:t>P</w:t>
            </w:r>
            <w:r w:rsidR="001274EF">
              <w:rPr>
                <w:rFonts w:ascii="Book Antiqua" w:hAnsi="Book Antiqua"/>
                <w:color w:val="000000"/>
                <w:sz w:val="24"/>
                <w:szCs w:val="24"/>
                <w:lang w:val="en-GB"/>
              </w:rPr>
              <w:t xml:space="preserve"> </w:t>
            </w:r>
            <w:r w:rsidRPr="00F33209">
              <w:rPr>
                <w:rFonts w:ascii="Book Antiqua" w:hAnsi="Book Antiqua"/>
                <w:color w:val="000000"/>
                <w:sz w:val="24"/>
                <w:szCs w:val="24"/>
                <w:lang w:val="en-GB"/>
              </w:rPr>
              <w:t>&lt;</w:t>
            </w:r>
            <w:r w:rsidR="001274EF">
              <w:rPr>
                <w:rFonts w:ascii="Book Antiqua" w:hAnsi="Book Antiqua"/>
                <w:color w:val="000000"/>
                <w:sz w:val="24"/>
                <w:szCs w:val="24"/>
                <w:lang w:val="en-GB"/>
              </w:rPr>
              <w:t xml:space="preserve"> </w:t>
            </w:r>
            <w:r w:rsidRPr="00F33209">
              <w:rPr>
                <w:rFonts w:ascii="Book Antiqua" w:hAnsi="Book Antiqua"/>
                <w:color w:val="000000"/>
                <w:sz w:val="24"/>
                <w:szCs w:val="24"/>
                <w:lang w:val="en-GB"/>
              </w:rPr>
              <w:t xml:space="preserve">0.001) were more frequent in patients with MHE. At multivariate analysis, the variables independently associated to the presence of MHE were: sarcopenia, previous overt HE and myosteatosis. </w:t>
            </w:r>
            <w:r w:rsidR="001274EF" w:rsidRPr="001274EF">
              <w:rPr>
                <w:rFonts w:ascii="Book Antiqua" w:hAnsi="Book Antiqua"/>
                <w:color w:val="000000"/>
                <w:sz w:val="24"/>
                <w:szCs w:val="24"/>
                <w:lang w:val="en-US"/>
              </w:rPr>
              <w:t xml:space="preserve">Venous ammonia was </w:t>
            </w:r>
            <w:r w:rsidR="001274EF" w:rsidRPr="001274EF">
              <w:rPr>
                <w:rFonts w:ascii="Book Antiqua" w:hAnsi="Book Antiqua"/>
                <w:color w:val="000000"/>
                <w:sz w:val="24"/>
                <w:szCs w:val="24"/>
                <w:lang w:val="en-US"/>
              </w:rPr>
              <w:lastRenderedPageBreak/>
              <w:t>significantly higher in patients with sarcopenia (62.6</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17.7</w:t>
            </w:r>
            <w:r w:rsidR="00416E14">
              <w:rPr>
                <w:rFonts w:ascii="Book Antiqua" w:hAnsi="Book Antiqua"/>
                <w:color w:val="000000"/>
                <w:sz w:val="24"/>
                <w:szCs w:val="24"/>
                <w:lang w:val="en-US"/>
              </w:rPr>
              <w:t xml:space="preserve"> </w:t>
            </w:r>
            <w:r w:rsidR="00416E14" w:rsidRPr="001274EF">
              <w:rPr>
                <w:rFonts w:ascii="Book Antiqua" w:hAnsi="Book Antiqua"/>
                <w:color w:val="000000"/>
                <w:sz w:val="24"/>
                <w:szCs w:val="24"/>
              </w:rPr>
              <w:t>μ</w:t>
            </w:r>
            <w:r w:rsidR="00416E14" w:rsidRPr="001274EF">
              <w:rPr>
                <w:rFonts w:ascii="Book Antiqua" w:hAnsi="Book Antiqua"/>
                <w:color w:val="000000"/>
                <w:sz w:val="24"/>
                <w:szCs w:val="24"/>
                <w:lang w:val="en-US"/>
              </w:rPr>
              <w:t>g/dL</w:t>
            </w:r>
            <w:r w:rsidR="00416E14">
              <w:rPr>
                <w:rFonts w:ascii="Book Antiqua" w:hAnsi="Book Antiqua"/>
                <w:i/>
                <w:iCs/>
                <w:color w:val="000000"/>
                <w:sz w:val="24"/>
                <w:szCs w:val="24"/>
                <w:lang w:val="en-US"/>
              </w:rPr>
              <w:t xml:space="preserve"> </w:t>
            </w:r>
            <w:r w:rsidR="001274EF" w:rsidRPr="001274EF">
              <w:rPr>
                <w:rFonts w:ascii="Book Antiqua" w:hAnsi="Book Antiqua"/>
                <w:i/>
                <w:iCs/>
                <w:color w:val="000000"/>
                <w:sz w:val="24"/>
                <w:szCs w:val="24"/>
                <w:lang w:val="en-US"/>
              </w:rPr>
              <w:t>vs</w:t>
            </w:r>
            <w:r w:rsidR="001274EF" w:rsidRPr="001274EF">
              <w:rPr>
                <w:rFonts w:ascii="Book Antiqua" w:hAnsi="Book Antiqua"/>
                <w:color w:val="000000"/>
                <w:sz w:val="24"/>
                <w:szCs w:val="24"/>
                <w:lang w:val="en-US"/>
              </w:rPr>
              <w:t xml:space="preserve"> 41.4</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 xml:space="preserve">16.1 </w:t>
            </w:r>
            <w:r w:rsidR="001274EF" w:rsidRPr="001274EF">
              <w:rPr>
                <w:rFonts w:ascii="Book Antiqua" w:hAnsi="Book Antiqua"/>
                <w:color w:val="000000"/>
                <w:sz w:val="24"/>
                <w:szCs w:val="24"/>
              </w:rPr>
              <w:t>μ</w:t>
            </w:r>
            <w:r w:rsidR="001274EF" w:rsidRPr="001274EF">
              <w:rPr>
                <w:rFonts w:ascii="Book Antiqua" w:hAnsi="Book Antiqua"/>
                <w:color w:val="000000"/>
                <w:sz w:val="24"/>
                <w:szCs w:val="24"/>
                <w:lang w:val="en-US"/>
              </w:rPr>
              <w:t xml:space="preserve">g/dL,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&lt;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0.001) and in patients with myosteatosis (65.2</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19.2</w:t>
            </w:r>
            <w:r w:rsidR="00BB3A14">
              <w:rPr>
                <w:rFonts w:ascii="Book Antiqua" w:hAnsi="Book Antiqua"/>
                <w:color w:val="000000"/>
                <w:sz w:val="24"/>
                <w:szCs w:val="24"/>
                <w:lang w:val="en-US"/>
              </w:rPr>
              <w:t xml:space="preserve"> </w:t>
            </w:r>
            <w:r w:rsidR="00BB3A14" w:rsidRPr="001274EF">
              <w:rPr>
                <w:rFonts w:ascii="Book Antiqua" w:hAnsi="Book Antiqua"/>
                <w:color w:val="000000"/>
                <w:sz w:val="24"/>
                <w:szCs w:val="24"/>
              </w:rPr>
              <w:t>μ</w:t>
            </w:r>
            <w:r w:rsidR="00BB3A14" w:rsidRPr="001274EF">
              <w:rPr>
                <w:rFonts w:ascii="Book Antiqua" w:hAnsi="Book Antiqua"/>
                <w:color w:val="000000"/>
                <w:sz w:val="24"/>
                <w:szCs w:val="24"/>
                <w:lang w:val="en-US"/>
              </w:rPr>
              <w:t>g/dL</w:t>
            </w:r>
            <w:r w:rsidR="00BB3A14">
              <w:rPr>
                <w:rFonts w:ascii="Book Antiqua" w:hAnsi="Book Antiqua"/>
                <w:i/>
                <w:iCs/>
                <w:color w:val="000000"/>
                <w:sz w:val="24"/>
                <w:szCs w:val="24"/>
                <w:lang w:val="en-US"/>
              </w:rPr>
              <w:t xml:space="preserve"> </w:t>
            </w:r>
            <w:r w:rsidR="001274EF" w:rsidRPr="001274EF">
              <w:rPr>
                <w:rFonts w:ascii="Book Antiqua" w:hAnsi="Book Antiqua"/>
                <w:i/>
                <w:iCs/>
                <w:color w:val="000000"/>
                <w:sz w:val="24"/>
                <w:szCs w:val="24"/>
                <w:lang w:val="en-US"/>
              </w:rPr>
              <w:t>vs</w:t>
            </w:r>
            <w:r w:rsidR="001274EF" w:rsidRPr="001274EF">
              <w:rPr>
                <w:rFonts w:ascii="Book Antiqua" w:hAnsi="Book Antiqua"/>
                <w:color w:val="000000"/>
                <w:sz w:val="24"/>
                <w:szCs w:val="24"/>
                <w:lang w:val="en-US"/>
              </w:rPr>
              <w:t xml:space="preserve"> 46.7</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 xml:space="preserve">17.1 </w:t>
            </w:r>
            <w:r w:rsidR="001274EF" w:rsidRPr="001274EF">
              <w:rPr>
                <w:rFonts w:ascii="Book Antiqua" w:hAnsi="Book Antiqua"/>
                <w:color w:val="000000"/>
                <w:sz w:val="24"/>
                <w:szCs w:val="24"/>
              </w:rPr>
              <w:t>μ</w:t>
            </w:r>
            <w:r w:rsidR="001274EF" w:rsidRPr="001274EF">
              <w:rPr>
                <w:rFonts w:ascii="Book Antiqua" w:hAnsi="Book Antiqua"/>
                <w:color w:val="000000"/>
                <w:sz w:val="24"/>
                <w:szCs w:val="24"/>
                <w:lang w:val="en-US"/>
              </w:rPr>
              <w:t xml:space="preserve">g/dL, </w:t>
            </w:r>
            <w:r w:rsidR="001274EF" w:rsidRPr="001274EF">
              <w:rPr>
                <w:rFonts w:ascii="Book Antiqua" w:hAnsi="Book Antiqua"/>
                <w:i/>
                <w:iCs/>
                <w:color w:val="000000"/>
                <w:sz w:val="24"/>
                <w:szCs w:val="24"/>
                <w:lang w:val="en-US"/>
              </w:rPr>
              <w:t>P</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&lt;</w:t>
            </w:r>
            <w:r w:rsidR="001274EF">
              <w:rPr>
                <w:rFonts w:ascii="Book Antiqua" w:hAnsi="Book Antiqua"/>
                <w:color w:val="000000"/>
                <w:sz w:val="24"/>
                <w:szCs w:val="24"/>
                <w:lang w:val="en-US"/>
              </w:rPr>
              <w:t xml:space="preserve"> </w:t>
            </w:r>
            <w:r w:rsidR="001274EF" w:rsidRPr="001274EF">
              <w:rPr>
                <w:rFonts w:ascii="Book Antiqua" w:hAnsi="Book Antiqua"/>
                <w:color w:val="000000"/>
                <w:sz w:val="24"/>
                <w:szCs w:val="24"/>
                <w:lang w:val="en-US"/>
              </w:rPr>
              <w:t>0.001) and inversely correlated to both parameters</w:t>
            </w:r>
          </w:p>
        </w:tc>
      </w:tr>
      <w:tr w:rsidR="002671D6" w:rsidRPr="00F33209" w14:paraId="353A72E1" w14:textId="77777777" w:rsidTr="00041B93">
        <w:trPr>
          <w:trHeight w:val="1218"/>
        </w:trPr>
        <w:tc>
          <w:tcPr>
            <w:tcW w:w="1851" w:type="dxa"/>
            <w:shd w:val="clear" w:color="auto" w:fill="FFFFFF"/>
            <w:hideMark/>
          </w:tcPr>
          <w:p w14:paraId="3B9705D7" w14:textId="43853C12" w:rsidR="00733C8D" w:rsidRPr="001274EF" w:rsidRDefault="00733C8D" w:rsidP="002671D6">
            <w:pPr>
              <w:spacing w:after="0" w:line="360" w:lineRule="auto"/>
              <w:jc w:val="both"/>
              <w:rPr>
                <w:rFonts w:ascii="Book Antiqua" w:hAnsi="Book Antiqua"/>
                <w:bCs/>
                <w:color w:val="000000"/>
                <w:sz w:val="24"/>
                <w:szCs w:val="24"/>
                <w:lang w:val="en-US"/>
              </w:rPr>
            </w:pPr>
            <w:r w:rsidRPr="00041B93">
              <w:rPr>
                <w:rFonts w:ascii="Book Antiqua" w:hAnsi="Book Antiqua"/>
                <w:bCs/>
                <w:iCs/>
                <w:color w:val="000000"/>
                <w:sz w:val="24"/>
                <w:szCs w:val="24"/>
              </w:rPr>
              <w:lastRenderedPageBreak/>
              <w:t>Gioia</w:t>
            </w:r>
            <w:r w:rsidRPr="001274EF">
              <w:rPr>
                <w:rFonts w:ascii="Book Antiqua" w:hAnsi="Book Antiqua"/>
                <w:bCs/>
                <w:i/>
                <w:color w:val="000000"/>
                <w:sz w:val="24"/>
                <w:szCs w:val="24"/>
              </w:rPr>
              <w:t xml:space="preserve"> </w:t>
            </w:r>
            <w:r w:rsidR="00041B93" w:rsidRPr="001274EF">
              <w:rPr>
                <w:rFonts w:ascii="Book Antiqua" w:hAnsi="Book Antiqua"/>
                <w:bCs/>
                <w:i/>
                <w:color w:val="000000"/>
                <w:sz w:val="24"/>
                <w:szCs w:val="24"/>
              </w:rPr>
              <w:t>et al</w:t>
            </w:r>
            <w:r w:rsidR="00041B93" w:rsidRPr="001274EF">
              <w:rPr>
                <w:rFonts w:ascii="Book Antiqua" w:eastAsia="AdvPTimes" w:hAnsi="Book Antiqua"/>
                <w:bCs/>
                <w:color w:val="000000"/>
                <w:sz w:val="24"/>
                <w:szCs w:val="24"/>
                <w:vertAlign w:val="superscript"/>
                <w:lang w:val="en-GB"/>
              </w:rPr>
              <w:t>[</w:t>
            </w:r>
            <w:r w:rsidR="002B2227" w:rsidRPr="001274EF">
              <w:rPr>
                <w:rFonts w:ascii="Book Antiqua" w:eastAsia="AdvPTimes" w:hAnsi="Book Antiqua"/>
                <w:bCs/>
                <w:color w:val="000000"/>
                <w:sz w:val="24"/>
                <w:szCs w:val="24"/>
                <w:vertAlign w:val="superscript"/>
                <w:lang w:val="en-GB"/>
              </w:rPr>
              <w:t>2</w:t>
            </w:r>
            <w:r w:rsidR="002B2227">
              <w:rPr>
                <w:rFonts w:ascii="Book Antiqua" w:eastAsia="AdvPTimes" w:hAnsi="Book Antiqua"/>
                <w:bCs/>
                <w:color w:val="000000"/>
                <w:sz w:val="24"/>
                <w:szCs w:val="24"/>
                <w:vertAlign w:val="superscript"/>
                <w:lang w:val="en-GB"/>
              </w:rPr>
              <w:t>5</w:t>
            </w:r>
            <w:r w:rsidR="00041B93" w:rsidRPr="001274EF">
              <w:rPr>
                <w:rFonts w:ascii="Book Antiqua" w:eastAsia="AdvPTimes" w:hAnsi="Book Antiqua"/>
                <w:bCs/>
                <w:color w:val="000000"/>
                <w:sz w:val="24"/>
                <w:szCs w:val="24"/>
                <w:vertAlign w:val="superscript"/>
                <w:lang w:val="en-GB"/>
              </w:rPr>
              <w:t>]</w:t>
            </w:r>
            <w:r w:rsidR="00041B93" w:rsidRPr="00041B93">
              <w:rPr>
                <w:rFonts w:ascii="Book Antiqua" w:eastAsia="AdvPTimes" w:hAnsi="Book Antiqua"/>
                <w:bCs/>
                <w:color w:val="000000"/>
                <w:sz w:val="24"/>
                <w:szCs w:val="24"/>
                <w:lang w:val="en-GB"/>
              </w:rPr>
              <w:t>,</w:t>
            </w:r>
            <w:r w:rsidR="00041B93">
              <w:rPr>
                <w:rFonts w:ascii="Book Antiqua" w:eastAsia="AdvPTimes" w:hAnsi="Book Antiqua"/>
                <w:bCs/>
                <w:color w:val="000000"/>
                <w:sz w:val="24"/>
                <w:szCs w:val="24"/>
                <w:vertAlign w:val="superscript"/>
                <w:lang w:val="en-GB"/>
              </w:rPr>
              <w:t xml:space="preserve"> </w:t>
            </w:r>
            <w:r w:rsidRPr="00041B93">
              <w:rPr>
                <w:rFonts w:ascii="Book Antiqua" w:hAnsi="Book Antiqua"/>
                <w:bCs/>
                <w:iCs/>
                <w:color w:val="000000"/>
                <w:sz w:val="24"/>
                <w:szCs w:val="24"/>
              </w:rPr>
              <w:t>(2019)</w:t>
            </w:r>
            <w:r w:rsidRPr="001274EF">
              <w:rPr>
                <w:rFonts w:ascii="Book Antiqua" w:eastAsia="AdvPTimes" w:hAnsi="Book Antiqua"/>
                <w:bCs/>
                <w:color w:val="000000"/>
                <w:sz w:val="24"/>
                <w:szCs w:val="24"/>
                <w:vertAlign w:val="superscript"/>
                <w:lang w:val="en-GB"/>
              </w:rPr>
              <w:t xml:space="preserve"> </w:t>
            </w:r>
          </w:p>
        </w:tc>
        <w:tc>
          <w:tcPr>
            <w:tcW w:w="1340" w:type="dxa"/>
            <w:shd w:val="clear" w:color="auto" w:fill="FFFFFF"/>
            <w:hideMark/>
          </w:tcPr>
          <w:p w14:paraId="2BC7ED52" w14:textId="1E04998D" w:rsidR="007F6D5B"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27 cirrhotic patients submitted to TIPS</w:t>
            </w:r>
          </w:p>
        </w:tc>
        <w:tc>
          <w:tcPr>
            <w:tcW w:w="2414" w:type="dxa"/>
            <w:shd w:val="clear" w:color="auto" w:fill="FFFFFF"/>
            <w:hideMark/>
          </w:tcPr>
          <w:p w14:paraId="2FE836B6" w14:textId="31838400" w:rsidR="007F6D5B" w:rsidRPr="00F33209" w:rsidRDefault="00733C8D"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rPr>
              <w:t>CT scan to evaluate sarcopenia and myosteatosis before and after TIPS</w:t>
            </w:r>
          </w:p>
        </w:tc>
        <w:tc>
          <w:tcPr>
            <w:tcW w:w="3742" w:type="dxa"/>
            <w:shd w:val="clear" w:color="auto" w:fill="FFFFFF"/>
            <w:hideMark/>
          </w:tcPr>
          <w:p w14:paraId="7A87A860" w14:textId="77777777" w:rsidR="00733C8D" w:rsidRPr="00F33209" w:rsidRDefault="00733C8D" w:rsidP="002671D6">
            <w:pPr>
              <w:spacing w:after="0" w:line="360" w:lineRule="auto"/>
              <w:jc w:val="both"/>
              <w:rPr>
                <w:rFonts w:ascii="Book Antiqua" w:hAnsi="Book Antiqua"/>
                <w:color w:val="000000"/>
                <w:sz w:val="24"/>
                <w:szCs w:val="24"/>
                <w:shd w:val="clear" w:color="auto" w:fill="FFFF00"/>
                <w:lang w:val="en-US"/>
              </w:rPr>
            </w:pPr>
            <w:r w:rsidRPr="00F33209">
              <w:rPr>
                <w:rFonts w:ascii="Book Antiqua" w:hAnsi="Book Antiqua"/>
                <w:color w:val="000000"/>
                <w:sz w:val="24"/>
                <w:szCs w:val="24"/>
                <w:lang w:val="en-US"/>
              </w:rPr>
              <w:t>PHES battery (NCT-A, NCT-B, LT, SDT, LTT): 5 paper pencil tests</w:t>
            </w:r>
          </w:p>
        </w:tc>
        <w:tc>
          <w:tcPr>
            <w:tcW w:w="5213" w:type="dxa"/>
            <w:hideMark/>
          </w:tcPr>
          <w:p w14:paraId="415356EC" w14:textId="2B149EB8" w:rsidR="00733C8D" w:rsidRPr="00F33209" w:rsidRDefault="001274EF" w:rsidP="002671D6">
            <w:pPr>
              <w:spacing w:after="0" w:line="360" w:lineRule="auto"/>
              <w:jc w:val="both"/>
              <w:rPr>
                <w:rFonts w:ascii="Book Antiqua" w:hAnsi="Book Antiqua"/>
                <w:color w:val="000000"/>
                <w:sz w:val="24"/>
                <w:szCs w:val="24"/>
                <w:lang w:val="en-US"/>
              </w:rPr>
            </w:pPr>
            <w:r w:rsidRPr="001274EF">
              <w:rPr>
                <w:rFonts w:ascii="Book Antiqua" w:hAnsi="Book Antiqua"/>
                <w:color w:val="000000"/>
                <w:sz w:val="24"/>
                <w:szCs w:val="24"/>
                <w:lang w:val="en-US"/>
              </w:rPr>
              <w:t>PHES and ammonia significantly improved in the patients with amelioration in Skeletal Muscle Index (SMI) &gt;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10% (</w:t>
            </w:r>
            <w:r w:rsidRPr="001274EF">
              <w:rPr>
                <w:rFonts w:ascii="Book Antiqua" w:hAnsi="Book Antiqua"/>
                <w:i/>
                <w:iCs/>
                <w:color w:val="000000"/>
                <w:sz w:val="24"/>
                <w:szCs w:val="24"/>
                <w:lang w:val="en-US"/>
              </w:rPr>
              <w:t>n</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16) and not in those without (</w:t>
            </w:r>
            <w:r w:rsidRPr="001274EF">
              <w:rPr>
                <w:rFonts w:ascii="Book Antiqua" w:hAnsi="Book Antiqua"/>
                <w:i/>
                <w:iCs/>
                <w:color w:val="000000"/>
                <w:sz w:val="24"/>
                <w:szCs w:val="24"/>
                <w:lang w:val="en-US"/>
              </w:rPr>
              <w:t>n</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11) (PHES: -1.6 ±</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 xml:space="preserve">2 </w:t>
            </w:r>
            <w:r w:rsidRPr="001274EF">
              <w:rPr>
                <w:rFonts w:ascii="Book Antiqua" w:hAnsi="Book Antiqua"/>
                <w:i/>
                <w:iCs/>
                <w:color w:val="000000"/>
                <w:sz w:val="24"/>
                <w:szCs w:val="24"/>
                <w:lang w:val="en-US"/>
              </w:rPr>
              <w:t>vs</w:t>
            </w:r>
            <w:r w:rsidRPr="001274EF">
              <w:rPr>
                <w:rFonts w:ascii="Book Antiqua" w:hAnsi="Book Antiqua"/>
                <w:color w:val="000000"/>
                <w:sz w:val="24"/>
                <w:szCs w:val="24"/>
                <w:lang w:val="en-US"/>
              </w:rPr>
              <w:t xml:space="preserve"> -4.8</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2.1</w:t>
            </w:r>
            <w:r>
              <w:rPr>
                <w:rFonts w:ascii="Book Antiqua" w:hAnsi="Book Antiqua"/>
                <w:color w:val="000000"/>
                <w:sz w:val="24"/>
                <w:szCs w:val="24"/>
                <w:lang w:val="en-US"/>
              </w:rPr>
              <w:t>,</w:t>
            </w:r>
            <w:r w:rsidRPr="001274EF">
              <w:rPr>
                <w:rFonts w:ascii="Book Antiqua" w:hAnsi="Book Antiqua"/>
                <w:color w:val="000000"/>
                <w:sz w:val="24"/>
                <w:szCs w:val="24"/>
                <w:lang w:val="en-US"/>
              </w:rPr>
              <w:t xml:space="preserve"> </w:t>
            </w:r>
            <w:r w:rsidRPr="001274EF">
              <w:rPr>
                <w:rFonts w:ascii="Book Antiqua" w:hAnsi="Book Antiqua"/>
                <w:i/>
                <w:iCs/>
                <w:color w:val="000000"/>
                <w:sz w:val="24"/>
                <w:szCs w:val="24"/>
                <w:lang w:val="en-US"/>
              </w:rPr>
              <w:t>P</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0.0005; ammonia: 48.5</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28.7</w:t>
            </w:r>
            <w:r w:rsidR="00ED2BBB">
              <w:rPr>
                <w:rFonts w:ascii="Book Antiqua" w:hAnsi="Book Antiqua"/>
                <w:color w:val="000000"/>
                <w:sz w:val="24"/>
                <w:szCs w:val="24"/>
                <w:lang w:val="en-US"/>
              </w:rPr>
              <w:t xml:space="preserve"> </w:t>
            </w:r>
            <w:r w:rsidR="00ED2BBB" w:rsidRPr="001274EF">
              <w:rPr>
                <w:rFonts w:ascii="Book Antiqua" w:hAnsi="Book Antiqua"/>
                <w:color w:val="000000"/>
                <w:sz w:val="24"/>
                <w:szCs w:val="24"/>
              </w:rPr>
              <w:t>μ</w:t>
            </w:r>
            <w:r w:rsidR="00ED2BBB" w:rsidRPr="001274EF">
              <w:rPr>
                <w:rFonts w:ascii="Book Antiqua" w:hAnsi="Book Antiqua"/>
                <w:color w:val="000000"/>
                <w:sz w:val="24"/>
                <w:szCs w:val="24"/>
                <w:lang w:val="en-US"/>
              </w:rPr>
              <w:t>g/dL</w:t>
            </w:r>
            <w:r w:rsidR="00ED2BBB">
              <w:rPr>
                <w:rFonts w:ascii="Book Antiqua" w:hAnsi="Book Antiqua"/>
                <w:i/>
                <w:iCs/>
                <w:color w:val="000000"/>
                <w:sz w:val="24"/>
                <w:szCs w:val="24"/>
                <w:lang w:val="en-US"/>
              </w:rPr>
              <w:t xml:space="preserve"> </w:t>
            </w:r>
            <w:r w:rsidRPr="001274EF">
              <w:rPr>
                <w:rFonts w:ascii="Book Antiqua" w:hAnsi="Book Antiqua"/>
                <w:i/>
                <w:iCs/>
                <w:color w:val="000000"/>
                <w:sz w:val="24"/>
                <w:szCs w:val="24"/>
                <w:lang w:val="en-US"/>
              </w:rPr>
              <w:t>vs</w:t>
            </w:r>
            <w:r w:rsidRPr="001274EF">
              <w:rPr>
                <w:rFonts w:ascii="Book Antiqua" w:hAnsi="Book Antiqua"/>
                <w:color w:val="000000"/>
                <w:sz w:val="24"/>
                <w:szCs w:val="24"/>
                <w:lang w:val="en-US"/>
              </w:rPr>
              <w:t xml:space="preserve"> 96</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31.5 μg/dL</w:t>
            </w:r>
            <w:r>
              <w:rPr>
                <w:rFonts w:ascii="Book Antiqua" w:hAnsi="Book Antiqua"/>
                <w:color w:val="000000"/>
                <w:sz w:val="24"/>
                <w:szCs w:val="24"/>
                <w:lang w:val="en-US"/>
              </w:rPr>
              <w:t>,</w:t>
            </w:r>
            <w:r w:rsidRPr="001274EF">
              <w:rPr>
                <w:rFonts w:ascii="Book Antiqua" w:hAnsi="Book Antiqua"/>
                <w:color w:val="000000"/>
                <w:sz w:val="24"/>
                <w:szCs w:val="24"/>
                <w:lang w:val="en-US"/>
              </w:rPr>
              <w:t xml:space="preserve"> </w:t>
            </w:r>
            <w:r w:rsidRPr="001274EF">
              <w:rPr>
                <w:rFonts w:ascii="Book Antiqua" w:hAnsi="Book Antiqua"/>
                <w:i/>
                <w:iCs/>
                <w:color w:val="000000"/>
                <w:sz w:val="24"/>
                <w:szCs w:val="24"/>
                <w:lang w:val="en-US"/>
              </w:rPr>
              <w:t>P</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w:t>
            </w:r>
            <w:r>
              <w:rPr>
                <w:rFonts w:ascii="Book Antiqua" w:hAnsi="Book Antiqua"/>
                <w:color w:val="000000"/>
                <w:sz w:val="24"/>
                <w:szCs w:val="24"/>
                <w:lang w:val="en-US"/>
              </w:rPr>
              <w:t xml:space="preserve"> </w:t>
            </w:r>
            <w:r w:rsidRPr="001274EF">
              <w:rPr>
                <w:rFonts w:ascii="Book Antiqua" w:hAnsi="Book Antiqua"/>
                <w:color w:val="000000"/>
                <w:sz w:val="24"/>
                <w:szCs w:val="24"/>
                <w:lang w:val="en-US"/>
              </w:rPr>
              <w:t>0.0004).</w:t>
            </w:r>
            <w:r>
              <w:rPr>
                <w:rFonts w:ascii="Book Antiqua" w:hAnsi="Book Antiqua" w:hint="cs"/>
                <w:color w:val="000000"/>
                <w:sz w:val="24"/>
                <w:szCs w:val="24"/>
                <w:lang w:val="en-US"/>
              </w:rPr>
              <w:t xml:space="preserve"> </w:t>
            </w:r>
            <w:r w:rsidR="00733C8D" w:rsidRPr="00F33209">
              <w:rPr>
                <w:rFonts w:ascii="Book Antiqua" w:hAnsi="Book Antiqua"/>
                <w:color w:val="000000"/>
                <w:sz w:val="24"/>
                <w:szCs w:val="24"/>
                <w:lang w:val="en-US"/>
              </w:rPr>
              <w:t xml:space="preserve">Moreover, the prevalence of minimal HE (12.5% </w:t>
            </w:r>
            <w:r w:rsidR="00733C8D" w:rsidRPr="001274EF">
              <w:rPr>
                <w:rFonts w:ascii="Book Antiqua" w:hAnsi="Book Antiqua"/>
                <w:i/>
                <w:iCs/>
                <w:color w:val="000000"/>
                <w:sz w:val="24"/>
                <w:szCs w:val="24"/>
                <w:lang w:val="en-US"/>
              </w:rPr>
              <w:t>vs</w:t>
            </w:r>
            <w:r w:rsidR="00733C8D" w:rsidRPr="00F33209">
              <w:rPr>
                <w:rFonts w:ascii="Book Antiqua" w:hAnsi="Book Antiqua"/>
                <w:color w:val="000000"/>
                <w:sz w:val="24"/>
                <w:szCs w:val="24"/>
                <w:lang w:val="en-US"/>
              </w:rPr>
              <w:t xml:space="preserve"> 73%, </w:t>
            </w:r>
            <w:r w:rsidRPr="001274EF">
              <w:rPr>
                <w:rFonts w:ascii="Book Antiqua" w:hAnsi="Book Antiqua"/>
                <w:i/>
                <w:iCs/>
                <w:color w:val="000000"/>
                <w:sz w:val="24"/>
                <w:szCs w:val="24"/>
                <w:lang w:val="en-US"/>
              </w:rPr>
              <w:t>P</w:t>
            </w:r>
            <w:r>
              <w:rPr>
                <w:rFonts w:ascii="Book Antiqua" w:hAnsi="Book Antiqua"/>
                <w:color w:val="000000"/>
                <w:sz w:val="24"/>
                <w:szCs w:val="24"/>
                <w:lang w:val="en-US"/>
              </w:rPr>
              <w:t xml:space="preserve"> </w:t>
            </w:r>
            <w:r w:rsidR="00733C8D" w:rsidRPr="00F33209">
              <w:rPr>
                <w:rFonts w:ascii="Book Antiqua" w:hAnsi="Book Antiqua"/>
                <w:color w:val="000000"/>
                <w:sz w:val="24"/>
                <w:szCs w:val="24"/>
                <w:lang w:val="en-US"/>
              </w:rPr>
              <w:t>=</w:t>
            </w:r>
            <w:r>
              <w:rPr>
                <w:rFonts w:ascii="Book Antiqua" w:hAnsi="Book Antiqua"/>
                <w:color w:val="000000"/>
                <w:sz w:val="24"/>
                <w:szCs w:val="24"/>
                <w:lang w:val="en-US"/>
              </w:rPr>
              <w:t xml:space="preserve"> </w:t>
            </w:r>
            <w:r w:rsidR="00733C8D" w:rsidRPr="00F33209">
              <w:rPr>
                <w:rFonts w:ascii="Book Antiqua" w:hAnsi="Book Antiqua"/>
                <w:color w:val="000000"/>
                <w:sz w:val="24"/>
                <w:szCs w:val="24"/>
                <w:lang w:val="en-US"/>
              </w:rPr>
              <w:t>0.001) was significantly reduced in patients with muscle improvement</w:t>
            </w:r>
          </w:p>
        </w:tc>
      </w:tr>
      <w:tr w:rsidR="002671D6" w:rsidRPr="00F33209" w14:paraId="4883EE31" w14:textId="77777777" w:rsidTr="00041B93">
        <w:trPr>
          <w:trHeight w:val="1218"/>
        </w:trPr>
        <w:tc>
          <w:tcPr>
            <w:tcW w:w="1851" w:type="dxa"/>
            <w:tcBorders>
              <w:bottom w:val="single" w:sz="4" w:space="0" w:color="auto"/>
            </w:tcBorders>
            <w:shd w:val="clear" w:color="auto" w:fill="FFFFFF"/>
            <w:hideMark/>
          </w:tcPr>
          <w:p w14:paraId="1E55DEBB" w14:textId="695E64E4" w:rsidR="00733C8D" w:rsidRPr="001274EF" w:rsidRDefault="007F6D5B" w:rsidP="002671D6">
            <w:pPr>
              <w:spacing w:after="0" w:line="360" w:lineRule="auto"/>
              <w:jc w:val="both"/>
              <w:rPr>
                <w:rFonts w:ascii="Book Antiqua" w:hAnsi="Book Antiqua"/>
                <w:bCs/>
                <w:color w:val="000000"/>
                <w:sz w:val="24"/>
                <w:szCs w:val="24"/>
                <w:shd w:val="clear" w:color="auto" w:fill="FFFF00"/>
              </w:rPr>
            </w:pPr>
            <w:r w:rsidRPr="007F6D5B">
              <w:rPr>
                <w:rFonts w:ascii="Book Antiqua" w:hAnsi="Book Antiqua"/>
                <w:color w:val="000000"/>
                <w:sz w:val="24"/>
                <w:szCs w:val="24"/>
                <w:lang w:val="en-US"/>
              </w:rPr>
              <w:t xml:space="preserve">Tapper </w:t>
            </w:r>
            <w:r w:rsidR="00041B93" w:rsidRPr="001274EF">
              <w:rPr>
                <w:rFonts w:ascii="Book Antiqua" w:hAnsi="Book Antiqua"/>
                <w:bCs/>
                <w:i/>
                <w:color w:val="000000"/>
                <w:sz w:val="24"/>
                <w:szCs w:val="24"/>
              </w:rPr>
              <w:t>et al</w:t>
            </w:r>
            <w:r w:rsidR="00041B93" w:rsidRPr="001274EF">
              <w:rPr>
                <w:rFonts w:ascii="Book Antiqua" w:eastAsia="AdvPTimes" w:hAnsi="Book Antiqua"/>
                <w:bCs/>
                <w:color w:val="000000"/>
                <w:sz w:val="24"/>
                <w:szCs w:val="24"/>
                <w:vertAlign w:val="superscript"/>
                <w:lang w:val="en-GB"/>
              </w:rPr>
              <w:t>[</w:t>
            </w:r>
            <w:r w:rsidR="002B2227">
              <w:rPr>
                <w:rFonts w:ascii="Book Antiqua" w:eastAsia="AdvPTimes" w:hAnsi="Book Antiqua"/>
                <w:bCs/>
                <w:color w:val="000000"/>
                <w:sz w:val="24"/>
                <w:szCs w:val="24"/>
                <w:vertAlign w:val="superscript"/>
                <w:lang w:val="en-GB"/>
              </w:rPr>
              <w:t>58</w:t>
            </w:r>
            <w:r w:rsidR="00041B93" w:rsidRPr="001274EF">
              <w:rPr>
                <w:rFonts w:ascii="Book Antiqua" w:eastAsia="AdvPTimes" w:hAnsi="Book Antiqua"/>
                <w:bCs/>
                <w:color w:val="000000"/>
                <w:sz w:val="24"/>
                <w:szCs w:val="24"/>
                <w:vertAlign w:val="superscript"/>
                <w:lang w:val="en-GB"/>
              </w:rPr>
              <w:t>]</w:t>
            </w:r>
            <w:r w:rsidR="00041B93" w:rsidRPr="00041B93">
              <w:rPr>
                <w:rFonts w:ascii="Book Antiqua" w:eastAsia="AdvPTimes" w:hAnsi="Book Antiqua"/>
                <w:bCs/>
                <w:color w:val="000000"/>
                <w:sz w:val="24"/>
                <w:szCs w:val="24"/>
                <w:lang w:val="en-GB"/>
              </w:rPr>
              <w:t>,</w:t>
            </w:r>
            <w:r w:rsidR="00041B93">
              <w:rPr>
                <w:rFonts w:ascii="Book Antiqua" w:eastAsia="AdvPTimes" w:hAnsi="Book Antiqua"/>
                <w:bCs/>
                <w:color w:val="000000"/>
                <w:sz w:val="24"/>
                <w:szCs w:val="24"/>
                <w:vertAlign w:val="superscript"/>
                <w:lang w:val="en-GB"/>
              </w:rPr>
              <w:t xml:space="preserve"> </w:t>
            </w:r>
            <w:r w:rsidRPr="007F6D5B">
              <w:rPr>
                <w:rFonts w:ascii="Book Antiqua" w:hAnsi="Book Antiqua"/>
                <w:color w:val="000000"/>
                <w:sz w:val="24"/>
                <w:szCs w:val="24"/>
                <w:lang w:val="en-US"/>
              </w:rPr>
              <w:t>(2019)</w:t>
            </w:r>
          </w:p>
        </w:tc>
        <w:tc>
          <w:tcPr>
            <w:tcW w:w="1340" w:type="dxa"/>
            <w:tcBorders>
              <w:bottom w:val="single" w:sz="4" w:space="0" w:color="auto"/>
            </w:tcBorders>
            <w:shd w:val="clear" w:color="auto" w:fill="FFFFFF"/>
            <w:hideMark/>
          </w:tcPr>
          <w:p w14:paraId="5F4E803A" w14:textId="791D9F52" w:rsidR="00733C8D" w:rsidRPr="00F33209" w:rsidRDefault="007F6D5B" w:rsidP="002671D6">
            <w:pPr>
              <w:spacing w:after="0" w:line="360" w:lineRule="auto"/>
              <w:jc w:val="both"/>
              <w:rPr>
                <w:rFonts w:ascii="Book Antiqua" w:eastAsia="STIX-Regular" w:hAnsi="Book Antiqua"/>
                <w:color w:val="000000"/>
                <w:sz w:val="24"/>
                <w:szCs w:val="24"/>
                <w:shd w:val="clear" w:color="auto" w:fill="FFFF00"/>
                <w:lang w:val="en-US"/>
              </w:rPr>
            </w:pPr>
            <w:r w:rsidRPr="007F6D5B">
              <w:rPr>
                <w:rFonts w:ascii="Book Antiqua" w:hAnsi="Book Antiqua"/>
                <w:color w:val="000000"/>
                <w:sz w:val="24"/>
                <w:szCs w:val="24"/>
                <w:lang w:val="en-US"/>
              </w:rPr>
              <w:t>106 cirrhotic patients</w:t>
            </w:r>
          </w:p>
        </w:tc>
        <w:tc>
          <w:tcPr>
            <w:tcW w:w="2414" w:type="dxa"/>
            <w:tcBorders>
              <w:bottom w:val="single" w:sz="4" w:space="0" w:color="auto"/>
            </w:tcBorders>
            <w:shd w:val="clear" w:color="auto" w:fill="FFFFFF"/>
            <w:hideMark/>
          </w:tcPr>
          <w:p w14:paraId="619A182B" w14:textId="50288687" w:rsidR="00733C8D" w:rsidRPr="00F33209" w:rsidRDefault="007F6D5B" w:rsidP="002671D6">
            <w:pPr>
              <w:spacing w:after="0" w:line="360" w:lineRule="auto"/>
              <w:jc w:val="both"/>
              <w:rPr>
                <w:rFonts w:ascii="Book Antiqua" w:hAnsi="Book Antiqua"/>
                <w:color w:val="000000"/>
                <w:sz w:val="24"/>
                <w:szCs w:val="24"/>
                <w:shd w:val="clear" w:color="auto" w:fill="FFFF00"/>
                <w:lang w:val="en-US"/>
              </w:rPr>
            </w:pPr>
            <w:r w:rsidRPr="007F6D5B">
              <w:rPr>
                <w:rFonts w:ascii="Book Antiqua" w:hAnsi="Book Antiqua"/>
                <w:color w:val="000000"/>
                <w:sz w:val="24"/>
                <w:szCs w:val="24"/>
                <w:lang w:val="en-US"/>
              </w:rPr>
              <w:t>Anthropometric measurements (MAMA), hand grip strenght and CT scan to evaluate muscle assesment</w:t>
            </w:r>
          </w:p>
        </w:tc>
        <w:tc>
          <w:tcPr>
            <w:tcW w:w="3742" w:type="dxa"/>
            <w:tcBorders>
              <w:bottom w:val="single" w:sz="4" w:space="0" w:color="auto"/>
            </w:tcBorders>
            <w:shd w:val="clear" w:color="auto" w:fill="FFFFFF"/>
            <w:hideMark/>
          </w:tcPr>
          <w:p w14:paraId="6F9E276C" w14:textId="7B00AE25" w:rsidR="00733C8D" w:rsidRPr="00F33209" w:rsidRDefault="007F6D5B" w:rsidP="002671D6">
            <w:pPr>
              <w:spacing w:after="0" w:line="360" w:lineRule="auto"/>
              <w:jc w:val="both"/>
              <w:rPr>
                <w:rFonts w:ascii="Book Antiqua" w:eastAsia="STIX-Regular" w:hAnsi="Book Antiqua"/>
                <w:color w:val="000000"/>
                <w:sz w:val="24"/>
                <w:szCs w:val="24"/>
                <w:shd w:val="clear" w:color="auto" w:fill="FFFF00"/>
                <w:lang w:val="en-GB"/>
              </w:rPr>
            </w:pPr>
            <w:r>
              <w:rPr>
                <w:rFonts w:ascii="Book Antiqua" w:hAnsi="Book Antiqua" w:hint="cs"/>
                <w:color w:val="000000"/>
                <w:sz w:val="24"/>
                <w:szCs w:val="24"/>
                <w:lang w:val="en-US"/>
              </w:rPr>
              <w:t>I</w:t>
            </w:r>
            <w:r>
              <w:rPr>
                <w:rFonts w:ascii="Book Antiqua" w:hAnsi="Book Antiqua"/>
                <w:color w:val="000000"/>
                <w:sz w:val="24"/>
                <w:szCs w:val="24"/>
                <w:lang w:val="en-US"/>
              </w:rPr>
              <w:t>CT</w:t>
            </w:r>
          </w:p>
        </w:tc>
        <w:tc>
          <w:tcPr>
            <w:tcW w:w="5213" w:type="dxa"/>
            <w:tcBorders>
              <w:bottom w:val="single" w:sz="4" w:space="0" w:color="auto"/>
            </w:tcBorders>
            <w:hideMark/>
          </w:tcPr>
          <w:p w14:paraId="215B5977" w14:textId="7ABB5287" w:rsidR="00733C8D" w:rsidRPr="00F33209" w:rsidRDefault="001274EF" w:rsidP="002671D6">
            <w:pPr>
              <w:spacing w:after="0" w:line="360" w:lineRule="auto"/>
              <w:jc w:val="both"/>
              <w:rPr>
                <w:rFonts w:ascii="Book Antiqua" w:hAnsi="Book Antiqua"/>
                <w:color w:val="000000"/>
                <w:sz w:val="24"/>
                <w:szCs w:val="24"/>
                <w:lang w:val="en-US"/>
              </w:rPr>
            </w:pPr>
            <w:r w:rsidRPr="001274EF">
              <w:rPr>
                <w:rFonts w:ascii="Book Antiqua" w:hAnsi="Book Antiqua"/>
                <w:color w:val="000000"/>
                <w:sz w:val="24"/>
                <w:szCs w:val="24"/>
                <w:lang w:val="en-GB"/>
              </w:rPr>
              <w:t xml:space="preserve">Hand grip correlated </w:t>
            </w:r>
            <w:r w:rsidRPr="001274EF">
              <w:rPr>
                <w:rFonts w:ascii="Book Antiqua" w:hAnsi="Book Antiqua"/>
                <w:color w:val="000000"/>
                <w:sz w:val="24"/>
                <w:szCs w:val="24"/>
                <w:lang w:val="en-US"/>
              </w:rPr>
              <w:t xml:space="preserve">strongly with skeletal muscle area (correlation coefficient 0.64, </w:t>
            </w:r>
            <w:r w:rsidRPr="001274EF">
              <w:rPr>
                <w:rFonts w:ascii="Book Antiqua" w:hAnsi="Book Antiqua"/>
                <w:i/>
                <w:iCs/>
                <w:color w:val="000000"/>
                <w:sz w:val="24"/>
                <w:szCs w:val="24"/>
                <w:lang w:val="en-US"/>
              </w:rPr>
              <w:t xml:space="preserve">P </w:t>
            </w:r>
            <w:r w:rsidRPr="001274EF">
              <w:rPr>
                <w:rFonts w:ascii="Book Antiqua" w:hAnsi="Book Antiqua"/>
                <w:color w:val="000000"/>
                <w:sz w:val="24"/>
                <w:szCs w:val="24"/>
                <w:lang w:val="en-US"/>
              </w:rPr>
              <w:t xml:space="preserve">&lt; 0.001) and mildly with ICT performance (0.34, </w:t>
            </w:r>
            <w:r w:rsidRPr="001274EF">
              <w:rPr>
                <w:rFonts w:ascii="Book Antiqua" w:hAnsi="Book Antiqua"/>
                <w:i/>
                <w:iCs/>
                <w:color w:val="000000"/>
                <w:sz w:val="24"/>
                <w:szCs w:val="24"/>
                <w:lang w:val="en-US"/>
              </w:rPr>
              <w:t xml:space="preserve">P </w:t>
            </w:r>
            <w:r w:rsidRPr="001274EF">
              <w:rPr>
                <w:rFonts w:ascii="Book Antiqua" w:hAnsi="Book Antiqua"/>
                <w:color w:val="000000"/>
                <w:sz w:val="24"/>
                <w:szCs w:val="24"/>
                <w:lang w:val="en-US"/>
              </w:rPr>
              <w:t>= 0.002)</w:t>
            </w:r>
          </w:p>
        </w:tc>
      </w:tr>
    </w:tbl>
    <w:p w14:paraId="451BC536" w14:textId="2CE2BE72" w:rsidR="00382469" w:rsidRDefault="00382469" w:rsidP="002671D6">
      <w:pPr>
        <w:spacing w:after="0" w:line="360" w:lineRule="auto"/>
        <w:jc w:val="both"/>
        <w:rPr>
          <w:rFonts w:ascii="Book Antiqua" w:hAnsi="Book Antiqua"/>
          <w:color w:val="000000"/>
          <w:sz w:val="24"/>
          <w:szCs w:val="24"/>
          <w:lang w:val="en-US"/>
        </w:rPr>
      </w:pPr>
      <w:r w:rsidRPr="00F33209">
        <w:rPr>
          <w:rFonts w:ascii="Book Antiqua" w:hAnsi="Book Antiqua"/>
          <w:color w:val="000000"/>
          <w:sz w:val="24"/>
          <w:szCs w:val="24"/>
          <w:lang w:val="en-US" w:eastAsia="zh-CN"/>
        </w:rPr>
        <w:lastRenderedPageBreak/>
        <w:t xml:space="preserve">MHE: </w:t>
      </w:r>
      <w:r w:rsidR="00041B93" w:rsidRPr="00F33209">
        <w:rPr>
          <w:rFonts w:ascii="Book Antiqua" w:hAnsi="Book Antiqua"/>
          <w:color w:val="000000"/>
          <w:sz w:val="24"/>
          <w:szCs w:val="24"/>
          <w:lang w:val="en-US" w:eastAsia="zh-CN"/>
        </w:rPr>
        <w:t>M</w:t>
      </w:r>
      <w:r w:rsidRPr="00F33209">
        <w:rPr>
          <w:rFonts w:ascii="Book Antiqua" w:hAnsi="Book Antiqua"/>
          <w:color w:val="000000"/>
          <w:sz w:val="24"/>
          <w:szCs w:val="24"/>
          <w:lang w:val="en-US" w:eastAsia="zh-CN"/>
        </w:rPr>
        <w:t>inimal hepatic encephalopathy</w:t>
      </w:r>
      <w:r w:rsidR="00041B93">
        <w:rPr>
          <w:rFonts w:ascii="Book Antiqua" w:hAnsi="Book Antiqua"/>
          <w:color w:val="000000"/>
          <w:sz w:val="24"/>
          <w:szCs w:val="24"/>
          <w:lang w:val="en-US" w:eastAsia="zh-CN"/>
        </w:rPr>
        <w:t>;</w:t>
      </w:r>
      <w:r w:rsidRPr="00F33209">
        <w:rPr>
          <w:rFonts w:ascii="Book Antiqua" w:hAnsi="Book Antiqua"/>
          <w:color w:val="000000"/>
          <w:sz w:val="24"/>
          <w:szCs w:val="24"/>
          <w:lang w:val="en-US" w:eastAsia="zh-CN"/>
        </w:rPr>
        <w:t xml:space="preserve"> HE: </w:t>
      </w:r>
      <w:r w:rsidR="00041B93" w:rsidRPr="00F33209">
        <w:rPr>
          <w:rFonts w:ascii="Book Antiqua" w:hAnsi="Book Antiqua"/>
          <w:color w:val="000000"/>
          <w:sz w:val="24"/>
          <w:szCs w:val="24"/>
          <w:lang w:val="en-US" w:eastAsia="zh-CN"/>
        </w:rPr>
        <w:t>H</w:t>
      </w:r>
      <w:r w:rsidRPr="00F33209">
        <w:rPr>
          <w:rFonts w:ascii="Book Antiqua" w:hAnsi="Book Antiqua"/>
          <w:color w:val="000000"/>
          <w:sz w:val="24"/>
          <w:szCs w:val="24"/>
          <w:lang w:val="en-US" w:eastAsia="zh-CN"/>
        </w:rPr>
        <w:t>epatic encephalopathy</w:t>
      </w:r>
      <w:r w:rsidR="00041B93">
        <w:rPr>
          <w:rFonts w:ascii="Book Antiqua" w:hAnsi="Book Antiqua"/>
          <w:color w:val="000000"/>
          <w:sz w:val="24"/>
          <w:szCs w:val="24"/>
          <w:lang w:val="en-US" w:eastAsia="zh-CN"/>
        </w:rPr>
        <w:t>;</w:t>
      </w:r>
      <w:r w:rsidRPr="00F33209">
        <w:rPr>
          <w:rFonts w:ascii="Book Antiqua" w:hAnsi="Book Antiqua"/>
          <w:color w:val="000000"/>
          <w:sz w:val="24"/>
          <w:szCs w:val="24"/>
          <w:lang w:val="en-US" w:eastAsia="zh-CN"/>
        </w:rPr>
        <w:t xml:space="preserve"> </w:t>
      </w:r>
      <w:r w:rsidRPr="00F33209">
        <w:rPr>
          <w:rFonts w:ascii="Book Antiqua" w:hAnsi="Book Antiqua"/>
          <w:color w:val="000000"/>
          <w:sz w:val="24"/>
          <w:szCs w:val="24"/>
          <w:lang w:val="en-US"/>
        </w:rPr>
        <w:t xml:space="preserve">NCT-A: </w:t>
      </w:r>
      <w:r w:rsidR="00041B93" w:rsidRPr="00F33209">
        <w:rPr>
          <w:rFonts w:ascii="Book Antiqua" w:hAnsi="Book Antiqua"/>
          <w:color w:val="000000"/>
          <w:sz w:val="24"/>
          <w:szCs w:val="24"/>
          <w:lang w:val="en-US"/>
        </w:rPr>
        <w:t>N</w:t>
      </w:r>
      <w:r w:rsidRPr="00F33209">
        <w:rPr>
          <w:rFonts w:ascii="Book Antiqua" w:hAnsi="Book Antiqua"/>
          <w:color w:val="000000"/>
          <w:sz w:val="24"/>
          <w:szCs w:val="24"/>
          <w:lang w:val="en-US"/>
        </w:rPr>
        <w:t>umber connection test part A</w:t>
      </w:r>
      <w:r w:rsidR="00041B93">
        <w:rPr>
          <w:rFonts w:ascii="Book Antiqua" w:hAnsi="Book Antiqua"/>
          <w:color w:val="000000"/>
          <w:sz w:val="24"/>
          <w:szCs w:val="24"/>
          <w:lang w:val="en-US"/>
        </w:rPr>
        <w:t>;</w:t>
      </w:r>
      <w:r w:rsidRPr="00F33209">
        <w:rPr>
          <w:rFonts w:ascii="Book Antiqua" w:hAnsi="Book Antiqua"/>
          <w:color w:val="000000"/>
          <w:sz w:val="24"/>
          <w:szCs w:val="24"/>
          <w:lang w:val="en-US"/>
        </w:rPr>
        <w:t xml:space="preserve"> NCT-B: </w:t>
      </w:r>
      <w:r w:rsidR="00041B93" w:rsidRPr="00F33209">
        <w:rPr>
          <w:rFonts w:ascii="Book Antiqua" w:hAnsi="Book Antiqua"/>
          <w:color w:val="000000"/>
          <w:sz w:val="24"/>
          <w:szCs w:val="24"/>
          <w:lang w:val="en-US"/>
        </w:rPr>
        <w:t>N</w:t>
      </w:r>
      <w:r w:rsidRPr="00F33209">
        <w:rPr>
          <w:rFonts w:ascii="Book Antiqua" w:hAnsi="Book Antiqua"/>
          <w:color w:val="000000"/>
          <w:sz w:val="24"/>
          <w:szCs w:val="24"/>
          <w:lang w:val="en-US"/>
        </w:rPr>
        <w:t>umber connection test part B</w:t>
      </w:r>
      <w:r w:rsidR="00041B93">
        <w:rPr>
          <w:rFonts w:ascii="Book Antiqua" w:hAnsi="Book Antiqua"/>
          <w:color w:val="000000"/>
          <w:sz w:val="24"/>
          <w:szCs w:val="24"/>
          <w:lang w:val="en-US"/>
        </w:rPr>
        <w:t>;</w:t>
      </w:r>
      <w:r w:rsidRPr="00F33209">
        <w:rPr>
          <w:rFonts w:ascii="Book Antiqua" w:hAnsi="Book Antiqua"/>
          <w:color w:val="000000"/>
          <w:sz w:val="24"/>
          <w:szCs w:val="24"/>
          <w:lang w:val="en-US"/>
        </w:rPr>
        <w:t xml:space="preserve"> LTT: </w:t>
      </w:r>
      <w:r w:rsidR="00041B93" w:rsidRPr="00F33209">
        <w:rPr>
          <w:rFonts w:ascii="Book Antiqua" w:hAnsi="Book Antiqua"/>
          <w:color w:val="000000"/>
          <w:sz w:val="24"/>
          <w:szCs w:val="24"/>
          <w:lang w:val="en-US"/>
        </w:rPr>
        <w:t>L</w:t>
      </w:r>
      <w:r w:rsidRPr="00F33209">
        <w:rPr>
          <w:rFonts w:ascii="Book Antiqua" w:hAnsi="Book Antiqua"/>
          <w:color w:val="000000"/>
          <w:sz w:val="24"/>
          <w:szCs w:val="24"/>
          <w:lang w:val="en-US"/>
        </w:rPr>
        <w:t>ine tracing test</w:t>
      </w:r>
      <w:r w:rsidR="00041B93">
        <w:rPr>
          <w:rFonts w:ascii="Book Antiqua" w:hAnsi="Book Antiqua"/>
          <w:color w:val="000000"/>
          <w:sz w:val="24"/>
          <w:szCs w:val="24"/>
          <w:lang w:val="en-US"/>
        </w:rPr>
        <w:t>;</w:t>
      </w:r>
      <w:r w:rsidRPr="00F33209">
        <w:rPr>
          <w:rFonts w:ascii="Book Antiqua" w:hAnsi="Book Antiqua"/>
          <w:color w:val="000000"/>
          <w:sz w:val="24"/>
          <w:szCs w:val="24"/>
          <w:lang w:val="en-US"/>
        </w:rPr>
        <w:t xml:space="preserve"> SDT: </w:t>
      </w:r>
      <w:r w:rsidR="00041B93" w:rsidRPr="00F33209">
        <w:rPr>
          <w:rFonts w:ascii="Book Antiqua" w:hAnsi="Book Antiqua"/>
          <w:color w:val="000000"/>
          <w:sz w:val="24"/>
          <w:szCs w:val="24"/>
          <w:lang w:val="en-US"/>
        </w:rPr>
        <w:t>S</w:t>
      </w:r>
      <w:r w:rsidRPr="00F33209">
        <w:rPr>
          <w:rFonts w:ascii="Book Antiqua" w:hAnsi="Book Antiqua"/>
          <w:color w:val="000000"/>
          <w:sz w:val="24"/>
          <w:szCs w:val="24"/>
          <w:lang w:val="en-US"/>
        </w:rPr>
        <w:t>ymbol digit test</w:t>
      </w:r>
      <w:r w:rsidR="00041B93">
        <w:rPr>
          <w:rFonts w:ascii="Book Antiqua" w:hAnsi="Book Antiqua"/>
          <w:color w:val="000000"/>
          <w:sz w:val="24"/>
          <w:szCs w:val="24"/>
          <w:lang w:val="en-US"/>
        </w:rPr>
        <w:t>;</w:t>
      </w:r>
      <w:r w:rsidRPr="00F33209">
        <w:rPr>
          <w:rFonts w:ascii="Book Antiqua" w:hAnsi="Book Antiqua"/>
          <w:color w:val="000000"/>
          <w:sz w:val="24"/>
          <w:szCs w:val="24"/>
          <w:lang w:val="en-US"/>
        </w:rPr>
        <w:t xml:space="preserve"> ICT: </w:t>
      </w:r>
      <w:r w:rsidR="00041B93" w:rsidRPr="00F33209">
        <w:rPr>
          <w:rFonts w:ascii="Book Antiqua" w:hAnsi="Book Antiqua"/>
          <w:color w:val="000000"/>
          <w:sz w:val="24"/>
          <w:szCs w:val="24"/>
          <w:lang w:val="en-US"/>
        </w:rPr>
        <w:t>I</w:t>
      </w:r>
      <w:r w:rsidRPr="00F33209">
        <w:rPr>
          <w:rFonts w:ascii="Book Antiqua" w:hAnsi="Book Antiqua"/>
          <w:color w:val="000000"/>
          <w:sz w:val="24"/>
          <w:szCs w:val="24"/>
          <w:lang w:val="en-US"/>
        </w:rPr>
        <w:t>nhibitory control test</w:t>
      </w:r>
      <w:r w:rsidR="00041B93">
        <w:rPr>
          <w:rFonts w:ascii="Book Antiqua" w:hAnsi="Book Antiqua"/>
          <w:color w:val="000000"/>
          <w:sz w:val="24"/>
          <w:szCs w:val="24"/>
          <w:lang w:val="en-US"/>
        </w:rPr>
        <w:t xml:space="preserve">; TIPS: </w:t>
      </w:r>
      <w:r w:rsidR="00041B93" w:rsidRPr="00F30713">
        <w:rPr>
          <w:rFonts w:ascii="Book Antiqua" w:hAnsi="Book Antiqua"/>
          <w:color w:val="000000"/>
          <w:sz w:val="24"/>
          <w:szCs w:val="24"/>
        </w:rPr>
        <w:t>Transjugular intrahepatic portosystemic shunt</w:t>
      </w:r>
      <w:r w:rsidR="00041B93">
        <w:rPr>
          <w:rFonts w:ascii="Book Antiqua" w:hAnsi="Book Antiqua"/>
          <w:color w:val="000000"/>
          <w:sz w:val="24"/>
          <w:szCs w:val="24"/>
        </w:rPr>
        <w:t xml:space="preserve">; PHES: </w:t>
      </w:r>
      <w:r w:rsidR="00041B93" w:rsidRPr="00F33209">
        <w:rPr>
          <w:rFonts w:ascii="Book Antiqua" w:hAnsi="Book Antiqua"/>
          <w:color w:val="000000"/>
          <w:sz w:val="24"/>
          <w:szCs w:val="24"/>
          <w:lang w:val="en-US"/>
        </w:rPr>
        <w:t>Phychometric Hepatic Encephalopathy Score</w:t>
      </w:r>
      <w:r w:rsidR="00041B93">
        <w:rPr>
          <w:rFonts w:ascii="Book Antiqua" w:hAnsi="Book Antiqua"/>
          <w:color w:val="000000"/>
          <w:sz w:val="24"/>
          <w:szCs w:val="24"/>
          <w:lang w:val="en-US"/>
        </w:rPr>
        <w:t xml:space="preserve">; CT: </w:t>
      </w:r>
      <w:bookmarkStart w:id="142" w:name="_Hlk7423448"/>
      <w:bookmarkStart w:id="143" w:name="OLE_LINK865"/>
      <w:r w:rsidR="00041B93" w:rsidRPr="004267F2">
        <w:rPr>
          <w:rFonts w:ascii="Book Antiqua" w:hAnsi="Book Antiqua"/>
          <w:sz w:val="24"/>
          <w:szCs w:val="24"/>
        </w:rPr>
        <w:t>Computed tomography</w:t>
      </w:r>
      <w:bookmarkEnd w:id="142"/>
      <w:bookmarkEnd w:id="143"/>
      <w:r w:rsidR="00041B93">
        <w:rPr>
          <w:rFonts w:ascii="Book Antiqua" w:hAnsi="Book Antiqua"/>
          <w:sz w:val="24"/>
          <w:szCs w:val="24"/>
        </w:rPr>
        <w:t xml:space="preserve">; NS: </w:t>
      </w:r>
      <w:r w:rsidR="00041B93" w:rsidRPr="00041B93">
        <w:rPr>
          <w:rFonts w:ascii="Book Antiqua" w:hAnsi="Book Antiqua"/>
          <w:sz w:val="24"/>
          <w:szCs w:val="24"/>
          <w:lang w:val="en-US"/>
        </w:rPr>
        <w:t>Not significant</w:t>
      </w:r>
      <w:r w:rsidR="00041B93">
        <w:rPr>
          <w:rFonts w:ascii="Book Antiqua" w:hAnsi="Book Antiqua"/>
          <w:sz w:val="24"/>
          <w:szCs w:val="24"/>
          <w:lang w:val="en-US"/>
        </w:rPr>
        <w:t>; BMI: Body mass index.</w:t>
      </w:r>
    </w:p>
    <w:p w14:paraId="6CC78A85" w14:textId="77777777" w:rsidR="00041B93" w:rsidRDefault="00041B93" w:rsidP="002671D6">
      <w:pPr>
        <w:pStyle w:val="Reference"/>
        <w:numPr>
          <w:ilvl w:val="0"/>
          <w:numId w:val="0"/>
        </w:numPr>
        <w:spacing w:line="360" w:lineRule="auto"/>
        <w:rPr>
          <w:rFonts w:ascii="Book Antiqua" w:hAnsi="Book Antiqua"/>
          <w:color w:val="000000"/>
          <w:lang w:eastAsia="zh-CN"/>
        </w:rPr>
        <w:sectPr w:rsidR="00041B93" w:rsidSect="00041B93">
          <w:headerReference w:type="even" r:id="rId19"/>
          <w:headerReference w:type="default" r:id="rId20"/>
          <w:footerReference w:type="even" r:id="rId21"/>
          <w:footerReference w:type="default" r:id="rId22"/>
          <w:headerReference w:type="first" r:id="rId23"/>
          <w:footerReference w:type="first" r:id="rId24"/>
          <w:pgSz w:w="16838" w:h="11906" w:orient="landscape"/>
          <w:pgMar w:top="1134" w:right="1417" w:bottom="1134" w:left="1134" w:header="720" w:footer="720" w:gutter="0"/>
          <w:cols w:space="720"/>
          <w:docGrid w:linePitch="600" w:charSpace="40960"/>
        </w:sectPr>
      </w:pPr>
    </w:p>
    <w:p w14:paraId="7762651B" w14:textId="36A89828" w:rsidR="00041B93" w:rsidRDefault="00A30B61" w:rsidP="00041B93">
      <w:pPr>
        <w:pStyle w:val="Reference"/>
        <w:numPr>
          <w:ilvl w:val="0"/>
          <w:numId w:val="0"/>
        </w:numPr>
        <w:spacing w:line="360" w:lineRule="auto"/>
        <w:rPr>
          <w:rFonts w:ascii="Book Antiqua" w:hAnsi="Book Antiqua"/>
          <w:color w:val="000000"/>
          <w:lang w:eastAsia="zh-CN"/>
        </w:rPr>
      </w:pPr>
      <w:r>
        <w:rPr>
          <w:rFonts w:ascii="Book Antiqua" w:hAnsi="Book Antiqua"/>
          <w:noProof/>
          <w:color w:val="000000"/>
          <w:lang w:val="en-US" w:eastAsia="zh-CN"/>
        </w:rPr>
        <w:lastRenderedPageBreak/>
        <w:drawing>
          <wp:inline distT="0" distB="0" distL="0" distR="0" wp14:anchorId="2ACEF9FF" wp14:editId="24499A13">
            <wp:extent cx="611505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5050" cy="2343150"/>
                    </a:xfrm>
                    <a:prstGeom prst="rect">
                      <a:avLst/>
                    </a:prstGeom>
                    <a:noFill/>
                    <a:ln>
                      <a:noFill/>
                    </a:ln>
                  </pic:spPr>
                </pic:pic>
              </a:graphicData>
            </a:graphic>
          </wp:inline>
        </w:drawing>
      </w:r>
    </w:p>
    <w:p w14:paraId="6C0CC962" w14:textId="0ED408CD" w:rsidR="00041B93" w:rsidRPr="00041B93" w:rsidRDefault="00041B93" w:rsidP="00041B93">
      <w:pPr>
        <w:pStyle w:val="Reference"/>
        <w:numPr>
          <w:ilvl w:val="0"/>
          <w:numId w:val="0"/>
        </w:numPr>
        <w:spacing w:line="360" w:lineRule="auto"/>
        <w:rPr>
          <w:rFonts w:ascii="Book Antiqua" w:hAnsi="Book Antiqua"/>
          <w:color w:val="000000"/>
          <w:lang w:val="en-US" w:eastAsia="zh-CN"/>
        </w:rPr>
      </w:pPr>
      <w:r w:rsidRPr="00EE24D7">
        <w:rPr>
          <w:rFonts w:ascii="Book Antiqua" w:hAnsi="Book Antiqua"/>
          <w:b/>
          <w:bCs/>
          <w:color w:val="000000"/>
          <w:lang w:eastAsia="zh-CN"/>
        </w:rPr>
        <w:t>Figure 1</w:t>
      </w:r>
      <w:r w:rsidRPr="00EE24D7">
        <w:rPr>
          <w:rFonts w:ascii="Book Antiqua" w:hAnsi="Book Antiqua"/>
          <w:b/>
          <w:bCs/>
          <w:color w:val="000000"/>
          <w:lang w:val="it-IT" w:eastAsia="zh-CN"/>
        </w:rPr>
        <w:t xml:space="preserve"> </w:t>
      </w:r>
      <w:r w:rsidRPr="00EE24D7">
        <w:rPr>
          <w:rFonts w:ascii="Book Antiqua" w:hAnsi="Book Antiqua"/>
          <w:b/>
          <w:bCs/>
          <w:color w:val="000000"/>
          <w:lang w:val="en-US" w:eastAsia="zh-CN"/>
        </w:rPr>
        <w:t>Computed tomography images used for the muscularity assessment of patients with cirrhosis.</w:t>
      </w:r>
      <w:r w:rsidRPr="00041B93">
        <w:rPr>
          <w:rFonts w:ascii="Book Antiqua" w:hAnsi="Book Antiqua"/>
          <w:color w:val="000000"/>
          <w:lang w:val="en-US" w:eastAsia="zh-CN"/>
        </w:rPr>
        <w:t xml:space="preserve"> Comparison of two cirrhotic patients with (A) and without (B) sarcopenia. M</w:t>
      </w:r>
      <w:r w:rsidRPr="00041B93">
        <w:rPr>
          <w:rFonts w:ascii="Book Antiqua" w:hAnsi="Book Antiqua"/>
          <w:color w:val="000000"/>
          <w:lang w:val="it-IT" w:eastAsia="zh-CN"/>
        </w:rPr>
        <w:t>uscle mass is highlighted in red, intra and intermuscular fat in light blue, subcutaneous fat in green and visceral fat in blue.</w:t>
      </w:r>
    </w:p>
    <w:p w14:paraId="7C364F7C" w14:textId="14CDA556" w:rsidR="00414F00" w:rsidRDefault="00414F00" w:rsidP="00041B93">
      <w:pPr>
        <w:pStyle w:val="Reference"/>
        <w:numPr>
          <w:ilvl w:val="0"/>
          <w:numId w:val="0"/>
        </w:numPr>
        <w:spacing w:line="360" w:lineRule="auto"/>
        <w:rPr>
          <w:rFonts w:ascii="Book Antiqua" w:hAnsi="Book Antiqua"/>
          <w:color w:val="000000"/>
          <w:lang w:val="en-US" w:eastAsia="zh-CN"/>
        </w:rPr>
      </w:pPr>
    </w:p>
    <w:p w14:paraId="21FA4AC0" w14:textId="7D6436F5" w:rsidR="00041B93" w:rsidRDefault="00041B93" w:rsidP="00041B93">
      <w:pPr>
        <w:pStyle w:val="Reference"/>
        <w:numPr>
          <w:ilvl w:val="0"/>
          <w:numId w:val="0"/>
        </w:numPr>
        <w:spacing w:line="360" w:lineRule="auto"/>
        <w:rPr>
          <w:rFonts w:ascii="Book Antiqua" w:hAnsi="Book Antiqua"/>
          <w:color w:val="000000"/>
          <w:lang w:val="en-US" w:eastAsia="zh-CN"/>
        </w:rPr>
      </w:pPr>
      <w:r>
        <w:rPr>
          <w:rFonts w:ascii="Book Antiqua" w:hAnsi="Book Antiqua"/>
          <w:color w:val="000000"/>
          <w:lang w:val="en-US" w:eastAsia="zh-CN"/>
        </w:rPr>
        <w:br w:type="page"/>
      </w:r>
    </w:p>
    <w:p w14:paraId="633642FE" w14:textId="1223C243" w:rsidR="00E423FE" w:rsidRDefault="00A30B61" w:rsidP="00041B93">
      <w:pPr>
        <w:pStyle w:val="Reference"/>
        <w:numPr>
          <w:ilvl w:val="0"/>
          <w:numId w:val="0"/>
        </w:numPr>
        <w:spacing w:line="360" w:lineRule="auto"/>
        <w:rPr>
          <w:rFonts w:ascii="Book Antiqua" w:hAnsi="Book Antiqua"/>
          <w:color w:val="000000"/>
          <w:lang w:val="en-US" w:eastAsia="zh-CN"/>
        </w:rPr>
      </w:pPr>
      <w:r>
        <w:rPr>
          <w:rFonts w:ascii="Book Antiqua" w:hAnsi="Book Antiqua"/>
          <w:noProof/>
          <w:color w:val="000000"/>
          <w:lang w:val="en-US" w:eastAsia="zh-CN"/>
        </w:rPr>
        <w:lastRenderedPageBreak/>
        <w:drawing>
          <wp:inline distT="0" distB="0" distL="0" distR="0" wp14:anchorId="6C5915C5" wp14:editId="3359ABE2">
            <wp:extent cx="6115050" cy="4905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050" cy="4905375"/>
                    </a:xfrm>
                    <a:prstGeom prst="rect">
                      <a:avLst/>
                    </a:prstGeom>
                    <a:noFill/>
                    <a:ln>
                      <a:noFill/>
                    </a:ln>
                  </pic:spPr>
                </pic:pic>
              </a:graphicData>
            </a:graphic>
          </wp:inline>
        </w:drawing>
      </w:r>
    </w:p>
    <w:p w14:paraId="4ED4FFA3" w14:textId="6866A9EB" w:rsidR="00041B93" w:rsidRPr="00041B93" w:rsidRDefault="00041B93" w:rsidP="00041B93">
      <w:pPr>
        <w:pStyle w:val="Reference"/>
        <w:numPr>
          <w:ilvl w:val="0"/>
          <w:numId w:val="0"/>
        </w:numPr>
        <w:spacing w:line="360" w:lineRule="auto"/>
        <w:rPr>
          <w:rFonts w:ascii="Book Antiqua" w:hAnsi="Book Antiqua"/>
          <w:color w:val="000000"/>
          <w:lang w:val="en-US" w:eastAsia="zh-CN"/>
        </w:rPr>
      </w:pPr>
      <w:r w:rsidRPr="00EE24D7">
        <w:rPr>
          <w:rFonts w:ascii="Book Antiqua" w:hAnsi="Book Antiqua"/>
          <w:b/>
          <w:bCs/>
          <w:color w:val="000000"/>
          <w:lang w:eastAsia="zh-CN"/>
        </w:rPr>
        <w:t>Figure 2</w:t>
      </w:r>
      <w:r w:rsidRPr="00041B93">
        <w:rPr>
          <w:rFonts w:ascii="Book Antiqua" w:hAnsi="Book Antiqua"/>
          <w:color w:val="000000"/>
          <w:lang w:val="it-IT" w:eastAsia="zh-CN"/>
        </w:rPr>
        <w:t xml:space="preserve"> </w:t>
      </w:r>
      <w:r w:rsidRPr="00041B93">
        <w:rPr>
          <w:rFonts w:ascii="Book Antiqua" w:hAnsi="Book Antiqua"/>
          <w:b/>
          <w:bCs/>
          <w:color w:val="000000"/>
          <w:lang w:eastAsia="zh-CN"/>
        </w:rPr>
        <w:t>Inter-organ ammonia metabolism showing sites of ammonia generation and disposal.</w:t>
      </w:r>
      <w:r w:rsidR="00EE24D7">
        <w:rPr>
          <w:rFonts w:ascii="Book Antiqua" w:hAnsi="Book Antiqua"/>
          <w:b/>
          <w:bCs/>
          <w:color w:val="000000"/>
          <w:lang w:eastAsia="zh-CN"/>
        </w:rPr>
        <w:t xml:space="preserve"> </w:t>
      </w:r>
      <w:r w:rsidRPr="00041B93">
        <w:rPr>
          <w:rFonts w:ascii="Book Antiqua" w:hAnsi="Book Antiqua"/>
          <w:color w:val="000000"/>
          <w:lang w:eastAsia="zh-CN"/>
        </w:rPr>
        <w:t>Red arrows indicate the ammonia removed by the urea-cycle and disposed in urine. Green pointed arrows indicate ammonia disposed as glutamine in muscle, which is then broken down in the small intestine to ammonia. This pattern of ammonia disposal does not lead to a net ammonia removal. Ammonia may be also produced by glutamine breakdown in the kidney and by urea and other nitrogen compounds breakdown in the large intestine (blue</w:t>
      </w:r>
      <w:r w:rsidR="00EE24D7">
        <w:rPr>
          <w:rFonts w:ascii="Book Antiqua" w:hAnsi="Book Antiqua"/>
          <w:color w:val="000000"/>
          <w:lang w:eastAsia="zh-CN"/>
        </w:rPr>
        <w:t xml:space="preserve"> </w:t>
      </w:r>
      <w:r w:rsidRPr="00041B93">
        <w:rPr>
          <w:rFonts w:ascii="Book Antiqua" w:hAnsi="Book Antiqua"/>
          <w:color w:val="000000"/>
          <w:lang w:eastAsia="zh-CN"/>
        </w:rPr>
        <w:t>dashed</w:t>
      </w:r>
      <w:r w:rsidR="00EE24D7">
        <w:rPr>
          <w:rFonts w:ascii="Book Antiqua" w:hAnsi="Book Antiqua"/>
          <w:color w:val="000000"/>
          <w:lang w:eastAsia="zh-CN"/>
        </w:rPr>
        <w:t xml:space="preserve"> </w:t>
      </w:r>
      <w:r w:rsidRPr="00041B93">
        <w:rPr>
          <w:rFonts w:ascii="Book Antiqua" w:hAnsi="Book Antiqua"/>
          <w:color w:val="000000"/>
          <w:lang w:eastAsia="zh-CN"/>
        </w:rPr>
        <w:t>arrows).</w:t>
      </w:r>
    </w:p>
    <w:sectPr w:rsidR="00041B93" w:rsidRPr="00041B93" w:rsidSect="00041B93">
      <w:headerReference w:type="even" r:id="rId27"/>
      <w:pgSz w:w="11906" w:h="16838"/>
      <w:pgMar w:top="1417"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856F" w14:textId="77777777" w:rsidR="008971F2" w:rsidRDefault="008971F2">
      <w:pPr>
        <w:spacing w:after="0" w:line="240" w:lineRule="auto"/>
      </w:pPr>
      <w:r>
        <w:separator/>
      </w:r>
    </w:p>
  </w:endnote>
  <w:endnote w:type="continuationSeparator" w:id="0">
    <w:p w14:paraId="4C141146" w14:textId="77777777" w:rsidR="008971F2" w:rsidRDefault="00897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Times">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altName w:val="Arial Unicode MS"/>
    <w:charset w:val="80"/>
    <w:family w:val="auto"/>
    <w:pitch w:val="default"/>
  </w:font>
  <w:font w:name="微软雅黑">
    <w:panose1 w:val="020B0503020204020204"/>
    <w:charset w:val="86"/>
    <w:family w:val="swiss"/>
    <w:pitch w:val="variable"/>
    <w:sig w:usb0="80000287" w:usb1="2ACF3C50" w:usb2="00000016" w:usb3="00000000" w:csb0="0004001F" w:csb1="00000000"/>
  </w:font>
  <w:font w:name="FreeSans">
    <w:charset w:val="80"/>
    <w:family w:val="swiss"/>
    <w:pitch w:val="default"/>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variable"/>
    <w:sig w:usb0="00000287" w:usb1="00000000" w:usb2="00000000" w:usb3="00000000" w:csb0="0000009F" w:csb1="00000000"/>
  </w:font>
  <w:font w:name="AdvTimes">
    <w:altName w:val="Microsoft JhengHei"/>
    <w:panose1 w:val="00000000000000000000"/>
    <w:charset w:val="88"/>
    <w:family w:val="auto"/>
    <w:notTrueType/>
    <w:pitch w:val="default"/>
    <w:sig w:usb0="00000001" w:usb1="08080000" w:usb2="00000010" w:usb3="00000000" w:csb0="00100000" w:csb1="00000000"/>
  </w:font>
  <w:font w:name="Batang">
    <w:altName w:val="Malgun Gothic Semilight"/>
    <w:panose1 w:val="02030600000101010101"/>
    <w:charset w:val="81"/>
    <w:family w:val="roman"/>
    <w:pitch w:val="variable"/>
    <w:sig w:usb0="00000000" w:usb1="69D77CFB" w:usb2="00000030" w:usb3="00000000" w:csb0="0008009F" w:csb1="00000000"/>
  </w:font>
  <w:font w:name="STIX-Regular">
    <w:altName w:val="Cambria"/>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3FC1" w14:textId="77777777" w:rsidR="001274EF" w:rsidRDefault="001274E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67E" w14:textId="77777777" w:rsidR="001274EF" w:rsidRDefault="001274E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3D9" w14:textId="77777777" w:rsidR="001274EF" w:rsidRDefault="001274E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AA203" w14:textId="77777777" w:rsidR="001274EF" w:rsidRDefault="001274EF">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5999" w14:textId="77777777" w:rsidR="001274EF" w:rsidRDefault="001274EF">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DCAE" w14:textId="77777777" w:rsidR="001274EF" w:rsidRDefault="001274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E488" w14:textId="77777777" w:rsidR="008971F2" w:rsidRDefault="008971F2">
      <w:pPr>
        <w:spacing w:after="0" w:line="240" w:lineRule="auto"/>
      </w:pPr>
      <w:r>
        <w:separator/>
      </w:r>
    </w:p>
  </w:footnote>
  <w:footnote w:type="continuationSeparator" w:id="0">
    <w:p w14:paraId="16FADACF" w14:textId="77777777" w:rsidR="008971F2" w:rsidRDefault="00897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8FF0" w14:textId="77777777" w:rsidR="001274EF" w:rsidRDefault="001274E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AFE0" w14:textId="77777777" w:rsidR="001274EF" w:rsidRDefault="001274EF">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F088" w14:textId="77777777" w:rsidR="001274EF" w:rsidRDefault="001274E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F392" w14:textId="77777777" w:rsidR="001274EF" w:rsidRDefault="001274EF">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2AB1" w14:textId="77777777" w:rsidR="001274EF" w:rsidRDefault="001274EF">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F3D5" w14:textId="77777777" w:rsidR="001274EF" w:rsidRDefault="001274E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B5BB" w14:textId="77777777" w:rsidR="00041B93" w:rsidRDefault="00041B9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0"/>
        </w:tabs>
        <w:ind w:left="567" w:hanging="567"/>
      </w:pPr>
      <w:rPr>
        <w:bCs/>
        <w:sz w:val="24"/>
        <w:szCs w:val="24"/>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Reference"/>
      <w:lvlText w:val="%1."/>
      <w:lvlJc w:val="left"/>
      <w:pPr>
        <w:tabs>
          <w:tab w:val="num" w:pos="0"/>
        </w:tabs>
        <w:ind w:left="567" w:hanging="567"/>
      </w:pPr>
      <w:rPr>
        <w:bCs/>
        <w:sz w:val="24"/>
        <w:szCs w:val="24"/>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64"/>
    <w:rsid w:val="00011CD8"/>
    <w:rsid w:val="00041B93"/>
    <w:rsid w:val="00080789"/>
    <w:rsid w:val="000E262B"/>
    <w:rsid w:val="00102923"/>
    <w:rsid w:val="001274EF"/>
    <w:rsid w:val="0017741E"/>
    <w:rsid w:val="00191331"/>
    <w:rsid w:val="001D5CAA"/>
    <w:rsid w:val="001D6D62"/>
    <w:rsid w:val="00202FEE"/>
    <w:rsid w:val="00230C1D"/>
    <w:rsid w:val="002671D6"/>
    <w:rsid w:val="002815B4"/>
    <w:rsid w:val="002B2227"/>
    <w:rsid w:val="002B6B87"/>
    <w:rsid w:val="002C0942"/>
    <w:rsid w:val="002F07BB"/>
    <w:rsid w:val="00324DE3"/>
    <w:rsid w:val="00332D4D"/>
    <w:rsid w:val="003729DE"/>
    <w:rsid w:val="00382469"/>
    <w:rsid w:val="00414F00"/>
    <w:rsid w:val="00416E14"/>
    <w:rsid w:val="004472FB"/>
    <w:rsid w:val="00447BF7"/>
    <w:rsid w:val="00455F35"/>
    <w:rsid w:val="00490455"/>
    <w:rsid w:val="004B66C0"/>
    <w:rsid w:val="004D2879"/>
    <w:rsid w:val="00545D1D"/>
    <w:rsid w:val="00567E26"/>
    <w:rsid w:val="005A6226"/>
    <w:rsid w:val="005D688D"/>
    <w:rsid w:val="00656E2F"/>
    <w:rsid w:val="00697976"/>
    <w:rsid w:val="00733C8D"/>
    <w:rsid w:val="00736AFC"/>
    <w:rsid w:val="00753DFA"/>
    <w:rsid w:val="00782DE7"/>
    <w:rsid w:val="00792159"/>
    <w:rsid w:val="007B3925"/>
    <w:rsid w:val="007F6D5B"/>
    <w:rsid w:val="008109A6"/>
    <w:rsid w:val="0084570B"/>
    <w:rsid w:val="00856669"/>
    <w:rsid w:val="00872E19"/>
    <w:rsid w:val="00891DA7"/>
    <w:rsid w:val="008971F2"/>
    <w:rsid w:val="008A1A64"/>
    <w:rsid w:val="009B6645"/>
    <w:rsid w:val="009D27F4"/>
    <w:rsid w:val="009D2890"/>
    <w:rsid w:val="009E4000"/>
    <w:rsid w:val="00A30B61"/>
    <w:rsid w:val="00A55A51"/>
    <w:rsid w:val="00AB5A58"/>
    <w:rsid w:val="00B1643C"/>
    <w:rsid w:val="00B71309"/>
    <w:rsid w:val="00BB3A14"/>
    <w:rsid w:val="00C569D4"/>
    <w:rsid w:val="00C651D6"/>
    <w:rsid w:val="00C710F2"/>
    <w:rsid w:val="00CA5719"/>
    <w:rsid w:val="00CA69E0"/>
    <w:rsid w:val="00CB3E57"/>
    <w:rsid w:val="00DA1AD7"/>
    <w:rsid w:val="00DA732A"/>
    <w:rsid w:val="00DB5CF7"/>
    <w:rsid w:val="00E0141A"/>
    <w:rsid w:val="00E423FE"/>
    <w:rsid w:val="00E60D63"/>
    <w:rsid w:val="00E67F5F"/>
    <w:rsid w:val="00E8319F"/>
    <w:rsid w:val="00E86710"/>
    <w:rsid w:val="00ED2BBB"/>
    <w:rsid w:val="00EE24D7"/>
    <w:rsid w:val="00F30713"/>
    <w:rsid w:val="00F33209"/>
    <w:rsid w:val="00F4006C"/>
    <w:rsid w:val="00FA3013"/>
    <w:rsid w:val="00FE655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4C8469"/>
  <w15:chartTrackingRefBased/>
  <w15:docId w15:val="{651E90EF-2567-4974-A37E-0106439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lang w:val="it-IT" w:eastAsia="ar-SA"/>
    </w:rPr>
  </w:style>
  <w:style w:type="paragraph" w:styleId="1">
    <w:name w:val="heading 1"/>
    <w:basedOn w:val="Intestazione10"/>
    <w:next w:val="a0"/>
    <w:qFormat/>
    <w:pPr>
      <w:widowControl w:val="0"/>
      <w:numPr>
        <w:numId w:val="1"/>
      </w:numPr>
      <w:outlineLvl w:val="0"/>
    </w:pPr>
    <w:rPr>
      <w:rFonts w:eastAsia="宋体"/>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bCs/>
      <w:sz w:val="24"/>
      <w:szCs w:val="24"/>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默认段落字体1"/>
  </w:style>
  <w:style w:type="character" w:customStyle="1" w:styleId="WW8Num2z0">
    <w:name w:val="WW8Num2z0"/>
    <w:rPr>
      <w:sz w:val="24"/>
      <w:szCs w:val="24"/>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AdvPTimes" w:cs="Calibri"/>
      <w:color w:val="131413"/>
      <w:sz w:val="24"/>
      <w:szCs w:val="24"/>
      <w:lang w:val="en-US"/>
    </w:rPr>
  </w:style>
  <w:style w:type="character" w:customStyle="1" w:styleId="WW8Num4z0">
    <w:name w:val="WW8Num4z0"/>
    <w:rPr>
      <w:rFonts w:eastAsia="AdvPTimes" w:cs="Calibri"/>
      <w:sz w:val="24"/>
      <w:szCs w:val="24"/>
      <w:lang w:val="en-GB"/>
    </w:rPr>
  </w:style>
  <w:style w:type="character" w:customStyle="1" w:styleId="Carpredefinitoparagrafo6">
    <w:name w:val="Car. predefinito paragrafo6"/>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dvPTimes" w:cs="Calibri"/>
      <w:bCs/>
      <w:sz w:val="24"/>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5">
    <w:name w:val="Car. predefinito paragrafo5"/>
  </w:style>
  <w:style w:type="character" w:customStyle="1" w:styleId="Carpredefinitoparagrafo1">
    <w:name w:val="Car. predefinito paragrafo1"/>
  </w:style>
  <w:style w:type="character" w:customStyle="1" w:styleId="Carpredefinitoparagrafo3">
    <w:name w:val="Car. predefinito paragrafo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2">
    <w:name w:val="Car. predefinito paragrafo2"/>
  </w:style>
  <w:style w:type="character" w:customStyle="1" w:styleId="WW8Num6z0">
    <w:name w:val="WW8Num6z0"/>
    <w:rPr>
      <w:rFonts w:eastAsia="AdvPTimes" w:cs="Calibri"/>
      <w:color w:val="131413"/>
      <w:sz w:val="24"/>
      <w:szCs w:val="24"/>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4">
    <w:name w:val="Car. predefinito paragrafo4"/>
  </w:style>
  <w:style w:type="character" w:customStyle="1" w:styleId="CorpodeltestoCarattere">
    <w:name w:val="Corpo del testo Carattere"/>
  </w:style>
  <w:style w:type="character" w:customStyle="1" w:styleId="Titolo3Carattere">
    <w:name w:val="Titolo 3 Carattere"/>
  </w:style>
  <w:style w:type="character" w:customStyle="1" w:styleId="Corpodeltesto2Carattere">
    <w:name w:val="Corpo del testo 2 Carattere"/>
    <w:basedOn w:val="Carpredefinitoparagrafo4"/>
  </w:style>
  <w:style w:type="character" w:styleId="a4">
    <w:name w:val="Strong"/>
    <w:qFormat/>
    <w:rPr>
      <w:b/>
      <w:bCs/>
    </w:rPr>
  </w:style>
  <w:style w:type="character" w:customStyle="1" w:styleId="InternetLink">
    <w:name w:val="Internet Link"/>
  </w:style>
  <w:style w:type="character" w:customStyle="1" w:styleId="volume">
    <w:name w:val="volume"/>
    <w:basedOn w:val="Carpredefinitoparagrafo4"/>
  </w:style>
  <w:style w:type="character" w:customStyle="1" w:styleId="issue">
    <w:name w:val="issue"/>
    <w:basedOn w:val="Carpredefinitoparagrafo4"/>
  </w:style>
  <w:style w:type="character" w:customStyle="1" w:styleId="pages">
    <w:name w:val="pages"/>
    <w:basedOn w:val="Carpredefinitoparagrafo4"/>
  </w:style>
  <w:style w:type="character" w:customStyle="1" w:styleId="journalname">
    <w:name w:val="journalname"/>
    <w:basedOn w:val="Carpredefinitoparagrafo4"/>
  </w:style>
  <w:style w:type="character" w:customStyle="1" w:styleId="CarattereCarattere1">
    <w:name w:val="Carattere Carattere1"/>
  </w:style>
  <w:style w:type="character" w:customStyle="1" w:styleId="CarattereCarattere">
    <w:name w:val="Carattere Carattere"/>
  </w:style>
  <w:style w:type="character" w:customStyle="1" w:styleId="Absatz-Standardschriftart">
    <w:name w:val="Absatz-Standardschriftart"/>
  </w:style>
  <w:style w:type="character" w:customStyle="1" w:styleId="pagecontents1">
    <w:name w:val="pagecontents1"/>
  </w:style>
  <w:style w:type="character" w:customStyle="1" w:styleId="ListLabel1">
    <w:name w:val="ListLabel 1"/>
    <w:rPr>
      <w:rFonts w:eastAsia="Calibri" w:cs="Times New Roman"/>
      <w:i/>
    </w:rPr>
  </w:style>
  <w:style w:type="character" w:customStyle="1" w:styleId="ListLabel2">
    <w:name w:val="ListLabel 2"/>
    <w:rPr>
      <w:rFonts w:cs="Courier New"/>
    </w:rPr>
  </w:style>
  <w:style w:type="character" w:styleId="a5">
    <w:name w:val="Hyperlink"/>
    <w:rPr>
      <w:color w:val="000080"/>
      <w:u w:val="single"/>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jrnl">
    <w:name w:val="jrnl"/>
    <w:basedOn w:val="Carpredefinitoparagrafo4"/>
  </w:style>
  <w:style w:type="character" w:customStyle="1" w:styleId="src">
    <w:name w:val="src"/>
    <w:basedOn w:val="Carpredefinitoparagrafo4"/>
  </w:style>
  <w:style w:type="character" w:customStyle="1" w:styleId="Punti">
    <w:name w:val="Punti"/>
    <w:rPr>
      <w:rFonts w:ascii="OpenSymbol" w:eastAsia="OpenSymbol" w:hAnsi="OpenSymbol" w:cs="OpenSymbol"/>
    </w:rPr>
  </w:style>
  <w:style w:type="character" w:customStyle="1" w:styleId="IntestazioneCarattere">
    <w:name w:val="Intestazione Carattere"/>
  </w:style>
  <w:style w:type="character" w:customStyle="1" w:styleId="PidipaginaCarattere">
    <w:name w:val="Piè di pagina Carattere"/>
  </w:style>
  <w:style w:type="character" w:customStyle="1" w:styleId="CharAttribute104">
    <w:name w:val="CharAttribute104"/>
    <w:rPr>
      <w:rFonts w:ascii="Times New Roman" w:eastAsia="Times New Roman" w:hAnsi="Times New Roman" w:cs="Times New Roman"/>
      <w:sz w:val="24"/>
    </w:rPr>
  </w:style>
  <w:style w:type="character" w:customStyle="1" w:styleId="CharAttribute105">
    <w:name w:val="CharAttribute105"/>
    <w:rPr>
      <w:rFonts w:ascii="Times New Roman" w:eastAsia="Times New Roman" w:hAnsi="Times New Roman" w:cs="Times New Roman"/>
      <w:sz w:val="24"/>
    </w:rPr>
  </w:style>
  <w:style w:type="character" w:customStyle="1" w:styleId="highlight">
    <w:name w:val="highlight"/>
    <w:basedOn w:val="Carpredefinitoparagrafo1"/>
  </w:style>
  <w:style w:type="character" w:customStyle="1" w:styleId="ListLabel5">
    <w:name w:val="ListLabel 5"/>
    <w:rPr>
      <w:bCs/>
      <w:sz w:val="24"/>
      <w:szCs w:val="24"/>
      <w:lang w:val="en-GB"/>
    </w:rPr>
  </w:style>
  <w:style w:type="character" w:customStyle="1" w:styleId="ListLabel6">
    <w:name w:val="ListLabel 6"/>
    <w:rPr>
      <w:sz w:val="24"/>
      <w:szCs w:val="24"/>
      <w:lang w:val="en-GB"/>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alibri"/>
      <w:color w:val="131413"/>
      <w:sz w:val="24"/>
      <w:szCs w:val="24"/>
      <w:lang w:val="en-US"/>
    </w:rPr>
  </w:style>
  <w:style w:type="character" w:customStyle="1" w:styleId="ListLabel11">
    <w:name w:val="ListLabel 11"/>
    <w:rPr>
      <w:rFonts w:eastAsia="AdvPTimes" w:cs="Calibri"/>
      <w:sz w:val="24"/>
      <w:szCs w:val="24"/>
      <w:lang w:val="en-GB"/>
    </w:rPr>
  </w:style>
  <w:style w:type="character" w:customStyle="1" w:styleId="11">
    <w:name w:val="未处理的提及1"/>
    <w:rPr>
      <w:color w:val="605E5C"/>
    </w:rPr>
  </w:style>
  <w:style w:type="character" w:customStyle="1" w:styleId="ListLabel12">
    <w:name w:val="ListLabel 12"/>
    <w:rPr>
      <w:sz w:val="24"/>
      <w:szCs w:val="24"/>
      <w:lang w:val="en-GB"/>
    </w:rPr>
  </w:style>
  <w:style w:type="character" w:customStyle="1" w:styleId="ListLabel13">
    <w:name w:val="ListLabel 13"/>
    <w:rPr>
      <w:rFonts w:eastAsia="AdvPTimes" w:cs="Calibri"/>
      <w:sz w:val="24"/>
      <w:szCs w:val="24"/>
      <w:lang w:val="en-GB"/>
    </w:rPr>
  </w:style>
  <w:style w:type="paragraph" w:customStyle="1" w:styleId="Intestazione10">
    <w:name w:val="Intestazione10"/>
    <w:basedOn w:val="a"/>
    <w:next w:val="a0"/>
    <w:pPr>
      <w:keepNext/>
      <w:spacing w:before="240" w:after="120"/>
    </w:pPr>
    <w:rPr>
      <w:rFonts w:ascii="Arial" w:eastAsia="微软雅黑" w:hAnsi="Arial" w:cs="Arial"/>
      <w:sz w:val="28"/>
      <w:szCs w:val="28"/>
    </w:rPr>
  </w:style>
  <w:style w:type="paragraph" w:styleId="a0">
    <w:name w:val="Body Text"/>
    <w:basedOn w:val="a"/>
    <w:pPr>
      <w:spacing w:after="120"/>
    </w:pPr>
  </w:style>
  <w:style w:type="paragraph" w:styleId="a6">
    <w:name w:val="List"/>
    <w:basedOn w:val="a0"/>
    <w:pPr>
      <w:widowControl w:val="0"/>
    </w:pPr>
    <w:rPr>
      <w:rFonts w:cs="Arial"/>
    </w:rPr>
  </w:style>
  <w:style w:type="paragraph" w:customStyle="1" w:styleId="Didascalia10">
    <w:name w:val="Didascalia10"/>
    <w:basedOn w:val="a"/>
    <w:pPr>
      <w:suppressLineNumbers/>
      <w:spacing w:before="120" w:after="120"/>
    </w:pPr>
    <w:rPr>
      <w:rFonts w:cs="Arial"/>
      <w:i/>
      <w:iCs/>
      <w:sz w:val="24"/>
      <w:szCs w:val="24"/>
    </w:rPr>
  </w:style>
  <w:style w:type="paragraph" w:customStyle="1" w:styleId="Indice">
    <w:name w:val="Indice"/>
    <w:basedOn w:val="a"/>
    <w:pPr>
      <w:suppressLineNumbers/>
    </w:pPr>
    <w:rPr>
      <w:rFonts w:cs="FreeSans"/>
    </w:rPr>
  </w:style>
  <w:style w:type="paragraph" w:customStyle="1" w:styleId="Intestazione9">
    <w:name w:val="Intestazione9"/>
    <w:basedOn w:val="a"/>
    <w:pPr>
      <w:keepNext/>
      <w:spacing w:before="240" w:after="120"/>
    </w:pPr>
    <w:rPr>
      <w:rFonts w:ascii="Arial" w:eastAsia="微软雅黑" w:hAnsi="Arial" w:cs="Arial"/>
      <w:sz w:val="28"/>
      <w:szCs w:val="28"/>
    </w:rPr>
  </w:style>
  <w:style w:type="paragraph" w:customStyle="1" w:styleId="Didascalia9">
    <w:name w:val="Didascalia9"/>
    <w:basedOn w:val="a"/>
    <w:pPr>
      <w:suppressLineNumbers/>
      <w:spacing w:before="120" w:after="120"/>
    </w:pPr>
    <w:rPr>
      <w:rFonts w:cs="Arial"/>
      <w:i/>
      <w:iCs/>
      <w:sz w:val="24"/>
      <w:szCs w:val="24"/>
    </w:rPr>
  </w:style>
  <w:style w:type="paragraph" w:customStyle="1" w:styleId="Intestazione8">
    <w:name w:val="Intestazione8"/>
    <w:basedOn w:val="a"/>
    <w:pPr>
      <w:keepNext/>
      <w:spacing w:before="240" w:after="120"/>
    </w:pPr>
    <w:rPr>
      <w:rFonts w:ascii="Arial" w:eastAsia="微软雅黑" w:hAnsi="Arial" w:cs="Arial"/>
      <w:sz w:val="28"/>
      <w:szCs w:val="28"/>
    </w:rPr>
  </w:style>
  <w:style w:type="paragraph" w:customStyle="1" w:styleId="Didascalia8">
    <w:name w:val="Didascalia8"/>
    <w:basedOn w:val="a"/>
    <w:pPr>
      <w:suppressLineNumbers/>
      <w:spacing w:before="120" w:after="120"/>
    </w:pPr>
    <w:rPr>
      <w:rFonts w:cs="Arial"/>
      <w:i/>
      <w:iCs/>
      <w:sz w:val="24"/>
      <w:szCs w:val="24"/>
    </w:rPr>
  </w:style>
  <w:style w:type="paragraph" w:customStyle="1" w:styleId="Intestazione7">
    <w:name w:val="Intestazione7"/>
    <w:basedOn w:val="a"/>
    <w:pPr>
      <w:keepNext/>
      <w:spacing w:before="240" w:after="120"/>
    </w:pPr>
    <w:rPr>
      <w:rFonts w:ascii="Arial" w:eastAsia="微软雅黑" w:hAnsi="Arial" w:cs="Arial"/>
      <w:sz w:val="28"/>
      <w:szCs w:val="28"/>
    </w:rPr>
  </w:style>
  <w:style w:type="paragraph" w:customStyle="1" w:styleId="Didascalia7">
    <w:name w:val="Didascalia7"/>
    <w:basedOn w:val="a"/>
    <w:pPr>
      <w:suppressLineNumbers/>
      <w:spacing w:before="120" w:after="120"/>
    </w:pPr>
    <w:rPr>
      <w:rFonts w:cs="Arial"/>
      <w:i/>
      <w:iCs/>
      <w:sz w:val="24"/>
      <w:szCs w:val="24"/>
    </w:rPr>
  </w:style>
  <w:style w:type="paragraph" w:customStyle="1" w:styleId="Intestazione6">
    <w:name w:val="Intestazione6"/>
    <w:basedOn w:val="a"/>
    <w:pPr>
      <w:keepNext/>
      <w:spacing w:before="240" w:after="120"/>
    </w:pPr>
    <w:rPr>
      <w:rFonts w:ascii="Arial" w:eastAsia="微软雅黑" w:hAnsi="Arial" w:cs="Arial"/>
      <w:sz w:val="28"/>
      <w:szCs w:val="28"/>
    </w:rPr>
  </w:style>
  <w:style w:type="paragraph" w:customStyle="1" w:styleId="Didascalia6">
    <w:name w:val="Didascalia6"/>
    <w:basedOn w:val="a"/>
    <w:pPr>
      <w:suppressLineNumbers/>
      <w:spacing w:before="120" w:after="120"/>
    </w:pPr>
    <w:rPr>
      <w:rFonts w:cs="Arial"/>
      <w:i/>
      <w:iCs/>
      <w:sz w:val="24"/>
      <w:szCs w:val="24"/>
    </w:rPr>
  </w:style>
  <w:style w:type="paragraph" w:customStyle="1" w:styleId="Intestazione5">
    <w:name w:val="Intestazione5"/>
    <w:basedOn w:val="a"/>
    <w:pPr>
      <w:keepNext/>
      <w:spacing w:before="240" w:after="120"/>
    </w:pPr>
    <w:rPr>
      <w:rFonts w:ascii="Arial" w:eastAsia="微软雅黑" w:hAnsi="Arial" w:cs="Mangal"/>
      <w:sz w:val="28"/>
      <w:szCs w:val="28"/>
    </w:rPr>
  </w:style>
  <w:style w:type="paragraph" w:customStyle="1" w:styleId="TextBody">
    <w:name w:val="Text Body"/>
    <w:basedOn w:val="a"/>
    <w:pPr>
      <w:spacing w:after="0" w:line="360" w:lineRule="auto"/>
      <w:jc w:val="both"/>
    </w:pPr>
  </w:style>
  <w:style w:type="paragraph" w:customStyle="1" w:styleId="Didascalia5">
    <w:name w:val="Didascalia5"/>
    <w:basedOn w:val="a"/>
    <w:pPr>
      <w:suppressLineNumbers/>
      <w:spacing w:before="120" w:after="120"/>
    </w:pPr>
    <w:rPr>
      <w:rFonts w:cs="Mangal"/>
      <w:i/>
      <w:iCs/>
      <w:sz w:val="24"/>
      <w:szCs w:val="24"/>
    </w:rPr>
  </w:style>
  <w:style w:type="paragraph" w:customStyle="1" w:styleId="Intestazione4">
    <w:name w:val="Intestazione4"/>
    <w:basedOn w:val="a"/>
    <w:pPr>
      <w:keepNext/>
      <w:spacing w:before="240" w:after="120"/>
    </w:pPr>
    <w:rPr>
      <w:rFonts w:ascii="Arial" w:eastAsia="微软雅黑" w:hAnsi="Arial" w:cs="Mangal"/>
      <w:sz w:val="28"/>
      <w:szCs w:val="28"/>
    </w:rPr>
  </w:style>
  <w:style w:type="paragraph" w:customStyle="1" w:styleId="Didascalia4">
    <w:name w:val="Didascalia4"/>
    <w:basedOn w:val="a"/>
    <w:pPr>
      <w:suppressLineNumbers/>
      <w:spacing w:before="120" w:after="120"/>
    </w:pPr>
    <w:rPr>
      <w:rFonts w:cs="Mangal"/>
      <w:i/>
      <w:iCs/>
      <w:sz w:val="24"/>
      <w:szCs w:val="24"/>
    </w:rPr>
  </w:style>
  <w:style w:type="paragraph" w:customStyle="1" w:styleId="Intestazione3">
    <w:name w:val="Intestazione3"/>
    <w:basedOn w:val="a"/>
    <w:pPr>
      <w:keepNext/>
      <w:spacing w:before="240" w:after="120"/>
    </w:pPr>
    <w:rPr>
      <w:rFonts w:ascii="Arial" w:eastAsia="微软雅黑" w:hAnsi="Arial" w:cs="Mangal"/>
      <w:sz w:val="28"/>
      <w:szCs w:val="28"/>
    </w:rPr>
  </w:style>
  <w:style w:type="paragraph" w:customStyle="1" w:styleId="Didascalia3">
    <w:name w:val="Didascalia3"/>
    <w:basedOn w:val="a"/>
    <w:pPr>
      <w:suppressLineNumbers/>
      <w:spacing w:before="120" w:after="120"/>
    </w:pPr>
    <w:rPr>
      <w:rFonts w:cs="Mangal"/>
      <w:i/>
      <w:iCs/>
      <w:sz w:val="24"/>
      <w:szCs w:val="24"/>
    </w:rPr>
  </w:style>
  <w:style w:type="paragraph" w:customStyle="1" w:styleId="Intestazione2">
    <w:name w:val="Intestazione2"/>
    <w:basedOn w:val="a"/>
    <w:pPr>
      <w:keepNext/>
      <w:spacing w:before="240" w:after="120"/>
    </w:pPr>
  </w:style>
  <w:style w:type="paragraph" w:customStyle="1" w:styleId="Didascalia2">
    <w:name w:val="Didascalia2"/>
    <w:basedOn w:val="a"/>
    <w:pPr>
      <w:suppressLineNumbers/>
      <w:spacing w:before="120" w:after="120"/>
    </w:pPr>
  </w:style>
  <w:style w:type="paragraph" w:customStyle="1" w:styleId="Titolo11">
    <w:name w:val="Titolo 11"/>
    <w:basedOn w:val="a"/>
    <w:pPr>
      <w:keepNext/>
      <w:spacing w:after="0" w:line="100" w:lineRule="atLeast"/>
    </w:pPr>
  </w:style>
  <w:style w:type="paragraph" w:customStyle="1" w:styleId="Titolo31">
    <w:name w:val="Titolo 31"/>
    <w:basedOn w:val="a"/>
    <w:pPr>
      <w:keepNext/>
      <w:tabs>
        <w:tab w:val="left" w:pos="0"/>
      </w:tabs>
      <w:spacing w:after="0" w:line="480" w:lineRule="auto"/>
      <w:jc w:val="both"/>
    </w:pPr>
  </w:style>
  <w:style w:type="paragraph" w:customStyle="1" w:styleId="Didascalia1">
    <w:name w:val="Didascalia1"/>
    <w:basedOn w:val="a"/>
    <w:pPr>
      <w:suppressLineNumbers/>
      <w:spacing w:before="120" w:after="120"/>
    </w:pPr>
  </w:style>
  <w:style w:type="paragraph" w:customStyle="1" w:styleId="Corpodeltesto21">
    <w:name w:val="Corpo del testo 21"/>
    <w:basedOn w:val="a"/>
    <w:pPr>
      <w:spacing w:after="120" w:line="480" w:lineRule="auto"/>
    </w:pPr>
  </w:style>
  <w:style w:type="paragraph" w:customStyle="1" w:styleId="Elencoacolori-Colore11">
    <w:name w:val="Elenco a colori - Colore 11"/>
    <w:basedOn w:val="a"/>
    <w:pPr>
      <w:ind w:left="720"/>
    </w:pPr>
  </w:style>
  <w:style w:type="paragraph" w:customStyle="1" w:styleId="Corpodeltesto31">
    <w:name w:val="Corpo del testo 31"/>
    <w:basedOn w:val="a"/>
    <w:pPr>
      <w:spacing w:after="120"/>
    </w:pPr>
    <w:rPr>
      <w:sz w:val="16"/>
      <w:szCs w:val="16"/>
    </w:rPr>
  </w:style>
  <w:style w:type="paragraph" w:customStyle="1" w:styleId="Rientrocorpodeltesto21">
    <w:name w:val="Rientro corpo del testo 21"/>
    <w:basedOn w:val="a"/>
    <w:pPr>
      <w:spacing w:after="120" w:line="480" w:lineRule="auto"/>
      <w:ind w:left="283"/>
    </w:pPr>
  </w:style>
  <w:style w:type="paragraph" w:customStyle="1" w:styleId="title1">
    <w:name w:val="title1"/>
    <w:basedOn w:val="a"/>
    <w:pPr>
      <w:spacing w:before="28" w:after="0" w:line="100" w:lineRule="atLeast"/>
      <w:ind w:left="825"/>
    </w:pPr>
  </w:style>
  <w:style w:type="paragraph" w:customStyle="1" w:styleId="authors1">
    <w:name w:val="authors1"/>
    <w:basedOn w:val="a"/>
    <w:pPr>
      <w:spacing w:before="72" w:after="0" w:line="240" w:lineRule="atLeast"/>
      <w:ind w:left="825"/>
    </w:pPr>
  </w:style>
  <w:style w:type="paragraph" w:customStyle="1" w:styleId="source1">
    <w:name w:val="source1"/>
    <w:basedOn w:val="a"/>
    <w:pPr>
      <w:spacing w:before="120" w:after="84" w:line="240" w:lineRule="atLeast"/>
      <w:ind w:left="825"/>
    </w:pPr>
  </w:style>
  <w:style w:type="paragraph" w:customStyle="1" w:styleId="Intestazione1">
    <w:name w:val="Intestazione1"/>
    <w:basedOn w:val="a"/>
    <w:pPr>
      <w:tabs>
        <w:tab w:val="center" w:pos="4819"/>
        <w:tab w:val="right" w:pos="9638"/>
      </w:tabs>
    </w:pPr>
  </w:style>
  <w:style w:type="paragraph" w:customStyle="1" w:styleId="Pidipagina1">
    <w:name w:val="Piè di pagina1"/>
    <w:basedOn w:val="a"/>
    <w:pPr>
      <w:tabs>
        <w:tab w:val="center" w:pos="4819"/>
        <w:tab w:val="right" w:pos="9638"/>
      </w:tabs>
    </w:pPr>
  </w:style>
  <w:style w:type="paragraph" w:customStyle="1" w:styleId="Testofumetto1">
    <w:name w:val="Testo fumetto1"/>
    <w:basedOn w:val="a"/>
  </w:style>
  <w:style w:type="paragraph" w:customStyle="1" w:styleId="NormaleWeb1">
    <w:name w:val="Normale (Web)1"/>
    <w:basedOn w:val="a"/>
    <w:pPr>
      <w:suppressAutoHyphens w:val="0"/>
      <w:spacing w:before="100" w:after="100" w:line="100" w:lineRule="atLeast"/>
    </w:pPr>
  </w:style>
  <w:style w:type="paragraph" w:customStyle="1" w:styleId="Paragrafoelenco1">
    <w:name w:val="Paragrafo elenco1"/>
    <w:basedOn w:val="a"/>
    <w:pPr>
      <w:ind w:left="720"/>
    </w:pPr>
  </w:style>
  <w:style w:type="paragraph" w:customStyle="1" w:styleId="Titolo1">
    <w:name w:val="Titolo1"/>
    <w:basedOn w:val="a"/>
    <w:pPr>
      <w:spacing w:before="100" w:after="100" w:line="100" w:lineRule="atLeast"/>
    </w:pPr>
  </w:style>
  <w:style w:type="paragraph" w:styleId="a7">
    <w:name w:val="header"/>
    <w:basedOn w:val="a"/>
    <w:pPr>
      <w:suppressLineNumbers/>
      <w:tabs>
        <w:tab w:val="center" w:pos="4819"/>
        <w:tab w:val="right" w:pos="9638"/>
      </w:tabs>
    </w:pPr>
  </w:style>
  <w:style w:type="paragraph" w:styleId="a8">
    <w:name w:val="footer"/>
    <w:basedOn w:val="a"/>
    <w:pPr>
      <w:suppressLineNumbers/>
      <w:tabs>
        <w:tab w:val="center" w:pos="4819"/>
        <w:tab w:val="right" w:pos="9638"/>
      </w:tabs>
    </w:pPr>
  </w:style>
  <w:style w:type="paragraph" w:customStyle="1" w:styleId="ParaAttribute9">
    <w:name w:val="ParaAttribute9"/>
    <w:pPr>
      <w:widowControl w:val="0"/>
      <w:suppressAutoHyphens/>
      <w:jc w:val="both"/>
    </w:pPr>
    <w:rPr>
      <w:rFonts w:eastAsia="Arial Unicode MS"/>
      <w:color w:val="000000"/>
      <w:lang w:val="it-IT" w:eastAsia="ar-SA"/>
    </w:rPr>
  </w:style>
  <w:style w:type="paragraph" w:customStyle="1" w:styleId="Paragrafoelenco2">
    <w:name w:val="Paragrafo elenco2"/>
    <w:basedOn w:val="a"/>
    <w:pPr>
      <w:ind w:left="720"/>
    </w:pPr>
  </w:style>
  <w:style w:type="paragraph" w:customStyle="1" w:styleId="Intestazioneelenco">
    <w:name w:val="Intestazione elenco"/>
    <w:basedOn w:val="a"/>
    <w:next w:val="Contenutoelenco"/>
  </w:style>
  <w:style w:type="paragraph" w:customStyle="1" w:styleId="Contenutoelenco">
    <w:name w:val="Contenuto elenco"/>
    <w:basedOn w:val="a"/>
    <w:pPr>
      <w:ind w:left="567"/>
    </w:pPr>
  </w:style>
  <w:style w:type="paragraph" w:customStyle="1" w:styleId="Reference">
    <w:name w:val="Reference"/>
    <w:basedOn w:val="a"/>
    <w:pPr>
      <w:numPr>
        <w:numId w:val="2"/>
      </w:numPr>
      <w:tabs>
        <w:tab w:val="left" w:pos="567"/>
      </w:tabs>
      <w:suppressAutoHyphens w:val="0"/>
      <w:spacing w:after="0" w:line="456" w:lineRule="auto"/>
      <w:jc w:val="both"/>
    </w:pPr>
    <w:rPr>
      <w:rFonts w:ascii="Calibri" w:eastAsia="等线" w:hAnsi="Calibri" w:cs="Calibri"/>
      <w:sz w:val="24"/>
      <w:szCs w:val="24"/>
      <w:lang w:val="en-GB"/>
    </w:rPr>
  </w:style>
  <w:style w:type="paragraph" w:customStyle="1" w:styleId="Titlepageinfo">
    <w:name w:val="Title page info"/>
    <w:basedOn w:val="a"/>
    <w:pPr>
      <w:suppressAutoHyphens w:val="0"/>
      <w:spacing w:after="0" w:line="480" w:lineRule="auto"/>
      <w:jc w:val="both"/>
    </w:pPr>
    <w:rPr>
      <w:rFonts w:ascii="Calibri" w:eastAsia="Calibri" w:hAnsi="Calibri" w:cs="Calibri"/>
      <w:sz w:val="24"/>
      <w:szCs w:val="24"/>
      <w:lang w:val="en-US"/>
    </w:rPr>
  </w:style>
  <w:style w:type="paragraph" w:customStyle="1" w:styleId="12">
    <w:name w:val="普通(网站)1"/>
    <w:basedOn w:val="a"/>
    <w:pPr>
      <w:suppressAutoHyphens w:val="0"/>
      <w:spacing w:before="100" w:after="100" w:line="100" w:lineRule="atLeast"/>
    </w:pPr>
    <w:rPr>
      <w:sz w:val="24"/>
      <w:szCs w:val="24"/>
    </w:rPr>
  </w:style>
  <w:style w:type="paragraph" w:customStyle="1" w:styleId="Contenutotabella">
    <w:name w:val="Contenuto tabella"/>
    <w:basedOn w:val="a"/>
    <w:pPr>
      <w:suppressLineNumbers/>
    </w:pPr>
  </w:style>
  <w:style w:type="paragraph" w:customStyle="1" w:styleId="Intestazionetabella">
    <w:name w:val="Intestazione tabella"/>
    <w:basedOn w:val="Contenutotabella"/>
    <w:pPr>
      <w:jc w:val="center"/>
    </w:pPr>
    <w:rPr>
      <w:b/>
      <w:bCs/>
    </w:rPr>
  </w:style>
  <w:style w:type="character" w:styleId="a9">
    <w:name w:val="annotation reference"/>
    <w:uiPriority w:val="99"/>
    <w:unhideWhenUsed/>
    <w:qFormat/>
    <w:rsid w:val="00697976"/>
    <w:rPr>
      <w:sz w:val="21"/>
      <w:szCs w:val="21"/>
    </w:rPr>
  </w:style>
  <w:style w:type="paragraph" w:styleId="aa">
    <w:name w:val="annotation text"/>
    <w:basedOn w:val="a"/>
    <w:link w:val="ab"/>
    <w:uiPriority w:val="99"/>
    <w:unhideWhenUsed/>
    <w:qFormat/>
    <w:rsid w:val="00697976"/>
  </w:style>
  <w:style w:type="character" w:customStyle="1" w:styleId="ab">
    <w:name w:val="批注文字 字符"/>
    <w:link w:val="aa"/>
    <w:uiPriority w:val="99"/>
    <w:qFormat/>
    <w:rsid w:val="00697976"/>
    <w:rPr>
      <w:lang w:val="it-IT" w:eastAsia="ar-SA"/>
    </w:rPr>
  </w:style>
  <w:style w:type="paragraph" w:styleId="ac">
    <w:name w:val="annotation subject"/>
    <w:basedOn w:val="aa"/>
    <w:next w:val="aa"/>
    <w:link w:val="ad"/>
    <w:uiPriority w:val="99"/>
    <w:semiHidden/>
    <w:unhideWhenUsed/>
    <w:rsid w:val="00697976"/>
    <w:rPr>
      <w:b/>
      <w:bCs/>
    </w:rPr>
  </w:style>
  <w:style w:type="character" w:customStyle="1" w:styleId="ad">
    <w:name w:val="批注主题 字符"/>
    <w:link w:val="ac"/>
    <w:uiPriority w:val="99"/>
    <w:semiHidden/>
    <w:rsid w:val="00697976"/>
    <w:rPr>
      <w:b/>
      <w:bCs/>
      <w:lang w:val="it-IT" w:eastAsia="ar-SA"/>
    </w:rPr>
  </w:style>
  <w:style w:type="paragraph" w:styleId="ae">
    <w:name w:val="Balloon Text"/>
    <w:basedOn w:val="a"/>
    <w:link w:val="af"/>
    <w:uiPriority w:val="99"/>
    <w:semiHidden/>
    <w:unhideWhenUsed/>
    <w:rsid w:val="00697976"/>
    <w:pPr>
      <w:spacing w:after="0" w:line="240" w:lineRule="auto"/>
    </w:pPr>
    <w:rPr>
      <w:sz w:val="18"/>
      <w:szCs w:val="18"/>
    </w:rPr>
  </w:style>
  <w:style w:type="character" w:customStyle="1" w:styleId="af">
    <w:name w:val="批注框文本 字符"/>
    <w:link w:val="ae"/>
    <w:uiPriority w:val="99"/>
    <w:semiHidden/>
    <w:rsid w:val="00697976"/>
    <w:rPr>
      <w:sz w:val="18"/>
      <w:szCs w:val="18"/>
      <w:lang w:val="it-IT" w:eastAsia="ar-SA"/>
    </w:rPr>
  </w:style>
  <w:style w:type="paragraph" w:styleId="af0">
    <w:name w:val="Revision"/>
    <w:hidden/>
    <w:uiPriority w:val="99"/>
    <w:semiHidden/>
    <w:rsid w:val="00656E2F"/>
    <w:rPr>
      <w:lang w:val="it-IT" w:eastAsia="ar-SA"/>
    </w:rPr>
  </w:style>
  <w:style w:type="character" w:customStyle="1" w:styleId="UnresolvedMention">
    <w:name w:val="Unresolved Mention"/>
    <w:uiPriority w:val="99"/>
    <w:semiHidden/>
    <w:unhideWhenUsed/>
    <w:rsid w:val="0026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10834">
      <w:bodyDiv w:val="1"/>
      <w:marLeft w:val="0"/>
      <w:marRight w:val="0"/>
      <w:marTop w:val="0"/>
      <w:marBottom w:val="0"/>
      <w:divBdr>
        <w:top w:val="none" w:sz="0" w:space="0" w:color="auto"/>
        <w:left w:val="none" w:sz="0" w:space="0" w:color="auto"/>
        <w:bottom w:val="none" w:sz="0" w:space="0" w:color="auto"/>
        <w:right w:val="none" w:sz="0" w:space="0" w:color="auto"/>
      </w:divBdr>
    </w:div>
    <w:div w:id="1269048537">
      <w:bodyDiv w:val="1"/>
      <w:marLeft w:val="0"/>
      <w:marRight w:val="0"/>
      <w:marTop w:val="0"/>
      <w:marBottom w:val="0"/>
      <w:divBdr>
        <w:top w:val="none" w:sz="0" w:space="0" w:color="auto"/>
        <w:left w:val="none" w:sz="0" w:space="0" w:color="auto"/>
        <w:bottom w:val="none" w:sz="0" w:space="0" w:color="auto"/>
        <w:right w:val="none" w:sz="0" w:space="0" w:color="auto"/>
      </w:divBdr>
    </w:div>
    <w:div w:id="1549418546">
      <w:bodyDiv w:val="1"/>
      <w:marLeft w:val="0"/>
      <w:marRight w:val="0"/>
      <w:marTop w:val="0"/>
      <w:marBottom w:val="0"/>
      <w:divBdr>
        <w:top w:val="none" w:sz="0" w:space="0" w:color="auto"/>
        <w:left w:val="none" w:sz="0" w:space="0" w:color="auto"/>
        <w:bottom w:val="none" w:sz="0" w:space="0" w:color="auto"/>
        <w:right w:val="none" w:sz="0" w:space="0" w:color="auto"/>
      </w:divBdr>
    </w:div>
    <w:div w:id="16144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940-4390"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orcid.org/0000-0002-7038-9539" TargetMode="External"/><Relationship Id="rId12" Type="http://schemas.openxmlformats.org/officeDocument/2006/relationships/hyperlink" Target="http://creativecommons.org/licenses/by-nc/4.0/" TargetMode="External"/><Relationship Id="rId17" Type="http://schemas.openxmlformats.org/officeDocument/2006/relationships/header" Target="header3.xm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85962609"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orcid.org/0000-0000-2241-3223"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orcid.org/0000-0001-6960-9701"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5872</Words>
  <Characters>33474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CLINICAL EFFICACY OF TIPS CREATED WITH COVERED STENTS WITH DIFFERENT DIAMETER: RESULTS OF A RANDOMIZED CONTROLLED TRIAL</vt:lpstr>
    </vt:vector>
  </TitlesOfParts>
  <Company/>
  <LinksUpToDate>false</LinksUpToDate>
  <CharactersWithSpaces>39268</CharactersWithSpaces>
  <SharedDoc>false</SharedDoc>
  <HLinks>
    <vt:vector size="252" baseType="variant">
      <vt:variant>
        <vt:i4>3604589</vt:i4>
      </vt:variant>
      <vt:variant>
        <vt:i4>114</vt:i4>
      </vt:variant>
      <vt:variant>
        <vt:i4>0</vt:i4>
      </vt:variant>
      <vt:variant>
        <vt:i4>5</vt:i4>
      </vt:variant>
      <vt:variant>
        <vt:lpwstr>https://www.ncbi.nlm.nih.gov/pubmed/?term=The+modification+of+quantity+and+quality+of+muscle+mass+improves+the+cognitive+impairment+after+TIPS.</vt:lpwstr>
      </vt:variant>
      <vt:variant>
        <vt:lpwstr/>
      </vt:variant>
      <vt:variant>
        <vt:i4>983134</vt:i4>
      </vt:variant>
      <vt:variant>
        <vt:i4>111</vt:i4>
      </vt:variant>
      <vt:variant>
        <vt:i4>0</vt:i4>
      </vt:variant>
      <vt:variant>
        <vt:i4>5</vt:i4>
      </vt:variant>
      <vt:variant>
        <vt:lpwstr>https://www.ncbi.nlm.nih.gov/pubmed/30667572</vt:lpwstr>
      </vt:variant>
      <vt:variant>
        <vt:lpwstr/>
      </vt:variant>
      <vt:variant>
        <vt:i4>6029430</vt:i4>
      </vt:variant>
      <vt:variant>
        <vt:i4>108</vt:i4>
      </vt:variant>
      <vt:variant>
        <vt:i4>0</vt:i4>
      </vt:variant>
      <vt:variant>
        <vt:i4>5</vt:i4>
      </vt:variant>
      <vt:variant>
        <vt:lpwstr>https://www.ncbi.nlm.nih.gov/pubmed/?term=Riggio%20O%5BAuthor%5D&amp;cauthor=true&amp;cauthor_uid=30667572</vt:lpwstr>
      </vt:variant>
      <vt:variant>
        <vt:lpwstr/>
      </vt:variant>
      <vt:variant>
        <vt:i4>5832816</vt:i4>
      </vt:variant>
      <vt:variant>
        <vt:i4>105</vt:i4>
      </vt:variant>
      <vt:variant>
        <vt:i4>0</vt:i4>
      </vt:variant>
      <vt:variant>
        <vt:i4>5</vt:i4>
      </vt:variant>
      <vt:variant>
        <vt:lpwstr>https://www.ncbi.nlm.nih.gov/pubmed/?term=Ridola%20L%5BAuthor%5D&amp;cauthor=true&amp;cauthor_uid=30667572</vt:lpwstr>
      </vt:variant>
      <vt:variant>
        <vt:lpwstr/>
      </vt:variant>
      <vt:variant>
        <vt:i4>3670021</vt:i4>
      </vt:variant>
      <vt:variant>
        <vt:i4>102</vt:i4>
      </vt:variant>
      <vt:variant>
        <vt:i4>0</vt:i4>
      </vt:variant>
      <vt:variant>
        <vt:i4>5</vt:i4>
      </vt:variant>
      <vt:variant>
        <vt:lpwstr>https://www.ncbi.nlm.nih.gov/pubmed/?term=Pitocchi%20F%5BAuthor%5D&amp;cauthor=true&amp;cauthor_uid=30667572</vt:lpwstr>
      </vt:variant>
      <vt:variant>
        <vt:lpwstr/>
      </vt:variant>
      <vt:variant>
        <vt:i4>2228233</vt:i4>
      </vt:variant>
      <vt:variant>
        <vt:i4>99</vt:i4>
      </vt:variant>
      <vt:variant>
        <vt:i4>0</vt:i4>
      </vt:variant>
      <vt:variant>
        <vt:i4>5</vt:i4>
      </vt:variant>
      <vt:variant>
        <vt:lpwstr>https://www.ncbi.nlm.nih.gov/pubmed/?term=Lattanzi%20B%5BAuthor%5D&amp;cauthor=true&amp;cauthor_uid=30667572</vt:lpwstr>
      </vt:variant>
      <vt:variant>
        <vt:lpwstr/>
      </vt:variant>
      <vt:variant>
        <vt:i4>2162719</vt:i4>
      </vt:variant>
      <vt:variant>
        <vt:i4>96</vt:i4>
      </vt:variant>
      <vt:variant>
        <vt:i4>0</vt:i4>
      </vt:variant>
      <vt:variant>
        <vt:i4>5</vt:i4>
      </vt:variant>
      <vt:variant>
        <vt:lpwstr>https://www.ncbi.nlm.nih.gov/pubmed/?term=Nardelli%20S%5BAuthor%5D&amp;cauthor=true&amp;cauthor_uid=30667572</vt:lpwstr>
      </vt:variant>
      <vt:variant>
        <vt:lpwstr/>
      </vt:variant>
      <vt:variant>
        <vt:i4>5898274</vt:i4>
      </vt:variant>
      <vt:variant>
        <vt:i4>93</vt:i4>
      </vt:variant>
      <vt:variant>
        <vt:i4>0</vt:i4>
      </vt:variant>
      <vt:variant>
        <vt:i4>5</vt:i4>
      </vt:variant>
      <vt:variant>
        <vt:lpwstr>https://www.ncbi.nlm.nih.gov/pubmed/?term=Merli%20M%5BAuthor%5D&amp;cauthor=true&amp;cauthor_uid=30667572</vt:lpwstr>
      </vt:variant>
      <vt:variant>
        <vt:lpwstr/>
      </vt:variant>
      <vt:variant>
        <vt:i4>5439523</vt:i4>
      </vt:variant>
      <vt:variant>
        <vt:i4>90</vt:i4>
      </vt:variant>
      <vt:variant>
        <vt:i4>0</vt:i4>
      </vt:variant>
      <vt:variant>
        <vt:i4>5</vt:i4>
      </vt:variant>
      <vt:variant>
        <vt:lpwstr>https://www.ncbi.nlm.nih.gov/pubmed/?term=Gioia%20S%5BAuthor%5D&amp;cauthor=true&amp;cauthor_uid=30667572</vt:lpwstr>
      </vt:variant>
      <vt:variant>
        <vt:lpwstr/>
      </vt:variant>
      <vt:variant>
        <vt:i4>5636125</vt:i4>
      </vt:variant>
      <vt:variant>
        <vt:i4>87</vt:i4>
      </vt:variant>
      <vt:variant>
        <vt:i4>0</vt:i4>
      </vt:variant>
      <vt:variant>
        <vt:i4>5</vt:i4>
      </vt:variant>
      <vt:variant>
        <vt:lpwstr>https://doi.org/10.1111/j.1478-3231.2007.01562.x</vt:lpwstr>
      </vt:variant>
      <vt:variant>
        <vt:lpwstr/>
      </vt:variant>
      <vt:variant>
        <vt:i4>5243068</vt:i4>
      </vt:variant>
      <vt:variant>
        <vt:i4>84</vt:i4>
      </vt:variant>
      <vt:variant>
        <vt:i4>0</vt:i4>
      </vt:variant>
      <vt:variant>
        <vt:i4>5</vt:i4>
      </vt:variant>
      <vt:variant>
        <vt:lpwstr>https://www.ncbi.nlm.nih.gov/pubmed/?term=Björnsson%20E%5BAuthor%5D&amp;cauthor=true&amp;cauthor_uid=17919230</vt:lpwstr>
      </vt:variant>
      <vt:variant>
        <vt:lpwstr/>
      </vt:variant>
      <vt:variant>
        <vt:i4>5505060</vt:i4>
      </vt:variant>
      <vt:variant>
        <vt:i4>81</vt:i4>
      </vt:variant>
      <vt:variant>
        <vt:i4>0</vt:i4>
      </vt:variant>
      <vt:variant>
        <vt:i4>5</vt:i4>
      </vt:variant>
      <vt:variant>
        <vt:lpwstr>https://www.ncbi.nlm.nih.gov/pubmed/?term=Jalan%20R%5BAuthor%5D&amp;cauthor=true&amp;cauthor_uid=17919230</vt:lpwstr>
      </vt:variant>
      <vt:variant>
        <vt:lpwstr/>
      </vt:variant>
      <vt:variant>
        <vt:i4>4849718</vt:i4>
      </vt:variant>
      <vt:variant>
        <vt:i4>78</vt:i4>
      </vt:variant>
      <vt:variant>
        <vt:i4>0</vt:i4>
      </vt:variant>
      <vt:variant>
        <vt:i4>5</vt:i4>
      </vt:variant>
      <vt:variant>
        <vt:lpwstr>https://www.ncbi.nlm.nih.gov/pubmed/?term=Bengtsson%20M%5BAuthor%5D&amp;cauthor=true&amp;cauthor_uid=17919230</vt:lpwstr>
      </vt:variant>
      <vt:variant>
        <vt:lpwstr/>
      </vt:variant>
      <vt:variant>
        <vt:i4>3735582</vt:i4>
      </vt:variant>
      <vt:variant>
        <vt:i4>75</vt:i4>
      </vt:variant>
      <vt:variant>
        <vt:i4>0</vt:i4>
      </vt:variant>
      <vt:variant>
        <vt:i4>5</vt:i4>
      </vt:variant>
      <vt:variant>
        <vt:lpwstr>https://www.ncbi.nlm.nih.gov/pubmed/?term=Hugosson%20I%5BAuthor%5D&amp;cauthor=true&amp;cauthor_uid=17919230</vt:lpwstr>
      </vt:variant>
      <vt:variant>
        <vt:lpwstr/>
      </vt:variant>
      <vt:variant>
        <vt:i4>2228291</vt:i4>
      </vt:variant>
      <vt:variant>
        <vt:i4>72</vt:i4>
      </vt:variant>
      <vt:variant>
        <vt:i4>0</vt:i4>
      </vt:variant>
      <vt:variant>
        <vt:i4>5</vt:i4>
      </vt:variant>
      <vt:variant>
        <vt:lpwstr>https://www.ncbi.nlm.nih.gov/pubmed/?term=Henfridsson%20P%5BAuthor%5D&amp;cauthor=true&amp;cauthor_uid=17919230</vt:lpwstr>
      </vt:variant>
      <vt:variant>
        <vt:lpwstr/>
      </vt:variant>
      <vt:variant>
        <vt:i4>5505150</vt:i4>
      </vt:variant>
      <vt:variant>
        <vt:i4>69</vt:i4>
      </vt:variant>
      <vt:variant>
        <vt:i4>0</vt:i4>
      </vt:variant>
      <vt:variant>
        <vt:i4>5</vt:i4>
      </vt:variant>
      <vt:variant>
        <vt:lpwstr>https://www.ncbi.nlm.nih.gov/pubmed/?term=Olsson%20R%5BAuthor%5D&amp;cauthor=true&amp;cauthor_uid=17919230</vt:lpwstr>
      </vt:variant>
      <vt:variant>
        <vt:lpwstr/>
      </vt:variant>
      <vt:variant>
        <vt:i4>2621527</vt:i4>
      </vt:variant>
      <vt:variant>
        <vt:i4>66</vt:i4>
      </vt:variant>
      <vt:variant>
        <vt:i4>0</vt:i4>
      </vt:variant>
      <vt:variant>
        <vt:i4>5</vt:i4>
      </vt:variant>
      <vt:variant>
        <vt:lpwstr>https://www.ncbi.nlm.nih.gov/pubmed/?term=Kalaitzakis%20E%5BAuthor%5D&amp;cauthor=true&amp;cauthor_uid=17919230</vt:lpwstr>
      </vt:variant>
      <vt:variant>
        <vt:lpwstr/>
      </vt:variant>
      <vt:variant>
        <vt:i4>4128873</vt:i4>
      </vt:variant>
      <vt:variant>
        <vt:i4>63</vt:i4>
      </vt:variant>
      <vt:variant>
        <vt:i4>0</vt:i4>
      </vt:variant>
      <vt:variant>
        <vt:i4>5</vt:i4>
      </vt:variant>
      <vt:variant>
        <vt:lpwstr>https://doi.org/10.1111/hepr.12873</vt:lpwstr>
      </vt:variant>
      <vt:variant>
        <vt:lpwstr/>
      </vt:variant>
      <vt:variant>
        <vt:i4>2359383</vt:i4>
      </vt:variant>
      <vt:variant>
        <vt:i4>60</vt:i4>
      </vt:variant>
      <vt:variant>
        <vt:i4>0</vt:i4>
      </vt:variant>
      <vt:variant>
        <vt:i4>5</vt:i4>
      </vt:variant>
      <vt:variant>
        <vt:lpwstr>https://www.ncbi.nlm.nih.gov/pubmed/?term=Shimizu%20M%5BAuthor%5D&amp;cauthor=true&amp;cauthor_uid=28199774</vt:lpwstr>
      </vt:variant>
      <vt:variant>
        <vt:lpwstr/>
      </vt:variant>
      <vt:variant>
        <vt:i4>3604481</vt:i4>
      </vt:variant>
      <vt:variant>
        <vt:i4>57</vt:i4>
      </vt:variant>
      <vt:variant>
        <vt:i4>0</vt:i4>
      </vt:variant>
      <vt:variant>
        <vt:i4>5</vt:i4>
      </vt:variant>
      <vt:variant>
        <vt:lpwstr>https://www.ncbi.nlm.nih.gov/pubmed/?term=Moriwaki%20H%5BAuthor%5D&amp;cauthor=true&amp;cauthor_uid=28199774</vt:lpwstr>
      </vt:variant>
      <vt:variant>
        <vt:lpwstr/>
      </vt:variant>
      <vt:variant>
        <vt:i4>5963809</vt:i4>
      </vt:variant>
      <vt:variant>
        <vt:i4>54</vt:i4>
      </vt:variant>
      <vt:variant>
        <vt:i4>0</vt:i4>
      </vt:variant>
      <vt:variant>
        <vt:i4>5</vt:i4>
      </vt:variant>
      <vt:variant>
        <vt:lpwstr>https://www.ncbi.nlm.nih.gov/pubmed/?term=Takai%20K%5BAuthor%5D&amp;cauthor=true&amp;cauthor_uid=28199774</vt:lpwstr>
      </vt:variant>
      <vt:variant>
        <vt:lpwstr/>
      </vt:variant>
      <vt:variant>
        <vt:i4>3211264</vt:i4>
      </vt:variant>
      <vt:variant>
        <vt:i4>51</vt:i4>
      </vt:variant>
      <vt:variant>
        <vt:i4>0</vt:i4>
      </vt:variant>
      <vt:variant>
        <vt:i4>5</vt:i4>
      </vt:variant>
      <vt:variant>
        <vt:lpwstr>https://www.ncbi.nlm.nih.gov/pubmed/?term=Suetsugu%20A%5BAuthor%5D&amp;cauthor=true&amp;cauthor_uid=28199774</vt:lpwstr>
      </vt:variant>
      <vt:variant>
        <vt:lpwstr/>
      </vt:variant>
      <vt:variant>
        <vt:i4>4063242</vt:i4>
      </vt:variant>
      <vt:variant>
        <vt:i4>48</vt:i4>
      </vt:variant>
      <vt:variant>
        <vt:i4>0</vt:i4>
      </vt:variant>
      <vt:variant>
        <vt:i4>5</vt:i4>
      </vt:variant>
      <vt:variant>
        <vt:lpwstr>https://www.ncbi.nlm.nih.gov/pubmed/?term=Imai%20K%5BAuthor%5D&amp;cauthor=true&amp;cauthor_uid=28199774</vt:lpwstr>
      </vt:variant>
      <vt:variant>
        <vt:lpwstr/>
      </vt:variant>
      <vt:variant>
        <vt:i4>6029353</vt:i4>
      </vt:variant>
      <vt:variant>
        <vt:i4>45</vt:i4>
      </vt:variant>
      <vt:variant>
        <vt:i4>0</vt:i4>
      </vt:variant>
      <vt:variant>
        <vt:i4>5</vt:i4>
      </vt:variant>
      <vt:variant>
        <vt:lpwstr>https://www.ncbi.nlm.nih.gov/pubmed/?term=Kochi%20T%5BAuthor%5D&amp;cauthor=true&amp;cauthor_uid=28199774</vt:lpwstr>
      </vt:variant>
      <vt:variant>
        <vt:lpwstr/>
      </vt:variant>
      <vt:variant>
        <vt:i4>2490381</vt:i4>
      </vt:variant>
      <vt:variant>
        <vt:i4>42</vt:i4>
      </vt:variant>
      <vt:variant>
        <vt:i4>0</vt:i4>
      </vt:variant>
      <vt:variant>
        <vt:i4>5</vt:i4>
      </vt:variant>
      <vt:variant>
        <vt:lpwstr>https://www.ncbi.nlm.nih.gov/pubmed/?term=Watanabe%20S%5BAuthor%5D&amp;cauthor=true&amp;cauthor_uid=28199774</vt:lpwstr>
      </vt:variant>
      <vt:variant>
        <vt:lpwstr/>
      </vt:variant>
      <vt:variant>
        <vt:i4>2752579</vt:i4>
      </vt:variant>
      <vt:variant>
        <vt:i4>39</vt:i4>
      </vt:variant>
      <vt:variant>
        <vt:i4>0</vt:i4>
      </vt:variant>
      <vt:variant>
        <vt:i4>5</vt:i4>
      </vt:variant>
      <vt:variant>
        <vt:lpwstr>https://www.ncbi.nlm.nih.gov/pubmed/?term=Shiraki%20M%5BAuthor%5D&amp;cauthor=true&amp;cauthor_uid=28199774</vt:lpwstr>
      </vt:variant>
      <vt:variant>
        <vt:lpwstr/>
      </vt:variant>
      <vt:variant>
        <vt:i4>5963815</vt:i4>
      </vt:variant>
      <vt:variant>
        <vt:i4>36</vt:i4>
      </vt:variant>
      <vt:variant>
        <vt:i4>0</vt:i4>
      </vt:variant>
      <vt:variant>
        <vt:i4>5</vt:i4>
      </vt:variant>
      <vt:variant>
        <vt:lpwstr>https://www.ncbi.nlm.nih.gov/pubmed/?term=Hanai%20T%5BAuthor%5D&amp;cauthor=true&amp;cauthor_uid=28199774</vt:lpwstr>
      </vt:variant>
      <vt:variant>
        <vt:lpwstr/>
      </vt:variant>
      <vt:variant>
        <vt:i4>6815837</vt:i4>
      </vt:variant>
      <vt:variant>
        <vt:i4>33</vt:i4>
      </vt:variant>
      <vt:variant>
        <vt:i4>0</vt:i4>
      </vt:variant>
      <vt:variant>
        <vt:i4>5</vt:i4>
      </vt:variant>
      <vt:variant>
        <vt:lpwstr/>
      </vt:variant>
      <vt:variant>
        <vt:lpwstr>_blank</vt:lpwstr>
      </vt:variant>
      <vt:variant>
        <vt:i4>65565</vt:i4>
      </vt:variant>
      <vt:variant>
        <vt:i4>30</vt:i4>
      </vt:variant>
      <vt:variant>
        <vt:i4>0</vt:i4>
      </vt:variant>
      <vt:variant>
        <vt:i4>5</vt:i4>
      </vt:variant>
      <vt:variant>
        <vt:lpwstr>https://www.ncbi.nlm.nih.gov/pubmed/?term=Hepatology+2018+Mar%3B67(3)%3A1014-1026</vt:lpwstr>
      </vt:variant>
      <vt:variant>
        <vt:lpwstr/>
      </vt:variant>
      <vt:variant>
        <vt:i4>3080206</vt:i4>
      </vt:variant>
      <vt:variant>
        <vt:i4>27</vt:i4>
      </vt:variant>
      <vt:variant>
        <vt:i4>0</vt:i4>
      </vt:variant>
      <vt:variant>
        <vt:i4>5</vt:i4>
      </vt:variant>
      <vt:variant>
        <vt:lpwstr>https://www.ncbi.nlm.nih.gov/pubmed/?term=Luetkens%20J%5BAuthor%5D&amp;cauthor=true&amp;cauthor_uid=29059469</vt:lpwstr>
      </vt:variant>
      <vt:variant>
        <vt:lpwstr/>
      </vt:variant>
      <vt:variant>
        <vt:i4>3866639</vt:i4>
      </vt:variant>
      <vt:variant>
        <vt:i4>24</vt:i4>
      </vt:variant>
      <vt:variant>
        <vt:i4>0</vt:i4>
      </vt:variant>
      <vt:variant>
        <vt:i4>5</vt:i4>
      </vt:variant>
      <vt:variant>
        <vt:lpwstr>https://www.ncbi.nlm.nih.gov/pubmed/?term=Book%20M%5BAuthor%5D&amp;cauthor=true&amp;cauthor_uid=29059469</vt:lpwstr>
      </vt:variant>
      <vt:variant>
        <vt:lpwstr/>
      </vt:variant>
      <vt:variant>
        <vt:i4>5111910</vt:i4>
      </vt:variant>
      <vt:variant>
        <vt:i4>21</vt:i4>
      </vt:variant>
      <vt:variant>
        <vt:i4>0</vt:i4>
      </vt:variant>
      <vt:variant>
        <vt:i4>5</vt:i4>
      </vt:variant>
      <vt:variant>
        <vt:lpwstr>https://www.ncbi.nlm.nih.gov/pubmed/?term=Praktiknjo%20M%5BAuthor%5D&amp;cauthor=true&amp;cauthor_uid=29059469</vt:lpwstr>
      </vt:variant>
      <vt:variant>
        <vt:lpwstr/>
      </vt:variant>
      <vt:variant>
        <vt:i4>131114</vt:i4>
      </vt:variant>
      <vt:variant>
        <vt:i4>18</vt:i4>
      </vt:variant>
      <vt:variant>
        <vt:i4>0</vt:i4>
      </vt:variant>
      <vt:variant>
        <vt:i4>5</vt:i4>
      </vt:variant>
      <vt:variant>
        <vt:lpwstr>https://www.ncbi.nlm.nih.gov/pubmed/?term=Myers%20RP%5BAuthor%5D&amp;cauthor=true&amp;cauthor_uid=26181291</vt:lpwstr>
      </vt:variant>
      <vt:variant>
        <vt:lpwstr/>
      </vt:variant>
      <vt:variant>
        <vt:i4>5111922</vt:i4>
      </vt:variant>
      <vt:variant>
        <vt:i4>15</vt:i4>
      </vt:variant>
      <vt:variant>
        <vt:i4>0</vt:i4>
      </vt:variant>
      <vt:variant>
        <vt:i4>5</vt:i4>
      </vt:variant>
      <vt:variant>
        <vt:lpwstr>https://www.ncbi.nlm.nih.gov/pubmed/?term=Esfandiari%20N%5BAuthor%5D&amp;cauthor=true&amp;cauthor_uid=26181291</vt:lpwstr>
      </vt:variant>
      <vt:variant>
        <vt:lpwstr/>
      </vt:variant>
      <vt:variant>
        <vt:i4>3538948</vt:i4>
      </vt:variant>
      <vt:variant>
        <vt:i4>12</vt:i4>
      </vt:variant>
      <vt:variant>
        <vt:i4>0</vt:i4>
      </vt:variant>
      <vt:variant>
        <vt:i4>5</vt:i4>
      </vt:variant>
      <vt:variant>
        <vt:lpwstr>https://www.ncbi.nlm.nih.gov/pubmed/?term=Beaumont%20C%5BAuthor%5D&amp;cauthor=true&amp;cauthor_uid=26181291</vt:lpwstr>
      </vt:variant>
      <vt:variant>
        <vt:lpwstr/>
      </vt:variant>
      <vt:variant>
        <vt:i4>1441911</vt:i4>
      </vt:variant>
      <vt:variant>
        <vt:i4>9</vt:i4>
      </vt:variant>
      <vt:variant>
        <vt:i4>0</vt:i4>
      </vt:variant>
      <vt:variant>
        <vt:i4>5</vt:i4>
      </vt:variant>
      <vt:variant>
        <vt:lpwstr>https://www.ncbi.nlm.nih.gov/pubmed/?term=Pang%20JX%5BAuthor%5D&amp;cauthor=true&amp;cauthor_uid=26181291</vt:lpwstr>
      </vt:variant>
      <vt:variant>
        <vt:lpwstr/>
      </vt:variant>
      <vt:variant>
        <vt:i4>5832725</vt:i4>
      </vt:variant>
      <vt:variant>
        <vt:i4>6</vt:i4>
      </vt:variant>
      <vt:variant>
        <vt:i4>0</vt:i4>
      </vt:variant>
      <vt:variant>
        <vt:i4>5</vt:i4>
      </vt:variant>
      <vt:variant>
        <vt:lpwstr>https://doi.org/10.1016/j.cgh.2013.05.010</vt:lpwstr>
      </vt:variant>
      <vt:variant>
        <vt:lpwstr/>
      </vt:variant>
      <vt:variant>
        <vt:i4>720991</vt:i4>
      </vt:variant>
      <vt:variant>
        <vt:i4>3</vt:i4>
      </vt:variant>
      <vt:variant>
        <vt:i4>0</vt:i4>
      </vt:variant>
      <vt:variant>
        <vt:i4>5</vt:i4>
      </vt:variant>
      <vt:variant>
        <vt:lpwstr>https://www.ncbi.nlm.nih.gov/pubmed/23707462</vt:lpwstr>
      </vt:variant>
      <vt:variant>
        <vt:lpwstr/>
      </vt:variant>
      <vt:variant>
        <vt:i4>5505118</vt:i4>
      </vt:variant>
      <vt:variant>
        <vt:i4>0</vt:i4>
      </vt:variant>
      <vt:variant>
        <vt:i4>0</vt:i4>
      </vt:variant>
      <vt:variant>
        <vt:i4>5</vt:i4>
      </vt:variant>
      <vt:variant>
        <vt:lpwstr>https://doi-org.ezproxy.uniroma1.it/10.1007/s11011-005-7922-4</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4522003</vt:i4>
      </vt:variant>
      <vt:variant>
        <vt:i4>3</vt:i4>
      </vt:variant>
      <vt:variant>
        <vt:i4>0</vt:i4>
      </vt:variant>
      <vt:variant>
        <vt:i4>5</vt:i4>
      </vt:variant>
      <vt:variant>
        <vt:lpwstr>http://www.ncbi.nlm.nih.gov/entrez/query.fcgi?db=PubMed)</vt:lpwstr>
      </vt:variant>
      <vt:variant>
        <vt:lpwstr/>
      </vt:variant>
      <vt:variant>
        <vt:i4>7929888</vt:i4>
      </vt:variant>
      <vt:variant>
        <vt:i4>0</vt:i4>
      </vt:variant>
      <vt:variant>
        <vt:i4>0</vt:i4>
      </vt:variant>
      <vt:variant>
        <vt:i4>5</vt:i4>
      </vt:variant>
      <vt:variant>
        <vt:lpwstr>https://orcid.org/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EFFICACY OF TIPS CREATED WITH COVERED STENTS WITH DIFFERENT DIAMETER: RESULTS OF A RANDOMIZED CONTROLLED TRIAL</dc:title>
  <dc:subject/>
  <dc:creator>Stefy</dc:creator>
  <cp:keywords/>
  <cp:lastModifiedBy>HP</cp:lastModifiedBy>
  <cp:revision>2</cp:revision>
  <cp:lastPrinted>2016-02-15T12:50:00Z</cp:lastPrinted>
  <dcterms:created xsi:type="dcterms:W3CDTF">2019-08-24T04:26:00Z</dcterms:created>
  <dcterms:modified xsi:type="dcterms:W3CDTF">2019-08-24T04:26:00Z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