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EB4FA" w14:textId="0F243884" w:rsidR="00555791" w:rsidRPr="00BC4692" w:rsidRDefault="00555791" w:rsidP="007960F8">
      <w:pPr>
        <w:snapToGrid w:val="0"/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bookmarkStart w:id="0" w:name="_Hlk10708186"/>
      <w:r w:rsidRPr="00BC4692">
        <w:rPr>
          <w:rFonts w:ascii="Book Antiqua" w:hAnsi="Book Antiqua"/>
          <w:b/>
          <w:color w:val="000000"/>
          <w:sz w:val="24"/>
          <w:szCs w:val="24"/>
        </w:rPr>
        <w:t xml:space="preserve">Name of Journal: </w:t>
      </w:r>
      <w:r w:rsidRPr="00BC4692">
        <w:rPr>
          <w:rFonts w:ascii="Book Antiqua" w:hAnsi="Book Antiqua"/>
          <w:b/>
          <w:i/>
          <w:color w:val="000000"/>
          <w:sz w:val="24"/>
          <w:szCs w:val="24"/>
        </w:rPr>
        <w:t>World Journal of Hepatology</w:t>
      </w:r>
    </w:p>
    <w:p w14:paraId="7BD1D506" w14:textId="4D6F293A" w:rsidR="00555791" w:rsidRPr="00BC4692" w:rsidRDefault="00555791" w:rsidP="007960F8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/>
          <w:sz w:val="24"/>
          <w:szCs w:val="24"/>
          <w:lang w:val="en"/>
        </w:rPr>
      </w:pPr>
      <w:r w:rsidRPr="00BC4692">
        <w:rPr>
          <w:rFonts w:ascii="Book Antiqua" w:eastAsia="Times New Roman" w:hAnsi="Book Antiqua"/>
          <w:b/>
          <w:bCs/>
          <w:color w:val="000000"/>
          <w:sz w:val="24"/>
          <w:szCs w:val="24"/>
        </w:rPr>
        <w:t>Manuscript NO</w:t>
      </w:r>
      <w:r w:rsidRPr="00BC4692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 w:rsidRPr="00BC4692">
        <w:rPr>
          <w:rFonts w:ascii="Book Antiqua" w:eastAsia="宋体" w:hAnsi="Book Antiqua" w:cs="Arial"/>
          <w:b/>
          <w:color w:val="000000"/>
          <w:sz w:val="24"/>
          <w:szCs w:val="24"/>
          <w:lang w:val="en" w:eastAsia="zh-CN"/>
        </w:rPr>
        <w:t>50212</w:t>
      </w:r>
    </w:p>
    <w:p w14:paraId="3BE65146" w14:textId="50B9789F" w:rsidR="00555791" w:rsidRPr="00BC4692" w:rsidRDefault="00555791" w:rsidP="007960F8">
      <w:pPr>
        <w:snapToGrid w:val="0"/>
        <w:spacing w:line="360" w:lineRule="auto"/>
        <w:rPr>
          <w:rFonts w:ascii="Book Antiqua" w:hAnsi="Book Antiqua"/>
          <w:b/>
          <w:caps/>
          <w:color w:val="000000"/>
          <w:sz w:val="24"/>
          <w:szCs w:val="24"/>
        </w:rPr>
      </w:pPr>
      <w:r w:rsidRPr="00BC4692">
        <w:rPr>
          <w:rFonts w:ascii="Book Antiqua" w:hAnsi="Book Antiqua"/>
          <w:b/>
          <w:color w:val="000000"/>
          <w:sz w:val="24"/>
          <w:szCs w:val="24"/>
        </w:rPr>
        <w:t xml:space="preserve">Manuscript Type: </w:t>
      </w:r>
      <w:r w:rsidRPr="00BC4692">
        <w:rPr>
          <w:rFonts w:ascii="Book Antiqua" w:hAnsi="Book Antiqua" w:cstheme="majorHAnsi"/>
          <w:b/>
          <w:caps/>
          <w:color w:val="000000" w:themeColor="text1"/>
          <w:sz w:val="24"/>
          <w:szCs w:val="24"/>
        </w:rPr>
        <w:t>Case Report</w:t>
      </w:r>
    </w:p>
    <w:bookmarkEnd w:id="0"/>
    <w:p w14:paraId="7B8ABE43" w14:textId="77777777" w:rsidR="00E74B71" w:rsidRPr="00BC4692" w:rsidRDefault="00E74B71" w:rsidP="007960F8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</w:pPr>
    </w:p>
    <w:p w14:paraId="700027F3" w14:textId="630FCF76" w:rsidR="00A35617" w:rsidRPr="00E5463F" w:rsidRDefault="00A35617" w:rsidP="007960F8">
      <w:pPr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Cholangiocarcinoma after flow</w:t>
      </w:r>
      <w:r w:rsid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diversion surgery for congenital</w:t>
      </w:r>
      <w:r w:rsid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biliary dilatation: A case report</w:t>
      </w:r>
      <w:r w:rsidR="0044323E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44323E" w:rsidRPr="0044323E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review of literature</w:t>
      </w:r>
    </w:p>
    <w:p w14:paraId="0C4BAC2D" w14:textId="6D48F8D7" w:rsidR="00CA2CAF" w:rsidRPr="00A35617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72ACB11" w14:textId="1706AE63" w:rsidR="00BC4692" w:rsidRPr="00BC4692" w:rsidRDefault="004D382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R </w:t>
      </w:r>
      <w:r w:rsidRPr="004D3820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et al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BC4692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Cholangiocarcinoma after flow diversion surgery</w:t>
      </w:r>
    </w:p>
    <w:p w14:paraId="237F443F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05107D4" w14:textId="2CA5E114" w:rsidR="007974DA" w:rsidRPr="00BC4692" w:rsidRDefault="007974DA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Ryo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Takashi Ito, Toshihiko Masui, Satoru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Takamichi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Ishii, Satoshi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Ogiso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Shintaro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Yagi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Kojiro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Taura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Shinji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Uemoto</w:t>
      </w:r>
      <w:proofErr w:type="spellEnd"/>
    </w:p>
    <w:p w14:paraId="7F80E885" w14:textId="77777777" w:rsidR="00BC4692" w:rsidRPr="00BC4692" w:rsidRDefault="00BC4692" w:rsidP="007960F8">
      <w:pPr>
        <w:spacing w:line="360" w:lineRule="auto"/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</w:pPr>
    </w:p>
    <w:p w14:paraId="1594DD3E" w14:textId="6D417A41" w:rsidR="00E74B71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Ryo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Ataka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Takashi Ito, Toshihiko Masui, Satoru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Seo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Takamichi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Ishii, Satoshi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Ogiso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Shintaro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Yagi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Kojiro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Taura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, Shinji </w:t>
      </w:r>
      <w:proofErr w:type="spellStart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Uemoto</w:t>
      </w:r>
      <w:proofErr w:type="spellEnd"/>
      <w:r w:rsidRPr="00BC4692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,</w:t>
      </w:r>
      <w:r w:rsidRPr="00BC4692">
        <w:rPr>
          <w:rFonts w:ascii="宋体" w:eastAsia="宋体" w:hAnsi="宋体" w:cs="Arial"/>
          <w:color w:val="000000" w:themeColor="text1"/>
          <w:sz w:val="24"/>
          <w:szCs w:val="24"/>
          <w:lang w:eastAsia="zh-CN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Department of </w:t>
      </w:r>
      <w:proofErr w:type="spellStart"/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Hepato</w:t>
      </w:r>
      <w:proofErr w:type="spellEnd"/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-Biliary-Pancreatic Surgery and Transplantation,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Graduate School of Medicine, Kyoto University, 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Kyoto 606-8507,</w:t>
      </w:r>
      <w:r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Japan</w:t>
      </w:r>
    </w:p>
    <w:p w14:paraId="0AF84188" w14:textId="77777777" w:rsidR="00141332" w:rsidRPr="00D41AB5" w:rsidRDefault="0014133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3C7C90F" w14:textId="765CB792" w:rsidR="00D41AB5" w:rsidRPr="00D41AB5" w:rsidRDefault="00CA2CAF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D41AB5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ORCID number:</w:t>
      </w:r>
      <w:r w:rsidRPr="00D41AB5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Ryo </w:t>
      </w:r>
      <w:proofErr w:type="spellStart"/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>Ataka</w:t>
      </w:r>
      <w:proofErr w:type="spellEnd"/>
      <w:r w:rsidR="00FC0B6B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 (0000-0002-4314-4034)</w:t>
      </w:r>
      <w:r w:rsidR="00D41AB5" w:rsidRPr="00D41AB5">
        <w:rPr>
          <w:rFonts w:ascii="Book Antiqua" w:hAnsi="Book Antiqua" w:cs="Arial"/>
          <w:color w:val="000000" w:themeColor="text1"/>
          <w:sz w:val="24"/>
          <w:szCs w:val="24"/>
          <w:shd w:val="clear" w:color="auto" w:fill="FFFFFF"/>
        </w:rPr>
        <w:t xml:space="preserve">; 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Takashi Ito (</w:t>
      </w:r>
      <w:r w:rsidR="00D41AB5" w:rsidRPr="00D41AB5">
        <w:rPr>
          <w:rFonts w:ascii="Book Antiqua" w:hAnsi="Book Antiqua" w:cstheme="majorHAnsi"/>
          <w:color w:val="494A4C"/>
          <w:sz w:val="24"/>
          <w:szCs w:val="24"/>
          <w:shd w:val="clear" w:color="auto" w:fill="FFFFFF"/>
        </w:rPr>
        <w:t>0000-0002-5892-8317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Toshihiko Masui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0000-0002-4001-4824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Satoru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0000-0001-9539-8098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Takamichi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Ishii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</w:rPr>
        <w:t>0000-0002-7461-9653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Satoshi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Ogiso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0000-0002-9577-330X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Shintaro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Yagi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hyperlink r:id="rId9" w:tgtFrame="_blank" w:history="1">
        <w:r w:rsidR="00D41AB5" w:rsidRPr="00D41AB5">
          <w:rPr>
            <w:rStyle w:val="a4"/>
            <w:rFonts w:ascii="Book Antiqua" w:hAnsi="Book Antiqua" w:cstheme="majorHAnsi"/>
            <w:color w:val="000000" w:themeColor="text1"/>
            <w:sz w:val="24"/>
            <w:szCs w:val="24"/>
            <w:u w:val="none"/>
          </w:rPr>
          <w:t>0000-0001-7465-5761</w:t>
        </w:r>
      </w:hyperlink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Kojiro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Taura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hyperlink r:id="rId10" w:tgtFrame="_blank" w:history="1">
        <w:r w:rsidR="00D41AB5" w:rsidRPr="00D41AB5">
          <w:rPr>
            <w:rStyle w:val="a4"/>
            <w:rFonts w:ascii="Book Antiqua" w:hAnsi="Book Antiqua" w:cstheme="majorHAnsi"/>
            <w:color w:val="000000" w:themeColor="text1"/>
            <w:sz w:val="24"/>
            <w:szCs w:val="24"/>
            <w:u w:val="none"/>
          </w:rPr>
          <w:t>0000-0003-4164-3988</w:t>
        </w:r>
      </w:hyperlink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;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Shinji </w:t>
      </w:r>
      <w:proofErr w:type="spellStart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Uemoto</w:t>
      </w:r>
      <w:proofErr w:type="spellEnd"/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(</w:t>
      </w:r>
      <w:r w:rsidR="00D41AB5" w:rsidRPr="00D41AB5">
        <w:rPr>
          <w:rFonts w:ascii="Book Antiqua" w:hAnsi="Book Antiqua" w:cstheme="majorHAnsi"/>
          <w:color w:val="222222"/>
          <w:sz w:val="24"/>
          <w:szCs w:val="24"/>
          <w:shd w:val="clear" w:color="auto" w:fill="FFFFFF"/>
        </w:rPr>
        <w:t>0000-0003-0126-9346</w:t>
      </w:r>
      <w:r w:rsidR="00D41AB5" w:rsidRPr="00D41AB5">
        <w:rPr>
          <w:rFonts w:ascii="Book Antiqua" w:eastAsia="MS Mincho" w:hAnsi="Book Antiqua" w:cs="Arial"/>
          <w:color w:val="000000" w:themeColor="text1"/>
          <w:sz w:val="24"/>
          <w:szCs w:val="24"/>
        </w:rPr>
        <w:t>)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>.</w:t>
      </w:r>
    </w:p>
    <w:p w14:paraId="461B19DB" w14:textId="3FE54A2D" w:rsidR="00CA2CAF" w:rsidRPr="00D41AB5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AFDC2D3" w14:textId="0BBCDB89" w:rsidR="009E5F5A" w:rsidRDefault="00CA2CAF" w:rsidP="007960F8">
      <w:pPr>
        <w:spacing w:line="360" w:lineRule="auto"/>
        <w:ind w:left="120" w:hangingChars="50" w:hanging="12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Author contributions:</w:t>
      </w: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="00BC4E8B">
        <w:rPr>
          <w:rFonts w:ascii="Book Antiqua" w:hAnsi="Book Antiqua" w:cstheme="majorHAnsi"/>
          <w:color w:val="000000" w:themeColor="text1"/>
          <w:sz w:val="24"/>
          <w:szCs w:val="24"/>
        </w:rPr>
        <w:t>Ataka</w:t>
      </w:r>
      <w:proofErr w:type="spellEnd"/>
      <w:r w:rsidR="00BC4E8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D3820">
        <w:rPr>
          <w:rFonts w:ascii="Book Antiqua" w:hAnsi="Book Antiqua" w:cstheme="majorHAnsi"/>
          <w:color w:val="000000" w:themeColor="text1"/>
          <w:sz w:val="24"/>
          <w:szCs w:val="24"/>
        </w:rPr>
        <w:t xml:space="preserve">R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designed and wrote the manuscript; 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Ito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D3820">
        <w:rPr>
          <w:rFonts w:ascii="Book Antiqua" w:hAnsi="Book Antiqua" w:cstheme="majorHAnsi"/>
          <w:color w:val="000000" w:themeColor="text1"/>
          <w:sz w:val="24"/>
          <w:szCs w:val="24"/>
        </w:rPr>
        <w:t xml:space="preserve">T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performed operation and edited the manuscript; 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Masui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Seo</w:t>
      </w:r>
      <w:proofErr w:type="spellEnd"/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S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Ishii</w:t>
      </w:r>
      <w:r w:rsidR="004D3820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T</w:t>
      </w:r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and </w:t>
      </w:r>
      <w:proofErr w:type="spellStart"/>
      <w:r w:rsidR="009E5F5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lastRenderedPageBreak/>
        <w:t>Ogiso</w:t>
      </w:r>
      <w:proofErr w:type="spellEnd"/>
      <w:r w:rsidR="009E5F5A"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4D3820" w:rsidRPr="004D3820">
        <w:rPr>
          <w:rFonts w:ascii="Book Antiqua" w:hAnsi="Book Antiqua" w:cstheme="majorHAnsi"/>
          <w:bCs/>
          <w:color w:val="000000" w:themeColor="text1"/>
          <w:sz w:val="24"/>
          <w:szCs w:val="24"/>
        </w:rPr>
        <w:t>S</w:t>
      </w:r>
      <w:r w:rsidR="004D3820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performed operation; All authors discussed the results and contributed to the final manuscript.</w:t>
      </w:r>
    </w:p>
    <w:p w14:paraId="4194E2B5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5B9DBC2" w14:textId="2036621A" w:rsidR="002E34AC" w:rsidRDefault="00CA2CA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Informed consent statement:</w:t>
      </w:r>
      <w:r w:rsidR="00CE1A71"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 xml:space="preserve"> </w:t>
      </w:r>
      <w:r w:rsidR="00CE1A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patient agreed to allow his case to be published including any relevant laboratory data and images.</w:t>
      </w:r>
    </w:p>
    <w:p w14:paraId="615E43EE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6309BD5" w14:textId="6EADE6E2" w:rsidR="00CA2CAF" w:rsidRDefault="00CE1A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Conflict-of-</w:t>
      </w:r>
      <w:r w:rsidR="004D3820"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i</w:t>
      </w: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nterest statement:</w:t>
      </w:r>
      <w:r w:rsidR="00CA2CAF"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authors declare that they have no conflicts of interest.</w:t>
      </w:r>
    </w:p>
    <w:p w14:paraId="6254CC0C" w14:textId="77777777" w:rsidR="00BC4692" w:rsidRP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1D72C0C" w14:textId="158089D9" w:rsidR="00CE1A71" w:rsidRDefault="00CE1A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 xml:space="preserve">CARE Checklist (2016) statement: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authors have read the CARE checklist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the manuscript was prepared and reviewed according to the CARE checklist.</w:t>
      </w:r>
    </w:p>
    <w:p w14:paraId="7F350938" w14:textId="060A805D" w:rsidR="00BC4692" w:rsidRDefault="00BC469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C71DD09" w14:textId="77777777" w:rsidR="004D3820" w:rsidRDefault="004D3820" w:rsidP="007960F8">
      <w:pPr>
        <w:spacing w:line="360" w:lineRule="auto"/>
        <w:rPr>
          <w:rFonts w:ascii="Book Antiqua" w:hAnsi="Book Antiqua"/>
          <w:color w:val="000000"/>
          <w:sz w:val="24"/>
        </w:rPr>
      </w:pPr>
      <w:bookmarkStart w:id="1" w:name="OLE_LINK507"/>
      <w:bookmarkStart w:id="2" w:name="OLE_LINK506"/>
      <w:bookmarkStart w:id="3" w:name="OLE_LINK496"/>
      <w:bookmarkStart w:id="4" w:name="OLE_LINK479"/>
      <w:bookmarkStart w:id="5" w:name="OLE_LINK1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r w:rsidRPr="00C05FCE">
        <w:rPr>
          <w:rFonts w:ascii="Book Antiqua" w:hAnsi="Book Antiqua"/>
          <w:color w:val="000000"/>
          <w:sz w:val="24"/>
        </w:rPr>
        <w:t>This article is an open-access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article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which was selected by an in-house editor and fully peer-reviewed by external reviewers. It is distributed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in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>accordance</w:t>
      </w:r>
      <w:r w:rsidRPr="00C05FCE">
        <w:rPr>
          <w:rFonts w:ascii="Book Antiqua" w:hAnsi="Book Antiqua" w:hint="eastAsia"/>
          <w:color w:val="000000"/>
          <w:sz w:val="24"/>
        </w:rPr>
        <w:t xml:space="preserve"> </w:t>
      </w:r>
      <w:r w:rsidRPr="00C05FCE">
        <w:rPr>
          <w:rFonts w:ascii="Book Antiqua" w:hAnsi="Book Antiqua"/>
          <w:color w:val="000000"/>
          <w:sz w:val="24"/>
        </w:rPr>
        <w:t xml:space="preserve">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085E6E">
        <w:rPr>
          <w:rFonts w:ascii="Book Antiqua" w:hAnsi="Book Antiqua"/>
          <w:color w:val="000000"/>
          <w:sz w:val="24"/>
        </w:rPr>
        <w:t>http://creativecommons.org/licenses/by-nc/4.0/</w:t>
      </w:r>
      <w:bookmarkEnd w:id="1"/>
      <w:bookmarkEnd w:id="2"/>
      <w:bookmarkEnd w:id="3"/>
      <w:bookmarkEnd w:id="4"/>
    </w:p>
    <w:p w14:paraId="45DC16A5" w14:textId="77777777" w:rsidR="004D3820" w:rsidRDefault="004D3820" w:rsidP="007960F8">
      <w:pPr>
        <w:spacing w:line="360" w:lineRule="auto"/>
        <w:rPr>
          <w:rFonts w:ascii="Book Antiqua" w:hAnsi="Book Antiqua"/>
          <w:b/>
          <w:sz w:val="24"/>
        </w:rPr>
      </w:pPr>
      <w:bookmarkStart w:id="6" w:name="_Hlk17899658"/>
      <w:bookmarkEnd w:id="5"/>
    </w:p>
    <w:p w14:paraId="7739767C" w14:textId="36FDE8E3" w:rsidR="004D3820" w:rsidRDefault="004D3820" w:rsidP="007960F8">
      <w:pPr>
        <w:spacing w:line="360" w:lineRule="auto"/>
        <w:rPr>
          <w:rFonts w:ascii="Book Antiqua" w:hAnsi="Book Antiqua"/>
          <w:b/>
          <w:sz w:val="24"/>
        </w:rPr>
      </w:pPr>
      <w:r w:rsidRPr="00B757B8">
        <w:rPr>
          <w:rFonts w:ascii="Book Antiqua" w:hAnsi="Book Antiqua"/>
          <w:b/>
          <w:sz w:val="24"/>
        </w:rPr>
        <w:t xml:space="preserve">Manuscript source: </w:t>
      </w:r>
      <w:r w:rsidRPr="00B757B8">
        <w:rPr>
          <w:rFonts w:ascii="Book Antiqua" w:hAnsi="Book Antiqua"/>
          <w:sz w:val="24"/>
        </w:rPr>
        <w:t>Unsolicited manuscript</w:t>
      </w:r>
      <w:bookmarkEnd w:id="6"/>
    </w:p>
    <w:p w14:paraId="5BEB2AE7" w14:textId="77777777" w:rsidR="004D3820" w:rsidRPr="004D3820" w:rsidRDefault="004D382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6C190F6" w14:textId="37DB7363" w:rsidR="007974DA" w:rsidRPr="00BC4692" w:rsidRDefault="007974DA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BC4692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>Correspond</w:t>
      </w:r>
      <w:r w:rsidR="004D3820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>ing author</w:t>
      </w:r>
      <w:r w:rsidRPr="00BC4692">
        <w:rPr>
          <w:rFonts w:ascii="Book Antiqua" w:eastAsia="MS Mincho" w:hAnsi="Book Antiqua" w:cs="Arial"/>
          <w:b/>
          <w:iCs/>
          <w:color w:val="000000" w:themeColor="text1"/>
          <w:sz w:val="24"/>
          <w:szCs w:val="24"/>
        </w:rPr>
        <w:t xml:space="preserve">: </w:t>
      </w: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Takashi Ito, </w:t>
      </w:r>
      <w:r w:rsidR="00FA704C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MD, PhD, Doctor, Surgeon, Surgical </w:t>
      </w:r>
      <w:r w:rsidR="00FA704C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lastRenderedPageBreak/>
        <w:t>Oncologist,</w:t>
      </w:r>
      <w:r w:rsidR="00FA704C" w:rsidRPr="00FA704C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</w:t>
      </w:r>
      <w:r w:rsidR="00C4030D" w:rsidRPr="00C4030D">
        <w:rPr>
          <w:rFonts w:ascii="Book Antiqua" w:eastAsia="MS Mincho" w:hAnsi="Book Antiqua" w:cs="Arial"/>
          <w:color w:val="000000" w:themeColor="text1"/>
          <w:sz w:val="24"/>
          <w:szCs w:val="24"/>
        </w:rPr>
        <w:t>Department of Hepato-Biliary-Pancreatic Surgery and Transplantation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Graduate School of </w:t>
      </w:r>
      <w:r w:rsidR="006742E9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Medicine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Kyoto University, 54 Kawahara-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cho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Shogoin</w:t>
      </w:r>
      <w:proofErr w:type="spellEnd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, Sakyo-</w:t>
      </w:r>
      <w:proofErr w:type="spellStart"/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ku</w:t>
      </w:r>
      <w:proofErr w:type="spellEnd"/>
      <w:r w:rsidR="00A029BF">
        <w:rPr>
          <w:rFonts w:ascii="Book Antiqua" w:eastAsia="MS Mincho" w:hAnsi="Book Antiqua" w:cs="Arial"/>
          <w:color w:val="000000" w:themeColor="text1"/>
          <w:sz w:val="24"/>
          <w:szCs w:val="24"/>
        </w:rPr>
        <w:t>,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 Kyoto 606-8507, Japan</w:t>
      </w:r>
      <w:r w:rsidR="00FA704C">
        <w:rPr>
          <w:rFonts w:ascii="Book Antiqua" w:eastAsia="MS Mincho" w:hAnsi="Book Antiqua" w:cs="Arial"/>
          <w:color w:val="000000" w:themeColor="text1"/>
          <w:sz w:val="24"/>
          <w:szCs w:val="24"/>
        </w:rPr>
        <w:t xml:space="preserve">. </w:t>
      </w:r>
      <w:r w:rsidRPr="00BC4692">
        <w:rPr>
          <w:rFonts w:ascii="Book Antiqua" w:eastAsia="MS Mincho" w:hAnsi="Book Antiqua" w:cs="Arial"/>
          <w:color w:val="000000" w:themeColor="text1"/>
          <w:sz w:val="24"/>
          <w:szCs w:val="24"/>
          <w:shd w:val="clear" w:color="auto" w:fill="FFFFFF"/>
        </w:rPr>
        <w:t>itotaka@kuhp.kyoto-u.ac.jp</w:t>
      </w:r>
    </w:p>
    <w:p w14:paraId="1FFCD53A" w14:textId="02F28E5A" w:rsidR="00FA704C" w:rsidRDefault="00FA704C" w:rsidP="007960F8">
      <w:pPr>
        <w:spacing w:line="360" w:lineRule="auto"/>
        <w:rPr>
          <w:rFonts w:ascii="Book Antiqua" w:eastAsia="MS Mincho" w:hAnsi="Book Antiqua" w:cs="Arial"/>
          <w:color w:val="000000" w:themeColor="text1"/>
          <w:sz w:val="24"/>
          <w:szCs w:val="24"/>
        </w:rPr>
      </w:pP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Telep</w:t>
      </w:r>
      <w:r w:rsidR="007974DA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hone</w:t>
      </w: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>:</w:t>
      </w:r>
      <w:r w:rsidR="007974DA"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+81-75-7513242</w:t>
      </w:r>
    </w:p>
    <w:p w14:paraId="7AE32DF1" w14:textId="54C7AC63" w:rsidR="00CE1A71" w:rsidRPr="00BC4692" w:rsidRDefault="00FA704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FA704C">
        <w:rPr>
          <w:rFonts w:ascii="Book Antiqua" w:eastAsia="MS Mincho" w:hAnsi="Book Antiqua" w:cs="Arial"/>
          <w:b/>
          <w:bCs/>
          <w:color w:val="000000" w:themeColor="text1"/>
          <w:sz w:val="24"/>
          <w:szCs w:val="24"/>
        </w:rPr>
        <w:t xml:space="preserve">Fax: </w:t>
      </w:r>
      <w:r w:rsidR="007974DA" w:rsidRPr="00BC4692">
        <w:rPr>
          <w:rFonts w:ascii="Book Antiqua" w:eastAsia="MS Mincho" w:hAnsi="Book Antiqua" w:cs="Arial"/>
          <w:color w:val="000000" w:themeColor="text1"/>
          <w:sz w:val="24"/>
          <w:szCs w:val="24"/>
        </w:rPr>
        <w:t>+81-75-7514263</w:t>
      </w:r>
    </w:p>
    <w:p w14:paraId="78666B10" w14:textId="5FED8462" w:rsidR="00FB4AFB" w:rsidRDefault="00FB4AFB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B16918C" w14:textId="7BD57437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Received: </w:t>
      </w:r>
      <w:r w:rsidR="00067E84" w:rsidRPr="00067E84">
        <w:rPr>
          <w:rFonts w:ascii="Book Antiqua" w:hAnsi="Book Antiqua"/>
          <w:bCs/>
          <w:sz w:val="24"/>
        </w:rPr>
        <w:t>July 18, 2019</w:t>
      </w:r>
      <w:r w:rsidRPr="00867A3A">
        <w:rPr>
          <w:rFonts w:ascii="Book Antiqua" w:hAnsi="Book Antiqua"/>
          <w:b/>
          <w:sz w:val="24"/>
        </w:rPr>
        <w:t xml:space="preserve">  </w:t>
      </w:r>
    </w:p>
    <w:p w14:paraId="7BDA7149" w14:textId="73957E63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Peer-review started:</w:t>
      </w:r>
      <w:r w:rsidR="00067E84">
        <w:rPr>
          <w:rFonts w:ascii="Book Antiqua" w:hAnsi="Book Antiqua"/>
          <w:b/>
          <w:sz w:val="24"/>
        </w:rPr>
        <w:t xml:space="preserve"> </w:t>
      </w:r>
      <w:r w:rsidR="00067E84" w:rsidRPr="00067E84">
        <w:rPr>
          <w:rFonts w:ascii="Book Antiqua" w:hAnsi="Book Antiqua"/>
          <w:bCs/>
          <w:sz w:val="24"/>
        </w:rPr>
        <w:t xml:space="preserve">July </w:t>
      </w:r>
      <w:r w:rsidR="00067E84">
        <w:rPr>
          <w:rFonts w:ascii="Book Antiqua" w:hAnsi="Book Antiqua"/>
          <w:bCs/>
          <w:sz w:val="24"/>
        </w:rPr>
        <w:t>21</w:t>
      </w:r>
      <w:r w:rsidR="00067E84" w:rsidRPr="00067E84">
        <w:rPr>
          <w:rFonts w:ascii="Book Antiqua" w:hAnsi="Book Antiqua"/>
          <w:bCs/>
          <w:sz w:val="24"/>
        </w:rPr>
        <w:t>, 2019</w:t>
      </w:r>
    </w:p>
    <w:p w14:paraId="0638FE07" w14:textId="20E2CE59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>First decision:</w:t>
      </w:r>
      <w:r w:rsidR="00F77761">
        <w:rPr>
          <w:rFonts w:ascii="Book Antiqua" w:hAnsi="Book Antiqua"/>
          <w:b/>
          <w:sz w:val="24"/>
        </w:rPr>
        <w:t xml:space="preserve"> </w:t>
      </w:r>
      <w:r w:rsidR="00F77761" w:rsidRPr="00F77761">
        <w:rPr>
          <w:rFonts w:ascii="Book Antiqua" w:hAnsi="Book Antiqua"/>
          <w:bCs/>
          <w:sz w:val="24"/>
        </w:rPr>
        <w:t>August 7, 2019</w:t>
      </w:r>
    </w:p>
    <w:p w14:paraId="5375F370" w14:textId="47AE47B4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Revised: </w:t>
      </w:r>
      <w:r w:rsidR="00D56B33" w:rsidRPr="00F77761">
        <w:rPr>
          <w:rFonts w:ascii="Book Antiqua" w:hAnsi="Book Antiqua"/>
          <w:bCs/>
          <w:sz w:val="24"/>
        </w:rPr>
        <w:t xml:space="preserve">August </w:t>
      </w:r>
      <w:r w:rsidR="00D56B33">
        <w:rPr>
          <w:rFonts w:ascii="Book Antiqua" w:hAnsi="Book Antiqua"/>
          <w:bCs/>
          <w:sz w:val="24"/>
        </w:rPr>
        <w:t>19</w:t>
      </w:r>
      <w:r w:rsidR="00D56B33" w:rsidRPr="00F77761">
        <w:rPr>
          <w:rFonts w:ascii="Book Antiqua" w:hAnsi="Book Antiqua"/>
          <w:bCs/>
          <w:sz w:val="24"/>
        </w:rPr>
        <w:t>, 2019</w:t>
      </w:r>
      <w:r w:rsidRPr="00867A3A">
        <w:rPr>
          <w:rFonts w:ascii="Book Antiqua" w:hAnsi="Book Antiqua"/>
          <w:b/>
          <w:sz w:val="24"/>
        </w:rPr>
        <w:t xml:space="preserve"> </w:t>
      </w:r>
    </w:p>
    <w:p w14:paraId="6F08DF8F" w14:textId="0EBC8DD9" w:rsidR="00C77D68" w:rsidRPr="00867A3A" w:rsidRDefault="00C77D68" w:rsidP="007960F8">
      <w:pPr>
        <w:spacing w:line="360" w:lineRule="auto"/>
        <w:rPr>
          <w:rFonts w:ascii="Book Antiqua" w:hAnsi="Book Antiqua"/>
          <w:b/>
          <w:sz w:val="24"/>
        </w:rPr>
      </w:pPr>
      <w:r w:rsidRPr="00867A3A">
        <w:rPr>
          <w:rFonts w:ascii="Book Antiqua" w:hAnsi="Book Antiqua"/>
          <w:b/>
          <w:sz w:val="24"/>
        </w:rPr>
        <w:t xml:space="preserve">Accepted: </w:t>
      </w:r>
      <w:r w:rsidR="005C14CF" w:rsidRPr="005C14CF">
        <w:rPr>
          <w:rFonts w:ascii="Book Antiqua" w:hAnsi="Book Antiqua"/>
          <w:bCs/>
          <w:sz w:val="24"/>
        </w:rPr>
        <w:t>October 2, 2019</w:t>
      </w:r>
      <w:r w:rsidRPr="00867A3A">
        <w:rPr>
          <w:rFonts w:ascii="Book Antiqua" w:hAnsi="Book Antiqua"/>
          <w:b/>
          <w:sz w:val="24"/>
        </w:rPr>
        <w:t xml:space="preserve"> </w:t>
      </w:r>
    </w:p>
    <w:p w14:paraId="427562EA" w14:textId="085FE4F6" w:rsidR="00C77D68" w:rsidRPr="00B67CF3" w:rsidRDefault="00C77D68" w:rsidP="007960F8">
      <w:pPr>
        <w:spacing w:line="360" w:lineRule="auto"/>
        <w:rPr>
          <w:rFonts w:ascii="Book Antiqua" w:eastAsia="宋体" w:hAnsi="Book Antiqua" w:hint="eastAsia"/>
          <w:b/>
          <w:sz w:val="24"/>
          <w:lang w:eastAsia="zh-CN"/>
        </w:rPr>
      </w:pPr>
      <w:r w:rsidRPr="00867A3A">
        <w:rPr>
          <w:rFonts w:ascii="Book Antiqua" w:hAnsi="Book Antiqua"/>
          <w:b/>
          <w:sz w:val="24"/>
        </w:rPr>
        <w:t>Article in press:</w:t>
      </w:r>
      <w:r w:rsidR="00B67CF3">
        <w:rPr>
          <w:rFonts w:ascii="Book Antiqua" w:eastAsia="宋体" w:hAnsi="Book Antiqua" w:hint="eastAsia"/>
          <w:b/>
          <w:sz w:val="24"/>
          <w:lang w:eastAsia="zh-CN"/>
        </w:rPr>
        <w:t xml:space="preserve"> </w:t>
      </w:r>
      <w:r w:rsidR="00B67CF3" w:rsidRPr="005C14CF">
        <w:rPr>
          <w:rFonts w:ascii="Book Antiqua" w:hAnsi="Book Antiqua"/>
          <w:bCs/>
          <w:sz w:val="24"/>
        </w:rPr>
        <w:t>October 2, 2019</w:t>
      </w:r>
    </w:p>
    <w:p w14:paraId="2C608F7D" w14:textId="450778A0" w:rsidR="00C77D68" w:rsidRPr="009E3692" w:rsidRDefault="00C77D68" w:rsidP="007960F8">
      <w:pPr>
        <w:spacing w:line="360" w:lineRule="auto"/>
        <w:rPr>
          <w:rFonts w:ascii="Book Antiqua" w:hAnsi="Book Antiqua"/>
          <w:sz w:val="24"/>
        </w:rPr>
      </w:pPr>
      <w:r w:rsidRPr="00867A3A">
        <w:rPr>
          <w:rFonts w:ascii="Book Antiqua" w:hAnsi="Book Antiqua"/>
          <w:b/>
          <w:sz w:val="24"/>
        </w:rPr>
        <w:t>Published online:</w:t>
      </w:r>
      <w:r w:rsidR="00B67CF3" w:rsidRPr="00B67CF3">
        <w:rPr>
          <w:rFonts w:ascii="Book Antiqua" w:hAnsi="Book Antiqua"/>
          <w:bCs/>
          <w:sz w:val="24"/>
        </w:rPr>
        <w:t xml:space="preserve"> </w:t>
      </w:r>
      <w:r w:rsidR="00B67CF3">
        <w:rPr>
          <w:rFonts w:ascii="Book Antiqua" w:eastAsia="宋体" w:hAnsi="Book Antiqua" w:hint="eastAsia"/>
          <w:bCs/>
          <w:sz w:val="24"/>
          <w:lang w:eastAsia="zh-CN"/>
        </w:rPr>
        <w:t xml:space="preserve">November </w:t>
      </w:r>
      <w:r w:rsidR="00B67CF3" w:rsidRPr="005C14CF">
        <w:rPr>
          <w:rFonts w:ascii="Book Antiqua" w:hAnsi="Book Antiqua"/>
          <w:bCs/>
          <w:sz w:val="24"/>
        </w:rPr>
        <w:t>2</w:t>
      </w:r>
      <w:r w:rsidR="00B67CF3">
        <w:rPr>
          <w:rFonts w:ascii="Book Antiqua" w:eastAsia="宋体" w:hAnsi="Book Antiqua" w:hint="eastAsia"/>
          <w:bCs/>
          <w:sz w:val="24"/>
          <w:lang w:eastAsia="zh-CN"/>
        </w:rPr>
        <w:t>7</w:t>
      </w:r>
      <w:r w:rsidR="00B67CF3" w:rsidRPr="005C14CF">
        <w:rPr>
          <w:rFonts w:ascii="Book Antiqua" w:hAnsi="Book Antiqua"/>
          <w:bCs/>
          <w:sz w:val="24"/>
        </w:rPr>
        <w:t>, 2019</w:t>
      </w:r>
    </w:p>
    <w:p w14:paraId="35FC9A37" w14:textId="77777777" w:rsidR="00FA704C" w:rsidRPr="00BC4692" w:rsidRDefault="00FA704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9DE852A" w14:textId="77777777" w:rsidR="00BC4692" w:rsidRDefault="00BC4692" w:rsidP="007960F8">
      <w:pPr>
        <w:pStyle w:val="BodyA"/>
        <w:spacing w:line="360" w:lineRule="auto"/>
        <w:jc w:val="both"/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</w:pPr>
      <w:bookmarkStart w:id="7" w:name="_Hlk11665235"/>
      <w:r w:rsidRPr="00E54824">
        <w:rPr>
          <w:rFonts w:ascii="Book Antiqua" w:eastAsia="宋体" w:hAnsi="Book Antiqua" w:cs="Book Antiqua"/>
          <w:b/>
          <w:bCs/>
          <w:color w:val="auto"/>
          <w:sz w:val="24"/>
          <w:szCs w:val="24"/>
          <w:lang w:eastAsia="zh-CN"/>
        </w:rPr>
        <w:t>Abstract</w:t>
      </w:r>
    </w:p>
    <w:p w14:paraId="0039F5A3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BACKGROUND</w:t>
      </w:r>
    </w:p>
    <w:p w14:paraId="40087F20" w14:textId="4A91298F" w:rsidR="008944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Pancreaticobiliary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(PBM) can be classified into two categories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congenital biliary dilatation (CBD)</w:t>
      </w:r>
      <w:r w:rsidR="00414F1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or PBM without biliary dilatation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and the management of PBM is often controversial. The treatment for PBM with CBD is prophylactic flow diversion surgery, and some authors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have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report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that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incidence of cancer after extrahepatic bile duct excision is less than 1%.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very rare case of intrahepatic cholangiocarcinoma 6 years after flow diversion surgery for PBM with CBD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reported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bookmarkEnd w:id="7"/>
    </w:p>
    <w:p w14:paraId="3DF42765" w14:textId="77777777" w:rsidR="00E5463F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8C6C7F3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CASE SUMMARY</w:t>
      </w:r>
    </w:p>
    <w:p w14:paraId="1AE13034" w14:textId="1AACF885" w:rsidR="008944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30-year-old man was diagnosed as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having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CBD,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 type IVA, because of abnormal liver enzyme profiles. He underwent flow diversion surgery and cholecystectomy, and the specimen showed adenocarcinoma foci, pT1,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IA.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Five</w:t>
      </w:r>
      <w:r w:rsidR="00BA78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a half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passed without any recurrence of bile duct cancer.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However,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6 years after his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peration, computed tomography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 gradually growing nodule in the bile duct. Fluorodeoxyglucose positron emission tomography showed high uptake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magnetic resonance imaging showed restricted diffusion signals.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 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ouble balloon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enteroscopy</w:t>
      </w:r>
      <w:proofErr w:type="spellEnd"/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nodule at the posterior bile </w:t>
      </w:r>
      <w:r w:rsidR="00DC4C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duct-jejunum anastomosis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was directly</w:t>
      </w:r>
      <w:r w:rsidR="00B33771" w:rsidRPr="00BC4692" w:rsidDel="00674CE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visualized, a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nd its biopsy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specimen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adenocarcinoma.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patient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underwent right lobectomy and biliary reconstruction. The pathological diagnosis was intraductal papillary neoplasm with high-grade intraepithelial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neoplasia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pTis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pN0,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0. The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patient’s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postoperative course was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neventful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he has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 recurrence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up to </w:t>
      </w:r>
      <w:r w:rsidR="00894492">
        <w:rPr>
          <w:rFonts w:ascii="Book Antiqua" w:hAnsi="Book Antiqua" w:cstheme="majorHAnsi"/>
          <w:color w:val="000000" w:themeColor="text1"/>
          <w:sz w:val="24"/>
          <w:szCs w:val="24"/>
        </w:rPr>
        <w:t>the present time.</w:t>
      </w:r>
    </w:p>
    <w:p w14:paraId="607879AB" w14:textId="77777777" w:rsidR="00E5463F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55D32959" w14:textId="77777777" w:rsidR="00E5463F" w:rsidRPr="00E5463F" w:rsidRDefault="00894492" w:rsidP="007960F8">
      <w:pPr>
        <w:spacing w:line="360" w:lineRule="auto"/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i/>
          <w:iCs/>
          <w:color w:val="000000" w:themeColor="text1"/>
          <w:sz w:val="24"/>
          <w:szCs w:val="24"/>
        </w:rPr>
        <w:t>CONCLUSION</w:t>
      </w:r>
    </w:p>
    <w:p w14:paraId="300DA06A" w14:textId="293AF4EE" w:rsidR="00E74B71" w:rsidRPr="00BC4692" w:rsidRDefault="00E74B71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This case suggests the necessity of careful observation after flow diversion surgery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especially when PBM with CBD</w:t>
      </w:r>
      <w:r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detected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adulthood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15CFBF81" w14:textId="77777777" w:rsidR="00E82FAD" w:rsidRPr="00BC4692" w:rsidRDefault="00E82FAD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5DF265CB" w14:textId="7C031139" w:rsidR="00BF7077" w:rsidRPr="00BC4692" w:rsidRDefault="00271C2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Key words: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Congenital biliary dilatation</w:t>
      </w:r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Pancreaticobiliary</w:t>
      </w:r>
      <w:proofErr w:type="spellEnd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Cholangiocarcinoma</w:t>
      </w:r>
      <w:proofErr w:type="spellEnd"/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Recurrence; </w:t>
      </w:r>
      <w:proofErr w:type="spellStart"/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>Metachronous</w:t>
      </w:r>
      <w:proofErr w:type="spellEnd"/>
      <w:r w:rsidR="001D76D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F7077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neoplasm</w:t>
      </w:r>
      <w:r w:rsidR="001B20B1">
        <w:rPr>
          <w:rFonts w:ascii="Book Antiqua" w:hAnsi="Book Antiqua" w:cstheme="majorHAnsi" w:hint="eastAsia"/>
          <w:color w:val="000000" w:themeColor="text1"/>
          <w:sz w:val="24"/>
          <w:szCs w:val="24"/>
        </w:rPr>
        <w:t>;</w:t>
      </w:r>
      <w:r w:rsidR="001B20B1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Case report</w:t>
      </w:r>
    </w:p>
    <w:p w14:paraId="373803D9" w14:textId="20E621D6" w:rsidR="00E82FAD" w:rsidRPr="00BC4692" w:rsidRDefault="00E82FAD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AF87345" w14:textId="77777777" w:rsidR="006F2935" w:rsidRPr="00BC4692" w:rsidRDefault="00BF707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lastRenderedPageBreak/>
        <w:t xml:space="preserve">© The Author(s) 2019.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Published by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Baishideng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Publishing Group Inc. All rights reserved.</w:t>
      </w:r>
    </w:p>
    <w:p w14:paraId="286B1D4C" w14:textId="77777777" w:rsidR="00F70AD4" w:rsidRPr="00BC4692" w:rsidRDefault="00F70AD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304FB092" w14:textId="2737C4F9" w:rsidR="006F2935" w:rsidRPr="00BC4692" w:rsidRDefault="00BF707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Cs/>
          <w:color w:val="000000" w:themeColor="text1"/>
          <w:sz w:val="24"/>
          <w:szCs w:val="24"/>
        </w:rPr>
        <w:t>Core tip:</w:t>
      </w: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Pancreaticobiliary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(PBM)</w:t>
      </w:r>
      <w:r w:rsidR="00A12ED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one of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risk factors for biliary tract cancer.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rare case of intrahepatic cholangiocarcinoma 6 years after flow diversion surgery for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congenital biliary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dilatation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02B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(CBD)</w:t>
      </w:r>
      <w:r w:rsidR="00402B6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presented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6849A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areful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follow-up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after flow diversion surgery </w:t>
      </w:r>
      <w:r w:rsidR="006849A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important to detect cholangiocarcinoma in its early stage,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especially when </w:t>
      </w:r>
      <w:r w:rsidR="00A12E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402B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6F2935"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detected in adulthood, and when 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cancer has already developed in the </w:t>
      </w:r>
      <w:r w:rsidR="006F2935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 duct.</w:t>
      </w:r>
    </w:p>
    <w:p w14:paraId="389EFD90" w14:textId="57C452D7" w:rsidR="00C76976" w:rsidRDefault="00C76976" w:rsidP="007960F8">
      <w:pPr>
        <w:spacing w:line="360" w:lineRule="auto"/>
        <w:rPr>
          <w:rFonts w:ascii="Book Antiqua" w:hAnsi="Book Antiqua" w:cstheme="majorHAnsi"/>
          <w:bCs/>
          <w:iCs/>
          <w:color w:val="000000" w:themeColor="text1"/>
          <w:sz w:val="24"/>
          <w:szCs w:val="24"/>
        </w:rPr>
      </w:pPr>
    </w:p>
    <w:p w14:paraId="0F07E3A7" w14:textId="77777777" w:rsidR="00B67CF3" w:rsidRDefault="00B67CF3" w:rsidP="00B67CF3">
      <w:pPr>
        <w:spacing w:line="360" w:lineRule="auto"/>
        <w:rPr>
          <w:rFonts w:ascii="Book Antiqua" w:eastAsia="宋体" w:hAnsi="Book Antiqua" w:cs="Arial" w:hint="eastAsia"/>
          <w:color w:val="000000"/>
          <w:sz w:val="24"/>
          <w:szCs w:val="24"/>
          <w:shd w:val="clear" w:color="auto" w:fill="FFFFFF"/>
          <w:lang w:eastAsia="zh-CN"/>
        </w:rPr>
      </w:pPr>
      <w:r w:rsidRPr="00B67CF3">
        <w:rPr>
          <w:rFonts w:ascii="Book Antiqua" w:eastAsia="宋体" w:hAnsi="Book Antiqua" w:cs="Arial" w:hint="eastAsia"/>
          <w:b/>
          <w:color w:val="000000"/>
          <w:sz w:val="24"/>
          <w:szCs w:val="24"/>
          <w:lang w:eastAsia="zh-CN"/>
        </w:rPr>
        <w:t>Citation:</w:t>
      </w:r>
      <w:r>
        <w:rPr>
          <w:rFonts w:ascii="Book Antiqua" w:eastAsia="宋体" w:hAnsi="Book Antiqua" w:cs="Arial" w:hint="eastAsia"/>
          <w:color w:val="000000"/>
          <w:sz w:val="24"/>
          <w:szCs w:val="24"/>
          <w:lang w:eastAsia="zh-CN"/>
        </w:rPr>
        <w:t xml:space="preserve">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Ataka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R, Ito T, Masui T,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Seo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S, Ishii T,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Ogiso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S,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Yagi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S,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Taura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K, </w:t>
      </w:r>
      <w:proofErr w:type="spellStart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>Uemoto</w:t>
      </w:r>
      <w:proofErr w:type="spellEnd"/>
      <w:r w:rsidRPr="00F735D1">
        <w:rPr>
          <w:rFonts w:ascii="Book Antiqua" w:eastAsia="MS Mincho" w:hAnsi="Book Antiqua" w:cs="Arial"/>
          <w:color w:val="000000"/>
          <w:sz w:val="24"/>
          <w:szCs w:val="24"/>
        </w:rPr>
        <w:t xml:space="preserve"> S. </w:t>
      </w:r>
      <w:proofErr w:type="spellStart"/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>Cholangiocarcinoma</w:t>
      </w:r>
      <w:proofErr w:type="spellEnd"/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after flow diversion surgery for congenital biliary dilatation: A case report and review of literature. </w:t>
      </w:r>
      <w:r w:rsidRPr="00F735D1">
        <w:rPr>
          <w:rFonts w:ascii="Book Antiqua" w:hAnsi="Book Antiqua" w:cs="Arial"/>
          <w:i/>
          <w:iCs/>
          <w:color w:val="000000"/>
          <w:sz w:val="24"/>
          <w:szCs w:val="24"/>
          <w:shd w:val="clear" w:color="auto" w:fill="FFFFFF"/>
        </w:rPr>
        <w:t xml:space="preserve">World J </w:t>
      </w:r>
      <w:proofErr w:type="spellStart"/>
      <w:r w:rsidRPr="00F735D1">
        <w:rPr>
          <w:rFonts w:ascii="Book Antiqua" w:hAnsi="Book Antiqua" w:cs="Arial"/>
          <w:i/>
          <w:iCs/>
          <w:color w:val="000000"/>
          <w:sz w:val="24"/>
          <w:szCs w:val="24"/>
          <w:shd w:val="clear" w:color="auto" w:fill="FFFFFF"/>
        </w:rPr>
        <w:t>Hepatol</w:t>
      </w:r>
      <w:proofErr w:type="spellEnd"/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2019; World J </w:t>
      </w:r>
      <w:proofErr w:type="spellStart"/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>Hepatol</w:t>
      </w:r>
      <w:proofErr w:type="spellEnd"/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2019; 11(11): </w:t>
      </w:r>
      <w:r w:rsidRPr="00F735D1">
        <w:rPr>
          <w:rFonts w:ascii="Book Antiqua" w:eastAsia="宋体" w:hAnsi="Book Antiqua" w:cs="Arial" w:hint="eastAsia"/>
          <w:color w:val="000000"/>
          <w:sz w:val="24"/>
          <w:szCs w:val="24"/>
          <w:shd w:val="clear" w:color="auto" w:fill="FFFFFF"/>
          <w:lang w:eastAsia="zh-CN"/>
        </w:rPr>
        <w:t>743</w:t>
      </w:r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>-</w:t>
      </w:r>
      <w:r w:rsidRPr="00F735D1">
        <w:rPr>
          <w:rFonts w:ascii="Book Antiqua" w:eastAsia="宋体" w:hAnsi="Book Antiqua" w:cs="Arial" w:hint="eastAsia"/>
          <w:color w:val="000000"/>
          <w:sz w:val="24"/>
          <w:szCs w:val="24"/>
          <w:shd w:val="clear" w:color="auto" w:fill="FFFFFF"/>
          <w:lang w:eastAsia="zh-CN"/>
        </w:rPr>
        <w:t>751</w:t>
      </w:r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0EA6C48E" w14:textId="24B95B02" w:rsidR="00B67CF3" w:rsidRDefault="00B67CF3" w:rsidP="00B67CF3">
      <w:pPr>
        <w:spacing w:line="360" w:lineRule="auto"/>
        <w:rPr>
          <w:rFonts w:ascii="Book Antiqua" w:eastAsia="宋体" w:hAnsi="Book Antiqua" w:cs="Arial" w:hint="eastAsia"/>
          <w:color w:val="000000"/>
          <w:sz w:val="24"/>
          <w:szCs w:val="24"/>
          <w:shd w:val="clear" w:color="auto" w:fill="FFFFFF"/>
          <w:lang w:eastAsia="zh-CN"/>
        </w:rPr>
      </w:pPr>
      <w:r w:rsidRPr="00B67CF3">
        <w:rPr>
          <w:rFonts w:ascii="Book Antiqua" w:hAnsi="Book Antiqua" w:cs="Arial"/>
          <w:b/>
          <w:color w:val="000000"/>
          <w:sz w:val="24"/>
          <w:szCs w:val="24"/>
          <w:shd w:val="clear" w:color="auto" w:fill="FFFFFF"/>
        </w:rPr>
        <w:t>URL:</w:t>
      </w:r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</w:t>
      </w:r>
      <w:hyperlink r:id="rId11" w:history="1">
        <w:r w:rsidRPr="00176CA3">
          <w:rPr>
            <w:rStyle w:val="a4"/>
            <w:rFonts w:ascii="Book Antiqua" w:hAnsi="Book Antiqua" w:cs="Arial"/>
            <w:sz w:val="24"/>
            <w:szCs w:val="24"/>
            <w:shd w:val="clear" w:color="auto" w:fill="FFFFFF"/>
          </w:rPr>
          <w:t>https://www.wjgnet.com/1948-5182/full/v11/i11/</w:t>
        </w:r>
        <w:r w:rsidRPr="00176CA3">
          <w:rPr>
            <w:rStyle w:val="a4"/>
            <w:rFonts w:ascii="Book Antiqua" w:eastAsia="宋体" w:hAnsi="Book Antiqua" w:cs="Arial" w:hint="eastAsia"/>
            <w:sz w:val="24"/>
            <w:szCs w:val="24"/>
            <w:shd w:val="clear" w:color="auto" w:fill="FFFFFF"/>
            <w:lang w:eastAsia="zh-CN"/>
          </w:rPr>
          <w:t>743</w:t>
        </w:r>
        <w:r w:rsidRPr="00176CA3">
          <w:rPr>
            <w:rStyle w:val="a4"/>
            <w:rFonts w:ascii="Book Antiqua" w:hAnsi="Book Antiqua" w:cs="Arial"/>
            <w:sz w:val="24"/>
            <w:szCs w:val="24"/>
            <w:shd w:val="clear" w:color="auto" w:fill="FFFFFF"/>
          </w:rPr>
          <w:t>.htm</w:t>
        </w:r>
      </w:hyperlink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24773AC7" w14:textId="2ECF3D39" w:rsidR="00B67CF3" w:rsidRPr="00F735D1" w:rsidRDefault="00B67CF3" w:rsidP="00B67CF3">
      <w:pPr>
        <w:spacing w:line="360" w:lineRule="auto"/>
        <w:rPr>
          <w:rFonts w:ascii="Book Antiqua" w:eastAsia="宋体" w:hAnsi="Book Antiqua" w:cs="Cambria" w:hint="eastAsia"/>
          <w:bCs/>
          <w:iCs/>
          <w:color w:val="000000"/>
          <w:sz w:val="24"/>
          <w:szCs w:val="24"/>
          <w:lang w:eastAsia="zh-CN"/>
        </w:rPr>
      </w:pPr>
      <w:r w:rsidRPr="00B67CF3">
        <w:rPr>
          <w:rFonts w:ascii="Book Antiqua" w:hAnsi="Book Antiqua" w:cs="Arial"/>
          <w:b/>
          <w:color w:val="000000"/>
          <w:sz w:val="24"/>
          <w:szCs w:val="24"/>
          <w:shd w:val="clear" w:color="auto" w:fill="FFFFFF"/>
        </w:rPr>
        <w:t>DOI:</w:t>
      </w:r>
      <w:r w:rsidRPr="00F735D1">
        <w:rPr>
          <w:rFonts w:ascii="Book Antiqua" w:hAnsi="Book Antiqua" w:cs="Arial"/>
          <w:color w:val="000000"/>
          <w:sz w:val="24"/>
          <w:szCs w:val="24"/>
          <w:shd w:val="clear" w:color="auto" w:fill="FFFFFF"/>
        </w:rPr>
        <w:t xml:space="preserve"> https://dx.doi.org/10.4254/wjh.v11.i11.</w:t>
      </w:r>
      <w:r w:rsidRPr="00F735D1">
        <w:rPr>
          <w:rFonts w:ascii="Book Antiqua" w:eastAsia="宋体" w:hAnsi="Book Antiqua" w:cs="Arial" w:hint="eastAsia"/>
          <w:color w:val="000000"/>
          <w:sz w:val="24"/>
          <w:szCs w:val="24"/>
          <w:shd w:val="clear" w:color="auto" w:fill="FFFFFF"/>
          <w:lang w:eastAsia="zh-CN"/>
        </w:rPr>
        <w:t>743</w:t>
      </w:r>
    </w:p>
    <w:p w14:paraId="21AAF426" w14:textId="77777777" w:rsidR="00A12ED2" w:rsidRPr="00B67CF3" w:rsidRDefault="00A12ED2" w:rsidP="007960F8">
      <w:pPr>
        <w:spacing w:line="360" w:lineRule="auto"/>
        <w:rPr>
          <w:rFonts w:ascii="Book Antiqua" w:hAnsi="Book Antiqua" w:cstheme="majorHAnsi"/>
          <w:bCs/>
          <w:iCs/>
          <w:color w:val="000000" w:themeColor="text1"/>
          <w:sz w:val="24"/>
          <w:szCs w:val="24"/>
        </w:rPr>
      </w:pPr>
    </w:p>
    <w:p w14:paraId="30767C18" w14:textId="77777777" w:rsidR="004F6D47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Introduction</w:t>
      </w:r>
    </w:p>
    <w:p w14:paraId="4C8378B7" w14:textId="5C2D9908" w:rsidR="00D611C3" w:rsidRPr="00BC4692" w:rsidRDefault="0006708B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Pancreaticobiliary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maljunction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E75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(PBM)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a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n uncommon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congeni</w:t>
      </w:r>
      <w:r w:rsidR="00B337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al anomaly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defined as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junction of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pancreatic and bile d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ucts outside the duodenal wall, allow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ing </w:t>
      </w:r>
      <w:r w:rsidR="005F232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reciprocal 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reflux of pancreatic juice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which is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carcinogen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ic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Thus</w:t>
      </w:r>
      <w:r w:rsidR="004E75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 is a high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-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risk factor for </w:t>
      </w:r>
      <w:r w:rsidR="004B14D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biliary tract cancer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and preventive surgery is necessary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5419AA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="00C97A5E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ongenital biliary dilatation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(CBD)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one type of PBM, is usually</w:t>
      </w:r>
      <w:r w:rsidR="005419A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treated with prophylactic flow diversion surgery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and t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 extent of intrahepatic 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and extrahepatic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 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resection is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often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gramStart"/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controversial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2]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5F232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rare </w:t>
      </w:r>
      <w:r w:rsidR="00DE656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case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 a young man who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developed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cholangiocarcinoma 6 years after flow diversion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surgery </w:t>
      </w:r>
      <w:r w:rsidR="00D611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f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or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</w:t>
      </w:r>
      <w:r w:rsidR="00305342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described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6ABACFB5" w14:textId="77777777" w:rsidR="00271C22" w:rsidRPr="00BC4692" w:rsidRDefault="00271C22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1BBF3AAF" w14:textId="77777777" w:rsidR="005334D3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Case presentation</w:t>
      </w:r>
    </w:p>
    <w:p w14:paraId="123AFC95" w14:textId="6D9786B5" w:rsidR="00F00B9F" w:rsidRDefault="00271C22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6D2BA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30-year-old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Japanese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man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found to have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liver dysfunction </w:t>
      </w:r>
      <w:r w:rsidR="00244A7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medical examination.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>H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 had no remarkable medical history,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not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any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medication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and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had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no allerg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ies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to any food or drug. 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visit</w:t>
      </w:r>
      <w:r w:rsidR="005334D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nearby 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hospital </w:t>
      </w:r>
      <w:r w:rsidR="00FC77F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3F1528" w:rsidRPr="00BC4692">
        <w:rPr>
          <w:rFonts w:ascii="Book Antiqua" w:hAnsi="Book Antiqua" w:cstheme="majorHAnsi"/>
          <w:color w:val="000000" w:themeColor="text1"/>
          <w:sz w:val="24"/>
          <w:szCs w:val="24"/>
        </w:rPr>
        <w:t>was diagnosed as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having</w:t>
      </w:r>
      <w:r w:rsidR="003F152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PBM with CBD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His common bile du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 showed cystic dilatation accompanied by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intrahepatic bile duct dilatation, which was classified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as </w:t>
      </w:r>
      <w:proofErr w:type="spellStart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type IV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42322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1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0E74F0" w:rsidRPr="0042322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the same year,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 underwent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cholecystect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omy and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flow diversion operation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that 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consisted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excision of the extrahepatic bile du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</w:t>
      </w:r>
      <w:r w:rsidR="00BF3CD2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iliary and </w:t>
      </w:r>
      <w:r w:rsidR="000E74F0" w:rsidRPr="00BC4692">
        <w:rPr>
          <w:rFonts w:ascii="Book Antiqua" w:hAnsi="Book Antiqua" w:cstheme="majorHAnsi"/>
          <w:color w:val="000000" w:themeColor="text1"/>
          <w:sz w:val="24"/>
          <w:szCs w:val="24"/>
        </w:rPr>
        <w:t>Roux-en-Y reconstruction</w:t>
      </w:r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7B734A" w:rsidRPr="00BC4692">
        <w:rPr>
          <w:rFonts w:ascii="Book Antiqua" w:hAnsi="Book Antiqua" w:cstheme="majorHAnsi"/>
          <w:color w:val="000000" w:themeColor="text1"/>
          <w:sz w:val="24"/>
          <w:szCs w:val="24"/>
        </w:rPr>
        <w:t>According to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>Union for International Cancer Control (UICC) 7</w:t>
      </w:r>
      <w:r w:rsidR="0085383E" w:rsidRPr="008D53FF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th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 xml:space="preserve"> </w:t>
      </w:r>
      <w:r w:rsidR="0085383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edition, 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histo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pathological specimen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show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ed adenocarcinoma foci, pT1,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Nx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proofErr w:type="spellStart"/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Stage</w:t>
      </w:r>
      <w:proofErr w:type="spellEnd"/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</w:t>
      </w:r>
      <w:r w:rsidR="00E82F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He did not have 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any adjuvant chemotherapy and five</w:t>
      </w:r>
      <w:r w:rsidR="00B2487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a half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passed without any recurrence of </w:t>
      </w:r>
      <w:r w:rsidR="00BD280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cancer.</w:t>
      </w:r>
    </w:p>
    <w:p w14:paraId="7C6C8FF0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2556E9E0" w14:textId="77777777" w:rsidR="00E5463F" w:rsidRPr="00E5463F" w:rsidRDefault="0028575A" w:rsidP="007960F8">
      <w:pPr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E5463F">
        <w:rPr>
          <w:rFonts w:ascii="Book Antiqua" w:hAnsi="Book Antiqua" w:cs="Arial"/>
          <w:b/>
          <w:bCs/>
          <w:color w:val="000000" w:themeColor="text1"/>
          <w:sz w:val="24"/>
          <w:szCs w:val="24"/>
          <w:shd w:val="clear" w:color="auto" w:fill="FFFFFF"/>
        </w:rPr>
        <w:t>MULTIDISCIPLINARY EXPERT CONSULTATION</w:t>
      </w:r>
    </w:p>
    <w:p w14:paraId="7BF88BA9" w14:textId="4522443B" w:rsidR="00CC3004" w:rsidRDefault="003569EA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However, s</w:t>
      </w:r>
      <w:r w:rsidR="00280B96" w:rsidRPr="00BC4692">
        <w:rPr>
          <w:rFonts w:ascii="Book Antiqua" w:hAnsi="Book Antiqua" w:cstheme="majorHAnsi"/>
          <w:color w:val="000000" w:themeColor="text1"/>
          <w:sz w:val="24"/>
          <w:szCs w:val="24"/>
        </w:rPr>
        <w:t>ix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years after his operation, fo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llow-up 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computed tomography (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CT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 gradually growing nodule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about 10 mm in diameter,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bile duct-jejunum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271C22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anastomosis</w:t>
      </w:r>
      <w:r w:rsidR="00E4682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42322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2</w:t>
      </w:r>
      <w:r w:rsidR="00E46825" w:rsidRPr="0042322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4F6D47" w:rsidRPr="0042322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Physical examination showed no abnormalities except for his previous operati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ve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scar. Laboratory tests were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nremarkable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including liver and biliary enzyme profiles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C40AE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Tumor markers 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were normal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</w:t>
      </w:r>
      <w:r w:rsidR="003A7F8C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carcinoembryonic antigen 0.8 n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g/mL and carbohydrate 19-9 6.4 U/mL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56726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Fluorodeoxyglucose positron emission tomography (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FDG-PET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showed high FDG uptake, and 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magnetic resonance imaging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showed restricted diffusion signals at the same nodul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ar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lesion. Double balloon </w:t>
      </w:r>
      <w:proofErr w:type="spellStart"/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e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nteroscopy</w:t>
      </w:r>
      <w:proofErr w:type="spellEnd"/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show</w:t>
      </w:r>
      <w:r w:rsidR="00B81575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lesion directly. There were four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anastomoses at the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proofErr w:type="spellStart"/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A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redd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ish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hemorrhagic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tumor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protruded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from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posterior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A3459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other three holes were intact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biopsy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specimen showed </w:t>
      </w:r>
      <w:r w:rsidR="004F6D47" w:rsidRPr="00BC4692">
        <w:rPr>
          <w:rFonts w:ascii="Book Antiqua" w:hAnsi="Book Antiqua" w:cstheme="majorHAnsi"/>
          <w:color w:val="000000" w:themeColor="text1"/>
          <w:sz w:val="24"/>
          <w:szCs w:val="24"/>
        </w:rPr>
        <w:t>adenocarcinoma</w:t>
      </w:r>
      <w:r w:rsidR="00CC300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C3004" w:rsidRPr="006402DB">
        <w:rPr>
          <w:rFonts w:ascii="Book Antiqua" w:hAnsi="Book Antiqua" w:cstheme="majorHAnsi"/>
          <w:color w:val="000000" w:themeColor="text1"/>
          <w:sz w:val="24"/>
          <w:szCs w:val="24"/>
        </w:rPr>
        <w:t>(Figure</w:t>
      </w:r>
      <w:r w:rsidR="00052649" w:rsidRP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3</w:t>
      </w:r>
      <w:r w:rsidR="00CC3004" w:rsidRPr="006402DB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1666B6" w:rsidRPr="006402DB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2E44601D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B9B82FB" w14:textId="77777777" w:rsidR="00E5463F" w:rsidRPr="00E5463F" w:rsidRDefault="0028575A" w:rsidP="007960F8">
      <w:pPr>
        <w:spacing w:line="360" w:lineRule="auto"/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FINAL DIAGNSIS AND TREATMENT</w:t>
      </w:r>
    </w:p>
    <w:p w14:paraId="0912C0B1" w14:textId="4EA059BC" w:rsidR="00480AA9" w:rsidRDefault="004F6D4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One month after percutaneous transhepatic portal embolization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 prevent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postope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rative liver failure due to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small 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remnant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liver volume</w:t>
      </w:r>
      <w:r w:rsidR="001759A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less than 30%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underwent right lobectomy,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biliary reconstruction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regional lymph node dissection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 laparotomy, there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severe adhesion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C50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due to his previous operation.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Right lobec</w:t>
      </w:r>
      <w:r w:rsidR="00F36FC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tomy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performed with dissection of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right hepatic artery, right portal vein, right hepatic vein, hilar bile ducts, and Roux-en-Y jejunum with </w:t>
      </w:r>
      <w:proofErr w:type="spellStart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. The remain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ing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ducts in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hilar plate were three holes of B1, B2 plus B3, and B4. </w:t>
      </w:r>
      <w:r w:rsidR="008F1705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</w:t>
      </w:r>
      <w:r w:rsidR="00A12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8F170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reconstruction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was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performed by new </w:t>
      </w:r>
      <w:proofErr w:type="spellStart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cholangiojejunostomy</w:t>
      </w:r>
      <w:proofErr w:type="spellEnd"/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with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9E0685" w:rsidRPr="00BC4692">
        <w:rPr>
          <w:rFonts w:ascii="Book Antiqua" w:hAnsi="Book Antiqua" w:cstheme="majorHAnsi"/>
          <w:color w:val="000000" w:themeColor="text1"/>
          <w:sz w:val="24"/>
          <w:szCs w:val="24"/>
        </w:rPr>
        <w:t>one-hole anastomosis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The Roux-en-Y reconstruction was also performed by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983F7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new jejunojejunostomy.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histo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patho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logical diagnosis was intraductal papillary neoplasm 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duct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 high-g</w:t>
      </w:r>
      <w:r w:rsidR="001666B6" w:rsidRPr="00BC4692">
        <w:rPr>
          <w:rFonts w:ascii="Book Antiqua" w:hAnsi="Book Antiqua" w:cstheme="majorHAnsi"/>
          <w:color w:val="000000" w:themeColor="text1"/>
          <w:sz w:val="24"/>
          <w:szCs w:val="24"/>
        </w:rPr>
        <w:t>rade intraepithelial neoplasia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were no other abnormal findings in other intrahepatic bile ducts, including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>anterior and posterior branches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with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negative bile duct margin</w:t>
      </w:r>
      <w:r w:rsidR="00A72BA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d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issected lymph nodes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showed </w:t>
      </w:r>
      <w:r w:rsidR="00480AA9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no evidence of malignancy. 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According to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>UICC 8</w:t>
      </w:r>
      <w:r w:rsidR="00D07E7C" w:rsidRPr="008D53FF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th</w:t>
      </w:r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edition,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>pTNM</w:t>
      </w:r>
      <w:proofErr w:type="spellEnd"/>
      <w:r w:rsidR="00D07E7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was </w:t>
      </w:r>
      <w:proofErr w:type="spellStart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pTis</w:t>
      </w:r>
      <w:proofErr w:type="spellEnd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pN0, </w:t>
      </w:r>
      <w:proofErr w:type="spellStart"/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pStage</w:t>
      </w:r>
      <w:proofErr w:type="spellEnd"/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0 (</w:t>
      </w:r>
      <w:r w:rsidR="002E6B20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>Figure</w:t>
      </w:r>
      <w:r w:rsidR="00052649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 xml:space="preserve"> 4</w:t>
      </w:r>
      <w:r w:rsidR="002E6B20" w:rsidRPr="00BC4692">
        <w:rPr>
          <w:rFonts w:ascii="Book Antiqua" w:hAnsi="Book Antiqua" w:cstheme="majorHAnsi"/>
          <w:color w:val="000000" w:themeColor="text1"/>
          <w:sz w:val="24"/>
          <w:szCs w:val="24"/>
        </w:rPr>
        <w:t>).</w:t>
      </w:r>
    </w:p>
    <w:p w14:paraId="49A9BC68" w14:textId="77777777" w:rsidR="00E5463F" w:rsidRPr="00BC4692" w:rsidRDefault="00E5463F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B39CF18" w14:textId="77777777" w:rsidR="00E5463F" w:rsidRPr="00E5463F" w:rsidRDefault="0028575A" w:rsidP="007960F8">
      <w:pPr>
        <w:spacing w:line="360" w:lineRule="auto"/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OUTCOME AND FOLLOW-UP</w:t>
      </w:r>
    </w:p>
    <w:p w14:paraId="2F77082A" w14:textId="46BAE6EC" w:rsidR="0057632A" w:rsidRPr="00BC4692" w:rsidRDefault="00583BDC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patient’s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postoperative course was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u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neventful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he was discharged on the 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24th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postoperative day</w:t>
      </w:r>
      <w:r w:rsidR="003569E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has been no evidence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re-recurrence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up to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present time.</w:t>
      </w:r>
    </w:p>
    <w:p w14:paraId="04810023" w14:textId="77777777" w:rsidR="0057632A" w:rsidRPr="00BC4692" w:rsidRDefault="0057632A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63EF0020" w14:textId="77777777" w:rsidR="00271C22" w:rsidRPr="00E5463F" w:rsidRDefault="00271C22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Discussion</w:t>
      </w:r>
    </w:p>
    <w:p w14:paraId="62E4BB6B" w14:textId="789F6B04" w:rsidR="000F3D00" w:rsidRPr="00BC4692" w:rsidRDefault="00D9791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a congeni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al anomaly defined as junction of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pancreatic and bile ducts outside the duodenal wall. Because of the abnormally located junction, the sphincter of Oddi does not work effectively.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eciprocal reflux of pancreatic juice and bile occurs, which in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tro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duces carcinogenic chemicals such as activated phospholipase A2 and secondary bile acid</w:t>
      </w:r>
      <w:r w:rsidR="00A021E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These chemicals usually flow into </w:t>
      </w:r>
      <w:r w:rsidR="000400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because the </w:t>
      </w:r>
      <w:proofErr w:type="spellStart"/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hydropressur</w:t>
      </w:r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>e</w:t>
      </w:r>
      <w:proofErr w:type="spellEnd"/>
      <w:r w:rsidR="0011151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pancreatic duct is greater than that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bile duct. </w:t>
      </w:r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anomaly can also cause chronic cholangitis and chronic </w:t>
      </w:r>
      <w:proofErr w:type="spellStart"/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>bacterbilia</w:t>
      </w:r>
      <w:proofErr w:type="spellEnd"/>
      <w:r w:rsidR="00BB5E26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As a result, patients with PBM have a higher risk of biliary tract </w:t>
      </w:r>
      <w:proofErr w:type="gramStart"/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cancer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3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0F3D00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7BF6D202" w14:textId="5FE310FA" w:rsidR="00111511" w:rsidRPr="00BC4692" w:rsidRDefault="000F3D00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PBM can be divided into two categories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PBM with 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congenital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dilatation 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(CBD), which was previously called congenital choledochal cyst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or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without biliary dilatation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(BD</w:t>
      </w:r>
      <w:proofErr w:type="gramStart"/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5,6]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classified this disease into five categories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the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Todani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classification is now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commonly used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world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wide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46E38446" w14:textId="028F5F95" w:rsidR="00D30CAC" w:rsidRPr="00BC4692" w:rsidRDefault="000F3D00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essential management of PBM is prophylactic surgery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avoid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carcinogenesis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it 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should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be performed immediately after the diagnosis of </w:t>
      </w:r>
      <w:proofErr w:type="gram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PBM</w:t>
      </w:r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Since 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bile stasis in the dilated biliary tract is the most important factor for the development of malignant changes in biliary epithelial </w:t>
      </w:r>
      <w:proofErr w:type="gramStart"/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</w:rPr>
        <w:t>cells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7</w:t>
      </w:r>
      <w:r w:rsidR="002B67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treatment for PBM with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prophylactic flow diversion surgery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that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for PBM without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BD</w:t>
      </w:r>
      <w:r w:rsidR="00BB0B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is prophylactic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cholecystectomy.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However, there is no consensus of opinion on whether intrahepatic dilated bile duct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should be </w:t>
      </w:r>
      <w:proofErr w:type="spellStart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resecte</w:t>
      </w:r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d</w:t>
      </w:r>
      <w:proofErr w:type="spellEnd"/>
      <w:r w:rsidR="00D979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for PBM with </w:t>
      </w:r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or whether extrahepatic non-dilated bile duct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should be </w:t>
      </w:r>
      <w:proofErr w:type="spellStart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resected</w:t>
      </w:r>
      <w:proofErr w:type="spellEnd"/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for PBM without </w:t>
      </w:r>
      <w:proofErr w:type="gramStart"/>
      <w:r w:rsidR="00EA63B8" w:rsidRPr="00BC4692">
        <w:rPr>
          <w:rFonts w:ascii="Book Antiqua" w:hAnsi="Book Antiqua" w:cstheme="majorHAnsi"/>
          <w:color w:val="000000" w:themeColor="text1"/>
          <w:sz w:val="24"/>
          <w:szCs w:val="24"/>
        </w:rPr>
        <w:t>BD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8]</w:t>
      </w:r>
      <w:r w:rsidR="00D30CAC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21563A7D" w14:textId="75106548" w:rsidR="00B562EC" w:rsidRPr="00BC4692" w:rsidRDefault="004B1FA3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present case showed a rare clinical course of 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PBM with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CBD</w:t>
      </w:r>
      <w:r w:rsidR="00B03B3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Watanabe </w:t>
      </w:r>
      <w:r w:rsidR="00256F65" w:rsidRPr="002738FF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="00256F65" w:rsidRPr="002738FF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2738F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2738F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9]</w:t>
      </w:r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report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="00256F6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the incidence of cancer after extrahepatic bile duct excision is less than 1%.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There seem to be two reasons for the carcinogenesis in this case.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first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reason is that the flow diversion surgery left the dilated right hepa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tic duct in the hilar plate. In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first operation, the dilated left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hepatic duct was removed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but the dilated right hepatic duct was used for </w:t>
      </w:r>
      <w:proofErr w:type="spellStart"/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Since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30 years had passed before his diagnosis of CBD, there</w:t>
      </w:r>
      <w:r w:rsidR="001B129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must have been 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>some histological changes in the biliary epithelial cells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77220B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>such as hyperplasia, metaplasia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dysplasia. </w:t>
      </w:r>
      <w:r w:rsidR="00273382" w:rsidRPr="00BC4692">
        <w:rPr>
          <w:rFonts w:ascii="Book Antiqua" w:hAnsi="Book Antiqua" w:cstheme="majorHAnsi"/>
          <w:color w:val="000000" w:themeColor="text1"/>
          <w:sz w:val="24"/>
          <w:szCs w:val="24"/>
        </w:rPr>
        <w:t>D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amage and repair of the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dilated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biliary mucosa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likely to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occur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BF0BB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even after the first operation,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resulting in carcinogenesis at the site of </w:t>
      </w:r>
      <w:r w:rsidR="00FF104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583BD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B30A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second reason is that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reflux of intestinal juice at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proofErr w:type="spellStart"/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cholangiojejunos</w:t>
      </w:r>
      <w:r w:rsidR="00B75D1B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omy</w:t>
      </w:r>
      <w:proofErr w:type="spellEnd"/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probably played an important role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</w:t>
      </w:r>
      <w:r w:rsidR="00EB39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carcinogenesis. The stasis of bile and intestinal juice in the dilated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biliary tract induces bacterial overgrowth and generation of unconjugated secondary bile </w:t>
      </w:r>
      <w:proofErr w:type="gramStart"/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>acids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10</w:t>
      </w:r>
      <w:r w:rsidR="0057632A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BB5594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carcinogenic toxicity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>of secondary bile acids still remains unclear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but some authors report the following mechanism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mice and its relation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ship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to humans.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Secondary bile acids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>suppress the expression of chemokine ligand 16 (CXCL16)</w:t>
      </w:r>
      <w:r w:rsidR="009F0B14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which recruits natural killer T cells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9F0B1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E0479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by liver sinusoidal </w:t>
      </w:r>
      <w:r w:rsidR="00BB559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endothelial cells. </w:t>
      </w:r>
      <w:r w:rsidR="001D1B0D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Then,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suppressed expression of CXCL16 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weakens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immunological 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>defense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leads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to the development of 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malignan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cy a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nd </w:t>
      </w:r>
      <w:proofErr w:type="gramStart"/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progression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11</w:t>
      </w:r>
      <w:r w:rsidR="000B201E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,</w:t>
      </w:r>
      <w:r w:rsidR="00BB410F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12</w:t>
      </w:r>
      <w:r w:rsidR="00875F2C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]</w:t>
      </w:r>
      <w:r w:rsidR="00F77F55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  <w:r w:rsidR="00CE3E8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</w:p>
    <w:p w14:paraId="040E84B6" w14:textId="0E4CA61D" w:rsidR="0003747A" w:rsidRPr="00BC4692" w:rsidRDefault="001503D1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There have been 41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reported cases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of biliary tract cancer after flow diversion surgery for PBM with CBD in the English literature f</w:t>
      </w:r>
      <w:r w:rsidR="0064122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rom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1967 to 2016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[7,13-41]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The characteristics of these patients are shown below (</w:t>
      </w:r>
      <w:r w:rsidR="00E34C70" w:rsidRPr="006402DB">
        <w:rPr>
          <w:rFonts w:ascii="Book Antiqua" w:hAnsi="Book Antiqua" w:cstheme="majorHAnsi"/>
          <w:bCs/>
          <w:color w:val="000000" w:themeColor="text1"/>
          <w:sz w:val="24"/>
          <w:szCs w:val="24"/>
        </w:rPr>
        <w:t>Table 1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). Of the 41 cases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reported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35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reported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details of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interval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etween age at </w:t>
      </w:r>
      <w:r w:rsidR="00E34C70" w:rsidRPr="00BC4692">
        <w:rPr>
          <w:rFonts w:ascii="Book Antiqua" w:hAnsi="Book Antiqua" w:cstheme="majorHAnsi"/>
          <w:color w:val="000000" w:themeColor="text1"/>
          <w:sz w:val="24"/>
          <w:szCs w:val="24"/>
        </w:rPr>
        <w:t>flow diversion surgery and age at det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ection of biliary tract cancer.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hese 35 cases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divided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into three groups by age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(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c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hild group,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0-15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>dolescent</w:t>
      </w:r>
      <w:r w:rsidR="009E5F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/young adult</w:t>
      </w:r>
      <w:r w:rsidR="009E5F5A"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group,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16-30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; 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C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dult group,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&gt;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>30 years old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interval time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AE40F2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are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shown in the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figure </w:t>
      </w:r>
      <w:r w:rsidR="00F84AD5" w:rsidRPr="006402DB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A82CE9" w:rsidRPr="006402DB">
        <w:rPr>
          <w:rFonts w:ascii="Book Antiqua" w:hAnsi="Book Antiqua" w:cstheme="majorHAnsi"/>
          <w:color w:val="000000" w:themeColor="text1"/>
          <w:sz w:val="24"/>
          <w:szCs w:val="24"/>
        </w:rPr>
        <w:t>Figure 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). There </w:t>
      </w:r>
      <w:r w:rsidR="00CB511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were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significant differences between</w:t>
      </w:r>
      <w:bookmarkStart w:id="8" w:name="OLE_LINK2"/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G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roup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Group B</w:t>
      </w:r>
      <w:bookmarkEnd w:id="8"/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median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26.5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vs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4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.0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y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ears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&lt;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0.0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001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), and between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 A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and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Group C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(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median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26.5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F84AD5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vs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8.5</w:t>
      </w:r>
      <w:r w:rsidR="00D62CF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</w:rPr>
        <w:t>y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>ears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</w:t>
      </w:r>
      <w:r w:rsidR="006878C8"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&lt;</w:t>
      </w:r>
      <w:r w:rsidR="006402DB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878C8" w:rsidRPr="00BC4692">
        <w:rPr>
          <w:rFonts w:ascii="Book Antiqua" w:hAnsi="Book Antiqua" w:cstheme="majorHAnsi"/>
          <w:color w:val="000000" w:themeColor="text1"/>
          <w:sz w:val="24"/>
          <w:szCs w:val="24"/>
        </w:rPr>
        <w:t>0.0001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)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, with </w:t>
      </w:r>
      <w:r w:rsidR="00247DC7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no difference between Group B and Group C.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ese </w:t>
      </w:r>
      <w:r w:rsidR="00F84AD5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data mean 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at p</w:t>
      </w:r>
      <w:r w:rsidR="004454C3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atients who undergo flow diversion surgery in adulthood can develop biliary tract cancer </w:t>
      </w:r>
      <w:r w:rsidR="00B344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earlier than patients who und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ergo it in childhood.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adulthood, furthermore, interval time does not always depend on age at flow diversion surgery, and it is short, most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often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less than 10 years.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Th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is 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fact </w:t>
      </w:r>
      <w:r w:rsidR="00F35E65" w:rsidRPr="00BC4692">
        <w:rPr>
          <w:rFonts w:ascii="Book Antiqua" w:hAnsi="Book Antiqua" w:cstheme="majorHAnsi"/>
          <w:color w:val="000000" w:themeColor="text1"/>
          <w:sz w:val="24"/>
          <w:szCs w:val="24"/>
        </w:rPr>
        <w:t>sug</w:t>
      </w:r>
      <w:r w:rsidR="0016021E" w:rsidRPr="00BC4692">
        <w:rPr>
          <w:rFonts w:ascii="Book Antiqua" w:hAnsi="Book Antiqua" w:cstheme="majorHAnsi"/>
          <w:color w:val="000000" w:themeColor="text1"/>
          <w:sz w:val="24"/>
          <w:szCs w:val="24"/>
        </w:rPr>
        <w:t>gest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s</w:t>
      </w:r>
      <w:r w:rsidR="0016021E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damage </w:t>
      </w:r>
      <w:r w:rsidR="00315471" w:rsidRPr="00BC4692">
        <w:rPr>
          <w:rFonts w:ascii="Book Antiqua" w:hAnsi="Book Antiqua" w:cstheme="majorHAnsi"/>
          <w:color w:val="000000" w:themeColor="text1"/>
          <w:sz w:val="24"/>
          <w:szCs w:val="24"/>
        </w:rPr>
        <w:t>t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remaining</w:t>
      </w:r>
      <w:r w:rsidR="00B562E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biliary epithelial cells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>due to carcinogenic</w:t>
      </w:r>
      <w:r w:rsidR="00F70AD4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chemicals is greater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in adulthood than in childhood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.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In adulthood,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A5B80" w:rsidRPr="00BC4692">
        <w:rPr>
          <w:rFonts w:ascii="Book Antiqua" w:hAnsi="Book Antiqua" w:cstheme="majorHAnsi"/>
          <w:color w:val="000000" w:themeColor="text1"/>
          <w:sz w:val="24"/>
          <w:szCs w:val="24"/>
        </w:rPr>
        <w:t>interval time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3F397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may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depend on the size of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the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dilated bile duct, on the extent of reflux, </w:t>
      </w:r>
      <w:r w:rsidR="00346DC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the flow diversion procedures, or </w:t>
      </w:r>
      <w:r w:rsidR="0026298F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on </w:t>
      </w:r>
      <w:r w:rsidR="00346DCF" w:rsidRPr="00BC4692">
        <w:rPr>
          <w:rFonts w:ascii="Book Antiqua" w:hAnsi="Book Antiqua" w:cstheme="majorHAnsi"/>
          <w:color w:val="000000" w:themeColor="text1"/>
          <w:sz w:val="24"/>
          <w:szCs w:val="24"/>
        </w:rPr>
        <w:t>lifestyle. T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>he details remain unknown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,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and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further 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similar cases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need to be studied</w:t>
      </w:r>
      <w:r w:rsidR="0003747A" w:rsidRPr="00BC4692">
        <w:rPr>
          <w:rFonts w:ascii="Book Antiqua" w:hAnsi="Book Antiqua" w:cstheme="majorHAnsi"/>
          <w:color w:val="000000" w:themeColor="text1"/>
          <w:sz w:val="24"/>
          <w:szCs w:val="24"/>
        </w:rPr>
        <w:t>.</w:t>
      </w:r>
    </w:p>
    <w:p w14:paraId="3C05EF8B" w14:textId="17F02985" w:rsidR="00346DCF" w:rsidRPr="00BC4692" w:rsidRDefault="00346DCF" w:rsidP="007960F8">
      <w:pPr>
        <w:spacing w:line="360" w:lineRule="auto"/>
        <w:ind w:firstLineChars="250" w:firstLine="600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lastRenderedPageBreak/>
        <w:t xml:space="preserve">In the future, the </w:t>
      </w:r>
      <w:r w:rsidR="00315471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current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patient 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has a high probability of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re-recurrence of cholangioc</w:t>
      </w:r>
      <w:r w:rsidR="00A27F5C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arcinoma.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Although </w:t>
      </w:r>
      <w:proofErr w:type="spellStart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Tsuchida</w:t>
      </w:r>
      <w:proofErr w:type="spellEnd"/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Pr="006402DB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al</w:t>
      </w:r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402DB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42]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report</w:t>
      </w:r>
      <w:r w:rsidR="00D7765A" w:rsidRPr="00BC4692">
        <w:rPr>
          <w:rFonts w:ascii="Book Antiqua" w:hAnsi="Book Antiqua" w:cstheme="majorHAnsi"/>
          <w:color w:val="000000" w:themeColor="text1"/>
          <w:sz w:val="24"/>
          <w:szCs w:val="24"/>
        </w:rPr>
        <w:t>ed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that chemoprevention can be effective for PBM to prevent postoperative carcinogenesis, this is still controversial.</w:t>
      </w:r>
    </w:p>
    <w:p w14:paraId="4AC36E87" w14:textId="77777777" w:rsidR="00110DDD" w:rsidRPr="00BC4692" w:rsidRDefault="00110DDD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2F34B102" w14:textId="23957255" w:rsidR="003F7766" w:rsidRPr="00E5463F" w:rsidRDefault="00FC6D96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E5463F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Conclusion</w:t>
      </w:r>
    </w:p>
    <w:p w14:paraId="6F194F62" w14:textId="7375A031" w:rsidR="00346DCF" w:rsidRPr="00BC4692" w:rsidRDefault="00273382" w:rsidP="007960F8">
      <w:pPr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F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ollow-up throughout the life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of a patient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after flow diversion surgery is </w:t>
      </w:r>
      <w:proofErr w:type="gramStart"/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recommended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[</w:t>
      </w:r>
      <w:proofErr w:type="gramEnd"/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  <w:vertAlign w:val="superscript"/>
        </w:rPr>
        <w:t>4]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, but this is difficult in some cases. This case suggests the necessity of careful observation after flow diversion surgery, especially when PBM with CBD</w:t>
      </w:r>
      <w:r w:rsidR="006912B9" w:rsidRPr="00BC4692" w:rsidDel="00E64355">
        <w:rPr>
          <w:rFonts w:ascii="Book Antiqua" w:hAnsi="Book Antiqua" w:cstheme="majorHAnsi"/>
          <w:color w:val="000000" w:themeColor="text1"/>
          <w:sz w:val="24"/>
          <w:szCs w:val="24"/>
        </w:rPr>
        <w:t xml:space="preserve"> </w:t>
      </w:r>
      <w:r w:rsidR="006912B9" w:rsidRPr="00BC4692">
        <w:rPr>
          <w:rFonts w:ascii="Book Antiqua" w:hAnsi="Book Antiqua" w:cstheme="majorHAnsi"/>
          <w:color w:val="000000" w:themeColor="text1"/>
          <w:sz w:val="24"/>
          <w:szCs w:val="24"/>
        </w:rPr>
        <w:t>is detected in adulthood, and when cancer has already developed in the bile duct.</w:t>
      </w:r>
    </w:p>
    <w:p w14:paraId="13776FF9" w14:textId="77777777" w:rsidR="003F7766" w:rsidRPr="00BC4692" w:rsidRDefault="003F7766" w:rsidP="007960F8">
      <w:pPr>
        <w:spacing w:line="360" w:lineRule="auto"/>
        <w:ind w:firstLineChars="250" w:firstLine="602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</w:p>
    <w:p w14:paraId="6FDD83D3" w14:textId="55C825A4" w:rsidR="00DC1751" w:rsidRDefault="008F1705" w:rsidP="007960F8">
      <w:pPr>
        <w:spacing w:line="360" w:lineRule="auto"/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</w:pPr>
      <w:r w:rsidRPr="00D33DA2">
        <w:rPr>
          <w:rFonts w:ascii="Book Antiqua" w:hAnsi="Book Antiqua" w:cstheme="majorHAnsi"/>
          <w:b/>
          <w:iCs/>
          <w:caps/>
          <w:color w:val="000000" w:themeColor="text1"/>
          <w:sz w:val="24"/>
          <w:szCs w:val="24"/>
        </w:rPr>
        <w:t>References</w:t>
      </w:r>
    </w:p>
    <w:p w14:paraId="3E6E870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Shimada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Morine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Shimada H; Working Committee of Clinical Practice Guidelines for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; Japanese Study Group on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Japanese clinical practice guidelines for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731-759 [PMID: 22722902 DOI: 10.1007/s00535-012-0611-2]</w:t>
      </w:r>
    </w:p>
    <w:p w14:paraId="313E2F0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Hamada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Koshinaga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Urushihara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Shimada H; Japanese Study Group on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Diagnostic criteria for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Sci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159-161 [PMID: 24307541 DOI: 10.1002/jhbp.57]</w:t>
      </w:r>
    </w:p>
    <w:p w14:paraId="399E9DBF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Takuma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Anjiki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Egawa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Kurata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Honda G, Tsuruta K, Sasaki T.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Clin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>S84-S88 [PMID: 19896105 DOI: 10.1016/j.cgh.2009.08.024]</w:t>
      </w:r>
    </w:p>
    <w:p w14:paraId="1516747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Hamada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Ando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Kamisawa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Urushihara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Koshinaga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Saito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Morotomi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Y. Diagnostic criteria for congenital biliary dilatation 2015.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Sci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342-346 [PMID: 26996969 DOI: 10.1002/jhbp.346]</w:t>
      </w:r>
    </w:p>
    <w:p w14:paraId="197DD48A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5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Watanabe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Narusue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Tabuchi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Okajima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K. Congenital bile duct cysts: Classification, operative procedures, and review of thirty-seven cases including cancer arising from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1977;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134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263-269 [PMID: 889044 DOI: 10.1016/0002-9610(77)90359-2]</w:t>
      </w:r>
    </w:p>
    <w:p w14:paraId="0B4F828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6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T. </w:t>
      </w:r>
      <w:r w:rsidRPr="00CA5C61">
        <w:rPr>
          <w:rFonts w:ascii="Book Antiqua" w:eastAsia="DengXian" w:hAnsi="Book Antiqua" w:cs="Times New Roman"/>
          <w:bCs/>
          <w:sz w:val="24"/>
          <w:szCs w:val="24"/>
          <w:lang w:eastAsia="zh-CN"/>
        </w:rPr>
        <w:t>Congenital choledochal dilatation: classification,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clinical features, and long-term results. </w:t>
      </w:r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iCs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1997; </w:t>
      </w:r>
      <w:r w:rsidRPr="00CA5C61">
        <w:rPr>
          <w:rFonts w:ascii="Book Antiqua" w:eastAsia="DengXian" w:hAnsi="Book Antiqua" w:cs="Times New Roman"/>
          <w:b/>
          <w:bCs/>
          <w:sz w:val="24"/>
          <w:szCs w:val="24"/>
          <w:lang w:eastAsia="zh-CN"/>
        </w:rPr>
        <w:t>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276-282 [DOI: 10.1007/BF02489025]</w:t>
      </w:r>
    </w:p>
    <w:p w14:paraId="044F716E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7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Fujii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Yang Y, Tang 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Kunitomo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Itakura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Mogaki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Matsuda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Suda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Nobukawa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B, Matsumoto Y. Epithelial cell proliferation activity of the biliary ductal system with congenital biliary malformations.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294-302 [PMID: 10526066 DOI: 10.1007/s005340050121]</w:t>
      </w:r>
    </w:p>
    <w:p w14:paraId="76BF2A2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8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Kawarada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Das BC,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Tabata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Isaji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S. Surgical treatment of type IV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684-687 [PMID: 19370303 DOI: 10.1007/s00534-009-0052-3]</w:t>
      </w:r>
    </w:p>
    <w:p w14:paraId="1EC105EB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Watanabe 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Toki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Bile duct cancer developed after cyst excision for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207-212 [PMID: 10526053 DOI: 10.1007/s005340050108]</w:t>
      </w:r>
    </w:p>
    <w:p w14:paraId="6E0CC3A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Reveille RM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Van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Stiegmann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G, Everson GT. Increased secondary bile acids in a choledochal cyst. Possible role in biliary metaplasia and carcinoma.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lastRenderedPageBreak/>
        <w:t>Gastroenterology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525-527 [PMID: 2163938 DOI: 10.1016/0016-5085(90)91036-6]</w:t>
      </w:r>
    </w:p>
    <w:p w14:paraId="7ABA380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Ma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Han M, Heinrich B, Fu Q, Zhang Q,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Sandhu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Agdashian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D,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Terabe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Berzofsky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Fako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V, Ritz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Longerich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Theriot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CM, McCulloch JA, Roy S, Yuan 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Thovarai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V,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Sen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Ruchirawat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Korangy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F, Wang XW,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Trinchieri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Greten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TF. Gut microbiome-mediated bile acid metabolism regulates liver cancer via NKT cells.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Science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360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29798856 [PMID: 29798856 DOI: 10.1126/science.aan5931]</w:t>
      </w:r>
    </w:p>
    <w:p w14:paraId="5505440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Schramm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Bile Acids, the Microbiome, Immunity, and Liver Tumors.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N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Engl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J Med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379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888-890 [PMID: 30157405 DOI: 10.1056/NEJMcibr1807106]</w:t>
      </w:r>
    </w:p>
    <w:p w14:paraId="460FC3BE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Thistlethwaite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JR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Horwitz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A. Choledochal cyst followed by carcinoma of the hepatic duct.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South Med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1967;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872-874 [PMID: 6036658 DOI: 10.1097/00007611-196708000-00017]</w:t>
      </w:r>
    </w:p>
    <w:p w14:paraId="65D52BE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Gallagher PJ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Millis RR,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Mitchinson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MJ. Congenital dilatation of the intrahepatic bile ducts with cholangiocarcinoma.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Clin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Pathol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1972;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804-808 [PMID: 4343747 DOI: 10.1136/jcp.25.9.804]</w:t>
      </w:r>
    </w:p>
    <w:p w14:paraId="3E01717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Chaudhuri PK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Chaudhuri B, Schuler JJ,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Nyhus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LM. Carcinoma associated with congenital cystic dilation of bile ducts.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Arch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117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1349-1351 [PMID: 7125900 DOI: 10.1001/archsurg.1982.01380340067016]</w:t>
      </w:r>
    </w:p>
    <w:p w14:paraId="586ABF7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16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Nagorney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DM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McIlrath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DC, Adson MA. Choledochal cysts in adults: clinical management.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656-663 [PMID: 6091285 DOI: 10.3109/14017438409109909]</w:t>
      </w:r>
    </w:p>
    <w:p w14:paraId="123F2A6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17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Yoshikawa 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Yoshida K, Shirai Y, Sato N, Kashima Y, Coutinho DS, Koyama S, Muto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Yamagiwa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Iwafuchi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M. A case of carcinoma arising in the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>intrapancreatic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terminal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choledochus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12 years after primary excision of a giant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81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378-384 [PMID: 3706253 DOI: 10.1097/00004836-198606002-00012]</w:t>
      </w:r>
    </w:p>
    <w:p w14:paraId="1C4A1E17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18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Rossi RL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Silverman ML,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Braasch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JW, Munson JL,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ReMine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SG. Carcinomas arising in cystic conditions of the bile ducts. A clinical and pathologic study.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Ann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1987;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377-384 [PMID: 3566373 DOI: 10.1097/00000658-198704000-00006]</w:t>
      </w:r>
    </w:p>
    <w:p w14:paraId="6271111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19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Joseph VT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Surgical techniques and long-term results in the treatment of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782-787 [PMID: 2166158 DOI: 10.1016/S0022-3468(05)80019-3]</w:t>
      </w:r>
    </w:p>
    <w:p w14:paraId="26A8F300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Young WT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Thomas GV,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Blethyn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Lawrie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BW. Choledochal cyst and congenital anomalies of the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-biliary junction: the clinical findings, radiology and outcome in nine cases.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Radiol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65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33-38 [PMID: 1336694 DOI: 10.1259/0007-1285-65-769-33]</w:t>
      </w:r>
    </w:p>
    <w:p w14:paraId="3A7F0C7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Scudamore CH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Hemming AW,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Teare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JP,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Fache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Erb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SR, Watkinson AF. Surgical management of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Am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167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497-500 [PMID: 8185035 DOI: 10.1016/0002-9610(94)90243-7]</w:t>
      </w:r>
    </w:p>
    <w:p w14:paraId="370DCCF4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Yamamoto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Shimamura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Ohtani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Ohtani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Yano M, Fukuda K, Nagata T, Ishii M, Ohmura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Todani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Bile duct carcinoma arising from the anastomotic site of hepaticojejunostomy after the excision of congenital biliary dilatation: a case report.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119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476-479 [PMID: 8644016 DOI: 10.1016/S0039-6060(96)80151-6]</w:t>
      </w:r>
    </w:p>
    <w:p w14:paraId="277C8E6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Yamataka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A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Ohshiro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Okada Y, Hosoda Y, Fujiwara T, Kohno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Sunagawa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Futagawa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Sakakibara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Miyano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Complications after cyst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excision with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hepaticoenterostomy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for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choledochal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cysts and their surgical management in children versus adults.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1097-1102 [PMID: 9247242 DOI: 10.1016/S0022-3468(97)90407-3]</w:t>
      </w:r>
    </w:p>
    <w:p w14:paraId="7070A0A5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Kobayashi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Asano T, Yamasaki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Kenmochi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Nakagohri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Ochiai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Risk of bile duct carcinogenesis after excision of extrahepatic bile ducts in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126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939-944 [PMID: 10568195 DOI: 10.1016/s0039-6060(99)70036-x]</w:t>
      </w:r>
    </w:p>
    <w:p w14:paraId="2BCFCADC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Fujisaki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Akiyama T, Miyake H, Amano S, Tomita R,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Fukuzawa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Yamagami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H, Tsubaki K, Arakawa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Aleemuzzaman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Nemoto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N. A case of carcinoma associated with the remained intrapancreatic biliary tract 17 years after the primary excision of a choledochal cyst.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1999;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1655-1659 [PMID: 10430315 DOI: 10.1016/S0016-5107(99)70411-6]</w:t>
      </w:r>
    </w:p>
    <w:p w14:paraId="5DA6299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26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Jan YY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Chen HM, Chen MF. Malignancy in choledochal cysts.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337-340 [PMID: 10791183]</w:t>
      </w:r>
    </w:p>
    <w:p w14:paraId="4A95A31A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27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Goto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N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Yasuda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Uematsu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Kanemura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Takao S, Ando K, Kato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Osada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Takao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Saji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Shimokawa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Moriwaki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H. Intrahepatic cholangiocarcinoma arising 10 years after the excision of congenital extrahepatic biliary dilation.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Gastroenterol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856-862 [PMID: 11777216 DOI: 10.1007/s005350170010]</w:t>
      </w:r>
    </w:p>
    <w:p w14:paraId="699EE6D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28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Koike 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Yasui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Shimizu Y, Kodera Y, Hirai T, Morimoto T, Yamamura Y, Kato T. Carcinoma of the hepatic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hilus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developing 21 years after biliary diversion for choledochal cyst: a case report.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Hepatogastroenterology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2002;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1216-1220 [PMID: 12239908 DOI: 10.1039/b006561g]</w:t>
      </w:r>
    </w:p>
    <w:p w14:paraId="100AFAD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29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Mabrut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JY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Partensky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Gouillat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Baulieux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Ducerf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Kestens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PJ,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Boillot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O, de la Roche E, Gigot JF. Cystic involvement of the roof of the main biliary 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convergence in adult patients with congenital bile duct cysts: a difficult surgical challenge.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Surgery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2007;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141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187-195 [PMID: 17263975 DOI: 10.1016/j.surg.2006.06.029]</w:t>
      </w:r>
    </w:p>
    <w:p w14:paraId="10459BB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30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Ono S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Sakai K, Kimura O, Iwai N. Development of bile duct cancer in a 26-year-old man after resection of infantile choledochal cyst.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Pediatr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E17-E19 [PMID: 18558159 DOI: 10.1016/j.jpedsurg.2008.01.073]</w:t>
      </w:r>
    </w:p>
    <w:p w14:paraId="59738941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31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Palanivelu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C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Rangarajan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Parthasarathi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R, Amar V,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Senthilnathan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P. Laparoscopic management of choledochal cysts: technique and outcomes--a retrospective study of 35 patients from a tertiary center.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J Am Coll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2008;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207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839-846 [PMID: 19183529 DOI: 10.1016/j.jamcollsurg.2008.08.004]</w:t>
      </w:r>
    </w:p>
    <w:p w14:paraId="4065714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32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Shimamura K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Kurosaki I, Sato D, Takano K, Yokoyama N, Sato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Hatakeyama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Nakadaira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Yagi M. Intrahepatic cholangiocarcinoma arising 34 years after excision of a type IV-A congenital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Today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39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247-251 [PMID: 19280286 DOI: 10.1007/s00595-008-3825-4]</w:t>
      </w:r>
    </w:p>
    <w:p w14:paraId="0EB7BBD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33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Shah OJ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Shera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Zargar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SA, Shah P,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Robbani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Dhar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Khan AB. Choledochal cysts in children and adults with contrasting profiles: 11-year experience at a tertiary care center in Kashmir.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World J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2009;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33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2403-2411 [PMID: 19701664 DOI: 10.1007/s00268-009-0184-2]</w:t>
      </w:r>
    </w:p>
    <w:p w14:paraId="39AEC58F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34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Nishiyama R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Shinoda M, Tanabe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Masugi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Ueno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Hibi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Takano K, Fujisaki 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Kitago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Itano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O,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Kawachi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Aiura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Tanimoto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Sakamaoto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M, Kitagawa Y. Intrahepatic cholangiocarcinoma arising 33 years after excision of a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Int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96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320-325 [PMID: 22808614 DOI: 10.9738/cc82.1]</w:t>
      </w:r>
    </w:p>
    <w:p w14:paraId="00DDC23D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lastRenderedPageBreak/>
        <w:t xml:space="preserve">35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Lee SE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Jang JY, Lee YJ, Choi DW, Lee WJ, Cho BH, Kim SW; Korean Pancreas Surgery Club. Choledochal cyst and associated malignant tumors in adults: a multicenter survey in South Korea.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Arch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146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1178-1184 [PMID: 22006877 DOI: 10.1001/archsurg.2011.243]</w:t>
      </w:r>
    </w:p>
    <w:p w14:paraId="567155FB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36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Takeshita N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Ota T, Yamamoto M. Forty-year experience with flow-diversion surgery for patients with congenital choledochal cysts with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at a single institution.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Ann Surg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2011;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254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1050-1053 [PMID: 21659852 DOI: 10.1097/SLA.0b013e3182243550]</w:t>
      </w:r>
    </w:p>
    <w:p w14:paraId="54FC6463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37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Ong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Campbell W, Taylor MA. Metastatic cholangiocarcinoma following choledochal cyst excision: an unusual cause of abdominal pain in a 35-year-old female.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Ulster Med J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82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21-22 [PMID: 23620626]</w:t>
      </w:r>
    </w:p>
    <w:p w14:paraId="71A405F9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38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Ohashi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Wakai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Kubota M, Matsuda Y, Arai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Ohyama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Nakaya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Okuyama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N, Sakata J,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Shirai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Ajioka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Y. Risk of subsequent biliary malignancy in patients undergoing cyst excision for congenital choledochal cysts.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2013;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28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243-247 [PMID: 22989043 DOI: 10.1111/j.1440-1746.2012.07260.x]</w:t>
      </w:r>
    </w:p>
    <w:p w14:paraId="3C8623C2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39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Kumamoto T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Tanaka K, Takeda K,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Nojiri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K, Mori R, Taniguchi K, Matsuyama R, Ueda M, Sugita M, Ichikawa Y, Nagashima Y, Endo I. Intrahepatic cholangiocarcinoma arising 28 years after excision of a type IV-A congenital choledochal cyst: report of a case.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Today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2014;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44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354-358 [PMID: 23090140 DOI: 10.1007/s00595-012-0387-2]</w:t>
      </w:r>
    </w:p>
    <w:p w14:paraId="01169E86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40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Baik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H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Park YH,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Seo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SH, An MS, Kim KH, Bae KB, Choi CS, Oh SH, Choi YK. Cholangiocarcinoma in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choledochal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cyst after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cystoenterostomy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: how a mistreated choledochal cyst can progress to malignancy.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Hepatobiliary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lastRenderedPageBreak/>
        <w:t>Pancreat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20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201-203 [PMID: 28261701 DOI: 10.14701/ahbps.2016.20.4.201]</w:t>
      </w:r>
    </w:p>
    <w:p w14:paraId="5BCC3460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41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Yamada M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Ebata T, Sugawara G,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Igami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T, Mizuno T,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Shingu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Y,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Nagino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M.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Hepatopancreatoduodenectomy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for local recurrence of cholangiocarcinoma after excision of a type IV-A congenital choledochal cyst: a case report.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Surg Case Rep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2016;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19 [PMID: 26943695 DOI: 10.1186/s40792-016-0146-5]</w:t>
      </w:r>
    </w:p>
    <w:p w14:paraId="44021B78" w14:textId="77777777" w:rsidR="00CA5C61" w:rsidRPr="00CA5C61" w:rsidRDefault="00CA5C61" w:rsidP="007960F8">
      <w:pPr>
        <w:spacing w:line="360" w:lineRule="auto"/>
        <w:rPr>
          <w:rFonts w:ascii="Book Antiqua" w:eastAsia="DengXian" w:hAnsi="Book Antiqua" w:cs="Times New Roman"/>
          <w:sz w:val="24"/>
          <w:szCs w:val="24"/>
          <w:lang w:eastAsia="zh-CN"/>
        </w:rPr>
      </w:pP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42 </w:t>
      </w:r>
      <w:proofErr w:type="spellStart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Tsuchida</w:t>
      </w:r>
      <w:proofErr w:type="spellEnd"/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 xml:space="preserve"> A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Itoi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T. Carcinogenesis and chemoprevention of biliary tract cancer in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pancreaticobiliary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maljunction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. </w:t>
      </w:r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CA5C61">
        <w:rPr>
          <w:rFonts w:ascii="Book Antiqua" w:eastAsia="DengXian" w:hAnsi="Book Antiqua" w:cs="Times New Roman"/>
          <w:i/>
          <w:sz w:val="24"/>
          <w:szCs w:val="24"/>
          <w:lang w:eastAsia="zh-CN"/>
        </w:rPr>
        <w:t>Oncol</w:t>
      </w:r>
      <w:proofErr w:type="spellEnd"/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 xml:space="preserve"> 2010; </w:t>
      </w:r>
      <w:r w:rsidRPr="00CA5C61">
        <w:rPr>
          <w:rFonts w:ascii="Book Antiqua" w:eastAsia="DengXian" w:hAnsi="Book Antiqua" w:cs="Times New Roman"/>
          <w:b/>
          <w:sz w:val="24"/>
          <w:szCs w:val="24"/>
          <w:lang w:eastAsia="zh-CN"/>
        </w:rPr>
        <w:t>2</w:t>
      </w:r>
      <w:r w:rsidRPr="00CA5C61">
        <w:rPr>
          <w:rFonts w:ascii="Book Antiqua" w:eastAsia="DengXian" w:hAnsi="Book Antiqua" w:cs="Times New Roman"/>
          <w:sz w:val="24"/>
          <w:szCs w:val="24"/>
          <w:lang w:eastAsia="zh-CN"/>
        </w:rPr>
        <w:t>: 130-135 [PMID: 21160820 DOI: 10.4251/wjgo.v2.i3.130]</w:t>
      </w:r>
    </w:p>
    <w:p w14:paraId="7FB01D34" w14:textId="3E89E9E4" w:rsidR="004C58F9" w:rsidRPr="00B67CF3" w:rsidRDefault="004C58F9" w:rsidP="007960F8">
      <w:pPr>
        <w:suppressAutoHyphens/>
        <w:spacing w:line="360" w:lineRule="auto"/>
        <w:jc w:val="right"/>
        <w:rPr>
          <w:rFonts w:ascii="Book Antiqua" w:eastAsia="宋体" w:hAnsi="Book Antiqua" w:cs="Mangal" w:hint="eastAsia"/>
          <w:b/>
          <w:bCs/>
          <w:sz w:val="32"/>
          <w:szCs w:val="28"/>
          <w:lang w:val="it-IT" w:eastAsia="zh-CN" w:bidi="hi-IN"/>
        </w:rPr>
      </w:pPr>
      <w:bookmarkStart w:id="9" w:name="OLE_LINK502"/>
      <w:bookmarkStart w:id="10" w:name="OLE_LINK480"/>
      <w:bookmarkStart w:id="11" w:name="OLE_LINK2090"/>
      <w:bookmarkStart w:id="12" w:name="OLE_LINK2200"/>
      <w:bookmarkStart w:id="13" w:name="OLE_LINK2199"/>
      <w:bookmarkStart w:id="14" w:name="OLE_LINK2198"/>
      <w:bookmarkStart w:id="15" w:name="OLE_LINK2162"/>
      <w:bookmarkStart w:id="16" w:name="OLE_LINK1963"/>
      <w:bookmarkStart w:id="17" w:name="OLE_LINK1962"/>
      <w:bookmarkStart w:id="18" w:name="OLE_LINK1812"/>
      <w:bookmarkStart w:id="19" w:name="OLE_LINK1811"/>
      <w:bookmarkStart w:id="20" w:name="OLE_LINK1807"/>
      <w:bookmarkStart w:id="21" w:name="OLE_LINK1806"/>
      <w:bookmarkStart w:id="22" w:name="OLE_LINK1636"/>
      <w:bookmarkStart w:id="23" w:name="OLE_LINK1845"/>
      <w:bookmarkStart w:id="24" w:name="OLE_LINK1844"/>
      <w:bookmarkStart w:id="25" w:name="OLE_LINK1843"/>
      <w:bookmarkStart w:id="26" w:name="OLE_LINK1803"/>
      <w:bookmarkStart w:id="27" w:name="OLE_LINK1802"/>
      <w:bookmarkStart w:id="28" w:name="OLE_LINK1801"/>
      <w:bookmarkStart w:id="29" w:name="OLE_LINK1800"/>
      <w:bookmarkStart w:id="30" w:name="OLE_LINK1282"/>
      <w:bookmarkStart w:id="31" w:name="OLE_LINK1266"/>
      <w:bookmarkStart w:id="32" w:name="OLE_LINK1264"/>
      <w:bookmarkStart w:id="33" w:name="OLE_LINK1261"/>
      <w:bookmarkStart w:id="34" w:name="OLE_LINK1260"/>
      <w:bookmarkStart w:id="35" w:name="OLE_LINK1044"/>
      <w:bookmarkStart w:id="36" w:name="OLE_LINK1043"/>
      <w:bookmarkStart w:id="37" w:name="OLE_LINK1039"/>
      <w:bookmarkStart w:id="38" w:name="OLE_LINK1038"/>
      <w:bookmarkStart w:id="39" w:name="OLE_LINK1036"/>
      <w:bookmarkStart w:id="40" w:name="OLE_LINK1035"/>
      <w:bookmarkStart w:id="41" w:name="OLE_LINK987"/>
      <w:bookmarkStart w:id="42" w:name="OLE_LINK947"/>
      <w:bookmarkStart w:id="43" w:name="OLE_LINK946"/>
      <w:bookmarkStart w:id="44" w:name="OLE_LINK945"/>
      <w:bookmarkStart w:id="45" w:name="OLE_LINK1127"/>
      <w:bookmarkStart w:id="46" w:name="OLE_LINK962"/>
      <w:bookmarkStart w:id="47" w:name="OLE_LINK959"/>
      <w:bookmarkStart w:id="48" w:name="OLE_LINK1185"/>
      <w:bookmarkStart w:id="49" w:name="OLE_LINK1159"/>
      <w:bookmarkStart w:id="50" w:name="OLE_LINK1158"/>
      <w:bookmarkStart w:id="51" w:name="OLE_LINK1157"/>
      <w:bookmarkStart w:id="52" w:name="OLE_LINK1156"/>
      <w:bookmarkStart w:id="53" w:name="OLE_LINK1065"/>
      <w:bookmarkStart w:id="54" w:name="OLE_LINK1064"/>
      <w:bookmarkStart w:id="55" w:name="OLE_LINK1023"/>
      <w:bookmarkStart w:id="56" w:name="OLE_LINK1022"/>
      <w:bookmarkStart w:id="57" w:name="OLE_LINK1021"/>
      <w:bookmarkStart w:id="58" w:name="_Hlk17901632"/>
      <w:r w:rsidRPr="005C14CF">
        <w:rPr>
          <w:rFonts w:ascii="Book Antiqua" w:eastAsia="Lucida Sans Unicode" w:hAnsi="Book Antiqua" w:cs="Arial"/>
          <w:b/>
          <w:noProof/>
          <w:sz w:val="24"/>
          <w:szCs w:val="28"/>
          <w:lang w:val="it-IT" w:eastAsia="hi-IN" w:bidi="hi-IN"/>
        </w:rPr>
        <w:t>P-Reviewer</w:t>
      </w:r>
      <w:r w:rsidRPr="005C14CF">
        <w:rPr>
          <w:rFonts w:ascii="Book Antiqua" w:hAnsi="Book Antiqua" w:cs="Arial"/>
          <w:b/>
          <w:noProof/>
          <w:sz w:val="24"/>
          <w:szCs w:val="28"/>
          <w:lang w:val="it-IT" w:bidi="hi-IN"/>
        </w:rPr>
        <w:t>:</w:t>
      </w:r>
      <w:r w:rsidRPr="005C14CF">
        <w:rPr>
          <w:rFonts w:ascii="Book Antiqua" w:hAnsi="Book Antiqua"/>
          <w:sz w:val="24"/>
          <w:szCs w:val="28"/>
        </w:rPr>
        <w:t xml:space="preserve">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Dourakis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SP,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Hoyos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SS,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Kozarek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RA, </w:t>
      </w:r>
      <w:proofErr w:type="spellStart"/>
      <w:r w:rsidR="00B52BC5" w:rsidRPr="005C14CF">
        <w:rPr>
          <w:rFonts w:ascii="Book Antiqua" w:hAnsi="Book Antiqua"/>
          <w:sz w:val="24"/>
          <w:szCs w:val="28"/>
        </w:rPr>
        <w:t>Lleo</w:t>
      </w:r>
      <w:proofErr w:type="spellEnd"/>
      <w:r w:rsidR="00B52BC5" w:rsidRPr="005C14CF">
        <w:rPr>
          <w:rFonts w:ascii="Book Antiqua" w:hAnsi="Book Antiqua"/>
          <w:sz w:val="24"/>
          <w:szCs w:val="28"/>
        </w:rPr>
        <w:t xml:space="preserve"> A</w:t>
      </w:r>
      <w:r w:rsidRPr="005C14CF">
        <w:rPr>
          <w:rFonts w:ascii="Book Antiqua" w:hAnsi="Book Antiqua"/>
          <w:sz w:val="24"/>
          <w:szCs w:val="28"/>
        </w:rPr>
        <w:t xml:space="preserve"> 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>S-Editor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>:</w:t>
      </w:r>
      <w:r w:rsidRPr="005C14CF">
        <w:rPr>
          <w:rFonts w:ascii="Book Antiqua" w:eastAsia="Lucida Sans Unicode" w:hAnsi="Book Antiqua" w:cs="Mangal"/>
          <w:bCs/>
          <w:sz w:val="24"/>
          <w:szCs w:val="28"/>
          <w:lang w:val="it-IT" w:eastAsia="hi-IN" w:bidi="hi-IN"/>
        </w:rPr>
        <w:t xml:space="preserve"> </w:t>
      </w:r>
      <w:r w:rsidRPr="005C14CF">
        <w:rPr>
          <w:rFonts w:ascii="Book Antiqua" w:hAnsi="Book Antiqua" w:cs="Mangal"/>
          <w:bCs/>
          <w:sz w:val="24"/>
          <w:szCs w:val="28"/>
          <w:lang w:val="it-IT" w:bidi="hi-IN"/>
        </w:rPr>
        <w:t>Ma YJ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 xml:space="preserve"> L-Editor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>:</w:t>
      </w:r>
      <w:r w:rsidR="00B67CF3">
        <w:rPr>
          <w:rFonts w:ascii="Book Antiqua" w:eastAsia="宋体" w:hAnsi="Book Antiqua" w:cs="Mangal" w:hint="eastAsia"/>
          <w:b/>
          <w:bCs/>
          <w:sz w:val="24"/>
          <w:szCs w:val="28"/>
          <w:lang w:val="it-IT" w:eastAsia="zh-CN" w:bidi="hi-IN"/>
        </w:rPr>
        <w:t xml:space="preserve"> </w:t>
      </w:r>
      <w:r w:rsidR="00B67CF3" w:rsidRPr="00B67CF3">
        <w:rPr>
          <w:rFonts w:ascii="Book Antiqua" w:eastAsia="宋体" w:hAnsi="Book Antiqua" w:cs="Mangal" w:hint="eastAsia"/>
          <w:bCs/>
          <w:sz w:val="24"/>
          <w:szCs w:val="28"/>
          <w:lang w:val="it-IT" w:eastAsia="zh-CN" w:bidi="hi-IN"/>
        </w:rPr>
        <w:t>A</w:t>
      </w:r>
      <w:r w:rsidR="00B67CF3">
        <w:rPr>
          <w:rFonts w:ascii="Book Antiqua" w:eastAsia="宋体" w:hAnsi="Book Antiqua" w:cs="Mangal" w:hint="eastAsia"/>
          <w:b/>
          <w:bCs/>
          <w:sz w:val="24"/>
          <w:szCs w:val="28"/>
          <w:lang w:val="it-IT" w:eastAsia="zh-CN" w:bidi="hi-IN"/>
        </w:rPr>
        <w:t xml:space="preserve"> 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 xml:space="preserve"> </w:t>
      </w:r>
      <w:r w:rsidRPr="005C14CF">
        <w:rPr>
          <w:rFonts w:ascii="Book Antiqua" w:eastAsia="Lucida Sans Unicode" w:hAnsi="Book Antiqua" w:cs="Mangal"/>
          <w:b/>
          <w:bCs/>
          <w:sz w:val="24"/>
          <w:szCs w:val="28"/>
          <w:lang w:val="it-IT" w:eastAsia="hi-IN" w:bidi="hi-IN"/>
        </w:rPr>
        <w:t xml:space="preserve"> E-Editor</w:t>
      </w:r>
      <w:r w:rsidRPr="005C14CF">
        <w:rPr>
          <w:rFonts w:ascii="Book Antiqua" w:hAnsi="Book Antiqua" w:cs="Mangal"/>
          <w:b/>
          <w:bCs/>
          <w:sz w:val="24"/>
          <w:szCs w:val="28"/>
          <w:lang w:val="it-IT" w:bidi="hi-IN"/>
        </w:rPr>
        <w:t>:</w:t>
      </w:r>
      <w:r w:rsidRPr="005C14CF">
        <w:rPr>
          <w:sz w:val="24"/>
          <w:szCs w:val="28"/>
          <w:lang w:val="it-IT"/>
        </w:rPr>
        <w:t xml:space="preserve"> </w:t>
      </w:r>
      <w:r w:rsidR="00B67CF3">
        <w:rPr>
          <w:rFonts w:eastAsia="宋体" w:hint="eastAsia"/>
          <w:sz w:val="24"/>
          <w:szCs w:val="28"/>
          <w:lang w:val="it-IT" w:eastAsia="zh-CN"/>
        </w:rPr>
        <w:t>Ma YJ</w:t>
      </w:r>
      <w:bookmarkStart w:id="59" w:name="_GoBack"/>
      <w:bookmarkEnd w:id="59"/>
    </w:p>
    <w:p w14:paraId="225D55F8" w14:textId="77777777" w:rsidR="004C58F9" w:rsidRPr="005C14CF" w:rsidRDefault="004C58F9" w:rsidP="007960F8">
      <w:pPr>
        <w:suppressAutoHyphens/>
        <w:spacing w:line="360" w:lineRule="auto"/>
        <w:rPr>
          <w:rFonts w:ascii="Book Antiqua" w:hAnsi="Book Antiqua" w:cs="Mangal"/>
          <w:b/>
          <w:bCs/>
          <w:sz w:val="24"/>
          <w:szCs w:val="28"/>
          <w:lang w:val="it-IT" w:eastAsia="pt-BR" w:bidi="hi-IN"/>
        </w:rPr>
      </w:pPr>
    </w:p>
    <w:p w14:paraId="71B7CB28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8"/>
        </w:rPr>
      </w:pPr>
      <w:r w:rsidRPr="005C14CF">
        <w:rPr>
          <w:rFonts w:ascii="Book Antiqua" w:hAnsi="Book Antiqua" w:cs="Helvetica"/>
          <w:b/>
          <w:sz w:val="24"/>
          <w:szCs w:val="28"/>
        </w:rPr>
        <w:t xml:space="preserve">Specialty type: </w:t>
      </w:r>
      <w:r w:rsidRPr="005C14CF">
        <w:rPr>
          <w:rFonts w:ascii="Book Antiqua" w:eastAsia="微软雅黑" w:hAnsi="Book Antiqua" w:cs="宋体"/>
          <w:sz w:val="24"/>
          <w:szCs w:val="28"/>
        </w:rPr>
        <w:t>Gastroenterology and hepatology</w:t>
      </w:r>
    </w:p>
    <w:p w14:paraId="32F9A2FC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8"/>
          <w:lang w:val="pt-BR"/>
        </w:rPr>
      </w:pPr>
      <w:r w:rsidRPr="005C14CF">
        <w:rPr>
          <w:rFonts w:ascii="Book Antiqua" w:hAnsi="Book Antiqua" w:cs="Helvetica"/>
          <w:b/>
          <w:sz w:val="24"/>
          <w:szCs w:val="28"/>
        </w:rPr>
        <w:t xml:space="preserve">Country of origin: </w:t>
      </w:r>
      <w:r w:rsidRPr="005C14CF">
        <w:rPr>
          <w:rFonts w:ascii="Book Antiqua" w:hAnsi="Book Antiqua" w:cs="Helvetica"/>
          <w:sz w:val="24"/>
          <w:szCs w:val="28"/>
        </w:rPr>
        <w:t>United States</w:t>
      </w:r>
    </w:p>
    <w:p w14:paraId="2DEE754A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  <w:sz w:val="24"/>
          <w:szCs w:val="28"/>
        </w:rPr>
      </w:pPr>
      <w:r w:rsidRPr="005C14CF">
        <w:rPr>
          <w:rFonts w:ascii="Book Antiqua" w:hAnsi="Book Antiqua" w:cs="Helvetica"/>
          <w:b/>
          <w:sz w:val="24"/>
          <w:szCs w:val="28"/>
        </w:rPr>
        <w:t>Peer-review report classification</w:t>
      </w:r>
    </w:p>
    <w:p w14:paraId="30166642" w14:textId="50D242BA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A (Excellent): </w:t>
      </w:r>
      <w:r w:rsidR="009C2951" w:rsidRPr="005C14CF">
        <w:rPr>
          <w:rFonts w:ascii="Book Antiqua" w:hAnsi="Book Antiqua" w:cs="Helvetica"/>
          <w:sz w:val="24"/>
          <w:szCs w:val="28"/>
        </w:rPr>
        <w:t>0</w:t>
      </w:r>
    </w:p>
    <w:p w14:paraId="665DCBAA" w14:textId="038C1450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>Grade B (Very good): B</w:t>
      </w:r>
      <w:r w:rsidR="009C2951" w:rsidRPr="005C14CF">
        <w:rPr>
          <w:rFonts w:ascii="Book Antiqua" w:hAnsi="Book Antiqua" w:cs="Helvetica"/>
          <w:sz w:val="24"/>
          <w:szCs w:val="28"/>
        </w:rPr>
        <w:t>, B</w:t>
      </w:r>
    </w:p>
    <w:p w14:paraId="375B22DB" w14:textId="07CC99C6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C (Good): </w:t>
      </w:r>
      <w:r w:rsidR="009C2951" w:rsidRPr="005C14CF">
        <w:rPr>
          <w:rFonts w:ascii="Book Antiqua" w:hAnsi="Book Antiqua" w:cs="Helvetica"/>
          <w:sz w:val="24"/>
          <w:szCs w:val="28"/>
        </w:rPr>
        <w:t>C, C</w:t>
      </w:r>
    </w:p>
    <w:p w14:paraId="3E550D31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D (Fair): </w:t>
      </w:r>
      <w:bookmarkEnd w:id="9"/>
      <w:bookmarkEnd w:id="10"/>
      <w:r w:rsidRPr="005C14CF">
        <w:rPr>
          <w:rFonts w:ascii="Book Antiqua" w:hAnsi="Book Antiqua" w:cs="Helvetica"/>
          <w:sz w:val="24"/>
          <w:szCs w:val="28"/>
        </w:rPr>
        <w:t>0</w:t>
      </w:r>
    </w:p>
    <w:p w14:paraId="5FE7DE46" w14:textId="77777777" w:rsidR="004C58F9" w:rsidRPr="005C14CF" w:rsidRDefault="004C58F9" w:rsidP="007960F8">
      <w:pPr>
        <w:shd w:val="clear" w:color="auto" w:fill="FFFFFF"/>
        <w:snapToGrid w:val="0"/>
        <w:spacing w:line="360" w:lineRule="auto"/>
        <w:rPr>
          <w:rFonts w:ascii="Book Antiqua" w:hAnsi="Book Antiqua" w:cs="Helvetica"/>
          <w:sz w:val="24"/>
          <w:szCs w:val="28"/>
        </w:rPr>
      </w:pPr>
      <w:r w:rsidRPr="005C14CF">
        <w:rPr>
          <w:rFonts w:ascii="Book Antiqua" w:hAnsi="Book Antiqua" w:cs="Helvetica"/>
          <w:sz w:val="24"/>
          <w:szCs w:val="28"/>
        </w:rPr>
        <w:t xml:space="preserve">Grade E (Poor):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5C14CF">
        <w:rPr>
          <w:rFonts w:ascii="Book Antiqua" w:hAnsi="Book Antiqua" w:cs="Helvetica"/>
          <w:sz w:val="24"/>
          <w:szCs w:val="28"/>
        </w:rPr>
        <w:t>0</w:t>
      </w:r>
    </w:p>
    <w:bookmarkEnd w:id="58"/>
    <w:p w14:paraId="443BB04B" w14:textId="77777777" w:rsidR="00CA5C61" w:rsidRPr="004C58F9" w:rsidRDefault="00CA5C61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B215BFD" w14:textId="77777777" w:rsidR="00CA5C61" w:rsidRDefault="00CA5C61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3C5103D" w14:textId="71DD3F9F" w:rsidR="00372260" w:rsidRPr="009A5AB7" w:rsidRDefault="00D7765A" w:rsidP="007960F8">
      <w:pPr>
        <w:widowControl/>
        <w:spacing w:line="360" w:lineRule="auto"/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i/>
          <w:color w:val="000000" w:themeColor="text1"/>
          <w:sz w:val="24"/>
          <w:szCs w:val="24"/>
        </w:rPr>
        <w:br w:type="page"/>
      </w:r>
    </w:p>
    <w:p w14:paraId="759D860A" w14:textId="46018A97" w:rsidR="00372260" w:rsidRPr="00BC4692" w:rsidRDefault="00B67CF3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>
        <w:rPr>
          <w:rFonts w:ascii="Book Antiqua" w:hAnsi="Book Antiqua" w:cstheme="majorHAnsi"/>
          <w:noProof/>
          <w:color w:val="000000" w:themeColor="text1"/>
          <w:sz w:val="24"/>
          <w:szCs w:val="24"/>
        </w:rPr>
        <w:lastRenderedPageBreak/>
        <w:pict w14:anchorId="38BBC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◎Figure 1" style="width:311.4pt;height:235.65pt;mso-width-percent:0;mso-height-percent:0;mso-width-percent:0;mso-height-percent:0">
            <v:imagedata r:id="rId12" o:title="◎Figure 1"/>
          </v:shape>
        </w:pict>
      </w:r>
    </w:p>
    <w:p w14:paraId="4FDEA20F" w14:textId="39DA5767" w:rsidR="009A5AB7" w:rsidRPr="00BC4692" w:rsidRDefault="009A5AB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>Figure 1</w:t>
      </w:r>
      <w:r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Pr="009A5AB7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3D-reconstruction of magnetic resonance cholangiopancreatography shows an abnormally dilated common bile duct (white star).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Both right and left hepatic ducts also show intrahepatic dilatations (white arrows).</w:t>
      </w:r>
    </w:p>
    <w:p w14:paraId="2AFBF77C" w14:textId="77777777" w:rsidR="009A5AB7" w:rsidRPr="00BC4692" w:rsidRDefault="009A5AB7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50A5B08B" w14:textId="77777777" w:rsidR="00372260" w:rsidRPr="009A5AB7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719FBD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2037CE2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EAA4CC2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E587304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47192A77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5224C68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7E76301B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78AC86C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05C08A4A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</w:p>
    <w:p w14:paraId="1E792415" w14:textId="77777777" w:rsidR="00C71656" w:rsidRPr="00BC4692" w:rsidRDefault="00C71656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BE6A58C" w14:textId="13551A71" w:rsidR="00372260" w:rsidRPr="00BC4692" w:rsidRDefault="00B67CF3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>
        <w:rPr>
          <w:rFonts w:ascii="Book Antiqua" w:hAnsi="Book Antiqua" w:cstheme="majorHAnsi"/>
          <w:b/>
          <w:noProof/>
          <w:color w:val="000000" w:themeColor="text1"/>
          <w:sz w:val="24"/>
          <w:szCs w:val="24"/>
        </w:rPr>
        <w:lastRenderedPageBreak/>
        <w:pict w14:anchorId="19575BBD">
          <v:shape id="_x0000_i1026" type="#_x0000_t75" alt="◎Figure 2" style="width:350.65pt;height:140.25pt;mso-width-percent:0;mso-height-percent:0;mso-width-percent:0;mso-height-percent:0">
            <v:imagedata r:id="rId13" o:title="◎Figure 2"/>
          </v:shape>
        </w:pict>
      </w:r>
    </w:p>
    <w:p w14:paraId="102EA60A" w14:textId="433ED13E" w:rsidR="00A22A54" w:rsidRPr="00BC4692" w:rsidRDefault="00A22A5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2 Abdominal CT images with contrast.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Five and a half years after his first operation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;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B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 xml:space="preserve">: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Six years after his first operation. The images show a gradually growing nodule with contrast over a half a year (yellow arrow heads).</w:t>
      </w:r>
    </w:p>
    <w:p w14:paraId="5CAE3EA6" w14:textId="77777777" w:rsidR="00372260" w:rsidRPr="00A22A54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A14B836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5698E89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EA36B4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002726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C0D0C0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466F94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06D265F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17C5063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C119AE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502C75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D2947A5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0DEDF7B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6A841DD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35D327F8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0C277C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E4B1B3D" w14:textId="48D00FE6" w:rsidR="00372260" w:rsidRPr="00BC4692" w:rsidRDefault="00B67CF3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>
        <w:rPr>
          <w:rFonts w:ascii="Book Antiqua" w:hAnsi="Book Antiqua" w:cstheme="majorHAnsi"/>
          <w:b/>
          <w:noProof/>
          <w:color w:val="000000" w:themeColor="text1"/>
          <w:sz w:val="24"/>
          <w:szCs w:val="24"/>
        </w:rPr>
        <w:pict w14:anchorId="67A31C89">
          <v:shape id="_x0000_i1027" type="#_x0000_t75" alt="◎Figure 3" style="width:369.35pt;height:147.75pt;mso-width-percent:0;mso-height-percent:0;mso-width-percent:0;mso-height-percent:0">
            <v:imagedata r:id="rId14" o:title="◎Figure 3"/>
          </v:shape>
        </w:pict>
      </w:r>
    </w:p>
    <w:p w14:paraId="575F0B7B" w14:textId="0B26F546" w:rsidR="00A22A54" w:rsidRPr="00BC4692" w:rsidRDefault="00A22A54" w:rsidP="007960F8">
      <w:pPr>
        <w:spacing w:line="360" w:lineRule="auto"/>
        <w:rPr>
          <w:rFonts w:ascii="Book Antiqua" w:hAnsi="Book Antiqua" w:cstheme="majorHAnsi"/>
          <w:color w:val="000000" w:themeColor="text1"/>
          <w:sz w:val="24"/>
          <w:szCs w:val="24"/>
        </w:rPr>
      </w:pPr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3 Double balloon </w:t>
      </w:r>
      <w:proofErr w:type="spellStart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>enteroscopy</w:t>
      </w:r>
      <w:proofErr w:type="spellEnd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shows the </w:t>
      </w:r>
      <w:proofErr w:type="spellStart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>cholangiojejunostomy</w:t>
      </w:r>
      <w:proofErr w:type="spellEnd"/>
      <w:r w:rsidRPr="00A22A54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directly.</w:t>
      </w:r>
      <w:r w:rsidRPr="00A22A54">
        <w:rPr>
          <w:rFonts w:ascii="Book Antiqua" w:hAnsi="Book Antiqua" w:cstheme="majorHAnsi"/>
          <w:bCs/>
          <w:color w:val="000000" w:themeColor="text1"/>
          <w:sz w:val="24"/>
          <w:szCs w:val="24"/>
        </w:rPr>
        <w:t xml:space="preserve">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A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There are four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-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hole anastomoses: anterior hole, posterior hole, B2 plus B3 hole, and B4 hole, from right to left. A reddish and hemorrhagic tumor protrudes from the posterior hole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;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B</w:t>
      </w:r>
      <w:r>
        <w:rPr>
          <w:rFonts w:ascii="Book Antiqua" w:hAnsi="Book Antiqua" w:cstheme="majorHAnsi"/>
          <w:color w:val="000000" w:themeColor="text1"/>
          <w:sz w:val="24"/>
          <w:szCs w:val="24"/>
        </w:rPr>
        <w:t>: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The tumor extends inside the posterior branch.</w:t>
      </w:r>
    </w:p>
    <w:p w14:paraId="284027F5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1A90B62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4E4EEB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67DE58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6B7D567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E54E63C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76F7A3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21C5EF4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EDDEFD7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33E6A66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86B54CE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FB1E42D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60F450AF" w14:textId="77777777" w:rsidR="00372260" w:rsidRPr="00BC4692" w:rsidRDefault="00372260" w:rsidP="007960F8">
      <w:pPr>
        <w:widowControl/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0696B301" w14:textId="6C55129E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BC4692">
        <w:rPr>
          <w:rFonts w:ascii="Book Antiqua" w:eastAsia="MS PGothic" w:hAnsi="Book Antiqua" w:cstheme="majorHAnsi"/>
          <w:noProof/>
          <w:color w:val="000000" w:themeColor="text1"/>
          <w:kern w:val="0"/>
          <w:sz w:val="24"/>
          <w:szCs w:val="24"/>
          <w:lang w:eastAsia="zh-CN"/>
        </w:rPr>
        <w:drawing>
          <wp:inline distT="0" distB="0" distL="0" distR="0" wp14:anchorId="0B9E020B" wp14:editId="5110168F">
            <wp:extent cx="3840397" cy="3069203"/>
            <wp:effectExtent l="0" t="0" r="8255" b="0"/>
            <wp:docPr id="1" name="図 1" descr="C:\Users\Ryo Ataka\AppData\Local\Microsoft\Windows\INetCache\Content.Word\◎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yo Ataka\AppData\Local\Microsoft\Windows\INetCache\Content.Word\◎Figure 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56" cy="30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391F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C31053"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Figure 4 </w:t>
      </w:r>
      <w:r w:rsidRPr="00C31053">
        <w:rPr>
          <w:rFonts w:ascii="Book Antiqua" w:eastAsia="MS PGothic" w:hAnsi="Book Antiqua" w:cstheme="majorHAnsi"/>
          <w:b/>
          <w:color w:val="000000" w:themeColor="text1"/>
          <w:kern w:val="0"/>
          <w:sz w:val="24"/>
          <w:szCs w:val="24"/>
        </w:rPr>
        <w:t>Histological analysis of the tumor.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A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Macroscopic findings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;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Hematoxylin and eosin (HE) staining, ×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20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;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C</w:t>
      </w:r>
      <w:r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: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HE staining, ×400. Histological studies show papillary growth and fibrovascular cores in the macroscopically nodular area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>(yellow arrowheads)</w:t>
      </w:r>
      <w:r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, comprising high-grade atypical epithelial cells. There is no invasive carcinoma associated with the intraductal neoplasm.</w:t>
      </w:r>
    </w:p>
    <w:p w14:paraId="6D5C2A6F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03D4CBCE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159B4B78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01AB05D3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190B3138" w14:textId="77777777" w:rsidR="00C31053" w:rsidRPr="00BC4692" w:rsidRDefault="00C31053" w:rsidP="007960F8">
      <w:pPr>
        <w:widowControl/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</w:p>
    <w:p w14:paraId="6A11FF3B" w14:textId="77777777" w:rsidR="00372260" w:rsidRPr="00C31053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D3E89B9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58D9F66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24FCA4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AFA1D2D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8B28E67" w14:textId="1614DD90" w:rsidR="00372260" w:rsidRPr="00BC4692" w:rsidRDefault="002275D8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761A73F7" wp14:editId="3AEFA189">
            <wp:extent cx="5400040" cy="44176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11A9" w14:textId="5E563F60" w:rsidR="00C31053" w:rsidRPr="00BC4692" w:rsidRDefault="00C31053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>Figure 5</w:t>
      </w:r>
      <w:r>
        <w:rPr>
          <w:rFonts w:ascii="Book Antiqua" w:hAnsi="Book Antiqua" w:cstheme="majorHAnsi"/>
          <w:b/>
          <w:color w:val="000000" w:themeColor="text1"/>
          <w:sz w:val="24"/>
          <w:szCs w:val="24"/>
        </w:rPr>
        <w:t xml:space="preserve"> </w:t>
      </w:r>
      <w:r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 xml:space="preserve">The graph shows the relationship between age at diversion surgery and interval time. 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Data represent means and standard deviation. </w:t>
      </w:r>
      <w:r w:rsidRPr="00C31053">
        <w:rPr>
          <w:rFonts w:ascii="Book Antiqua" w:hAnsi="Book Antiqua" w:cstheme="majorHAnsi"/>
          <w:i/>
          <w:iCs/>
          <w:color w:val="000000" w:themeColor="text1"/>
          <w:sz w:val="24"/>
          <w:szCs w:val="24"/>
        </w:rPr>
        <w:t>P</w:t>
      </w:r>
      <w:r w:rsidRPr="00BC4692">
        <w:rPr>
          <w:rFonts w:ascii="Book Antiqua" w:hAnsi="Book Antiqua" w:cstheme="majorHAnsi"/>
          <w:color w:val="000000" w:themeColor="text1"/>
          <w:sz w:val="24"/>
          <w:szCs w:val="24"/>
        </w:rPr>
        <w:t xml:space="preserve"> &lt; 0.0001, one-way analysis of variance and Bonferroni’s multiple comparison test.</w:t>
      </w:r>
    </w:p>
    <w:p w14:paraId="36BD6972" w14:textId="77777777" w:rsidR="00C31053" w:rsidRPr="00BC4692" w:rsidRDefault="00C31053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D7F76F5" w14:textId="77777777" w:rsidR="00372260" w:rsidRPr="00C31053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872F921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7862744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BF1A03F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15140A9A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20589C7B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7D3E11B7" w14:textId="77777777" w:rsidR="00372260" w:rsidRPr="00BC4692" w:rsidRDefault="00372260" w:rsidP="007960F8">
      <w:pPr>
        <w:spacing w:line="360" w:lineRule="auto"/>
        <w:rPr>
          <w:rFonts w:ascii="Book Antiqua" w:hAnsi="Book Antiqua" w:cstheme="majorHAnsi"/>
          <w:b/>
          <w:color w:val="000000" w:themeColor="text1"/>
          <w:sz w:val="24"/>
          <w:szCs w:val="24"/>
        </w:rPr>
      </w:pPr>
    </w:p>
    <w:p w14:paraId="454E57DB" w14:textId="61F0A4CF" w:rsidR="00C31053" w:rsidRDefault="00A82CE9" w:rsidP="007960F8">
      <w:pPr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BC4692">
        <w:rPr>
          <w:rFonts w:ascii="Book Antiqua" w:hAnsi="Book Antiqua" w:cstheme="majorHAnsi"/>
          <w:b/>
          <w:color w:val="000000" w:themeColor="text1"/>
          <w:sz w:val="24"/>
          <w:szCs w:val="24"/>
        </w:rPr>
        <w:t>Table 1</w:t>
      </w:r>
      <w:r w:rsidR="00C31053"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 xml:space="preserve"> </w:t>
      </w:r>
      <w:r w:rsidR="00D7765A" w:rsidRPr="00C31053">
        <w:rPr>
          <w:rFonts w:ascii="Book Antiqua" w:hAnsi="Book Antiqua" w:cstheme="majorHAnsi"/>
          <w:b/>
          <w:bCs/>
          <w:color w:val="000000" w:themeColor="text1"/>
          <w:sz w:val="24"/>
          <w:szCs w:val="24"/>
        </w:rPr>
        <w:t>C</w:t>
      </w:r>
      <w:r w:rsidR="00243326" w:rsidRPr="00C31053">
        <w:rPr>
          <w:rFonts w:ascii="Book Antiqua" w:eastAsia="MS PGothic" w:hAnsi="Book Antiqua" w:cstheme="majorHAnsi"/>
          <w:b/>
          <w:bCs/>
          <w:color w:val="000000" w:themeColor="text1"/>
          <w:kern w:val="0"/>
          <w:sz w:val="24"/>
          <w:szCs w:val="24"/>
        </w:rPr>
        <w:t>haracteristics of the patients with biliary tract cancer after flow diversion surgery</w:t>
      </w:r>
    </w:p>
    <w:tbl>
      <w:tblPr>
        <w:tblStyle w:val="ac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982"/>
        <w:gridCol w:w="2540"/>
      </w:tblGrid>
      <w:tr w:rsidR="00833CF7" w:rsidRPr="00833CF7" w14:paraId="1834DE00" w14:textId="77777777" w:rsidTr="00833CF7">
        <w:trPr>
          <w:trHeight w:val="300"/>
        </w:trPr>
        <w:tc>
          <w:tcPr>
            <w:tcW w:w="39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1ABA2C7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  <w:t>Variables</w:t>
            </w:r>
          </w:p>
        </w:tc>
        <w:tc>
          <w:tcPr>
            <w:tcW w:w="9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734996DE" w14:textId="4403374B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noWrap/>
            <w:hideMark/>
          </w:tcPr>
          <w:p w14:paraId="692DAC3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Number of Cases/Years </w:t>
            </w:r>
          </w:p>
        </w:tc>
      </w:tr>
      <w:tr w:rsidR="00833CF7" w:rsidRPr="00833CF7" w14:paraId="0653BE48" w14:textId="77777777" w:rsidTr="00833CF7">
        <w:trPr>
          <w:trHeight w:val="300"/>
        </w:trPr>
        <w:tc>
          <w:tcPr>
            <w:tcW w:w="3960" w:type="dxa"/>
            <w:tcBorders>
              <w:top w:val="single" w:sz="4" w:space="0" w:color="000000" w:themeColor="text1"/>
            </w:tcBorders>
            <w:noWrap/>
            <w:hideMark/>
          </w:tcPr>
          <w:p w14:paraId="28C9D22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 xml:space="preserve">Sex </w:t>
            </w:r>
          </w:p>
        </w:tc>
        <w:tc>
          <w:tcPr>
            <w:tcW w:w="982" w:type="dxa"/>
            <w:tcBorders>
              <w:top w:val="single" w:sz="4" w:space="0" w:color="000000" w:themeColor="text1"/>
            </w:tcBorders>
            <w:noWrap/>
            <w:hideMark/>
          </w:tcPr>
          <w:p w14:paraId="619117D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Male</w:t>
            </w:r>
          </w:p>
        </w:tc>
        <w:tc>
          <w:tcPr>
            <w:tcW w:w="2540" w:type="dxa"/>
            <w:tcBorders>
              <w:top w:val="single" w:sz="4" w:space="0" w:color="000000" w:themeColor="text1"/>
            </w:tcBorders>
            <w:noWrap/>
            <w:hideMark/>
          </w:tcPr>
          <w:p w14:paraId="164C4084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6BB98DAC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5B777B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A78A41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2540" w:type="dxa"/>
            <w:noWrap/>
            <w:hideMark/>
          </w:tcPr>
          <w:p w14:paraId="013BBC7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</w:tr>
      <w:tr w:rsidR="00833CF7" w:rsidRPr="00833CF7" w14:paraId="0B7DF2FA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487CF00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C111B2D" w14:textId="4AF00826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374C76F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</w:tr>
      <w:tr w:rsidR="00833CF7" w:rsidRPr="00833CF7" w14:paraId="1FF7F580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73404C2B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proofErr w:type="spellStart"/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Todani</w:t>
            </w:r>
            <w:proofErr w:type="spellEnd"/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 xml:space="preserve"> classification</w:t>
            </w:r>
          </w:p>
        </w:tc>
        <w:tc>
          <w:tcPr>
            <w:tcW w:w="982" w:type="dxa"/>
            <w:noWrap/>
            <w:hideMark/>
          </w:tcPr>
          <w:p w14:paraId="04B71565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</w:t>
            </w:r>
          </w:p>
        </w:tc>
        <w:tc>
          <w:tcPr>
            <w:tcW w:w="2540" w:type="dxa"/>
            <w:noWrap/>
            <w:hideMark/>
          </w:tcPr>
          <w:p w14:paraId="7EBC7C42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</w:tr>
      <w:tr w:rsidR="00833CF7" w:rsidRPr="00833CF7" w14:paraId="455641DB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0691FD5B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29B134F9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IVA</w:t>
            </w:r>
          </w:p>
        </w:tc>
        <w:tc>
          <w:tcPr>
            <w:tcW w:w="2540" w:type="dxa"/>
            <w:noWrap/>
            <w:hideMark/>
          </w:tcPr>
          <w:p w14:paraId="0E49EEA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16</w:t>
            </w:r>
          </w:p>
        </w:tc>
      </w:tr>
      <w:tr w:rsidR="00833CF7" w:rsidRPr="00833CF7" w14:paraId="2580B6D9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192954B0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61A2AD84" w14:textId="38734D9E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38E7890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9</w:t>
            </w:r>
          </w:p>
        </w:tc>
      </w:tr>
      <w:tr w:rsidR="00833CF7" w:rsidRPr="00833CF7" w14:paraId="1DC96B7F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3713734A" w14:textId="79E7931A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Age at flow diversion surgery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003AA658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650C23E1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28.3 (0-68)</w:t>
            </w:r>
          </w:p>
        </w:tc>
      </w:tr>
      <w:tr w:rsidR="00833CF7" w:rsidRPr="00833CF7" w14:paraId="34604C69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32DB98F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1C34754C" w14:textId="464472AC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2384AFFD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36E5B5FB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37E79D8F" w14:textId="332C7FD8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Age at detection of biliary tract cancer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4B943BE2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10CA2B24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42.3 (20-70)</w:t>
            </w:r>
          </w:p>
        </w:tc>
      </w:tr>
      <w:tr w:rsidR="00833CF7" w:rsidRPr="00833CF7" w14:paraId="5C47A0E1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258336FA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35E0D1AA" w14:textId="4192AE66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0CD82D1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33CF7" w:rsidRPr="00833CF7" w14:paraId="39280BC7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1BD77F08" w14:textId="10DA5A0D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Interval time</w:t>
            </w: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982" w:type="dxa"/>
            <w:noWrap/>
            <w:hideMark/>
          </w:tcPr>
          <w:p w14:paraId="353110F3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2540" w:type="dxa"/>
            <w:noWrap/>
            <w:hideMark/>
          </w:tcPr>
          <w:p w14:paraId="36641936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12.6 (1-35)</w:t>
            </w:r>
          </w:p>
        </w:tc>
      </w:tr>
      <w:tr w:rsidR="00833CF7" w:rsidRPr="00833CF7" w14:paraId="3C56627E" w14:textId="77777777" w:rsidTr="00833CF7">
        <w:trPr>
          <w:trHeight w:val="300"/>
        </w:trPr>
        <w:tc>
          <w:tcPr>
            <w:tcW w:w="3960" w:type="dxa"/>
            <w:noWrap/>
            <w:hideMark/>
          </w:tcPr>
          <w:p w14:paraId="50589EFE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82" w:type="dxa"/>
            <w:noWrap/>
            <w:hideMark/>
          </w:tcPr>
          <w:p w14:paraId="72D85DF9" w14:textId="72F10515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BC4692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NA</w:t>
            </w:r>
          </w:p>
        </w:tc>
        <w:tc>
          <w:tcPr>
            <w:tcW w:w="2540" w:type="dxa"/>
            <w:noWrap/>
            <w:hideMark/>
          </w:tcPr>
          <w:p w14:paraId="719A0247" w14:textId="77777777" w:rsidR="00833CF7" w:rsidRPr="00833CF7" w:rsidRDefault="00833CF7" w:rsidP="007960F8">
            <w:pPr>
              <w:spacing w:line="360" w:lineRule="auto"/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</w:pPr>
            <w:r w:rsidRPr="00833CF7">
              <w:rPr>
                <w:rFonts w:ascii="Book Antiqua" w:eastAsia="MS PGothic" w:hAnsi="Book Antiqua" w:cstheme="majorHAnsi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</w:tbl>
    <w:p w14:paraId="3A3F3154" w14:textId="16B03DC2" w:rsidR="00C71656" w:rsidRPr="00BC4692" w:rsidRDefault="00833CF7" w:rsidP="007960F8">
      <w:pPr>
        <w:spacing w:line="360" w:lineRule="auto"/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</w:pPr>
      <w:r w:rsidRPr="00833CF7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  <w:vertAlign w:val="superscript"/>
        </w:rPr>
        <w:t>1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Values are median</w:t>
      </w:r>
      <w:r w:rsidR="0075771E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s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 xml:space="preserve"> (range). NA:</w:t>
      </w:r>
      <w:r w:rsidR="0083504A" w:rsidRPr="00833CF7">
        <w:rPr>
          <w:rFonts w:ascii="Book Antiqua" w:eastAsia="MS PGothic" w:hAnsi="Book Antiqua" w:cstheme="majorHAnsi"/>
          <w:caps/>
          <w:color w:val="000000" w:themeColor="text1"/>
          <w:kern w:val="0"/>
          <w:sz w:val="24"/>
          <w:szCs w:val="24"/>
        </w:rPr>
        <w:t xml:space="preserve"> n</w:t>
      </w:r>
      <w:r w:rsidR="0083504A" w:rsidRPr="00BC4692">
        <w:rPr>
          <w:rFonts w:ascii="Book Antiqua" w:eastAsia="MS PGothic" w:hAnsi="Book Antiqua" w:cstheme="majorHAnsi"/>
          <w:color w:val="000000" w:themeColor="text1"/>
          <w:kern w:val="0"/>
          <w:sz w:val="24"/>
          <w:szCs w:val="24"/>
        </w:rPr>
        <w:t>ot available.</w:t>
      </w:r>
    </w:p>
    <w:sectPr w:rsidR="00C71656" w:rsidRPr="00BC4692" w:rsidSect="00E5463F">
      <w:headerReference w:type="default" r:id="rId17"/>
      <w:footerReference w:type="default" r:id="rId1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692028" w14:textId="77777777" w:rsidR="00195401" w:rsidRDefault="00195401" w:rsidP="000678DF">
      <w:r>
        <w:separator/>
      </w:r>
    </w:p>
  </w:endnote>
  <w:endnote w:type="continuationSeparator" w:id="0">
    <w:p w14:paraId="4BACCE88" w14:textId="77777777" w:rsidR="00195401" w:rsidRDefault="00195401" w:rsidP="0006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670915"/>
      <w:docPartObj>
        <w:docPartGallery w:val="Page Numbers (Bottom of Page)"/>
        <w:docPartUnique/>
      </w:docPartObj>
    </w:sdtPr>
    <w:sdtEndPr/>
    <w:sdtContent>
      <w:p w14:paraId="21560B33" w14:textId="5ECF8BCB" w:rsidR="00230F05" w:rsidRDefault="00230F0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CF3" w:rsidRPr="00B67CF3">
          <w:rPr>
            <w:noProof/>
            <w:lang w:val="ja-JP"/>
          </w:rPr>
          <w:t>18</w:t>
        </w:r>
        <w:r>
          <w:fldChar w:fldCharType="end"/>
        </w:r>
      </w:p>
    </w:sdtContent>
  </w:sdt>
  <w:p w14:paraId="6963B6EF" w14:textId="77777777" w:rsidR="00230F05" w:rsidRDefault="00230F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36B115" w14:textId="77777777" w:rsidR="00195401" w:rsidRDefault="00195401" w:rsidP="000678DF">
      <w:r>
        <w:separator/>
      </w:r>
    </w:p>
  </w:footnote>
  <w:footnote w:type="continuationSeparator" w:id="0">
    <w:p w14:paraId="63423B84" w14:textId="77777777" w:rsidR="00195401" w:rsidRDefault="00195401" w:rsidP="000678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151584"/>
      <w:docPartObj>
        <w:docPartGallery w:val="Watermarks"/>
        <w:docPartUnique/>
      </w:docPartObj>
    </w:sdtPr>
    <w:sdtEndPr/>
    <w:sdtContent>
      <w:p w14:paraId="3DA2758F" w14:textId="79E1022F" w:rsidR="00FF1048" w:rsidRDefault="00195401">
        <w:pPr>
          <w:pStyle w:val="a5"/>
        </w:pPr>
        <w:r>
          <w:rPr>
            <w:noProof/>
            <w:lang w:eastAsia="zh-TW"/>
          </w:rPr>
          <w:pict w14:anchorId="052B33D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49" type="#_x0000_t136" alt="" style="position:absolute;left:0;text-align:left;margin-left:0;margin-top:0;width:527.85pt;height:131.95pt;rotation:315;z-index:-251658752;visibility:hidden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31CD"/>
    <w:multiLevelType w:val="hybridMultilevel"/>
    <w:tmpl w:val="A3B6F876"/>
    <w:lvl w:ilvl="0" w:tplc="5C04902E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EastAsia" w:hAnsiTheme="majorHAnsi" w:cstheme="majorHAnsi" w:hint="default"/>
        <w:b w:val="0"/>
        <w:i w:val="0"/>
        <w:color w:val="auto"/>
        <w:sz w:val="22"/>
        <w:szCs w:val="22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010"/>
    <w:rsid w:val="00012B07"/>
    <w:rsid w:val="0003747A"/>
    <w:rsid w:val="000400BF"/>
    <w:rsid w:val="00043947"/>
    <w:rsid w:val="00052649"/>
    <w:rsid w:val="0006708B"/>
    <w:rsid w:val="000678DF"/>
    <w:rsid w:val="00067E84"/>
    <w:rsid w:val="00096F06"/>
    <w:rsid w:val="000B201E"/>
    <w:rsid w:val="000C6098"/>
    <w:rsid w:val="000D0E47"/>
    <w:rsid w:val="000E5252"/>
    <w:rsid w:val="000E74F0"/>
    <w:rsid w:val="000F3D00"/>
    <w:rsid w:val="00106ED5"/>
    <w:rsid w:val="00107539"/>
    <w:rsid w:val="00110DDD"/>
    <w:rsid w:val="00111511"/>
    <w:rsid w:val="00113CC9"/>
    <w:rsid w:val="00141332"/>
    <w:rsid w:val="00145DF2"/>
    <w:rsid w:val="001503D1"/>
    <w:rsid w:val="0016021E"/>
    <w:rsid w:val="001666B6"/>
    <w:rsid w:val="001759AD"/>
    <w:rsid w:val="001874AB"/>
    <w:rsid w:val="00195401"/>
    <w:rsid w:val="001A5017"/>
    <w:rsid w:val="001B1298"/>
    <w:rsid w:val="001B20B1"/>
    <w:rsid w:val="001D1B0D"/>
    <w:rsid w:val="001D76D7"/>
    <w:rsid w:val="001E39FB"/>
    <w:rsid w:val="002275D8"/>
    <w:rsid w:val="00230F05"/>
    <w:rsid w:val="0024163F"/>
    <w:rsid w:val="00243326"/>
    <w:rsid w:val="00244A7B"/>
    <w:rsid w:val="00247DC7"/>
    <w:rsid w:val="00251182"/>
    <w:rsid w:val="00256F65"/>
    <w:rsid w:val="0026298F"/>
    <w:rsid w:val="0026353C"/>
    <w:rsid w:val="00271C22"/>
    <w:rsid w:val="00273382"/>
    <w:rsid w:val="002738FF"/>
    <w:rsid w:val="00280B96"/>
    <w:rsid w:val="0028575A"/>
    <w:rsid w:val="002A5B80"/>
    <w:rsid w:val="002B0B58"/>
    <w:rsid w:val="002B671E"/>
    <w:rsid w:val="002C2856"/>
    <w:rsid w:val="002E34AC"/>
    <w:rsid w:val="002E6B20"/>
    <w:rsid w:val="00300070"/>
    <w:rsid w:val="00305342"/>
    <w:rsid w:val="00311A55"/>
    <w:rsid w:val="00315471"/>
    <w:rsid w:val="00330554"/>
    <w:rsid w:val="00343A33"/>
    <w:rsid w:val="00346DCF"/>
    <w:rsid w:val="00351E2C"/>
    <w:rsid w:val="003569EA"/>
    <w:rsid w:val="00372260"/>
    <w:rsid w:val="003732DD"/>
    <w:rsid w:val="003761AB"/>
    <w:rsid w:val="003A7F8C"/>
    <w:rsid w:val="003B32CD"/>
    <w:rsid w:val="003C1882"/>
    <w:rsid w:val="003D434F"/>
    <w:rsid w:val="003F1528"/>
    <w:rsid w:val="003F3979"/>
    <w:rsid w:val="003F7766"/>
    <w:rsid w:val="00402B65"/>
    <w:rsid w:val="00414C00"/>
    <w:rsid w:val="00414F17"/>
    <w:rsid w:val="004172B5"/>
    <w:rsid w:val="00423222"/>
    <w:rsid w:val="00430FED"/>
    <w:rsid w:val="0044323E"/>
    <w:rsid w:val="004454C3"/>
    <w:rsid w:val="00450766"/>
    <w:rsid w:val="004516E6"/>
    <w:rsid w:val="004701A8"/>
    <w:rsid w:val="0047176E"/>
    <w:rsid w:val="00472937"/>
    <w:rsid w:val="00480AA9"/>
    <w:rsid w:val="00482492"/>
    <w:rsid w:val="00486010"/>
    <w:rsid w:val="004933AB"/>
    <w:rsid w:val="004B14D8"/>
    <w:rsid w:val="004B1FA3"/>
    <w:rsid w:val="004C5158"/>
    <w:rsid w:val="004C58F9"/>
    <w:rsid w:val="004D3820"/>
    <w:rsid w:val="004E75C9"/>
    <w:rsid w:val="004F6D47"/>
    <w:rsid w:val="00507852"/>
    <w:rsid w:val="005133F3"/>
    <w:rsid w:val="0051371F"/>
    <w:rsid w:val="005334D3"/>
    <w:rsid w:val="005419AA"/>
    <w:rsid w:val="0055306D"/>
    <w:rsid w:val="00555791"/>
    <w:rsid w:val="00567260"/>
    <w:rsid w:val="00571ABC"/>
    <w:rsid w:val="0057632A"/>
    <w:rsid w:val="00583BDC"/>
    <w:rsid w:val="005C14CF"/>
    <w:rsid w:val="005D5A09"/>
    <w:rsid w:val="005F119B"/>
    <w:rsid w:val="005F199A"/>
    <w:rsid w:val="005F232D"/>
    <w:rsid w:val="005F7995"/>
    <w:rsid w:val="006402DB"/>
    <w:rsid w:val="00641220"/>
    <w:rsid w:val="006616AF"/>
    <w:rsid w:val="00662C6F"/>
    <w:rsid w:val="0066303A"/>
    <w:rsid w:val="00666446"/>
    <w:rsid w:val="006742E9"/>
    <w:rsid w:val="006849A4"/>
    <w:rsid w:val="006878C8"/>
    <w:rsid w:val="006912B9"/>
    <w:rsid w:val="00697FA0"/>
    <w:rsid w:val="006A1FB0"/>
    <w:rsid w:val="006B4483"/>
    <w:rsid w:val="006D1692"/>
    <w:rsid w:val="006D2BA1"/>
    <w:rsid w:val="006F2935"/>
    <w:rsid w:val="006F500C"/>
    <w:rsid w:val="00710B07"/>
    <w:rsid w:val="0075771E"/>
    <w:rsid w:val="0077220B"/>
    <w:rsid w:val="007828C1"/>
    <w:rsid w:val="007960F8"/>
    <w:rsid w:val="007974DA"/>
    <w:rsid w:val="007B734A"/>
    <w:rsid w:val="007C0696"/>
    <w:rsid w:val="007C7EF9"/>
    <w:rsid w:val="00821544"/>
    <w:rsid w:val="00821E08"/>
    <w:rsid w:val="00833CF7"/>
    <w:rsid w:val="0083504A"/>
    <w:rsid w:val="00837468"/>
    <w:rsid w:val="008533C9"/>
    <w:rsid w:val="0085383E"/>
    <w:rsid w:val="00875F2C"/>
    <w:rsid w:val="0089150D"/>
    <w:rsid w:val="00894492"/>
    <w:rsid w:val="008D53FF"/>
    <w:rsid w:val="008E43B2"/>
    <w:rsid w:val="008F1705"/>
    <w:rsid w:val="00900114"/>
    <w:rsid w:val="0091348B"/>
    <w:rsid w:val="00933F2F"/>
    <w:rsid w:val="00945446"/>
    <w:rsid w:val="00946CD4"/>
    <w:rsid w:val="00953570"/>
    <w:rsid w:val="00957D75"/>
    <w:rsid w:val="00971554"/>
    <w:rsid w:val="00983F74"/>
    <w:rsid w:val="00984079"/>
    <w:rsid w:val="009A5AB7"/>
    <w:rsid w:val="009C2951"/>
    <w:rsid w:val="009C4793"/>
    <w:rsid w:val="009E0685"/>
    <w:rsid w:val="009E5F5A"/>
    <w:rsid w:val="009F0B14"/>
    <w:rsid w:val="00A021E5"/>
    <w:rsid w:val="00A029BF"/>
    <w:rsid w:val="00A122B9"/>
    <w:rsid w:val="00A12ED2"/>
    <w:rsid w:val="00A20747"/>
    <w:rsid w:val="00A22A54"/>
    <w:rsid w:val="00A25FD4"/>
    <w:rsid w:val="00A273EE"/>
    <w:rsid w:val="00A27F5C"/>
    <w:rsid w:val="00A34591"/>
    <w:rsid w:val="00A35617"/>
    <w:rsid w:val="00A67F70"/>
    <w:rsid w:val="00A72BAE"/>
    <w:rsid w:val="00A74761"/>
    <w:rsid w:val="00A8105D"/>
    <w:rsid w:val="00A82CE9"/>
    <w:rsid w:val="00AA30B5"/>
    <w:rsid w:val="00AB30AF"/>
    <w:rsid w:val="00AC0D1B"/>
    <w:rsid w:val="00AC7251"/>
    <w:rsid w:val="00AE40F2"/>
    <w:rsid w:val="00AF0287"/>
    <w:rsid w:val="00AF41B9"/>
    <w:rsid w:val="00B009D5"/>
    <w:rsid w:val="00B02DFB"/>
    <w:rsid w:val="00B03B3D"/>
    <w:rsid w:val="00B24878"/>
    <w:rsid w:val="00B33771"/>
    <w:rsid w:val="00B33E4E"/>
    <w:rsid w:val="00B34480"/>
    <w:rsid w:val="00B44904"/>
    <w:rsid w:val="00B44F0C"/>
    <w:rsid w:val="00B47DB5"/>
    <w:rsid w:val="00B52BC5"/>
    <w:rsid w:val="00B562EC"/>
    <w:rsid w:val="00B67CF3"/>
    <w:rsid w:val="00B75D1B"/>
    <w:rsid w:val="00B81575"/>
    <w:rsid w:val="00B924DD"/>
    <w:rsid w:val="00BA7811"/>
    <w:rsid w:val="00BB0B5A"/>
    <w:rsid w:val="00BB410F"/>
    <w:rsid w:val="00BB5594"/>
    <w:rsid w:val="00BB5E26"/>
    <w:rsid w:val="00BC2396"/>
    <w:rsid w:val="00BC4692"/>
    <w:rsid w:val="00BC4E8B"/>
    <w:rsid w:val="00BC6E73"/>
    <w:rsid w:val="00BD2806"/>
    <w:rsid w:val="00BE2B10"/>
    <w:rsid w:val="00BE4C2D"/>
    <w:rsid w:val="00BF0BBF"/>
    <w:rsid w:val="00BF1CFA"/>
    <w:rsid w:val="00BF3CD2"/>
    <w:rsid w:val="00BF7077"/>
    <w:rsid w:val="00C11E11"/>
    <w:rsid w:val="00C1335B"/>
    <w:rsid w:val="00C31053"/>
    <w:rsid w:val="00C33B11"/>
    <w:rsid w:val="00C4030D"/>
    <w:rsid w:val="00C40AE1"/>
    <w:rsid w:val="00C50F5C"/>
    <w:rsid w:val="00C55EF2"/>
    <w:rsid w:val="00C71656"/>
    <w:rsid w:val="00C76976"/>
    <w:rsid w:val="00C77D68"/>
    <w:rsid w:val="00C86BC3"/>
    <w:rsid w:val="00C92DBB"/>
    <w:rsid w:val="00C96DAA"/>
    <w:rsid w:val="00C97A5E"/>
    <w:rsid w:val="00CA2CAF"/>
    <w:rsid w:val="00CA5C61"/>
    <w:rsid w:val="00CB511C"/>
    <w:rsid w:val="00CC3004"/>
    <w:rsid w:val="00CD2B9D"/>
    <w:rsid w:val="00CD7682"/>
    <w:rsid w:val="00CE1A71"/>
    <w:rsid w:val="00CE3E82"/>
    <w:rsid w:val="00D07E7C"/>
    <w:rsid w:val="00D117E6"/>
    <w:rsid w:val="00D30CAC"/>
    <w:rsid w:val="00D33129"/>
    <w:rsid w:val="00D33DA2"/>
    <w:rsid w:val="00D34BF1"/>
    <w:rsid w:val="00D36409"/>
    <w:rsid w:val="00D41AB5"/>
    <w:rsid w:val="00D430C8"/>
    <w:rsid w:val="00D56B33"/>
    <w:rsid w:val="00D611C3"/>
    <w:rsid w:val="00D62C3C"/>
    <w:rsid w:val="00D62CF3"/>
    <w:rsid w:val="00D7765A"/>
    <w:rsid w:val="00D82CD0"/>
    <w:rsid w:val="00D97914"/>
    <w:rsid w:val="00DA333C"/>
    <w:rsid w:val="00DC1751"/>
    <w:rsid w:val="00DC4C0B"/>
    <w:rsid w:val="00DD3C89"/>
    <w:rsid w:val="00DE6564"/>
    <w:rsid w:val="00E04790"/>
    <w:rsid w:val="00E34C70"/>
    <w:rsid w:val="00E46825"/>
    <w:rsid w:val="00E51669"/>
    <w:rsid w:val="00E5463F"/>
    <w:rsid w:val="00E74B71"/>
    <w:rsid w:val="00E75FD5"/>
    <w:rsid w:val="00E82FAD"/>
    <w:rsid w:val="00E92DCA"/>
    <w:rsid w:val="00EA63B8"/>
    <w:rsid w:val="00EB0DC5"/>
    <w:rsid w:val="00EB39F3"/>
    <w:rsid w:val="00EE29BD"/>
    <w:rsid w:val="00EE38F8"/>
    <w:rsid w:val="00EF04EB"/>
    <w:rsid w:val="00EF65D6"/>
    <w:rsid w:val="00F00B9F"/>
    <w:rsid w:val="00F20752"/>
    <w:rsid w:val="00F31460"/>
    <w:rsid w:val="00F35E65"/>
    <w:rsid w:val="00F36FC9"/>
    <w:rsid w:val="00F62B28"/>
    <w:rsid w:val="00F67109"/>
    <w:rsid w:val="00F70AD4"/>
    <w:rsid w:val="00F77761"/>
    <w:rsid w:val="00F77F55"/>
    <w:rsid w:val="00F84AD5"/>
    <w:rsid w:val="00F85CDE"/>
    <w:rsid w:val="00FA704C"/>
    <w:rsid w:val="00FB4AFB"/>
    <w:rsid w:val="00FC0B6B"/>
    <w:rsid w:val="00FC6D96"/>
    <w:rsid w:val="00FC77FE"/>
    <w:rsid w:val="00FE089A"/>
    <w:rsid w:val="00FE09FC"/>
    <w:rsid w:val="00FE4640"/>
    <w:rsid w:val="00FE4944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AF0B1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1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2154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010"/>
    <w:pPr>
      <w:ind w:leftChars="400" w:left="840"/>
    </w:pPr>
  </w:style>
  <w:style w:type="character" w:styleId="a4">
    <w:name w:val="Hyperlink"/>
    <w:basedOn w:val="a0"/>
    <w:uiPriority w:val="99"/>
    <w:unhideWhenUsed/>
    <w:rsid w:val="00BB410F"/>
    <w:rPr>
      <w:color w:val="0000FF"/>
      <w:u w:val="single"/>
    </w:rPr>
  </w:style>
  <w:style w:type="character" w:customStyle="1" w:styleId="highlight">
    <w:name w:val="highlight"/>
    <w:basedOn w:val="a0"/>
    <w:rsid w:val="00DC1751"/>
  </w:style>
  <w:style w:type="character" w:customStyle="1" w:styleId="1Char">
    <w:name w:val="标题 1 Char"/>
    <w:basedOn w:val="a0"/>
    <w:link w:val="1"/>
    <w:uiPriority w:val="9"/>
    <w:rsid w:val="00821544"/>
    <w:rPr>
      <w:rFonts w:ascii="MS PGothic" w:eastAsia="MS PGothic" w:hAnsi="MS PGothic" w:cs="MS PGothic"/>
      <w:b/>
      <w:bCs/>
      <w:kern w:val="3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0678DF"/>
  </w:style>
  <w:style w:type="paragraph" w:styleId="a6">
    <w:name w:val="footer"/>
    <w:basedOn w:val="a"/>
    <w:link w:val="Char0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0678DF"/>
  </w:style>
  <w:style w:type="paragraph" w:styleId="a7">
    <w:name w:val="Balloon Text"/>
    <w:basedOn w:val="a"/>
    <w:link w:val="Char1"/>
    <w:uiPriority w:val="99"/>
    <w:semiHidden/>
    <w:unhideWhenUsed/>
    <w:rsid w:val="00244A7B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44A7B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B24878"/>
    <w:rPr>
      <w:sz w:val="18"/>
      <w:szCs w:val="18"/>
    </w:rPr>
  </w:style>
  <w:style w:type="paragraph" w:styleId="a9">
    <w:name w:val="annotation text"/>
    <w:basedOn w:val="a"/>
    <w:link w:val="Char10"/>
    <w:uiPriority w:val="99"/>
    <w:unhideWhenUsed/>
    <w:qFormat/>
    <w:rsid w:val="00B24878"/>
    <w:pPr>
      <w:jc w:val="left"/>
    </w:pPr>
  </w:style>
  <w:style w:type="character" w:customStyle="1" w:styleId="Char10">
    <w:name w:val="批注文字 Char1"/>
    <w:basedOn w:val="a0"/>
    <w:link w:val="a9"/>
    <w:uiPriority w:val="99"/>
    <w:semiHidden/>
    <w:rsid w:val="00B24878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B24878"/>
    <w:rPr>
      <w:b/>
      <w:bCs/>
    </w:rPr>
  </w:style>
  <w:style w:type="character" w:customStyle="1" w:styleId="Char2">
    <w:name w:val="批注主题 Char"/>
    <w:basedOn w:val="Char10"/>
    <w:link w:val="aa"/>
    <w:uiPriority w:val="99"/>
    <w:semiHidden/>
    <w:rsid w:val="00B24878"/>
    <w:rPr>
      <w:b/>
      <w:bCs/>
    </w:rPr>
  </w:style>
  <w:style w:type="character" w:styleId="ab">
    <w:name w:val="line number"/>
    <w:basedOn w:val="a0"/>
    <w:uiPriority w:val="99"/>
    <w:semiHidden/>
    <w:unhideWhenUsed/>
    <w:rsid w:val="00230F05"/>
  </w:style>
  <w:style w:type="character" w:customStyle="1" w:styleId="Char3">
    <w:name w:val="批注文字 Char"/>
    <w:uiPriority w:val="99"/>
    <w:locked/>
    <w:rsid w:val="00BC4692"/>
    <w:rPr>
      <w:kern w:val="2"/>
      <w:sz w:val="21"/>
    </w:rPr>
  </w:style>
  <w:style w:type="paragraph" w:customStyle="1" w:styleId="BodyA">
    <w:name w:val="Body A"/>
    <w:rsid w:val="00BC469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kern w:val="0"/>
      <w:sz w:val="22"/>
      <w:u w:color="000000"/>
      <w:bdr w:val="nil"/>
      <w:lang w:eastAsia="en-AU"/>
    </w:rPr>
  </w:style>
  <w:style w:type="table" w:styleId="ac">
    <w:name w:val="Table Grid"/>
    <w:basedOn w:val="a1"/>
    <w:uiPriority w:val="39"/>
    <w:rsid w:val="00833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01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2154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010"/>
    <w:pPr>
      <w:ind w:leftChars="400" w:left="840"/>
    </w:pPr>
  </w:style>
  <w:style w:type="character" w:styleId="a4">
    <w:name w:val="Hyperlink"/>
    <w:basedOn w:val="a0"/>
    <w:uiPriority w:val="99"/>
    <w:unhideWhenUsed/>
    <w:rsid w:val="00BB410F"/>
    <w:rPr>
      <w:color w:val="0000FF"/>
      <w:u w:val="single"/>
    </w:rPr>
  </w:style>
  <w:style w:type="character" w:customStyle="1" w:styleId="highlight">
    <w:name w:val="highlight"/>
    <w:basedOn w:val="a0"/>
    <w:rsid w:val="00DC1751"/>
  </w:style>
  <w:style w:type="character" w:customStyle="1" w:styleId="1Char">
    <w:name w:val="标题 1 Char"/>
    <w:basedOn w:val="a0"/>
    <w:link w:val="1"/>
    <w:uiPriority w:val="9"/>
    <w:rsid w:val="00821544"/>
    <w:rPr>
      <w:rFonts w:ascii="MS PGothic" w:eastAsia="MS PGothic" w:hAnsi="MS PGothic" w:cs="MS PGothic"/>
      <w:b/>
      <w:bCs/>
      <w:kern w:val="3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5"/>
    <w:uiPriority w:val="99"/>
    <w:rsid w:val="000678DF"/>
  </w:style>
  <w:style w:type="paragraph" w:styleId="a6">
    <w:name w:val="footer"/>
    <w:basedOn w:val="a"/>
    <w:link w:val="Char0"/>
    <w:uiPriority w:val="99"/>
    <w:unhideWhenUsed/>
    <w:rsid w:val="000678DF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6"/>
    <w:uiPriority w:val="99"/>
    <w:rsid w:val="000678DF"/>
  </w:style>
  <w:style w:type="paragraph" w:styleId="a7">
    <w:name w:val="Balloon Text"/>
    <w:basedOn w:val="a"/>
    <w:link w:val="Char1"/>
    <w:uiPriority w:val="99"/>
    <w:semiHidden/>
    <w:unhideWhenUsed/>
    <w:rsid w:val="00244A7B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44A7B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unhideWhenUsed/>
    <w:qFormat/>
    <w:rsid w:val="00B24878"/>
    <w:rPr>
      <w:sz w:val="18"/>
      <w:szCs w:val="18"/>
    </w:rPr>
  </w:style>
  <w:style w:type="paragraph" w:styleId="a9">
    <w:name w:val="annotation text"/>
    <w:basedOn w:val="a"/>
    <w:link w:val="Char10"/>
    <w:uiPriority w:val="99"/>
    <w:unhideWhenUsed/>
    <w:qFormat/>
    <w:rsid w:val="00B24878"/>
    <w:pPr>
      <w:jc w:val="left"/>
    </w:pPr>
  </w:style>
  <w:style w:type="character" w:customStyle="1" w:styleId="Char10">
    <w:name w:val="批注文字 Char1"/>
    <w:basedOn w:val="a0"/>
    <w:link w:val="a9"/>
    <w:uiPriority w:val="99"/>
    <w:semiHidden/>
    <w:rsid w:val="00B24878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B24878"/>
    <w:rPr>
      <w:b/>
      <w:bCs/>
    </w:rPr>
  </w:style>
  <w:style w:type="character" w:customStyle="1" w:styleId="Char2">
    <w:name w:val="批注主题 Char"/>
    <w:basedOn w:val="Char10"/>
    <w:link w:val="aa"/>
    <w:uiPriority w:val="99"/>
    <w:semiHidden/>
    <w:rsid w:val="00B24878"/>
    <w:rPr>
      <w:b/>
      <w:bCs/>
    </w:rPr>
  </w:style>
  <w:style w:type="character" w:styleId="ab">
    <w:name w:val="line number"/>
    <w:basedOn w:val="a0"/>
    <w:uiPriority w:val="99"/>
    <w:semiHidden/>
    <w:unhideWhenUsed/>
    <w:rsid w:val="00230F05"/>
  </w:style>
  <w:style w:type="character" w:customStyle="1" w:styleId="Char3">
    <w:name w:val="批注文字 Char"/>
    <w:uiPriority w:val="99"/>
    <w:locked/>
    <w:rsid w:val="00BC4692"/>
    <w:rPr>
      <w:kern w:val="2"/>
      <w:sz w:val="21"/>
    </w:rPr>
  </w:style>
  <w:style w:type="paragraph" w:customStyle="1" w:styleId="BodyA">
    <w:name w:val="Body A"/>
    <w:rsid w:val="00BC469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kern w:val="0"/>
      <w:sz w:val="22"/>
      <w:u w:color="000000"/>
      <w:bdr w:val="nil"/>
      <w:lang w:eastAsia="en-AU"/>
    </w:rPr>
  </w:style>
  <w:style w:type="table" w:styleId="ac">
    <w:name w:val="Table Grid"/>
    <w:basedOn w:val="a1"/>
    <w:uiPriority w:val="39"/>
    <w:rsid w:val="00833C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jgnet.com/1948-5182/full/v11/i11/743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hyperlink" Target="https://orcid.org/0000-0003-4164-3988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orcid.org/0000-0001-7465-5761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73B6E-E463-43FE-8124-CC3229A52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4191</Words>
  <Characters>23895</Characters>
  <Application>Microsoft Office Word</Application>
  <DocSecurity>0</DocSecurity>
  <PresentationFormat/>
  <Lines>199</Lines>
  <Paragraphs>56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28030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2019-10-02T18:04:00Z</dcterms:created>
  <dcterms:modified xsi:type="dcterms:W3CDTF">2019-11-07T03:29:00Z</dcterms:modified>
  <cp:category/>
  <cp:contentStatus/>
  <dc:language/>
  <cp:version/>
</cp:coreProperties>
</file>