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A0ED4" w14:textId="7699005E" w:rsidR="001A3DB3" w:rsidRPr="007363FF" w:rsidRDefault="001A3DB3" w:rsidP="007363FF">
      <w:pPr>
        <w:adjustRightInd w:val="0"/>
        <w:snapToGrid w:val="0"/>
        <w:spacing w:after="0" w:line="360" w:lineRule="auto"/>
        <w:jc w:val="both"/>
        <w:rPr>
          <w:rFonts w:ascii="Book Antiqua" w:eastAsia="Times New Roman" w:hAnsi="Book Antiqua" w:cs="Arial"/>
          <w:i/>
          <w:sz w:val="24"/>
          <w:szCs w:val="24"/>
        </w:rPr>
      </w:pPr>
      <w:bookmarkStart w:id="0" w:name="OLE_LINK191"/>
      <w:bookmarkStart w:id="1" w:name="OLE_LINK192"/>
      <w:bookmarkStart w:id="2" w:name="OLE_LINK17"/>
      <w:bookmarkStart w:id="3" w:name="OLE_LINK18"/>
      <w:bookmarkStart w:id="4" w:name="OLE_LINK22"/>
      <w:bookmarkStart w:id="5" w:name="OLE_LINK371"/>
      <w:bookmarkStart w:id="6" w:name="OLE_LINK423"/>
      <w:bookmarkStart w:id="7" w:name="OLE_LINK77"/>
      <w:bookmarkStart w:id="8" w:name="OLE_LINK435"/>
      <w:bookmarkStart w:id="9" w:name="OLE_LINK112"/>
      <w:bookmarkStart w:id="10" w:name="OLE_LINK166"/>
      <w:r w:rsidRPr="007363FF">
        <w:rPr>
          <w:rFonts w:ascii="Book Antiqua" w:eastAsia="Times New Roman" w:hAnsi="Book Antiqua" w:cs="Arial"/>
          <w:b/>
          <w:sz w:val="24"/>
          <w:szCs w:val="24"/>
        </w:rPr>
        <w:t xml:space="preserve">Name of Journal: </w:t>
      </w:r>
      <w:r w:rsidR="00B24763" w:rsidRPr="00D87E5F">
        <w:rPr>
          <w:rFonts w:ascii="Book Antiqua" w:eastAsia="Times New Roman" w:hAnsi="Book Antiqua" w:cs="Arial"/>
          <w:bCs/>
          <w:i/>
          <w:iCs/>
          <w:sz w:val="24"/>
          <w:szCs w:val="24"/>
        </w:rPr>
        <w:t>World Journal of Gastroenterology</w:t>
      </w:r>
    </w:p>
    <w:p w14:paraId="63C7A318" w14:textId="10A01F14" w:rsidR="001A3DB3" w:rsidRPr="007363FF" w:rsidRDefault="001A3DB3" w:rsidP="007363FF">
      <w:pPr>
        <w:adjustRightInd w:val="0"/>
        <w:snapToGrid w:val="0"/>
        <w:spacing w:after="0" w:line="360" w:lineRule="auto"/>
        <w:jc w:val="both"/>
        <w:rPr>
          <w:rFonts w:ascii="Book Antiqua" w:hAnsi="Book Antiqua" w:cs="Arial"/>
          <w:sz w:val="24"/>
          <w:szCs w:val="24"/>
          <w:lang w:val="en" w:eastAsia="zh-CN"/>
        </w:rPr>
      </w:pPr>
      <w:bookmarkStart w:id="11" w:name="_Hlk5632321"/>
      <w:r w:rsidRPr="007363FF">
        <w:rPr>
          <w:rFonts w:ascii="Book Antiqua" w:eastAsia="Times New Roman" w:hAnsi="Book Antiqua" w:cs="Arial"/>
          <w:b/>
          <w:bCs/>
          <w:sz w:val="24"/>
          <w:szCs w:val="24"/>
        </w:rPr>
        <w:t>Manuscript NO</w:t>
      </w:r>
      <w:r w:rsidRPr="007363FF">
        <w:rPr>
          <w:rFonts w:ascii="Book Antiqua" w:hAnsi="Book Antiqua" w:cs="Arial"/>
          <w:b/>
          <w:sz w:val="24"/>
          <w:szCs w:val="24"/>
          <w:lang w:val="en"/>
        </w:rPr>
        <w:t xml:space="preserve">: </w:t>
      </w:r>
      <w:r w:rsidR="00B24763" w:rsidRPr="007363FF">
        <w:rPr>
          <w:rFonts w:ascii="Book Antiqua" w:hAnsi="Book Antiqua" w:cs="Arial"/>
          <w:bCs/>
          <w:sz w:val="24"/>
          <w:szCs w:val="24"/>
          <w:lang w:val="en"/>
        </w:rPr>
        <w:t>50862</w:t>
      </w:r>
    </w:p>
    <w:bookmarkEnd w:id="11"/>
    <w:p w14:paraId="7CC8C5E1" w14:textId="31BD233C" w:rsidR="00B33F8E" w:rsidRDefault="001A3DB3" w:rsidP="007363FF">
      <w:pPr>
        <w:adjustRightInd w:val="0"/>
        <w:snapToGrid w:val="0"/>
        <w:spacing w:after="0" w:line="360" w:lineRule="auto"/>
        <w:jc w:val="both"/>
        <w:rPr>
          <w:rFonts w:ascii="Book Antiqua" w:hAnsi="Book Antiqua" w:cs="Arial"/>
          <w:b/>
          <w:sz w:val="24"/>
          <w:szCs w:val="24"/>
        </w:rPr>
      </w:pPr>
      <w:r w:rsidRPr="007363FF">
        <w:rPr>
          <w:rFonts w:ascii="Book Antiqua" w:hAnsi="Book Antiqua" w:cs="Arial"/>
          <w:b/>
          <w:sz w:val="24"/>
          <w:szCs w:val="24"/>
        </w:rPr>
        <w:t>Manuscript Type:</w:t>
      </w:r>
      <w:bookmarkEnd w:id="0"/>
      <w:bookmarkEnd w:id="1"/>
      <w:bookmarkEnd w:id="2"/>
      <w:bookmarkEnd w:id="3"/>
      <w:bookmarkEnd w:id="4"/>
      <w:bookmarkEnd w:id="5"/>
      <w:bookmarkEnd w:id="6"/>
      <w:bookmarkEnd w:id="7"/>
      <w:bookmarkEnd w:id="8"/>
      <w:bookmarkEnd w:id="9"/>
      <w:bookmarkEnd w:id="10"/>
      <w:r w:rsidR="007363FF">
        <w:rPr>
          <w:rFonts w:ascii="Book Antiqua" w:hAnsi="Book Antiqua" w:cs="Arial"/>
          <w:b/>
          <w:sz w:val="24"/>
          <w:szCs w:val="24"/>
        </w:rPr>
        <w:t xml:space="preserve"> </w:t>
      </w:r>
      <w:r w:rsidR="007363FF" w:rsidRPr="007363FF">
        <w:rPr>
          <w:rFonts w:ascii="Book Antiqua" w:hAnsi="Book Antiqua" w:cs="Arial"/>
          <w:bCs/>
          <w:sz w:val="24"/>
          <w:szCs w:val="24"/>
        </w:rPr>
        <w:t>MINIREVIEWS</w:t>
      </w:r>
    </w:p>
    <w:p w14:paraId="4C030BB6" w14:textId="77777777" w:rsidR="007363FF" w:rsidRPr="007363FF" w:rsidRDefault="007363FF" w:rsidP="007363FF">
      <w:pPr>
        <w:adjustRightInd w:val="0"/>
        <w:snapToGrid w:val="0"/>
        <w:spacing w:after="0" w:line="360" w:lineRule="auto"/>
        <w:jc w:val="both"/>
        <w:rPr>
          <w:rFonts w:ascii="Book Antiqua" w:hAnsi="Book Antiqua" w:cs="Arial"/>
          <w:sz w:val="24"/>
          <w:szCs w:val="24"/>
          <w:lang w:eastAsia="zh-CN"/>
        </w:rPr>
      </w:pPr>
    </w:p>
    <w:p w14:paraId="3D5C33BD" w14:textId="00878523" w:rsidR="00B33F8E" w:rsidRPr="00D87E5F" w:rsidRDefault="007363FF" w:rsidP="007363FF">
      <w:pPr>
        <w:adjustRightInd w:val="0"/>
        <w:snapToGrid w:val="0"/>
        <w:spacing w:after="0" w:line="360" w:lineRule="auto"/>
        <w:jc w:val="both"/>
        <w:rPr>
          <w:rFonts w:ascii="Book Antiqua" w:hAnsi="Book Antiqua" w:cs="Arial"/>
          <w:b/>
          <w:bCs/>
          <w:sz w:val="24"/>
          <w:szCs w:val="24"/>
          <w:shd w:val="clear" w:color="auto" w:fill="FFFFFF"/>
        </w:rPr>
      </w:pPr>
      <w:bookmarkStart w:id="12" w:name="OLE_LINK9"/>
      <w:bookmarkStart w:id="13" w:name="OLE_LINK10"/>
      <w:r w:rsidRPr="00D87E5F">
        <w:rPr>
          <w:rFonts w:ascii="Book Antiqua" w:hAnsi="Book Antiqua" w:cs="Arial"/>
          <w:b/>
          <w:bCs/>
          <w:sz w:val="24"/>
          <w:szCs w:val="24"/>
          <w:shd w:val="clear" w:color="auto" w:fill="FFFFFF"/>
        </w:rPr>
        <w:t>Expanding the donor pool: Hepatitis C, hepatitis B and human immunodeficiency virus-positive donors in liver transplantation</w:t>
      </w:r>
      <w:bookmarkEnd w:id="12"/>
      <w:bookmarkEnd w:id="13"/>
    </w:p>
    <w:p w14:paraId="003C0BBC" w14:textId="77777777" w:rsidR="007363FF" w:rsidRPr="007363FF" w:rsidRDefault="007363FF" w:rsidP="007363FF">
      <w:pPr>
        <w:adjustRightInd w:val="0"/>
        <w:snapToGrid w:val="0"/>
        <w:spacing w:after="0" w:line="360" w:lineRule="auto"/>
        <w:jc w:val="both"/>
        <w:rPr>
          <w:rFonts w:ascii="Book Antiqua" w:hAnsi="Book Antiqua" w:cs="Arial"/>
          <w:sz w:val="24"/>
          <w:szCs w:val="24"/>
          <w:shd w:val="clear" w:color="auto" w:fill="FFFFFF"/>
        </w:rPr>
      </w:pPr>
    </w:p>
    <w:p w14:paraId="15399BD3" w14:textId="598CE5D3" w:rsidR="000C2A7E" w:rsidRDefault="00A0107C" w:rsidP="007363FF">
      <w:pPr>
        <w:adjustRightInd w:val="0"/>
        <w:snapToGrid w:val="0"/>
        <w:spacing w:after="0" w:line="360" w:lineRule="auto"/>
        <w:jc w:val="both"/>
        <w:rPr>
          <w:rFonts w:ascii="Book Antiqua" w:hAnsi="Book Antiqua" w:cs="Arial"/>
          <w:sz w:val="24"/>
          <w:szCs w:val="24"/>
          <w:shd w:val="clear" w:color="auto" w:fill="FFFFFF"/>
        </w:rPr>
      </w:pPr>
      <w:r w:rsidRPr="00A0107C">
        <w:rPr>
          <w:rFonts w:ascii="Book Antiqua" w:hAnsi="Book Antiqua" w:cs="Arial"/>
          <w:sz w:val="24"/>
          <w:szCs w:val="24"/>
          <w:shd w:val="clear" w:color="auto" w:fill="FFFFFF"/>
        </w:rPr>
        <w:t>Crismale</w:t>
      </w:r>
      <w:r w:rsidRPr="007363FF">
        <w:rPr>
          <w:rFonts w:ascii="Book Antiqua" w:hAnsi="Book Antiqua" w:cs="Arial"/>
          <w:sz w:val="24"/>
          <w:szCs w:val="24"/>
          <w:shd w:val="clear" w:color="auto" w:fill="FFFFFF"/>
        </w:rPr>
        <w:t xml:space="preserve"> </w:t>
      </w:r>
      <w:r>
        <w:rPr>
          <w:rFonts w:ascii="Book Antiqua" w:hAnsi="Book Antiqua" w:cs="Arial"/>
          <w:sz w:val="24"/>
          <w:szCs w:val="24"/>
          <w:shd w:val="clear" w:color="auto" w:fill="FFFFFF"/>
        </w:rPr>
        <w:t xml:space="preserve">AF </w:t>
      </w:r>
      <w:r w:rsidRPr="00A0107C">
        <w:rPr>
          <w:rFonts w:ascii="Book Antiqua" w:hAnsi="Book Antiqua" w:cs="Arial" w:hint="eastAsia"/>
          <w:i/>
          <w:iCs/>
          <w:sz w:val="24"/>
          <w:szCs w:val="24"/>
          <w:shd w:val="clear" w:color="auto" w:fill="FFFFFF"/>
          <w:lang w:eastAsia="zh-CN"/>
        </w:rPr>
        <w:t>et</w:t>
      </w:r>
      <w:r w:rsidRPr="00A0107C">
        <w:rPr>
          <w:rFonts w:ascii="Book Antiqua" w:hAnsi="Book Antiqua" w:cs="Arial"/>
          <w:i/>
          <w:iCs/>
          <w:sz w:val="24"/>
          <w:szCs w:val="24"/>
          <w:shd w:val="clear" w:color="auto" w:fill="FFFFFF"/>
        </w:rPr>
        <w:t xml:space="preserve"> al</w:t>
      </w:r>
      <w:r>
        <w:rPr>
          <w:rFonts w:ascii="Book Antiqua" w:hAnsi="Book Antiqua" w:cs="Arial"/>
          <w:sz w:val="24"/>
          <w:szCs w:val="24"/>
          <w:shd w:val="clear" w:color="auto" w:fill="FFFFFF"/>
        </w:rPr>
        <w:t xml:space="preserve">. </w:t>
      </w:r>
      <w:bookmarkStart w:id="14" w:name="OLE_LINK11"/>
      <w:r w:rsidR="000C2A7E" w:rsidRPr="007363FF">
        <w:rPr>
          <w:rFonts w:ascii="Book Antiqua" w:hAnsi="Book Antiqua" w:cs="Arial"/>
          <w:sz w:val="24"/>
          <w:szCs w:val="24"/>
          <w:shd w:val="clear" w:color="auto" w:fill="FFFFFF"/>
        </w:rPr>
        <w:t xml:space="preserve">HCV/HBV/HIV </w:t>
      </w:r>
      <w:r w:rsidR="007363FF" w:rsidRPr="007363FF">
        <w:rPr>
          <w:rFonts w:ascii="Book Antiqua" w:hAnsi="Book Antiqua" w:cs="Arial"/>
          <w:sz w:val="24"/>
          <w:szCs w:val="24"/>
          <w:shd w:val="clear" w:color="auto" w:fill="FFFFFF"/>
        </w:rPr>
        <w:t>positive donors and</w:t>
      </w:r>
      <w:bookmarkEnd w:id="14"/>
      <w:r w:rsidR="009359AC">
        <w:rPr>
          <w:rFonts w:ascii="Book Antiqua" w:hAnsi="Book Antiqua" w:cs="Arial"/>
          <w:sz w:val="24"/>
          <w:szCs w:val="24"/>
          <w:shd w:val="clear" w:color="auto" w:fill="FFFFFF"/>
        </w:rPr>
        <w:t xml:space="preserve"> </w:t>
      </w:r>
      <w:r w:rsidR="009359AC" w:rsidRPr="00C407DA">
        <w:rPr>
          <w:rFonts w:ascii="Book Antiqua" w:hAnsi="Book Antiqua" w:cs="Arial"/>
          <w:sz w:val="24"/>
          <w:szCs w:val="24"/>
        </w:rPr>
        <w:t>LT</w:t>
      </w:r>
    </w:p>
    <w:p w14:paraId="1DD8ADD9" w14:textId="77777777" w:rsidR="00A0107C" w:rsidRPr="007363FF" w:rsidRDefault="00A0107C" w:rsidP="007363FF">
      <w:pPr>
        <w:adjustRightInd w:val="0"/>
        <w:snapToGrid w:val="0"/>
        <w:spacing w:after="0" w:line="360" w:lineRule="auto"/>
        <w:jc w:val="both"/>
        <w:rPr>
          <w:rFonts w:ascii="Book Antiqua" w:hAnsi="Book Antiqua" w:cs="Arial"/>
          <w:sz w:val="24"/>
          <w:szCs w:val="24"/>
          <w:shd w:val="clear" w:color="auto" w:fill="FFFFFF"/>
        </w:rPr>
      </w:pPr>
    </w:p>
    <w:p w14:paraId="5E1BB00A" w14:textId="5AF6C2A7" w:rsidR="000C2A7E" w:rsidRDefault="000C2A7E" w:rsidP="007363FF">
      <w:pPr>
        <w:adjustRightInd w:val="0"/>
        <w:snapToGrid w:val="0"/>
        <w:spacing w:after="0" w:line="360" w:lineRule="auto"/>
        <w:jc w:val="both"/>
        <w:rPr>
          <w:rFonts w:ascii="Book Antiqua" w:hAnsi="Book Antiqua" w:cs="Arial"/>
          <w:sz w:val="24"/>
          <w:szCs w:val="24"/>
          <w:shd w:val="clear" w:color="auto" w:fill="FFFFFF"/>
        </w:rPr>
      </w:pPr>
      <w:r w:rsidRPr="00A0107C">
        <w:rPr>
          <w:rFonts w:ascii="Book Antiqua" w:hAnsi="Book Antiqua" w:cs="Arial"/>
          <w:sz w:val="24"/>
          <w:szCs w:val="24"/>
          <w:shd w:val="clear" w:color="auto" w:fill="FFFFFF"/>
        </w:rPr>
        <w:t>James F Crismale, Jawad Ahmad</w:t>
      </w:r>
    </w:p>
    <w:p w14:paraId="47965EDA" w14:textId="77777777" w:rsidR="00A0107C" w:rsidRPr="00A0107C" w:rsidRDefault="00A0107C" w:rsidP="007363FF">
      <w:pPr>
        <w:adjustRightInd w:val="0"/>
        <w:snapToGrid w:val="0"/>
        <w:spacing w:after="0" w:line="360" w:lineRule="auto"/>
        <w:jc w:val="both"/>
        <w:rPr>
          <w:rFonts w:ascii="Book Antiqua" w:hAnsi="Book Antiqua" w:cs="Arial"/>
          <w:sz w:val="24"/>
          <w:szCs w:val="24"/>
          <w:shd w:val="clear" w:color="auto" w:fill="FFFFFF"/>
        </w:rPr>
      </w:pPr>
    </w:p>
    <w:p w14:paraId="10F8CE1D" w14:textId="5A9C26EC" w:rsidR="00114737" w:rsidRPr="007363FF" w:rsidRDefault="00A0107C" w:rsidP="007363FF">
      <w:pPr>
        <w:adjustRightInd w:val="0"/>
        <w:snapToGrid w:val="0"/>
        <w:spacing w:after="0" w:line="360" w:lineRule="auto"/>
        <w:jc w:val="both"/>
        <w:rPr>
          <w:rFonts w:ascii="Book Antiqua" w:hAnsi="Book Antiqua" w:cs="Arial"/>
          <w:sz w:val="24"/>
          <w:szCs w:val="24"/>
          <w:shd w:val="clear" w:color="auto" w:fill="FFFFFF"/>
        </w:rPr>
      </w:pPr>
      <w:r w:rsidRPr="00A0107C">
        <w:rPr>
          <w:rFonts w:ascii="Book Antiqua" w:hAnsi="Book Antiqua" w:cs="Arial"/>
          <w:b/>
          <w:bCs/>
          <w:sz w:val="24"/>
          <w:szCs w:val="24"/>
          <w:shd w:val="clear" w:color="auto" w:fill="FFFFFF"/>
        </w:rPr>
        <w:t>James F Crismale, Jawad Ahmad,</w:t>
      </w:r>
      <w:r w:rsidRPr="007363FF">
        <w:rPr>
          <w:rFonts w:ascii="Book Antiqua" w:hAnsi="Book Antiqua" w:cs="Arial"/>
          <w:sz w:val="24"/>
          <w:szCs w:val="24"/>
          <w:shd w:val="clear" w:color="auto" w:fill="FFFFFF"/>
        </w:rPr>
        <w:t xml:space="preserve"> </w:t>
      </w:r>
      <w:r w:rsidR="000C2A7E" w:rsidRPr="007363FF">
        <w:rPr>
          <w:rFonts w:ascii="Book Antiqua" w:hAnsi="Book Antiqua" w:cs="Arial"/>
          <w:sz w:val="24"/>
          <w:szCs w:val="24"/>
          <w:shd w:val="clear" w:color="auto" w:fill="FFFFFF"/>
        </w:rPr>
        <w:t>Division of Liver Diseases, Icahn School of Medicine at Mount Sinai, New York, NY 10029</w:t>
      </w:r>
      <w:r>
        <w:rPr>
          <w:rFonts w:ascii="Book Antiqua" w:hAnsi="Book Antiqua" w:cs="Arial"/>
          <w:sz w:val="24"/>
          <w:szCs w:val="24"/>
          <w:shd w:val="clear" w:color="auto" w:fill="FFFFFF"/>
        </w:rPr>
        <w:t>, United States</w:t>
      </w:r>
    </w:p>
    <w:p w14:paraId="78746C30" w14:textId="1E110FCF" w:rsidR="001A3DB3" w:rsidRPr="007363FF" w:rsidRDefault="001A3DB3" w:rsidP="007363FF">
      <w:pPr>
        <w:adjustRightInd w:val="0"/>
        <w:snapToGrid w:val="0"/>
        <w:spacing w:after="0" w:line="360" w:lineRule="auto"/>
        <w:jc w:val="both"/>
        <w:rPr>
          <w:rFonts w:ascii="Book Antiqua" w:hAnsi="Book Antiqua" w:cs="Arial"/>
          <w:sz w:val="24"/>
          <w:szCs w:val="24"/>
          <w:lang w:eastAsia="zh-CN"/>
        </w:rPr>
      </w:pPr>
    </w:p>
    <w:p w14:paraId="256775A9" w14:textId="1DAB2456" w:rsidR="001A3DB3" w:rsidRDefault="00A0107C" w:rsidP="007363FF">
      <w:pPr>
        <w:adjustRightInd w:val="0"/>
        <w:snapToGrid w:val="0"/>
        <w:spacing w:after="0" w:line="360" w:lineRule="auto"/>
        <w:jc w:val="both"/>
        <w:rPr>
          <w:rFonts w:ascii="Book Antiqua" w:hAnsi="Book Antiqua" w:cs="Arial"/>
          <w:sz w:val="24"/>
          <w:szCs w:val="24"/>
          <w:lang w:eastAsia="zh-CN"/>
        </w:rPr>
      </w:pPr>
      <w:r w:rsidRPr="00A0107C">
        <w:rPr>
          <w:rFonts w:ascii="Book Antiqua" w:hAnsi="Book Antiqua" w:cs="Arial"/>
          <w:b/>
          <w:bCs/>
          <w:sz w:val="24"/>
          <w:szCs w:val="24"/>
        </w:rPr>
        <w:t>ORCID number</w:t>
      </w:r>
      <w:r w:rsidRPr="00A0107C">
        <w:rPr>
          <w:rFonts w:ascii="Book Antiqua" w:hAnsi="Book Antiqua" w:cs="Arial"/>
          <w:b/>
          <w:bCs/>
          <w:sz w:val="24"/>
          <w:szCs w:val="24"/>
          <w:lang w:val="en-GB"/>
        </w:rPr>
        <w:t>:</w:t>
      </w:r>
      <w:r w:rsidR="001A3DB3" w:rsidRPr="007363FF">
        <w:rPr>
          <w:rFonts w:ascii="Book Antiqua" w:hAnsi="Book Antiqua" w:cs="Arial"/>
          <w:b/>
          <w:bCs/>
          <w:sz w:val="24"/>
          <w:szCs w:val="24"/>
          <w:lang w:eastAsia="zh-CN"/>
        </w:rPr>
        <w:t xml:space="preserve"> </w:t>
      </w:r>
      <w:r w:rsidR="005A449A" w:rsidRPr="007363FF">
        <w:rPr>
          <w:rFonts w:ascii="Book Antiqua" w:hAnsi="Book Antiqua" w:cs="Arial"/>
          <w:sz w:val="24"/>
          <w:szCs w:val="24"/>
          <w:lang w:eastAsia="zh-CN"/>
        </w:rPr>
        <w:t>James F Crismale (</w:t>
      </w:r>
      <w:hyperlink r:id="rId8" w:history="1">
        <w:r w:rsidR="005A449A" w:rsidRPr="00A0107C">
          <w:rPr>
            <w:rStyle w:val="a4"/>
            <w:rFonts w:ascii="Book Antiqua" w:hAnsi="Book Antiqua" w:cs="Arial"/>
            <w:color w:val="auto"/>
            <w:sz w:val="24"/>
            <w:szCs w:val="24"/>
            <w:u w:val="none"/>
            <w:lang w:eastAsia="zh-CN"/>
          </w:rPr>
          <w:t>0000</w:t>
        </w:r>
        <w:r>
          <w:rPr>
            <w:rStyle w:val="a4"/>
            <w:rFonts w:ascii="Book Antiqua" w:hAnsi="Book Antiqua" w:cs="Arial"/>
            <w:color w:val="auto"/>
            <w:sz w:val="24"/>
            <w:szCs w:val="24"/>
            <w:u w:val="none"/>
            <w:lang w:eastAsia="zh-CN"/>
          </w:rPr>
          <w:t>-</w:t>
        </w:r>
        <w:r w:rsidR="005A449A" w:rsidRPr="00A0107C">
          <w:rPr>
            <w:rStyle w:val="a4"/>
            <w:rFonts w:ascii="Book Antiqua" w:hAnsi="Book Antiqua" w:cs="Arial"/>
            <w:color w:val="auto"/>
            <w:sz w:val="24"/>
            <w:szCs w:val="24"/>
            <w:u w:val="none"/>
            <w:lang w:eastAsia="zh-CN"/>
          </w:rPr>
          <w:t>0002</w:t>
        </w:r>
        <w:r>
          <w:rPr>
            <w:rStyle w:val="a4"/>
            <w:rFonts w:ascii="Book Antiqua" w:hAnsi="Book Antiqua" w:cs="Arial"/>
            <w:color w:val="auto"/>
            <w:sz w:val="24"/>
            <w:szCs w:val="24"/>
            <w:u w:val="none"/>
            <w:lang w:eastAsia="zh-CN"/>
          </w:rPr>
          <w:t>-</w:t>
        </w:r>
        <w:r w:rsidR="005A449A" w:rsidRPr="00A0107C">
          <w:rPr>
            <w:rStyle w:val="a4"/>
            <w:rFonts w:ascii="Book Antiqua" w:hAnsi="Book Antiqua" w:cs="Arial"/>
            <w:color w:val="auto"/>
            <w:sz w:val="24"/>
            <w:szCs w:val="24"/>
            <w:u w:val="none"/>
            <w:lang w:eastAsia="zh-CN"/>
          </w:rPr>
          <w:t>3219</w:t>
        </w:r>
        <w:r>
          <w:rPr>
            <w:rStyle w:val="a4"/>
            <w:rFonts w:ascii="Book Antiqua" w:hAnsi="Book Antiqua" w:cs="Arial"/>
            <w:color w:val="auto"/>
            <w:sz w:val="24"/>
            <w:szCs w:val="24"/>
            <w:u w:val="none"/>
            <w:lang w:eastAsia="zh-CN"/>
          </w:rPr>
          <w:t>-</w:t>
        </w:r>
        <w:r w:rsidR="005A449A" w:rsidRPr="00A0107C">
          <w:rPr>
            <w:rStyle w:val="a4"/>
            <w:rFonts w:ascii="Book Antiqua" w:hAnsi="Book Antiqua" w:cs="Arial"/>
            <w:color w:val="auto"/>
            <w:sz w:val="24"/>
            <w:szCs w:val="24"/>
            <w:u w:val="none"/>
            <w:lang w:eastAsia="zh-CN"/>
          </w:rPr>
          <w:t>882X</w:t>
        </w:r>
      </w:hyperlink>
      <w:r w:rsidR="005A449A" w:rsidRPr="007363FF">
        <w:rPr>
          <w:rFonts w:ascii="Book Antiqua" w:hAnsi="Book Antiqua" w:cs="Arial"/>
          <w:sz w:val="24"/>
          <w:szCs w:val="24"/>
          <w:lang w:eastAsia="zh-CN"/>
        </w:rPr>
        <w:t>)</w:t>
      </w:r>
      <w:r w:rsidR="002B47C6" w:rsidRPr="007363FF">
        <w:rPr>
          <w:rFonts w:ascii="Book Antiqua" w:hAnsi="Book Antiqua" w:cs="Arial"/>
          <w:sz w:val="24"/>
          <w:szCs w:val="24"/>
          <w:lang w:eastAsia="zh-CN"/>
        </w:rPr>
        <w:t>;</w:t>
      </w:r>
      <w:r w:rsidR="005A449A" w:rsidRPr="007363FF">
        <w:rPr>
          <w:rFonts w:ascii="Book Antiqua" w:hAnsi="Book Antiqua" w:cs="Arial"/>
          <w:sz w:val="24"/>
          <w:szCs w:val="24"/>
          <w:lang w:eastAsia="zh-CN"/>
        </w:rPr>
        <w:t xml:space="preserve"> Jawad Ahmad (0000</w:t>
      </w:r>
      <w:r>
        <w:rPr>
          <w:rFonts w:ascii="Book Antiqua" w:hAnsi="Book Antiqua" w:cs="Arial"/>
          <w:sz w:val="24"/>
          <w:szCs w:val="24"/>
          <w:lang w:eastAsia="zh-CN"/>
        </w:rPr>
        <w:t>-</w:t>
      </w:r>
      <w:r w:rsidR="005A449A" w:rsidRPr="007363FF">
        <w:rPr>
          <w:rFonts w:ascii="Book Antiqua" w:hAnsi="Book Antiqua" w:cs="Arial"/>
          <w:sz w:val="24"/>
          <w:szCs w:val="24"/>
          <w:lang w:eastAsia="zh-CN"/>
        </w:rPr>
        <w:t>0003</w:t>
      </w:r>
      <w:r>
        <w:rPr>
          <w:rFonts w:ascii="Book Antiqua" w:hAnsi="Book Antiqua" w:cs="Arial"/>
          <w:sz w:val="24"/>
          <w:szCs w:val="24"/>
          <w:lang w:eastAsia="zh-CN"/>
        </w:rPr>
        <w:t>-</w:t>
      </w:r>
      <w:r w:rsidR="005A449A" w:rsidRPr="007363FF">
        <w:rPr>
          <w:rFonts w:ascii="Book Antiqua" w:hAnsi="Book Antiqua" w:cs="Arial"/>
          <w:sz w:val="24"/>
          <w:szCs w:val="24"/>
          <w:lang w:eastAsia="zh-CN"/>
        </w:rPr>
        <w:t>1384</w:t>
      </w:r>
      <w:r>
        <w:rPr>
          <w:rFonts w:ascii="Book Antiqua" w:hAnsi="Book Antiqua" w:cs="Arial"/>
          <w:sz w:val="24"/>
          <w:szCs w:val="24"/>
          <w:lang w:eastAsia="zh-CN"/>
        </w:rPr>
        <w:t>-</w:t>
      </w:r>
      <w:r w:rsidR="005A449A" w:rsidRPr="007363FF">
        <w:rPr>
          <w:rFonts w:ascii="Book Antiqua" w:hAnsi="Book Antiqua" w:cs="Arial"/>
          <w:sz w:val="24"/>
          <w:szCs w:val="24"/>
          <w:lang w:eastAsia="zh-CN"/>
        </w:rPr>
        <w:t>2349)</w:t>
      </w:r>
      <w:r>
        <w:rPr>
          <w:rFonts w:ascii="Book Antiqua" w:hAnsi="Book Antiqua" w:cs="Arial"/>
          <w:sz w:val="24"/>
          <w:szCs w:val="24"/>
          <w:lang w:eastAsia="zh-CN"/>
        </w:rPr>
        <w:t>.</w:t>
      </w:r>
    </w:p>
    <w:p w14:paraId="3C734849" w14:textId="77777777" w:rsidR="00A0107C" w:rsidRPr="00A0107C" w:rsidRDefault="00A0107C" w:rsidP="007363FF">
      <w:pPr>
        <w:adjustRightInd w:val="0"/>
        <w:snapToGrid w:val="0"/>
        <w:spacing w:after="0" w:line="360" w:lineRule="auto"/>
        <w:jc w:val="both"/>
        <w:rPr>
          <w:rFonts w:ascii="Book Antiqua" w:hAnsi="Book Antiqua" w:cs="Arial"/>
          <w:b/>
          <w:bCs/>
          <w:sz w:val="24"/>
          <w:szCs w:val="24"/>
          <w:lang w:eastAsia="zh-CN"/>
        </w:rPr>
      </w:pPr>
    </w:p>
    <w:p w14:paraId="0D199091" w14:textId="18902DE9" w:rsidR="001A3DB3" w:rsidRDefault="00A0107C" w:rsidP="007363FF">
      <w:pPr>
        <w:pStyle w:val="ae"/>
        <w:adjustRightInd w:val="0"/>
        <w:snapToGrid w:val="0"/>
        <w:spacing w:after="0" w:line="360" w:lineRule="auto"/>
        <w:jc w:val="both"/>
        <w:rPr>
          <w:rFonts w:ascii="Book Antiqua" w:hAnsi="Book Antiqua" w:cs="Arial"/>
          <w:sz w:val="24"/>
          <w:szCs w:val="24"/>
          <w:lang w:eastAsia="zh-CN"/>
        </w:rPr>
      </w:pPr>
      <w:r w:rsidRPr="00A0107C">
        <w:rPr>
          <w:rFonts w:ascii="Book Antiqua" w:hAnsi="Book Antiqua" w:cs="Arial"/>
          <w:b/>
          <w:bCs/>
          <w:sz w:val="24"/>
          <w:szCs w:val="24"/>
        </w:rPr>
        <w:t>Author contributions:</w:t>
      </w:r>
      <w:r w:rsidR="002B47C6" w:rsidRPr="007363FF">
        <w:rPr>
          <w:rFonts w:ascii="Book Antiqua" w:hAnsi="Book Antiqua" w:cs="Arial"/>
          <w:b/>
          <w:bCs/>
          <w:sz w:val="24"/>
          <w:szCs w:val="24"/>
          <w:lang w:eastAsia="zh-CN"/>
        </w:rPr>
        <w:t xml:space="preserve"> </w:t>
      </w:r>
      <w:r w:rsidR="002B47C6" w:rsidRPr="007363FF">
        <w:rPr>
          <w:rFonts w:ascii="Book Antiqua" w:hAnsi="Book Antiqua" w:cs="Arial"/>
          <w:sz w:val="24"/>
          <w:szCs w:val="24"/>
          <w:lang w:eastAsia="zh-CN"/>
        </w:rPr>
        <w:t xml:space="preserve">Crismale JF </w:t>
      </w:r>
      <w:r>
        <w:rPr>
          <w:rFonts w:ascii="Book Antiqua" w:hAnsi="Book Antiqua" w:cs="Arial"/>
          <w:sz w:val="24"/>
          <w:szCs w:val="24"/>
          <w:lang w:eastAsia="zh-CN"/>
        </w:rPr>
        <w:t xml:space="preserve">and </w:t>
      </w:r>
      <w:r w:rsidRPr="007363FF">
        <w:rPr>
          <w:rFonts w:ascii="Book Antiqua" w:hAnsi="Book Antiqua" w:cs="Arial"/>
          <w:sz w:val="24"/>
          <w:szCs w:val="24"/>
          <w:lang w:eastAsia="zh-CN"/>
        </w:rPr>
        <w:t xml:space="preserve">Ahmad J </w:t>
      </w:r>
      <w:r w:rsidR="002B47C6" w:rsidRPr="007363FF">
        <w:rPr>
          <w:rFonts w:ascii="Book Antiqua" w:hAnsi="Book Antiqua" w:cs="Arial"/>
          <w:sz w:val="24"/>
          <w:szCs w:val="24"/>
          <w:lang w:eastAsia="zh-CN"/>
        </w:rPr>
        <w:t xml:space="preserve">performed the literature review and wrote and edited portions of the final manuscript. </w:t>
      </w:r>
    </w:p>
    <w:p w14:paraId="3001DB69" w14:textId="77777777" w:rsidR="00A0107C" w:rsidRPr="00A0107C" w:rsidRDefault="00A0107C" w:rsidP="007363FF">
      <w:pPr>
        <w:pStyle w:val="ae"/>
        <w:adjustRightInd w:val="0"/>
        <w:snapToGrid w:val="0"/>
        <w:spacing w:after="0" w:line="360" w:lineRule="auto"/>
        <w:jc w:val="both"/>
        <w:rPr>
          <w:rFonts w:ascii="Book Antiqua" w:hAnsi="Book Antiqua" w:cs="Arial"/>
          <w:b/>
          <w:bCs/>
          <w:sz w:val="24"/>
          <w:szCs w:val="24"/>
          <w:lang w:eastAsia="zh-CN"/>
        </w:rPr>
      </w:pPr>
    </w:p>
    <w:p w14:paraId="28CBB8AF" w14:textId="04A1FEF4" w:rsidR="001A3DB3" w:rsidRDefault="00A0107C" w:rsidP="007363FF">
      <w:pPr>
        <w:adjustRightInd w:val="0"/>
        <w:snapToGrid w:val="0"/>
        <w:spacing w:after="0" w:line="360" w:lineRule="auto"/>
        <w:jc w:val="both"/>
        <w:rPr>
          <w:rFonts w:ascii="Book Antiqua" w:hAnsi="Book Antiqua"/>
          <w:sz w:val="24"/>
          <w:szCs w:val="24"/>
        </w:rPr>
      </w:pPr>
      <w:bookmarkStart w:id="15" w:name="OLE_LINK34"/>
      <w:r w:rsidRPr="00A0107C">
        <w:rPr>
          <w:rFonts w:ascii="Book Antiqua" w:hAnsi="Book Antiqua"/>
          <w:b/>
          <w:sz w:val="24"/>
          <w:szCs w:val="24"/>
        </w:rPr>
        <w:t>Conflict-of-interest statement</w:t>
      </w:r>
      <w:bookmarkEnd w:id="15"/>
      <w:r w:rsidRPr="00A0107C">
        <w:rPr>
          <w:rFonts w:ascii="Book Antiqua" w:hAnsi="Book Antiqua"/>
          <w:b/>
          <w:sz w:val="24"/>
          <w:szCs w:val="24"/>
        </w:rPr>
        <w:t xml:space="preserve">: </w:t>
      </w:r>
      <w:r w:rsidRPr="00A0107C">
        <w:rPr>
          <w:rFonts w:ascii="Book Antiqua" w:hAnsi="Book Antiqua"/>
          <w:sz w:val="24"/>
          <w:szCs w:val="24"/>
        </w:rPr>
        <w:t>There is no conflict of interest associated with any of</w:t>
      </w:r>
      <w:r w:rsidRPr="00A0107C">
        <w:rPr>
          <w:rFonts w:ascii="Book Antiqua" w:hAnsi="Book Antiqua" w:hint="eastAsia"/>
          <w:sz w:val="24"/>
          <w:szCs w:val="24"/>
          <w:lang w:eastAsia="zh-CN"/>
        </w:rPr>
        <w:t xml:space="preserve"> </w:t>
      </w:r>
      <w:r w:rsidRPr="00A0107C">
        <w:rPr>
          <w:rFonts w:ascii="Book Antiqua" w:hAnsi="Book Antiqua"/>
          <w:sz w:val="24"/>
          <w:szCs w:val="24"/>
        </w:rPr>
        <w:t>the senior author or other coauthors contributed their efforts in this manuscript.</w:t>
      </w:r>
    </w:p>
    <w:p w14:paraId="55BE8565" w14:textId="09105AB9" w:rsidR="00A0107C" w:rsidRDefault="00A0107C" w:rsidP="007363FF">
      <w:pPr>
        <w:adjustRightInd w:val="0"/>
        <w:snapToGrid w:val="0"/>
        <w:spacing w:after="0" w:line="360" w:lineRule="auto"/>
        <w:jc w:val="both"/>
        <w:rPr>
          <w:rFonts w:ascii="Book Antiqua" w:hAnsi="Book Antiqua"/>
          <w:sz w:val="24"/>
          <w:szCs w:val="24"/>
        </w:rPr>
      </w:pPr>
    </w:p>
    <w:p w14:paraId="4DBFA169" w14:textId="67CD52D0" w:rsidR="00A0107C" w:rsidRPr="00663BB7" w:rsidRDefault="00A0107C" w:rsidP="00A0107C">
      <w:pPr>
        <w:spacing w:line="360" w:lineRule="auto"/>
        <w:jc w:val="both"/>
        <w:rPr>
          <w:rFonts w:ascii="Book Antiqua" w:hAnsi="Book Antiqua"/>
          <w:sz w:val="24"/>
          <w:szCs w:val="24"/>
        </w:rPr>
      </w:pPr>
      <w:bookmarkStart w:id="16" w:name="_Hlk25573505"/>
      <w:r w:rsidRPr="00663BB7">
        <w:rPr>
          <w:rFonts w:ascii="Book Antiqua" w:hAnsi="Book Antiqua"/>
          <w:b/>
          <w:sz w:val="24"/>
          <w:szCs w:val="24"/>
        </w:rPr>
        <w:t xml:space="preserve">Open-Access: </w:t>
      </w:r>
      <w:r>
        <w:rPr>
          <w:rFonts w:ascii="Book Antiqua" w:hAnsi="Book Antiqua"/>
          <w:sz w:val="24"/>
          <w:szCs w:val="24"/>
        </w:rPr>
        <w:t>This article is an open-access</w:t>
      </w:r>
      <w:r>
        <w:rPr>
          <w:rFonts w:ascii="Book Antiqua" w:hAnsi="Book Antiqua" w:hint="eastAsia"/>
          <w:sz w:val="24"/>
          <w:szCs w:val="24"/>
        </w:rPr>
        <w:t xml:space="preserve"> </w:t>
      </w:r>
      <w:r>
        <w:rPr>
          <w:rFonts w:ascii="Book Antiqua" w:hAnsi="Book Antiqua"/>
          <w:sz w:val="24"/>
          <w:szCs w:val="24"/>
        </w:rPr>
        <w:t>article</w:t>
      </w:r>
      <w:r>
        <w:rPr>
          <w:rFonts w:ascii="Book Antiqua" w:hAnsi="Book Antiqua" w:hint="eastAsia"/>
          <w:sz w:val="24"/>
          <w:szCs w:val="24"/>
        </w:rPr>
        <w:t xml:space="preserve"> </w:t>
      </w:r>
      <w:r w:rsidRPr="00663BB7">
        <w:rPr>
          <w:rFonts w:ascii="Book Antiqua" w:hAnsi="Book Antiqua"/>
          <w:sz w:val="24"/>
          <w:szCs w:val="24"/>
        </w:rPr>
        <w:t>which was selected by</w:t>
      </w:r>
      <w:r>
        <w:rPr>
          <w:rFonts w:ascii="Book Antiqua" w:hAnsi="Book Antiqua" w:hint="eastAsia"/>
          <w:sz w:val="24"/>
          <w:szCs w:val="24"/>
        </w:rPr>
        <w:t xml:space="preserve"> </w:t>
      </w:r>
      <w:r w:rsidRPr="00663BB7">
        <w:rPr>
          <w:rFonts w:ascii="Book Antiqua" w:hAnsi="Book Antiqua"/>
          <w:sz w:val="24"/>
          <w:szCs w:val="24"/>
        </w:rPr>
        <w:t xml:space="preserve">an in-house editor and fully peer-reviewed by external </w:t>
      </w:r>
      <w:r>
        <w:rPr>
          <w:rFonts w:ascii="Book Antiqua" w:hAnsi="Book Antiqua"/>
          <w:sz w:val="24"/>
          <w:szCs w:val="24"/>
        </w:rPr>
        <w:t>reviewers. It is distributed</w:t>
      </w:r>
      <w:r>
        <w:rPr>
          <w:rFonts w:ascii="Book Antiqua" w:hAnsi="Book Antiqua" w:hint="eastAsia"/>
          <w:sz w:val="24"/>
          <w:szCs w:val="24"/>
        </w:rPr>
        <w:t xml:space="preserve"> </w:t>
      </w:r>
      <w:r>
        <w:rPr>
          <w:rFonts w:ascii="Book Antiqua" w:hAnsi="Book Antiqua"/>
          <w:sz w:val="24"/>
          <w:szCs w:val="24"/>
        </w:rPr>
        <w:t>in</w:t>
      </w:r>
      <w:r>
        <w:rPr>
          <w:rFonts w:ascii="Book Antiqua" w:hAnsi="Book Antiqua" w:hint="eastAsia"/>
          <w:sz w:val="24"/>
          <w:szCs w:val="24"/>
        </w:rPr>
        <w:t xml:space="preserve"> </w:t>
      </w:r>
      <w:r>
        <w:rPr>
          <w:rFonts w:ascii="Book Antiqua" w:hAnsi="Book Antiqua"/>
          <w:sz w:val="24"/>
          <w:szCs w:val="24"/>
        </w:rPr>
        <w:t>accordance</w:t>
      </w:r>
      <w:r>
        <w:rPr>
          <w:rFonts w:ascii="Book Antiqua" w:hAnsi="Book Antiqua" w:hint="eastAsia"/>
          <w:sz w:val="24"/>
          <w:szCs w:val="24"/>
        </w:rPr>
        <w:t xml:space="preserve"> </w:t>
      </w:r>
      <w:r w:rsidRPr="00663BB7">
        <w:rPr>
          <w:rFonts w:ascii="Book Antiqua" w:hAnsi="Book Antiqua"/>
          <w:sz w:val="24"/>
          <w:szCs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w:t>
      </w:r>
      <w:r w:rsidRPr="00663BB7">
        <w:rPr>
          <w:rFonts w:ascii="Book Antiqua" w:hAnsi="Book Antiqua"/>
          <w:sz w:val="24"/>
          <w:szCs w:val="24"/>
        </w:rPr>
        <w:lastRenderedPageBreak/>
        <w:t xml:space="preserve">cited and the use is non-commercial. See: </w:t>
      </w:r>
      <w:hyperlink r:id="rId9" w:history="1">
        <w:r w:rsidR="000037B3" w:rsidRPr="00E53067">
          <w:rPr>
            <w:rStyle w:val="a4"/>
            <w:rFonts w:ascii="Book Antiqua" w:hAnsi="Book Antiqua"/>
            <w:sz w:val="24"/>
            <w:szCs w:val="24"/>
          </w:rPr>
          <w:t>http://creativecommons.org/licenses/by-nc/4.0/</w:t>
        </w:r>
      </w:hyperlink>
      <w:r w:rsidR="000037B3">
        <w:rPr>
          <w:rFonts w:ascii="Book Antiqua" w:hAnsi="Book Antiqua"/>
          <w:sz w:val="24"/>
          <w:szCs w:val="24"/>
        </w:rPr>
        <w:t xml:space="preserve"> </w:t>
      </w:r>
    </w:p>
    <w:p w14:paraId="4BA022F1" w14:textId="77777777" w:rsidR="00A0107C" w:rsidRPr="00663BB7" w:rsidRDefault="00A0107C" w:rsidP="00A0107C">
      <w:pPr>
        <w:spacing w:line="360" w:lineRule="auto"/>
        <w:rPr>
          <w:rFonts w:ascii="Book Antiqua" w:eastAsia="等线" w:hAnsi="Book Antiqua"/>
          <w:b/>
          <w:sz w:val="24"/>
          <w:szCs w:val="24"/>
        </w:rPr>
      </w:pPr>
    </w:p>
    <w:p w14:paraId="53751551" w14:textId="36545D3D" w:rsidR="00A0107C" w:rsidRPr="00A0107C" w:rsidRDefault="00A0107C" w:rsidP="00A0107C">
      <w:pPr>
        <w:adjustRightInd w:val="0"/>
        <w:snapToGrid w:val="0"/>
        <w:spacing w:after="0" w:line="360" w:lineRule="auto"/>
        <w:jc w:val="both"/>
        <w:rPr>
          <w:rFonts w:ascii="Book Antiqua" w:hAnsi="Book Antiqua" w:cs="Arial"/>
          <w:sz w:val="24"/>
          <w:szCs w:val="24"/>
        </w:rPr>
      </w:pPr>
      <w:bookmarkStart w:id="17" w:name="OLE_LINK1102"/>
      <w:bookmarkStart w:id="18" w:name="OLE_LINK1103"/>
      <w:r w:rsidRPr="00663BB7">
        <w:rPr>
          <w:rFonts w:ascii="Book Antiqua" w:eastAsia="等线" w:hAnsi="Book Antiqua"/>
          <w:b/>
          <w:sz w:val="24"/>
          <w:szCs w:val="24"/>
        </w:rPr>
        <w:t>Manuscript source:</w:t>
      </w:r>
      <w:bookmarkEnd w:id="17"/>
      <w:bookmarkEnd w:id="18"/>
      <w:r w:rsidRPr="00663BB7">
        <w:rPr>
          <w:rFonts w:ascii="Book Antiqua" w:eastAsia="等线" w:hAnsi="Book Antiqua"/>
          <w:b/>
          <w:sz w:val="24"/>
          <w:szCs w:val="24"/>
        </w:rPr>
        <w:t xml:space="preserve"> </w:t>
      </w:r>
      <w:r w:rsidRPr="00A0107C">
        <w:rPr>
          <w:rFonts w:ascii="Book Antiqua" w:eastAsia="等线" w:hAnsi="Book Antiqua"/>
          <w:sz w:val="24"/>
          <w:szCs w:val="24"/>
        </w:rPr>
        <w:t>Invited Manuscript</w:t>
      </w:r>
      <w:r w:rsidRPr="00663BB7">
        <w:rPr>
          <w:rFonts w:ascii="Book Antiqua" w:eastAsia="等线" w:hAnsi="Book Antiqua"/>
          <w:sz w:val="24"/>
          <w:szCs w:val="24"/>
        </w:rPr>
        <w:t xml:space="preserve"> </w:t>
      </w:r>
      <w:bookmarkEnd w:id="16"/>
    </w:p>
    <w:p w14:paraId="2A78D948" w14:textId="77777777" w:rsidR="001A3DB3" w:rsidRPr="007363FF" w:rsidRDefault="001A3DB3" w:rsidP="007363FF">
      <w:pPr>
        <w:adjustRightInd w:val="0"/>
        <w:snapToGrid w:val="0"/>
        <w:spacing w:after="0" w:line="360" w:lineRule="auto"/>
        <w:jc w:val="both"/>
        <w:rPr>
          <w:rFonts w:ascii="Book Antiqua" w:hAnsi="Book Antiqua" w:cs="Arial"/>
          <w:sz w:val="24"/>
          <w:szCs w:val="24"/>
        </w:rPr>
      </w:pPr>
    </w:p>
    <w:p w14:paraId="04AED3AE" w14:textId="75D14150" w:rsidR="001A3DB3" w:rsidRDefault="00C4278C" w:rsidP="007363FF">
      <w:pPr>
        <w:adjustRightInd w:val="0"/>
        <w:snapToGrid w:val="0"/>
        <w:spacing w:after="0" w:line="360" w:lineRule="auto"/>
        <w:jc w:val="both"/>
        <w:rPr>
          <w:rFonts w:ascii="Book Antiqua" w:hAnsi="Book Antiqua" w:cs="Arial"/>
          <w:sz w:val="24"/>
          <w:szCs w:val="24"/>
          <w:shd w:val="clear" w:color="auto" w:fill="FFFFFF"/>
        </w:rPr>
      </w:pPr>
      <w:bookmarkStart w:id="19" w:name="_Hlk8806265"/>
      <w:r w:rsidRPr="007363FF">
        <w:rPr>
          <w:rFonts w:ascii="Book Antiqua" w:hAnsi="Book Antiqua" w:cs="Arial"/>
          <w:b/>
          <w:bCs/>
          <w:sz w:val="24"/>
          <w:szCs w:val="24"/>
          <w:shd w:val="clear" w:color="auto" w:fill="FFFFFF"/>
        </w:rPr>
        <w:t>Corresponding Author</w:t>
      </w:r>
      <w:r w:rsidRPr="007363FF">
        <w:rPr>
          <w:rFonts w:ascii="Book Antiqua" w:hAnsi="Book Antiqua" w:cs="Arial"/>
          <w:sz w:val="24"/>
          <w:szCs w:val="24"/>
          <w:shd w:val="clear" w:color="auto" w:fill="FFFFFF"/>
        </w:rPr>
        <w:t xml:space="preserve">: </w:t>
      </w:r>
      <w:bookmarkEnd w:id="19"/>
      <w:r w:rsidR="00A0107C" w:rsidRPr="00A0107C">
        <w:rPr>
          <w:rFonts w:ascii="Book Antiqua" w:hAnsi="Book Antiqua" w:cs="Arial"/>
          <w:b/>
          <w:bCs/>
          <w:sz w:val="24"/>
          <w:szCs w:val="24"/>
          <w:shd w:val="clear" w:color="auto" w:fill="FFFFFF"/>
        </w:rPr>
        <w:t>Jawad Ahmad, FAASLD, FRCP (Hon), MD, Professor,</w:t>
      </w:r>
      <w:r w:rsidR="00A0107C" w:rsidRPr="00A0107C">
        <w:rPr>
          <w:rFonts w:ascii="Book Antiqua" w:hAnsi="Book Antiqua" w:cs="Arial"/>
          <w:sz w:val="24"/>
          <w:szCs w:val="24"/>
          <w:shd w:val="clear" w:color="auto" w:fill="FFFFFF"/>
        </w:rPr>
        <w:t xml:space="preserve"> Division of Liver Diseases, Icahn School of Medicine at Mount Sinai, One Gustave L. Levy Place, New York, NY</w:t>
      </w:r>
      <w:r w:rsidR="00A0107C">
        <w:rPr>
          <w:rFonts w:ascii="Book Antiqua" w:hAnsi="Book Antiqua" w:cs="Arial"/>
          <w:sz w:val="24"/>
          <w:szCs w:val="24"/>
          <w:shd w:val="clear" w:color="auto" w:fill="FFFFFF"/>
        </w:rPr>
        <w:t xml:space="preserve"> </w:t>
      </w:r>
      <w:r w:rsidR="00A0107C" w:rsidRPr="00A0107C">
        <w:rPr>
          <w:rFonts w:ascii="Book Antiqua" w:hAnsi="Book Antiqua" w:cs="Arial"/>
          <w:sz w:val="24"/>
          <w:szCs w:val="24"/>
          <w:shd w:val="clear" w:color="auto" w:fill="FFFFFF"/>
        </w:rPr>
        <w:t xml:space="preserve">10029, United States. </w:t>
      </w:r>
      <w:hyperlink r:id="rId10" w:history="1">
        <w:r w:rsidR="002E42CD" w:rsidRPr="00E53067">
          <w:rPr>
            <w:rStyle w:val="a4"/>
            <w:rFonts w:ascii="Book Antiqua" w:hAnsi="Book Antiqua" w:cs="Arial"/>
            <w:sz w:val="24"/>
            <w:szCs w:val="24"/>
            <w:shd w:val="clear" w:color="auto" w:fill="FFFFFF"/>
          </w:rPr>
          <w:t>jawad.ahmad@mountsinai.org</w:t>
        </w:r>
      </w:hyperlink>
    </w:p>
    <w:p w14:paraId="41FB6EE3" w14:textId="5BAFAF53" w:rsidR="001A3DB3" w:rsidRPr="007363FF" w:rsidRDefault="001A3DB3" w:rsidP="002E42CD">
      <w:pPr>
        <w:autoSpaceDE w:val="0"/>
        <w:autoSpaceDN w:val="0"/>
        <w:adjustRightInd w:val="0"/>
        <w:snapToGrid w:val="0"/>
        <w:spacing w:after="0" w:line="360" w:lineRule="auto"/>
        <w:jc w:val="both"/>
        <w:rPr>
          <w:rFonts w:ascii="Book Antiqua" w:hAnsi="Book Antiqua" w:cs="Arial"/>
          <w:b/>
          <w:bCs/>
          <w:sz w:val="24"/>
          <w:szCs w:val="24"/>
        </w:rPr>
      </w:pPr>
      <w:r w:rsidRPr="007363FF">
        <w:rPr>
          <w:rFonts w:ascii="Book Antiqua" w:hAnsi="Book Antiqua" w:cs="Arial"/>
          <w:b/>
          <w:bCs/>
          <w:sz w:val="24"/>
          <w:szCs w:val="24"/>
        </w:rPr>
        <w:t>Telephone:</w:t>
      </w:r>
      <w:r w:rsidR="001E0E3C" w:rsidRPr="007363FF">
        <w:rPr>
          <w:rFonts w:ascii="Book Antiqua" w:hAnsi="Book Antiqua" w:cs="Arial"/>
          <w:b/>
          <w:bCs/>
          <w:sz w:val="24"/>
          <w:szCs w:val="24"/>
        </w:rPr>
        <w:t xml:space="preserve"> </w:t>
      </w:r>
      <w:r w:rsidR="00765BD4" w:rsidRPr="007363FF">
        <w:rPr>
          <w:rFonts w:ascii="Book Antiqua" w:hAnsi="Book Antiqua" w:cs="Arial"/>
          <w:sz w:val="24"/>
          <w:szCs w:val="24"/>
        </w:rPr>
        <w:t>+1</w:t>
      </w:r>
      <w:r w:rsidR="00A0107C">
        <w:rPr>
          <w:rFonts w:ascii="Book Antiqua" w:hAnsi="Book Antiqua" w:cs="Arial"/>
          <w:b/>
          <w:bCs/>
          <w:sz w:val="24"/>
          <w:szCs w:val="24"/>
        </w:rPr>
        <w:t>-</w:t>
      </w:r>
      <w:r w:rsidR="001E0E3C" w:rsidRPr="007363FF">
        <w:rPr>
          <w:rFonts w:ascii="Book Antiqua" w:hAnsi="Book Antiqua" w:cs="Arial"/>
          <w:sz w:val="24"/>
          <w:szCs w:val="24"/>
        </w:rPr>
        <w:t>212-2418035</w:t>
      </w:r>
    </w:p>
    <w:p w14:paraId="65D9C88A" w14:textId="77C38535" w:rsidR="001A3DB3" w:rsidRDefault="001A3DB3" w:rsidP="002E42CD">
      <w:pPr>
        <w:adjustRightInd w:val="0"/>
        <w:snapToGrid w:val="0"/>
        <w:spacing w:after="0" w:line="360" w:lineRule="auto"/>
        <w:jc w:val="both"/>
        <w:rPr>
          <w:rFonts w:ascii="Book Antiqua" w:hAnsi="Book Antiqua" w:cs="Arial"/>
          <w:sz w:val="24"/>
          <w:szCs w:val="24"/>
        </w:rPr>
      </w:pPr>
      <w:r w:rsidRPr="007363FF">
        <w:rPr>
          <w:rFonts w:ascii="Book Antiqua" w:hAnsi="Book Antiqua" w:cs="Arial"/>
          <w:b/>
          <w:bCs/>
          <w:sz w:val="24"/>
          <w:szCs w:val="24"/>
        </w:rPr>
        <w:t>Fax</w:t>
      </w:r>
      <w:r w:rsidRPr="007363FF">
        <w:rPr>
          <w:rFonts w:ascii="Book Antiqua" w:hAnsi="Book Antiqua" w:cs="Arial"/>
          <w:b/>
          <w:bCs/>
          <w:sz w:val="24"/>
          <w:szCs w:val="24"/>
          <w:lang w:eastAsia="zh-CN"/>
        </w:rPr>
        <w:t>:</w:t>
      </w:r>
      <w:r w:rsidRPr="007363FF">
        <w:rPr>
          <w:rFonts w:ascii="Book Antiqua" w:hAnsi="Book Antiqua" w:cs="Arial"/>
          <w:sz w:val="24"/>
          <w:szCs w:val="24"/>
        </w:rPr>
        <w:t xml:space="preserve"> </w:t>
      </w:r>
      <w:r w:rsidR="00765BD4" w:rsidRPr="007363FF">
        <w:rPr>
          <w:rFonts w:ascii="Book Antiqua" w:hAnsi="Book Antiqua" w:cs="Arial"/>
          <w:sz w:val="24"/>
          <w:szCs w:val="24"/>
        </w:rPr>
        <w:t>+1</w:t>
      </w:r>
      <w:r w:rsidR="00A0107C">
        <w:rPr>
          <w:rFonts w:ascii="Book Antiqua" w:hAnsi="Book Antiqua" w:cs="Arial"/>
          <w:sz w:val="24"/>
          <w:szCs w:val="24"/>
        </w:rPr>
        <w:t>-</w:t>
      </w:r>
      <w:r w:rsidR="001E0E3C" w:rsidRPr="007363FF">
        <w:rPr>
          <w:rFonts w:ascii="Book Antiqua" w:hAnsi="Book Antiqua" w:cs="Arial"/>
          <w:sz w:val="24"/>
          <w:szCs w:val="24"/>
        </w:rPr>
        <w:t>212-7317340</w:t>
      </w:r>
    </w:p>
    <w:p w14:paraId="22DA38DE" w14:textId="77777777" w:rsidR="002E42CD" w:rsidRPr="007363FF" w:rsidRDefault="002E42CD" w:rsidP="002E42CD">
      <w:pPr>
        <w:adjustRightInd w:val="0"/>
        <w:snapToGrid w:val="0"/>
        <w:spacing w:after="0" w:line="360" w:lineRule="auto"/>
        <w:jc w:val="both"/>
        <w:rPr>
          <w:rFonts w:ascii="Book Antiqua" w:hAnsi="Book Antiqua" w:cs="Arial"/>
          <w:sz w:val="24"/>
          <w:szCs w:val="24"/>
          <w:shd w:val="clear" w:color="auto" w:fill="FFFFFF"/>
          <w:lang w:eastAsia="zh-CN"/>
        </w:rPr>
      </w:pPr>
    </w:p>
    <w:p w14:paraId="77E4E783" w14:textId="65DF6D10" w:rsidR="002E42CD" w:rsidRPr="00663BB7" w:rsidRDefault="002E42CD" w:rsidP="002E42CD">
      <w:pPr>
        <w:adjustRightInd w:val="0"/>
        <w:snapToGrid w:val="0"/>
        <w:spacing w:after="0" w:line="360" w:lineRule="auto"/>
        <w:rPr>
          <w:rFonts w:ascii="Book Antiqua" w:hAnsi="Book Antiqua"/>
          <w:b/>
          <w:sz w:val="24"/>
          <w:szCs w:val="24"/>
        </w:rPr>
      </w:pPr>
      <w:bookmarkStart w:id="20" w:name="_Hlk21773123"/>
      <w:r w:rsidRPr="00663BB7">
        <w:rPr>
          <w:rFonts w:ascii="Book Antiqua" w:hAnsi="Book Antiqua"/>
          <w:b/>
          <w:sz w:val="24"/>
          <w:szCs w:val="24"/>
        </w:rPr>
        <w:t xml:space="preserve">Received: </w:t>
      </w:r>
      <w:r>
        <w:rPr>
          <w:rFonts w:ascii="Book Antiqua" w:hAnsi="Book Antiqua"/>
          <w:sz w:val="24"/>
          <w:szCs w:val="24"/>
        </w:rPr>
        <w:t>August</w:t>
      </w:r>
      <w:r w:rsidRPr="00663BB7">
        <w:rPr>
          <w:rFonts w:ascii="Book Antiqua" w:hAnsi="Book Antiqua"/>
          <w:sz w:val="24"/>
          <w:szCs w:val="24"/>
        </w:rPr>
        <w:t xml:space="preserve"> </w:t>
      </w:r>
      <w:r>
        <w:rPr>
          <w:rFonts w:ascii="Book Antiqua" w:hAnsi="Book Antiqua"/>
          <w:sz w:val="24"/>
          <w:szCs w:val="24"/>
        </w:rPr>
        <w:t>12</w:t>
      </w:r>
      <w:r w:rsidRPr="00663BB7">
        <w:rPr>
          <w:rFonts w:ascii="Book Antiqua" w:hAnsi="Book Antiqua"/>
          <w:sz w:val="24"/>
          <w:szCs w:val="24"/>
        </w:rPr>
        <w:t>, 2019</w:t>
      </w:r>
    </w:p>
    <w:p w14:paraId="23927DA9" w14:textId="0AF49A0F" w:rsidR="002E42CD" w:rsidRPr="00663BB7" w:rsidRDefault="002E42CD" w:rsidP="002E42CD">
      <w:pPr>
        <w:adjustRightInd w:val="0"/>
        <w:snapToGrid w:val="0"/>
        <w:spacing w:after="0" w:line="360" w:lineRule="auto"/>
        <w:rPr>
          <w:rFonts w:ascii="Book Antiqua" w:hAnsi="Book Antiqua"/>
          <w:b/>
          <w:sz w:val="24"/>
          <w:szCs w:val="24"/>
        </w:rPr>
      </w:pPr>
      <w:r w:rsidRPr="00663BB7">
        <w:rPr>
          <w:rFonts w:ascii="Book Antiqua" w:hAnsi="Book Antiqua"/>
          <w:b/>
          <w:sz w:val="24"/>
          <w:szCs w:val="24"/>
        </w:rPr>
        <w:t xml:space="preserve">Peer-review started: </w:t>
      </w:r>
      <w:r>
        <w:rPr>
          <w:rFonts w:ascii="Book Antiqua" w:hAnsi="Book Antiqua"/>
          <w:sz w:val="24"/>
          <w:szCs w:val="24"/>
        </w:rPr>
        <w:t>August</w:t>
      </w:r>
      <w:r w:rsidRPr="00663BB7">
        <w:rPr>
          <w:rFonts w:ascii="Book Antiqua" w:hAnsi="Book Antiqua"/>
          <w:sz w:val="24"/>
          <w:szCs w:val="24"/>
        </w:rPr>
        <w:t xml:space="preserve"> </w:t>
      </w:r>
      <w:r>
        <w:rPr>
          <w:rFonts w:ascii="Book Antiqua" w:hAnsi="Book Antiqua"/>
          <w:sz w:val="24"/>
          <w:szCs w:val="24"/>
        </w:rPr>
        <w:t>12</w:t>
      </w:r>
      <w:r w:rsidRPr="00663BB7">
        <w:rPr>
          <w:rFonts w:ascii="Book Antiqua" w:hAnsi="Book Antiqua"/>
          <w:sz w:val="24"/>
          <w:szCs w:val="24"/>
        </w:rPr>
        <w:t>, 2019</w:t>
      </w:r>
    </w:p>
    <w:p w14:paraId="45EB739E" w14:textId="741292AD" w:rsidR="002E42CD" w:rsidRPr="00663BB7" w:rsidRDefault="002E42CD" w:rsidP="002E42CD">
      <w:pPr>
        <w:adjustRightInd w:val="0"/>
        <w:snapToGrid w:val="0"/>
        <w:spacing w:after="0"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sz w:val="24"/>
          <w:szCs w:val="24"/>
        </w:rPr>
        <w:t>September</w:t>
      </w:r>
      <w:r w:rsidRPr="00663BB7">
        <w:rPr>
          <w:rFonts w:ascii="Book Antiqua" w:hAnsi="Book Antiqua"/>
          <w:sz w:val="24"/>
          <w:szCs w:val="24"/>
        </w:rPr>
        <w:t xml:space="preserve"> 10, 2019</w:t>
      </w:r>
    </w:p>
    <w:p w14:paraId="74BF4937" w14:textId="6009A4E3" w:rsidR="002E42CD" w:rsidRPr="00663BB7" w:rsidRDefault="002E42CD" w:rsidP="002E42CD">
      <w:pPr>
        <w:adjustRightInd w:val="0"/>
        <w:snapToGrid w:val="0"/>
        <w:spacing w:after="0"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sz w:val="24"/>
          <w:szCs w:val="24"/>
        </w:rPr>
        <w:t>November</w:t>
      </w:r>
      <w:r w:rsidRPr="00663BB7">
        <w:rPr>
          <w:rFonts w:ascii="Book Antiqua" w:hAnsi="Book Antiqua"/>
          <w:sz w:val="24"/>
          <w:szCs w:val="24"/>
        </w:rPr>
        <w:t xml:space="preserve"> </w:t>
      </w:r>
      <w:r>
        <w:rPr>
          <w:rFonts w:ascii="Book Antiqua" w:hAnsi="Book Antiqua"/>
          <w:sz w:val="24"/>
          <w:szCs w:val="24"/>
        </w:rPr>
        <w:t>26</w:t>
      </w:r>
      <w:r w:rsidRPr="00663BB7">
        <w:rPr>
          <w:rFonts w:ascii="Book Antiqua" w:hAnsi="Book Antiqua"/>
          <w:sz w:val="24"/>
          <w:szCs w:val="24"/>
        </w:rPr>
        <w:t>, 2019</w:t>
      </w:r>
    </w:p>
    <w:p w14:paraId="6968B47F" w14:textId="75265153" w:rsidR="002E42CD" w:rsidRPr="00663BB7" w:rsidRDefault="002E42CD" w:rsidP="002E42CD">
      <w:pPr>
        <w:adjustRightInd w:val="0"/>
        <w:snapToGrid w:val="0"/>
        <w:spacing w:after="0" w:line="360" w:lineRule="auto"/>
        <w:rPr>
          <w:rFonts w:ascii="Book Antiqua" w:hAnsi="Book Antiqua"/>
          <w:color w:val="000000"/>
          <w:sz w:val="24"/>
          <w:szCs w:val="24"/>
        </w:rPr>
      </w:pPr>
      <w:r w:rsidRPr="00663BB7">
        <w:rPr>
          <w:rFonts w:ascii="Book Antiqua" w:hAnsi="Book Antiqua"/>
          <w:b/>
          <w:sz w:val="24"/>
          <w:szCs w:val="24"/>
        </w:rPr>
        <w:t xml:space="preserve">Accepted: </w:t>
      </w:r>
      <w:r w:rsidR="005F55C0" w:rsidRPr="005F55C0">
        <w:rPr>
          <w:rFonts w:ascii="Book Antiqua" w:hAnsi="Book Antiqua"/>
          <w:sz w:val="24"/>
          <w:szCs w:val="24"/>
        </w:rPr>
        <w:t>November 29, 2019</w:t>
      </w:r>
      <w:bookmarkStart w:id="21" w:name="_GoBack"/>
      <w:bookmarkEnd w:id="21"/>
    </w:p>
    <w:p w14:paraId="70E14D2B" w14:textId="77777777" w:rsidR="002E42CD" w:rsidRPr="00663BB7" w:rsidRDefault="002E42CD" w:rsidP="002E42CD">
      <w:pPr>
        <w:adjustRightInd w:val="0"/>
        <w:snapToGrid w:val="0"/>
        <w:spacing w:after="0" w:line="360" w:lineRule="auto"/>
        <w:rPr>
          <w:rFonts w:ascii="Book Antiqua" w:hAnsi="Book Antiqua"/>
          <w:b/>
          <w:sz w:val="24"/>
          <w:szCs w:val="24"/>
        </w:rPr>
      </w:pPr>
      <w:r w:rsidRPr="00663BB7">
        <w:rPr>
          <w:rFonts w:ascii="Book Antiqua" w:hAnsi="Book Antiqua"/>
          <w:b/>
          <w:sz w:val="24"/>
          <w:szCs w:val="24"/>
        </w:rPr>
        <w:t>Article in press:</w:t>
      </w:r>
    </w:p>
    <w:p w14:paraId="67A22EEB" w14:textId="3D740E3C" w:rsidR="007A5613" w:rsidRDefault="002E42CD" w:rsidP="002E42CD">
      <w:pPr>
        <w:adjustRightInd w:val="0"/>
        <w:snapToGrid w:val="0"/>
        <w:spacing w:after="0" w:line="360" w:lineRule="auto"/>
        <w:jc w:val="both"/>
        <w:rPr>
          <w:rFonts w:ascii="Book Antiqua" w:hAnsi="Book Antiqua"/>
          <w:b/>
          <w:sz w:val="24"/>
          <w:szCs w:val="24"/>
        </w:rPr>
      </w:pPr>
      <w:r w:rsidRPr="00663BB7">
        <w:rPr>
          <w:rFonts w:ascii="Book Antiqua" w:hAnsi="Book Antiqua"/>
          <w:b/>
          <w:sz w:val="24"/>
          <w:szCs w:val="24"/>
        </w:rPr>
        <w:t>Published online:</w:t>
      </w:r>
      <w:bookmarkEnd w:id="20"/>
    </w:p>
    <w:p w14:paraId="2852F0DC" w14:textId="77777777" w:rsidR="002E42CD" w:rsidRPr="007363FF" w:rsidRDefault="002E42CD" w:rsidP="002E42CD">
      <w:pPr>
        <w:adjustRightInd w:val="0"/>
        <w:snapToGrid w:val="0"/>
        <w:spacing w:after="0" w:line="360" w:lineRule="auto"/>
        <w:jc w:val="both"/>
        <w:rPr>
          <w:rFonts w:ascii="Book Antiqua" w:hAnsi="Book Antiqua" w:cs="Arial"/>
          <w:sz w:val="24"/>
          <w:szCs w:val="24"/>
          <w:shd w:val="clear" w:color="auto" w:fill="FFFFFF"/>
        </w:rPr>
      </w:pPr>
    </w:p>
    <w:p w14:paraId="762F031E" w14:textId="64EC04C1" w:rsidR="00933C57" w:rsidRDefault="00933C57">
      <w:pPr>
        <w:rPr>
          <w:rFonts w:ascii="Book Antiqua" w:hAnsi="Book Antiqua" w:cs="Arial"/>
          <w:b/>
          <w:sz w:val="24"/>
          <w:szCs w:val="24"/>
        </w:rPr>
      </w:pPr>
      <w:r>
        <w:rPr>
          <w:rFonts w:ascii="Book Antiqua" w:hAnsi="Book Antiqua" w:cs="Arial"/>
          <w:b/>
          <w:sz w:val="24"/>
          <w:szCs w:val="24"/>
        </w:rPr>
        <w:br w:type="page"/>
      </w:r>
    </w:p>
    <w:p w14:paraId="04979EF2" w14:textId="5C6EA88F" w:rsidR="00DD011A" w:rsidRPr="007363FF" w:rsidRDefault="00CD5234" w:rsidP="007363FF">
      <w:pPr>
        <w:adjustRightInd w:val="0"/>
        <w:snapToGrid w:val="0"/>
        <w:spacing w:after="0" w:line="360" w:lineRule="auto"/>
        <w:jc w:val="both"/>
        <w:rPr>
          <w:rFonts w:ascii="Book Antiqua" w:hAnsi="Book Antiqua" w:cs="Arial"/>
          <w:b/>
          <w:sz w:val="24"/>
          <w:szCs w:val="24"/>
        </w:rPr>
      </w:pPr>
      <w:bookmarkStart w:id="22" w:name="OLE_LINK12"/>
      <w:r w:rsidRPr="00CD5234">
        <w:rPr>
          <w:rFonts w:ascii="Book Antiqua" w:hAnsi="Book Antiqua" w:cs="Arial"/>
          <w:b/>
          <w:sz w:val="24"/>
          <w:szCs w:val="24"/>
        </w:rPr>
        <w:lastRenderedPageBreak/>
        <w:t>Abstract</w:t>
      </w:r>
      <w:bookmarkEnd w:id="22"/>
    </w:p>
    <w:p w14:paraId="47B965EE" w14:textId="75343367" w:rsidR="00DD011A" w:rsidRPr="007363FF" w:rsidRDefault="00DD011A" w:rsidP="007363FF">
      <w:pPr>
        <w:pStyle w:val="a3"/>
        <w:adjustRightInd w:val="0"/>
        <w:snapToGrid w:val="0"/>
        <w:spacing w:line="360" w:lineRule="auto"/>
        <w:jc w:val="both"/>
        <w:rPr>
          <w:rFonts w:ascii="Book Antiqua" w:hAnsi="Book Antiqua" w:cs="Arial"/>
          <w:sz w:val="24"/>
          <w:szCs w:val="24"/>
          <w:lang w:eastAsia="zh-CN"/>
        </w:rPr>
      </w:pPr>
      <w:r w:rsidRPr="007363FF">
        <w:rPr>
          <w:rFonts w:ascii="Book Antiqua" w:hAnsi="Book Antiqua" w:cs="Arial"/>
          <w:sz w:val="24"/>
          <w:szCs w:val="24"/>
        </w:rPr>
        <w:t>Liver transplantation (LT) remains the best option for patients with end-stage liver disease but the demand for organs from deceased donors continues to outweigh the available supply. The advent of highly effective anti-viral treatments has reduced the number of patients undergoing LT for hepatitis C (HCV) and hepatitis B (HBV) related liver disease and yet the number of patients waiting for LT continues to increase, driven by an increase in the patients listed with a diagnosis of cirrhosis due to non-alcoholic steatohepatitis and alcohol-related liver disease. In addition, human immunodeficiency virus (HIV) infection, which was previously a contra-indication for LT, is no longer a fatal disease due to the effectiveness of HIV therapy and patients with HIV and liver disease are now developing indications for LT. The rising demand for LT is projected to increase further in the future, thus driving the need to investigate potential means of expanding the pool of potential donors. One mechanism for doing so is utilizing organs from donors that previously would have been discarded or used only in exceptional circumstances such as HCV-positive, HBV-positive, and HIV-positive donors</w:t>
      </w:r>
      <w:r w:rsidR="008165EB" w:rsidRPr="007363FF">
        <w:rPr>
          <w:rFonts w:ascii="Book Antiqua" w:hAnsi="Book Antiqua" w:cs="Arial"/>
          <w:sz w:val="24"/>
          <w:szCs w:val="24"/>
        </w:rPr>
        <w:t xml:space="preserve">. </w:t>
      </w:r>
      <w:r w:rsidRPr="007363FF">
        <w:rPr>
          <w:rFonts w:ascii="Book Antiqua" w:hAnsi="Book Antiqua" w:cs="Arial"/>
          <w:sz w:val="24"/>
          <w:szCs w:val="24"/>
        </w:rPr>
        <w:t xml:space="preserve">The advent of highly effective anti-viral therapy has meant that these organs can </w:t>
      </w:r>
      <w:r w:rsidR="008165EB" w:rsidRPr="007363FF">
        <w:rPr>
          <w:rFonts w:ascii="Book Antiqua" w:hAnsi="Book Antiqua" w:cs="Arial"/>
          <w:sz w:val="24"/>
          <w:szCs w:val="24"/>
        </w:rPr>
        <w:t xml:space="preserve">now </w:t>
      </w:r>
      <w:r w:rsidRPr="007363FF">
        <w:rPr>
          <w:rFonts w:ascii="Book Antiqua" w:hAnsi="Book Antiqua" w:cs="Arial"/>
          <w:sz w:val="24"/>
          <w:szCs w:val="24"/>
        </w:rPr>
        <w:t>be used with excellent outcomes in HCV, HBV or HIV infected recipients and in some cases uninfected recipients.</w:t>
      </w:r>
      <w:r w:rsidR="008165EB" w:rsidRPr="007363FF">
        <w:rPr>
          <w:rFonts w:ascii="Book Antiqua" w:hAnsi="Book Antiqua" w:cs="Arial"/>
          <w:sz w:val="24"/>
          <w:szCs w:val="24"/>
        </w:rPr>
        <w:t xml:space="preserve"> </w:t>
      </w:r>
    </w:p>
    <w:p w14:paraId="2E884842" w14:textId="77777777" w:rsidR="001A3DB3" w:rsidRPr="007363FF" w:rsidRDefault="001A3DB3" w:rsidP="007363FF">
      <w:pPr>
        <w:pStyle w:val="a3"/>
        <w:adjustRightInd w:val="0"/>
        <w:snapToGrid w:val="0"/>
        <w:spacing w:line="360" w:lineRule="auto"/>
        <w:jc w:val="both"/>
        <w:rPr>
          <w:rFonts w:ascii="Book Antiqua" w:hAnsi="Book Antiqua" w:cs="Arial"/>
          <w:sz w:val="24"/>
          <w:szCs w:val="24"/>
          <w:lang w:eastAsia="zh-CN"/>
        </w:rPr>
      </w:pPr>
    </w:p>
    <w:p w14:paraId="3D48DBED" w14:textId="2D32598D" w:rsidR="001A3DB3" w:rsidRPr="007363FF" w:rsidRDefault="00CD5234" w:rsidP="007363FF">
      <w:pPr>
        <w:adjustRightInd w:val="0"/>
        <w:snapToGrid w:val="0"/>
        <w:spacing w:after="0" w:line="360" w:lineRule="auto"/>
        <w:jc w:val="both"/>
        <w:rPr>
          <w:rFonts w:ascii="Book Antiqua" w:hAnsi="Book Antiqua" w:cs="Arial"/>
          <w:sz w:val="24"/>
          <w:szCs w:val="24"/>
          <w:shd w:val="clear" w:color="auto" w:fill="FFFFFF"/>
        </w:rPr>
      </w:pPr>
      <w:r w:rsidRPr="00CD5234">
        <w:rPr>
          <w:rFonts w:ascii="Book Antiqua" w:hAnsi="Book Antiqua" w:cs="Arial"/>
          <w:b/>
          <w:sz w:val="24"/>
          <w:szCs w:val="24"/>
          <w:shd w:val="clear" w:color="auto" w:fill="FFFFFF"/>
        </w:rPr>
        <w:t>Key words:</w:t>
      </w:r>
      <w:r>
        <w:rPr>
          <w:rFonts w:ascii="Book Antiqua" w:hAnsi="Book Antiqua" w:cs="Arial"/>
          <w:sz w:val="24"/>
          <w:szCs w:val="24"/>
          <w:shd w:val="clear" w:color="auto" w:fill="FFFFFF"/>
        </w:rPr>
        <w:t xml:space="preserve"> </w:t>
      </w:r>
      <w:r w:rsidR="001A3DB3" w:rsidRPr="007363FF">
        <w:rPr>
          <w:rFonts w:ascii="Book Antiqua" w:hAnsi="Book Antiqua" w:cs="Arial"/>
          <w:sz w:val="24"/>
          <w:szCs w:val="24"/>
          <w:shd w:val="clear" w:color="auto" w:fill="FFFFFF"/>
        </w:rPr>
        <w:t>Hepatitis C</w:t>
      </w:r>
      <w:r w:rsidR="00F479BE">
        <w:rPr>
          <w:rFonts w:ascii="Book Antiqua" w:hAnsi="Book Antiqua" w:cs="Arial"/>
          <w:sz w:val="24"/>
          <w:szCs w:val="24"/>
          <w:shd w:val="clear" w:color="auto" w:fill="FFFFFF"/>
        </w:rPr>
        <w:t>;</w:t>
      </w:r>
      <w:r w:rsidR="001A3DB3" w:rsidRPr="007363FF">
        <w:rPr>
          <w:rFonts w:ascii="Book Antiqua" w:hAnsi="Book Antiqua" w:cs="Arial"/>
          <w:sz w:val="24"/>
          <w:szCs w:val="24"/>
          <w:shd w:val="clear" w:color="auto" w:fill="FFFFFF"/>
        </w:rPr>
        <w:t xml:space="preserve"> Hepatitis B</w:t>
      </w:r>
      <w:r w:rsidR="00F479BE">
        <w:rPr>
          <w:rFonts w:ascii="Book Antiqua" w:hAnsi="Book Antiqua" w:cs="Arial"/>
          <w:sz w:val="24"/>
          <w:szCs w:val="24"/>
          <w:shd w:val="clear" w:color="auto" w:fill="FFFFFF"/>
        </w:rPr>
        <w:t>;</w:t>
      </w:r>
      <w:r w:rsidR="001A3DB3" w:rsidRPr="007363FF">
        <w:rPr>
          <w:rFonts w:ascii="Book Antiqua" w:hAnsi="Book Antiqua" w:cs="Arial"/>
          <w:sz w:val="24"/>
          <w:szCs w:val="24"/>
          <w:shd w:val="clear" w:color="auto" w:fill="FFFFFF"/>
        </w:rPr>
        <w:t xml:space="preserve"> </w:t>
      </w:r>
      <w:r w:rsidR="00F479BE" w:rsidRPr="007363FF">
        <w:rPr>
          <w:rFonts w:ascii="Book Antiqua" w:hAnsi="Book Antiqua" w:cs="Arial"/>
          <w:sz w:val="24"/>
          <w:szCs w:val="24"/>
        </w:rPr>
        <w:t>Human immunodeficiency virus</w:t>
      </w:r>
      <w:r w:rsidR="00F479BE">
        <w:rPr>
          <w:rFonts w:ascii="Book Antiqua" w:hAnsi="Book Antiqua" w:cs="Arial"/>
          <w:sz w:val="24"/>
          <w:szCs w:val="24"/>
          <w:shd w:val="clear" w:color="auto" w:fill="FFFFFF"/>
        </w:rPr>
        <w:t>;</w:t>
      </w:r>
      <w:r w:rsidR="001A3DB3" w:rsidRPr="007363FF">
        <w:rPr>
          <w:rFonts w:ascii="Book Antiqua" w:hAnsi="Book Antiqua" w:cs="Arial"/>
          <w:sz w:val="24"/>
          <w:szCs w:val="24"/>
          <w:shd w:val="clear" w:color="auto" w:fill="FFFFFF"/>
        </w:rPr>
        <w:t xml:space="preserve"> </w:t>
      </w:r>
      <w:bookmarkStart w:id="23" w:name="OLE_LINK13"/>
      <w:r w:rsidR="001A3DB3" w:rsidRPr="007363FF">
        <w:rPr>
          <w:rFonts w:ascii="Book Antiqua" w:hAnsi="Book Antiqua" w:cs="Arial"/>
          <w:sz w:val="24"/>
          <w:szCs w:val="24"/>
          <w:shd w:val="clear" w:color="auto" w:fill="FFFFFF"/>
        </w:rPr>
        <w:t xml:space="preserve">Liver </w:t>
      </w:r>
      <w:r w:rsidR="00F85BB3" w:rsidRPr="007363FF">
        <w:rPr>
          <w:rFonts w:ascii="Book Antiqua" w:hAnsi="Book Antiqua" w:cs="Arial"/>
          <w:sz w:val="24"/>
          <w:szCs w:val="24"/>
          <w:shd w:val="clear" w:color="auto" w:fill="FFFFFF"/>
        </w:rPr>
        <w:t>t</w:t>
      </w:r>
      <w:r w:rsidR="001A3DB3" w:rsidRPr="007363FF">
        <w:rPr>
          <w:rFonts w:ascii="Book Antiqua" w:hAnsi="Book Antiqua" w:cs="Arial"/>
          <w:sz w:val="24"/>
          <w:szCs w:val="24"/>
          <w:shd w:val="clear" w:color="auto" w:fill="FFFFFF"/>
        </w:rPr>
        <w:t>ransplantation</w:t>
      </w:r>
      <w:bookmarkEnd w:id="23"/>
    </w:p>
    <w:p w14:paraId="2F29E5AC" w14:textId="50226A7E" w:rsidR="001A3DB3" w:rsidRDefault="001A3DB3" w:rsidP="007363FF">
      <w:pPr>
        <w:pStyle w:val="a3"/>
        <w:adjustRightInd w:val="0"/>
        <w:snapToGrid w:val="0"/>
        <w:spacing w:line="360" w:lineRule="auto"/>
        <w:jc w:val="both"/>
        <w:rPr>
          <w:rFonts w:ascii="Book Antiqua" w:hAnsi="Book Antiqua" w:cs="Arial"/>
          <w:sz w:val="24"/>
          <w:szCs w:val="24"/>
          <w:lang w:eastAsia="zh-CN"/>
        </w:rPr>
      </w:pPr>
    </w:p>
    <w:p w14:paraId="535C3119" w14:textId="4A0385D9" w:rsidR="00F479BE" w:rsidRDefault="00F479BE" w:rsidP="007363FF">
      <w:pPr>
        <w:pStyle w:val="a3"/>
        <w:adjustRightInd w:val="0"/>
        <w:snapToGrid w:val="0"/>
        <w:spacing w:line="360" w:lineRule="auto"/>
        <w:jc w:val="both"/>
        <w:rPr>
          <w:rFonts w:ascii="Book Antiqua" w:hAnsi="Book Antiqua" w:cs="Arial"/>
          <w:sz w:val="24"/>
          <w:szCs w:val="24"/>
          <w:lang w:eastAsia="zh-CN"/>
        </w:rPr>
      </w:pPr>
      <w:bookmarkStart w:id="24" w:name="_Hlk21773282"/>
      <w:r w:rsidRPr="00663BB7">
        <w:rPr>
          <w:rFonts w:ascii="Book Antiqua" w:hAnsi="Book Antiqua" w:cs="Tahoma"/>
          <w:b/>
          <w:color w:val="000000"/>
          <w:sz w:val="24"/>
          <w:szCs w:val="24"/>
          <w:lang w:val="en-GB" w:eastAsia="ja-JP"/>
        </w:rPr>
        <w:t xml:space="preserve">© </w:t>
      </w:r>
      <w:r w:rsidRPr="00663BB7">
        <w:rPr>
          <w:rFonts w:ascii="Book Antiqua" w:eastAsia="AdvTimes" w:hAnsi="Book Antiqua" w:cs="AdvTimes"/>
          <w:b/>
          <w:color w:val="000000"/>
          <w:sz w:val="24"/>
          <w:szCs w:val="24"/>
          <w:lang w:val="fr-FR" w:eastAsia="ja-JP"/>
        </w:rPr>
        <w:t xml:space="preserve">The Author(s) </w:t>
      </w:r>
      <w:r w:rsidRPr="00663BB7">
        <w:rPr>
          <w:rFonts w:ascii="Book Antiqua" w:hAnsi="Book Antiqua" w:cs="AdvTimes"/>
          <w:b/>
          <w:color w:val="000000"/>
          <w:sz w:val="24"/>
          <w:szCs w:val="24"/>
          <w:lang w:val="fr-FR"/>
        </w:rPr>
        <w:t>2019</w:t>
      </w:r>
      <w:r w:rsidRPr="00663BB7">
        <w:rPr>
          <w:rFonts w:ascii="Book Antiqua" w:eastAsia="AdvTimes" w:hAnsi="Book Antiqua" w:cs="AdvTimes"/>
          <w:b/>
          <w:color w:val="000000"/>
          <w:sz w:val="24"/>
          <w:szCs w:val="24"/>
          <w:lang w:val="fr-FR" w:eastAsia="ja-JP"/>
        </w:rPr>
        <w:t>.</w:t>
      </w:r>
      <w:r w:rsidRPr="00663BB7">
        <w:rPr>
          <w:rFonts w:ascii="Book Antiqua" w:eastAsia="AdvTimes" w:hAnsi="Book Antiqua" w:cs="AdvTimes"/>
          <w:color w:val="000000"/>
          <w:sz w:val="24"/>
          <w:szCs w:val="24"/>
          <w:lang w:val="fr-FR" w:eastAsia="ja-JP"/>
        </w:rPr>
        <w:t xml:space="preserve"> Published by </w:t>
      </w:r>
      <w:r w:rsidRPr="00663BB7">
        <w:rPr>
          <w:rFonts w:ascii="Book Antiqua" w:hAnsi="Book Antiqua" w:cs="Arial Unicode MS"/>
          <w:color w:val="000000"/>
          <w:sz w:val="24"/>
          <w:szCs w:val="24"/>
          <w:lang w:val="en-GB" w:eastAsia="ja-JP"/>
        </w:rPr>
        <w:t>Baishideng Publishing Group Inc.</w:t>
      </w:r>
      <w:r w:rsidRPr="00663BB7">
        <w:rPr>
          <w:rFonts w:ascii="Book Antiqua" w:hAnsi="Book Antiqua" w:cs="Arial Unicode MS"/>
          <w:sz w:val="24"/>
          <w:szCs w:val="24"/>
          <w:lang w:val="en-GB" w:eastAsia="ja-JP"/>
        </w:rPr>
        <w:t xml:space="preserve"> </w:t>
      </w:r>
      <w:r w:rsidRPr="00663BB7">
        <w:rPr>
          <w:rFonts w:ascii="Book Antiqua" w:hAnsi="Book Antiqua" w:cs="Arial Unicode MS"/>
          <w:sz w:val="24"/>
          <w:szCs w:val="24"/>
          <w:lang w:val="fr-FR" w:eastAsia="ja-JP"/>
        </w:rPr>
        <w:t>All rights reserved</w:t>
      </w:r>
      <w:r w:rsidRPr="00663BB7">
        <w:rPr>
          <w:rFonts w:ascii="Book Antiqua" w:hAnsi="Book Antiqua" w:cs="Arial Unicode MS"/>
          <w:sz w:val="24"/>
          <w:szCs w:val="24"/>
          <w:lang w:val="fr-FR"/>
        </w:rPr>
        <w:t>.</w:t>
      </w:r>
      <w:bookmarkEnd w:id="24"/>
    </w:p>
    <w:p w14:paraId="7BF1C266" w14:textId="77777777" w:rsidR="00F479BE" w:rsidRPr="00CD5234" w:rsidRDefault="00F479BE" w:rsidP="007363FF">
      <w:pPr>
        <w:pStyle w:val="a3"/>
        <w:adjustRightInd w:val="0"/>
        <w:snapToGrid w:val="0"/>
        <w:spacing w:line="360" w:lineRule="auto"/>
        <w:jc w:val="both"/>
        <w:rPr>
          <w:rFonts w:ascii="Book Antiqua" w:hAnsi="Book Antiqua" w:cs="Arial"/>
          <w:sz w:val="24"/>
          <w:szCs w:val="24"/>
          <w:lang w:eastAsia="zh-CN"/>
        </w:rPr>
      </w:pPr>
    </w:p>
    <w:p w14:paraId="755CB167" w14:textId="5A2EBC19" w:rsidR="00F35FE5" w:rsidRPr="007363FF" w:rsidRDefault="00F35FE5" w:rsidP="007363FF">
      <w:pPr>
        <w:adjustRightInd w:val="0"/>
        <w:snapToGrid w:val="0"/>
        <w:spacing w:after="0" w:line="360" w:lineRule="auto"/>
        <w:jc w:val="both"/>
        <w:rPr>
          <w:rFonts w:ascii="Book Antiqua" w:hAnsi="Book Antiqua" w:cs="Arial"/>
          <w:bCs/>
          <w:sz w:val="24"/>
          <w:szCs w:val="24"/>
          <w:lang w:eastAsia="zh-CN"/>
        </w:rPr>
      </w:pPr>
      <w:bookmarkStart w:id="25" w:name="OLE_LINK19"/>
      <w:bookmarkStart w:id="26" w:name="OLE_LINK20"/>
      <w:bookmarkStart w:id="27" w:name="_Hlk13493442"/>
      <w:r w:rsidRPr="007363FF">
        <w:rPr>
          <w:rFonts w:ascii="Book Antiqua" w:eastAsia="Arial Unicode MS" w:hAnsi="Book Antiqua" w:cs="Arial"/>
          <w:b/>
          <w:sz w:val="24"/>
          <w:szCs w:val="24"/>
        </w:rPr>
        <w:t>Core tip</w:t>
      </w:r>
      <w:bookmarkEnd w:id="25"/>
      <w:bookmarkEnd w:id="26"/>
      <w:bookmarkEnd w:id="27"/>
      <w:r w:rsidR="00BC5C16" w:rsidRPr="007363FF">
        <w:rPr>
          <w:rFonts w:ascii="Book Antiqua" w:eastAsia="Arial Unicode MS" w:hAnsi="Book Antiqua" w:cs="Arial"/>
          <w:b/>
          <w:sz w:val="24"/>
          <w:szCs w:val="24"/>
          <w:lang w:eastAsia="zh-CN"/>
        </w:rPr>
        <w:t>:</w:t>
      </w:r>
      <w:r w:rsidR="00BC5C16" w:rsidRPr="007363FF">
        <w:rPr>
          <w:rFonts w:ascii="Book Antiqua" w:eastAsia="Arial Unicode MS" w:hAnsi="Book Antiqua" w:cs="Arial"/>
          <w:b/>
          <w:sz w:val="24"/>
          <w:szCs w:val="24"/>
        </w:rPr>
        <w:t xml:space="preserve"> </w:t>
      </w:r>
      <w:bookmarkStart w:id="28" w:name="OLE_LINK14"/>
      <w:r w:rsidR="00BC5C16" w:rsidRPr="007363FF">
        <w:rPr>
          <w:rFonts w:ascii="Book Antiqua" w:eastAsia="Arial Unicode MS" w:hAnsi="Book Antiqua" w:cs="Arial"/>
          <w:bCs/>
          <w:sz w:val="24"/>
          <w:szCs w:val="24"/>
        </w:rPr>
        <w:t xml:space="preserve">The optimal utilization of organs from </w:t>
      </w:r>
      <w:r w:rsidR="00F479BE" w:rsidRPr="007363FF">
        <w:rPr>
          <w:rFonts w:ascii="Book Antiqua" w:hAnsi="Book Antiqua" w:cs="Arial"/>
          <w:sz w:val="24"/>
          <w:szCs w:val="24"/>
        </w:rPr>
        <w:t>hepatitis C (HCV)</w:t>
      </w:r>
      <w:r w:rsidR="00F479BE">
        <w:rPr>
          <w:rFonts w:ascii="Book Antiqua" w:hAnsi="Book Antiqua" w:cs="Arial"/>
          <w:sz w:val="24"/>
          <w:szCs w:val="24"/>
        </w:rPr>
        <w:t>,</w:t>
      </w:r>
      <w:r w:rsidR="00F479BE" w:rsidRPr="007363FF">
        <w:rPr>
          <w:rFonts w:ascii="Book Antiqua" w:hAnsi="Book Antiqua" w:cs="Arial"/>
          <w:sz w:val="24"/>
          <w:szCs w:val="24"/>
        </w:rPr>
        <w:t xml:space="preserve"> hepatitis B (HBV)</w:t>
      </w:r>
      <w:r w:rsidR="00BC5C16" w:rsidRPr="007363FF">
        <w:rPr>
          <w:rFonts w:ascii="Book Antiqua" w:eastAsia="Arial Unicode MS" w:hAnsi="Book Antiqua" w:cs="Arial"/>
          <w:bCs/>
          <w:sz w:val="24"/>
          <w:szCs w:val="24"/>
        </w:rPr>
        <w:t xml:space="preserve"> and </w:t>
      </w:r>
      <w:r w:rsidR="00F479BE" w:rsidRPr="007363FF">
        <w:rPr>
          <w:rFonts w:ascii="Book Antiqua" w:hAnsi="Book Antiqua" w:cs="Arial"/>
          <w:sz w:val="24"/>
          <w:szCs w:val="24"/>
        </w:rPr>
        <w:t>human immunodeficiency virus (HIV)</w:t>
      </w:r>
      <w:r w:rsidR="00BC5C16" w:rsidRPr="007363FF">
        <w:rPr>
          <w:rFonts w:ascii="Book Antiqua" w:eastAsia="Arial Unicode MS" w:hAnsi="Book Antiqua" w:cs="Arial"/>
          <w:bCs/>
          <w:sz w:val="24"/>
          <w:szCs w:val="24"/>
        </w:rPr>
        <w:t>-positive donors may help attenuate the current organ shortage. Transplantation of organs from patients with HCV viremia to uninfected recipients can be accomplished safely when coupled with the timely initiation of post-transplant direct-acting antiviral therapy.</w:t>
      </w:r>
      <w:r w:rsidR="00FF069B" w:rsidRPr="007363FF">
        <w:rPr>
          <w:rFonts w:ascii="Book Antiqua" w:eastAsia="Arial Unicode MS" w:hAnsi="Book Antiqua" w:cs="Arial"/>
          <w:bCs/>
          <w:sz w:val="24"/>
          <w:szCs w:val="24"/>
        </w:rPr>
        <w:t xml:space="preserve"> </w:t>
      </w:r>
      <w:r w:rsidR="00053C58" w:rsidRPr="007363FF">
        <w:rPr>
          <w:rFonts w:ascii="Book Antiqua" w:eastAsia="Arial Unicode MS" w:hAnsi="Book Antiqua" w:cs="Arial"/>
          <w:bCs/>
          <w:sz w:val="24"/>
          <w:szCs w:val="24"/>
        </w:rPr>
        <w:t xml:space="preserve">Suppression of </w:t>
      </w:r>
      <w:r w:rsidR="00F479BE">
        <w:rPr>
          <w:rFonts w:ascii="Book Antiqua" w:eastAsia="Arial Unicode MS" w:hAnsi="Book Antiqua" w:cs="Arial"/>
          <w:bCs/>
          <w:sz w:val="24"/>
          <w:szCs w:val="24"/>
        </w:rPr>
        <w:t>H</w:t>
      </w:r>
      <w:r w:rsidR="00053C58" w:rsidRPr="007363FF">
        <w:rPr>
          <w:rFonts w:ascii="Book Antiqua" w:eastAsia="Arial Unicode MS" w:hAnsi="Book Antiqua" w:cs="Arial"/>
          <w:bCs/>
          <w:sz w:val="24"/>
          <w:szCs w:val="24"/>
        </w:rPr>
        <w:t>B</w:t>
      </w:r>
      <w:r w:rsidR="00F479BE">
        <w:rPr>
          <w:rFonts w:ascii="Book Antiqua" w:eastAsia="Arial Unicode MS" w:hAnsi="Book Antiqua" w:cs="Arial"/>
          <w:bCs/>
          <w:sz w:val="24"/>
          <w:szCs w:val="24"/>
        </w:rPr>
        <w:t>V</w:t>
      </w:r>
      <w:r w:rsidR="00053C58" w:rsidRPr="007363FF">
        <w:rPr>
          <w:rFonts w:ascii="Book Antiqua" w:eastAsia="Arial Unicode MS" w:hAnsi="Book Antiqua" w:cs="Arial"/>
          <w:bCs/>
          <w:sz w:val="24"/>
          <w:szCs w:val="24"/>
        </w:rPr>
        <w:t xml:space="preserve"> with antiviral therapy </w:t>
      </w:r>
      <w:r w:rsidR="00053C58" w:rsidRPr="007363FF">
        <w:rPr>
          <w:rFonts w:ascii="Book Antiqua" w:eastAsia="Arial Unicode MS" w:hAnsi="Book Antiqua" w:cs="Arial"/>
          <w:bCs/>
          <w:sz w:val="24"/>
          <w:szCs w:val="24"/>
        </w:rPr>
        <w:lastRenderedPageBreak/>
        <w:t>allows for the safe transplantation from HBV core antibody-positive donors to unexposed recipients, while transplantation of organs from patients who are HBV surface antigen-positive remains investigational. The early experience with HIV-to-HIV positive transplantation via the HOPE act is promising, and allows patients living with HIV improved access to transplantation.</w:t>
      </w:r>
      <w:bookmarkEnd w:id="28"/>
    </w:p>
    <w:p w14:paraId="000EA5EC" w14:textId="77777777" w:rsidR="00F35FE5" w:rsidRPr="007363FF" w:rsidRDefault="00F35FE5" w:rsidP="007363FF">
      <w:pPr>
        <w:pStyle w:val="a3"/>
        <w:adjustRightInd w:val="0"/>
        <w:snapToGrid w:val="0"/>
        <w:spacing w:line="360" w:lineRule="auto"/>
        <w:jc w:val="both"/>
        <w:rPr>
          <w:rFonts w:ascii="Book Antiqua" w:hAnsi="Book Antiqua" w:cs="Arial"/>
          <w:sz w:val="24"/>
          <w:szCs w:val="24"/>
          <w:lang w:eastAsia="zh-CN"/>
        </w:rPr>
      </w:pPr>
    </w:p>
    <w:p w14:paraId="5FA535CE" w14:textId="3036FD9C" w:rsidR="00EA6C4D" w:rsidRDefault="00EA6C4D" w:rsidP="00EA6C4D">
      <w:pPr>
        <w:adjustRightInd w:val="0"/>
        <w:spacing w:after="0" w:line="360" w:lineRule="auto"/>
        <w:jc w:val="both"/>
      </w:pPr>
      <w:r w:rsidRPr="00A0107C">
        <w:rPr>
          <w:rFonts w:ascii="Book Antiqua" w:hAnsi="Book Antiqua" w:cs="Arial"/>
          <w:sz w:val="24"/>
          <w:szCs w:val="24"/>
          <w:shd w:val="clear" w:color="auto" w:fill="FFFFFF"/>
        </w:rPr>
        <w:t>Crismale</w:t>
      </w:r>
      <w:r>
        <w:rPr>
          <w:rFonts w:ascii="Book Antiqua" w:hAnsi="Book Antiqua" w:cs="Arial"/>
          <w:sz w:val="24"/>
          <w:szCs w:val="24"/>
          <w:shd w:val="clear" w:color="auto" w:fill="FFFFFF"/>
        </w:rPr>
        <w:t xml:space="preserve"> JF</w:t>
      </w:r>
      <w:r w:rsidRPr="00A0107C">
        <w:rPr>
          <w:rFonts w:ascii="Book Antiqua" w:hAnsi="Book Antiqua" w:cs="Arial"/>
          <w:sz w:val="24"/>
          <w:szCs w:val="24"/>
          <w:shd w:val="clear" w:color="auto" w:fill="FFFFFF"/>
        </w:rPr>
        <w:t>, Ahmad</w:t>
      </w:r>
      <w:r>
        <w:rPr>
          <w:rFonts w:ascii="Book Antiqua" w:hAnsi="Book Antiqua" w:cs="Arial"/>
          <w:sz w:val="24"/>
          <w:szCs w:val="24"/>
          <w:shd w:val="clear" w:color="auto" w:fill="FFFFFF"/>
        </w:rPr>
        <w:t xml:space="preserve"> J.</w:t>
      </w:r>
      <w:r w:rsidRPr="007363FF">
        <w:rPr>
          <w:rFonts w:ascii="Book Antiqua" w:hAnsi="Book Antiqua" w:cs="Arial"/>
          <w:sz w:val="24"/>
          <w:szCs w:val="24"/>
          <w:shd w:val="clear" w:color="auto" w:fill="FFFFFF"/>
        </w:rPr>
        <w:t xml:space="preserve"> </w:t>
      </w:r>
      <w:bookmarkStart w:id="29" w:name="OLE_LINK15"/>
      <w:r w:rsidRPr="007363FF">
        <w:rPr>
          <w:rFonts w:ascii="Book Antiqua" w:hAnsi="Book Antiqua" w:cs="Arial"/>
          <w:sz w:val="24"/>
          <w:szCs w:val="24"/>
          <w:shd w:val="clear" w:color="auto" w:fill="FFFFFF"/>
        </w:rPr>
        <w:t>Expanding the donor pool: Hepatitis C, hepatitis B and human immunodeficiency virus-positive donors in liver transplantation</w:t>
      </w:r>
      <w:bookmarkEnd w:id="29"/>
      <w:r>
        <w:rPr>
          <w:rFonts w:ascii="Book Antiqua" w:hAnsi="Book Antiqua" w:cs="Arial"/>
          <w:sz w:val="24"/>
          <w:szCs w:val="24"/>
          <w:shd w:val="clear" w:color="auto" w:fill="FFFFFF"/>
        </w:rPr>
        <w:t xml:space="preserve">. </w:t>
      </w:r>
      <w:bookmarkStart w:id="30" w:name="OLE_LINK1084"/>
      <w:bookmarkStart w:id="31" w:name="OLE_LINK1085"/>
      <w:bookmarkStart w:id="32" w:name="OLE_LINK1089"/>
      <w:r w:rsidRPr="00E536E1">
        <w:rPr>
          <w:rFonts w:ascii="Book Antiqua" w:hAnsi="Book Antiqua"/>
          <w:i/>
          <w:sz w:val="24"/>
          <w:szCs w:val="24"/>
        </w:rPr>
        <w:t>World J Gastroenterol</w:t>
      </w:r>
      <w:r w:rsidRPr="00E536E1">
        <w:rPr>
          <w:rFonts w:ascii="Book Antiqua" w:hAnsi="Book Antiqua"/>
          <w:sz w:val="24"/>
          <w:szCs w:val="24"/>
        </w:rPr>
        <w:t xml:space="preserve"> </w:t>
      </w:r>
      <w:bookmarkStart w:id="33" w:name="_Hlk25567098"/>
      <w:r w:rsidRPr="00E536E1">
        <w:rPr>
          <w:rFonts w:ascii="Book Antiqua" w:hAnsi="Book Antiqua"/>
          <w:sz w:val="24"/>
          <w:szCs w:val="24"/>
        </w:rPr>
        <w:t xml:space="preserve">2019; </w:t>
      </w:r>
      <w:bookmarkStart w:id="34" w:name="OLE_LINK1689"/>
      <w:bookmarkStart w:id="35" w:name="OLE_LINK1298"/>
      <w:bookmarkStart w:id="36" w:name="OLE_LINK1297"/>
      <w:r w:rsidRPr="00E536E1">
        <w:rPr>
          <w:rFonts w:ascii="Book Antiqua" w:hAnsi="Book Antiqua"/>
          <w:sz w:val="24"/>
          <w:szCs w:val="24"/>
        </w:rPr>
        <w:t>In press</w:t>
      </w:r>
      <w:bookmarkEnd w:id="30"/>
      <w:bookmarkEnd w:id="31"/>
      <w:bookmarkEnd w:id="32"/>
      <w:bookmarkEnd w:id="33"/>
      <w:bookmarkEnd w:id="34"/>
      <w:bookmarkEnd w:id="35"/>
      <w:bookmarkEnd w:id="36"/>
    </w:p>
    <w:p w14:paraId="12F1B3D9" w14:textId="77777777" w:rsidR="00F35FE5" w:rsidRPr="007363FF" w:rsidRDefault="00F35FE5" w:rsidP="007363FF">
      <w:pPr>
        <w:pStyle w:val="a3"/>
        <w:adjustRightInd w:val="0"/>
        <w:snapToGrid w:val="0"/>
        <w:spacing w:line="360" w:lineRule="auto"/>
        <w:jc w:val="both"/>
        <w:rPr>
          <w:rFonts w:ascii="Book Antiqua" w:hAnsi="Book Antiqua" w:cs="Arial"/>
          <w:sz w:val="24"/>
          <w:szCs w:val="24"/>
          <w:lang w:eastAsia="zh-CN"/>
        </w:rPr>
      </w:pPr>
    </w:p>
    <w:p w14:paraId="5D8D42E7" w14:textId="77777777" w:rsidR="00DD011A" w:rsidRPr="007363FF" w:rsidRDefault="00DD011A" w:rsidP="007363FF">
      <w:pPr>
        <w:adjustRightInd w:val="0"/>
        <w:snapToGrid w:val="0"/>
        <w:spacing w:after="0" w:line="360" w:lineRule="auto"/>
        <w:jc w:val="both"/>
        <w:rPr>
          <w:rFonts w:ascii="Book Antiqua" w:hAnsi="Book Antiqua" w:cs="Arial"/>
          <w:b/>
          <w:sz w:val="24"/>
          <w:szCs w:val="24"/>
        </w:rPr>
      </w:pPr>
      <w:r w:rsidRPr="007363FF">
        <w:rPr>
          <w:rFonts w:ascii="Book Antiqua" w:hAnsi="Book Antiqua" w:cs="Arial"/>
          <w:b/>
          <w:sz w:val="24"/>
          <w:szCs w:val="24"/>
        </w:rPr>
        <w:br w:type="page"/>
      </w:r>
    </w:p>
    <w:p w14:paraId="0F4C852B" w14:textId="53FF99A7" w:rsidR="00ED49C8" w:rsidRPr="007363FF" w:rsidRDefault="00C407DA" w:rsidP="007363FF">
      <w:pPr>
        <w:adjustRightInd w:val="0"/>
        <w:snapToGrid w:val="0"/>
        <w:spacing w:after="0" w:line="360" w:lineRule="auto"/>
        <w:jc w:val="both"/>
        <w:rPr>
          <w:rFonts w:ascii="Book Antiqua" w:hAnsi="Book Antiqua" w:cs="Arial"/>
          <w:sz w:val="24"/>
          <w:szCs w:val="24"/>
        </w:rPr>
      </w:pPr>
      <w:r w:rsidRPr="000D02EA">
        <w:rPr>
          <w:rFonts w:ascii="Book Antiqua" w:hAnsi="Book Antiqua"/>
          <w:b/>
        </w:rPr>
        <w:lastRenderedPageBreak/>
        <w:t>INTRODUCTION</w:t>
      </w:r>
    </w:p>
    <w:p w14:paraId="059D6FA8" w14:textId="1A0944F3" w:rsidR="005F226B" w:rsidRPr="007363FF" w:rsidRDefault="000F0A05" w:rsidP="007363FF">
      <w:pPr>
        <w:pStyle w:val="a3"/>
        <w:adjustRightInd w:val="0"/>
        <w:snapToGrid w:val="0"/>
        <w:spacing w:line="360" w:lineRule="auto"/>
        <w:jc w:val="both"/>
        <w:rPr>
          <w:rFonts w:ascii="Book Antiqua" w:hAnsi="Book Antiqua" w:cs="Arial"/>
          <w:sz w:val="24"/>
          <w:szCs w:val="24"/>
        </w:rPr>
      </w:pPr>
      <w:r w:rsidRPr="00C407DA">
        <w:rPr>
          <w:rFonts w:ascii="Book Antiqua" w:hAnsi="Book Antiqua" w:cs="Arial"/>
          <w:sz w:val="24"/>
          <w:szCs w:val="24"/>
        </w:rPr>
        <w:t>Approximately 14400 patients are currently awaiting liver transplantation</w:t>
      </w:r>
      <w:r w:rsidR="00AE1B11" w:rsidRPr="00C407DA">
        <w:rPr>
          <w:rFonts w:ascii="Book Antiqua" w:hAnsi="Book Antiqua" w:cs="Arial"/>
          <w:sz w:val="24"/>
          <w:szCs w:val="24"/>
        </w:rPr>
        <w:t xml:space="preserve"> (LT)</w:t>
      </w:r>
      <w:r w:rsidRPr="00C407DA">
        <w:rPr>
          <w:rFonts w:ascii="Book Antiqua" w:hAnsi="Book Antiqua" w:cs="Arial"/>
          <w:sz w:val="24"/>
          <w:szCs w:val="24"/>
        </w:rPr>
        <w:t xml:space="preserve"> throughout the United States</w:t>
      </w:r>
      <w:r w:rsidR="0074363C" w:rsidRPr="00C407DA">
        <w:rPr>
          <w:rFonts w:ascii="Book Antiqua" w:hAnsi="Book Antiqua" w:cs="Arial"/>
          <w:sz w:val="24"/>
          <w:szCs w:val="24"/>
        </w:rPr>
        <w:fldChar w:fldCharType="begin"/>
      </w:r>
      <w:r w:rsidR="00722938" w:rsidRPr="00C407DA">
        <w:rPr>
          <w:rFonts w:ascii="Book Antiqua" w:hAnsi="Book Antiqua" w:cs="Arial"/>
          <w:sz w:val="24"/>
          <w:szCs w:val="24"/>
        </w:rPr>
        <w:instrText>ADDIN F1000_CSL_CITATION&lt;~#@#~&gt;[{"First":false,"Last":false,"URL":"https://optn.transplant.hrsa.gov/data/","accessed":{"date-parts":[["2019","2","8"]]},"authorYearDisplayFormat":false,"citation-label":"6396837","id":"6396837","invisible":false,"issued":{"date-parts":[[]]},"suppress-author":false,"title":"Data - OPTN","type":"webpage"}]</w:instrText>
      </w:r>
      <w:r w:rsidR="0074363C" w:rsidRPr="00C407DA">
        <w:rPr>
          <w:rFonts w:ascii="Book Antiqua" w:hAnsi="Book Antiqua" w:cs="Arial"/>
          <w:sz w:val="24"/>
          <w:szCs w:val="24"/>
        </w:rPr>
        <w:fldChar w:fldCharType="separate"/>
      </w:r>
      <w:r w:rsidR="00B203B5" w:rsidRPr="00C407DA">
        <w:rPr>
          <w:rFonts w:ascii="Book Antiqua" w:hAnsi="Book Antiqua" w:cs="Arial"/>
          <w:sz w:val="24"/>
          <w:szCs w:val="24"/>
          <w:vertAlign w:val="superscript"/>
        </w:rPr>
        <w:t>[1]</w:t>
      </w:r>
      <w:r w:rsidR="0074363C" w:rsidRPr="00C407DA">
        <w:rPr>
          <w:rFonts w:ascii="Book Antiqua" w:hAnsi="Book Antiqua" w:cs="Arial"/>
          <w:sz w:val="24"/>
          <w:szCs w:val="24"/>
        </w:rPr>
        <w:fldChar w:fldCharType="end"/>
      </w:r>
      <w:r w:rsidRPr="007363FF">
        <w:rPr>
          <w:rFonts w:ascii="Book Antiqua" w:hAnsi="Book Antiqua" w:cs="Arial"/>
          <w:sz w:val="24"/>
          <w:szCs w:val="24"/>
        </w:rPr>
        <w:t>. Despite an increase in the number of adult liver transplants perform</w:t>
      </w:r>
      <w:r w:rsidR="009B7D26" w:rsidRPr="007363FF">
        <w:rPr>
          <w:rFonts w:ascii="Book Antiqua" w:hAnsi="Book Antiqua" w:cs="Arial"/>
          <w:sz w:val="24"/>
          <w:szCs w:val="24"/>
        </w:rPr>
        <w:t xml:space="preserve">ed over the past several years, the demand for deceased-donor </w:t>
      </w:r>
      <w:r w:rsidR="00426C51" w:rsidRPr="00C407DA">
        <w:rPr>
          <w:rFonts w:ascii="Book Antiqua" w:hAnsi="Book Antiqua" w:cs="Arial"/>
          <w:sz w:val="24"/>
          <w:szCs w:val="24"/>
        </w:rPr>
        <w:t>LT</w:t>
      </w:r>
      <w:r w:rsidR="009B7D26" w:rsidRPr="007363FF">
        <w:rPr>
          <w:rFonts w:ascii="Book Antiqua" w:hAnsi="Book Antiqua" w:cs="Arial"/>
          <w:sz w:val="24"/>
          <w:szCs w:val="24"/>
        </w:rPr>
        <w:t xml:space="preserve"> continues to outweigh the available supply of donor organs.</w:t>
      </w:r>
      <w:r w:rsidR="00AE1B11" w:rsidRPr="007363FF">
        <w:rPr>
          <w:rFonts w:ascii="Book Antiqua" w:hAnsi="Book Antiqua" w:cs="Arial"/>
          <w:sz w:val="24"/>
          <w:szCs w:val="24"/>
        </w:rPr>
        <w:t xml:space="preserve"> While the number of deceased donors has increased slightly, the number of new patients listed for</w:t>
      </w:r>
      <w:r w:rsidR="000C2A7E" w:rsidRPr="007363FF">
        <w:rPr>
          <w:rFonts w:ascii="Book Antiqua" w:hAnsi="Book Antiqua" w:cs="Arial"/>
          <w:sz w:val="24"/>
          <w:szCs w:val="24"/>
        </w:rPr>
        <w:t xml:space="preserve"> LT continues to increase</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F1000_CSL_CITATION&lt;~#@#~&gt;[{"DOI":"10.1111/ajt.14559","First":false,"Last":false,"PMID":"29292603","abstract":"Data on adult liver transplants performed in the US in 2016 are no-table for (1) the largest total number of transplants performed (7841); (2) the shortest median waiting time in recent history (11.3 months); (3) continued reduction in waitlist registrations and transplants for hepatitis C-related indications; (4) increasing numbers of patients whose clinical profiles are consistent with non-alcoholic fatty liver disease; and (5) equilibration of transplant rates in patients with and without hepatocellular carcinoma. Despite the increase in the number of available organs, waitlist mortality remained an important concern. Graft survival rates continued to improve. In 2016, 723 new active candidates were added to the pediatric liver transplant waiting list, down from a peak of 826 in 2005. The number of prevalent candidates (on the list on December 31 of the given year) was stable, 408 active and 169 inactive. The number of pediatric living donor liver transplants decreased from a peak of 79 in 2015 to 62 in 2016, with most from donors closely related to the recipients. Graft survival continued to improve over the past decade among recipients of deceased donor and living donor livers.&lt;br&gt;&lt;br&gt; .","author":[{"family":"Kim","given":"W R"},{"family":"Lake","given":"J R"},{"family":"Smith","given":"J M"},{"family":"Schladt","given":"D P"},{"family":"Skeans","given":"M A"},{"family":"Harper","given":"A M"},{"family":"Wainright","given":"J L"},{"family":"Snyder","given":"J J"},{"family":"Israni","given":"A K"},{"family":"Kasiske","given":"B L"}],"authorYearDisplayFormat":false,"citation-label":"5843650","container-title":"American Journal of Transplantation","container-title-short":"Am. J. Transplant.","id":"5843650","invisible":false,"issued":{"date-parts":[["2018","1"]]},"journalAbbreviation":"Am. J. Transplant.","page":"172-253","suppress-author":false,"title":"OPTN/SRTR 2016 annual data report: liver.","type":"article-journal","volume":"18 Suppl 1"},{"DOI":"10.1111/ajt.13197","First":false,"Last":false,"PMID":"25626341","abstract":"During 2013, 10,479 adult candidates were added to the liver transplant waiting list, compared with 10,185 in 2012; 5921 liver transplants were performed, and 211 of the transplanted organs were from living donors. As of December 31, 2013, 15,027 candidates were registered on the waiting list, including 12,407 in active status. The most significant change in allocation policy affecting liver waitlist trends in 2013 was the Share 35 policy, whereby organs from an entire region are available to candidates with model for end-stage liver disease scores of 35 or higher. Median waiting time for such candidates decreased dramatically, from 14.0 months in 2012 to 1.4 months in 2013, but the effect on waitlist mortality is unknown. The number of new active pediatric candidates added to the liver transplant waiting list increased to 693 in 2013. Transplant rates were highest for candidates aged younger than 1 year (275.6 per 100 waitlist years) and lowest for candidates aged 11 to 17 years (97.0 per 100 waitlist years). Five-year graft survival was 71.7% for recipients aged younger than 1 year, 74.9% for ages 1 to 5 years, 78.9% ages 6 to 10 years, and 77.4% for ages 11 to 17 years. &lt;br&gt;&lt;br&gt;© Copyright 2015 The American Society of Transplantation and the American Society of Transplant Surgeons.","author":[{"family":"Kim","given":"W R"},{"family":"Lake","given":"J R"},{"family":"Smith","given":"J M"},{"family":"Skeans","given":"M A"},{"family":"Schladt","given":"D P"},{"family":"Edwards","given":"E B"},{"family":"Harper","given":"A M"},{"family":"Wainright","given":"J L"},{"family":"Snyder","given":"J J"},{"family":"Israni","given":"A K"},{"family":"Kasiske","given":"B L"}],"authorYearDisplayFormat":false,"citation-label":"6397179","container-title":"American Journal of Transplantation","container-title-short":"Am. J. Transplant.","id":"6397179","invisible":false,"issued":{"date-parts":[["2015","1"]]},"journalAbbreviation":"Am. J. Transplant.","page":"1-28","suppress-author":false,"title":"OPTN/SRTR 2013 Annual Data Report: liver.","type":"article-journal","volume":"15 Suppl 2"}]</w:instrText>
      </w:r>
      <w:r w:rsidR="0074363C" w:rsidRPr="007363FF">
        <w:rPr>
          <w:rFonts w:ascii="Book Antiqua" w:hAnsi="Book Antiqua" w:cs="Arial"/>
          <w:sz w:val="24"/>
          <w:szCs w:val="24"/>
        </w:rPr>
        <w:fldChar w:fldCharType="separate"/>
      </w:r>
      <w:r w:rsidR="00B203B5" w:rsidRPr="007363FF">
        <w:rPr>
          <w:rFonts w:ascii="Book Antiqua" w:hAnsi="Book Antiqua" w:cs="Arial"/>
          <w:sz w:val="24"/>
          <w:szCs w:val="24"/>
          <w:vertAlign w:val="superscript"/>
        </w:rPr>
        <w:t>[2,3]</w:t>
      </w:r>
      <w:r w:rsidR="0074363C" w:rsidRPr="007363FF">
        <w:rPr>
          <w:rFonts w:ascii="Book Antiqua" w:hAnsi="Book Antiqua" w:cs="Arial"/>
          <w:sz w:val="24"/>
          <w:szCs w:val="24"/>
        </w:rPr>
        <w:fldChar w:fldCharType="end"/>
      </w:r>
      <w:r w:rsidR="00AE1B11" w:rsidRPr="007363FF">
        <w:rPr>
          <w:rFonts w:ascii="Book Antiqua" w:hAnsi="Book Antiqua" w:cs="Arial"/>
          <w:sz w:val="24"/>
          <w:szCs w:val="24"/>
        </w:rPr>
        <w:t>.</w:t>
      </w:r>
      <w:r w:rsidR="00564EA8" w:rsidRPr="007363FF">
        <w:rPr>
          <w:rFonts w:ascii="Book Antiqua" w:hAnsi="Book Antiqua" w:cs="Arial"/>
          <w:sz w:val="24"/>
          <w:szCs w:val="24"/>
        </w:rPr>
        <w:t xml:space="preserve"> Further</w:t>
      </w:r>
      <w:r w:rsidR="000C2A7E" w:rsidRPr="007363FF">
        <w:rPr>
          <w:rFonts w:ascii="Book Antiqua" w:hAnsi="Book Antiqua" w:cs="Arial"/>
          <w:sz w:val="24"/>
          <w:szCs w:val="24"/>
        </w:rPr>
        <w:t>more</w:t>
      </w:r>
      <w:r w:rsidR="00564EA8" w:rsidRPr="007363FF">
        <w:rPr>
          <w:rFonts w:ascii="Book Antiqua" w:hAnsi="Book Antiqua" w:cs="Arial"/>
          <w:sz w:val="24"/>
          <w:szCs w:val="24"/>
        </w:rPr>
        <w:t>, waitlist mortality remains a con</w:t>
      </w:r>
      <w:r w:rsidR="00D42D35" w:rsidRPr="007363FF">
        <w:rPr>
          <w:rFonts w:ascii="Book Antiqua" w:hAnsi="Book Antiqua" w:cs="Arial"/>
          <w:sz w:val="24"/>
          <w:szCs w:val="24"/>
        </w:rPr>
        <w:t>cern;</w:t>
      </w:r>
      <w:r w:rsidR="006D36A0" w:rsidRPr="007363FF">
        <w:rPr>
          <w:rFonts w:ascii="Book Antiqua" w:hAnsi="Book Antiqua" w:cs="Arial"/>
          <w:sz w:val="24"/>
          <w:szCs w:val="24"/>
        </w:rPr>
        <w:t xml:space="preserve"> o</w:t>
      </w:r>
      <w:r w:rsidR="00564EA8" w:rsidRPr="007363FF">
        <w:rPr>
          <w:rFonts w:ascii="Book Antiqua" w:hAnsi="Book Antiqua" w:cs="Arial"/>
          <w:sz w:val="24"/>
          <w:szCs w:val="24"/>
        </w:rPr>
        <w:t>f patients who were waitlisted for LT in 2013, only 55% underwent LT 3 years later, while 13% (1362 patients) died and 19% (1991 patients) were removed from the LT list, most commonly for being too ill to undergo transplantation</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F1000_CSL_CITATION&lt;~#@#~&gt;[{"DOI":"10.1111/ajt.14559","First":false,"Last":false,"PMID":"29292603","abstract":"Data on adult liver transplants performed in the US in 2016 are no-table for (1) the largest total number of transplants performed (7841); (2) the shortest median waiting time in recent history (11.3 months); (3) continued reduction in waitlist registrations and transplants for hepatitis C-related indications; (4) increasing numbers of patients whose clinical profiles are consistent with non-alcoholic fatty liver disease; and (5) equilibration of transplant rates in patients with and without hepatocellular carcinoma. Despite the increase in the number of available organs, waitlist mortality remained an important concern. Graft survival rates continued to improve. In 2016, 723 new active candidates were added to the pediatric liver transplant waiting list, down from a peak of 826 in 2005. The number of prevalent candidates (on the list on December 31 of the given year) was stable, 408 active and 169 inactive. The number of pediatric living donor liver transplants decreased from a peak of 79 in 2015 to 62 in 2016, with most from donors closely related to the recipients. Graft survival continued to improve over the past decade among recipients of deceased donor and living donor livers.&lt;br&gt;&lt;br&gt; .","author":[{"family":"Kim","given":"W R"},{"family":"Lake","given":"J R"},{"family":"Smith","given":"J M"},{"family":"Schladt","given":"D P"},{"family":"Skeans","given":"M A"},{"family":"Harper","given":"A M"},{"family":"Wainright","given":"J L"},{"family":"Snyder","given":"J J"},{"family":"Israni","given":"A K"},{"family":"Kasiske","given":"B L"}],"authorYearDisplayFormat":false,"citation-label":"5843650","container-title":"American Journal of Transplantation","container-title-short":"Am. J. Transplant.","id":"5843650","invisible":false,"issued":{"date-parts":[["2018","1"]]},"journalAbbreviation":"Am. J. Transplant.","page":"172-253","suppress-author":false,"title":"OPTN/SRTR 2016 annual data report: liver.","type":"article-journal","volume":"18 Suppl 1"}]</w:instrText>
      </w:r>
      <w:r w:rsidR="0074363C" w:rsidRPr="007363FF">
        <w:rPr>
          <w:rFonts w:ascii="Book Antiqua" w:hAnsi="Book Antiqua" w:cs="Arial"/>
          <w:sz w:val="24"/>
          <w:szCs w:val="24"/>
        </w:rPr>
        <w:fldChar w:fldCharType="separate"/>
      </w:r>
      <w:r w:rsidR="00B203B5" w:rsidRPr="007363FF">
        <w:rPr>
          <w:rFonts w:ascii="Book Antiqua" w:hAnsi="Book Antiqua" w:cs="Arial"/>
          <w:sz w:val="24"/>
          <w:szCs w:val="24"/>
          <w:vertAlign w:val="superscript"/>
        </w:rPr>
        <w:t>[2]</w:t>
      </w:r>
      <w:r w:rsidR="0074363C" w:rsidRPr="007363FF">
        <w:rPr>
          <w:rFonts w:ascii="Book Antiqua" w:hAnsi="Book Antiqua" w:cs="Arial"/>
          <w:sz w:val="24"/>
          <w:szCs w:val="24"/>
        </w:rPr>
        <w:fldChar w:fldCharType="end"/>
      </w:r>
      <w:r w:rsidR="00564EA8" w:rsidRPr="007363FF">
        <w:rPr>
          <w:rFonts w:ascii="Book Antiqua" w:hAnsi="Book Antiqua" w:cs="Arial"/>
          <w:sz w:val="24"/>
          <w:szCs w:val="24"/>
        </w:rPr>
        <w:t xml:space="preserve">. </w:t>
      </w:r>
      <w:r w:rsidR="00C505EF" w:rsidRPr="007363FF">
        <w:rPr>
          <w:rFonts w:ascii="Book Antiqua" w:hAnsi="Book Antiqua" w:cs="Arial"/>
          <w:sz w:val="24"/>
          <w:szCs w:val="24"/>
        </w:rPr>
        <w:t>Th</w:t>
      </w:r>
      <w:r w:rsidR="001821A7" w:rsidRPr="007363FF">
        <w:rPr>
          <w:rFonts w:ascii="Book Antiqua" w:hAnsi="Book Antiqua" w:cs="Arial"/>
          <w:sz w:val="24"/>
          <w:szCs w:val="24"/>
        </w:rPr>
        <w:t>e increase in waitlist registration</w:t>
      </w:r>
      <w:r w:rsidR="00C505EF" w:rsidRPr="007363FF">
        <w:rPr>
          <w:rFonts w:ascii="Book Antiqua" w:hAnsi="Book Antiqua" w:cs="Arial"/>
          <w:sz w:val="24"/>
          <w:szCs w:val="24"/>
        </w:rPr>
        <w:t xml:space="preserve"> appears to be driven by an increase in the number of new listings for patients aged &gt;</w:t>
      </w:r>
      <w:r w:rsidR="00641CF3">
        <w:rPr>
          <w:rFonts w:ascii="Book Antiqua" w:hAnsi="Book Antiqua" w:cs="Arial"/>
          <w:sz w:val="24"/>
          <w:szCs w:val="24"/>
        </w:rPr>
        <w:t xml:space="preserve"> </w:t>
      </w:r>
      <w:r w:rsidR="00C505EF" w:rsidRPr="007363FF">
        <w:rPr>
          <w:rFonts w:ascii="Book Antiqua" w:hAnsi="Book Antiqua" w:cs="Arial"/>
          <w:sz w:val="24"/>
          <w:szCs w:val="24"/>
        </w:rPr>
        <w:t>65</w:t>
      </w:r>
      <w:r w:rsidR="00B33F8E" w:rsidRPr="007363FF">
        <w:rPr>
          <w:rFonts w:ascii="Book Antiqua" w:hAnsi="Book Antiqua" w:cs="Arial"/>
          <w:sz w:val="24"/>
          <w:szCs w:val="24"/>
        </w:rPr>
        <w:t xml:space="preserve"> years</w:t>
      </w:r>
      <w:r w:rsidR="00C505EF" w:rsidRPr="007363FF">
        <w:rPr>
          <w:rFonts w:ascii="Book Antiqua" w:hAnsi="Book Antiqua" w:cs="Arial"/>
          <w:sz w:val="24"/>
          <w:szCs w:val="24"/>
        </w:rPr>
        <w:t>, as well as an increase in the proportion of patients listed with a diagnosis of cirrhosi</w:t>
      </w:r>
      <w:r w:rsidR="00B33F8E" w:rsidRPr="007363FF">
        <w:rPr>
          <w:rFonts w:ascii="Book Antiqua" w:hAnsi="Book Antiqua" w:cs="Arial"/>
          <w:sz w:val="24"/>
          <w:szCs w:val="24"/>
        </w:rPr>
        <w:t>s due to non-alcoholic steatohepatitis</w:t>
      </w:r>
      <w:r w:rsidR="00C505EF" w:rsidRPr="007363FF">
        <w:rPr>
          <w:rFonts w:ascii="Book Antiqua" w:hAnsi="Book Antiqua" w:cs="Arial"/>
          <w:sz w:val="24"/>
          <w:szCs w:val="24"/>
        </w:rPr>
        <w:t xml:space="preserve"> and alcohol-related liver disease</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F1000_CSL_CITATION&lt;~#@#~&gt;[{"DOI":"10.1097/TP.0000000000002497","First":false,"Last":false,"PMID":"30451739","abstract":"&lt;strong&gt;BACKGROUND:&lt;/strong&gt; With increasing US adiposity, nonalcoholic steatohepatitis (NASH) is now a leading liver transplant (LT) indication. Given its association with hepatocellular carcinoma (HCC), the burden of NASH is substantial. We analyzed birth cohort effects among NASH LT registrants, with and without HCC.&lt;br&gt;&lt;br&gt;&lt;strong&gt;METHODS:&lt;/strong&gt; All new LT registrants in United Network for Organ Sharing (1995-2015) were identified. Birth cohorts were defined as: 1936-1940, 1941-1945, 1946-1950, 1951-1955, 1956-1960, 1961-1965, 1966-1970, 1971-2015. Poisson regression examined trends in LT registration, by disease etiology (NASH, hepatitis C virus [HCV], other liver disease etiologies [OTHER]), and HCC.&lt;br&gt;&lt;br&gt;&lt;strong&gt;RESULTS:&lt;/strong&gt; We identified 182 368 LT registrants with median age of 52 years (range, 0-86 years). Nine percent (n = 16 160) had NASH, 38% (n= 69 004) HCV, 53% (n = 97 204) OTHER. HCC was present in: 13% (n = 2181), 27% (n = 18 295), and 11% (n = 10 902), of NASH, HCV, and OTHER, respectively. Liver transplant registration for HCC increased significantly from 2002 to 2015 across all etiologies (NASH, 6%-18%; HCV, 19%-51%; OTHER, 9%-16%; P &lt;  0.0001 for all). NASH LT registrations, with and without HCC, increased sharply in patients born from 1945 to 2015. This upward NASH trend is in stark contrast to HCV LT registrations, which showed a general decline. Notably, a sharp rise in LT registrations is occurring among younger NASH patients (35-55 years), mirroring the increasing adiposity across all age groups in the US population.&lt;br&gt;&lt;br&gt;&lt;strong&gt;CONCLUSIONS:&lt;/strong&gt; NASH LT registrants, with and without HCC, have increased over time, and are projected to increase unabated in the future, notably among younger birth cohorts (\"Adipose Wave Effect\"). HCC LT registration patterns demonstrate that, compared with HCV, NASH patients encompass younger birth cohorts. These data illustrate that the full impact of NASH on demand for LT is yet to be realized.","author":[{"family":"Shingina","given":"Alexandra"},{"family":"DeWitt","given":"Peter E"},{"family":"Dodge","given":"Jennifer L"},{"family":"Biggins","given":"Scott W"},{"family":"Gralla","given":"Jane"},{"family":"Sprague","given":"David"},{"family":"Bambha","given":"Kiran"}],"authorYearDisplayFormat":false,"citation-label":"6397794","container-title":"Transplantation","container-title-short":"Transplantation","id":"6397794","invisible":false,"issue":"1","issued":{"date-parts":[["2019","1"]]},"journalAbbreviation":"Transplantation","page":"140-148","suppress-author":false,"title":"Future trends in demand for liver transplant: birth cohort effects among patients with NASH and HCC.","type":"article-journal","volume":"103"},{"DOI":"10.1001/jamainternmed.2018.6536","First":false,"Last":false,"PMID":"30667468","author":[{"family":"Lee","given":"Brian P"},{"family":"Vittinghoff","given":"Eric"},{"family":"Dodge","given":"Jennifer L"},{"family":"Cullaro","given":"Giuseppe"},{"family":"Terrault","given":"Norah A"}],"authorYearDisplayFormat":false,"citation-label":"6397810","container-title":"JAMA internal medicine","container-title-short":"JAMA Intern. Med.","id":"6397810","invisible":false,"issued":{"date-parts":[["2019","1","22"]]},"journalAbbreviation":"JAMA Intern. Med.","suppress-author":false,"title":"National Trends and Long-term Outcomes of Liver Transplant for Alcohol-Associated Liver Disease in the United States.","type":"article-journal"}]</w:instrText>
      </w:r>
      <w:r w:rsidR="0074363C" w:rsidRPr="007363FF">
        <w:rPr>
          <w:rFonts w:ascii="Book Antiqua" w:hAnsi="Book Antiqua" w:cs="Arial"/>
          <w:sz w:val="24"/>
          <w:szCs w:val="24"/>
        </w:rPr>
        <w:fldChar w:fldCharType="separate"/>
      </w:r>
      <w:r w:rsidR="00B203B5" w:rsidRPr="007363FF">
        <w:rPr>
          <w:rFonts w:ascii="Book Antiqua" w:hAnsi="Book Antiqua" w:cs="Arial"/>
          <w:sz w:val="24"/>
          <w:szCs w:val="24"/>
          <w:vertAlign w:val="superscript"/>
        </w:rPr>
        <w:t>[4,5]</w:t>
      </w:r>
      <w:r w:rsidR="0074363C" w:rsidRPr="007363FF">
        <w:rPr>
          <w:rFonts w:ascii="Book Antiqua" w:hAnsi="Book Antiqua" w:cs="Arial"/>
          <w:sz w:val="24"/>
          <w:szCs w:val="24"/>
        </w:rPr>
        <w:fldChar w:fldCharType="end"/>
      </w:r>
      <w:r w:rsidR="00C505EF" w:rsidRPr="007363FF">
        <w:rPr>
          <w:rFonts w:ascii="Book Antiqua" w:hAnsi="Book Antiqua" w:cs="Arial"/>
          <w:sz w:val="24"/>
          <w:szCs w:val="24"/>
        </w:rPr>
        <w:t>.</w:t>
      </w:r>
      <w:r w:rsidR="005F226B" w:rsidRPr="007363FF">
        <w:rPr>
          <w:rFonts w:ascii="Book Antiqua" w:hAnsi="Book Antiqua" w:cs="Arial"/>
          <w:sz w:val="24"/>
          <w:szCs w:val="24"/>
        </w:rPr>
        <w:t xml:space="preserve"> The demand for LT among these patient groups is projected to increase in the future, thus driving the need to investigate potential means of expanding the pool of potential donors.</w:t>
      </w:r>
      <w:r w:rsidR="00845E9D" w:rsidRPr="007363FF">
        <w:rPr>
          <w:rFonts w:ascii="Book Antiqua" w:hAnsi="Book Antiqua" w:cs="Arial"/>
          <w:sz w:val="24"/>
          <w:szCs w:val="24"/>
        </w:rPr>
        <w:t xml:space="preserve"> One mechanism for doing so is </w:t>
      </w:r>
      <w:r w:rsidR="00223229" w:rsidRPr="007363FF">
        <w:rPr>
          <w:rFonts w:ascii="Book Antiqua" w:hAnsi="Book Antiqua" w:cs="Arial"/>
          <w:sz w:val="24"/>
          <w:szCs w:val="24"/>
        </w:rPr>
        <w:t xml:space="preserve">utilizing </w:t>
      </w:r>
      <w:r w:rsidR="00845E9D" w:rsidRPr="007363FF">
        <w:rPr>
          <w:rFonts w:ascii="Book Antiqua" w:hAnsi="Book Antiqua" w:cs="Arial"/>
          <w:sz w:val="24"/>
          <w:szCs w:val="24"/>
        </w:rPr>
        <w:t xml:space="preserve">organs from </w:t>
      </w:r>
      <w:r w:rsidR="00B33F8E" w:rsidRPr="007363FF">
        <w:rPr>
          <w:rFonts w:ascii="Book Antiqua" w:hAnsi="Book Antiqua" w:cs="Arial"/>
          <w:sz w:val="24"/>
          <w:szCs w:val="24"/>
        </w:rPr>
        <w:t xml:space="preserve">donors that previously would have been discarded or used only in exceptional circumstances such as </w:t>
      </w:r>
      <w:r w:rsidR="00845E9D" w:rsidRPr="007363FF">
        <w:rPr>
          <w:rFonts w:ascii="Book Antiqua" w:hAnsi="Book Antiqua" w:cs="Arial"/>
          <w:sz w:val="24"/>
          <w:szCs w:val="24"/>
        </w:rPr>
        <w:t>hepatitis C (HCV)-positive</w:t>
      </w:r>
      <w:r w:rsidR="00B33F8E" w:rsidRPr="007363FF">
        <w:rPr>
          <w:rFonts w:ascii="Book Antiqua" w:hAnsi="Book Antiqua" w:cs="Arial"/>
          <w:sz w:val="24"/>
          <w:szCs w:val="24"/>
        </w:rPr>
        <w:t>, hepatitis B (HBV)-positive, and human immunodeficiency virus (HIV)-positive</w:t>
      </w:r>
      <w:r w:rsidR="00845E9D" w:rsidRPr="007363FF">
        <w:rPr>
          <w:rFonts w:ascii="Book Antiqua" w:hAnsi="Book Antiqua" w:cs="Arial"/>
          <w:sz w:val="24"/>
          <w:szCs w:val="24"/>
        </w:rPr>
        <w:t xml:space="preserve"> donors</w:t>
      </w:r>
      <w:r w:rsidR="00B33F8E" w:rsidRPr="007363FF">
        <w:rPr>
          <w:rFonts w:ascii="Book Antiqua" w:hAnsi="Book Antiqua" w:cs="Arial"/>
          <w:sz w:val="24"/>
          <w:szCs w:val="24"/>
        </w:rPr>
        <w:t xml:space="preserve">. The advent of highly effective anti-viral therapy has meant that these organs can be used with excellent outcomes in HCV, HBV or HIV infected recipients and in some cases </w:t>
      </w:r>
      <w:r w:rsidR="00B50679" w:rsidRPr="007363FF">
        <w:rPr>
          <w:rFonts w:ascii="Book Antiqua" w:hAnsi="Book Antiqua" w:cs="Arial"/>
          <w:sz w:val="24"/>
          <w:szCs w:val="24"/>
        </w:rPr>
        <w:t>uninfected recipients</w:t>
      </w:r>
      <w:r w:rsidR="00845E9D" w:rsidRPr="007363FF">
        <w:rPr>
          <w:rFonts w:ascii="Book Antiqua" w:hAnsi="Book Antiqua" w:cs="Arial"/>
          <w:sz w:val="24"/>
          <w:szCs w:val="24"/>
        </w:rPr>
        <w:t>.</w:t>
      </w:r>
    </w:p>
    <w:p w14:paraId="0CA628E9" w14:textId="3F98EAAC" w:rsidR="00B33F8E" w:rsidRPr="007363FF" w:rsidRDefault="00B33F8E" w:rsidP="007363FF">
      <w:pPr>
        <w:adjustRightInd w:val="0"/>
        <w:snapToGrid w:val="0"/>
        <w:spacing w:after="0" w:line="360" w:lineRule="auto"/>
        <w:jc w:val="both"/>
        <w:rPr>
          <w:rFonts w:ascii="Book Antiqua" w:hAnsi="Book Antiqua" w:cs="Arial"/>
          <w:b/>
          <w:sz w:val="24"/>
          <w:szCs w:val="24"/>
        </w:rPr>
      </w:pPr>
    </w:p>
    <w:p w14:paraId="5D7C20A6" w14:textId="150CF21F" w:rsidR="002E1146" w:rsidRPr="007363FF" w:rsidRDefault="00641CF3" w:rsidP="007363FF">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b/>
          <w:sz w:val="24"/>
          <w:szCs w:val="24"/>
        </w:rPr>
        <w:t>HCV-POSITIVE DONORS</w:t>
      </w:r>
    </w:p>
    <w:p w14:paraId="162C5368" w14:textId="3A30762C" w:rsidR="002E1146" w:rsidRPr="007363FF" w:rsidRDefault="003E4DFF" w:rsidP="007363FF">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HCV-positive donors encompass donors at any stage of HCV infection</w:t>
      </w:r>
      <w:r w:rsidR="008165EB" w:rsidRPr="007363FF">
        <w:rPr>
          <w:rFonts w:ascii="Book Antiqua" w:hAnsi="Book Antiqua" w:cs="Arial"/>
          <w:sz w:val="24"/>
          <w:szCs w:val="24"/>
        </w:rPr>
        <w:t xml:space="preserve"> (</w:t>
      </w:r>
      <w:r w:rsidR="00455659" w:rsidRPr="007363FF">
        <w:rPr>
          <w:rFonts w:ascii="Book Antiqua" w:hAnsi="Book Antiqua" w:cs="Arial"/>
          <w:sz w:val="24"/>
          <w:szCs w:val="24"/>
        </w:rPr>
        <w:t>T</w:t>
      </w:r>
      <w:r w:rsidR="008165EB" w:rsidRPr="007363FF">
        <w:rPr>
          <w:rFonts w:ascii="Book Antiqua" w:hAnsi="Book Antiqua" w:cs="Arial"/>
          <w:sz w:val="24"/>
          <w:szCs w:val="24"/>
        </w:rPr>
        <w:t>able 1)</w:t>
      </w:r>
      <w:r w:rsidRPr="007363FF">
        <w:rPr>
          <w:rFonts w:ascii="Book Antiqua" w:hAnsi="Book Antiqua" w:cs="Arial"/>
          <w:sz w:val="24"/>
          <w:szCs w:val="24"/>
        </w:rPr>
        <w:t>. This includes patients who are seropositive for anti-</w:t>
      </w:r>
      <w:r w:rsidR="000C2A7E" w:rsidRPr="007363FF">
        <w:rPr>
          <w:rFonts w:ascii="Book Antiqua" w:hAnsi="Book Antiqua" w:cs="Arial"/>
          <w:sz w:val="24"/>
          <w:szCs w:val="24"/>
        </w:rPr>
        <w:t>HCV antibody (Ab) only (</w:t>
      </w:r>
      <w:r w:rsidR="000C2A7E" w:rsidRPr="00641CF3">
        <w:rPr>
          <w:rFonts w:ascii="Book Antiqua" w:hAnsi="Book Antiqua" w:cs="Arial"/>
          <w:i/>
          <w:iCs/>
          <w:sz w:val="24"/>
          <w:szCs w:val="24"/>
        </w:rPr>
        <w:t>i.e.</w:t>
      </w:r>
      <w:r w:rsidR="00641CF3">
        <w:rPr>
          <w:rFonts w:ascii="Book Antiqua" w:hAnsi="Book Antiqua" w:cs="Arial"/>
          <w:sz w:val="24"/>
          <w:szCs w:val="24"/>
        </w:rPr>
        <w:t>,</w:t>
      </w:r>
      <w:r w:rsidR="000C2A7E" w:rsidRPr="007363FF">
        <w:rPr>
          <w:rFonts w:ascii="Book Antiqua" w:hAnsi="Book Antiqua" w:cs="Arial"/>
          <w:sz w:val="24"/>
          <w:szCs w:val="24"/>
        </w:rPr>
        <w:t xml:space="preserve"> </w:t>
      </w:r>
      <w:r w:rsidRPr="007363FF">
        <w:rPr>
          <w:rFonts w:ascii="Book Antiqua" w:hAnsi="Book Antiqua" w:cs="Arial"/>
          <w:sz w:val="24"/>
          <w:szCs w:val="24"/>
        </w:rPr>
        <w:t>resolved infection), or those who are HCV-viremic, either in the acute (anti-HCV Ab-negative) or chronic (anti-HCV Ab-positive) phase of infection</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F1000_CSL_CITATION&lt;~#@#~&gt;[{"DOI":"10.1111/ajt.14381","First":false,"Last":false,"PMID":"28556422","abstract":"The availability of direct-acting antiviral agents for the treatment of hepatitis C virus (HCV) infection has resulted in a profound shift in the approach to the management of this infection. These changes have affected the practice of solid organ transplantation by altering the framework by which patients with end-stage organ disease are managed and receive organ transplants. The high level of safety and efficacy of these medications in patients with chronic HCV infection provides the opportunity to explore their use in the setting of transplanting organs from HCV-viremic patients into non-HCV-viremic recipients. Because these organs are frequently discarded and typically come from younger donors, this approach has the potential to save lives on the solid organ transplant waitlist. Therefore, an urgent need exists for prospective research protocols that study the risk versus benefit of using organs for hepatitis C-infected donors. In response to this rapidly changing practice and the need for scientific study and consensus, the American Society of Transplantation convened a meeting of experts to review current data and develop the framework for the study of using HCV viremic organs in solid organ transplantation.&lt;br&gt;&lt;br&gt;© 2017 The American Society of Transplantation and the American Society of Transplant Surgeons.","author":[{"family":"Levitsky","given":"J"},{"family":"Formica","given":"R N"},{"family":"Bloom","given":"R D"},{"family":"Charlton","given":"M"},{"family":"Curry","given":"M"},{"family":"Friedewald","given":"J"},{"family":"Friedman","given":"J"},{"family":"Goldberg","given":"D"},{"family":"Hall","given":"S"},{"family":"Ison","given":"M"},{"family":"Kaiser","given":"T"},{"family":"Klassen","given":"D"},{"family":"Klintmalm","given":"G"},{"family":"Kobashigawa","given":"J"},{"family":"Liapakis","given":"A"},{"family":"O'Conner","given":"K"},{"family":"Reese","given":"P"},{"family":"Stewart","given":"D"},{"family":"Terrault","given":"N"},{"family":"Theodoropoulos","given":"N"},{"family":"Trotter","given":"J"},{"family":"Verna","given":"E"},{"family":"Volk","given":"M"}],"authorYearDisplayFormat":false,"citation-label":"4302868","container-title":"American Journal of Transplantation","container-title-short":"Am. J. Transplant.","id":"4302868","invisible":false,"issue":"11","issued":{"date-parts":[["2017","11"]]},"journalAbbreviation":"Am. J. Transplant.","page":"2790-2802","suppress-author":false,"title":"The american society of transplantation consensus conference on the use of hepatitis C viremic donors in solid organ transplantation.","type":"article-journal","volume":"17"}]</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[6]</w:t>
      </w:r>
      <w:r w:rsidR="0074363C" w:rsidRPr="007363FF">
        <w:rPr>
          <w:rFonts w:ascii="Book Antiqua" w:hAnsi="Book Antiqua" w:cs="Arial"/>
          <w:sz w:val="24"/>
          <w:szCs w:val="24"/>
        </w:rPr>
        <w:fldChar w:fldCharType="end"/>
      </w:r>
      <w:r w:rsidRPr="007363FF">
        <w:rPr>
          <w:rFonts w:ascii="Book Antiqua" w:hAnsi="Book Antiqua" w:cs="Arial"/>
          <w:sz w:val="24"/>
          <w:szCs w:val="24"/>
        </w:rPr>
        <w:t xml:space="preserve">. </w:t>
      </w:r>
      <w:r w:rsidR="00443797" w:rsidRPr="007363FF">
        <w:rPr>
          <w:rFonts w:ascii="Book Antiqua" w:hAnsi="Book Antiqua" w:cs="Arial"/>
          <w:sz w:val="24"/>
          <w:szCs w:val="24"/>
        </w:rPr>
        <w:t>The distinction between a viremic donor and one who is seropositive</w:t>
      </w:r>
      <w:r w:rsidR="00B50679" w:rsidRPr="007363FF">
        <w:rPr>
          <w:rFonts w:ascii="Book Antiqua" w:hAnsi="Book Antiqua" w:cs="Arial"/>
          <w:sz w:val="24"/>
          <w:szCs w:val="24"/>
        </w:rPr>
        <w:t>-</w:t>
      </w:r>
      <w:r w:rsidR="00443797" w:rsidRPr="007363FF">
        <w:rPr>
          <w:rFonts w:ascii="Book Antiqua" w:hAnsi="Book Antiqua" w:cs="Arial"/>
          <w:sz w:val="24"/>
          <w:szCs w:val="24"/>
        </w:rPr>
        <w:t>only is critical</w:t>
      </w:r>
      <w:r w:rsidR="00CE5B1F" w:rsidRPr="007363FF">
        <w:rPr>
          <w:rFonts w:ascii="Book Antiqua" w:hAnsi="Book Antiqua" w:cs="Arial"/>
          <w:sz w:val="24"/>
          <w:szCs w:val="24"/>
        </w:rPr>
        <w:t xml:space="preserve"> when discussing transplantation of an organ from an HCV-positive donor to an uninfected recipient</w:t>
      </w:r>
      <w:r w:rsidR="00443797" w:rsidRPr="007363FF">
        <w:rPr>
          <w:rFonts w:ascii="Book Antiqua" w:hAnsi="Book Antiqua" w:cs="Arial"/>
          <w:sz w:val="24"/>
          <w:szCs w:val="24"/>
        </w:rPr>
        <w:t xml:space="preserve">, as the risks of disease </w:t>
      </w:r>
      <w:r w:rsidR="00443797" w:rsidRPr="007363FF">
        <w:rPr>
          <w:rFonts w:ascii="Book Antiqua" w:hAnsi="Book Antiqua" w:cs="Arial"/>
          <w:sz w:val="24"/>
          <w:szCs w:val="24"/>
        </w:rPr>
        <w:lastRenderedPageBreak/>
        <w:t xml:space="preserve">transmission differ greatly. </w:t>
      </w:r>
      <w:r w:rsidR="00F345C9" w:rsidRPr="007363FF">
        <w:rPr>
          <w:rFonts w:ascii="Book Antiqua" w:hAnsi="Book Antiqua" w:cs="Arial"/>
          <w:sz w:val="24"/>
          <w:szCs w:val="24"/>
        </w:rPr>
        <w:t xml:space="preserve">While the risk of </w:t>
      </w:r>
      <w:r w:rsidR="00342D09" w:rsidRPr="007363FF">
        <w:rPr>
          <w:rFonts w:ascii="Book Antiqua" w:hAnsi="Book Antiqua" w:cs="Arial"/>
          <w:sz w:val="24"/>
          <w:szCs w:val="24"/>
        </w:rPr>
        <w:t>HCV infection in the recipient approaches 100% when receiving an organ from an HCV-viremic donor, if the donor is only HCV-seropositive and aviremic, the risk of transmission is much lower, ranging from 0</w:t>
      </w:r>
      <w:r w:rsidR="00641CF3">
        <w:rPr>
          <w:rFonts w:ascii="Book Antiqua" w:hAnsi="Book Antiqua" w:cs="Arial"/>
          <w:sz w:val="24"/>
          <w:szCs w:val="24"/>
        </w:rPr>
        <w:t>-</w:t>
      </w:r>
      <w:r w:rsidR="00342D09" w:rsidRPr="007363FF">
        <w:rPr>
          <w:rFonts w:ascii="Book Antiqua" w:hAnsi="Book Antiqua" w:cs="Arial"/>
          <w:sz w:val="24"/>
          <w:szCs w:val="24"/>
        </w:rPr>
        <w:t>16%</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F1000_CSL_CITATION&lt;~#@#~&gt;[{"DOI":"10.1002/hep.29704","First":false,"Last":false,"PMID":"29205441","abstract":"Breakthroughs in Hepatitis C virus (HCV) treatment and rising rates of intravenous drug use have led to an increase in the number of organ donors that are HCV antibody positive but serum nucleic acid test (NAT) negative. The risk of HCV transmission from the liver grafts of these donors to recipients is unknown. To estimate the incidence of HCV transmission, we prospectively followed 26 consecutive HCV antibody (n=25) or NAT (n =1) negative transplant recipients who received a liver graft from donors that were HCV antibody positive but serum NAT negative between March 2016 and March 2017. HCV transmission was considered to have occurred if recipients exhibited a positive HCV-polymerase chain reaction test by 3 months following transplantation. Drug overdose was listed as the cause of death in 15 (60%) of the donors. One recipient died eighteen days after transplantation from primary graft non-function and was excluded. Of the remaining 25 recipients, HCV transmission occurred in 4 (16%), at a median follow up of 11 months, all from donors who died of drug overdose. Three of these patients were treated with direct acting antiviral therapy, with two achieving a sustained virologic response and one an end-of-treatment response. One patient with HCV transmission died after a complicated post-operative course and did not receive antiviral therapy.&lt;br&gt;&lt;br&gt;&lt;strong&gt;CONCLUSIONS:&lt;/strong&gt; In this prospective cohort of non-HCV liver recipients receiving grafts from HCV antibody positive/NAT negative donors, the incidence of HCV transmission was 16%, with the highest risk conferred by donors who died of drug overdose. Given the availability of safe and highly effective antiviral therapies, use of such organs could be considered to expand the donor pool. This article is protected by copyright. All rights reserved.&lt;br&gt;&lt;br&gt;© 2017 by the American Association for the Study of Liver Diseases.","author":[{"family":"Bari","given":"Khurram"},{"family":"Luckett","given":"Keith"},{"family":"Kaiser","given":"Tiffany"},{"family":"Diwan","given":"Tayyab"},{"family":"Cuffy","given":"Madison"},{"family":"Schoech","given":"Michael"},{"family":"Safdar","given":"Kamran"},{"family":"Blackard","given":"Jason T"},{"family":"Apewokin","given":"Senu"},{"family":"Paterno","given":"Flavio"},{"family":"Sherman","given":"Kenneth E"},{"family":"Zucker","given":"Stephen D"},{"family":"Anwar","given":"Nadeem"},{"family":"Shah","given":"Shimul A"}],"authorYearDisplayFormat":false,"citation-label":"4730160","container-title":"Hepatology","container-title-short":"Hepatology","id":"4730160","invisible":false,"issue":"5","issued":{"date-parts":[["2017","12","2"]]},"journalAbbreviation":"Hepatology","page":"1673-1682","suppress-author":false,"title":"Hepatitis C Transmission from Seropositive, Non-Viremic Donors to Non-Hepatitis C Liver Transplant Recipients.","type":"article-journal","volume":"67"}]</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[7]</w:t>
      </w:r>
      <w:r w:rsidR="0074363C" w:rsidRPr="007363FF">
        <w:rPr>
          <w:rFonts w:ascii="Book Antiqua" w:hAnsi="Book Antiqua" w:cs="Arial"/>
          <w:sz w:val="24"/>
          <w:szCs w:val="24"/>
        </w:rPr>
        <w:fldChar w:fldCharType="end"/>
      </w:r>
      <w:r w:rsidR="00342D09" w:rsidRPr="007363FF">
        <w:rPr>
          <w:rFonts w:ascii="Book Antiqua" w:hAnsi="Book Antiqua" w:cs="Arial"/>
          <w:sz w:val="24"/>
          <w:szCs w:val="24"/>
        </w:rPr>
        <w:t xml:space="preserve">. </w:t>
      </w:r>
      <w:r w:rsidR="004E4003" w:rsidRPr="007363FF">
        <w:rPr>
          <w:rFonts w:ascii="Book Antiqua" w:hAnsi="Book Antiqua" w:cs="Arial"/>
          <w:sz w:val="24"/>
          <w:szCs w:val="24"/>
        </w:rPr>
        <w:t>This residual risk of transmission</w:t>
      </w:r>
      <w:r w:rsidR="00641CF3">
        <w:rPr>
          <w:rFonts w:ascii="Book Antiqua" w:hAnsi="Book Antiqua" w:cs="Arial"/>
          <w:sz w:val="24"/>
          <w:szCs w:val="24"/>
        </w:rPr>
        <w:t>-</w:t>
      </w:r>
      <w:r w:rsidR="00001353" w:rsidRPr="007363FF">
        <w:rPr>
          <w:rFonts w:ascii="Book Antiqua" w:hAnsi="Book Antiqua" w:cs="Arial"/>
          <w:sz w:val="24"/>
          <w:szCs w:val="24"/>
        </w:rPr>
        <w:t>despite aviremia</w:t>
      </w:r>
      <w:r w:rsidR="00641CF3">
        <w:rPr>
          <w:rFonts w:ascii="Book Antiqua" w:hAnsi="Book Antiqua" w:cs="Arial"/>
          <w:sz w:val="24"/>
          <w:szCs w:val="24"/>
        </w:rPr>
        <w:t>-</w:t>
      </w:r>
      <w:r w:rsidR="00001353" w:rsidRPr="007363FF">
        <w:rPr>
          <w:rFonts w:ascii="Book Antiqua" w:hAnsi="Book Antiqua" w:cs="Arial"/>
          <w:sz w:val="24"/>
          <w:szCs w:val="24"/>
        </w:rPr>
        <w:t xml:space="preserve">is postulated to be due to one of several mechanisms, including interval re-infection among </w:t>
      </w:r>
      <w:r w:rsidR="00CB2A20" w:rsidRPr="007363FF">
        <w:rPr>
          <w:rFonts w:ascii="Book Antiqua" w:hAnsi="Book Antiqua" w:cs="Arial"/>
          <w:sz w:val="24"/>
          <w:szCs w:val="24"/>
        </w:rPr>
        <w:t>persons who inject drugs (PWID)</w:t>
      </w:r>
      <w:r w:rsidR="00001353" w:rsidRPr="007363FF">
        <w:rPr>
          <w:rFonts w:ascii="Book Antiqua" w:hAnsi="Book Antiqua" w:cs="Arial"/>
          <w:sz w:val="24"/>
          <w:szCs w:val="24"/>
        </w:rPr>
        <w:t>, the presence of low-level viremia, or occult HCV infection in transplanted hepatocytes</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F1000_CSL_CITATION&lt;~#@#~&gt;[{"DOI":"10.1002/hep.29704","First":false,"Last":false,"PMID":"29205441","abstract":"Breakthroughs in Hepatitis C virus (HCV) treatment and rising rates of intravenous drug use have led to an increase in the number of organ donors that are HCV antibody positive but serum nucleic acid test (NAT) negative. The risk of HCV transmission from the liver grafts of these donors to recipients is unknown. To estimate the incidence of HCV transmission, we prospectively followed 26 consecutive HCV antibody (n=25) or NAT (n =1) negative transplant recipients who received a liver graft from donors that were HCV antibody positive but serum NAT negative between March 2016 and March 2017. HCV transmission was considered to have occurred if recipients exhibited a positive HCV-polymerase chain reaction test by 3 months following transplantation. Drug overdose was listed as the cause of death in 15 (60%) of the donors. One recipient died eighteen days after transplantation from primary graft non-function and was excluded. Of the remaining 25 recipients, HCV transmission occurred in 4 (16%), at a median follow up of 11 months, all from donors who died of drug overdose. Three of these patients were treated with direct acting antiviral therapy, with two achieving a sustained virologic response and one an end-of-treatment response. One patient with HCV transmission died after a complicated post-operative course and did not receive antiviral therapy.&lt;br&gt;&lt;br&gt;&lt;strong&gt;CONCLUSIONS:&lt;/strong&gt; In this prospective cohort of non-HCV liver recipients receiving grafts from HCV antibody positive/NAT negative donors, the incidence of HCV transmission was 16%, with the highest risk conferred by donors who died of drug overdose. Given the availability of safe and highly effective antiviral therapies, use of such organs could be considered to expand the donor pool. This article is protected by copyright. All rights reserved.&lt;br&gt;&lt;br&gt;© 2017 by the American Association for the Study of Liver Diseases.","author":[{"family":"Bari","given":"Khurram"},{"family":"Luckett","given":"Keith"},{"family":"Kaiser","given":"Tiffany"},{"family":"Diwan","given":"Tayyab"},{"family":"Cuffy","given":"Madison"},{"family":"Schoech","given":"Michael"},{"family":"Safdar","given":"Kamran"},{"family":"Blackard","given":"Jason T"},{"family":"Apewokin","given":"Senu"},{"family":"Paterno","given":"Flavio"},{"family":"Sherman","given":"Kenneth E"},{"family":"Zucker","given":"Stephen D"},{"family":"Anwar","given":"Nadeem"},{"family":"Shah","given":"Shimul A"}],"authorYearDisplayFormat":false,"citation-label":"4730160","container-title":"Hepatology","container-title-short":"Hepatology","id":"4730160","invisible":false,"issue":"5","issued":{"date-parts":[["2017","12","2"]]},"journalAbbreviation":"Hepatology","page":"1673-1682","suppress-author":false,"title":"Hepatitis C Transmission from Seropositive, Non-Viremic Donors to Non-Hepatitis C Liver Transplant Recipients.","type":"article-journal","volume":"67"}]</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[7]</w:t>
      </w:r>
      <w:r w:rsidR="0074363C" w:rsidRPr="007363FF">
        <w:rPr>
          <w:rFonts w:ascii="Book Antiqua" w:hAnsi="Book Antiqua" w:cs="Arial"/>
          <w:sz w:val="24"/>
          <w:szCs w:val="24"/>
        </w:rPr>
        <w:fldChar w:fldCharType="end"/>
      </w:r>
      <w:r w:rsidR="00001353" w:rsidRPr="007363FF">
        <w:rPr>
          <w:rFonts w:ascii="Book Antiqua" w:hAnsi="Book Antiqua" w:cs="Arial"/>
          <w:sz w:val="24"/>
          <w:szCs w:val="24"/>
        </w:rPr>
        <w:t xml:space="preserve">. </w:t>
      </w:r>
    </w:p>
    <w:p w14:paraId="3835CF68" w14:textId="703242DC" w:rsidR="001203BF" w:rsidRPr="007363FF" w:rsidRDefault="002E1146" w:rsidP="00036B44">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In the U</w:t>
      </w:r>
      <w:r w:rsidR="00641CF3">
        <w:rPr>
          <w:rFonts w:ascii="Book Antiqua" w:hAnsi="Book Antiqua" w:cs="Arial"/>
          <w:sz w:val="24"/>
          <w:szCs w:val="24"/>
        </w:rPr>
        <w:t xml:space="preserve">nited </w:t>
      </w:r>
      <w:r w:rsidRPr="007363FF">
        <w:rPr>
          <w:rFonts w:ascii="Book Antiqua" w:hAnsi="Book Antiqua" w:cs="Arial"/>
          <w:sz w:val="24"/>
          <w:szCs w:val="24"/>
        </w:rPr>
        <w:t>S</w:t>
      </w:r>
      <w:r w:rsidR="00641CF3">
        <w:rPr>
          <w:rFonts w:ascii="Book Antiqua" w:hAnsi="Book Antiqua" w:cs="Arial"/>
          <w:sz w:val="24"/>
          <w:szCs w:val="24"/>
        </w:rPr>
        <w:t>tates</w:t>
      </w:r>
      <w:r w:rsidRPr="007363FF">
        <w:rPr>
          <w:rFonts w:ascii="Book Antiqua" w:hAnsi="Book Antiqua" w:cs="Arial"/>
          <w:sz w:val="24"/>
          <w:szCs w:val="24"/>
        </w:rPr>
        <w:t xml:space="preserve"> population, HCV-positive donors derive</w:t>
      </w:r>
      <w:r w:rsidR="00FF127D" w:rsidRPr="007363FF">
        <w:rPr>
          <w:rFonts w:ascii="Book Antiqua" w:hAnsi="Book Antiqua" w:cs="Arial"/>
          <w:sz w:val="24"/>
          <w:szCs w:val="24"/>
        </w:rPr>
        <w:t xml:space="preserve"> primarily</w:t>
      </w:r>
      <w:r w:rsidRPr="007363FF">
        <w:rPr>
          <w:rFonts w:ascii="Book Antiqua" w:hAnsi="Book Antiqua" w:cs="Arial"/>
          <w:sz w:val="24"/>
          <w:szCs w:val="24"/>
        </w:rPr>
        <w:t xml:space="preserve"> from </w:t>
      </w:r>
      <w:r w:rsidR="00BA7551" w:rsidRPr="007363FF">
        <w:rPr>
          <w:rFonts w:ascii="Book Antiqua" w:hAnsi="Book Antiqua" w:cs="Arial"/>
          <w:sz w:val="24"/>
          <w:szCs w:val="24"/>
        </w:rPr>
        <w:t>either the baby boomer birth cohort (born between 1946-1964) or</w:t>
      </w:r>
      <w:r w:rsidR="001E3380" w:rsidRPr="007363FF">
        <w:rPr>
          <w:rFonts w:ascii="Book Antiqua" w:hAnsi="Book Antiqua" w:cs="Arial"/>
          <w:sz w:val="24"/>
          <w:szCs w:val="24"/>
        </w:rPr>
        <w:t xml:space="preserve"> PWID</w:t>
      </w:r>
      <w:r w:rsidR="00FE311A" w:rsidRPr="007363FF">
        <w:rPr>
          <w:rFonts w:ascii="Book Antiqua" w:hAnsi="Book Antiqua" w:cs="Arial"/>
          <w:sz w:val="24"/>
          <w:szCs w:val="24"/>
        </w:rPr>
        <w:t xml:space="preserve">. </w:t>
      </w:r>
      <w:r w:rsidR="005A009D" w:rsidRPr="007363FF">
        <w:rPr>
          <w:rFonts w:ascii="Book Antiqua" w:hAnsi="Book Antiqua" w:cs="Arial"/>
          <w:sz w:val="24"/>
          <w:szCs w:val="24"/>
        </w:rPr>
        <w:t xml:space="preserve">While baby boomers </w:t>
      </w:r>
      <w:r w:rsidR="0049587C" w:rsidRPr="007363FF">
        <w:rPr>
          <w:rFonts w:ascii="Book Antiqua" w:hAnsi="Book Antiqua" w:cs="Arial"/>
          <w:sz w:val="24"/>
          <w:szCs w:val="24"/>
        </w:rPr>
        <w:t>remain the age group</w:t>
      </w:r>
      <w:r w:rsidR="005A009D" w:rsidRPr="007363FF">
        <w:rPr>
          <w:rFonts w:ascii="Book Antiqua" w:hAnsi="Book Antiqua" w:cs="Arial"/>
          <w:sz w:val="24"/>
          <w:szCs w:val="24"/>
        </w:rPr>
        <w:t xml:space="preserve"> in which HCV prevalence is greatest</w:t>
      </w:r>
      <w:r w:rsidR="00ED19ED" w:rsidRPr="007363FF">
        <w:rPr>
          <w:rFonts w:ascii="Book Antiqua" w:hAnsi="Book Antiqua" w:cs="Arial"/>
          <w:sz w:val="24"/>
          <w:szCs w:val="24"/>
        </w:rPr>
        <w:t xml:space="preserve"> (2.23% </w:t>
      </w:r>
      <w:r w:rsidR="00ED19ED" w:rsidRPr="00641CF3">
        <w:rPr>
          <w:rFonts w:ascii="Book Antiqua" w:hAnsi="Book Antiqua" w:cs="Arial"/>
          <w:i/>
          <w:iCs/>
          <w:sz w:val="24"/>
          <w:szCs w:val="24"/>
        </w:rPr>
        <w:t>vs</w:t>
      </w:r>
      <w:r w:rsidR="00ED19ED" w:rsidRPr="007363FF">
        <w:rPr>
          <w:rFonts w:ascii="Book Antiqua" w:hAnsi="Book Antiqua" w:cs="Arial"/>
          <w:sz w:val="24"/>
          <w:szCs w:val="24"/>
        </w:rPr>
        <w:t xml:space="preserve"> 1.19%</w:t>
      </w:r>
      <w:r w:rsidR="00477705" w:rsidRPr="007363FF">
        <w:rPr>
          <w:rFonts w:ascii="Book Antiqua" w:hAnsi="Book Antiqua" w:cs="Arial"/>
          <w:sz w:val="24"/>
          <w:szCs w:val="24"/>
        </w:rPr>
        <w:t xml:space="preserve"> in the general </w:t>
      </w:r>
      <w:r w:rsidR="00641CF3" w:rsidRPr="007363FF">
        <w:rPr>
          <w:rFonts w:ascii="Book Antiqua" w:hAnsi="Book Antiqua" w:cs="Arial"/>
          <w:sz w:val="24"/>
          <w:szCs w:val="24"/>
        </w:rPr>
        <w:t>U</w:t>
      </w:r>
      <w:r w:rsidR="00641CF3">
        <w:rPr>
          <w:rFonts w:ascii="Book Antiqua" w:hAnsi="Book Antiqua" w:cs="Arial"/>
          <w:sz w:val="24"/>
          <w:szCs w:val="24"/>
        </w:rPr>
        <w:t xml:space="preserve">nited </w:t>
      </w:r>
      <w:r w:rsidR="00641CF3" w:rsidRPr="007363FF">
        <w:rPr>
          <w:rFonts w:ascii="Book Antiqua" w:hAnsi="Book Antiqua" w:cs="Arial"/>
          <w:sz w:val="24"/>
          <w:szCs w:val="24"/>
        </w:rPr>
        <w:t>S</w:t>
      </w:r>
      <w:r w:rsidR="00641CF3">
        <w:rPr>
          <w:rFonts w:ascii="Book Antiqua" w:hAnsi="Book Antiqua" w:cs="Arial"/>
          <w:sz w:val="24"/>
          <w:szCs w:val="24"/>
        </w:rPr>
        <w:t>tates</w:t>
      </w:r>
      <w:r w:rsidR="00477705" w:rsidRPr="007363FF">
        <w:rPr>
          <w:rFonts w:ascii="Book Antiqua" w:hAnsi="Book Antiqua" w:cs="Arial"/>
          <w:sz w:val="24"/>
          <w:szCs w:val="24"/>
        </w:rPr>
        <w:t xml:space="preserve"> population</w:t>
      </w:r>
      <w:r w:rsidR="00ED19ED" w:rsidRPr="007363FF">
        <w:rPr>
          <w:rFonts w:ascii="Book Antiqua" w:hAnsi="Book Antiqua" w:cs="Arial"/>
          <w:sz w:val="24"/>
          <w:szCs w:val="24"/>
        </w:rPr>
        <w:t>)</w:t>
      </w:r>
      <w:r w:rsidR="005A009D" w:rsidRPr="007363FF">
        <w:rPr>
          <w:rFonts w:ascii="Book Antiqua" w:hAnsi="Book Antiqua" w:cs="Arial"/>
          <w:sz w:val="24"/>
          <w:szCs w:val="24"/>
        </w:rPr>
        <w:t>, important demographic shifts are occurring in the epidemiology of HCV</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F1000_CSL_CITATION&lt;~#@#~&gt;[{"DOI":"10.1016/j.jiph.2018.08.003","First":false,"Last":false,"PMID":"30170837","abstract":"&lt;strong&gt;BACKGROUND:&lt;/strong&gt; The US Baby Boomer (BB) generation is associated with high rates of Hepatitis C virus (HCV) infection. There is limited literature detailing age-specific risk factors for HCV infection. Using a nationally representative sample, this study examines US adult HCV prevalence and age-specific risk factors for chronic HCV infection.&lt;br&gt;&lt;br&gt;&lt;strong&gt;METHODS:&lt;/strong&gt; We analyzed data from National Health and Nutrition Examination Survey (NHANES) for years 1999-2012. Age was divided into three categories: BB, younger than BB (YG) and older than BB (OG). HCV status was determined by the presence of a positive HCV antibody and a positive HCV RNA. Sociodemographic variables were analyzed by HCV status. Multivariable logistic regression models adjusting for sociodemographic variables were fitted to identify age-specific risk factors for HCV positivity.&lt;br&gt;&lt;br&gt;&lt;strong&gt;RESULTS:&lt;/strong&gt; The overall prevalence of chronic HCV was 1.19% with a US population estimate of 2,347,852 US adults. BB had the highest prevalence at 2.23%, accounting for over 74% of all chronic HCV cases. HCV prevalence was highest among all ages (1.83%) and BB (2.71%) in 2001-2002 survey cycle. Among BB, males, non-Hispanic blacks, positive blood transfusion history, current and former smoker, and living below the poverty line were significant predictors of chronic HCV positivity.&lt;br&gt;&lt;br&gt;&lt;strong&gt;CONCLUSION:&lt;/strong&gt; This study highlights the elevated prevalence of chronic HCV among BB and identifies age-specific risk factors for chronic HCV infection. As the BB population ages, it is important to use these generation-specific risk factors that can guide health professionals in targeted screening and public health prevention efforts.&lt;br&gt;&lt;br&gt;Copyright © 2018 The Authors. Published by Elsevier Ltd.. All rights reserved.","author":[{"family":"Moore","given":"Kevin J"},{"family":"Gauri","given":"Aliyah"},{"family":"Koru-Sengul","given":"Tulay"}],"authorYearDisplayFormat":false,"citation-label":"5860455","container-title":"Journal of infection and public health","container-title-short":"J. Infect. Public Health","id":"5860455","invisible":false,"issue":"1","issued":{"date-parts":[["2019"]]},"journalAbbreviation":"J. Infect. Public Health","page":"32-36","suppress-author":false,"title":"Prevalence and sociodemographic disparities of Hepatitis C in Baby Boomers and the US adult population.","type":"article-journal","volume":"12"},{"DOI":"10.1001/jamanetworkopen.2018.6371","First":false,"Last":false,"PMCID":"PMC6324373","PMID":"30646319","abstract":"&lt;strong&gt;Importance:&lt;/strong&gt; Infection with hepatitis C virus (HCV) is a major cause of morbidity and mortality in the United States, and incidence has increased rapidly in recent years, likely owing to increased injection drug use. Current estimates of prevalence at the state level are needed to guide prevention and care efforts but are not available through existing disease surveillance systems.&lt;br&gt;&lt;br&gt;&lt;strong&gt;Objective:&lt;/strong&gt; To estimate the prevalence of current HCV infection among adults in each US state and the District of Columbia during the years 2013 to 2016.&lt;br&gt;&lt;br&gt;&lt;strong&gt;Design, Setting, and Participants:&lt;/strong&gt; This survey study used a statistical model to allocate nationally representative HCV prevalence from the National Health and Nutrition Examination Survey (NHANES) according to the spatial demographics and distributions of HCV mortality and narcotic overdose mortality in all National Vital Statistics System death records from 1999 to 2016. Additional literature review and analyses estimated state-level HCV infections among populations not included in the National Health and Nutrition Examination Survey sampling frame.&lt;br&gt;&lt;br&gt;&lt;strong&gt;Exposures:&lt;/strong&gt; State, accounting for birth cohort, biological sex, race/ethnicity, federal poverty level, and year.&lt;br&gt;&lt;br&gt;&lt;strong&gt;Main Outcomes and Measures:&lt;/strong&gt; State-level prevalence estimates of current HCV RNA.&lt;br&gt;&lt;br&gt;&lt;strong&gt;Results:&lt;/strong&gt; In this study, the estimated national prevalence of HCV from 2013 to 2016 was 0.84% (95% CI, 0.75%-0.96%) among adults in the noninstitutionalized US population represented in the NHANES sampling frame, corresponding to 2</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035</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100 (95% CI, 1</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803</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600-2</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318</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000) persons with current infection; accounting for populations not included in NHANES, there were 231</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600 additional persons with HCV, adjusting prevalence to 0.93%. Nine states contained 51.9% of all persons living with HCV infection (California [318</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900], Texas [202</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500], Florida [151</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000], New York [116</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000], Pennsylvania [93</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900], Ohio [89</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600], Michigan [69</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100], Tennessee [69</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100], and North Carolina [66</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400]); 5 of these states were in Appalachia. Jurisdiction-level median (range) HCV RNA prevalence was 0.88% (0.45%-2.34%). Of 13 states in the western United States, 10 were above this median. Three of 10 states with the highest HCV prevalence were in Appalachia.&lt;br&gt;&lt;br&gt;&lt;strong&gt;Conclusions and Relevance:&lt;/strong&gt; Using extensive national survey and vital statistics data from an 18-year period, this study found higher prevalence of HCV in the West and Appalachian states for 2013 to 2016 compared with other areas. These estimates can guide state prevention and treatment efforts.","author":[{"family":"Rosenberg","given":"Eli S"},{"family":"Rosenthal","given":"Elizabeth M"},{"family":"Hall","given":"Eric W"},{"family":"Barker","given":"Laurie"},{"family":"Hofmeister","given":"Megan G"},{"family":"Sullivan","given":"Patrick S"},{"family":"Dietz","given":"Patricia"},{"family":"Mermin","given":"Jonathan"},{"family":"Ryerson","given":"A Blythe"}],"authorYearDisplayFormat":false,"citation-label":"6415381","container-title":"JAMA Network Open","container-title-short":"JAMA Netw. Open","id":"6415381","invisible":false,"issue":"8","issued":{"date-parts":[["2018","12","7"]]},"journalAbbreviation":"JAMA Netw. Open","page":"e186371","suppress-author":false,"title":"Prevalence of hepatitis C virus infection in US states and the district of columbia, 2013 to 2016.","type":"article-journal","volume":"1"}]</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[8,9]</w:t>
      </w:r>
      <w:r w:rsidR="0074363C" w:rsidRPr="007363FF">
        <w:rPr>
          <w:rFonts w:ascii="Book Antiqua" w:hAnsi="Book Antiqua" w:cs="Arial"/>
          <w:sz w:val="24"/>
          <w:szCs w:val="24"/>
        </w:rPr>
        <w:fldChar w:fldCharType="end"/>
      </w:r>
      <w:r w:rsidR="00602BF5" w:rsidRPr="007363FF">
        <w:rPr>
          <w:rFonts w:ascii="Book Antiqua" w:hAnsi="Book Antiqua" w:cs="Arial"/>
          <w:sz w:val="24"/>
          <w:szCs w:val="24"/>
        </w:rPr>
        <w:t xml:space="preserve">. </w:t>
      </w:r>
      <w:r w:rsidR="008E68EE" w:rsidRPr="007363FF">
        <w:rPr>
          <w:rFonts w:ascii="Book Antiqua" w:hAnsi="Book Antiqua" w:cs="Arial"/>
          <w:sz w:val="24"/>
          <w:szCs w:val="24"/>
        </w:rPr>
        <w:t>A large part of this change is owed to the opioid epidemic, where a high prevalence of injection drug use</w:t>
      </w:r>
      <w:r w:rsidR="00CB721F" w:rsidRPr="007363FF">
        <w:rPr>
          <w:rFonts w:ascii="Book Antiqua" w:hAnsi="Book Antiqua" w:cs="Arial"/>
          <w:sz w:val="24"/>
          <w:szCs w:val="24"/>
        </w:rPr>
        <w:t>—e</w:t>
      </w:r>
      <w:r w:rsidR="008E68EE" w:rsidRPr="007363FF">
        <w:rPr>
          <w:rFonts w:ascii="Book Antiqua" w:hAnsi="Book Antiqua" w:cs="Arial"/>
          <w:sz w:val="24"/>
          <w:szCs w:val="24"/>
        </w:rPr>
        <w:t xml:space="preserve">specially in Appalachia and the Western </w:t>
      </w:r>
      <w:r w:rsidR="00641CF3" w:rsidRPr="007363FF">
        <w:rPr>
          <w:rFonts w:ascii="Book Antiqua" w:hAnsi="Book Antiqua" w:cs="Arial"/>
          <w:sz w:val="24"/>
          <w:szCs w:val="24"/>
        </w:rPr>
        <w:t>U</w:t>
      </w:r>
      <w:r w:rsidR="00641CF3">
        <w:rPr>
          <w:rFonts w:ascii="Book Antiqua" w:hAnsi="Book Antiqua" w:cs="Arial"/>
          <w:sz w:val="24"/>
          <w:szCs w:val="24"/>
        </w:rPr>
        <w:t xml:space="preserve">nited </w:t>
      </w:r>
      <w:r w:rsidR="00641CF3" w:rsidRPr="007363FF">
        <w:rPr>
          <w:rFonts w:ascii="Book Antiqua" w:hAnsi="Book Antiqua" w:cs="Arial"/>
          <w:sz w:val="24"/>
          <w:szCs w:val="24"/>
        </w:rPr>
        <w:t>S</w:t>
      </w:r>
      <w:r w:rsidR="00641CF3">
        <w:rPr>
          <w:rFonts w:ascii="Book Antiqua" w:hAnsi="Book Antiqua" w:cs="Arial"/>
          <w:sz w:val="24"/>
          <w:szCs w:val="24"/>
        </w:rPr>
        <w:t>tates</w:t>
      </w:r>
      <w:r w:rsidR="00CB721F" w:rsidRPr="007363FF">
        <w:rPr>
          <w:rFonts w:ascii="Book Antiqua" w:hAnsi="Book Antiqua" w:cs="Arial"/>
          <w:sz w:val="24"/>
          <w:szCs w:val="24"/>
        </w:rPr>
        <w:t>—</w:t>
      </w:r>
      <w:r w:rsidR="008E68EE" w:rsidRPr="007363FF">
        <w:rPr>
          <w:rFonts w:ascii="Book Antiqua" w:hAnsi="Book Antiqua" w:cs="Arial"/>
          <w:sz w:val="24"/>
          <w:szCs w:val="24"/>
        </w:rPr>
        <w:t>has contributed to a tripling of the incidence of HCV infection</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F1000_CSL_CITATION&lt;~#@#~&gt;[{"DOI":"10.1001/jamanetworkopen.2018.6371","First":false,"Last":false,"PMCID":"PMC6324373","PMID":"30646319","abstract":"&lt;strong&gt;Importance:&lt;/strong&gt; Infection with hepatitis C virus (HCV) is a major cause of morbidity and mortality in the United States, and incidence has increased rapidly in recent years, likely owing to increased injection drug use. Current estimates of prevalence at the state level are needed to guide prevention and care efforts but are not available through existing disease surveillance systems.&lt;br&gt;&lt;br&gt;&lt;strong&gt;Objective:&lt;/strong&gt; To estimate the prevalence of current HCV infection among adults in each US state and the District of Columbia during the years 2013 to 2016.&lt;br&gt;&lt;br&gt;&lt;strong&gt;Design, Setting, and Participants:&lt;/strong&gt; This survey study used a statistical model to allocate nationally representative HCV prevalence from the National Health and Nutrition Examination Survey (NHANES) according to the spatial demographics and distributions of HCV mortality and narcotic overdose mortality in all National Vital Statistics System death records from 1999 to 2016. Additional literature review and analyses estimated state-level HCV infections among populations not included in the National Health and Nutrition Examination Survey sampling frame.&lt;br&gt;&lt;br&gt;&lt;strong&gt;Exposures:&lt;/strong&gt; State, accounting for birth cohort, biological sex, race/ethnicity, federal poverty level, and year.&lt;br&gt;&lt;br&gt;&lt;strong&gt;Main Outcomes and Measures:&lt;/strong&gt; State-level prevalence estimates of current HCV RNA.&lt;br&gt;&lt;br&gt;&lt;strong&gt;Results:&lt;/strong&gt; In this study, the estimated national prevalence of HCV from 2013 to 2016 was 0.84% (95% CI, 0.75%-0.96%) among adults in the noninstitutionalized US population represented in the NHANES sampling frame, corresponding to 2</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035</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100 (95% CI, 1</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803</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600-2</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318</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000) persons with current infection; accounting for populations not included in NHANES, there were 231</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600 additional persons with HCV, adjusting prevalence to 0.93%. Nine states contained 51.9% of all persons living with HCV infection (California [318</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900], Texas [202</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500], Florida [151</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000], New York [116</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000], Pennsylvania [93</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900], Ohio [89</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600], Michigan [69</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100], Tennessee [69</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100], and North Carolina [66</w:instrText>
      </w:r>
      <w:r w:rsidR="00722938" w:rsidRPr="007363FF">
        <w:rPr>
          <w:rFonts w:ascii="Times New Roman" w:hAnsi="Times New Roman" w:cs="Times New Roman"/>
          <w:sz w:val="24"/>
          <w:szCs w:val="24"/>
        </w:rPr>
        <w:instrText> </w:instrText>
      </w:r>
      <w:r w:rsidR="00722938" w:rsidRPr="007363FF">
        <w:rPr>
          <w:rFonts w:ascii="Book Antiqua" w:hAnsi="Book Antiqua" w:cs="Arial"/>
          <w:sz w:val="24"/>
          <w:szCs w:val="24"/>
        </w:rPr>
        <w:instrText>400]); 5 of these states were in Appalachia. Jurisdiction-level median (range) HCV RNA prevalence was 0.88% (0.45%-2.34%). Of 13 states in the western United States, 10 were above this median. Three of 10 states with the highest HCV prevalence were in Appalachia.&lt;br&gt;&lt;br&gt;&lt;strong&gt;Conclusions and Relevance:&lt;/strong&gt; Using extensive national survey and vital statistics data from an 18-year period, this study found higher prevalence of HCV in the West and Appalachian states for 2013 to 2016 compared with other areas. These estimates can guide state prevention and treatment efforts.","author":[{"family":"Rosenberg","given":"Eli S"},{"family":"Rosenthal","given":"Elizabeth M"},{"family":"Hall","given":"Eric W"},{"family":"Barker","given":"Laurie"},{"family":"Hofmeister","given":"Megan G"},{"family":"Sullivan","given":"Patrick S"},{"family":"Dietz","given":"Patricia"},{"family":"Mermin","given":"Jonathan"},{"family":"Ryerson","given":"A Blythe"}],"authorYearDisplayFormat":false,"citation-label":"6415381","container-title":"JAMA Network Open","container-title-short":"JAMA Netw. Open","id":"6415381","invisible":false,"issue":"8","issued":{"date-parts":[["2018","12","7"]]},"journalAbbreviation":"JAMA Netw. Open","page":"e186371","suppress-author":false,"title":"Prevalence of hepatitis C virus infection in US states and the district of columbia, 2013 to 2016.","type":"article-journal","volume":"1"}]</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[9]</w:t>
      </w:r>
      <w:r w:rsidR="0074363C" w:rsidRPr="007363FF">
        <w:rPr>
          <w:rFonts w:ascii="Book Antiqua" w:hAnsi="Book Antiqua" w:cs="Arial"/>
          <w:sz w:val="24"/>
          <w:szCs w:val="24"/>
        </w:rPr>
        <w:fldChar w:fldCharType="end"/>
      </w:r>
      <w:r w:rsidR="002876A5" w:rsidRPr="007363FF">
        <w:rPr>
          <w:rFonts w:ascii="Book Antiqua" w:hAnsi="Book Antiqua" w:cs="Arial"/>
          <w:sz w:val="24"/>
          <w:szCs w:val="24"/>
        </w:rPr>
        <w:t>. In Kentucky, one study suggested a 54.6% prevalence of HCV-seropositivity among a network of PWID</w:t>
      </w:r>
      <w:r w:rsidR="00E339ED" w:rsidRPr="007363FF">
        <w:rPr>
          <w:rFonts w:ascii="Book Antiqua" w:hAnsi="Book Antiqua" w:cs="Arial"/>
          <w:sz w:val="24"/>
          <w:szCs w:val="24"/>
        </w:rPr>
        <w:t xml:space="preserve">. </w:t>
      </w:r>
      <w:r w:rsidR="00BB0AF8" w:rsidRPr="007363FF">
        <w:rPr>
          <w:rFonts w:ascii="Book Antiqua" w:hAnsi="Book Antiqua" w:cs="Arial"/>
          <w:sz w:val="24"/>
          <w:szCs w:val="24"/>
        </w:rPr>
        <w:t xml:space="preserve">The risk of disease transmission among PWID in these states may be exacerbated by a lack of harm reduction services, including safe injection sites, needle exchanges, and </w:t>
      </w:r>
      <w:r w:rsidR="00C059BC" w:rsidRPr="007363FF">
        <w:rPr>
          <w:rFonts w:ascii="Book Antiqua" w:hAnsi="Book Antiqua" w:cs="Arial"/>
          <w:sz w:val="24"/>
          <w:szCs w:val="24"/>
        </w:rPr>
        <w:t>pharmacologic treatment</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F1000_CSL_CITATION&lt;~#@#~&gt;[{"DOI":"10.2105/AJPH.2012.300874","First":false,"Last":false,"PMCID":"PMC3518360","PMID":"23153148","abstract":"&lt;strong&gt;OBJECTIVES:&lt;/strong&gt; We determined the factors associated with hepatitis C (HCV) infection among rural Appalachian drug users.&lt;br&gt;&lt;br&gt;&lt;strong&gt;METHODS:&lt;/strong&gt; This study included 394 injection drug users (IDUs) participating in a study of social networks and infectious disease risk in Appalachian Kentucky. Trained staff conducted HCV, HIV, and herpes simplex-2 virus (HSV-2) testing, and an interviewer-administered questionnaire measured self-reported risk behaviors and sociometric network characteristics.&lt;br&gt;&lt;br&gt;&lt;strong&gt;RESULTS:&lt;/strong&gt; The prevalence of HCV infection was 54.6% among rural IDUs. Lifetime factors independently associated with HCV infection included HSV-2, injecting for 5 or more years, posttraumatic stress disorder, injection of cocaine, and injection of prescription opioids. Recent (past-6-month) correlates of HCV infection included sharing of syringes (adjusted odds ratio = 2.24; 95% confidence interval = 1.32, 3.82) and greater levels of eigenvector centrality in the drug network.&lt;br&gt;&lt;br&gt;&lt;strong&gt;CONCLUSIONS:&lt;/strong&gt; One factor emerged that was potentially unique to rural IDUs: the association between injection of prescription opioids and HCV infection. Therefore, preventing transition to injection, especially among prescription opioid users, may curb transmission, as will increased access to opioid maintenance treatment, novel treatments for cocaine dependence, and syringe exchange.","author":[{"family":"Havens","given":"Jennifer R"},{"family":"Lofwall","given":"Michelle R"},{"family":"Frost","given":"Simon D W"},{"family":"Oser","given":"Carrie B"},{"family":"Leukefeld","given":"Carl G"},{"family":"Crosby","given":"Richard A"}],"authorYearDisplayFormat":false,"citation-label":"4932638","container-title":"American Journal of Public Health","container-title-short":"Am. J. Public Health","id":"4932638","invisible":false,"issue":"1","issued":{"date-parts":[["2013","1"]]},"journalAbbreviation":"Am. J. Public Health","page":"e44-52","suppress-author":false,"title":"Individual and network factors associated with prevalent hepatitis C infection among rural Appalachian injection drug users.","type":"article-journal","volume":"103"}]</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[10]</w:t>
      </w:r>
      <w:r w:rsidR="0074363C" w:rsidRPr="007363FF">
        <w:rPr>
          <w:rFonts w:ascii="Book Antiqua" w:hAnsi="Book Antiqua" w:cs="Arial"/>
          <w:sz w:val="24"/>
          <w:szCs w:val="24"/>
        </w:rPr>
        <w:fldChar w:fldCharType="end"/>
      </w:r>
      <w:r w:rsidR="001C2340" w:rsidRPr="007363FF">
        <w:rPr>
          <w:rFonts w:ascii="Book Antiqua" w:hAnsi="Book Antiqua" w:cs="Arial"/>
          <w:sz w:val="24"/>
          <w:szCs w:val="24"/>
        </w:rPr>
        <w:t xml:space="preserve">. </w:t>
      </w:r>
      <w:r w:rsidR="00337F48" w:rsidRPr="007363FF">
        <w:rPr>
          <w:rFonts w:ascii="Book Antiqua" w:hAnsi="Book Antiqua" w:cs="Arial"/>
          <w:sz w:val="24"/>
          <w:szCs w:val="24"/>
        </w:rPr>
        <w:t xml:space="preserve">While HCV incidence and prevalence </w:t>
      </w:r>
      <w:r w:rsidR="00A16C1D" w:rsidRPr="007363FF">
        <w:rPr>
          <w:rFonts w:ascii="Book Antiqua" w:hAnsi="Book Antiqua" w:cs="Arial"/>
          <w:sz w:val="24"/>
          <w:szCs w:val="24"/>
        </w:rPr>
        <w:t>are</w:t>
      </w:r>
      <w:r w:rsidR="00337F48" w:rsidRPr="007363FF">
        <w:rPr>
          <w:rFonts w:ascii="Book Antiqua" w:hAnsi="Book Antiqua" w:cs="Arial"/>
          <w:sz w:val="24"/>
          <w:szCs w:val="24"/>
        </w:rPr>
        <w:t xml:space="preserve"> increasing among PWID, the number of baby boomers with HCV are in decline</w:t>
      </w:r>
      <w:r w:rsidR="00BA7551" w:rsidRPr="007363FF">
        <w:rPr>
          <w:rFonts w:ascii="Book Antiqua" w:hAnsi="Book Antiqua" w:cs="Arial"/>
          <w:sz w:val="24"/>
          <w:szCs w:val="24"/>
        </w:rPr>
        <w:t xml:space="preserve"> due to</w:t>
      </w:r>
      <w:r w:rsidR="00465653" w:rsidRPr="007363FF">
        <w:rPr>
          <w:rFonts w:ascii="Book Antiqua" w:hAnsi="Book Antiqua" w:cs="Arial"/>
          <w:sz w:val="24"/>
          <w:szCs w:val="24"/>
        </w:rPr>
        <w:t xml:space="preserve"> birth cohort screening and treatment of HCV, but also due to liver related </w:t>
      </w:r>
      <w:r w:rsidR="00AA4FC6" w:rsidRPr="007363FF">
        <w:rPr>
          <w:rFonts w:ascii="Book Antiqua" w:hAnsi="Book Antiqua" w:cs="Arial"/>
          <w:sz w:val="24"/>
          <w:szCs w:val="24"/>
        </w:rPr>
        <w:t xml:space="preserve">and </w:t>
      </w:r>
      <w:r w:rsidR="00465653" w:rsidRPr="007363FF">
        <w:rPr>
          <w:rFonts w:ascii="Book Antiqua" w:hAnsi="Book Antiqua" w:cs="Arial"/>
          <w:sz w:val="24"/>
          <w:szCs w:val="24"/>
        </w:rPr>
        <w:t>overall mortality</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F1000_CSL_CITATION&lt;~#@#~&gt;[{"DOI":"10.1016/j.idc.2018.02.002","First":false,"Last":false,"PMCID":"PMC6211170","PMID":"29778254","abstract":"Chronic Hepatitis Cohort Study (CHeCS) publications using data from \"real-world\" patients with hepatitis C virus (HCV) have described demographic disparities in access to care; rates of advanced liver disease, morbidity, and mortality (2.5%-3.5% per year during 2006-10, although only 19% of all CHeCS decedents, and just 30% of those with deaths attributed to liver disease, had HCV listed on death certificate); substantial comorbidities, such as diabetes, advanced liver fibrosis (29% prevalence), renal disease, and depression, and partial reversal of all these with successful antiviral therapy; patient risk behaviors; and use of noninvasive markers to assess liver disease.&lt;br&gt;&lt;br&gt;Published by Elsevier Inc.","author":[{"family":"Moorman","given":"Anne C"},{"family":"Rupp","given":"Loralee B"},{"family":"Gordon","given":"Stuart C"},{"family":"Zhong","given":"Yuna"},{"family":"Xing","given":"Jian"},{"family":"Lu","given":"Mei"},{"family":"Boscarino","given":"Joseph A"},{"family":"Schmidt","given":"Mark A"},{"family":"Daida","given":"Yihe G"},{"family":"Teshale","given":"Eyasu H"},{"family":"Spradling","given":"Philip R"},{"family":"Holmberg","given":"Scott D"},{"family":"CHeCS Investigators"}],"authorYearDisplayFormat":false,"citation-label":"6415390","container-title":"Infectious Disease Clinics of North America","container-title-short":"Infect. Dis. Clin. North Am.","id":"6415390","invisible":false,"issue":"2","issued":{"date-parts":[["2018"]]},"journalAbbreviation":"Infect. Dis. Clin. North Am.","page":"253-268","suppress-author":false,"title":"Long-Term Liver Disease, Treatment, and Mortality Outcomes Among 17,000 Persons Diagnosed with Chronic Hepatitis C Virus Infection: Current Chronic Hepatitis Cohort Study Status and Review of Findings.","type":"article-journal","volume":"32"},{"DOI":"10.1053/j.gastro.2018.07.008","First":false,"Last":false,"PMID":"30009816","abstract":"&lt;strong&gt;BACKGROUND &amp; AIMS:&lt;/strong&gt; Although treatment of hepatitis C virus (HCV) infection has improved, the prevalence of alcoholic liver disease (ALD) has been increasing, so we need an updated estimate of the burden and etiology-specific mortality of chronic liver diseases. We studied trends in age-standardized mortality of chronic liver diseases in adults at least 20 years old in the United States from 2007 through 2016.&lt;br&gt;&lt;br&gt;&lt;strong&gt;METHODS:&lt;/strong&gt; We collected data from the US Census and National Center for Health Statistics mortality records and identified individuals with HCV infection, ALD, nonalcoholic fatty liver disease, or hepatitis B virus infection using ICD-10 codes. We obtained temporal mortality rate patterns using joinpoint trend analysis with estimates of annual percentage change (APC).&lt;br&gt;&lt;br&gt;&lt;strong&gt;RESULTS:&lt;/strong&gt; Age-standardized HCV-related mortality increased from 7.17 per 100,000 persons in 2007 to 8.14 per 100,000 persons in 2013, followed by a marked decrease in the time period at which patients began receiving treatment with direct-acting antiviral agents (from 8.09 per 100,000 persons in 2014 to 7.15 per 100,000 persons in 2016). The APC in HCV mortality increased 2.0%/year from 2007 through 2014 but decreased 6.4%/year from 2014 through 2016. In contrast, age-standardized mortality increased for ALD (APC 2.3% from 2007 through 2013 and APC 5.5% from 2013 through 2016) and nonalcoholic fatty liver disease (APC 6.1% from 2007 through 2013 and APC 11.3% from 2013 through 2016). Mortality related to hepatitis B virus decreased steadily from 2007 through 2016, with an average APC of -2.1% (95% CI -3.0 to -1.2). Etiology-based mortality in minority populations was higher. HCV-related mortality (per 100,000 persons) was highest in non-Hispanic blacks (10.28) and whites (6.92), followed by Hispanics (5.94), and lowest in non-Hispanic Asians (2.33). Non-Hispanic Asians had higher mortality for hepatitis B virus infection (2.82 per 100,000 vs 1.02 for non-Hispanic blacks and 0.47 for non-Hispanic whites).&lt;br&gt;&lt;br&gt;&lt;strong&gt;CONCLUSION:&lt;/strong&gt; In our population-based analysis of chronic liver disease mortality in the United States, the decrease in HCV-related mortality coincided with the introduction of direct-acting antiviral therapies, whereas mortality from ALD and nonalcoholic fatty liver disease increased during the same period. Minorities in the United States have disproportionately higher mortality related to chronic liver disease.&lt;br&gt;&lt;br&gt;Copyright © 2018 AGA Institute. Published by Elsevier Inc. All rights reserved.","author":[{"family":"Kim","given":"Donghee"},{"family":"Li","given":"Andrew A"},{"family":"Gadiparthi","given":"Chiranjeevi"},{"family":"Khan","given":"Muhammad Ali"},{"family":"Cholankeril","given":"George"},{"family":"Glenn","given":"Jeffrey S"},{"family":"Ahmed","given":"Aijaz"}],"authorYearDisplayFormat":false,"citation-label":"6415453","container-title":"Gastroenterology","container-title-short":"Gastroenterology","id":"6415453","invisible":false,"issue":"4","issued":{"date-parts":[["2018","9","1"]]},"journalAbbreviation":"Gastroenterology","page":"1154-1163.e3","suppress-author":false,"title":"Changing Trends in Etiology-Based Annual Mortality From Chronic Liver Disease, From 2007 Through 2016.","type":"article-journal","volume":"155"}]</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[11,12]</w:t>
      </w:r>
      <w:r w:rsidR="0074363C" w:rsidRPr="007363FF">
        <w:rPr>
          <w:rFonts w:ascii="Book Antiqua" w:hAnsi="Book Antiqua" w:cs="Arial"/>
          <w:sz w:val="24"/>
          <w:szCs w:val="24"/>
        </w:rPr>
        <w:fldChar w:fldCharType="end"/>
      </w:r>
      <w:r w:rsidR="00465653" w:rsidRPr="007363FF">
        <w:rPr>
          <w:rFonts w:ascii="Book Antiqua" w:hAnsi="Book Antiqua" w:cs="Arial"/>
          <w:sz w:val="24"/>
          <w:szCs w:val="24"/>
        </w:rPr>
        <w:t>.</w:t>
      </w:r>
    </w:p>
    <w:p w14:paraId="7736DFC3" w14:textId="2FFFF8DC" w:rsidR="003C7ABE" w:rsidRDefault="001203BF" w:rsidP="00036B44">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 xml:space="preserve">In addition to a high prevalence of HCV infection among </w:t>
      </w:r>
      <w:r w:rsidR="00CA22C5" w:rsidRPr="007363FF">
        <w:rPr>
          <w:rFonts w:ascii="Book Antiqua" w:hAnsi="Book Antiqua" w:cs="Arial"/>
          <w:sz w:val="24"/>
          <w:szCs w:val="24"/>
        </w:rPr>
        <w:t xml:space="preserve">PWID, </w:t>
      </w:r>
      <w:r w:rsidR="00E65BE8" w:rsidRPr="007363FF">
        <w:rPr>
          <w:rFonts w:ascii="Book Antiqua" w:hAnsi="Book Antiqua" w:cs="Arial"/>
          <w:sz w:val="24"/>
          <w:szCs w:val="24"/>
        </w:rPr>
        <w:t xml:space="preserve">deaths in this population due to opioid overdose have increased. </w:t>
      </w:r>
      <w:r w:rsidR="000E03AE" w:rsidRPr="007363FF">
        <w:rPr>
          <w:rFonts w:ascii="Book Antiqua" w:hAnsi="Book Antiqua" w:cs="Arial"/>
          <w:sz w:val="24"/>
          <w:szCs w:val="24"/>
        </w:rPr>
        <w:t xml:space="preserve">In 2017, </w:t>
      </w:r>
      <w:r w:rsidR="00D07FD8" w:rsidRPr="007363FF">
        <w:rPr>
          <w:rFonts w:ascii="Book Antiqua" w:hAnsi="Book Antiqua" w:cs="Arial"/>
          <w:sz w:val="24"/>
          <w:szCs w:val="24"/>
        </w:rPr>
        <w:t xml:space="preserve">there were over 70000 deaths in the </w:t>
      </w:r>
      <w:r w:rsidR="00641CF3" w:rsidRPr="007363FF">
        <w:rPr>
          <w:rFonts w:ascii="Book Antiqua" w:hAnsi="Book Antiqua" w:cs="Arial"/>
          <w:sz w:val="24"/>
          <w:szCs w:val="24"/>
        </w:rPr>
        <w:t>U</w:t>
      </w:r>
      <w:r w:rsidR="00641CF3">
        <w:rPr>
          <w:rFonts w:ascii="Book Antiqua" w:hAnsi="Book Antiqua" w:cs="Arial"/>
          <w:sz w:val="24"/>
          <w:szCs w:val="24"/>
        </w:rPr>
        <w:t xml:space="preserve">nited </w:t>
      </w:r>
      <w:r w:rsidR="00641CF3" w:rsidRPr="007363FF">
        <w:rPr>
          <w:rFonts w:ascii="Book Antiqua" w:hAnsi="Book Antiqua" w:cs="Arial"/>
          <w:sz w:val="24"/>
          <w:szCs w:val="24"/>
        </w:rPr>
        <w:t>S</w:t>
      </w:r>
      <w:r w:rsidR="00641CF3">
        <w:rPr>
          <w:rFonts w:ascii="Book Antiqua" w:hAnsi="Book Antiqua" w:cs="Arial"/>
          <w:sz w:val="24"/>
          <w:szCs w:val="24"/>
        </w:rPr>
        <w:t>tates</w:t>
      </w:r>
      <w:r w:rsidR="00D07FD8" w:rsidRPr="007363FF">
        <w:rPr>
          <w:rFonts w:ascii="Book Antiqua" w:hAnsi="Book Antiqua" w:cs="Arial"/>
          <w:sz w:val="24"/>
          <w:szCs w:val="24"/>
        </w:rPr>
        <w:t xml:space="preserve"> related to drug overdose, a 9.6% increase from the prior year</w:t>
      </w:r>
      <w:r w:rsidR="007B021E" w:rsidRPr="007363FF">
        <w:rPr>
          <w:rFonts w:ascii="Book Antiqua" w:hAnsi="Book Antiqua" w:cs="Arial"/>
          <w:sz w:val="24"/>
          <w:szCs w:val="24"/>
        </w:rPr>
        <w:t xml:space="preserve">. The greatest increase in deaths occurred related to synthetic opioids like fentanyl, and occurred in young patients, including those aged between </w:t>
      </w:r>
      <w:r w:rsidR="00615E34" w:rsidRPr="007363FF">
        <w:rPr>
          <w:rFonts w:ascii="Book Antiqua" w:hAnsi="Book Antiqua" w:cs="Arial"/>
          <w:sz w:val="24"/>
          <w:szCs w:val="24"/>
        </w:rPr>
        <w:t>25</w:t>
      </w:r>
      <w:r w:rsidR="00641CF3">
        <w:rPr>
          <w:rFonts w:ascii="Book Antiqua" w:hAnsi="Book Antiqua" w:cs="Arial"/>
          <w:sz w:val="24"/>
          <w:szCs w:val="24"/>
        </w:rPr>
        <w:t>-</w:t>
      </w:r>
      <w:r w:rsidR="00615E34" w:rsidRPr="007363FF">
        <w:rPr>
          <w:rFonts w:ascii="Book Antiqua" w:hAnsi="Book Antiqua" w:cs="Arial"/>
          <w:sz w:val="24"/>
          <w:szCs w:val="24"/>
        </w:rPr>
        <w:t>54 years</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First":false,"Last":false,"URL":"https://www.cdc.gov/nchs/products/databriefs/db329.htm","accessed":{"date-parts":[["2019","2","10"]]},"authorYearDisplayFormat":false,"citation-label":"6415409","id":"6415409","invisible":false,"issued":{"date-parts":[[]]},"suppress-author":false,"title":"Products - Data Briefs - Number 329 - November 2018","type":"webpage"}]</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[13]</w:t>
      </w:r>
      <w:r w:rsidR="0074363C" w:rsidRPr="007363FF">
        <w:rPr>
          <w:rFonts w:ascii="Book Antiqua" w:hAnsi="Book Antiqua" w:cs="Arial"/>
          <w:sz w:val="24"/>
          <w:szCs w:val="24"/>
        </w:rPr>
        <w:fldChar w:fldCharType="end"/>
      </w:r>
      <w:r w:rsidR="00D07FD8" w:rsidRPr="007363FF">
        <w:rPr>
          <w:rFonts w:ascii="Book Antiqua" w:hAnsi="Book Antiqua" w:cs="Arial"/>
          <w:sz w:val="24"/>
          <w:szCs w:val="24"/>
        </w:rPr>
        <w:t xml:space="preserve">. </w:t>
      </w:r>
      <w:r w:rsidR="0054462D" w:rsidRPr="007363FF">
        <w:rPr>
          <w:rFonts w:ascii="Book Antiqua" w:hAnsi="Book Antiqua" w:cs="Arial"/>
          <w:sz w:val="24"/>
          <w:szCs w:val="24"/>
        </w:rPr>
        <w:t xml:space="preserve">Given their young age and that many develop hypoxic brain injury before ultimately having brain death declared, </w:t>
      </w:r>
      <w:r w:rsidR="00CD7CA9" w:rsidRPr="007363FF">
        <w:rPr>
          <w:rFonts w:ascii="Book Antiqua" w:hAnsi="Book Antiqua" w:cs="Arial"/>
          <w:sz w:val="24"/>
          <w:szCs w:val="24"/>
        </w:rPr>
        <w:t xml:space="preserve">many of these individuals may ultimately be evaluated </w:t>
      </w:r>
      <w:r w:rsidR="001D5CF7" w:rsidRPr="007363FF">
        <w:rPr>
          <w:rFonts w:ascii="Book Antiqua" w:hAnsi="Book Antiqua" w:cs="Arial"/>
          <w:sz w:val="24"/>
          <w:szCs w:val="24"/>
        </w:rPr>
        <w:t xml:space="preserve">as potential organ donors. </w:t>
      </w:r>
      <w:r w:rsidR="001675B5" w:rsidRPr="007363FF">
        <w:rPr>
          <w:rFonts w:ascii="Book Antiqua" w:hAnsi="Book Antiqua" w:cs="Arial"/>
          <w:sz w:val="24"/>
          <w:szCs w:val="24"/>
        </w:rPr>
        <w:t xml:space="preserve">Among donors evaluated </w:t>
      </w:r>
      <w:r w:rsidR="00171F73" w:rsidRPr="007363FF">
        <w:rPr>
          <w:rFonts w:ascii="Book Antiqua" w:hAnsi="Book Antiqua" w:cs="Arial"/>
          <w:sz w:val="24"/>
          <w:szCs w:val="24"/>
        </w:rPr>
        <w:t>in 2017,</w:t>
      </w:r>
      <w:r w:rsidR="004F4BB3" w:rsidRPr="007363FF">
        <w:rPr>
          <w:rFonts w:ascii="Book Antiqua" w:hAnsi="Book Antiqua" w:cs="Arial"/>
          <w:sz w:val="24"/>
          <w:szCs w:val="24"/>
        </w:rPr>
        <w:t xml:space="preserve"> 18% were classified as Public Hea</w:t>
      </w:r>
      <w:r w:rsidR="00B90006" w:rsidRPr="007363FF">
        <w:rPr>
          <w:rFonts w:ascii="Book Antiqua" w:hAnsi="Book Antiqua" w:cs="Arial"/>
          <w:sz w:val="24"/>
          <w:szCs w:val="24"/>
        </w:rPr>
        <w:t>l</w:t>
      </w:r>
      <w:r w:rsidR="004F4BB3" w:rsidRPr="007363FF">
        <w:rPr>
          <w:rFonts w:ascii="Book Antiqua" w:hAnsi="Book Antiqua" w:cs="Arial"/>
          <w:sz w:val="24"/>
          <w:szCs w:val="24"/>
        </w:rPr>
        <w:t xml:space="preserve">th Service </w:t>
      </w:r>
      <w:r w:rsidR="00641CF3" w:rsidRPr="007363FF">
        <w:rPr>
          <w:rFonts w:ascii="Book Antiqua" w:hAnsi="Book Antiqua" w:cs="Arial"/>
          <w:sz w:val="24"/>
          <w:szCs w:val="24"/>
        </w:rPr>
        <w:lastRenderedPageBreak/>
        <w:t>i</w:t>
      </w:r>
      <w:r w:rsidR="004F4BB3" w:rsidRPr="007363FF">
        <w:rPr>
          <w:rFonts w:ascii="Book Antiqua" w:hAnsi="Book Antiqua" w:cs="Arial"/>
          <w:sz w:val="24"/>
          <w:szCs w:val="24"/>
        </w:rPr>
        <w:t xml:space="preserve">ncrease </w:t>
      </w:r>
      <w:r w:rsidR="00641CF3" w:rsidRPr="007363FF">
        <w:rPr>
          <w:rFonts w:ascii="Book Antiqua" w:hAnsi="Book Antiqua" w:cs="Arial"/>
          <w:sz w:val="24"/>
          <w:szCs w:val="24"/>
        </w:rPr>
        <w:t>r</w:t>
      </w:r>
      <w:r w:rsidR="004F4BB3" w:rsidRPr="007363FF">
        <w:rPr>
          <w:rFonts w:ascii="Book Antiqua" w:hAnsi="Book Antiqua" w:cs="Arial"/>
          <w:sz w:val="24"/>
          <w:szCs w:val="24"/>
        </w:rPr>
        <w:t xml:space="preserve">isk </w:t>
      </w:r>
      <w:r w:rsidR="00641CF3" w:rsidRPr="007363FF">
        <w:rPr>
          <w:rFonts w:ascii="Book Antiqua" w:hAnsi="Book Antiqua" w:cs="Arial"/>
          <w:sz w:val="24"/>
          <w:szCs w:val="24"/>
        </w:rPr>
        <w:t>d</w:t>
      </w:r>
      <w:r w:rsidR="004F4BB3" w:rsidRPr="007363FF">
        <w:rPr>
          <w:rFonts w:ascii="Book Antiqua" w:hAnsi="Book Antiqua" w:cs="Arial"/>
          <w:sz w:val="24"/>
          <w:szCs w:val="24"/>
        </w:rPr>
        <w:t>onors (IRD),</w:t>
      </w:r>
      <w:r w:rsidR="00171F73" w:rsidRPr="007363FF">
        <w:rPr>
          <w:rFonts w:ascii="Book Antiqua" w:hAnsi="Book Antiqua" w:cs="Arial"/>
          <w:sz w:val="24"/>
          <w:szCs w:val="24"/>
        </w:rPr>
        <w:t xml:space="preserve"> 13.4% had drug intoxication listed as a cause of death, with 8% of these individuals having a history of injection drug use.</w:t>
      </w:r>
      <w:r w:rsidR="00656F1C" w:rsidRPr="007363FF">
        <w:rPr>
          <w:rFonts w:ascii="Book Antiqua" w:hAnsi="Book Antiqua" w:cs="Arial"/>
          <w:sz w:val="24"/>
          <w:szCs w:val="24"/>
        </w:rPr>
        <w:t xml:space="preserve"> Among all donors in 2017, HCV-seropositivity was 7.3%, while HCV RNA-positivity was 4.9%</w:t>
      </w:r>
      <w:r w:rsidR="003B2C9B" w:rsidRPr="007363FF">
        <w:rPr>
          <w:rFonts w:ascii="Book Antiqua" w:hAnsi="Book Antiqua" w:cs="Arial"/>
          <w:sz w:val="24"/>
          <w:szCs w:val="24"/>
        </w:rPr>
        <w:t>; among those who were classified as IRD, HCV-seropositivity and RNA-positivity were 22% and 16%.</w:t>
      </w:r>
      <w:r w:rsidR="00FE5434" w:rsidRPr="007363FF">
        <w:rPr>
          <w:rFonts w:ascii="Book Antiqua" w:hAnsi="Book Antiqua" w:cs="Arial"/>
          <w:sz w:val="24"/>
          <w:szCs w:val="24"/>
        </w:rPr>
        <w:t xml:space="preserve"> Taking together both the increased prevalence of HCV in young rural PWID, as well as the young age at which many of these individuals die of overdose-related deaths, t</w:t>
      </w:r>
      <w:r w:rsidR="007540AC" w:rsidRPr="007363FF">
        <w:rPr>
          <w:rFonts w:ascii="Book Antiqua" w:hAnsi="Book Antiqua" w:cs="Arial"/>
          <w:sz w:val="24"/>
          <w:szCs w:val="24"/>
        </w:rPr>
        <w:t xml:space="preserve">he median age of HCV-positive donors has </w:t>
      </w:r>
      <w:r w:rsidR="00BA7551" w:rsidRPr="007363FF">
        <w:rPr>
          <w:rFonts w:ascii="Book Antiqua" w:hAnsi="Book Antiqua" w:cs="Arial"/>
          <w:sz w:val="24"/>
          <w:szCs w:val="24"/>
        </w:rPr>
        <w:t xml:space="preserve">decreased </w:t>
      </w:r>
      <w:r w:rsidR="007540AC" w:rsidRPr="007363FF">
        <w:rPr>
          <w:rFonts w:ascii="Book Antiqua" w:hAnsi="Book Antiqua" w:cs="Arial"/>
          <w:sz w:val="24"/>
          <w:szCs w:val="24"/>
        </w:rPr>
        <w:t>from 48 years in 2010 to 35 years</w:t>
      </w:r>
      <w:r w:rsidR="00BA7551" w:rsidRPr="007363FF">
        <w:rPr>
          <w:rFonts w:ascii="Book Antiqua" w:hAnsi="Book Antiqua" w:cs="Arial"/>
          <w:sz w:val="24"/>
          <w:szCs w:val="24"/>
        </w:rPr>
        <w:t xml:space="preserve"> </w:t>
      </w:r>
      <w:r w:rsidR="007540AC" w:rsidRPr="007363FF">
        <w:rPr>
          <w:rFonts w:ascii="Book Antiqua" w:hAnsi="Book Antiqua" w:cs="Arial"/>
          <w:sz w:val="24"/>
          <w:szCs w:val="24"/>
        </w:rPr>
        <w:t>in 2016</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F1000_CSL_CITATION&lt;~#@#~&gt;[{"DOI":"10.1111/ajt.14381","First":false,"Last":false,"PMID":"28556422","abstract":"The availability of direct-acting antiviral agents for the treatment of hepatitis C virus (HCV) infection has resulted in a profound shift in the approach to the management of this infection. These changes have affected the practice of solid organ transplantation by altering the framework by which patients with end-stage organ disease are managed and receive organ transplants. The high level of safety and efficacy of these medications in patients with chronic HCV infection provides the opportunity to explore their use in the setting of transplanting organs from HCV-viremic patients into non-HCV-viremic recipients. Because these organs are frequently discarded and typically come from younger donors, this approach has the potential to save lives on the solid organ transplant waitlist. Therefore, an urgent need exists for prospective research protocols that study the risk versus benefit of using organs for hepatitis C-infected donors. In response to this rapidly changing practice and the need for scientific study and consensus, the American Society of Transplantation convened a meeting of experts to review current data and develop the framework for the study of using HCV viremic organs in solid organ transplantation.&lt;br&gt;&lt;br&gt;© 2017 The American Society of Transplantation and the American Society of Transplant Surgeons.","author":[{"family":"Levitsky","given":"J"},{"family":"Formica","given":"R N"},{"family":"Bloom","given":"R D"},{"family":"Charlton","given":"M"},{"family":"Curry","given":"M"},{"family":"Friedewald","given":"J"},{"family":"Friedman","given":"J"},{"family":"Goldberg","given":"D"},{"family":"Hall","given":"S"},{"family":"Ison","given":"M"},{"family":"Kaiser","given":"T"},{"family":"Klassen","given":"D"},{"family":"Klintmalm","given":"G"},{"family":"Kobashigawa","given":"J"},{"family":"Liapakis","given":"A"},{"family":"O'Conner","given":"K"},{"family":"Reese","given":"P"},{"family":"Stewart","given":"D"},{"family":"Terrault","given":"N"},{"family":"Theodoropoulos","given":"N"},{"family":"Trotter","given":"J"},{"family":"Verna","given":"E"},{"family":"Volk","given":"M"}],"authorYearDisplayFormat":false,"citation-label":"4302868","container-title":"American Journal of Transplantation","container-title-short":"Am. J. Transplant.","id":"4302868","invisible":false,"issue":"11","issued":{"date-parts":[["2017","11"]]},"journalAbbreviation":"Am. J. Transplant.","page":"2790-2802","suppress-author":false,"title":"The american society of transplantation consensus conference on the use of hepatitis C viremic donors in solid organ transplantation.","type":"article-journal","volume":"17"}]</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[6]</w:t>
      </w:r>
      <w:r w:rsidR="0074363C" w:rsidRPr="007363FF">
        <w:rPr>
          <w:rFonts w:ascii="Book Antiqua" w:hAnsi="Book Antiqua" w:cs="Arial"/>
          <w:sz w:val="24"/>
          <w:szCs w:val="24"/>
        </w:rPr>
        <w:fldChar w:fldCharType="end"/>
      </w:r>
      <w:r w:rsidR="007540AC" w:rsidRPr="007363FF">
        <w:rPr>
          <w:rFonts w:ascii="Book Antiqua" w:hAnsi="Book Antiqua" w:cs="Arial"/>
          <w:sz w:val="24"/>
          <w:szCs w:val="24"/>
        </w:rPr>
        <w:t xml:space="preserve">. </w:t>
      </w:r>
      <w:r w:rsidR="009B633E" w:rsidRPr="007363FF">
        <w:rPr>
          <w:rFonts w:ascii="Book Antiqua" w:hAnsi="Book Antiqua" w:cs="Arial"/>
          <w:sz w:val="24"/>
          <w:szCs w:val="24"/>
        </w:rPr>
        <w:t>One study assessing the utilization of HCV-positive livers in HCV-positive recipients showed that in the era of direct-acting antivirals (DAAs), HCV-positive donors were more likely to be between the ages of 0</w:t>
      </w:r>
      <w:r w:rsidR="00641CF3">
        <w:rPr>
          <w:rFonts w:ascii="Book Antiqua" w:hAnsi="Book Antiqua" w:cs="Arial"/>
          <w:sz w:val="24"/>
          <w:szCs w:val="24"/>
        </w:rPr>
        <w:t>-</w:t>
      </w:r>
      <w:r w:rsidR="009B633E" w:rsidRPr="007363FF">
        <w:rPr>
          <w:rFonts w:ascii="Book Antiqua" w:hAnsi="Book Antiqua" w:cs="Arial"/>
          <w:sz w:val="24"/>
          <w:szCs w:val="24"/>
        </w:rPr>
        <w:t>30 years, Caucasian, and without a history of diabetes, compared to HCV-positive donors</w:t>
      </w:r>
      <w:r w:rsidR="00BA7551" w:rsidRPr="007363FF">
        <w:rPr>
          <w:rFonts w:ascii="Book Antiqua" w:hAnsi="Book Antiqua" w:cs="Arial"/>
          <w:sz w:val="24"/>
          <w:szCs w:val="24"/>
        </w:rPr>
        <w:t xml:space="preserve"> in the pre-DAA</w:t>
      </w:r>
      <w:r w:rsidR="009B633E" w:rsidRPr="007363FF">
        <w:rPr>
          <w:rFonts w:ascii="Book Antiqua" w:hAnsi="Book Antiqua" w:cs="Arial"/>
          <w:sz w:val="24"/>
          <w:szCs w:val="24"/>
        </w:rPr>
        <w:t xml:space="preserve"> era</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F1000_CSL_CITATION&lt;~#@#~&gt;[{"DOI":"10.1111/ajt.13976","First":false,"Last":false,"PMCID":"PMC5266634","PMID":"27456927","abstract":"The impact of interferon (IFN)-free direct-acting antiviral (DAA) hepatitis C virus (HCV) treatments on utilization and outcomes associated with HCV-positive deceased donor liver transplantation (DDLT) is largely unknown. Using the Scientific Registry of Transplant Recipients, we identified 25 566 HCV-positive DDLT recipients from 2005 to 2015 and compared practices according to the introduction of DAA therapies using modified Poisson regression. The proportion of HCV-positive recipients who received HCV-positive livers increased from 6.9% in 2010 to 16.9% in 2015. HCV-positive recipients were 61% more likely to receive an HCV-positive liver after 2010 (early DAA/IFN era) (aRR:1.45 1.611.79 , p &lt;  0.001) and almost three times more likely to receive one after 2013 (IFN-free DAA era) (aRR:2.58 2.853.16 , p &lt;  0.001). Compared to HCV-negative livers, HCV-positive livers were 3 times more likely to be discarded from 2005 to 2010 (aRR:2.69 2.993.34 , p &lt;  0.001), 2.2 times more likely after 2010 (aRR:1.80 2.162.58 , p &lt;  0.001) and 1.7 times more likely after 2013 (aRR:1.37 1.682.04 , p &lt;  0.001). Donor HCV status was not associated with increased risk of all-cause graft loss (p = 0.1), and this did not change over time (p = 0.8). Use of HCV-positive livers has increased dramatically, coinciding with the advent of DAAs. However, the discard rate remains nearly double that of HCV-negative livers. Further optimization of HCV-positive liver utilization is necessary to improve access for all candidates.&lt;br&gt;&lt;br&gt;© Copyright 2016 The American Society of Transplantation and the American Society of Transplant Surgeons.","author":[{"family":"Bowring","given":"M G"},{"family":"Kucirka","given":"L M"},{"family":"Massie","given":"A B"},{"family":"Luo","given":"X"},{"family":"Cameron","given":"A"},{"family":"Sulkowski","given":"M"},{"family":"Rakestraw","given":"K"},{"family":"Gurakar","given":"A"},{"family":"Kuo","given":"I"},{"family":"Segev","given":"D L"},{"family":"Durand","given":"C M"}],"authorYearDisplayFormat":false,"citation-label":"4761325","container-title":"American Journal of Transplantation","container-title-short":"Am. J. Transplant.","id":"4761325","invisible":false,"issue":"2","issued":{"date-parts":[["2017","2"]]},"journalAbbreviation":"Am. J. Transplant.","page":"519-527","suppress-author":false,"title":"Changes in Utilization and Discard of Hepatitis C-Infected Donor Livers in the Recent Era.","type":"article-journal","volume":"17"}]</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[14]</w:t>
      </w:r>
      <w:r w:rsidR="0074363C" w:rsidRPr="007363FF">
        <w:rPr>
          <w:rFonts w:ascii="Book Antiqua" w:hAnsi="Book Antiqua" w:cs="Arial"/>
          <w:sz w:val="24"/>
          <w:szCs w:val="24"/>
        </w:rPr>
        <w:fldChar w:fldCharType="end"/>
      </w:r>
      <w:r w:rsidR="009B633E" w:rsidRPr="007363FF">
        <w:rPr>
          <w:rFonts w:ascii="Book Antiqua" w:hAnsi="Book Antiqua" w:cs="Arial"/>
          <w:sz w:val="24"/>
          <w:szCs w:val="24"/>
        </w:rPr>
        <w:t xml:space="preserve">. </w:t>
      </w:r>
    </w:p>
    <w:p w14:paraId="09FAD862" w14:textId="77777777" w:rsidR="00641CF3" w:rsidRPr="007363FF" w:rsidRDefault="00641CF3" w:rsidP="007363FF">
      <w:pPr>
        <w:pStyle w:val="a3"/>
        <w:adjustRightInd w:val="0"/>
        <w:snapToGrid w:val="0"/>
        <w:spacing w:line="360" w:lineRule="auto"/>
        <w:jc w:val="both"/>
        <w:rPr>
          <w:rFonts w:ascii="Book Antiqua" w:hAnsi="Book Antiqua" w:cs="Arial"/>
          <w:sz w:val="24"/>
          <w:szCs w:val="24"/>
        </w:rPr>
      </w:pPr>
    </w:p>
    <w:p w14:paraId="0F33360D" w14:textId="32181759" w:rsidR="003C7ABE" w:rsidRPr="007363FF" w:rsidRDefault="00641CF3" w:rsidP="007363FF">
      <w:pPr>
        <w:pStyle w:val="a3"/>
        <w:adjustRightInd w:val="0"/>
        <w:snapToGrid w:val="0"/>
        <w:spacing w:line="360" w:lineRule="auto"/>
        <w:jc w:val="both"/>
        <w:rPr>
          <w:rFonts w:ascii="Book Antiqua" w:hAnsi="Book Antiqua" w:cs="Arial"/>
          <w:b/>
          <w:sz w:val="24"/>
          <w:szCs w:val="24"/>
        </w:rPr>
      </w:pPr>
      <w:r w:rsidRPr="007363FF">
        <w:rPr>
          <w:rFonts w:ascii="Book Antiqua" w:hAnsi="Book Antiqua" w:cs="Arial"/>
          <w:b/>
          <w:sz w:val="24"/>
          <w:szCs w:val="24"/>
        </w:rPr>
        <w:t>HISTORICAL USE OF HCV-POSITIVE DONORS</w:t>
      </w:r>
    </w:p>
    <w:p w14:paraId="1094597D" w14:textId="533BD9B2" w:rsidR="003956B9" w:rsidRPr="007363FF" w:rsidRDefault="00B50679" w:rsidP="007363FF">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Before the advent of DAAs, transplantation of organs from HCV-positive donors</w:t>
      </w:r>
      <w:r w:rsidR="00194A38" w:rsidRPr="007363FF">
        <w:rPr>
          <w:rFonts w:ascii="Book Antiqua" w:hAnsi="Book Antiqua" w:cs="Arial"/>
          <w:sz w:val="24"/>
          <w:szCs w:val="24"/>
        </w:rPr>
        <w:t xml:space="preserve"> into uninfected recipients could not be considered due to the low efficacy and high risks associated with interferon (IFN)-based therapy in the post-transplant setting. </w:t>
      </w:r>
      <w:r w:rsidR="000006DD" w:rsidRPr="007363FF">
        <w:rPr>
          <w:rFonts w:ascii="Book Antiqua" w:hAnsi="Book Antiqua" w:cs="Arial"/>
          <w:sz w:val="24"/>
          <w:szCs w:val="24"/>
        </w:rPr>
        <w:t>Thus, organs</w:t>
      </w:r>
      <w:r w:rsidR="000D6310" w:rsidRPr="007363FF">
        <w:rPr>
          <w:rFonts w:ascii="Book Antiqua" w:hAnsi="Book Antiqua" w:cs="Arial"/>
          <w:sz w:val="24"/>
          <w:szCs w:val="24"/>
        </w:rPr>
        <w:t xml:space="preserve"> from such patients</w:t>
      </w:r>
      <w:r w:rsidR="000006DD" w:rsidRPr="007363FF">
        <w:rPr>
          <w:rFonts w:ascii="Book Antiqua" w:hAnsi="Book Antiqua" w:cs="Arial"/>
          <w:sz w:val="24"/>
          <w:szCs w:val="24"/>
        </w:rPr>
        <w:t xml:space="preserve"> were reserved for patients with </w:t>
      </w:r>
      <w:r w:rsidR="000D6310" w:rsidRPr="007363FF">
        <w:rPr>
          <w:rFonts w:ascii="Book Antiqua" w:hAnsi="Book Antiqua" w:cs="Arial"/>
          <w:sz w:val="24"/>
          <w:szCs w:val="24"/>
        </w:rPr>
        <w:t>active</w:t>
      </w:r>
      <w:r w:rsidR="005625A2" w:rsidRPr="007363FF">
        <w:rPr>
          <w:rFonts w:ascii="Book Antiqua" w:hAnsi="Book Antiqua" w:cs="Arial"/>
          <w:sz w:val="24"/>
          <w:szCs w:val="24"/>
        </w:rPr>
        <w:t xml:space="preserve"> HCV infection. </w:t>
      </w:r>
      <w:r w:rsidR="00F758E6" w:rsidRPr="007363FF">
        <w:rPr>
          <w:rFonts w:ascii="Book Antiqua" w:hAnsi="Book Antiqua" w:cs="Arial"/>
          <w:sz w:val="24"/>
          <w:szCs w:val="24"/>
        </w:rPr>
        <w:t>Because reinfection of the graft is</w:t>
      </w:r>
      <w:r w:rsidR="006408F1" w:rsidRPr="007363FF">
        <w:rPr>
          <w:rFonts w:ascii="Book Antiqua" w:hAnsi="Book Antiqua" w:cs="Arial"/>
          <w:sz w:val="24"/>
          <w:szCs w:val="24"/>
        </w:rPr>
        <w:t xml:space="preserve"> nearly </w:t>
      </w:r>
      <w:r w:rsidR="00F758E6" w:rsidRPr="007363FF">
        <w:rPr>
          <w:rFonts w:ascii="Book Antiqua" w:hAnsi="Book Antiqua" w:cs="Arial"/>
          <w:sz w:val="24"/>
          <w:szCs w:val="24"/>
        </w:rPr>
        <w:t xml:space="preserve">universal regardless of the donor’s HCV status, </w:t>
      </w:r>
      <w:r w:rsidR="00247698" w:rsidRPr="007363FF">
        <w:rPr>
          <w:rFonts w:ascii="Book Antiqua" w:hAnsi="Book Antiqua" w:cs="Arial"/>
          <w:sz w:val="24"/>
          <w:szCs w:val="24"/>
        </w:rPr>
        <w:t>it would seem reasonable to utilize HCV-positive organs for such patients, as they will remain viremic whether they receive an HCV-positive or -negative graft</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F1000_CSL_CITATION&lt;~#@#~&gt;[{"DOI":"10.1056/NEJM199603283341302","First":false,"Last":false,"PMID":"8596547","abstract":"&lt;strong&gt;BACKGROUND:&lt;/strong&gt; End-stage cirrhosis related to hepatitic C virus (HCV) is a common reason for liver transplantation, although viremia ia known to persist in most cases. We investigated the impact of persistent HCV infection after liver transplantation on patient and graft survival and the effects of the HCV genotype and the degree of HLA matching between donor and recipient on the severity of recurrent hepatitis.&lt;br&gt;&lt;br&gt;&lt;strong&gt;METHODS:&lt;/strong&gt; A group of 149 patients with HCV infection who received liver transplants between January 1982 and April 1994 were followed for a median of 36 months; 623 patients without HCV infection who underwent liver transplantation for end-stage chronic liver disease were used as a control group. A total of 528 liver-biopsy specimens from the HCV-infected recipients were reviewed, including 82 obtained one year after transplantation as scheduled and 39 obtained at five years as scheduled. In addition, biopsy specimens were obtained from 91 of the HCV-negative patients five years after transplantation.&lt;br&gt;&lt;br&gt;&lt;strong&gt;RESULTS:&lt;/strong&gt; Cumulative survival rates for the 149 patients with HCV infection were 79 percent after one year, 74 percent after three years, and 70 percent after five years, as compared with rates of 75 percent, 71 percent, and 69 percent, respectively, in the HCV-negative transplant recipients (P=0.12). Of the 130 patients with hepatitis C infection who survived more than 6 months after transplantation, 15 (12 percent) had no evidence of chronic hepatitis on their most recent liver biopsy (median followup, 20 months), 70 (54 percent) had mild chronic hepatitis (median, 35 months), 35 (27 percent) had moderate chronic hepatitis (median, 35 months), and 10 (8 percent) had cirrhosis (median, 51 months). Graft loss occurred after a median of 303 days in 27 of the 149 patients, including 5 with HCV-related cirrhosis and 3 with HCV-related cholestatic hepatitis. Infection with HCV genotype 1b was associated with more severe graft injury, whereas the primary immunosuppressive regimen used and the extent of HLA mismatching between donors and recipients had no significant effect on this variable.&lt;br&gt;&lt;br&gt;&lt;strong&gt;CONCLUSIONS:&lt;/strong&gt; After liver transplantation for HCV-related cirrhosis, persistent HCV infection can cause severe graft damage, and such damage is more frequent in patients infected with HCV genotype 1b than with other genotypes. After five years, the rates of graft and overall survival are similar between patients with and those without HCV infection.","author":[{"family":"Gane","given":"E J"},{"family":"Portmann","given":"B C"},{"family":"Naoumov","given":"N V"},{"family":"Smith","given":"H M"},{"family":"Underhill","given":"J A"},{"family":"Donaldson","given":"P T"},{"family":"Maertens","given":"G"},{"family":"Williams","given":"R"}],"authorYearDisplayFormat":false,"citation-label":"777314","container-title":"The New England Journal of Medicine","container-title-short":"N. Engl. J. Med.","id":"777314","invisible":false,"issue":"13","issued":{"date-parts":[["1996","3","28"]]},"journalAbbreviation":"N. Engl. J. Med.","page":"815-820","suppress-author":false,"title":"Long-term outcome of hepatitis C infection after liver transplantation.","type":"article-journal","volume":"334"}]</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[15]</w:t>
      </w:r>
      <w:r w:rsidR="0074363C" w:rsidRPr="007363FF">
        <w:rPr>
          <w:rFonts w:ascii="Book Antiqua" w:hAnsi="Book Antiqua" w:cs="Arial"/>
          <w:sz w:val="24"/>
          <w:szCs w:val="24"/>
        </w:rPr>
        <w:fldChar w:fldCharType="end"/>
      </w:r>
      <w:r w:rsidR="00247698" w:rsidRPr="007363FF">
        <w:rPr>
          <w:rFonts w:ascii="Book Antiqua" w:hAnsi="Book Antiqua" w:cs="Arial"/>
          <w:sz w:val="24"/>
          <w:szCs w:val="24"/>
        </w:rPr>
        <w:t xml:space="preserve">. </w:t>
      </w:r>
      <w:r w:rsidR="00EF27AB" w:rsidRPr="007363FF">
        <w:rPr>
          <w:rFonts w:ascii="Book Antiqua" w:hAnsi="Book Antiqua" w:cs="Arial"/>
          <w:sz w:val="24"/>
          <w:szCs w:val="24"/>
        </w:rPr>
        <w:t>It should be noted that before 201</w:t>
      </w:r>
      <w:r w:rsidR="00AC6AD6" w:rsidRPr="007363FF">
        <w:rPr>
          <w:rFonts w:ascii="Book Antiqua" w:hAnsi="Book Antiqua" w:cs="Arial"/>
          <w:sz w:val="24"/>
          <w:szCs w:val="24"/>
        </w:rPr>
        <w:t>4</w:t>
      </w:r>
      <w:r w:rsidR="00EF27AB" w:rsidRPr="007363FF">
        <w:rPr>
          <w:rFonts w:ascii="Book Antiqua" w:hAnsi="Book Antiqua" w:cs="Arial"/>
          <w:sz w:val="24"/>
          <w:szCs w:val="24"/>
        </w:rPr>
        <w:t>, nucleic acid testing (NAT) was not routinely performed on potential donors, so it was generally not possible to know whether the donor was actively viremic and to assess the risk of disease transmission</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F1000_CSL_CITATION&lt;~#@#~&gt;[{"DOI":"10.1111/ajt.14381","First":false,"Last":false,"PMID":"28556422","abstract":"The availability of direct-acting antiviral agents for the treatment of hepatitis C virus (HCV) infection has resulted in a profound shift in the approach to the management of this infection. These changes have affected the practice of solid organ transplantation by altering the framework by which patients with end-stage organ disease are managed and receive organ transplants. The high level of safety and efficacy of these medications in patients with chronic HCV infection provides the opportunity to explore their use in the setting of transplanting organs from HCV-viremic patients into non-HCV-viremic recipients. Because these organs are frequently discarded and typically come from younger donors, this approach has the potential to save lives on the solid organ transplant waitlist. Therefore, an urgent need exists for prospective research protocols that study the risk versus benefit of using organs for hepatitis C-infected donors. In response to this rapidly changing practice and the need for scientific study and consensus, the American Society of Transplantation convened a meeting of experts to review current data and develop the framework for the study of using HCV viremic organs in solid organ transplantation.&lt;br&gt;&lt;br&gt;© 2017 The American Society of Transplantation and the American Society of Transplant Surgeons.","author":[{"family":"Levitsky","given":"J"},{"family":"Formica","given":"R N"},{"family":"Bloom","given":"R D"},{"family":"Charlton","given":"M"},{"family":"Curry","given":"M"},{"family":"Friedewald","given":"J"},{"family":"Friedman","given":"J"},{"family":"Goldberg","given":"D"},{"family":"Hall","given":"S"},{"family":"Ison","given":"M"},{"family":"Kaiser","given":"T"},{"family":"Klassen","given":"D"},{"family":"Klintmalm","given":"G"},{"family":"Kobashigawa","given":"J"},{"family":"Liapakis","given":"A"},{"family":"O'Conner","given":"K"},{"family":"Reese","given":"P"},{"family":"Stewart","given":"D"},{"family":"Terrault","given":"N"},{"family":"Theodoropoulos","given":"N"},{"family":"Trotter","given":"J"},{"family":"Verna","given":"E"},{"family":"Volk","given":"M"}],"authorYearDisplayFormat":false,"citation-label":"4302868","container-title":"American Journal of Transplantation","container-title-short":"Am. J. Transplant.","id":"4302868","invisible":false,"issue":"11","issued":{"date-parts":[["2017","11"]]},"journalAbbreviation":"Am. J. Transplant.","page":"2790-2802","suppress-author":false,"title":"The american society of transplantation consensus conference on the use of hepatitis C viremic donors in solid organ transplantation.","type":"article-journal","volume":"17"}]</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[6]</w:t>
      </w:r>
      <w:r w:rsidR="0074363C" w:rsidRPr="007363FF">
        <w:rPr>
          <w:rFonts w:ascii="Book Antiqua" w:hAnsi="Book Antiqua" w:cs="Arial"/>
          <w:sz w:val="24"/>
          <w:szCs w:val="24"/>
        </w:rPr>
        <w:fldChar w:fldCharType="end"/>
      </w:r>
      <w:r w:rsidR="00EF27AB" w:rsidRPr="007363FF">
        <w:rPr>
          <w:rFonts w:ascii="Book Antiqua" w:hAnsi="Book Antiqua" w:cs="Arial"/>
          <w:sz w:val="24"/>
          <w:szCs w:val="24"/>
        </w:rPr>
        <w:t>. In older studies, therefore, HCV-positive donors refer only to HCV-seropositive donors.</w:t>
      </w:r>
    </w:p>
    <w:p w14:paraId="103E0BDF" w14:textId="3A1B7188" w:rsidR="0042491E" w:rsidRPr="007363FF" w:rsidRDefault="00247698" w:rsidP="00036B44">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 xml:space="preserve">Early data suggested that this strategy was not associated with impaired outcomes. </w:t>
      </w:r>
      <w:r w:rsidR="00B407D2" w:rsidRPr="007363FF">
        <w:rPr>
          <w:rFonts w:ascii="Book Antiqua" w:hAnsi="Book Antiqua" w:cs="Arial"/>
          <w:sz w:val="24"/>
          <w:szCs w:val="24"/>
        </w:rPr>
        <w:t>Of 202 patients with end-stage liver disease</w:t>
      </w:r>
      <w:r w:rsidR="00CC7D10" w:rsidRPr="007363FF">
        <w:rPr>
          <w:rFonts w:ascii="Book Antiqua" w:hAnsi="Book Antiqua" w:cs="Arial"/>
          <w:sz w:val="24"/>
          <w:szCs w:val="24"/>
        </w:rPr>
        <w:t xml:space="preserve"> (ESLD)</w:t>
      </w:r>
      <w:r w:rsidR="00B407D2" w:rsidRPr="007363FF">
        <w:rPr>
          <w:rFonts w:ascii="Book Antiqua" w:hAnsi="Book Antiqua" w:cs="Arial"/>
          <w:sz w:val="24"/>
          <w:szCs w:val="24"/>
        </w:rPr>
        <w:t xml:space="preserve"> related to HCV cirrhosis who underwent LT at a single center from 1992 to 1995, </w:t>
      </w:r>
      <w:r w:rsidR="00BD0691" w:rsidRPr="007363FF">
        <w:rPr>
          <w:rFonts w:ascii="Book Antiqua" w:hAnsi="Book Antiqua" w:cs="Arial"/>
          <w:sz w:val="24"/>
          <w:szCs w:val="24"/>
        </w:rPr>
        <w:t xml:space="preserve">23 patients received grafts from HCV-positive donors. </w:t>
      </w:r>
      <w:r w:rsidR="00B46A28" w:rsidRPr="007363FF">
        <w:rPr>
          <w:rFonts w:ascii="Book Antiqua" w:hAnsi="Book Antiqua" w:cs="Arial"/>
          <w:sz w:val="24"/>
          <w:szCs w:val="24"/>
        </w:rPr>
        <w:t>There was no significant difference in either 1-year or 5</w:t>
      </w:r>
      <w:r w:rsidR="00BA7551" w:rsidRPr="007363FF">
        <w:rPr>
          <w:rFonts w:ascii="Book Antiqua" w:hAnsi="Book Antiqua" w:cs="Arial"/>
          <w:sz w:val="24"/>
          <w:szCs w:val="24"/>
        </w:rPr>
        <w:t>-year graft or patient survival</w:t>
      </w:r>
      <w:r w:rsidR="00E86299" w:rsidRPr="007363FF">
        <w:rPr>
          <w:rFonts w:ascii="Book Antiqua" w:hAnsi="Book Antiqua" w:cs="Arial"/>
          <w:sz w:val="24"/>
          <w:szCs w:val="24"/>
        </w:rPr>
        <w:t>, thus supporting the use of organs from HCV-seropositive donors in HCV-</w:t>
      </w:r>
      <w:r w:rsidR="00E86299" w:rsidRPr="007363FF">
        <w:rPr>
          <w:rFonts w:ascii="Book Antiqua" w:hAnsi="Book Antiqua" w:cs="Arial"/>
          <w:sz w:val="24"/>
          <w:szCs w:val="24"/>
        </w:rPr>
        <w:lastRenderedPageBreak/>
        <w:t>infected recipients</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F1000_CSL_CITATION&lt;~#@#~&gt;[{"First":false,"Last":false,"PMID":"10381921","abstract":"&lt;strong&gt;BACKGROUND &amp; AIMS:&lt;/strong&gt; The present organ shortage has brought into question the suitability of hepatitis C virus (HCV)-positive grafts. This study reviewed the outcome of such transplantations in our institution.&lt;br&gt;&lt;br&gt;&lt;strong&gt;METHODS:&lt;/strong&gt; Twenty-three HCV-positive patients who underwent orthotopic liver transplantation (OLT) for end-stage liver disease with HCV-positive grafts in 1992-1995 were studied. Only patients who survived more than 30 days were included in the analysis. Control group included 169 patients who underwent transplantation for HCV-related cirrhosis and received HCV-negative organs.&lt;br&gt;&lt;br&gt;&lt;strong&gt;RESULTS:&lt;/strong&gt; Patients who received HCV-infected organs had a cumulative survival rate of 89% and 72% at 1 and 5 years, respectively, vs. 88% and 73% for the control group (NS). There was no difference in graft survival, incidence of cirrhosis, mean hepatitis activity index score, fibrosis, or mean activity of serum transaminases. There was a trend toward lower incidence of recurrent hepatitis C in the study group compared with control (21% vs. 23% at 1 year and 47% vs. 64% at 5 years; NS). Patients in whom the donor strain became predominant after transplantation had significantly longer disease-free survival than patients who retained their own HCV strain (P &lt;  0.003).&lt;br&gt;&lt;br&gt;&lt;strong&gt;CONCLUSIONS:&lt;/strong&gt; HCV-infected livers transplanted into HCV-infected recipients do not appear to convey a worse outcome in the initial years after OLT than HCV-negative grafts.","author":[{"family":"Vargas","given":"H E"},{"family":"Laskus","given":"T"},{"family":"Wang","given":"L F"},{"family":"Lee","given":"R"},{"family":"Radkowski","given":"M"},{"family":"Dodson","given":"F"},{"family":"Fung","given":"J J"},{"family":"Rakela","given":"J"}],"authorYearDisplayFormat":false,"citation-label":"3885941","container-title":"Gastroenterology","container-title-short":"Gastroenterology","id":"3885941","invisible":false,"issue":"1","issued":{"date-parts":[["1999","7"]]},"journalAbbreviation":"Gastroenterology","page":"149-153","suppress-author":false,"title":"Outcome of liver transplantation in hepatitis C virus-infected patients who received hepatitis C virus-infected grafts.","type":"article-journal","volume":"117"}]</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[16]</w:t>
      </w:r>
      <w:r w:rsidR="0074363C" w:rsidRPr="007363FF">
        <w:rPr>
          <w:rFonts w:ascii="Book Antiqua" w:hAnsi="Book Antiqua" w:cs="Arial"/>
          <w:sz w:val="24"/>
          <w:szCs w:val="24"/>
        </w:rPr>
        <w:fldChar w:fldCharType="end"/>
      </w:r>
      <w:r w:rsidR="00E86299" w:rsidRPr="007363FF">
        <w:rPr>
          <w:rFonts w:ascii="Book Antiqua" w:hAnsi="Book Antiqua" w:cs="Arial"/>
          <w:sz w:val="24"/>
          <w:szCs w:val="24"/>
        </w:rPr>
        <w:t>.</w:t>
      </w:r>
      <w:r w:rsidR="004540C1" w:rsidRPr="007363FF">
        <w:rPr>
          <w:rFonts w:ascii="Book Antiqua" w:hAnsi="Book Antiqua" w:cs="Arial"/>
          <w:sz w:val="24"/>
          <w:szCs w:val="24"/>
        </w:rPr>
        <w:t xml:space="preserve"> A larger study </w:t>
      </w:r>
      <w:r w:rsidR="00BA7551" w:rsidRPr="007363FF">
        <w:rPr>
          <w:rFonts w:ascii="Book Antiqua" w:hAnsi="Book Antiqua" w:cs="Arial"/>
          <w:sz w:val="24"/>
          <w:szCs w:val="24"/>
        </w:rPr>
        <w:t>using</w:t>
      </w:r>
      <w:r w:rsidR="004540C1" w:rsidRPr="007363FF">
        <w:rPr>
          <w:rFonts w:ascii="Book Antiqua" w:hAnsi="Book Antiqua" w:cs="Arial"/>
          <w:sz w:val="24"/>
          <w:szCs w:val="24"/>
        </w:rPr>
        <w:t xml:space="preserve"> the United Network for Organ Sharing Scientific Registry of Transplant Recipients </w:t>
      </w:r>
      <w:r w:rsidR="00EB2121" w:rsidRPr="007363FF">
        <w:rPr>
          <w:rFonts w:ascii="Book Antiqua" w:hAnsi="Book Antiqua" w:cs="Arial"/>
          <w:sz w:val="24"/>
          <w:szCs w:val="24"/>
        </w:rPr>
        <w:t xml:space="preserve">confirmed these findings. In this study the outcomes of 96 HCV-infected recipients of HCV-positive organs were compared to those of 2827 patients who received organs from HCV-negative donors. </w:t>
      </w:r>
      <w:r w:rsidR="00240699" w:rsidRPr="007363FF">
        <w:rPr>
          <w:rFonts w:ascii="Book Antiqua" w:hAnsi="Book Antiqua" w:cs="Arial"/>
          <w:sz w:val="24"/>
          <w:szCs w:val="24"/>
        </w:rPr>
        <w:t xml:space="preserve">Patient and graft survival </w:t>
      </w:r>
      <w:r w:rsidR="00B7669A" w:rsidRPr="007363FF">
        <w:rPr>
          <w:rFonts w:ascii="Book Antiqua" w:hAnsi="Book Antiqua" w:cs="Arial"/>
          <w:sz w:val="24"/>
          <w:szCs w:val="24"/>
        </w:rPr>
        <w:t>were</w:t>
      </w:r>
      <w:r w:rsidR="00C70B57" w:rsidRPr="007363FF">
        <w:rPr>
          <w:rFonts w:ascii="Book Antiqua" w:hAnsi="Book Antiqua" w:cs="Arial"/>
          <w:sz w:val="24"/>
          <w:szCs w:val="24"/>
        </w:rPr>
        <w:t xml:space="preserve"> similar and in fact</w:t>
      </w:r>
      <w:r w:rsidR="00240699" w:rsidRPr="007363FF">
        <w:rPr>
          <w:rFonts w:ascii="Book Antiqua" w:hAnsi="Book Antiqua" w:cs="Arial"/>
          <w:sz w:val="24"/>
          <w:szCs w:val="24"/>
        </w:rPr>
        <w:t xml:space="preserve"> slightly better in the group that received organs from HCV-positive donors (</w:t>
      </w:r>
      <w:r w:rsidR="00C467F4" w:rsidRPr="007363FF">
        <w:rPr>
          <w:rFonts w:ascii="Book Antiqua" w:hAnsi="Book Antiqua" w:cs="Arial"/>
          <w:sz w:val="24"/>
          <w:szCs w:val="24"/>
        </w:rPr>
        <w:t xml:space="preserve">90% </w:t>
      </w:r>
      <w:r w:rsidR="00C467F4" w:rsidRPr="00641CF3">
        <w:rPr>
          <w:rFonts w:ascii="Book Antiqua" w:hAnsi="Book Antiqua" w:cs="Arial"/>
          <w:i/>
          <w:iCs/>
          <w:sz w:val="24"/>
          <w:szCs w:val="24"/>
        </w:rPr>
        <w:t>vs</w:t>
      </w:r>
      <w:r w:rsidR="00C467F4" w:rsidRPr="007363FF">
        <w:rPr>
          <w:rFonts w:ascii="Book Antiqua" w:hAnsi="Book Antiqua" w:cs="Arial"/>
          <w:sz w:val="24"/>
          <w:szCs w:val="24"/>
        </w:rPr>
        <w:t xml:space="preserve"> 77% 2-year survival, </w:t>
      </w:r>
      <w:r w:rsidR="00641CF3" w:rsidRPr="00641CF3">
        <w:rPr>
          <w:rFonts w:ascii="Book Antiqua" w:hAnsi="Book Antiqua" w:cs="Arial"/>
          <w:i/>
          <w:iCs/>
          <w:sz w:val="24"/>
          <w:szCs w:val="24"/>
        </w:rPr>
        <w:t>P</w:t>
      </w:r>
      <w:r w:rsidR="00641CF3">
        <w:rPr>
          <w:rFonts w:ascii="Book Antiqua" w:hAnsi="Book Antiqua" w:cs="Arial"/>
          <w:sz w:val="24"/>
          <w:szCs w:val="24"/>
        </w:rPr>
        <w:t xml:space="preserve"> </w:t>
      </w:r>
      <w:r w:rsidR="00C467F4" w:rsidRPr="007363FF">
        <w:rPr>
          <w:rFonts w:ascii="Book Antiqua" w:hAnsi="Book Antiqua" w:cs="Arial"/>
          <w:sz w:val="24"/>
          <w:szCs w:val="24"/>
        </w:rPr>
        <w:t>=</w:t>
      </w:r>
      <w:r w:rsidR="00641CF3">
        <w:rPr>
          <w:rFonts w:ascii="Book Antiqua" w:hAnsi="Book Antiqua" w:cs="Arial"/>
          <w:sz w:val="24"/>
          <w:szCs w:val="24"/>
        </w:rPr>
        <w:t xml:space="preserve"> </w:t>
      </w:r>
      <w:r w:rsidR="00C467F4" w:rsidRPr="007363FF">
        <w:rPr>
          <w:rFonts w:ascii="Book Antiqua" w:hAnsi="Book Antiqua" w:cs="Arial"/>
          <w:sz w:val="24"/>
          <w:szCs w:val="24"/>
        </w:rPr>
        <w:t xml:space="preserve">0.01). </w:t>
      </w:r>
      <w:r w:rsidR="00414A4E" w:rsidRPr="007363FF">
        <w:rPr>
          <w:rFonts w:ascii="Book Antiqua" w:hAnsi="Book Antiqua" w:cs="Arial"/>
          <w:sz w:val="24"/>
          <w:szCs w:val="24"/>
        </w:rPr>
        <w:t xml:space="preserve">This is likely because patients who accepted HCV-positive </w:t>
      </w:r>
      <w:r w:rsidR="00AB16ED" w:rsidRPr="007363FF">
        <w:rPr>
          <w:rFonts w:ascii="Book Antiqua" w:hAnsi="Book Antiqua" w:cs="Arial"/>
          <w:sz w:val="24"/>
          <w:szCs w:val="24"/>
        </w:rPr>
        <w:t xml:space="preserve">were less sick </w:t>
      </w:r>
      <w:r w:rsidR="00C70B57" w:rsidRPr="007363FF">
        <w:rPr>
          <w:rFonts w:ascii="Book Antiqua" w:hAnsi="Book Antiqua" w:cs="Arial"/>
          <w:sz w:val="24"/>
          <w:szCs w:val="24"/>
        </w:rPr>
        <w:t>at the time of transplantation</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F1000_CSL_CITATION&lt;~#@#~&gt;[{"DOI":"10.1053/jlts.2001.27088","First":false,"Last":false,"PMID":"11552208","abstract":"A significant number of patients with end-stage liver disease secondary to hepatitis C die of disease-related complications. Liver transplantation offers the only effective alternative. Unfortunately, organ demand exceeds supply. Consequently, some transplant centers have used hepatitis C virus-positive (HCV(+)) donor livers for HCV(+) recipients. This study reviews the clinical outcome of a large series of HCV(+) recipients of HCV(+) liver allografts and compares their course with that of HCV(+) recipients of HCV-negative (HCV(-)) allografts. The United Network for Organ Sharing Scientific Registry was reviewed for the period from April 1, 1994, to June 30, 1997. All HCV(+) transplant recipients were analyzed. Two groups were identified: a group of HCV(+) recipients of HCV(+) donor livers (n = 96), and a group of HCV(+) recipients of HCV(-) donor livers (n = 2,827). A multivariate logistic regression model was used to determine the odds of graft failure and patient mortality, and unadjusted graft and patient survival were determined using the Kaplan-Meier method. There were no differences in demographic criteria between the groups. A greater percentage of patients with hepatocellular carcinoma received an HCV(+) allograft (8.3% v 3.1%; P =.01). Patient survival showed a significant difference for the HCV(+) group compared with the HCV(-) group (90% v 77%; P =.01). Blood type group A, group B, group O incompatibility was significant, with 4.2% incompatibility in the HCV(+) group and only 1.3% in the HCV(-) group (P =.04). Donor hepatitis C status does not impact on graft or patient survival after liver transplantation for HCV(+) recipients. Their survival was equivalent, if not better, compared with the control group. Using HCV(+) donor livers for transplantation in HCV(+) recipients safely and effectively expands the organ donor pool.","author":[{"family":"Marroquin","given":"C E"},{"family":"Marino","given":"G"},{"family":"Kuo","given":"P C"},{"family":"Plotkin","given":"J S"},{"family":"Rustgi","given":"V K"},{"family":"Lu","given":"A D"},{"family":"Edwards","given":"E"},{"family":"Taranto","given":"S"},{"family":"Johnson","given":"L B"}],"authorYearDisplayFormat":false,"citation-label":"6457297","container-title":"Liver Transplantation","container-title-short":"Liver Transpl.","id":"6457297","invisible":false,"issue":"9","issued":{"date-parts":[["2001","9"]]},"journalAbbreviation":"Liver Transpl.","page":"762-768","suppress-author":false,"title":"Transplantation of hepatitis C-positive livers in hepatitis C-positive patients is equivalent to transplanting hepatitis C-negative livers.","type":"article-journal","volume":"7"}]</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[17]</w:t>
      </w:r>
      <w:r w:rsidR="0074363C" w:rsidRPr="007363FF">
        <w:rPr>
          <w:rFonts w:ascii="Book Antiqua" w:hAnsi="Book Antiqua" w:cs="Arial"/>
          <w:sz w:val="24"/>
          <w:szCs w:val="24"/>
        </w:rPr>
        <w:fldChar w:fldCharType="end"/>
      </w:r>
      <w:r w:rsidR="00CE310F" w:rsidRPr="007363FF">
        <w:rPr>
          <w:rFonts w:ascii="Book Antiqua" w:hAnsi="Book Antiqua" w:cs="Arial"/>
          <w:sz w:val="24"/>
          <w:szCs w:val="24"/>
        </w:rPr>
        <w:t>.</w:t>
      </w:r>
    </w:p>
    <w:p w14:paraId="375A359D" w14:textId="0A390B75" w:rsidR="0042491E" w:rsidRPr="007363FF" w:rsidRDefault="0042491E" w:rsidP="00AD1F1E">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 xml:space="preserve">Somewhat conflicting data arose from a study published by a group from </w:t>
      </w:r>
      <w:r w:rsidR="00B5781D" w:rsidRPr="007363FF">
        <w:rPr>
          <w:rFonts w:ascii="Book Antiqua" w:hAnsi="Book Antiqua" w:cs="Arial"/>
          <w:sz w:val="24"/>
          <w:szCs w:val="24"/>
        </w:rPr>
        <w:t>Europe</w:t>
      </w:r>
      <w:r w:rsidR="001B52CC" w:rsidRPr="007363FF">
        <w:rPr>
          <w:rFonts w:ascii="Book Antiqua" w:hAnsi="Book Antiqua" w:cs="Arial"/>
          <w:sz w:val="24"/>
          <w:szCs w:val="24"/>
        </w:rPr>
        <w:t xml:space="preserve">. </w:t>
      </w:r>
      <w:r w:rsidR="002D1BE9" w:rsidRPr="007363FF">
        <w:rPr>
          <w:rFonts w:ascii="Book Antiqua" w:hAnsi="Book Antiqua" w:cs="Arial"/>
          <w:sz w:val="24"/>
          <w:szCs w:val="24"/>
        </w:rPr>
        <w:t>In this more recent (but still pre-DAA, IFN-only era) multicenter study,</w:t>
      </w:r>
      <w:r w:rsidR="00265586" w:rsidRPr="007363FF">
        <w:rPr>
          <w:rFonts w:ascii="Book Antiqua" w:hAnsi="Book Antiqua" w:cs="Arial"/>
          <w:sz w:val="24"/>
          <w:szCs w:val="24"/>
        </w:rPr>
        <w:t xml:space="preserve"> among 694 patients who underwent transplantation for </w:t>
      </w:r>
      <w:r w:rsidR="00C70B57" w:rsidRPr="007363FF">
        <w:rPr>
          <w:rFonts w:ascii="Book Antiqua" w:hAnsi="Book Antiqua" w:cs="Arial"/>
          <w:sz w:val="24"/>
          <w:szCs w:val="24"/>
        </w:rPr>
        <w:t>liver disease</w:t>
      </w:r>
      <w:r w:rsidR="00265586" w:rsidRPr="007363FF">
        <w:rPr>
          <w:rFonts w:ascii="Book Antiqua" w:hAnsi="Book Antiqua" w:cs="Arial"/>
          <w:sz w:val="24"/>
          <w:szCs w:val="24"/>
        </w:rPr>
        <w:t xml:space="preserve"> due to chronic HCV, </w:t>
      </w:r>
      <w:r w:rsidR="00DA4022" w:rsidRPr="007363FF">
        <w:rPr>
          <w:rFonts w:ascii="Book Antiqua" w:hAnsi="Book Antiqua" w:cs="Arial"/>
          <w:sz w:val="24"/>
          <w:szCs w:val="24"/>
        </w:rPr>
        <w:t xml:space="preserve">11% received organs from HCV-positive donors. When comparing the 63 patients who received HCV-positive organs to 63 controls who received HCV-negative organs, </w:t>
      </w:r>
      <w:r w:rsidR="00825A15" w:rsidRPr="007363FF">
        <w:rPr>
          <w:rFonts w:ascii="Book Antiqua" w:hAnsi="Book Antiqua" w:cs="Arial"/>
          <w:sz w:val="24"/>
          <w:szCs w:val="24"/>
        </w:rPr>
        <w:t xml:space="preserve">there were no significant differences in patient or graft survival. </w:t>
      </w:r>
      <w:r w:rsidR="00E96539" w:rsidRPr="007363FF">
        <w:rPr>
          <w:rFonts w:ascii="Book Antiqua" w:hAnsi="Book Antiqua" w:cs="Arial"/>
          <w:sz w:val="24"/>
          <w:szCs w:val="24"/>
        </w:rPr>
        <w:t xml:space="preserve">Secondary outcomes were less favorable, however, with more rapid clinical recurrence of HCV in the HCV-positive donor group, </w:t>
      </w:r>
      <w:r w:rsidR="00345B3A" w:rsidRPr="007363FF">
        <w:rPr>
          <w:rFonts w:ascii="Book Antiqua" w:hAnsi="Book Antiqua" w:cs="Arial"/>
          <w:sz w:val="24"/>
          <w:szCs w:val="24"/>
        </w:rPr>
        <w:t xml:space="preserve">as well as a greater incidence of biliary complications and rejection. </w:t>
      </w:r>
      <w:r w:rsidR="00492189" w:rsidRPr="007363FF">
        <w:rPr>
          <w:rFonts w:ascii="Book Antiqua" w:hAnsi="Book Antiqua" w:cs="Arial"/>
          <w:sz w:val="24"/>
          <w:szCs w:val="24"/>
        </w:rPr>
        <w:t>Time to recurrence did seem to be shorter in patients who received organs from viremic donors</w:t>
      </w:r>
      <w:r w:rsidR="00A55E3C" w:rsidRPr="007363FF">
        <w:rPr>
          <w:rFonts w:ascii="Book Antiqua" w:hAnsi="Book Antiqua" w:cs="Arial"/>
          <w:sz w:val="24"/>
          <w:szCs w:val="24"/>
        </w:rPr>
        <w:t xml:space="preserve">, who comprised </w:t>
      </w:r>
      <w:r w:rsidR="00C163F2" w:rsidRPr="007363FF">
        <w:rPr>
          <w:rFonts w:ascii="Book Antiqua" w:hAnsi="Book Antiqua" w:cs="Arial"/>
          <w:sz w:val="24"/>
          <w:szCs w:val="24"/>
        </w:rPr>
        <w:t>43% of the population of HCV-seropositive donors</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F1000_CSL_CITATION&lt;~#@#~&gt;[{"DOI":"10.1097/TP.0b013e318219eb8f","First":false,"Last":false,"PMID":"21478815","abstract":"BACKGROUND: The growing prevalence of hepatitis C virus (HCV) infection in the general population has resulted in an increased frequency of potential organ donors that carry the virus. Given the significant disparity between organ supply and demand for transplantation, it becomes essential to consider whether livers from anti-HCV-positive donors may be considered suitable for transplantation.METHODS: Based on a multicenter European database, 694 patients with HCV-related cirrhosis underwent liver transplantation and 11% of them received the graft from anti-HCV-positive donors. Of this group, we selected 63 patients (study group) and, after a 1:1 case-control approach, compared them with 63 patients that received an anti-HCV-negative donor graft (control group). Only grafts with preperfusion liver biopsy results with a fibrosis score of not more than 1 were used for transplantation.RESULTS: Patients who received anti-HCV-positive grafts had a cumulative survival rate of 83.6% and 61.7% at 1 and 5 years, respectively, vs. 95.1% and 68.2% for the control group. In comparing overall patient and graft survival, there was no statistically significant difference between the two groups (P=0.22 and 0.11). Recurrence of hepatitis C tended to be more rapid in the group of patients who received anti-HCV-positive grafts, although it did not reach statistical significance (P=0.07).CONCLUSIONS: We do not recommend the indiscriminate use of anti-HCV-positive donors, especially if HCV-RNA positive, as the use of this kind of graft could be linked to an advanced stage of fibrosis, the main risk factor we observed for earlier hepatitis C recurrence.","author":[{"family":"Ballarin","given":"Roberto"},{"family":"Cucchetti","given":"Alessandro"},{"family":"Spaggiari","given":"Mario"},{"family":"Montalti","given":"Roberto"},{"family":"Di Benedetto","given":"Fabrizio"},{"family":"Nadalin","given":"Silvio"},{"family":"Troisi","given":"Roberto Ivan"},{"family":"Valmasoni","given":"Michele"},{"family":"Longo","given":"Cristina"},{"family":"De Ruvo","given":"Nicola"},{"family":"Cautero","given":"Nicola"},{"family":"Cillo","given":"Umberto"},{"family":"Pinna","given":"Antonio Daniele"},{"family":"Burra","given":"Patrizia"},{"family":"Gerunda","given":"Giorgio Enrico"}],"authorYearDisplayFormat":false,"citation-label":"1511158","container-title":"Transplantation","container-title-short":"Transplantation","id":"1511158","invisible":false,"issue":"11","issued":{"date-parts":[["2011","6","15"]]},"journalAbbreviation":"Transplantation","page":"1265-1272","suppress-author":false,"title":"Long-term follow-up and outcome of liver transplantation from anti-hepatitis C virus-positive donors: a European multicentric case-control study.","type":"article-journal","volume":"91"}]</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[18]</w:t>
      </w:r>
      <w:r w:rsidR="0074363C" w:rsidRPr="007363FF">
        <w:rPr>
          <w:rFonts w:ascii="Book Antiqua" w:hAnsi="Book Antiqua" w:cs="Arial"/>
          <w:sz w:val="24"/>
          <w:szCs w:val="24"/>
        </w:rPr>
        <w:fldChar w:fldCharType="end"/>
      </w:r>
      <w:r w:rsidR="00492189" w:rsidRPr="007363FF">
        <w:rPr>
          <w:rFonts w:ascii="Book Antiqua" w:hAnsi="Book Antiqua" w:cs="Arial"/>
          <w:sz w:val="24"/>
          <w:szCs w:val="24"/>
        </w:rPr>
        <w:t xml:space="preserve">. </w:t>
      </w:r>
      <w:r w:rsidR="0000485F" w:rsidRPr="007363FF">
        <w:rPr>
          <w:rFonts w:ascii="Book Antiqua" w:hAnsi="Book Antiqua" w:cs="Arial"/>
          <w:sz w:val="24"/>
          <w:szCs w:val="24"/>
        </w:rPr>
        <w:t xml:space="preserve">Time to post-LT HCV recurrence was also shorter in patients who received grafts that had F1 </w:t>
      </w:r>
      <w:r w:rsidR="0000485F" w:rsidRPr="00AD1F1E">
        <w:rPr>
          <w:rFonts w:ascii="Book Antiqua" w:hAnsi="Book Antiqua" w:cs="Arial"/>
          <w:i/>
          <w:iCs/>
          <w:sz w:val="24"/>
          <w:szCs w:val="24"/>
        </w:rPr>
        <w:t>vs</w:t>
      </w:r>
      <w:r w:rsidR="0000485F" w:rsidRPr="007363FF">
        <w:rPr>
          <w:rFonts w:ascii="Book Antiqua" w:hAnsi="Book Antiqua" w:cs="Arial"/>
          <w:sz w:val="24"/>
          <w:szCs w:val="24"/>
        </w:rPr>
        <w:t xml:space="preserve"> F0 fibrosis. </w:t>
      </w:r>
      <w:r w:rsidR="00465FF4" w:rsidRPr="007363FF">
        <w:rPr>
          <w:rFonts w:ascii="Book Antiqua" w:hAnsi="Book Antiqua" w:cs="Arial"/>
          <w:sz w:val="24"/>
          <w:szCs w:val="24"/>
        </w:rPr>
        <w:t>The authors concluded therefore, that caution should be exercised</w:t>
      </w:r>
      <w:r w:rsidR="002A1CDB" w:rsidRPr="007363FF">
        <w:rPr>
          <w:rFonts w:ascii="Book Antiqua" w:hAnsi="Book Antiqua" w:cs="Arial"/>
          <w:sz w:val="24"/>
          <w:szCs w:val="24"/>
        </w:rPr>
        <w:t xml:space="preserve"> in graft selection but that overall there was no detriment to patient or graft survival when transplanting patients with HCV-positive grafts.</w:t>
      </w:r>
      <w:r w:rsidR="00094799" w:rsidRPr="007363FF">
        <w:rPr>
          <w:rFonts w:ascii="Book Antiqua" w:hAnsi="Book Antiqua" w:cs="Arial"/>
          <w:sz w:val="24"/>
          <w:szCs w:val="24"/>
        </w:rPr>
        <w:t xml:space="preserve"> Given these data, it has been standard of care to offer HCV-positive grafts to HCV-positive recipie</w:t>
      </w:r>
      <w:r w:rsidR="00C70B57" w:rsidRPr="007363FF">
        <w:rPr>
          <w:rFonts w:ascii="Book Antiqua" w:hAnsi="Book Antiqua" w:cs="Arial"/>
          <w:sz w:val="24"/>
          <w:szCs w:val="24"/>
        </w:rPr>
        <w:t>nts for the last 15</w:t>
      </w:r>
      <w:r w:rsidR="00AD1F1E">
        <w:rPr>
          <w:rFonts w:ascii="Book Antiqua" w:hAnsi="Book Antiqua" w:cs="Arial"/>
          <w:sz w:val="24"/>
          <w:szCs w:val="24"/>
        </w:rPr>
        <w:t>-</w:t>
      </w:r>
      <w:r w:rsidR="00C70B57" w:rsidRPr="007363FF">
        <w:rPr>
          <w:rFonts w:ascii="Book Antiqua" w:hAnsi="Book Antiqua" w:cs="Arial"/>
          <w:sz w:val="24"/>
          <w:szCs w:val="24"/>
        </w:rPr>
        <w:t>20 years</w:t>
      </w:r>
      <w:r w:rsidR="00094799" w:rsidRPr="007363FF">
        <w:rPr>
          <w:rFonts w:ascii="Book Antiqua" w:hAnsi="Book Antiqua" w:cs="Arial"/>
          <w:sz w:val="24"/>
          <w:szCs w:val="24"/>
        </w:rPr>
        <w:t>.</w:t>
      </w:r>
    </w:p>
    <w:p w14:paraId="1AC7AC71" w14:textId="77777777" w:rsidR="00297CBC" w:rsidRPr="007363FF" w:rsidRDefault="00297CBC" w:rsidP="007363FF">
      <w:pPr>
        <w:pStyle w:val="a3"/>
        <w:adjustRightInd w:val="0"/>
        <w:snapToGrid w:val="0"/>
        <w:spacing w:line="360" w:lineRule="auto"/>
        <w:jc w:val="both"/>
        <w:rPr>
          <w:rFonts w:ascii="Book Antiqua" w:hAnsi="Book Antiqua" w:cs="Arial"/>
          <w:sz w:val="24"/>
          <w:szCs w:val="24"/>
        </w:rPr>
      </w:pPr>
    </w:p>
    <w:p w14:paraId="792F2DCF" w14:textId="31D56EA7" w:rsidR="00297CBC" w:rsidRPr="007363FF" w:rsidRDefault="00AD1F1E" w:rsidP="007363FF">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b/>
          <w:sz w:val="24"/>
          <w:szCs w:val="24"/>
        </w:rPr>
        <w:t>THE IMPACT OF DAA THERAPY</w:t>
      </w:r>
    </w:p>
    <w:p w14:paraId="0F3291B8" w14:textId="49DF4F83" w:rsidR="007C2C27" w:rsidRPr="007363FF" w:rsidRDefault="00D401D5" w:rsidP="007363FF">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Despite the promising data showing the essential</w:t>
      </w:r>
      <w:r w:rsidR="003453FB" w:rsidRPr="007363FF">
        <w:rPr>
          <w:rFonts w:ascii="Book Antiqua" w:hAnsi="Book Antiqua" w:cs="Arial"/>
          <w:sz w:val="24"/>
          <w:szCs w:val="24"/>
        </w:rPr>
        <w:t>ly</w:t>
      </w:r>
      <w:r w:rsidRPr="007363FF">
        <w:rPr>
          <w:rFonts w:ascii="Book Antiqua" w:hAnsi="Book Antiqua" w:cs="Arial"/>
          <w:sz w:val="24"/>
          <w:szCs w:val="24"/>
        </w:rPr>
        <w:t xml:space="preserve"> neutral effects of utilizing HCV-positive donors for HCV-positive recipients, until the IFN-free DAA era, HCV-positive liver grafts were underutilized and discarded at a high rate</w:t>
      </w:r>
      <w:r w:rsidR="002B5646" w:rsidRPr="007363FF">
        <w:rPr>
          <w:rFonts w:ascii="Book Antiqua" w:hAnsi="Book Antiqua" w:cs="Arial"/>
          <w:sz w:val="24"/>
          <w:szCs w:val="24"/>
        </w:rPr>
        <w:t>. Indeed,</w:t>
      </w:r>
      <w:r w:rsidR="00677EEE" w:rsidRPr="007363FF">
        <w:rPr>
          <w:rFonts w:ascii="Book Antiqua" w:hAnsi="Book Antiqua" w:cs="Arial"/>
          <w:sz w:val="24"/>
          <w:szCs w:val="24"/>
        </w:rPr>
        <w:t xml:space="preserve"> 28% of such livers were discarded between 2005 and 2010</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F1000_CSL_CITATION&lt;~#@#~&gt;[{"DOI":"10.1111/ajt.13976","First":false,"Last":false,"PMCID":"PMC5266634","PMID":"27456927","abstract":"The impact of interferon (IFN)-free direct-acting antiviral (DAA) hepatitis C virus (HCV) treatments on utilization and outcomes associated with HCV-positive deceased donor liver transplantation (DDLT) is largely unknown. Using the Scientific Registry of Transplant Recipients, we identified 25 566 HCV-positive DDLT recipients from 2005 to 2015 and compared practices according to the introduction of DAA therapies using modified Poisson regression. The proportion of HCV-positive recipients who received HCV-positive livers increased from 6.9% in 2010 to 16.9% in 2015. HCV-positive recipients were 61% more likely to receive an HCV-positive liver after 2010 (early DAA/IFN era) (aRR:1.45 1.611.79 , p &lt;  0.001) and almost three times more likely to receive one after 2013 (IFN-free DAA era) (aRR:2.58 2.853.16 , p &lt;  0.001). Compared to HCV-negative livers, HCV-positive livers were 3 times more likely to be discarded from 2005 to 2010 (aRR:2.69 2.993.34 , p &lt;  0.001), 2.2 times more likely after 2010 (aRR:1.80 2.162.58 , p &lt;  0.001) and 1.7 times more likely after 2013 (aRR:1.37 1.682.04 , p &lt;  0.001). Donor HCV status was not associated with increased risk of all-cause graft loss (p = 0.1), and this did not change over time (p = 0.8). Use of HCV-positive livers has increased dramatically, coinciding with the advent of DAAs. However, the discard rate remains nearly double that of HCV-negative livers. Further optimization of HCV-positive liver utilization is necessary to improve access for all candidates.&lt;br&gt;&lt;br&gt;© Copyright 2016 The American Society of Transplantation and the American Society of Transplant Surgeons.","author":[{"family":"Bowring","given":"M G"},{"family":"Kucirka","given":"L M"},{"family":"Massie","given":"A B"},{"family":"Luo","given":"X"},{"family":"Cameron","given":"A"},{"family":"Sulkowski","given":"M"},{"family":"Rakestraw","given":"K"},{"family":"Gurakar","given":"A"},{"family":"Kuo","given":"I"},{"family":"Segev","given":"D L"},{"family":"Durand","given":"C M"}],"authorYearDisplayFormat":false,"citation-label":"4761325","container-title":"American Journal of Transplantation","container-title-short":"Am. J. Transplant.","id":"4761325","invisible":false,"issue":"2","issued":{"date-parts":[["2017","2"]]},"journalAbbreviation":"Am. J. Transplant.","page":"519-527","suppress-author":false,"title":"Changes in Utilization and Discard of Hepatitis C-Infected Donor Livers in the Recent Era.","type":"article-journal","volume":"17"}]</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[14]</w:t>
      </w:r>
      <w:r w:rsidR="0074363C" w:rsidRPr="007363FF">
        <w:rPr>
          <w:rFonts w:ascii="Book Antiqua" w:hAnsi="Book Antiqua" w:cs="Arial"/>
          <w:sz w:val="24"/>
          <w:szCs w:val="24"/>
        </w:rPr>
        <w:fldChar w:fldCharType="end"/>
      </w:r>
      <w:r w:rsidRPr="007363FF">
        <w:rPr>
          <w:rFonts w:ascii="Book Antiqua" w:hAnsi="Book Antiqua" w:cs="Arial"/>
          <w:sz w:val="24"/>
          <w:szCs w:val="24"/>
        </w:rPr>
        <w:t>.</w:t>
      </w:r>
      <w:r w:rsidR="00677EEE" w:rsidRPr="007363FF">
        <w:rPr>
          <w:rFonts w:ascii="Book Antiqua" w:hAnsi="Book Antiqua" w:cs="Arial"/>
          <w:sz w:val="24"/>
          <w:szCs w:val="24"/>
        </w:rPr>
        <w:t xml:space="preserve"> </w:t>
      </w:r>
      <w:r w:rsidR="001E099A" w:rsidRPr="007363FF">
        <w:rPr>
          <w:rFonts w:ascii="Book Antiqua" w:hAnsi="Book Antiqua" w:cs="Arial"/>
          <w:sz w:val="24"/>
          <w:szCs w:val="24"/>
        </w:rPr>
        <w:t xml:space="preserve">In the DAA era, the discard rate has declined to around 11%, owing in large part to a change in physician attitudes regarding the </w:t>
      </w:r>
      <w:r w:rsidR="001E099A" w:rsidRPr="007363FF">
        <w:rPr>
          <w:rFonts w:ascii="Book Antiqua" w:hAnsi="Book Antiqua" w:cs="Arial"/>
          <w:sz w:val="24"/>
          <w:szCs w:val="24"/>
        </w:rPr>
        <w:lastRenderedPageBreak/>
        <w:t xml:space="preserve">treatment of HCV in the post-transplant setting; as DAAs made treatment easier, there </w:t>
      </w:r>
      <w:r w:rsidR="00CB4538" w:rsidRPr="007363FF">
        <w:rPr>
          <w:rFonts w:ascii="Book Antiqua" w:hAnsi="Book Antiqua" w:cs="Arial"/>
          <w:sz w:val="24"/>
          <w:szCs w:val="24"/>
        </w:rPr>
        <w:t>h</w:t>
      </w:r>
      <w:r w:rsidR="001E099A" w:rsidRPr="007363FF">
        <w:rPr>
          <w:rFonts w:ascii="Book Antiqua" w:hAnsi="Book Antiqua" w:cs="Arial"/>
          <w:sz w:val="24"/>
          <w:szCs w:val="24"/>
        </w:rPr>
        <w:t>as</w:t>
      </w:r>
      <w:r w:rsidR="00CB4538" w:rsidRPr="007363FF">
        <w:rPr>
          <w:rFonts w:ascii="Book Antiqua" w:hAnsi="Book Antiqua" w:cs="Arial"/>
          <w:sz w:val="24"/>
          <w:szCs w:val="24"/>
        </w:rPr>
        <w:t xml:space="preserve"> been</w:t>
      </w:r>
      <w:r w:rsidR="001E099A" w:rsidRPr="007363FF">
        <w:rPr>
          <w:rFonts w:ascii="Book Antiqua" w:hAnsi="Book Antiqua" w:cs="Arial"/>
          <w:sz w:val="24"/>
          <w:szCs w:val="24"/>
        </w:rPr>
        <w:t xml:space="preserve"> an increased acceptance of utilization of HCV-positive livers</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F1000_CSL_CITATION&lt;~#@#~&gt;[{"DOI":"10.1111/ajt.13976","First":false,"Last":false,"PMCID":"PMC5266634","PMID":"27456927","abstract":"The impact of interferon (IFN)-free direct-acting antiviral (DAA) hepatitis C virus (HCV) treatments on utilization and outcomes associated with HCV-positive deceased donor liver transplantation (DDLT) is largely unknown. Using the Scientific Registry of Transplant Recipients, we identified 25 566 HCV-positive DDLT recipients from 2005 to 2015 and compared practices according to the introduction of DAA therapies using modified Poisson regression. The proportion of HCV-positive recipients who received HCV-positive livers increased from 6.9% in 2010 to 16.9% in 2015. HCV-positive recipients were 61% more likely to receive an HCV-positive liver after 2010 (early DAA/IFN era) (aRR:1.45 1.611.79 , p &lt;  0.001) and almost three times more likely to receive one after 2013 (IFN-free DAA era) (aRR:2.58 2.853.16 , p &lt;  0.001). Compared to HCV-negative livers, HCV-positive livers were 3 times more likely to be discarded from 2005 to 2010 (aRR:2.69 2.993.34 , p &lt;  0.001), 2.2 times more likely after 2010 (aRR:1.80 2.162.58 , p &lt;  0.001) and 1.7 times more likely after 2013 (aRR:1.37 1.682.04 , p &lt;  0.001). Donor HCV status was not associated with increased risk of all-cause graft loss (p = 0.1), and this did not change over time (p = 0.8). Use of HCV-positive livers has increased dramatically, coinciding with the advent of DAAs. However, the discard rate remains nearly double that of HCV-negative livers. Further optimization of HCV-positive liver utilization is necessary to improve access for all candidates.&lt;br&gt;&lt;br&gt;© Copyright 2016 The American Society of Transplantation and the American Society of Transplant Surgeons.","author":[{"family":"Bowring","given":"M G"},{"family":"Kucirka","given":"L M"},{"family":"Massie","given":"A B"},{"family":"Luo","given":"X"},{"family":"Cameron","given":"A"},{"family":"Sulkowski","given":"M"},{"family":"Rakestraw","given":"K"},{"family":"Gurakar","given":"A"},{"family":"Kuo","given":"I"},{"family":"Segev","given":"D L"},{"family":"Durand","given":"C M"}],"authorYearDisplayFormat":false,"citation-label":"4761325","container-title":"American Journal of Transplantation","container-title-short":"Am. J. Transplant.","id":"4761325","invisible":false,"issue":"2","issued":{"date-parts":[["2017","2"]]},"journalAbbreviation":"Am. J. Transplant.","page":"519-527","suppress-author":false,"title":"Changes in Utilization and Discard of Hepatitis C-Infected Donor Livers in the Recent Era.","type":"article-journal","volume":"17"}]</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[14]</w:t>
      </w:r>
      <w:r w:rsidR="0074363C" w:rsidRPr="007363FF">
        <w:rPr>
          <w:rFonts w:ascii="Book Antiqua" w:hAnsi="Book Antiqua" w:cs="Arial"/>
          <w:sz w:val="24"/>
          <w:szCs w:val="24"/>
        </w:rPr>
        <w:fldChar w:fldCharType="end"/>
      </w:r>
      <w:r w:rsidR="005B2621" w:rsidRPr="007363FF">
        <w:rPr>
          <w:rFonts w:ascii="Book Antiqua" w:hAnsi="Book Antiqua" w:cs="Arial"/>
          <w:sz w:val="24"/>
          <w:szCs w:val="24"/>
        </w:rPr>
        <w:t>.</w:t>
      </w:r>
      <w:r w:rsidR="006005D3" w:rsidRPr="007363FF">
        <w:rPr>
          <w:rFonts w:ascii="Book Antiqua" w:hAnsi="Book Antiqua" w:cs="Arial"/>
          <w:sz w:val="24"/>
          <w:szCs w:val="24"/>
        </w:rPr>
        <w:t xml:space="preserve"> </w:t>
      </w:r>
      <w:r w:rsidR="00996F8B" w:rsidRPr="007363FF">
        <w:rPr>
          <w:rFonts w:ascii="Book Antiqua" w:hAnsi="Book Antiqua" w:cs="Arial"/>
          <w:sz w:val="24"/>
          <w:szCs w:val="24"/>
        </w:rPr>
        <w:t>Mirroring this, the proportion of HCV-positive recipients who were transplanted with HCV-positive grafts increased, from 6.2% in the IFN era to 16.9% in the DAA era</w:t>
      </w:r>
      <w:r w:rsidR="00AD5569" w:rsidRPr="007363FF">
        <w:rPr>
          <w:rFonts w:ascii="Book Antiqua" w:hAnsi="Book Antiqua" w:cs="Arial"/>
          <w:sz w:val="24"/>
          <w:szCs w:val="24"/>
        </w:rPr>
        <w:t>. Such donor-recipient pairings were more common in patients who were on dialysis prior to transplant, those who had a low MELD at listing, and those in a region with relatively lower organ availability</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F1000_CSL_CITATION&lt;~#@#~&gt;[{"DOI":"10.1111/ajt.13976","First":false,"Last":false,"PMCID":"PMC5266634","PMID":"27456927","abstract":"The impact of interferon (IFN)-free direct-acting antiviral (DAA) hepatitis C virus (HCV) treatments on utilization and outcomes associated with HCV-positive deceased donor liver transplantation (DDLT) is largely unknown. Using the Scientific Registry of Transplant Recipients, we identified 25 566 HCV-positive DDLT recipients from 2005 to 2015 and compared practices according to the introduction of DAA therapies using modified Poisson regression. The proportion of HCV-positive recipients who received HCV-positive livers increased from 6.9% in 2010 to 16.9% in 2015. HCV-positive recipients were 61% more likely to receive an HCV-positive liver after 2010 (early DAA/IFN era) (aRR:1.45 1.611.79 , p &lt;  0.001) and almost three times more likely to receive one after 2013 (IFN-free DAA era) (aRR:2.58 2.853.16 , p &lt;  0.001). Compared to HCV-negative livers, HCV-positive livers were 3 times more likely to be discarded from 2005 to 2010 (aRR:2.69 2.993.34 , p &lt;  0.001), 2.2 times more likely after 2010 (aRR:1.80 2.162.58 , p &lt;  0.001) and 1.7 times more likely after 2013 (aRR:1.37 1.682.04 , p &lt;  0.001). Donor HCV status was not associated with increased risk of all-cause graft loss (p = 0.1), and this did not change over time (p = 0.8). Use of HCV-positive livers has increased dramatically, coinciding with the advent of DAAs. However, the discard rate remains nearly double that of HCV-negative livers. Further optimization of HCV-positive liver utilization is necessary to improve access for all candidates.&lt;br&gt;&lt;br&gt;© Copyright 2016 The American Society of Transplantation and the American Society of Transplant Surgeons.","author":[{"family":"Bowring","given":"M G"},{"family":"Kucirka","given":"L M"},{"family":"Massie","given":"A B"},{"family":"Luo","given":"X"},{"family":"Cameron","given":"A"},{"family":"Sulkowski","given":"M"},{"family":"Rakestraw","given":"K"},{"family":"Gurakar","given":"A"},{"family":"Kuo","given":"I"},{"family":"Segev","given":"D L"},{"family":"Durand","given":"C M"}],"authorYearDisplayFormat":false,"citation-label":"4761325","container-title":"American Journal of Transplantation","container-title-short":"Am. J. Transplant.","id":"4761325","invisible":false,"issue":"2","issued":{"date-parts":[["2017","2"]]},"journalAbbreviation":"Am. J. Transplant.","page":"519-527","suppress-author":false,"title":"Changes in Utilization and Discard of Hepatitis C-Infected Donor Livers in the Recent Era.","type":"article-journal","volume":"17"}]</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[14]</w:t>
      </w:r>
      <w:r w:rsidR="0074363C" w:rsidRPr="007363FF">
        <w:rPr>
          <w:rFonts w:ascii="Book Antiqua" w:hAnsi="Book Antiqua" w:cs="Arial"/>
          <w:sz w:val="24"/>
          <w:szCs w:val="24"/>
        </w:rPr>
        <w:fldChar w:fldCharType="end"/>
      </w:r>
      <w:r w:rsidR="00AD5569" w:rsidRPr="007363FF">
        <w:rPr>
          <w:rFonts w:ascii="Book Antiqua" w:hAnsi="Book Antiqua" w:cs="Arial"/>
          <w:sz w:val="24"/>
          <w:szCs w:val="24"/>
        </w:rPr>
        <w:t xml:space="preserve">. </w:t>
      </w:r>
      <w:r w:rsidR="00D7535C" w:rsidRPr="007363FF">
        <w:rPr>
          <w:rFonts w:ascii="Book Antiqua" w:hAnsi="Book Antiqua" w:cs="Arial"/>
          <w:sz w:val="24"/>
          <w:szCs w:val="24"/>
        </w:rPr>
        <w:t>At the center-level, most centers</w:t>
      </w:r>
      <w:r w:rsidR="00E21D4B" w:rsidRPr="007363FF">
        <w:rPr>
          <w:rFonts w:ascii="Book Antiqua" w:hAnsi="Book Antiqua" w:cs="Arial"/>
          <w:sz w:val="24"/>
          <w:szCs w:val="24"/>
        </w:rPr>
        <w:t xml:space="preserve"> (69%)</w:t>
      </w:r>
      <w:r w:rsidR="00D7535C" w:rsidRPr="007363FF">
        <w:rPr>
          <w:rFonts w:ascii="Book Antiqua" w:hAnsi="Book Antiqua" w:cs="Arial"/>
          <w:sz w:val="24"/>
          <w:szCs w:val="24"/>
        </w:rPr>
        <w:t xml:space="preserve"> experienced an increase in utilization of HCV-positive livers</w:t>
      </w:r>
      <w:r w:rsidR="00E21D4B" w:rsidRPr="007363FF">
        <w:rPr>
          <w:rFonts w:ascii="Book Antiqua" w:hAnsi="Book Antiqua" w:cs="Arial"/>
          <w:sz w:val="24"/>
          <w:szCs w:val="24"/>
        </w:rPr>
        <w:t xml:space="preserve">. </w:t>
      </w:r>
    </w:p>
    <w:p w14:paraId="662CFEF8" w14:textId="16FA3E04" w:rsidR="00A02941" w:rsidRPr="007363FF" w:rsidRDefault="0053498E" w:rsidP="00036B44">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This increase in utilization and decrease in discard of HCV-positive livers has been driven by the development of DAAs</w:t>
      </w:r>
      <w:r w:rsidR="001D036F" w:rsidRPr="007363FF">
        <w:rPr>
          <w:rFonts w:ascii="Book Antiqua" w:hAnsi="Book Antiqua" w:cs="Arial"/>
          <w:sz w:val="24"/>
          <w:szCs w:val="24"/>
        </w:rPr>
        <w:t>, which have been</w:t>
      </w:r>
      <w:r w:rsidR="004E2D0A" w:rsidRPr="007363FF">
        <w:rPr>
          <w:rFonts w:ascii="Book Antiqua" w:hAnsi="Book Antiqua" w:cs="Arial"/>
          <w:sz w:val="24"/>
          <w:szCs w:val="24"/>
        </w:rPr>
        <w:t xml:space="preserve"> proven to be safe and effective in the post-</w:t>
      </w:r>
      <w:r w:rsidR="00DD5B3D" w:rsidRPr="007363FF">
        <w:rPr>
          <w:rFonts w:ascii="Book Antiqua" w:hAnsi="Book Antiqua" w:cs="Arial"/>
          <w:sz w:val="24"/>
          <w:szCs w:val="24"/>
        </w:rPr>
        <w:t xml:space="preserve">LT </w:t>
      </w:r>
      <w:r w:rsidR="004E2D0A" w:rsidRPr="007363FF">
        <w:rPr>
          <w:rFonts w:ascii="Book Antiqua" w:hAnsi="Book Antiqua" w:cs="Arial"/>
          <w:sz w:val="24"/>
          <w:szCs w:val="24"/>
        </w:rPr>
        <w:t>setting.</w:t>
      </w:r>
      <w:r w:rsidR="00A02941" w:rsidRPr="007363FF">
        <w:rPr>
          <w:rFonts w:ascii="Book Antiqua" w:hAnsi="Book Antiqua" w:cs="Arial"/>
          <w:sz w:val="24"/>
          <w:szCs w:val="24"/>
        </w:rPr>
        <w:t xml:space="preserve"> A number of considerations </w:t>
      </w:r>
      <w:r w:rsidR="00B83E76" w:rsidRPr="007363FF">
        <w:rPr>
          <w:rFonts w:ascii="Book Antiqua" w:hAnsi="Book Antiqua" w:cs="Arial"/>
          <w:sz w:val="24"/>
          <w:szCs w:val="24"/>
        </w:rPr>
        <w:t>affecting the use of DAAs</w:t>
      </w:r>
      <w:r w:rsidR="00A34E95" w:rsidRPr="007363FF">
        <w:rPr>
          <w:rFonts w:ascii="Book Antiqua" w:hAnsi="Book Antiqua" w:cs="Arial"/>
          <w:sz w:val="24"/>
          <w:szCs w:val="24"/>
        </w:rPr>
        <w:t xml:space="preserve">, including drug-drug interactions (DDIs) </w:t>
      </w:r>
      <w:r w:rsidR="008165EB" w:rsidRPr="007363FF">
        <w:rPr>
          <w:rFonts w:ascii="Book Antiqua" w:hAnsi="Book Antiqua" w:cs="Arial"/>
          <w:sz w:val="24"/>
          <w:szCs w:val="24"/>
        </w:rPr>
        <w:t>(</w:t>
      </w:r>
      <w:r w:rsidR="00722938" w:rsidRPr="007363FF">
        <w:rPr>
          <w:rFonts w:ascii="Book Antiqua" w:hAnsi="Book Antiqua" w:cs="Arial"/>
          <w:sz w:val="24"/>
          <w:szCs w:val="24"/>
        </w:rPr>
        <w:t>T</w:t>
      </w:r>
      <w:r w:rsidR="008165EB" w:rsidRPr="007363FF">
        <w:rPr>
          <w:rFonts w:ascii="Book Antiqua" w:hAnsi="Book Antiqua" w:cs="Arial"/>
          <w:sz w:val="24"/>
          <w:szCs w:val="24"/>
        </w:rPr>
        <w:t xml:space="preserve">able 2) </w:t>
      </w:r>
      <w:r w:rsidR="00A34E95" w:rsidRPr="007363FF">
        <w:rPr>
          <w:rFonts w:ascii="Book Antiqua" w:hAnsi="Book Antiqua" w:cs="Arial"/>
          <w:sz w:val="24"/>
          <w:szCs w:val="24"/>
        </w:rPr>
        <w:t>and use in patients with renal dysfunction</w:t>
      </w:r>
      <w:r w:rsidR="00B83E76" w:rsidRPr="007363FF">
        <w:rPr>
          <w:rFonts w:ascii="Book Antiqua" w:hAnsi="Book Antiqua" w:cs="Arial"/>
          <w:sz w:val="24"/>
          <w:szCs w:val="24"/>
        </w:rPr>
        <w:t xml:space="preserve"> must, however, be taken into account. </w:t>
      </w:r>
      <w:r w:rsidR="00FE17DE" w:rsidRPr="007363FF">
        <w:rPr>
          <w:rFonts w:ascii="Book Antiqua" w:hAnsi="Book Antiqua" w:cs="Arial"/>
          <w:sz w:val="24"/>
          <w:szCs w:val="24"/>
        </w:rPr>
        <w:t xml:space="preserve">Protease inhibitor-based regimens interact </w:t>
      </w:r>
      <w:r w:rsidR="00B1621C" w:rsidRPr="007363FF">
        <w:rPr>
          <w:rFonts w:ascii="Book Antiqua" w:hAnsi="Book Antiqua" w:cs="Arial"/>
          <w:sz w:val="24"/>
          <w:szCs w:val="24"/>
        </w:rPr>
        <w:t xml:space="preserve">in various degrees </w:t>
      </w:r>
      <w:r w:rsidR="00FE17DE" w:rsidRPr="007363FF">
        <w:rPr>
          <w:rFonts w:ascii="Book Antiqua" w:hAnsi="Book Antiqua" w:cs="Arial"/>
          <w:sz w:val="24"/>
          <w:szCs w:val="24"/>
        </w:rPr>
        <w:t>with calcineurin inhibitors (CNIs)</w:t>
      </w:r>
      <w:r w:rsidR="00AC1EBB" w:rsidRPr="007363FF">
        <w:rPr>
          <w:rFonts w:ascii="Book Antiqua" w:hAnsi="Book Antiqua" w:cs="Arial"/>
          <w:sz w:val="24"/>
          <w:szCs w:val="24"/>
        </w:rPr>
        <w:t xml:space="preserve">, especially cyclosporine. </w:t>
      </w:r>
      <w:r w:rsidR="00B1621C" w:rsidRPr="007363FF">
        <w:rPr>
          <w:rFonts w:ascii="Book Antiqua" w:hAnsi="Book Antiqua" w:cs="Arial"/>
          <w:sz w:val="24"/>
          <w:szCs w:val="24"/>
        </w:rPr>
        <w:t>For example, elbasvir/grazoprevir or simeprevir should not be co-administered with cyclosporine due to potentially toxic increases in blood concentrations</w:t>
      </w:r>
      <w:r w:rsidR="00FC7A0F" w:rsidRPr="007363FF">
        <w:rPr>
          <w:rFonts w:ascii="Book Antiqua" w:hAnsi="Book Antiqua" w:cs="Arial"/>
          <w:sz w:val="24"/>
          <w:szCs w:val="24"/>
        </w:rPr>
        <w:t xml:space="preserve"> (increases of 5- to 15-fold)</w:t>
      </w:r>
      <w:r w:rsidR="00B1621C" w:rsidRPr="007363FF">
        <w:rPr>
          <w:rFonts w:ascii="Book Antiqua" w:hAnsi="Book Antiqua" w:cs="Arial"/>
          <w:sz w:val="24"/>
          <w:szCs w:val="24"/>
        </w:rPr>
        <w:t xml:space="preserve"> of </w:t>
      </w:r>
      <w:r w:rsidR="00AB30E9" w:rsidRPr="007363FF">
        <w:rPr>
          <w:rFonts w:ascii="Book Antiqua" w:hAnsi="Book Antiqua" w:cs="Arial"/>
          <w:sz w:val="24"/>
          <w:szCs w:val="24"/>
        </w:rPr>
        <w:t>the protease inhibitors</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First":false,"Last":false,"URL":"https://www.hep-druginteractions.org/checker","accessed":{"date-parts":[["2019","2","18"]]},"authorYearDisplayFormat":false,"citation-label":"6467962","id":"6467962","invisible":false,"issued":{"date-parts":[[]]},"suppress-author":false,"title":"Liverpool HEP Interactions","type":"webpage"}]</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[19]</w:t>
      </w:r>
      <w:r w:rsidR="0074363C" w:rsidRPr="007363FF">
        <w:rPr>
          <w:rFonts w:ascii="Book Antiqua" w:hAnsi="Book Antiqua" w:cs="Arial"/>
          <w:sz w:val="24"/>
          <w:szCs w:val="24"/>
        </w:rPr>
        <w:fldChar w:fldCharType="end"/>
      </w:r>
      <w:r w:rsidR="00AB30E9" w:rsidRPr="007363FF">
        <w:rPr>
          <w:rFonts w:ascii="Book Antiqua" w:hAnsi="Book Antiqua" w:cs="Arial"/>
          <w:sz w:val="24"/>
          <w:szCs w:val="24"/>
        </w:rPr>
        <w:t xml:space="preserve">. </w:t>
      </w:r>
      <w:r w:rsidR="00FC7A0F" w:rsidRPr="007363FF">
        <w:rPr>
          <w:rFonts w:ascii="Book Antiqua" w:hAnsi="Book Antiqua" w:cs="Arial"/>
          <w:sz w:val="24"/>
          <w:szCs w:val="24"/>
        </w:rPr>
        <w:t xml:space="preserve">Co-administration of </w:t>
      </w:r>
      <w:r w:rsidR="000A0119" w:rsidRPr="007363FF">
        <w:rPr>
          <w:rFonts w:ascii="Book Antiqua" w:hAnsi="Book Antiqua" w:cs="Arial"/>
          <w:sz w:val="24"/>
          <w:szCs w:val="24"/>
        </w:rPr>
        <w:t>paritaprevir/ritonavir/ombitasvir + dasabuvir</w:t>
      </w:r>
      <w:r w:rsidR="00AD1F1E">
        <w:rPr>
          <w:rFonts w:ascii="Book Antiqua" w:hAnsi="Book Antiqua" w:cs="Arial"/>
          <w:sz w:val="24"/>
          <w:szCs w:val="24"/>
        </w:rPr>
        <w:t xml:space="preserve"> </w:t>
      </w:r>
      <w:r w:rsidR="000A0119" w:rsidRPr="007363FF">
        <w:rPr>
          <w:rFonts w:ascii="Book Antiqua" w:hAnsi="Book Antiqua" w:cs="Arial"/>
          <w:sz w:val="24"/>
          <w:szCs w:val="24"/>
        </w:rPr>
        <w:t xml:space="preserve">with tacrolimus may lead to a 57-fold increase in the concentration of tacrolimus, which has been shown to lead to significant toxicity </w:t>
      </w:r>
      <w:r w:rsidR="00B900A4" w:rsidRPr="007363FF">
        <w:rPr>
          <w:rFonts w:ascii="Book Antiqua" w:hAnsi="Book Antiqua" w:cs="Arial"/>
          <w:sz w:val="24"/>
          <w:szCs w:val="24"/>
        </w:rPr>
        <w:t>in the absence of dramatic dose adjustments</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F1000_CSL_CITATION&lt;~#@#~&gt;[{"DOI":"10.1097/FTD.0000000000000315","First":false,"Last":false,"PMID":"27310199","abstract":"&lt;strong&gt;BACKGROUND:&lt;/strong&gt; Interactions between tacrolimus and cyclosporine (CSA) and the 3 direct-acting antiviral regimen (3D) of ombitasvir, paritaprevir/ritonavir, and dasabuvir necessitate a priori dose adjustments for the immunosuppressants to achieve desired levels. Modeling and simulations based on data in healthy subjects predicted that tacrolimus 0.5 mg every 7 days or 0.2 mg every 3 days, and CSA at one-fifth the total daily dose administered once daily, would achieve desired trough concentrations (Ctrough) during 3D treatment. The success of these dosing recommendations was evaluated by analyzing pharmacokinetic data from liver transplant recipients in the CORAL-I study.&lt;br&gt;&lt;br&gt;&lt;strong&gt;METHODS:&lt;/strong&gt; A population pharmacokinetic model was developed using tacrolimus dosing and Ctrough data before and during 3D treatment (n = 29). The model was used to simulate various tacrolimus dosing regimens and predict tacrolimus concentration-time profiles during 3D treatment. CSA Ctrough data before and during 3D treatment (n = 5) were also summarized.&lt;br&gt;&lt;br&gt;&lt;strong&gt;RESULTS:&lt;/strong&gt; A one-compartment model with first-order absorption adequately described tacrolimus pharmacokinetic profiles during the first 4 weeks of 3D treatment. Estimated tacrolimus Ctrough values (median; interquartile range) before and during 3D treatment were comparable (5.7 ng/mL; 4.9-6.5 ng/mL versus 5.2 ng/mL; 4.2-6.3 ng/mL, respectively). Based on simulations, in a patient with a starting Ctrough of 6 ng/mL, 0.5 mg tacrolimus every 7 or 14 days or 0.2 mg tacrolimus every 3 days will result in Ctrough levels of 6-9 ng/mL, 4-6 ng/mL, and 6-10 ng/mL, respectively, during 3D treatment. For CSA, Ctrough values (median; interquartile range) before and during 3D treatment were comparable (126 ng/mL; 94-140 ng/mL versus 104 ng/mL; 82-140 ng/mL).&lt;br&gt;&lt;br&gt;&lt;strong&gt;CONCLUSIONS:&lt;/strong&gt; Observed data for tacrolimus and CSA in liver transplant recipients confirm that the recommended dosing strategies are valid and therapeutic levels of immunosuppression can be maintained during 3D treatment.","author":[{"family":"Badri","given":"Prajakta S"},{"family":"Parikh","given":"Apurvasena"},{"family":"Coakley","given":"Eoin P"},{"family":"Ding","given":"Bifeng"},{"family":"Awni","given":"Walid M"},{"family":"Dutta","given":"Sandeep"},{"family":"Menon","given":"Rajeev M"}],"authorYearDisplayFormat":false,"citation-label":"6467967","container-title":"Therapeutic Drug Monitoring","container-title-short":"Ther. Drug Monit.","id":"6467967","invisible":false,"issue":"5","issued":{"date-parts":[["2016"]]},"journalAbbreviation":"Ther. Drug Monit.","page":"640-645","suppress-author":false,"title":"Pharmacokinetics of Tacrolimus and Cyclosporine in Liver Transplant Recipients Receiving 3 Direct-Acting Antivirals as Treatment for Hepatitis C Infection.","type":"article-journal","volume":"38"}]</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[20]</w:t>
      </w:r>
      <w:r w:rsidR="0074363C" w:rsidRPr="007363FF">
        <w:rPr>
          <w:rFonts w:ascii="Book Antiqua" w:hAnsi="Book Antiqua" w:cs="Arial"/>
          <w:sz w:val="24"/>
          <w:szCs w:val="24"/>
        </w:rPr>
        <w:fldChar w:fldCharType="end"/>
      </w:r>
      <w:r w:rsidR="00DF13CD" w:rsidRPr="007363FF">
        <w:rPr>
          <w:rFonts w:ascii="Book Antiqua" w:hAnsi="Book Antiqua" w:cs="Arial"/>
          <w:sz w:val="24"/>
          <w:szCs w:val="24"/>
        </w:rPr>
        <w:t xml:space="preserve">. Sofosbuvir-based regimens, including </w:t>
      </w:r>
      <w:r w:rsidR="00AD1F1E" w:rsidRPr="007363FF">
        <w:rPr>
          <w:rFonts w:ascii="Book Antiqua" w:hAnsi="Book Antiqua" w:cs="Arial"/>
          <w:sz w:val="24"/>
          <w:szCs w:val="24"/>
        </w:rPr>
        <w:t>ledipasvir/sofosbuvir (LDV/SOF)</w:t>
      </w:r>
      <w:r w:rsidR="00DF13CD" w:rsidRPr="007363FF">
        <w:rPr>
          <w:rFonts w:ascii="Book Antiqua" w:hAnsi="Book Antiqua" w:cs="Arial"/>
          <w:sz w:val="24"/>
          <w:szCs w:val="24"/>
        </w:rPr>
        <w:t xml:space="preserve"> and SOF/velpatasvir do not appear to interact significantly with CNI therapy, though there may be some interaction with </w:t>
      </w:r>
      <w:r w:rsidR="00ED13D0" w:rsidRPr="007363FF">
        <w:rPr>
          <w:rFonts w:ascii="Book Antiqua" w:hAnsi="Book Antiqua" w:cs="Arial"/>
          <w:sz w:val="24"/>
          <w:szCs w:val="24"/>
        </w:rPr>
        <w:t>everolimus leading to increased everolimus trough levels</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F1000_CSL_CITATION&lt;~#@#~&gt;[{"DOI":"10.1016/j.jhep.2017.03.006","First":false,"Last":false,"PMID":"28323126","abstract":"The advent of safe and highly effective direct-acting antiviral agents (DAAs) has had huge implications for the hepatitis C virus (HCV) transplant field, and changed our management of both patients on the waiting list and those with HCV graft re-infection after liver transplantation (LT). When treating HCV infection before LT, HCV re-infection of the graft can be prevented in nearly all patients. In addition, some candidates show a remarkable clinical improvement and may be delisted. Alternatively, HCV infection can be treated post-LT either soon after the transplant, taking advantage of the removal of the infected native liver, or at the time of disease recurrence, as was carried out in the past. In either case, some DAAs have a limited use because of their drug to drug interactions with various immunosuppressants as well as the many other drugs liver transplant recipients are often prescribed. In addition, some DAAs should be avoided in case of severe renal failure, which is not an unusual complication after LT. The present document provides a series of consensus statements on the LT issues that have not been extensively addressed previously. These statements have been developed to support physicians and other stakeholders in charge of LT candidates and recipients when deciding to treat HCV, especially in difficult situations.&lt;br&gt;&lt;br&gt;Copyright © 2017 European Association for the Study of the Liver. Published by Elsevier B.V. All rights reserved.","author":[{"family":"Belli","given":"Luca S"},{"family":"Duvoux","given":"Christophe"},{"family":"Berenguer","given":"Marina"},{"family":"Berg","given":"Thomas"},{"family":"Coilly","given":"Audrey"},{"family":"Colle","given":"Isabelle"},{"family":"Fagiuoli","given":"Stefano"},{"family":"Khoo","given":"Saye"},{"family":"Pageaux","given":"Georges Philippe"},{"family":"Puoti","given":"Massimo"},{"family":"Samuel","given":"Didier"},{"family":"Strazzabosco","given":"Mario"}],"authorYearDisplayFormat":false,"citation-label":"6467959","container-title":"Journal of Hepatology","container-title-short":"J. Hepatol.","id":"6467959","invisible":false,"issue":"3","issued":{"date-parts":[["2017","3","18"]]},"journalAbbreviation":"J. Hepatol.","page":"585-602","suppress-author":false,"title":"ELITA consensus statements on the use of DAAs in liver transplant candidates and recipients.","type":"article-journal","volume":"67"}]</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[21]</w:t>
      </w:r>
      <w:r w:rsidR="0074363C" w:rsidRPr="007363FF">
        <w:rPr>
          <w:rFonts w:ascii="Book Antiqua" w:hAnsi="Book Antiqua" w:cs="Arial"/>
          <w:sz w:val="24"/>
          <w:szCs w:val="24"/>
        </w:rPr>
        <w:fldChar w:fldCharType="end"/>
      </w:r>
      <w:r w:rsidR="00ED13D0" w:rsidRPr="007363FF">
        <w:rPr>
          <w:rFonts w:ascii="Book Antiqua" w:hAnsi="Book Antiqua" w:cs="Arial"/>
          <w:sz w:val="24"/>
          <w:szCs w:val="24"/>
        </w:rPr>
        <w:t>.</w:t>
      </w:r>
      <w:r w:rsidR="003B3915" w:rsidRPr="007363FF">
        <w:rPr>
          <w:rFonts w:ascii="Book Antiqua" w:hAnsi="Book Antiqua" w:cs="Arial"/>
          <w:sz w:val="24"/>
          <w:szCs w:val="24"/>
        </w:rPr>
        <w:t xml:space="preserve"> The primary concern with SOF-based therapy is that SOF is not currently recommended for use in patients with </w:t>
      </w:r>
      <w:r w:rsidR="00C70B57" w:rsidRPr="007363FF">
        <w:rPr>
          <w:rFonts w:ascii="Book Antiqua" w:hAnsi="Book Antiqua" w:cs="Arial"/>
          <w:sz w:val="24"/>
          <w:szCs w:val="24"/>
        </w:rPr>
        <w:t>renal dysfunction</w:t>
      </w:r>
      <w:r w:rsidR="00FD696E" w:rsidRPr="007363FF">
        <w:rPr>
          <w:rFonts w:ascii="Book Antiqua" w:hAnsi="Book Antiqua" w:cs="Arial"/>
          <w:sz w:val="24"/>
          <w:szCs w:val="24"/>
        </w:rPr>
        <w:t xml:space="preserve"> due to an accumulation of a SOF metabolite of unclear significance. </w:t>
      </w:r>
      <w:r w:rsidR="00945DB8" w:rsidRPr="007363FF">
        <w:rPr>
          <w:rFonts w:ascii="Book Antiqua" w:hAnsi="Book Antiqua" w:cs="Arial"/>
          <w:sz w:val="24"/>
          <w:szCs w:val="24"/>
        </w:rPr>
        <w:t>Data from the HCV-TARGET cohort</w:t>
      </w:r>
      <w:r w:rsidR="004F0B4B" w:rsidRPr="007363FF">
        <w:rPr>
          <w:rFonts w:ascii="Book Antiqua" w:hAnsi="Book Antiqua" w:cs="Arial"/>
          <w:sz w:val="24"/>
          <w:szCs w:val="24"/>
        </w:rPr>
        <w:t xml:space="preserve"> suggest that SOF can be used with high efficacy among patients with </w:t>
      </w:r>
      <w:r w:rsidR="00C70B57" w:rsidRPr="007363FF">
        <w:rPr>
          <w:rFonts w:ascii="Book Antiqua" w:hAnsi="Book Antiqua" w:cs="Arial"/>
          <w:sz w:val="24"/>
          <w:szCs w:val="24"/>
        </w:rPr>
        <w:t xml:space="preserve">renal failure </w:t>
      </w:r>
      <w:r w:rsidR="004F0B4B" w:rsidRPr="007363FF">
        <w:rPr>
          <w:rFonts w:ascii="Book Antiqua" w:hAnsi="Book Antiqua" w:cs="Arial"/>
          <w:sz w:val="24"/>
          <w:szCs w:val="24"/>
        </w:rPr>
        <w:t>(including those on hemodialysis)</w:t>
      </w:r>
      <w:r w:rsidR="005F134F" w:rsidRPr="007363FF">
        <w:rPr>
          <w:rFonts w:ascii="Book Antiqua" w:hAnsi="Book Antiqua" w:cs="Arial"/>
          <w:sz w:val="24"/>
          <w:szCs w:val="24"/>
        </w:rPr>
        <w:t xml:space="preserve"> </w:t>
      </w:r>
      <w:r w:rsidR="00C70B57" w:rsidRPr="007363FF">
        <w:rPr>
          <w:rFonts w:ascii="Book Antiqua" w:hAnsi="Book Antiqua" w:cs="Arial"/>
          <w:sz w:val="24"/>
          <w:szCs w:val="24"/>
        </w:rPr>
        <w:t xml:space="preserve">but with </w:t>
      </w:r>
      <w:r w:rsidR="00945DB8" w:rsidRPr="007363FF">
        <w:rPr>
          <w:rFonts w:ascii="Book Antiqua" w:hAnsi="Book Antiqua" w:cs="Arial"/>
          <w:sz w:val="24"/>
          <w:szCs w:val="24"/>
        </w:rPr>
        <w:t>an increase in anemia, worsening renal function, and other serious adverse events. This suggest</w:t>
      </w:r>
      <w:r w:rsidR="00B120B7" w:rsidRPr="007363FF">
        <w:rPr>
          <w:rFonts w:ascii="Book Antiqua" w:hAnsi="Book Antiqua" w:cs="Arial"/>
          <w:sz w:val="24"/>
          <w:szCs w:val="24"/>
        </w:rPr>
        <w:t>s</w:t>
      </w:r>
      <w:r w:rsidR="00945DB8" w:rsidRPr="007363FF">
        <w:rPr>
          <w:rFonts w:ascii="Book Antiqua" w:hAnsi="Book Antiqua" w:cs="Arial"/>
          <w:sz w:val="24"/>
          <w:szCs w:val="24"/>
        </w:rPr>
        <w:t xml:space="preserve"> that SOF-based regimens may be used in patients with renal dysfunction, albeit with caution</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F1000_CSL_CITATION&lt;~#@#~&gt;[{"DOI":"10.1111/liv.13102","First":false,"Last":false,"PMID":"26923436","abstract":"&lt;strong&gt;BACKGROUND &amp; AIMS:&lt;/strong&gt; Renal clearance is the major elimination pathway for sofosbuvir (SOF). We assessed the safety and efficacy of SOF-containing regimens in patients with varying baseline estimated glomerular filtration rate (eGFR).&lt;br&gt;&lt;br&gt;&lt;strong&gt;METHODS:&lt;/strong&gt; HCV-TARGET database is a multicentre, longitudinal 'real-world' treatment cohort.&lt;br&gt;&lt;br&gt;&lt;strong&gt;RESULTS:&lt;/strong&gt; A total of 1789 patients [genotypes 1 (72%), 2 (17%) 3 (9%), 4-6 (2%)] had baseline eGFR determination: 73 with eGFR≤45 (18 with eGFR≤30, 5 on dialysis) were compared to 1716 with eGFR&gt;45 ml/min/1.73 m(2) . Patients with baseline eGFR≤45 vs. &gt;45 differed in being female (55% vs. 36%), age ≥65 years (24% vs. 16%), Black race (22% vs. 12%), having cirrhosis with decompensation (73% vs. 24%) and being post-transplant (49% vs. 10%), all P &lt;  0.05. All patients with eGFR≤45 were treated with SOF 400 mg/day (including those on haemodialysis) and had median starting ribavirin (RBV) dose of 800 mg (IQR: 400-1200). Sustained virologic response (SVR) frequencies were similar across eGFR groups, ranging from 82-83%. Patients with eGFR ≤45 more frequently experienced anaemia, worsening renal function and serious AEs (all P &lt;  0.05), and these associations persisted when limiting analysis to RBV-free regimens. Patients with baseline eGFR≤30 and eGFR 31-45 had similar frequencies of efficacy and safety outcomes.&lt;br&gt;&lt;br&gt;&lt;strong&gt;CONCLUSIONS:&lt;/strong&gt; Sustained viral clearance was achieved in 83% of patients with renal impairment (eGFR ≤45 ml/min/1.73 m(2) ) treated with SOF-containing regimens. However, these patients had higher rates of anaemia, worsening renal dysfunction and serious adverse events regardless of use of RBV. Patient with renal impairment require close monitoring and should be treated by providers extensively experienced with SOF-containing regimens.&lt;br&gt;&lt;br&gt;© 2016 John Wiley &amp; Sons A/S. Published by John Wiley &amp; Sons Ltd.","author":[{"family":"Saxena","given":"Varun"},{"family":"Koraishy","given":"Farrukh M"},{"family":"Sise","given":"Meghan E"},{"family":"Lim","given":"Joseph K"},{"family":"Schmidt","given":"Monica"},{"family":"Chung","given":"Raymond T"},{"family":"Liapakis","given":"Annmarie"},{"family":"Nelson","given":"David R"},{"family":"Fried","given":"Michael W"},{"family":"Terrault","given":"Norah A"},{"family":"HCV-TARGET"}],"authorYearDisplayFormat":false,"citation-label":"6467999","container-title":"Liver International","container-title-short":"Liver Int.","id":"6467999","invisible":false,"issue":"6","issued":{"date-parts":[["2016","3","24"]]},"journalAbbreviation":"Liver Int.","page":"807-816","suppress-author":false,"title":"Safety and efficacy of sofosbuvir-containing regimens in hepatitis C-infected patients with impaired renal function.","type":"article-journal","volume":"36"}]</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[22]</w:t>
      </w:r>
      <w:r w:rsidR="0074363C" w:rsidRPr="007363FF">
        <w:rPr>
          <w:rFonts w:ascii="Book Antiqua" w:hAnsi="Book Antiqua" w:cs="Arial"/>
          <w:sz w:val="24"/>
          <w:szCs w:val="24"/>
        </w:rPr>
        <w:fldChar w:fldCharType="end"/>
      </w:r>
      <w:r w:rsidR="00945DB8" w:rsidRPr="007363FF">
        <w:rPr>
          <w:rFonts w:ascii="Book Antiqua" w:hAnsi="Book Antiqua" w:cs="Arial"/>
          <w:sz w:val="24"/>
          <w:szCs w:val="24"/>
        </w:rPr>
        <w:t>.</w:t>
      </w:r>
    </w:p>
    <w:p w14:paraId="5C2881AD" w14:textId="38FC26F9" w:rsidR="0072510C" w:rsidRPr="007363FF" w:rsidRDefault="00A076C6" w:rsidP="0098113A">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lastRenderedPageBreak/>
        <w:t>Clinical trial data exist for a number or regimens in the post-transplant setting</w:t>
      </w:r>
      <w:r w:rsidR="00A34DE7" w:rsidRPr="007363FF">
        <w:rPr>
          <w:rFonts w:ascii="Book Antiqua" w:hAnsi="Book Antiqua" w:cs="Arial"/>
          <w:sz w:val="24"/>
          <w:szCs w:val="24"/>
        </w:rPr>
        <w:t xml:space="preserve">, </w:t>
      </w:r>
      <w:r w:rsidR="00A34DE7" w:rsidRPr="0098113A">
        <w:rPr>
          <w:rFonts w:ascii="Book Antiqua" w:hAnsi="Book Antiqua" w:cs="Arial"/>
          <w:sz w:val="24"/>
          <w:szCs w:val="24"/>
        </w:rPr>
        <w:t>including</w:t>
      </w:r>
      <w:r w:rsidR="00AD1F1E">
        <w:rPr>
          <w:rFonts w:ascii="Book Antiqua" w:hAnsi="Book Antiqua" w:cs="Arial"/>
          <w:sz w:val="24"/>
          <w:szCs w:val="24"/>
        </w:rPr>
        <w:t xml:space="preserve"> </w:t>
      </w:r>
      <w:r w:rsidR="00AD1F1E" w:rsidRPr="007363FF">
        <w:rPr>
          <w:rFonts w:ascii="Book Antiqua" w:hAnsi="Book Antiqua" w:cs="Arial"/>
          <w:sz w:val="24"/>
          <w:szCs w:val="24"/>
        </w:rPr>
        <w:t>LDV/SOF</w:t>
      </w:r>
      <w:r w:rsidR="00A34DE7" w:rsidRPr="007363FF">
        <w:rPr>
          <w:rFonts w:ascii="Book Antiqua" w:hAnsi="Book Antiqua" w:cs="Arial"/>
          <w:sz w:val="24"/>
          <w:szCs w:val="24"/>
        </w:rPr>
        <w:t>, daclatasvir and sofosbuvir (DAC+SOF), simeprevir and sofosbuvir (SMV+SOF), and glecaprevir/pibrentasvir (GLE/PIB)</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First":false,"Last":false,"URL":"https://www.hcvguidelines.org/unique-populations/post-liver-transplant","accessed":{"date-parts":[["2019","2","18"]]},"authorYearDisplayFormat":false,"citation-label":"6465932","id":"6465932","invisible":false,"issued":{"date-parts":[[]]},"suppress-author":false,"title":"Patients Who Develop Recurrent HCV Infection Post Liver Transplantation | HCV Guidance","type":"webpage"}]</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[23]</w:t>
      </w:r>
      <w:r w:rsidR="0074363C" w:rsidRPr="007363FF">
        <w:rPr>
          <w:rFonts w:ascii="Book Antiqua" w:hAnsi="Book Antiqua" w:cs="Arial"/>
          <w:sz w:val="24"/>
          <w:szCs w:val="24"/>
        </w:rPr>
        <w:fldChar w:fldCharType="end"/>
      </w:r>
      <w:r w:rsidRPr="007363FF">
        <w:rPr>
          <w:rFonts w:ascii="Book Antiqua" w:hAnsi="Book Antiqua" w:cs="Arial"/>
          <w:sz w:val="24"/>
          <w:szCs w:val="24"/>
        </w:rPr>
        <w:t>.</w:t>
      </w:r>
      <w:r w:rsidR="003A63B2" w:rsidRPr="007363FF">
        <w:rPr>
          <w:rFonts w:ascii="Book Antiqua" w:hAnsi="Book Antiqua" w:cs="Arial"/>
          <w:sz w:val="24"/>
          <w:szCs w:val="24"/>
        </w:rPr>
        <w:t xml:space="preserve"> These studies included a majority of genotype</w:t>
      </w:r>
      <w:r w:rsidR="004F2E0B" w:rsidRPr="007363FF">
        <w:rPr>
          <w:rFonts w:ascii="Book Antiqua" w:hAnsi="Book Antiqua" w:cs="Arial"/>
          <w:sz w:val="24"/>
          <w:szCs w:val="24"/>
        </w:rPr>
        <w:t xml:space="preserve"> (GT)</w:t>
      </w:r>
      <w:r w:rsidR="003A63B2" w:rsidRPr="007363FF">
        <w:rPr>
          <w:rFonts w:ascii="Book Antiqua" w:hAnsi="Book Antiqua" w:cs="Arial"/>
          <w:sz w:val="24"/>
          <w:szCs w:val="24"/>
        </w:rPr>
        <w:t xml:space="preserve"> 1 patients, most of whom were treatment experienced</w:t>
      </w:r>
      <w:r w:rsidR="008C3630" w:rsidRPr="007363FF">
        <w:rPr>
          <w:rFonts w:ascii="Book Antiqua" w:hAnsi="Book Antiqua" w:cs="Arial"/>
          <w:sz w:val="24"/>
          <w:szCs w:val="24"/>
        </w:rPr>
        <w:t>, though with varying degrees of fibrosis</w:t>
      </w:r>
      <w:r w:rsidR="003A63B2" w:rsidRPr="007363FF">
        <w:rPr>
          <w:rFonts w:ascii="Book Antiqua" w:hAnsi="Book Antiqua" w:cs="Arial"/>
          <w:sz w:val="24"/>
          <w:szCs w:val="24"/>
        </w:rPr>
        <w:t>.</w:t>
      </w:r>
      <w:r w:rsidR="008A1D56" w:rsidRPr="007363FF">
        <w:rPr>
          <w:rFonts w:ascii="Book Antiqua" w:hAnsi="Book Antiqua" w:cs="Arial"/>
          <w:sz w:val="24"/>
          <w:szCs w:val="24"/>
        </w:rPr>
        <w:t xml:space="preserve"> Rates of </w:t>
      </w:r>
      <w:r w:rsidR="00C70B57" w:rsidRPr="007363FF">
        <w:rPr>
          <w:rFonts w:ascii="Book Antiqua" w:hAnsi="Book Antiqua" w:cs="Arial"/>
          <w:sz w:val="24"/>
          <w:szCs w:val="24"/>
        </w:rPr>
        <w:t>sustained viral response (</w:t>
      </w:r>
      <w:r w:rsidR="008A1D56" w:rsidRPr="007363FF">
        <w:rPr>
          <w:rFonts w:ascii="Book Antiqua" w:hAnsi="Book Antiqua" w:cs="Arial"/>
          <w:sz w:val="24"/>
          <w:szCs w:val="24"/>
        </w:rPr>
        <w:t>SVR</w:t>
      </w:r>
      <w:r w:rsidR="00C70B57" w:rsidRPr="007363FF">
        <w:rPr>
          <w:rFonts w:ascii="Book Antiqua" w:hAnsi="Book Antiqua" w:cs="Arial"/>
          <w:sz w:val="24"/>
          <w:szCs w:val="24"/>
        </w:rPr>
        <w:t>)</w:t>
      </w:r>
      <w:r w:rsidR="008A1D56" w:rsidRPr="007363FF">
        <w:rPr>
          <w:rFonts w:ascii="Book Antiqua" w:hAnsi="Book Antiqua" w:cs="Arial"/>
          <w:sz w:val="24"/>
          <w:szCs w:val="24"/>
        </w:rPr>
        <w:t xml:space="preserve"> were universally high in </w:t>
      </w:r>
      <w:r w:rsidR="00C70B57" w:rsidRPr="007363FF">
        <w:rPr>
          <w:rFonts w:ascii="Book Antiqua" w:hAnsi="Book Antiqua" w:cs="Arial"/>
          <w:sz w:val="24"/>
          <w:szCs w:val="24"/>
        </w:rPr>
        <w:t>these studies</w:t>
      </w:r>
      <w:r w:rsidR="00843398" w:rsidRPr="007363FF">
        <w:rPr>
          <w:rFonts w:ascii="Book Antiqua" w:hAnsi="Book Antiqua" w:cs="Arial"/>
          <w:sz w:val="24"/>
          <w:szCs w:val="24"/>
        </w:rPr>
        <w:t>, except among patients with decompensated cirrhosis post-LT</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F1000_CSL_CITATION&lt;~#@#~&gt;[{"DOI":"10.1053/j.gastro.2015.05.010","First":false,"Last":false,"PMID":"25985734","abstract":"&lt;strong&gt;BACKGROUND &amp; AIMS:&lt;/strong&gt; There are no effective and safe treatments for chronic hepatitis C virus (HCV) infection of patients who have advanced liver disease.&lt;br&gt;&lt;br&gt;&lt;strong&gt;METHODS:&lt;/strong&gt; In this phase 2, open-label study, we assessed treatment with the NS5A inhibitor ledipasvir, the nucleotide polymerase inhibitor sofosbuvir, and ribavirin in patients infected with HCV genotypes 1 or 4. Cohort A enrolled patients with cirrhosis and moderate or severe hepatic impairment who had not undergone liver transplantation. Cohort B enrolled patients who had undergone liver transplantation: those without cirrhosis; those with cirrhosis and mild, moderate, or severe hepatic impairment; and those with fibrosing cholestatic hepatitis. Patients were assigned randomly (1:1) to receive 12 or 24 weeks of a fixed-dose combination tablet containing ledipasvir and sofosbuvir, once daily, plus ribavirin. The primary end point was sustained virologic response at 12 weeks after the end of treatment (SVR12).&lt;br&gt;&lt;br&gt;&lt;strong&gt;RESULTS:&lt;/strong&gt; We enrolled 337 patients, 332 (99%) with HCV genotype 1 infection and 5 (1%) with HCV genotype 4 infection. In cohort A (nontransplant), SVR12 was achieved by 86%-89% of patients. In cohort B (transplant recipients), SVR12 was achieved by 96%-98% of patients without cirrhosis or with compensated cirrhosis, by 85%-88% of patients with moderate hepatic impairment, by 60%-75% of patients with severe hepatic impairment, and by all 6 patients with fibrosing cholestatic hepatitis. Response rates in the 12- and 24-week groups were similar. Thirteen patients (4%) discontinued the ledipasvir and sofosbuvir combination prematurely because of adverse events; 10 patients died, mainly from complications related to hepatic decompensation.&lt;br&gt;&lt;br&gt;&lt;strong&gt;CONCLUSION:&lt;/strong&gt; The combination of ledipasvir, sofosbuvir, and ribavirin for 12 weeks produced high rates of SVR12 in patients with advanced liver disease, including those with decompensated cirrhosis before and after liver transplantation. ClinTrials.gov: NCT01938430.&lt;br&gt;&lt;br&gt;Copyright © 2015 AGA Institute. Published by Elsevier Inc. All rights reserved.","author":[{"family":"Charlton","given":"Michael"},{"family":"Everson","given":"Gregory T"},{"family":"Flamm","given":"Steven L"},{"family":"Kumar","given":"Princy"},{"family":"Landis","given":"Charles"},{"family":"Brown","given":"Robert S"},{"family":"Fried","given":"Michael W"},{"family":"Terrault","given":"Norah A"},{"family":"O'Leary","given":"Jacqueline G"},{"family":"Vargas","given":"Hugo E"},{"family":"Kuo","given":"Alexander"},{"family":"Schiff","given":"Eugene"},{"family":"Sulkowski","given":"Mark S"},{"family":"Gilroy","given":"Richard"},{"family":"Watt","given":"Kymberly D"},{"family":"Brown","given":"Kimberly"},{"family":"Kwo","given":"Paul"},{"family":"Pungpapong","given":"Surakit"},{"family":"Korenblat","given":"Kevin M"},{"family":"Muir","given":"Andrew J"},{"family":"Teperman","given":"Lewis"},{"family":"Fontana","given":"Robert J"},{"family":"Denning","given":"Jill"},{"family":"Arterburn","given":"Sarah"},{"family":"Dvory-Sobol","given":"Hadas"},{"family":"Brandt-Sarif","given":"Theo"},{"family":"Pang","given":"Phillip S"},{"family":"McHutchison","given":"John G"},{"family":"Reddy","given":"K Rajender"},{"family":"Afdhal","given":"Nezam"},{"family":"SOLAR-1 Investigators"}],"authorYearDisplayFormat":false,"citation-label":"3885981","container-title":"Gastroenterology","container-title-short":"Gastroenterology","id":"3885981","invisible":false,"issue":"3","issued":{"date-parts":[["2015","9"]]},"journalAbbreviation":"Gastroenterology","page":"649-659","suppress-author":false,"title":"Ledipasvir and sofosbuvir plus ribavirin for treatment of HCV infection in patients with advanced liver disease.","type":"article-journal","volume":"149"},{"DOI":"10.1016/S1473-3099(16)00052-9","First":false,"Last":false,"PMID":"26907736","author":[{"family":"Manns","given":"Michael"},{"family":"Samuel","given":"Didier"},{"family":"Gane","given":"Edward J"},{"family":"Mutimer","given":"David"},{"family":"McCaughan","given":"Geoff"},{"family":"Buti","given":"Maria"},{"family":"Prieto","given":"Martín"},{"family":"Calleja","given":"José Luis"},{"family":"Peck-Radosavljevic","given":"Markus"},{"family":"Müllhaupt","given":"Beat"},{"family":"Agarwal","given":"Kosh"},{"family":"Angus","given":"Peter"},{"family":"Yoshida","given":"Eric M"},{"family":"Colombo","given":"Massimo"},{"family":"Rizzetto","given":"Mario"},{"family":"Dvory-Sobol","given":"Hadas"},{"family":"Denning","given":"Jill"},{"family":"Arterburn","given":"Sarah"},{"family":"Pang","given":"Phillip S"},{"family":"Brainard","given":"Diana"},{"family":"McHutchison","given":"John G"},{"family":"Dufour","given":"Jean-François"},{"family":"Van Vlierberghe","given":"Hans"},{"family":"van Hoek","given":"Bart"},{"family":"Forns","given":"Xavier"},{"family":"SOLAR-2 investigators"}],"authorYearDisplayFormat":false,"citation-label":"5824370","container-title":"The Lancet Infectious Diseases","container-title-short":"Lancet Infect. Dis.","id":"5824370","invisible":false,"issue":"6","issued":{"date-parts":[["2016","6"]]},"journalAbbreviation":"Lancet Infect. Dis.","page":"685-697","suppress-author":false,"title":"Ledipasvir and sofosbuvir plus ribavirin in patients with genotype 1 or 4 hepatitis C virus infection and advanced liver disease: a multicentre, open-label, randomised, phase 2 trial.","type":"article-journal","volume":"16"},{"DOI":"10.1002/hep.28446","First":false,"Last":false,"PMCID":"PMC5069651","PMID":"26754432","abstract":"&lt;strong&gt;UNLABELLED:&lt;/strong&gt; Chronic hepatitis C virus (HCV) infection with advanced cirrhosis or post-liver transplantation recurrence represents a high unmet medical need with no approved therapies effective across all HCV genotypes. The open-label ALLY-1 study assessed the safety and efficacy of a 60-mg once-daily dosage of daclatasvir (pan-genotypic NS5A inhibitor) in combination with sofosbuvir at 400 mg once daily (NS5B inhibitor) and ribavirin at 600 mg/day for 12 weeks with a 24-week follow-up in two cohorts of patients with chronic HCV infection of any genotype and either compensated/decompensated cirrhosis or posttransplantation recurrence. Patients with on-treatment transplantation were eligible to receive 12 additional weeks of treatment immediately after transplantation. The primary efficacy measure was sustained virologic response at posttreatment week 12 (SVR12) in patients with a genotype 1 infection in each cohort. Sixty patients with advanced cirrhosis and 53 with posttransplantation recurrence were enrolled; HCV genotypes 1 (76%), 2, 3, 4, and 6 were represented. Child-Pugh classifications in the advanced cirrhosis cohort were 20% A, 53% B, and 27% C. In patients with cirrhosis, 82% (95% confidence interval [CI], 67.9%-92.0%) with genotype 1 infection achieved SVR12, whereas the corresponding rates in those with genotypes 2, 3, and 4 were 80%, 83%, and 100%, respectively; SVR12 rates were higher in patients with Child-Pugh class A or B, 93%, versus class C, 56%. In transplant recipients, SVR12 was achieved by 95% (95% CI, 83.5%-99.4%) and 91% of patients with genotype 1 and 3 infection, respectively. Three patients received peritransplantation treatment with minimal dose interruption and achieved SVR12. There were no treatment-related serious adverse events.&lt;br&gt;&lt;br&gt;&lt;strong&gt;CONCLUSION:&lt;/strong&gt; The pan-genotypic combination of daclatasvir, sofosbuvir, and ribavirin was safe and well tolerated. High SVR rates across multiple HCV genotypes were achieved by patients with post-liver transplantation recurrence or advanced cirrhosis.&lt;br&gt;&lt;br&gt;© 2016 The Authors. Hepatology published by Wiley Periodicals, Inc., on behalf of the American Association for the Study of Liver Diseases.","author":[{"family":"Poordad","given":"Fred"},{"family":"Schiff","given":"Eugene R"},{"family":"Vierling","given":"John M"},{"family":"Landis","given":"Charles"},{"family":"Fontana","given":"Robert J"},{"family":"Yang","given":"Rong"},{"family":"McPhee","given":"Fiona"},{"family":"Hughes","given":"Eric A"},{"family":"Noviello","given":"Stephanie"},{"family":"Swenson","given":"Eugene S"}],"authorYearDisplayFormat":false,"citation-label":"2119682","container-title":"Hepatology","container-title-short":"Hepatology","id":"2119682","invisible":false,"issue":"5","issued":{"date-parts":[["2016","5"]]},"journalAbbreviation":"Hepatology","page":"1493-1505","suppress-author":false,"title":"Daclatasvir with sofosbuvir and ribavirin for hepatitis C virus infection with advanced cirrhosis or post-liver transplantation recurrence.","type":"article-journal","volume":"63"},{"DOI":"10.1002/lt.24614","First":false,"Last":false,"PMID":"27543748","abstract":"Hepatitis C virus (HCV) recurrence after liver transplantation (LT) is associated with worse outcomes. The combination of ledipasvir (LDV) and sofosbuvir (SOF) has been approved for HCV treatment after LT, but there are limited data on the effectiveness and safety of LDV/SOF in the \"real-world\" setting. This multicenter study is the largest report to date on the effectiveness and safety of LDV/SOF in the post-LT setting. A total of 204 patients (72% male, 68% Caucasian, 66% genotype [GT] 1a, 21% METAVIR F3-F4, 49% treatment-experienced) were treated with LDV/SOF. The mean duration from LT to treatment initiation was 4.8 years. The overall sustained virological response rate 12 weeks after completion of therapy (SVR12) was 96%. Patients treated with 8 or 12 weeks of LDV/SOF without RBV experienced an SVR12 rate of 100% and 96%, respectively. Calcineurin inhibitors were used in 89% of patients, and 32% of patients underwent adjustment in immunosuppression during treatment. One episode of mild rejection, responsive to an increase in immunosuppression dosage, was observed. There was no graft loss attributed to HCV treatment. Four deaths occurred unrelated to HCV treatment, and no significant serious adverse events were documented. In conclusion, SOF and LDV with or without RBV for 8, 12, or 24 weeks in post-LT patients was effective and safe with a high SVR12 rate across a spectrum of GTs and stages of fibrosis. Liver Transplantation 22 1536-1543 2016 AASLD.&lt;br&gt;&lt;br&gt;© 2016 by the American Association for the Study of Liver Diseases.","author":[{"family":"Kwok","given":"Ryan M"},{"family":"Ahn","given":"Joseph"},{"family":"Schiano","given":"Thomas D"},{"family":"Te","given":"Helen S"},{"family":"Potosky","given":"Darryn R"},{"family":"Tierney","given":"Amber"},{"family":"Satoskar","given":"Rohit"},{"family":"Robertazzi","given":"Suzanne"},{"family":"Rodigas","given":"Colleen"},{"family":"Lee Sang","given":"Michelle"},{"family":"Wiegel","given":"Joshua"},{"family":"Patel","given":"Neal"},{"family":"Gripshover","given":"Janet"},{"family":"Hassan","given":"Mohamed A"},{"family":"Branch","given":"Andrea"},{"family":"Smith","given":"Coleman I"}],"authorYearDisplayFormat":false,"citation-label":"2114712","container-title":"Liver Transplantation","container-title-short":"Liver Transpl.","id":"2114712","invisible":false,"issue":"11","issued":{"date-parts":[["2016"]]},"journalAbbreviation":"Liver Transpl.","page":"1536-1543","suppress-author":false,"title":"Sofosbuvir plus ledispasvir for recurrent hepatitis C in liver transplant recipients.","type":"article-journal","volume":"22"},{"DOI":"10.1002/hep.30046","First":false,"Last":false,"PMCID":"PMC6220874","PMID":"29672891","abstract":"Well-tolerated, ribavirin-free, pangenotypic hepatitis C virus (HCV) treatments for transplant recipients remain a high priority. Once-daily glecaprevir/pibrentasvir demonstrates high rates of sustained virologic response at 12 weeks posttreatment (SVR12) across all major HCV genotypes (GTs). This trial evaluated the safety and efficacy of glecaprevir/pibrentasvir for patients with chronic HCV GT1-6 infection who had received a liver or kidney transplant. MAGELLAN-2 was a phase 3, open-label trial conducted in patients who were ≥3 months posttransplant. Patients without cirrhosis who were HCV treatment-naive (GT1-6) or treatment-experienced (GT1, 2, 4-6; with interferon-based therapy with or without sofosbuvir, or sofosbuvir plus ribavirin) received glecaprevir/pibrentasvir (300/120 mg) once daily for 12 weeks. The primary endpoint compared the percentage of patients receiving glecaprevir/pibrentasvir with SVR12 to a historic SVR12 rate based on the standard of care. Safety of glecaprevir/pibrentasvir was assessed. In total, 80 liver transplant and 20 kidney transplant patients participated in the trial. Most patients had no or minimal fibrosis (80% had fibrosis scores F0-F1) and were infected with HCV GT1 (57%) or GT3 (24%). The overall SVR12 was 98% (n/N = 98/100; 95% confidence interval, 95.3%-100%), which exceeded the prespecified historic standard-of-care SVR12 threshold of 94%. One patient experienced virologic failure. One patient discontinued because of an adverse event considered to be unrelated to treatment; this patient achieved SVR12. Adverse events were mostly mild in severity, and laboratory abnormalities were infrequent.&lt;br&gt;&lt;br&gt;&lt;strong&gt;CONCLUSION:&lt;/strong&gt; Once-daily glecaprevir/pibrentasvir for 12 weeks is a well-tolerated and efficacious, ribavirin-free treatment for patients with chronic HCV GT1-6 infection who have received a liver or kidney transplant. (ClinicalTrials.gov NCT02692703.) (Hepatology 2018; 00:000-000).&lt;br&gt;&lt;br&gt;© 2018 The Authors. Hepatology published by Wiley Periodicals, Inc. on behalf of American Association for the Study of Liver Diseases.","author":[{"family":"Reau","given":"Nancy"},{"family":"Kwo","given":"Paul Y"},{"family":"Rhee","given":"Susan"},{"family":"Brown","given":"Robert S"},{"family":"Agarwal","given":"Kosh"},{"family":"Angus","given":"Peter"},{"family":"Gane","given":"Edward"},{"family":"Kao","given":"Jia-Horng"},{"family":"Mantry","given":"Parvez S"},{"family":"Mutimer","given":"David"},{"family":"Reddy","given":"K Rajender"},{"family":"Tran","given":"Tram T"},{"family":"Hu","given":"Yiran B"},{"family":"Gulati","given":"Abhishek"},{"family":"Krishnan","given":"Preethi"},{"family":"Dumas","given":"Emily O"},{"family":"Porcalla","given":"Ariel"},{"family":"Shulman","given":"Nancy S"},{"family":"Liu","given":"Wei"},{"family":"Samanta","given":"Suvajit"},{"family":"Trinh","given":"Roger"},{"family":"Forns","given":"Xavier"}],"authorYearDisplayFormat":false,"citation-label":"5959577","container-title":"Hepatology","container-title-short":"Hepatology","id":"5959577","invisible":false,"issue":"4","issued":{"date-parts":[["2018","10"]]},"journalAbbreviation":"Hepatology","page":"1298-1307","suppress-author":false,"title":"Glecaprevir/pibrentasvir treatment in liver or kidney transplant patients with hepatitis C virus infection.","type":"article-journal","volume":"68"}]</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[24</w:t>
      </w:r>
      <w:r w:rsidR="0098113A">
        <w:rPr>
          <w:rFonts w:ascii="Book Antiqua" w:hAnsi="Book Antiqua" w:cs="Arial"/>
          <w:noProof/>
          <w:sz w:val="24"/>
          <w:szCs w:val="24"/>
          <w:vertAlign w:val="superscript"/>
        </w:rPr>
        <w:t>-</w:t>
      </w:r>
      <w:r w:rsidR="00B203B5" w:rsidRPr="007363FF">
        <w:rPr>
          <w:rFonts w:ascii="Book Antiqua" w:hAnsi="Book Antiqua" w:cs="Arial"/>
          <w:noProof/>
          <w:sz w:val="24"/>
          <w:szCs w:val="24"/>
          <w:vertAlign w:val="superscript"/>
        </w:rPr>
        <w:t>28]</w:t>
      </w:r>
      <w:r w:rsidR="0074363C" w:rsidRPr="007363FF">
        <w:rPr>
          <w:rFonts w:ascii="Book Antiqua" w:hAnsi="Book Antiqua" w:cs="Arial"/>
          <w:sz w:val="24"/>
          <w:szCs w:val="24"/>
        </w:rPr>
        <w:fldChar w:fldCharType="end"/>
      </w:r>
      <w:r w:rsidR="00843398" w:rsidRPr="007363FF">
        <w:rPr>
          <w:rFonts w:ascii="Book Antiqua" w:hAnsi="Book Antiqua" w:cs="Arial"/>
          <w:sz w:val="24"/>
          <w:szCs w:val="24"/>
        </w:rPr>
        <w:t xml:space="preserve">. </w:t>
      </w:r>
      <w:r w:rsidR="00A24B2A" w:rsidRPr="007363FF">
        <w:rPr>
          <w:rFonts w:ascii="Book Antiqua" w:hAnsi="Book Antiqua" w:cs="Arial"/>
          <w:sz w:val="24"/>
          <w:szCs w:val="24"/>
        </w:rPr>
        <w:t xml:space="preserve">Most recently, a high rate of SVR (97%) </w:t>
      </w:r>
      <w:r w:rsidR="00C70B57" w:rsidRPr="007363FF">
        <w:rPr>
          <w:rFonts w:ascii="Book Antiqua" w:hAnsi="Book Antiqua" w:cs="Arial"/>
          <w:sz w:val="24"/>
          <w:szCs w:val="24"/>
        </w:rPr>
        <w:t xml:space="preserve">was achieved </w:t>
      </w:r>
      <w:r w:rsidR="00A24B2A" w:rsidRPr="007363FF">
        <w:rPr>
          <w:rFonts w:ascii="Book Antiqua" w:hAnsi="Book Antiqua" w:cs="Arial"/>
          <w:sz w:val="24"/>
          <w:szCs w:val="24"/>
        </w:rPr>
        <w:t xml:space="preserve">among LT recipients treated with 12 wk of GLE/PIB, a pangenotypic regimen. </w:t>
      </w:r>
      <w:r w:rsidR="00850B9D" w:rsidRPr="007363FF">
        <w:rPr>
          <w:rFonts w:ascii="Book Antiqua" w:hAnsi="Book Antiqua" w:cs="Arial"/>
          <w:sz w:val="24"/>
          <w:szCs w:val="24"/>
        </w:rPr>
        <w:t>Importantly, immunosuppression levels did not fluctuate significantly</w:t>
      </w:r>
      <w:r w:rsidR="00C70B57" w:rsidRPr="007363FF">
        <w:rPr>
          <w:rFonts w:ascii="Book Antiqua" w:hAnsi="Book Antiqua" w:cs="Arial"/>
          <w:sz w:val="24"/>
          <w:szCs w:val="24"/>
        </w:rPr>
        <w:t xml:space="preserve"> during treatment with GLE/PIB</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F1000_CSL_CITATION&lt;~#@#~&gt;[{"DOI":"10.1002/hep.30046","First":false,"Last":false,"PMCID":"PMC6220874","PMID":"29672891","abstract":"Well-tolerated, ribavirin-free, pangenotypic hepatitis C virus (HCV) treatments for transplant recipients remain a high priority. Once-daily glecaprevir/pibrentasvir demonstrates high rates of sustained virologic response at 12 weeks posttreatment (SVR12) across all major HCV genotypes (GTs). This trial evaluated the safety and efficacy of glecaprevir/pibrentasvir for patients with chronic HCV GT1-6 infection who had received a liver or kidney transplant. MAGELLAN-2 was a phase 3, open-label trial conducted in patients who were ≥3 months posttransplant. Patients without cirrhosis who were HCV treatment-naive (GT1-6) or treatment-experienced (GT1, 2, 4-6; with interferon-based therapy with or without sofosbuvir, or sofosbuvir plus ribavirin) received glecaprevir/pibrentasvir (300/120 mg) once daily for 12 weeks. The primary endpoint compared the percentage of patients receiving glecaprevir/pibrentasvir with SVR12 to a historic SVR12 rate based on the standard of care. Safety of glecaprevir/pibrentasvir was assessed. In total, 80 liver transplant and 20 kidney transplant patients participated in the trial. Most patients had no or minimal fibrosis (80% had fibrosis scores F0-F1) and were infected with HCV GT1 (57%) or GT3 (24%). The overall SVR12 was 98% (n/N = 98/100; 95% confidence interval, 95.3%-100%), which exceeded the prespecified historic standard-of-care SVR12 threshold of 94%. One patient experienced virologic failure. One patient discontinued because of an adverse event considered to be unrelated to treatment; this patient achieved SVR12. Adverse events were mostly mild in severity, and laboratory abnormalities were infrequent.&lt;br&gt;&lt;br&gt;&lt;strong&gt;CONCLUSION:&lt;/strong&gt; Once-daily glecaprevir/pibrentasvir for 12 weeks is a well-tolerated and efficacious, ribavirin-free treatment for patients with chronic HCV GT1-6 infection who have received a liver or kidney transplant. (ClinicalTrials.gov NCT02692703.) (Hepatology 2018; 00:000-000).&lt;br&gt;&lt;br&gt;© 2018 The Authors. Hepatology published by Wiley Periodicals, Inc. on behalf of American Association for the Study of Liver Diseases.","author":[{"family":"Reau","given":"Nancy"},{"family":"Kwo","given":"Paul Y"},{"family":"Rhee","given":"Susan"},{"family":"Brown","given":"Robert S"},{"family":"Agarwal","given":"Kosh"},{"family":"Angus","given":"Peter"},{"family":"Gane","given":"Edward"},{"family":"Kao","given":"Jia-Horng"},{"family":"Mantry","given":"Parvez S"},{"family":"Mutimer","given":"David"},{"family":"Reddy","given":"K Rajender"},{"family":"Tran","given":"Tram T"},{"family":"Hu","given":"Yiran B"},{"family":"Gulati","given":"Abhishek"},{"family":"Krishnan","given":"Preethi"},{"family":"Dumas","given":"Emily O"},{"family":"Porcalla","given":"Ariel"},{"family":"Shulman","given":"Nancy S"},{"family":"Liu","given":"Wei"},{"family":"Samanta","given":"Suvajit"},{"family":"Trinh","given":"Roger"},{"family":"Forns","given":"Xavier"}],"authorYearDisplayFormat":false,"citation-label":"5959577","container-title":"Hepatology","container-title-short":"Hepatology","id":"5959577","invisible":false,"issue":"4","issued":{"date-parts":[["2018","10"]]},"journalAbbreviation":"Hepatology","page":"1298-1307","suppress-author":false,"title":"Glecaprevir/pibrentasvir treatment in liver or kidney transplant patients with hepatitis C virus infection.","type":"article-journal","volume":"68"}]</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[28]</w:t>
      </w:r>
      <w:r w:rsidR="0074363C" w:rsidRPr="007363FF">
        <w:rPr>
          <w:rFonts w:ascii="Book Antiqua" w:hAnsi="Book Antiqua" w:cs="Arial"/>
          <w:sz w:val="24"/>
          <w:szCs w:val="24"/>
        </w:rPr>
        <w:fldChar w:fldCharType="end"/>
      </w:r>
      <w:r w:rsidR="00850B9D" w:rsidRPr="007363FF">
        <w:rPr>
          <w:rFonts w:ascii="Book Antiqua" w:hAnsi="Book Antiqua" w:cs="Arial"/>
          <w:sz w:val="24"/>
          <w:szCs w:val="24"/>
        </w:rPr>
        <w:t>.</w:t>
      </w:r>
      <w:r w:rsidR="00A24B2A" w:rsidRPr="007363FF">
        <w:rPr>
          <w:rFonts w:ascii="Book Antiqua" w:hAnsi="Book Antiqua" w:cs="Arial"/>
          <w:sz w:val="24"/>
          <w:szCs w:val="24"/>
        </w:rPr>
        <w:t xml:space="preserve"> </w:t>
      </w:r>
      <w:r w:rsidR="003A63B2" w:rsidRPr="007363FF">
        <w:rPr>
          <w:rFonts w:ascii="Book Antiqua" w:hAnsi="Book Antiqua" w:cs="Arial"/>
          <w:sz w:val="24"/>
          <w:szCs w:val="24"/>
        </w:rPr>
        <w:t xml:space="preserve"> </w:t>
      </w:r>
      <w:r w:rsidR="000E15DE" w:rsidRPr="007363FF">
        <w:rPr>
          <w:rFonts w:ascii="Book Antiqua" w:hAnsi="Book Antiqua" w:cs="Arial"/>
          <w:sz w:val="24"/>
          <w:szCs w:val="24"/>
        </w:rPr>
        <w:t xml:space="preserve">Further, real-world data from the HCV-TARGET cohort as well as other smaller studies confirm the high rates of SVR and low rates of HCV relapse and adverse events among patients with </w:t>
      </w:r>
      <w:r w:rsidR="00B120B7" w:rsidRPr="007363FF">
        <w:rPr>
          <w:rFonts w:ascii="Book Antiqua" w:hAnsi="Book Antiqua" w:cs="Arial"/>
          <w:sz w:val="24"/>
          <w:szCs w:val="24"/>
        </w:rPr>
        <w:t>chronic HCV infection</w:t>
      </w:r>
      <w:r w:rsidR="001A21E7" w:rsidRPr="007363FF">
        <w:rPr>
          <w:rFonts w:ascii="Book Antiqua" w:hAnsi="Book Antiqua" w:cs="Arial"/>
          <w:sz w:val="24"/>
          <w:szCs w:val="24"/>
        </w:rPr>
        <w:t>.</w:t>
      </w:r>
      <w:r w:rsidRPr="007363FF">
        <w:rPr>
          <w:rFonts w:ascii="Book Antiqua" w:hAnsi="Book Antiqua" w:cs="Arial"/>
          <w:sz w:val="24"/>
          <w:szCs w:val="24"/>
        </w:rPr>
        <w:t xml:space="preserve"> </w:t>
      </w:r>
      <w:r w:rsidR="004B4E1F" w:rsidRPr="007363FF">
        <w:rPr>
          <w:rFonts w:ascii="Book Antiqua" w:hAnsi="Book Antiqua" w:cs="Arial"/>
          <w:sz w:val="24"/>
          <w:szCs w:val="24"/>
        </w:rPr>
        <w:t>Predictors of SVR included the absence of cirrhosis and hepatic decompensation</w:t>
      </w:r>
      <w:r w:rsidR="00344F7A" w:rsidRPr="007363FF">
        <w:rPr>
          <w:rFonts w:ascii="Book Antiqua" w:hAnsi="Book Antiqua" w:cs="Arial"/>
          <w:sz w:val="24"/>
          <w:szCs w:val="24"/>
        </w:rPr>
        <w:t>, suggesting that treatment earlier in the post-transplant course may be of benefit</w:t>
      </w:r>
      <w:r w:rsidR="00D872ED" w:rsidRPr="007363FF">
        <w:rPr>
          <w:rFonts w:ascii="Book Antiqua" w:hAnsi="Book Antiqua" w:cs="Arial"/>
          <w:sz w:val="24"/>
          <w:szCs w:val="24"/>
        </w:rPr>
        <w:t>, before these complications develop</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F1000_CSL_CITATION&lt;~#@#~&gt;[{"DOI":"10.1002/hep.29258","First":false,"Last":false,"PMCID":"PMC5756478","PMID":"28504842","abstract":"Data outside of clinical trials with direct-acting antiviral regimens with or without ribavirin as treatment of chronic hepatitis C virus in solid organ transplant recipients are limited. Liver transplant (LT), kidney transplant (KT), and dual liver kidney (DLK) transplant recipients from the Hepatitis C Therapeutic Registry and Research Network database, a multicenter, longitudinal clinical care treatment cohort, treated with direct-acting antiviral regimens between January 1, 2014, and February 15, 2016, were included to assess safety and efficacy. Included were 443 posttransplant patients (KT = 60, LT = 347, DLK = 36); 42% had cirrhosis, and 54% had failed prior antiviral therapy. Most had genotype (GT) 1 (87% with 52% GT1a, 27% GT1b, and 8% GT1 no subtype) and were treated with sofosbuvir (SOF)/ledipasvir ± ribavirin (85%) followed by SOF + daclatasvir ± ribavirin (9%) and ombitasvir/paritaprevir/ritonavir + dasabuvir ± ribavirin (6%). Rates of sustained virologic response (SVR) at 12 weeks were available on 412 patients, and 395 patients (95.9%) achieved SVR at 12 weeks: 96.6%, 94.5%, and 90.9% among LT, KT, and DLK transplant recipients, respectively. Ribavirin did not influence SVR rates and was more often used in those with higher BMI, higher estimated glomerular filtration rate and lower creatinine. Female gender, baseline albumin ≥3.5 g/dL, baseline total bilirubin ≤1.2 mg/dL, absence of cirrhosis, and hepatic decompensation predicted SVR at 12 weeks. Six episodes of acute rejection (n = 2 KT, 4 LT) occurred, during hepatitis C virus treatment in 4 and after cessation of treatment in 2.&lt;br&gt;&lt;br&gt;&lt;strong&gt;CONCLUSION:&lt;/strong&gt; In a large prospective observational cohort study, direct-acting antiviral therapy with SOF/ledipasvir, ombitasvir/paritaprevir/ritonavir + dasabuvir, and SOF plus daclatasvir was efficacious and safe in LT, KT, and DLK transplant recipients; ribavirin did not influence SVR, and graft rejection was rare. (Hepatology 2017;66:1090-1101).&lt;br&gt;&lt;br&gt;© 2017 by the American Association for the Study of Liver Diseases.","author":[{"family":"Saxena","given":"Varun"},{"family":"Khungar","given":"Vandana"},{"family":"Verna","given":"Elizabeth C"},{"family":"Levitsky","given":"Josh"},{"family":"Brown","given":"Robert S"},{"family":"Hassan","given":"Mohamed A"},{"family":"Sulkowski","given":"Mark S"},{"family":"O'Leary","given":"Jacqueline G"},{"family":"Koraishy","given":"Farrukh"},{"family":"Galati","given":"Joseph S"},{"family":"Kuo","given":"Alexander A"},{"family":"Vainorius","given":"Monika"},{"family":"Akushevich","given":"Lucy"},{"family":"Nelson","given":"David R"},{"family":"Fried","given":"Michael W"},{"family":"Terrault","given":"Norah"},{"family":"Reddy","given":"K Rajender"}],"authorYearDisplayFormat":false,"citation-label":"4533166","container-title":"Hepatology","container-title-short":"Hepatology","id":"4533166","invisible":false,"issue":"4","issued":{"date-parts":[["2017","10"]]},"journalAbbreviation":"Hepatology","page":"1090-1101","suppress-author":false,"title":"Safety and efficacy of current direct-acting antiviral regimens in kidney and liver transplant recipients with hepatitis C: Results from the HCV-TARGET study.","type":"article-journal","volume":"66"}]</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[29]</w:t>
      </w:r>
      <w:r w:rsidR="0074363C" w:rsidRPr="007363FF">
        <w:rPr>
          <w:rFonts w:ascii="Book Antiqua" w:hAnsi="Book Antiqua" w:cs="Arial"/>
          <w:sz w:val="24"/>
          <w:szCs w:val="24"/>
        </w:rPr>
        <w:fldChar w:fldCharType="end"/>
      </w:r>
      <w:r w:rsidR="004B4E1F" w:rsidRPr="007363FF">
        <w:rPr>
          <w:rFonts w:ascii="Book Antiqua" w:hAnsi="Book Antiqua" w:cs="Arial"/>
          <w:sz w:val="24"/>
          <w:szCs w:val="24"/>
        </w:rPr>
        <w:t>.</w:t>
      </w:r>
      <w:r w:rsidR="00BE3A8C" w:rsidRPr="007363FF">
        <w:rPr>
          <w:rFonts w:ascii="Book Antiqua" w:hAnsi="Book Antiqua" w:cs="Arial"/>
          <w:sz w:val="24"/>
          <w:szCs w:val="24"/>
        </w:rPr>
        <w:t xml:space="preserve"> </w:t>
      </w:r>
      <w:r w:rsidR="0072510C" w:rsidRPr="007363FF">
        <w:rPr>
          <w:rFonts w:ascii="Book Antiqua" w:hAnsi="Book Antiqua" w:cs="Arial"/>
          <w:sz w:val="24"/>
          <w:szCs w:val="24"/>
        </w:rPr>
        <w:t>B</w:t>
      </w:r>
      <w:r w:rsidR="00B120B7" w:rsidRPr="007363FF">
        <w:rPr>
          <w:rFonts w:ascii="Book Antiqua" w:hAnsi="Book Antiqua" w:cs="Arial"/>
          <w:sz w:val="24"/>
          <w:szCs w:val="24"/>
        </w:rPr>
        <w:t>ased on the available data, guidance in the U</w:t>
      </w:r>
      <w:r w:rsidR="0098113A">
        <w:rPr>
          <w:rFonts w:ascii="Book Antiqua" w:hAnsi="Book Antiqua" w:cs="Arial"/>
          <w:sz w:val="24"/>
          <w:szCs w:val="24"/>
        </w:rPr>
        <w:t xml:space="preserve">nited </w:t>
      </w:r>
      <w:r w:rsidR="00B120B7" w:rsidRPr="007363FF">
        <w:rPr>
          <w:rFonts w:ascii="Book Antiqua" w:hAnsi="Book Antiqua" w:cs="Arial"/>
          <w:sz w:val="24"/>
          <w:szCs w:val="24"/>
        </w:rPr>
        <w:t>S</w:t>
      </w:r>
      <w:r w:rsidR="0098113A">
        <w:rPr>
          <w:rFonts w:ascii="Book Antiqua" w:hAnsi="Book Antiqua" w:cs="Arial"/>
          <w:sz w:val="24"/>
          <w:szCs w:val="24"/>
        </w:rPr>
        <w:t>tates</w:t>
      </w:r>
      <w:r w:rsidR="0072510C" w:rsidRPr="007363FF">
        <w:rPr>
          <w:rFonts w:ascii="Book Antiqua" w:hAnsi="Book Antiqua" w:cs="Arial"/>
          <w:sz w:val="24"/>
          <w:szCs w:val="24"/>
        </w:rPr>
        <w:t xml:space="preserve"> recommend </w:t>
      </w:r>
      <w:r w:rsidR="00E16F22" w:rsidRPr="007363FF">
        <w:rPr>
          <w:rFonts w:ascii="Book Antiqua" w:hAnsi="Book Antiqua" w:cs="Arial"/>
          <w:sz w:val="24"/>
          <w:szCs w:val="24"/>
        </w:rPr>
        <w:t xml:space="preserve">treatment with 12 wk of </w:t>
      </w:r>
      <w:r w:rsidR="00B120B7" w:rsidRPr="007363FF">
        <w:rPr>
          <w:rFonts w:ascii="Book Antiqua" w:hAnsi="Book Antiqua" w:cs="Arial"/>
          <w:sz w:val="24"/>
          <w:szCs w:val="24"/>
        </w:rPr>
        <w:t>various regimens depending on HCV genotype and the presence of (decompensated) cirrhosis</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First":false,"Last":false,"URL":"http://www.hcvguidelines.org","accessed":{"date-parts":[["2017","7","29"]]},"author":[{"family":"AASLD-IDSA"}],"authorYearDisplayFormat":false,"citation-label":"1314274","id":"1314274","invisible":false,"issued":{"date-parts":[[]]},"suppress-author":false,"title":"AASLD-IDSA. Recommendations for testing, managing, and treating hepatitis C.","type":"webpage"}]</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[30]</w:t>
      </w:r>
      <w:r w:rsidR="0074363C" w:rsidRPr="007363FF">
        <w:rPr>
          <w:rFonts w:ascii="Book Antiqua" w:hAnsi="Book Antiqua" w:cs="Arial"/>
          <w:sz w:val="24"/>
          <w:szCs w:val="24"/>
        </w:rPr>
        <w:fldChar w:fldCharType="end"/>
      </w:r>
      <w:r w:rsidR="008F771B" w:rsidRPr="007363FF">
        <w:rPr>
          <w:rFonts w:ascii="Book Antiqua" w:hAnsi="Book Antiqua" w:cs="Arial"/>
          <w:sz w:val="24"/>
          <w:szCs w:val="24"/>
        </w:rPr>
        <w:t>.</w:t>
      </w:r>
    </w:p>
    <w:p w14:paraId="1903A99C" w14:textId="77777777" w:rsidR="00B120B7" w:rsidRPr="007363FF" w:rsidRDefault="00B120B7" w:rsidP="007363FF">
      <w:pPr>
        <w:pStyle w:val="a3"/>
        <w:adjustRightInd w:val="0"/>
        <w:snapToGrid w:val="0"/>
        <w:spacing w:line="360" w:lineRule="auto"/>
        <w:jc w:val="both"/>
        <w:rPr>
          <w:rFonts w:ascii="Book Antiqua" w:hAnsi="Book Antiqua" w:cs="Arial"/>
          <w:sz w:val="24"/>
          <w:szCs w:val="24"/>
        </w:rPr>
      </w:pPr>
    </w:p>
    <w:p w14:paraId="3C8E7E65" w14:textId="47197D0D" w:rsidR="0072510C" w:rsidRPr="007363FF" w:rsidRDefault="0098113A" w:rsidP="007363FF">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b/>
          <w:sz w:val="24"/>
          <w:szCs w:val="24"/>
        </w:rPr>
        <w:t>RATIONALE AND EARLY DATA FOR TRANSPLANTATION OF LIVERS FROM HCV-POSITIVE DONORS TO HCV-NEGATIVE RECIPIENTS</w:t>
      </w:r>
    </w:p>
    <w:p w14:paraId="4193AF6D" w14:textId="5BE4F1A8" w:rsidR="00BD6397" w:rsidRPr="007363FF" w:rsidRDefault="009452B2" w:rsidP="007363FF">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 xml:space="preserve">DAA therapy has allowed for safe and </w:t>
      </w:r>
      <w:r w:rsidR="00BD4AD4" w:rsidRPr="007363FF">
        <w:rPr>
          <w:rFonts w:ascii="Book Antiqua" w:hAnsi="Book Antiqua" w:cs="Arial"/>
          <w:sz w:val="24"/>
          <w:szCs w:val="24"/>
        </w:rPr>
        <w:t xml:space="preserve">highly </w:t>
      </w:r>
      <w:r w:rsidRPr="007363FF">
        <w:rPr>
          <w:rFonts w:ascii="Book Antiqua" w:hAnsi="Book Antiqua" w:cs="Arial"/>
          <w:sz w:val="24"/>
          <w:szCs w:val="24"/>
        </w:rPr>
        <w:t>effective tr</w:t>
      </w:r>
      <w:r w:rsidR="00B120B7" w:rsidRPr="007363FF">
        <w:rPr>
          <w:rFonts w:ascii="Book Antiqua" w:hAnsi="Book Antiqua" w:cs="Arial"/>
          <w:sz w:val="24"/>
          <w:szCs w:val="24"/>
        </w:rPr>
        <w:t xml:space="preserve">eatment of HCV infection in </w:t>
      </w:r>
      <w:r w:rsidRPr="007363FF">
        <w:rPr>
          <w:rFonts w:ascii="Book Antiqua" w:hAnsi="Book Antiqua" w:cs="Arial"/>
          <w:sz w:val="24"/>
          <w:szCs w:val="24"/>
        </w:rPr>
        <w:t xml:space="preserve">LT </w:t>
      </w:r>
      <w:r w:rsidR="00CC7D10" w:rsidRPr="007363FF">
        <w:rPr>
          <w:rFonts w:ascii="Book Antiqua" w:hAnsi="Book Antiqua" w:cs="Arial"/>
          <w:sz w:val="24"/>
          <w:szCs w:val="24"/>
        </w:rPr>
        <w:t>r</w:t>
      </w:r>
      <w:r w:rsidR="00B120B7" w:rsidRPr="007363FF">
        <w:rPr>
          <w:rFonts w:ascii="Book Antiqua" w:hAnsi="Book Antiqua" w:cs="Arial"/>
          <w:sz w:val="24"/>
          <w:szCs w:val="24"/>
        </w:rPr>
        <w:t>ecipients</w:t>
      </w:r>
      <w:r w:rsidR="00BD4AD4" w:rsidRPr="007363FF">
        <w:rPr>
          <w:rFonts w:ascii="Book Antiqua" w:hAnsi="Book Antiqua" w:cs="Arial"/>
          <w:sz w:val="24"/>
          <w:szCs w:val="24"/>
        </w:rPr>
        <w:t xml:space="preserve">. </w:t>
      </w:r>
      <w:r w:rsidR="008C0A24" w:rsidRPr="007363FF">
        <w:rPr>
          <w:rFonts w:ascii="Book Antiqua" w:hAnsi="Book Antiqua" w:cs="Arial"/>
          <w:sz w:val="24"/>
          <w:szCs w:val="24"/>
        </w:rPr>
        <w:t>Because of the high efficacy of these treatments in the pre-LT setting as well</w:t>
      </w:r>
      <w:r w:rsidR="00CC7D10" w:rsidRPr="007363FF">
        <w:rPr>
          <w:rFonts w:ascii="Book Antiqua" w:hAnsi="Book Antiqua" w:cs="Arial"/>
          <w:sz w:val="24"/>
          <w:szCs w:val="24"/>
        </w:rPr>
        <w:t xml:space="preserve">, the number of patients placed on the </w:t>
      </w:r>
      <w:r w:rsidR="009601C5" w:rsidRPr="007363FF">
        <w:rPr>
          <w:rFonts w:ascii="Book Antiqua" w:hAnsi="Book Antiqua" w:cs="Arial"/>
          <w:sz w:val="24"/>
          <w:szCs w:val="24"/>
        </w:rPr>
        <w:t xml:space="preserve">LT </w:t>
      </w:r>
      <w:r w:rsidR="00CC7D10" w:rsidRPr="007363FF">
        <w:rPr>
          <w:rFonts w:ascii="Book Antiqua" w:hAnsi="Book Antiqua" w:cs="Arial"/>
          <w:sz w:val="24"/>
          <w:szCs w:val="24"/>
        </w:rPr>
        <w:t xml:space="preserve">waiting list for </w:t>
      </w:r>
      <w:r w:rsidR="00B120B7" w:rsidRPr="007363FF">
        <w:rPr>
          <w:rFonts w:ascii="Book Antiqua" w:hAnsi="Book Antiqua" w:cs="Arial"/>
          <w:sz w:val="24"/>
          <w:szCs w:val="24"/>
        </w:rPr>
        <w:t>liver disease</w:t>
      </w:r>
      <w:r w:rsidR="00CC7D10" w:rsidRPr="007363FF">
        <w:rPr>
          <w:rFonts w:ascii="Book Antiqua" w:hAnsi="Book Antiqua" w:cs="Arial"/>
          <w:sz w:val="24"/>
          <w:szCs w:val="24"/>
        </w:rPr>
        <w:t xml:space="preserve"> related to HCV infection h</w:t>
      </w:r>
      <w:r w:rsidR="004552FF" w:rsidRPr="007363FF">
        <w:rPr>
          <w:rFonts w:ascii="Book Antiqua" w:hAnsi="Book Antiqua" w:cs="Arial"/>
          <w:sz w:val="24"/>
          <w:szCs w:val="24"/>
        </w:rPr>
        <w:t>as been in decline since 2016</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F1000_CSL_CITATION&lt;~#@#~&gt;[{"DOI":"10.1111/ajt.14126","First":false,"Last":false,"PMID":"28052604","abstract":"Several notable developments in adult liver transplantation in the US occurred in 2015. The year saw the largest number of liver transplants to date, leading to reductions in median waiting time, in waitlist mortality for all model for end-stage liver disease categories, and in the number of candidates on the waiting list at the end of the year. Numbers of additions to the waiting list and of liver transplants performed in patients with hepatitis C virus infection decreased for the first time in recent years. However, other diagnoses, such as non-alcoholic fatty liver disease and alcoholic cirrhosis, became more prevalent. Despite large numbers of severely ill patients undergoing liver transplant, graft survival rates continued to improve. The number of new active candidates added to the pediatric liver transplant waiting list in 2015 was 689, down from a peak of 826 in 2005. The number of prevalent pediatric candidates (on the list on December 31 of the given year) continued to decline, to 373 active and 195 inactive candidates. The number of pediatric liver transplants peaked at 613 in 2008 and was 580 in 2015. The number of living donor pediatric liver transplants increased to its highest level, 79, in 2015; most were from donors closely related to the recipients. Pediatric graft survival rates continued to improve.&lt;br&gt;&lt;br&gt; .","author":[{"family":"Kim","given":"W R"},{"family":"Lake","given":"J R"},{"family":"Smith","given":"J M"},{"family":"Skeans","given":"M A"},{"family":"Schladt","given":"D P"},{"family":"Edwards","given":"E B"},{"family":"Harper","given":"A M"},{"family":"Wainright","given":"J L"},{"family":"Snyder","given":"J J"},{"family":"Israni","given":"A K"},{"family":"Kasiske","given":"B L"}],"authorYearDisplayFormat":false,"citation-label":"3955578","container-title":"American Journal of Transplantation","container-title-short":"Am. J. Transplant.","id":"3955578","invisible":false,"issued":{"date-parts":[["2017","1"]]},"journalAbbreviation":"Am. J. Transplant.","page":"174-251","suppress-author":false,"title":"OPTN/SRTR 2015 annual data report: liver.","type":"article-journal","volume":"17 Suppl 1"}]</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[31]</w:t>
      </w:r>
      <w:r w:rsidR="0074363C" w:rsidRPr="007363FF">
        <w:rPr>
          <w:rFonts w:ascii="Book Antiqua" w:hAnsi="Book Antiqua" w:cs="Arial"/>
          <w:sz w:val="24"/>
          <w:szCs w:val="24"/>
        </w:rPr>
        <w:fldChar w:fldCharType="end"/>
      </w:r>
      <w:r w:rsidR="004552FF" w:rsidRPr="007363FF">
        <w:rPr>
          <w:rFonts w:ascii="Book Antiqua" w:hAnsi="Book Antiqua" w:cs="Arial"/>
          <w:sz w:val="24"/>
          <w:szCs w:val="24"/>
        </w:rPr>
        <w:t xml:space="preserve"> while th</w:t>
      </w:r>
      <w:r w:rsidR="00F42EA0" w:rsidRPr="007363FF">
        <w:rPr>
          <w:rFonts w:ascii="Book Antiqua" w:hAnsi="Book Antiqua" w:cs="Arial"/>
          <w:sz w:val="24"/>
          <w:szCs w:val="24"/>
        </w:rPr>
        <w:t>e number of HCV-positive donors is on the rise. These donors are mostly young people dying of causes unrelated to their HCV infection</w:t>
      </w:r>
      <w:r w:rsidR="00AE3C2F" w:rsidRPr="007363FF">
        <w:rPr>
          <w:rFonts w:ascii="Book Antiqua" w:hAnsi="Book Antiqua" w:cs="Arial"/>
          <w:sz w:val="24"/>
          <w:szCs w:val="24"/>
        </w:rPr>
        <w:t xml:space="preserve">, and therefore may be good candidates for organ donation. If organ quality is good, and the risks related to post-LT HCV infection can be eliminated by prompt and effective antiviral therapy, then it would be ethically questionable to withhold the transplantation of such organs to sick patients awaiting LT. </w:t>
      </w:r>
    </w:p>
    <w:p w14:paraId="59BDAE0E" w14:textId="77777777" w:rsidR="008A43EE" w:rsidRPr="007363FF" w:rsidRDefault="008A43EE" w:rsidP="007363FF">
      <w:pPr>
        <w:pStyle w:val="a3"/>
        <w:adjustRightInd w:val="0"/>
        <w:snapToGrid w:val="0"/>
        <w:spacing w:line="360" w:lineRule="auto"/>
        <w:jc w:val="both"/>
        <w:rPr>
          <w:rFonts w:ascii="Book Antiqua" w:hAnsi="Book Antiqua" w:cs="Arial"/>
          <w:sz w:val="24"/>
          <w:szCs w:val="24"/>
        </w:rPr>
      </w:pPr>
    </w:p>
    <w:p w14:paraId="7B1E648C" w14:textId="4F5C0248" w:rsidR="009452B2" w:rsidRPr="007363FF" w:rsidRDefault="00350EC4" w:rsidP="00036B44">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lastRenderedPageBreak/>
        <w:t xml:space="preserve">Early case reports suggested the overall safety of this approach. </w:t>
      </w:r>
      <w:r w:rsidR="004552FF" w:rsidRPr="007363FF">
        <w:rPr>
          <w:rFonts w:ascii="Book Antiqua" w:hAnsi="Book Antiqua" w:cs="Arial"/>
          <w:sz w:val="24"/>
          <w:szCs w:val="24"/>
        </w:rPr>
        <w:t xml:space="preserve">Three </w:t>
      </w:r>
      <w:r w:rsidR="00D5405B" w:rsidRPr="007363FF">
        <w:rPr>
          <w:rFonts w:ascii="Book Antiqua" w:hAnsi="Book Antiqua" w:cs="Arial"/>
          <w:sz w:val="24"/>
          <w:szCs w:val="24"/>
        </w:rPr>
        <w:t>patients received organs (2 kidney recipients and 1 liver recipient) from a high-risk donor</w:t>
      </w:r>
      <w:r w:rsidR="004552FF" w:rsidRPr="007363FF">
        <w:rPr>
          <w:rFonts w:ascii="Book Antiqua" w:hAnsi="Book Antiqua" w:cs="Arial"/>
          <w:sz w:val="24"/>
          <w:szCs w:val="24"/>
        </w:rPr>
        <w:t xml:space="preserve"> who</w:t>
      </w:r>
      <w:r w:rsidR="00D5405B" w:rsidRPr="007363FF">
        <w:rPr>
          <w:rFonts w:ascii="Book Antiqua" w:hAnsi="Book Antiqua" w:cs="Arial"/>
          <w:sz w:val="24"/>
          <w:szCs w:val="24"/>
        </w:rPr>
        <w:t xml:space="preserve"> </w:t>
      </w:r>
      <w:r w:rsidR="004552FF" w:rsidRPr="007363FF">
        <w:rPr>
          <w:rFonts w:ascii="Book Antiqua" w:hAnsi="Book Antiqua" w:cs="Arial"/>
          <w:sz w:val="24"/>
          <w:szCs w:val="24"/>
        </w:rPr>
        <w:t>was HCV NAT test negative</w:t>
      </w:r>
      <w:r w:rsidR="00D5405B" w:rsidRPr="007363FF">
        <w:rPr>
          <w:rFonts w:ascii="Book Antiqua" w:hAnsi="Book Antiqua" w:cs="Arial"/>
          <w:sz w:val="24"/>
          <w:szCs w:val="24"/>
        </w:rPr>
        <w:t xml:space="preserve">, but recently had sexual contact with an HCV-infected male partner. The donor was likely in the eclipse phase of HCV infection, prior to detectable viremia, and transmitted HCV infection to all three recipients. All recipients were treated with </w:t>
      </w:r>
      <w:r w:rsidR="009436DE" w:rsidRPr="007363FF">
        <w:rPr>
          <w:rFonts w:ascii="Book Antiqua" w:hAnsi="Book Antiqua" w:cs="Arial"/>
          <w:sz w:val="24"/>
          <w:szCs w:val="24"/>
        </w:rPr>
        <w:t>DAA</w:t>
      </w:r>
      <w:r w:rsidR="00D5405B" w:rsidRPr="007363FF">
        <w:rPr>
          <w:rFonts w:ascii="Book Antiqua" w:hAnsi="Book Antiqua" w:cs="Arial"/>
          <w:sz w:val="24"/>
          <w:szCs w:val="24"/>
        </w:rPr>
        <w:t xml:space="preserve"> therapy, and all achieved SVR without adverse</w:t>
      </w:r>
      <w:r w:rsidR="00C93609" w:rsidRPr="007363FF">
        <w:rPr>
          <w:rFonts w:ascii="Book Antiqua" w:hAnsi="Book Antiqua" w:cs="Arial"/>
          <w:sz w:val="24"/>
          <w:szCs w:val="24"/>
        </w:rPr>
        <w:t xml:space="preserve"> effects on their graft</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F1000_CSL_CITATION&lt;~#@#~&gt;[{"DOI":"10.1111/tid.12660","First":false,"Last":false,"PMID":"28060446","abstract":"We report here the successful treatment of hepatitis C virus (HCV) transmitted from a nucleic acid testing (NAT)-negative donor to three HCV-negative recipients-two renal transplants and one liver. Both renal recipients underwent standard deceased-donor renal transplantation with immediate graft function. The liver recipient underwent standard orthotopic liver transplantation and recovered uneventfully. The donor was a 39-year-old woman with a terminal serum creatinine of 0.7 mg/dL. She was high risk for bloodborne pathogens, based upon a history of sexual contact with an HCV-infected male partner. Recipient 1 was a 45-year-old man with a history of end-stage renal disease from systemic lupus erythematosus. Recipient 2 was a 62-year-old woman with a history of end-stage renal disease caused by hypertension and insulin-dependent diabetes. Recipient 3 was a 42-year-old man with acute liver failure from acetaminophen ingestion. All recipients became HCV polymerase chain reaction positive on post-transplant follow-up. Both kidney recipients were treated with ledipasvir/sofosbuvir combination therapy for 12 weeks without side effects or rejection episodes. Recipient 3 was treated with ledipasvir/sofosbuvir in combination with ribavirin for 12 weeks without side effects. All patients achieved a sustained viral response at 12 weeks and are considered cured of HCV. The kidney recipients maintained good allograft function with a serum creatinine of 1.4 mg/dL and 1.0 mg/dL, respectively. Both renal recipients maintained normal liver function post treatment and did not develop any evidence of fibrosis. The liver recipient's liver function tests returned to normal without further incident. This case report provides evidence for the successful treatment of donor-derived HCV in transplant recipients.&lt;br&gt;&lt;br&gt;© 2017 John Wiley &amp; Sons A/S. Published by John Wiley &amp; Sons Ltd.","author":[{"family":"Shah","given":"Ashesh P"},{"family":"Cameron","given":"Andrew"},{"family":"Singh","given":"Pooja"},{"family":"Frank","given":"Adam M"},{"family":"Fenkel","given":"Jonathan M"}],"authorYearDisplayFormat":false,"citation-label":"6468890","container-title":"Transplant Infectious Disease","container-title-short":"Transpl. Infect. Dis.","id":"6468890","invisible":false,"issue":"2","issued":{"date-parts":[["2017","4"]]},"journalAbbreviation":"Transpl. Infect. Dis.","suppress-author":false,"title":"Successful treatment of donor-derived hepatitis C viral infection in three transplant recipients from a donor at increased risk for bloodborne pathogens.","type":"article-journal","volume":"19"}]</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[32]</w:t>
      </w:r>
      <w:r w:rsidR="0074363C" w:rsidRPr="007363FF">
        <w:rPr>
          <w:rFonts w:ascii="Book Antiqua" w:hAnsi="Book Antiqua" w:cs="Arial"/>
          <w:sz w:val="24"/>
          <w:szCs w:val="24"/>
        </w:rPr>
        <w:fldChar w:fldCharType="end"/>
      </w:r>
      <w:r w:rsidR="00C93609" w:rsidRPr="007363FF">
        <w:rPr>
          <w:rFonts w:ascii="Book Antiqua" w:hAnsi="Book Antiqua" w:cs="Arial"/>
          <w:sz w:val="24"/>
          <w:szCs w:val="24"/>
        </w:rPr>
        <w:t>.</w:t>
      </w:r>
      <w:r w:rsidR="00221224" w:rsidRPr="007363FF">
        <w:rPr>
          <w:rFonts w:ascii="Book Antiqua" w:hAnsi="Book Antiqua" w:cs="Arial"/>
          <w:sz w:val="24"/>
          <w:szCs w:val="24"/>
        </w:rPr>
        <w:t xml:space="preserve"> </w:t>
      </w:r>
      <w:r w:rsidR="004552FF" w:rsidRPr="007363FF">
        <w:rPr>
          <w:rFonts w:ascii="Book Antiqua" w:hAnsi="Book Antiqua" w:cs="Arial"/>
          <w:sz w:val="24"/>
          <w:szCs w:val="24"/>
        </w:rPr>
        <w:t>Another case report described the utility of using an</w:t>
      </w:r>
      <w:r w:rsidR="00E40066" w:rsidRPr="007363FF">
        <w:rPr>
          <w:rFonts w:ascii="Book Antiqua" w:hAnsi="Book Antiqua" w:cs="Arial"/>
          <w:sz w:val="24"/>
          <w:szCs w:val="24"/>
        </w:rPr>
        <w:t xml:space="preserve"> HCV-viremic </w:t>
      </w:r>
      <w:r w:rsidR="004552FF" w:rsidRPr="007363FF">
        <w:rPr>
          <w:rFonts w:ascii="Book Antiqua" w:hAnsi="Book Antiqua" w:cs="Arial"/>
          <w:sz w:val="24"/>
          <w:szCs w:val="24"/>
        </w:rPr>
        <w:t>organ in an u</w:t>
      </w:r>
      <w:r w:rsidR="00E40066" w:rsidRPr="007363FF">
        <w:rPr>
          <w:rFonts w:ascii="Book Antiqua" w:hAnsi="Book Antiqua" w:cs="Arial"/>
          <w:sz w:val="24"/>
          <w:szCs w:val="24"/>
        </w:rPr>
        <w:t>ninfected recipient</w:t>
      </w:r>
      <w:r w:rsidR="004552FF" w:rsidRPr="007363FF">
        <w:rPr>
          <w:rFonts w:ascii="Book Antiqua" w:hAnsi="Book Antiqua" w:cs="Arial"/>
          <w:sz w:val="24"/>
          <w:szCs w:val="24"/>
        </w:rPr>
        <w:t xml:space="preserve"> who had multiple complications of portal hypertension but low priority </w:t>
      </w:r>
      <w:r w:rsidR="009436DE" w:rsidRPr="007363FF">
        <w:rPr>
          <w:rFonts w:ascii="Book Antiqua" w:hAnsi="Book Antiqua" w:cs="Arial"/>
          <w:sz w:val="24"/>
          <w:szCs w:val="24"/>
        </w:rPr>
        <w:t>on the</w:t>
      </w:r>
      <w:r w:rsidR="004552FF" w:rsidRPr="007363FF">
        <w:rPr>
          <w:rFonts w:ascii="Book Antiqua" w:hAnsi="Book Antiqua" w:cs="Arial"/>
          <w:sz w:val="24"/>
          <w:szCs w:val="24"/>
        </w:rPr>
        <w:t xml:space="preserve"> LT waiting list</w:t>
      </w:r>
      <w:r w:rsidR="00E45FC4" w:rsidRPr="007363FF">
        <w:rPr>
          <w:rFonts w:ascii="Book Antiqua" w:hAnsi="Book Antiqua" w:cs="Arial"/>
          <w:sz w:val="24"/>
          <w:szCs w:val="24"/>
        </w:rPr>
        <w:t xml:space="preserve"> and had no potential living donors</w:t>
      </w:r>
      <w:r w:rsidR="004552FF" w:rsidRPr="007363FF">
        <w:rPr>
          <w:rFonts w:ascii="Book Antiqua" w:hAnsi="Book Antiqua" w:cs="Arial"/>
          <w:sz w:val="24"/>
          <w:szCs w:val="24"/>
        </w:rPr>
        <w:t xml:space="preserve">. The recipient </w:t>
      </w:r>
      <w:r w:rsidR="006F14A0" w:rsidRPr="007363FF">
        <w:rPr>
          <w:rFonts w:ascii="Book Antiqua" w:hAnsi="Book Antiqua" w:cs="Arial"/>
          <w:sz w:val="24"/>
          <w:szCs w:val="24"/>
        </w:rPr>
        <w:t>rapidly became viremic at 3</w:t>
      </w:r>
      <w:r w:rsidR="0098113A">
        <w:rPr>
          <w:rFonts w:ascii="Book Antiqua" w:hAnsi="Book Antiqua" w:cs="Arial"/>
          <w:sz w:val="24"/>
          <w:szCs w:val="24"/>
        </w:rPr>
        <w:t>-</w:t>
      </w:r>
      <w:r w:rsidR="006F14A0" w:rsidRPr="007363FF">
        <w:rPr>
          <w:rFonts w:ascii="Book Antiqua" w:hAnsi="Book Antiqua" w:cs="Arial"/>
          <w:sz w:val="24"/>
          <w:szCs w:val="24"/>
        </w:rPr>
        <w:t>d post-LT</w:t>
      </w:r>
      <w:r w:rsidR="004552FF" w:rsidRPr="007363FF">
        <w:rPr>
          <w:rFonts w:ascii="Book Antiqua" w:hAnsi="Book Antiqua" w:cs="Arial"/>
          <w:sz w:val="24"/>
          <w:szCs w:val="24"/>
        </w:rPr>
        <w:t xml:space="preserve"> and </w:t>
      </w:r>
      <w:r w:rsidR="006F14A0" w:rsidRPr="007363FF">
        <w:rPr>
          <w:rFonts w:ascii="Book Antiqua" w:hAnsi="Book Antiqua" w:cs="Arial"/>
          <w:sz w:val="24"/>
          <w:szCs w:val="24"/>
        </w:rPr>
        <w:t>was ultimately treated starting on post-operative day 25 with a 24</w:t>
      </w:r>
      <w:r w:rsidR="0098113A">
        <w:rPr>
          <w:rFonts w:ascii="Book Antiqua" w:hAnsi="Book Antiqua" w:cs="Arial"/>
          <w:sz w:val="24"/>
          <w:szCs w:val="24"/>
        </w:rPr>
        <w:t>-</w:t>
      </w:r>
      <w:r w:rsidR="006F14A0" w:rsidRPr="007363FF">
        <w:rPr>
          <w:rFonts w:ascii="Book Antiqua" w:hAnsi="Book Antiqua" w:cs="Arial"/>
          <w:sz w:val="24"/>
          <w:szCs w:val="24"/>
        </w:rPr>
        <w:t>wk course of LDV/SOF, and successfully achieved S</w:t>
      </w:r>
      <w:r w:rsidR="004552FF" w:rsidRPr="007363FF">
        <w:rPr>
          <w:rFonts w:ascii="Book Antiqua" w:hAnsi="Book Antiqua" w:cs="Arial"/>
          <w:sz w:val="24"/>
          <w:szCs w:val="24"/>
        </w:rPr>
        <w:t>VR with no adverse effect on the</w:t>
      </w:r>
      <w:r w:rsidR="006F14A0" w:rsidRPr="007363FF">
        <w:rPr>
          <w:rFonts w:ascii="Book Antiqua" w:hAnsi="Book Antiqua" w:cs="Arial"/>
          <w:sz w:val="24"/>
          <w:szCs w:val="24"/>
        </w:rPr>
        <w:t xml:space="preserve"> graft</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F1000_CSL_CITATION&lt;~#@#~&gt;[{"DOI":"10.1002/lt.24838","First":false,"Last":false,"PMID":"28779557","author":[{"family":"Saberi","given":"Behnam"},{"family":"Hamilton","given":"James P."},{"family":"Durand","given":"Christine M."},{"family":"Li","given":"Zhiping"},{"family":"Philosophe","given":"Benjamin"},{"family":"Cameron","given":"Andrew M."},{"family":"Sulkowski","given":"Mark S."},{"family":"Gurakar","given":"Ahmet"}],"authorYearDisplayFormat":false,"citation-label":"4771610","container-title":"Liver Transplantation","container-title-short":"Liver Transpl.","id":"4771610","invisible":false,"issue":"1","issued":{"date-parts":[["2018","1"]]},"journalAbbreviation":"Liver Transpl.","page":"140-143","suppress-author":false,"title":"Utilization of hepatitis C virus RNA-positive donor liver for transplant to hepatitis C virus RNA-negative recipient","type":"article-journal","volume":"24"}]</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[33]</w:t>
      </w:r>
      <w:r w:rsidR="0074363C" w:rsidRPr="007363FF">
        <w:rPr>
          <w:rFonts w:ascii="Book Antiqua" w:hAnsi="Book Antiqua" w:cs="Arial"/>
          <w:sz w:val="24"/>
          <w:szCs w:val="24"/>
        </w:rPr>
        <w:fldChar w:fldCharType="end"/>
      </w:r>
      <w:r w:rsidR="006F14A0" w:rsidRPr="007363FF">
        <w:rPr>
          <w:rFonts w:ascii="Book Antiqua" w:hAnsi="Book Antiqua" w:cs="Arial"/>
          <w:sz w:val="24"/>
          <w:szCs w:val="24"/>
        </w:rPr>
        <w:t xml:space="preserve">. </w:t>
      </w:r>
    </w:p>
    <w:p w14:paraId="389647C5" w14:textId="336A4681" w:rsidR="002123D3" w:rsidRPr="007363FF" w:rsidRDefault="006A3BA8" w:rsidP="00036B44">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Further proof of this concept was demonstrated in the context of renal transplantation in the THINKER trial</w:t>
      </w:r>
      <w:r w:rsidR="004552FF" w:rsidRPr="007363FF">
        <w:rPr>
          <w:rFonts w:ascii="Book Antiqua" w:hAnsi="Book Antiqua" w:cs="Arial"/>
          <w:sz w:val="24"/>
          <w:szCs w:val="24"/>
        </w:rPr>
        <w:t xml:space="preserve"> where </w:t>
      </w:r>
      <w:r w:rsidRPr="007363FF">
        <w:rPr>
          <w:rFonts w:ascii="Book Antiqua" w:hAnsi="Book Antiqua" w:cs="Arial"/>
          <w:sz w:val="24"/>
          <w:szCs w:val="24"/>
        </w:rPr>
        <w:t xml:space="preserve">10 </w:t>
      </w:r>
      <w:r w:rsidR="004552FF" w:rsidRPr="007363FF">
        <w:rPr>
          <w:rFonts w:ascii="Book Antiqua" w:hAnsi="Book Antiqua" w:cs="Arial"/>
          <w:sz w:val="24"/>
          <w:szCs w:val="24"/>
        </w:rPr>
        <w:t xml:space="preserve">patients </w:t>
      </w:r>
      <w:r w:rsidRPr="007363FF">
        <w:rPr>
          <w:rFonts w:ascii="Book Antiqua" w:hAnsi="Book Antiqua" w:cs="Arial"/>
          <w:sz w:val="24"/>
          <w:szCs w:val="24"/>
        </w:rPr>
        <w:t xml:space="preserve">who had long anticipated waiting times </w:t>
      </w:r>
      <w:r w:rsidR="004552FF" w:rsidRPr="007363FF">
        <w:rPr>
          <w:rFonts w:ascii="Book Antiqua" w:hAnsi="Book Antiqua" w:cs="Arial"/>
          <w:sz w:val="24"/>
          <w:szCs w:val="24"/>
        </w:rPr>
        <w:t>accepted kidneys</w:t>
      </w:r>
      <w:r w:rsidRPr="007363FF">
        <w:rPr>
          <w:rFonts w:ascii="Book Antiqua" w:hAnsi="Book Antiqua" w:cs="Arial"/>
          <w:sz w:val="24"/>
          <w:szCs w:val="24"/>
        </w:rPr>
        <w:t xml:space="preserve"> from HCV-viremic donors. All donors were known to be GT 1 prior to transplantation, and all recipients received elbasvir/grazoprevir for a </w:t>
      </w:r>
      <w:r w:rsidR="007C6199" w:rsidRPr="007363FF">
        <w:rPr>
          <w:rFonts w:ascii="Book Antiqua" w:hAnsi="Book Antiqua" w:cs="Arial"/>
          <w:sz w:val="24"/>
          <w:szCs w:val="24"/>
        </w:rPr>
        <w:t>12-wk</w:t>
      </w:r>
      <w:r w:rsidR="004552FF" w:rsidRPr="007363FF">
        <w:rPr>
          <w:rFonts w:ascii="Book Antiqua" w:hAnsi="Book Antiqua" w:cs="Arial"/>
          <w:sz w:val="24"/>
          <w:szCs w:val="24"/>
        </w:rPr>
        <w:t xml:space="preserve"> course when</w:t>
      </w:r>
      <w:r w:rsidRPr="007363FF">
        <w:rPr>
          <w:rFonts w:ascii="Book Antiqua" w:hAnsi="Book Antiqua" w:cs="Arial"/>
          <w:sz w:val="24"/>
          <w:szCs w:val="24"/>
        </w:rPr>
        <w:t xml:space="preserve"> viremia was detected in the recipient. </w:t>
      </w:r>
      <w:r w:rsidR="007C6199" w:rsidRPr="007363FF">
        <w:rPr>
          <w:rFonts w:ascii="Book Antiqua" w:hAnsi="Book Antiqua" w:cs="Arial"/>
          <w:sz w:val="24"/>
          <w:szCs w:val="24"/>
        </w:rPr>
        <w:t>All recipients developed HCV viremia on day 3 post-</w:t>
      </w:r>
      <w:r w:rsidR="00C47B7F" w:rsidRPr="007363FF">
        <w:rPr>
          <w:rFonts w:ascii="Book Antiqua" w:hAnsi="Book Antiqua" w:cs="Arial"/>
          <w:sz w:val="24"/>
          <w:szCs w:val="24"/>
        </w:rPr>
        <w:t>transplantation and</w:t>
      </w:r>
      <w:r w:rsidR="007C6199" w:rsidRPr="007363FF">
        <w:rPr>
          <w:rFonts w:ascii="Book Antiqua" w:hAnsi="Book Antiqua" w:cs="Arial"/>
          <w:sz w:val="24"/>
          <w:szCs w:val="24"/>
        </w:rPr>
        <w:t xml:space="preserve"> were started on treatment immediately; all achieved SVR </w:t>
      </w:r>
      <w:r w:rsidR="004D3D6F" w:rsidRPr="007363FF">
        <w:rPr>
          <w:rFonts w:ascii="Book Antiqua" w:hAnsi="Book Antiqua" w:cs="Arial"/>
          <w:sz w:val="24"/>
          <w:szCs w:val="24"/>
        </w:rPr>
        <w:t xml:space="preserve">without </w:t>
      </w:r>
      <w:r w:rsidR="00A81B4C" w:rsidRPr="007363FF">
        <w:rPr>
          <w:rFonts w:ascii="Book Antiqua" w:hAnsi="Book Antiqua" w:cs="Arial"/>
          <w:sz w:val="24"/>
          <w:szCs w:val="24"/>
        </w:rPr>
        <w:t>significant changes in kidney or liver function</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F1000_CSL_CITATION&lt;~#@#~&gt;[{"DOI":"10.1056/NEJMc1705221","First":false,"Last":false,"PMID":"28459186","author":[{"family":"Goldberg","given":"David S"},{"family":"Abt","given":"Peter L"},{"family":"Blumberg","given":"Emily A"},{"family":"Van Deerlin","given":"Vivianna M"},{"family":"Levine","given":"Matthew"},{"family":"Reddy","given":"K Rajender"},{"family":"Bloom","given":"Roy D"},{"family":"Nazarian","given":"Susanna M"},{"family":"Sawinski","given":"Deirdre"},{"family":"Porrett","given":"Paige"},{"family":"Naji","given":"Ali"},{"family":"Hasz","given":"Richard"},{"family":"Suplee","given":"Lawrence"},{"family":"Trofe-Clark","given":"Jennifer"},{"family":"Sicilia","given":"Anna"},{"family":"McCauley","given":"Maureen"},{"family":"Farooqi","given":"Midhat"},{"family":"Gentile","given":"Caren"},{"family":"Smith","given":"Jennifer"},{"family":"Reese","given":"Peter P"}],"authorYearDisplayFormat":false,"citation-label":"4589468","container-title":"The New England Journal of Medicine","container-title-short":"N. Engl. J. Med.","id":"4589468","invisible":false,"issue":"24","issued":{"date-parts":[["2017","6","15"]]},"journalAbbreviation":"N. Engl. J. Med.","page":"2394-2395","suppress-author":false,"title":"Trial of Transplantation of HCV-Infected Kidneys into Uninfected Recipients.","type":"article-journal","volume":"376"}]</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[34]</w:t>
      </w:r>
      <w:r w:rsidR="0074363C" w:rsidRPr="007363FF">
        <w:rPr>
          <w:rFonts w:ascii="Book Antiqua" w:hAnsi="Book Antiqua" w:cs="Arial"/>
          <w:sz w:val="24"/>
          <w:szCs w:val="24"/>
        </w:rPr>
        <w:fldChar w:fldCharType="end"/>
      </w:r>
      <w:r w:rsidR="007C6199" w:rsidRPr="007363FF">
        <w:rPr>
          <w:rFonts w:ascii="Book Antiqua" w:hAnsi="Book Antiqua" w:cs="Arial"/>
          <w:sz w:val="24"/>
          <w:szCs w:val="24"/>
        </w:rPr>
        <w:t>.</w:t>
      </w:r>
      <w:r w:rsidR="00C47B7F" w:rsidRPr="007363FF">
        <w:rPr>
          <w:rFonts w:ascii="Book Antiqua" w:hAnsi="Book Antiqua" w:cs="Arial"/>
          <w:sz w:val="24"/>
          <w:szCs w:val="24"/>
        </w:rPr>
        <w:t xml:space="preserve"> </w:t>
      </w:r>
      <w:r w:rsidR="00DE28E7" w:rsidRPr="007363FF">
        <w:rPr>
          <w:rFonts w:ascii="Book Antiqua" w:hAnsi="Book Antiqua" w:cs="Arial"/>
          <w:sz w:val="24"/>
          <w:szCs w:val="24"/>
        </w:rPr>
        <w:t>Further</w:t>
      </w:r>
      <w:r w:rsidR="004552FF" w:rsidRPr="007363FF">
        <w:rPr>
          <w:rFonts w:ascii="Book Antiqua" w:hAnsi="Book Antiqua" w:cs="Arial"/>
          <w:sz w:val="24"/>
          <w:szCs w:val="24"/>
        </w:rPr>
        <w:t xml:space="preserve"> fo</w:t>
      </w:r>
      <w:r w:rsidR="00C47B7F" w:rsidRPr="007363FF">
        <w:rPr>
          <w:rFonts w:ascii="Book Antiqua" w:hAnsi="Book Antiqua" w:cs="Arial"/>
          <w:sz w:val="24"/>
          <w:szCs w:val="24"/>
        </w:rPr>
        <w:t>llow-up demonstrated good 1-year outcomes in the initial patient population, as well as 6-month outcomes for an additional 10 patients</w:t>
      </w:r>
      <w:r w:rsidR="00DE28E7" w:rsidRPr="007363FF">
        <w:rPr>
          <w:rFonts w:ascii="Book Antiqua" w:hAnsi="Book Antiqua" w:cs="Arial"/>
          <w:sz w:val="24"/>
          <w:szCs w:val="24"/>
        </w:rPr>
        <w:t xml:space="preserve"> with good </w:t>
      </w:r>
      <w:r w:rsidR="002A2ADE" w:rsidRPr="007363FF">
        <w:rPr>
          <w:rFonts w:ascii="Book Antiqua" w:hAnsi="Book Antiqua" w:cs="Arial"/>
          <w:sz w:val="24"/>
          <w:szCs w:val="24"/>
        </w:rPr>
        <w:t>long-term renal and quality-of-life outcomes</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F1000_CSL_CITATION&lt;~#@#~&gt;[{"DOI":"10.7326/M18-0749","First":false,"Last":false,"PMID":"30083748","abstract":"&lt;strong&gt;Background:&lt;/strong&gt; Organs from hepatitis C virus (HCV)-infected deceased donors are often discarded. Preliminary data from 2 small trials, including THINKER-1 (Transplanting Hepatitis C kidneys Into Negative KidnEy Recipients), suggested that HCV-infected kidneys could be safely transplanted into HCV-negative patients. However, intermediate-term data on quality of life and renal function are needed to counsel patients about risk.&lt;br&gt;&lt;br&gt;&lt;strong&gt;Objective:&lt;/strong&gt; To describe 12-month HCV treatment outcomes, estimated glomerular filtration rate (eGFR), and quality of life for the 10 kidney recipients in THINKER-1 and 6-month data on 10 additional recipients.&lt;br&gt;&lt;br&gt;&lt;strong&gt;Design:&lt;/strong&gt; Open-label, nonrandomized trial. (ClinicalTrials.gov: NCT02743897).&lt;br&gt;&lt;br&gt;&lt;strong&gt;Setting:&lt;/strong&gt; Single center.&lt;br&gt;&lt;br&gt;&lt;strong&gt;Participants:&lt;/strong&gt; 20 HCV-negative transplant candidates.&lt;br&gt;&lt;br&gt;&lt;strong&gt;Intervention:&lt;/strong&gt; Participants underwent transplant with kidneys infected with genotype 1 HCV and received elbasvir-grazoprevir on posttransplant day 3.&lt;br&gt;&lt;br&gt;&lt;strong&gt;Measurements:&lt;/strong&gt; The primary outcome was HCV cure. Exploratory outcomes included 1) RAND-36 Physical Component Summary (PCS) and Mental Component Summary (MCS) quality-of-life scores at enrollment and after transplant, and 2) posttransplant renal function, which was compared in a 1:5 matched sample with recipients of HCV-negative kidneys.&lt;br&gt;&lt;br&gt;&lt;strong&gt;Results:&lt;/strong&gt; The mean age of THINKER participants was 56.3 years (SD, 6.7), 70% were male, and 40% were black. All 20 participants achieved HCV cure. Hepatic and renal complications were transient or were successfully managed. Mean PCS and MCS quality-of-life scores decreased at 4 weeks; PCS scores then increased above pretransplant values, whereas MCS scores returned to baseline values. Estimated GFRs were similar between THINKER participants and matched recipients of HCV-negative kidneys at 6 months (median, 67.5 vs. 66.2 mL/min/1.73 m2; 95% CI for between-group difference, -4.2 to 7.5 mL/min/1.73 m2) and 12 months (median, 72.8 vs. 67.2 mL/min/1.73 m2; CI for between-group difference, -7.2 to 9.8 mL/min/1.73 m2).&lt;br&gt;&lt;br&gt;&lt;strong&gt;Limitation:&lt;/strong&gt; Small trial.&lt;br&gt;&lt;br&gt;&lt;strong&gt;Conclusion:&lt;/strong&gt; Twenty HCV-negative recipients of HCV-infected kidneys experienced HCV cure, good quality of life, and excellent renal function. Kidneys from HCV-infected donors may be a valuable transplant resource.&lt;br&gt;&lt;br&gt;&lt;strong&gt;Primary Funding Source:&lt;/strong&gt; Merck.","author":[{"family":"Reese","given":"P P"},{"family":"Abt","given":"P L"},{"family":"Blumberg","given":"E A"},{"family":"Van Deerlin","given":"V M"},{"family":"Bloom","given":"R D"},{"family":"Potluri","given":"V S"},{"family":"Levine","given":"M"},{"family":"Porrett","given":"P"},{"family":"Sawinski","given":"D"},{"family":"Nazarian","given":"S M"},{"family":"Naji","given":"A"},{"family":"Hasz","given":"R"},{"family":"Suplee","given":"L"},{"family":"Trofe-Clark","given":"J"},{"family":"Sicilia","given":"A"},{"family":"McCauley","given":"M"},{"family":"Gentile","given":"C"},{"family":"Smith","given":"J"},{"family":"Niknam","given":"B A"},{"family":"Bleicher","given":"M"},{"family":"Reddy","given":"K R"},{"family":"Goldberg","given":"D S"}],"authorYearDisplayFormat":false,"citation-label":"5799428","container-title":"Annals of Internal Medicine","container-title-short":"Ann. Intern. Med.","id":"5799428","invisible":false,"issue":"5","issued":{"date-parts":[["2018","9","4"]]},"journalAbbreviation":"Ann. Intern. Med.","page":"273-281","suppress-author":false,"title":"Twelve-Month Outcomes After Transplant of Hepatitis C-Infected Kidneys Into Uninfected Recipients: A Single-Group Trial.","type":"article-journal","volume":"169"}]</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[35]</w:t>
      </w:r>
      <w:r w:rsidR="0074363C" w:rsidRPr="007363FF">
        <w:rPr>
          <w:rFonts w:ascii="Book Antiqua" w:hAnsi="Book Antiqua" w:cs="Arial"/>
          <w:sz w:val="24"/>
          <w:szCs w:val="24"/>
        </w:rPr>
        <w:fldChar w:fldCharType="end"/>
      </w:r>
      <w:r w:rsidR="002A2ADE" w:rsidRPr="007363FF">
        <w:rPr>
          <w:rFonts w:ascii="Book Antiqua" w:hAnsi="Book Antiqua" w:cs="Arial"/>
          <w:sz w:val="24"/>
          <w:szCs w:val="24"/>
        </w:rPr>
        <w:t>.</w:t>
      </w:r>
      <w:r w:rsidR="00612390" w:rsidRPr="007363FF">
        <w:rPr>
          <w:rFonts w:ascii="Book Antiqua" w:hAnsi="Book Antiqua" w:cs="Arial"/>
          <w:sz w:val="24"/>
          <w:szCs w:val="24"/>
        </w:rPr>
        <w:t xml:space="preserve"> </w:t>
      </w:r>
      <w:r w:rsidR="00B203B5" w:rsidRPr="007363FF">
        <w:rPr>
          <w:rFonts w:ascii="Book Antiqua" w:hAnsi="Book Antiqua" w:cs="Arial"/>
          <w:sz w:val="24"/>
          <w:szCs w:val="24"/>
        </w:rPr>
        <w:t>More recently, in an open-label trial in heart transplant recipients, pangenotypic antiviral therapy with GLE/PIB was provided pre-emptively to 20 recipients of hearts from NAT-positive donors. All patients tolerated treatment well and achieved SVR</w:t>
      </w:r>
      <w:r w:rsidR="00B203B5" w:rsidRPr="007363FF">
        <w:rPr>
          <w:rFonts w:ascii="Book Antiqua" w:hAnsi="Book Antiqua" w:cs="Arial"/>
          <w:sz w:val="24"/>
          <w:szCs w:val="24"/>
        </w:rPr>
        <w:fldChar w:fldCharType="begin"/>
      </w:r>
      <w:r w:rsidR="00B203B5" w:rsidRPr="007363FF">
        <w:rPr>
          <w:rFonts w:ascii="Book Antiqua" w:hAnsi="Book Antiqua" w:cs="Arial"/>
          <w:sz w:val="24"/>
          <w:szCs w:val="24"/>
        </w:rPr>
        <w:instrText>ADDIN F1000_CSL_CITATION&lt;~#@#~&gt;[{"DOI":"10.1016/S2468-1253(19)30240-7","First":false,"Last":false,"PMID":"31353243","abstract":"&lt;strong&gt;BACKGROUND:&lt;/strong&gt; Low donor heart availability underscores the need to identify all potentially transplantable organs. We sought to determine whether pre-emptive administration of pangenotypic direct-acting antiviral therapy can safely prevent the development of chronic hepatitis C virus (HCV) infection in uninfected recipients of HCV-infected donor hearts.&lt;br&gt;&lt;br&gt;&lt;strong&gt;METHODS:&lt;/strong&gt; Patients were recruited for this an open-label, single-centre, proof-of-concept study from Nov 1, 2017, to Nov 30, 2018. Following enrolment, the recipient's status on the heart transplantation waiting list was updated to reflect a willingness to accept either an HCV-positive or HCV-negative heart donor. Patients who underwent transplantation with a viraemic donor heart, as determined by nucleic acid testing (NAT), received pre-emptive oral glecaprevir-pibrentasvir before transport to the operating room followed by an 8-week course of glecaprevir-pibrentasvir after transplantation. Patients receiving HCV antibody-positive donor hearts without detectable circulating HCV RNA were followed using a reactive approach and started glecaprevir-pibrentasvir only if they developed viraemia. The primary outcome was achievement of sustained virological response 12 weeks after completion of glecaprevir-pibrentasvir therapy (SVR12). Patients were followed from study enrolment to 1 year after transplantation. This is an interim analysis, initiated after all enrolled patients reached the primary outcome. Results reflect data from Nov 1, 2017, to May 30, 2019. This trial is registered with ClinicalTrials.gov, number NCT03208244.&lt;br&gt;&lt;br&gt;&lt;strong&gt;FINDINGS:&lt;/strong&gt; 55 patients were assessed for eligibility and 52 consented to enrolment. 25 patients underwent heart transplantation with HCV-positive donor hearts (20 NAT-positive, five NAT-negative), three of whom underwent simultaneous heart-kidney transplantation. All 20 recipients of NAT-positive hearts tolerated glecaprevir-pibrentasvir and showed rapid viral suppression (median time to clearance 3·5 days, IQR 0·0-8·3), with the subsequent achievement of SVR12 by all 20. The five recipients of NAT-negative grafts did not become viraemic. Median pre-transplant waiting time for patients following enrolment in the HCV protocol was 20 days (IQR 8-57). Patient and allograft survival were 100% at a median follow-up of 10·7 months (range 6·5-18·0).&lt;br&gt;&lt;br&gt;&lt;strong&gt;INTERPRETATION:&lt;/strong&gt; Pre-emptive administration of glecaprevir-pibrentasvir therapy results in expedited organ transplantation, rapid HCV suppression, prevention of chronic HCV infection, and excellent early allograft function in patients receiving HCV-infected donor hearts. Long-term outcomes are not yet known.&lt;br&gt;&lt;br&gt;&lt;strong&gt;FUNDING:&lt;/strong&gt; American Association for the Study of Liver Diseases, National Institutes of Health, and the Massachusetts General Hospital.&lt;br&gt;&lt;br&gt;Copyright © 2019 Elsevier Ltd. All rights reserved.","author":[{"family":"Bethea","given":"Emily D"},{"family":"Gaj","given":"Kerry"},{"family":"Gustafson","given":"Jenna L"},{"family":"Axtell","given":"Andrea"},{"family":"Lebeis","given":"Taylor"},{"family":"Schoenike","given":"Mark"},{"family":"Turvey","given":"Karen"},{"family":"Coglianese","given":"Erin"},{"family":"Thomas","given":"Sunu"},{"family":"Newton-Cheh","given":"Christopher"},{"family":"Ibrahim","given":"Nasrien"},{"family":"Carlson","given":"William"},{"family":"Ho","given":"Jennifer E"},{"family":"Shah","given":"Ravi"},{"family":"Nayor","given":"Matthew"},{"family":"Gift","given":"Thais"},{"family":"Shao","given":"Sarah"},{"family":"Dugal","given":"Amanda"},{"family":"Markmann","given":"James"},{"family":"Elias","given":"Nahel"},{"family":"Yeh","given":"Heidi"},{"family":"Andersson","given":"Karin"},{"family":"Pratt","given":"Daniel"},{"family":"Bhan","given":"Irun"},{"family":"Safa","given":"Kassem"},{"family":"Fishman","given":"Jay"},{"family":"Kotton","given":"Camille"},{"family":"Myoung","given":"Paul"},{"family":"Villavicencio","given":"Mauricio A"},{"family":"D'Alessandro","given":"David"},{"family":"Chung","given":"Raymond T"},{"family":"Lewis","given":"Gregory D"}],"authorYearDisplayFormat":false,"citation-label":"7516671","container-title":"The lancet. Gastroenterology &amp; hepatology","container-title-short":"Lancet Gastroenterol. Hepatol.","id":"7516671","invisible":false,"issue":"10","issued":{"date-parts":[["2019","10"]]},"journalAbbreviation":"Lancet Gastroenterol. Hepatol.","page":"771-780","suppress-author":false,"title":"Pre-emptive pangenotypic direct acting antiviral therapy in donor HCV-positive to recipient HCV-negative heart transplantation: an open-label study.","type":"article-journal","volume":"4"}]</w:instrText>
      </w:r>
      <w:r w:rsidR="00B203B5"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[36]</w:t>
      </w:r>
      <w:r w:rsidR="00B203B5" w:rsidRPr="007363FF">
        <w:rPr>
          <w:rFonts w:ascii="Book Antiqua" w:hAnsi="Book Antiqua" w:cs="Arial"/>
          <w:sz w:val="24"/>
          <w:szCs w:val="24"/>
        </w:rPr>
        <w:fldChar w:fldCharType="end"/>
      </w:r>
      <w:r w:rsidR="00B203B5" w:rsidRPr="007363FF">
        <w:rPr>
          <w:rFonts w:ascii="Book Antiqua" w:hAnsi="Book Antiqua" w:cs="Arial"/>
          <w:sz w:val="24"/>
          <w:szCs w:val="24"/>
        </w:rPr>
        <w:t>.</w:t>
      </w:r>
    </w:p>
    <w:p w14:paraId="1B79DB2C" w14:textId="58013DEC" w:rsidR="001A2227" w:rsidRPr="007363FF" w:rsidRDefault="001A2227" w:rsidP="00036B44">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 xml:space="preserve">In the </w:t>
      </w:r>
      <w:r w:rsidR="00DE28E7" w:rsidRPr="007363FF">
        <w:rPr>
          <w:rFonts w:ascii="Book Antiqua" w:hAnsi="Book Antiqua" w:cs="Arial"/>
          <w:sz w:val="24"/>
          <w:szCs w:val="24"/>
        </w:rPr>
        <w:t>context of LT</w:t>
      </w:r>
      <w:r w:rsidRPr="007363FF">
        <w:rPr>
          <w:rFonts w:ascii="Book Antiqua" w:hAnsi="Book Antiqua" w:cs="Arial"/>
          <w:sz w:val="24"/>
          <w:szCs w:val="24"/>
        </w:rPr>
        <w:t xml:space="preserve">, modeling data </w:t>
      </w:r>
      <w:r w:rsidR="00DE28E7" w:rsidRPr="007363FF">
        <w:rPr>
          <w:rFonts w:ascii="Book Antiqua" w:hAnsi="Book Antiqua" w:cs="Arial"/>
          <w:sz w:val="24"/>
          <w:szCs w:val="24"/>
        </w:rPr>
        <w:t>suggests</w:t>
      </w:r>
      <w:r w:rsidR="003E6CE8" w:rsidRPr="007363FF">
        <w:rPr>
          <w:rFonts w:ascii="Book Antiqua" w:hAnsi="Book Antiqua" w:cs="Arial"/>
          <w:sz w:val="24"/>
          <w:szCs w:val="24"/>
        </w:rPr>
        <w:t xml:space="preserve"> that for </w:t>
      </w:r>
      <w:r w:rsidR="00DE28E7" w:rsidRPr="007363FF">
        <w:rPr>
          <w:rFonts w:ascii="Book Antiqua" w:hAnsi="Book Antiqua" w:cs="Arial"/>
          <w:sz w:val="24"/>
          <w:szCs w:val="24"/>
        </w:rPr>
        <w:t>any</w:t>
      </w:r>
      <w:r w:rsidR="003E6CE8" w:rsidRPr="007363FF">
        <w:rPr>
          <w:rFonts w:ascii="Book Antiqua" w:hAnsi="Book Antiqua" w:cs="Arial"/>
          <w:sz w:val="24"/>
          <w:szCs w:val="24"/>
        </w:rPr>
        <w:t xml:space="preserve"> HCV-uninfected patient with decompensated cirrhosis awaiting LT, accepting any live</w:t>
      </w:r>
      <w:r w:rsidR="00DE28E7" w:rsidRPr="007363FF">
        <w:rPr>
          <w:rFonts w:ascii="Book Antiqua" w:hAnsi="Book Antiqua" w:cs="Arial"/>
          <w:sz w:val="24"/>
          <w:szCs w:val="24"/>
        </w:rPr>
        <w:t>r (HCV-positive or -negative) i</w:t>
      </w:r>
      <w:r w:rsidR="003E6CE8" w:rsidRPr="007363FF">
        <w:rPr>
          <w:rFonts w:ascii="Book Antiqua" w:hAnsi="Book Antiqua" w:cs="Arial"/>
          <w:sz w:val="24"/>
          <w:szCs w:val="24"/>
        </w:rPr>
        <w:t>s associated with a survival benefit compared to accepting only HCV-negative organs once the</w:t>
      </w:r>
      <w:r w:rsidR="00DE28E7" w:rsidRPr="007363FF">
        <w:rPr>
          <w:rFonts w:ascii="Book Antiqua" w:hAnsi="Book Antiqua" w:cs="Arial"/>
          <w:sz w:val="24"/>
          <w:szCs w:val="24"/>
        </w:rPr>
        <w:t xml:space="preserve"> recipient</w:t>
      </w:r>
      <w:r w:rsidR="0098113A">
        <w:rPr>
          <w:rFonts w:ascii="Book Antiqua" w:hAnsi="Book Antiqua" w:cs="Arial"/>
          <w:sz w:val="24"/>
          <w:szCs w:val="24"/>
        </w:rPr>
        <w:t>’</w:t>
      </w:r>
      <w:r w:rsidR="00DE28E7" w:rsidRPr="007363FF">
        <w:rPr>
          <w:rFonts w:ascii="Book Antiqua" w:hAnsi="Book Antiqua" w:cs="Arial"/>
          <w:sz w:val="24"/>
          <w:szCs w:val="24"/>
        </w:rPr>
        <w:t>s MELD score exceeds</w:t>
      </w:r>
      <w:r w:rsidR="003E6CE8" w:rsidRPr="007363FF">
        <w:rPr>
          <w:rFonts w:ascii="Book Antiqua" w:hAnsi="Book Antiqua" w:cs="Arial"/>
          <w:sz w:val="24"/>
          <w:szCs w:val="24"/>
        </w:rPr>
        <w:t xml:space="preserve"> 20. </w:t>
      </w:r>
      <w:r w:rsidR="00DE28E7" w:rsidRPr="007363FF">
        <w:rPr>
          <w:rFonts w:ascii="Book Antiqua" w:hAnsi="Book Antiqua" w:cs="Arial"/>
          <w:sz w:val="24"/>
          <w:szCs w:val="24"/>
        </w:rPr>
        <w:t>This was noted to be the case irrespective of geographic location or</w:t>
      </w:r>
      <w:r w:rsidR="00E76E81" w:rsidRPr="007363FF">
        <w:rPr>
          <w:rFonts w:ascii="Book Antiqua" w:hAnsi="Book Antiqua" w:cs="Arial"/>
          <w:sz w:val="24"/>
          <w:szCs w:val="24"/>
        </w:rPr>
        <w:t xml:space="preserve"> prevalence of HCV-positivity among the donor population</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F1000_CSL_CITATION&lt;~#@#~&gt;[{"DOI":"10.1002/hep.29723","First":false,"Last":false,"PMCID":"PMC5991982","PMID":"29222916","abstract":"Under current guidelines, hepatitis C virus (HCV)-positive livers are not transplanted into HCV-negative recipients because of adverse posttransplant outcomes associated with allograft HCV infection. However, HCV can now be cured post-LT (liver transplant) using direct-acting antivirals (DAAs) with &gt;90% success; therefore, HCV-negative patients on the LT waiting list may benefit from accepting HCV-positive organs with preemptive treatment. Our objective was to evaluate whether and in which HCV-negative patients the potential benefit of accepting an HCV-positive (i.e., viremic) organ outweighed the risks associated with HCV allograft infection. We developed a Markov-based mathematical model that simulated a virtual trial of HCV-negative patients on the LT waiting list to compare long-term outcomes in patients: (1) willing to accept any (HCV-negative or HCV-positive) liver versus (2) those willing to accept only HCV-negative livers. Patients receiving HCV-positive livers were treated preemptively with 12 weeks of DAA therapy and had a higher risk of graft failure than those receiving HCV-negative livers. The model incorporated data from published studies and the United Network for Organ Sharing (UNOS). We found that accepting any liver regardless of HCV status versus accepting only HCV-negative livers resulted in an increase in life expectancy when Model for End-Stage Liver Disease (MELD) was ≥20, and the benefit was highest at MELD 28 (0.172 additional life-years). The magnitude of clinical benefit was greater in UNOS regions with higher HCV-positive donor organ rates, that is, Regions 1, 2, 3, 10, and 11. Sensitivity analysis demonstrated that model outcomes were robust.&lt;br&gt;&lt;br&gt;&lt;strong&gt;CONCLUSION:&lt;/strong&gt; Transplanting HCV-positive livers into HCV-negative patients with preemptive DAA therapy could improve patient survival on the LT waiting list. Our analysis can help inform clinical trials and minimize patient harm. (Hepatology 2018;67:2085-2095).&lt;br&gt;&lt;br&gt;© 2017 by the American Association for the Study of Liver Diseases.","author":[{"family":"Chhatwal","given":"Jagpreet"},{"family":"Samur","given":"Sumeyye"},{"family":"Bethea","given":"Emily D"},{"family":"Ayer","given":"Turgay"},{"family":"Kanwal","given":"Fasiha"},{"family":"Hur","given":"Chin"},{"family":"Roberts","given":"Mark S"},{"family":"Terrault","given":"Norah"},{"family":"Chung","given":"Raymond T"}],"authorYearDisplayFormat":false,"citation-label":"4761171","container-title":"Hepatology","container-title-short":"Hepatology","id":"4761171","invisible":false,"issue":"6","issued":{"date-parts":[["2018","4","19"]]},"journalAbbreviation":"Hepatology","page":"2085-2095","suppress-author":false,"title":"Transplanting hepatitis C virus-positive livers into hepatitis C virus-negative patients with preemptive antiviral treatment: A modeling study.","type":"article-journal","volume":"67"}]</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[37]</w:t>
      </w:r>
      <w:r w:rsidR="0074363C" w:rsidRPr="007363FF">
        <w:rPr>
          <w:rFonts w:ascii="Book Antiqua" w:hAnsi="Book Antiqua" w:cs="Arial"/>
          <w:sz w:val="24"/>
          <w:szCs w:val="24"/>
        </w:rPr>
        <w:fldChar w:fldCharType="end"/>
      </w:r>
      <w:r w:rsidR="00DE28E7" w:rsidRPr="007363FF">
        <w:rPr>
          <w:rFonts w:ascii="Book Antiqua" w:hAnsi="Book Antiqua" w:cs="Arial"/>
          <w:sz w:val="24"/>
          <w:szCs w:val="24"/>
        </w:rPr>
        <w:t xml:space="preserve"> and </w:t>
      </w:r>
      <w:r w:rsidR="00DE28E7" w:rsidRPr="007363FF">
        <w:rPr>
          <w:rFonts w:ascii="Book Antiqua" w:hAnsi="Book Antiqua" w:cs="Arial"/>
          <w:sz w:val="24"/>
          <w:szCs w:val="24"/>
        </w:rPr>
        <w:lastRenderedPageBreak/>
        <w:t xml:space="preserve">was </w:t>
      </w:r>
      <w:r w:rsidR="00AF6A18" w:rsidRPr="007363FF">
        <w:rPr>
          <w:rFonts w:ascii="Book Antiqua" w:hAnsi="Book Antiqua" w:cs="Arial"/>
          <w:sz w:val="24"/>
          <w:szCs w:val="24"/>
        </w:rPr>
        <w:t>cost effective compared to restricting acceptance to HCV-negative livers only at a recipient MELD score of 22</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F1000_CSL_CITATION&lt;~#@#~&gt;[{"DOI":"10.1016/j.cgh.2018.08.042","First":false,"Last":false,"PMID":"30138735","abstract":"&lt;strong&gt;BACKGROUND &amp; AIMS:&lt;/strong&gt; Guidelines do not recommend transplanting hepatitis C virus (HCV)-infected livers into HCV-uninfected recipients. Direct-acting antivirals (DAAs) can be used to treat donor-derived HCV infection. However, the added cost of DAA therapy is a barrier. We evaluated the cost effectiveness of transplanting HCV-positive livers into HCV-negative patients with preemptive DAA therapy.&lt;br&gt;&lt;br&gt;&lt;strong&gt;METHODS:&lt;/strong&gt; A previously validated Markov-based mathematical model was adapted to simulate a virtual trial of HCV-negative patients on the liver transplant waitlist. The model compared long-term clinical and economic outcomes in patients willing to accept only HCV-negative livers vs those willing to accept any liver (HCV negative or HCV positive). Recipients of HCV-positive livers received 12 weeks of preemptive DAA therapy. The model incorporated data from the United Network for Organ Sharing and published sources.&lt;br&gt;&lt;br&gt;&lt;strong&gt;RESULTS:&lt;/strong&gt; For patients with a model for end-stage liver disease (MELD) score ≥ 22, accepting any liver vs waiting for only HCV-negative livers was cost effective, with incremental cost-effectiveness ratios ranging from $56,100 to $91,700/quality-adjusted life-year. For patients with a MELD score of 28 (the median MELD score of patients undergoing transplantation in the United States), accepting any liver was cost effective at an incremental cost-effectiveness ratio of $62,600/quality-adjusted life year. In patients with low MELD scores, which may not accurately reflect disease severity, accepting any liver was cost effective, irrespective of MELD score.&lt;br&gt;&lt;br&gt;&lt;strong&gt;CONCLUSIONS:&lt;/strong&gt; Using a Markov-based mathematical model, we found transplanting HCV-positive livers into HCV-negative patients with preemptive DAA therapy to be a cost-effective strategy that could improve health outcomes.&lt;br&gt;&lt;br&gt;Copyright © 2018 AGA Institute. Published by Elsevier Inc. All rights reserved.","author":[{"family":"Bethea","given":"Emily D"},{"family":"Samur","given":"Sumeyye"},{"family":"Kanwal","given":"Fasiha"},{"family":"Ayer","given":"Turgay"},{"family":"Hur","given":"Chin"},{"family":"Roberts","given":"Mark S"},{"family":"Terrault","given":"Norah"},{"family":"Chung","given":"Raymond T"},{"family":"Chhatwal","given":"Jagpreet"}],"authorYearDisplayFormat":false,"citation-label":"6469379","container-title":"Clinical Gastroenterology and Hepatology","container-title-short":"Clin. Gastroenterol. Hepatol.","id":"6469379","invisible":false,"issued":{"date-parts":[["2018","8","21"]]},"journalAbbreviation":"Clin. Gastroenterol. Hepatol.","suppress-author":false,"title":"Cost Effectiveness of Transplanting HCV-Infected Livers Into Uninfected Recipients With Preemptive Antiviral Therapy.","type":"article-journal"}]</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[38]</w:t>
      </w:r>
      <w:r w:rsidR="0074363C" w:rsidRPr="007363FF">
        <w:rPr>
          <w:rFonts w:ascii="Book Antiqua" w:hAnsi="Book Antiqua" w:cs="Arial"/>
          <w:sz w:val="24"/>
          <w:szCs w:val="24"/>
        </w:rPr>
        <w:fldChar w:fldCharType="end"/>
      </w:r>
      <w:r w:rsidR="00AF6A18" w:rsidRPr="007363FF">
        <w:rPr>
          <w:rFonts w:ascii="Book Antiqua" w:hAnsi="Book Antiqua" w:cs="Arial"/>
          <w:sz w:val="24"/>
          <w:szCs w:val="24"/>
        </w:rPr>
        <w:t xml:space="preserve">. </w:t>
      </w:r>
      <w:r w:rsidR="00971021" w:rsidRPr="007363FF">
        <w:rPr>
          <w:rFonts w:ascii="Book Antiqua" w:hAnsi="Book Antiqua" w:cs="Arial"/>
          <w:sz w:val="24"/>
          <w:szCs w:val="24"/>
        </w:rPr>
        <w:t xml:space="preserve">This is an important finding as one potential complication of transplanting HCV-viremic organs into uninfected recipients could be a lack of insurer coverage for DAA treatment, leaving the patient with the potential for complications of a newly acquired HCV infection in an immunocompromised state. </w:t>
      </w:r>
    </w:p>
    <w:p w14:paraId="40AF43B9" w14:textId="3414E37F" w:rsidR="00AB550C" w:rsidRPr="007363FF" w:rsidRDefault="00DE28E7" w:rsidP="00036B44">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 xml:space="preserve">More recent data suggests a growing acceptance of this practice. </w:t>
      </w:r>
      <w:r w:rsidR="00624927" w:rsidRPr="007363FF">
        <w:rPr>
          <w:rFonts w:ascii="Book Antiqua" w:hAnsi="Book Antiqua" w:cs="Arial"/>
          <w:sz w:val="24"/>
          <w:szCs w:val="24"/>
        </w:rPr>
        <w:t xml:space="preserve">Kwong </w:t>
      </w:r>
      <w:r w:rsidR="00F1137D" w:rsidRPr="00F1137D">
        <w:rPr>
          <w:rFonts w:ascii="Book Antiqua" w:hAnsi="Book Antiqua" w:cs="Arial" w:hint="eastAsia"/>
          <w:i/>
          <w:iCs/>
          <w:sz w:val="24"/>
          <w:szCs w:val="24"/>
          <w:lang w:eastAsia="zh-CN"/>
        </w:rPr>
        <w:t>et</w:t>
      </w:r>
      <w:r w:rsidR="00F1137D" w:rsidRPr="00F1137D">
        <w:rPr>
          <w:rFonts w:ascii="Book Antiqua" w:hAnsi="Book Antiqua" w:cs="Arial"/>
          <w:i/>
          <w:iCs/>
          <w:sz w:val="24"/>
          <w:szCs w:val="24"/>
        </w:rPr>
        <w:t xml:space="preserve"> al</w:t>
      </w:r>
      <w:r w:rsidR="00F1137D" w:rsidRPr="007363FF">
        <w:rPr>
          <w:rFonts w:ascii="Book Antiqua" w:hAnsi="Book Antiqua" w:cs="Arial"/>
          <w:sz w:val="24"/>
          <w:szCs w:val="24"/>
        </w:rPr>
        <w:fldChar w:fldCharType="begin"/>
      </w:r>
      <w:r w:rsidR="00F1137D" w:rsidRPr="007363FF">
        <w:rPr>
          <w:rFonts w:ascii="Book Antiqua" w:hAnsi="Book Antiqua" w:cs="Arial"/>
          <w:sz w:val="24"/>
          <w:szCs w:val="24"/>
        </w:rPr>
        <w:instrText>ADDIN F1000_CSL_CITATION&lt;~#@#~&gt;[{"DOI":"10.1111/ajt.15162","First":false,"Last":false,"PMID":"30378723","abstract":"In the context of organ shortage, the opioid epidemic, and effective direct-acting antiviral (DAA) therapy for hepatitis C (HCV), more HCV-infected donor organs may be used for liver transplantation. Current data regarding outcomes after donor-derived HCV in previously non-viremic liver transplant recipients are limited. Clinical data for adult liver transplant recipients with donor-derived HCV infection from March 2017 to January 2018 at our institution were extracted from the medical record. Ten patients received livers from donors known to be infected with HCV based on positive nucleic acid testing (NAT). Seven had a prior diagnosis of HCV and were treated before liver transplantation. All recipients were non-viremic at the time of transplantation. All 10 recipients derived hepatitis C infection from their donor and achieved sustained virologic response at 12 weeks post-treatment (SVR-12) with DAA-based regimens, with a median time from transplant to treatment initiation of 43 days (IQR 20-59). There have been no instances of graft loss or death, with median follow-up of 380 days (IQR 263-434) post-transplant. Transplantation of HCV-viremic livers into non-viremic recipients results in acceptable short-term outcomes. Such strategies may be used to expand the donor pool and increase access to liver transplantation. This article is protected by copyright. All rights reserved.&lt;br&gt;&lt;br&gt;This article is protected by copyright. All rights reserved.","author":[{"family":"Kwong","given":"Allison J"},{"family":"Wall","given":"Anji"},{"family":"Melcher","given":"Marc"},{"family":"Wang","given":"Uerica"},{"family":"Ahmed","given":"Aijaz"},{"family":"Subramanian","given":"Aruna"},{"family":"Kwo","given":"Paul Y"}],"authorYearDisplayFormat":false,"citation-label":"5964083","container-title":"American Journal of Transplantation","container-title-short":"Am. J. Transplant.","id":"5964083","invisible":false,"issued":{"date-parts":[["2018","10","31"]]},"journalAbbreviation":"Am. J. Transplant.","suppress-author":false,"title":"Liver Transplantation for HCV Non-Viremic Recipients with HCV Viremic Donors.","type":"article-journal"}]</w:instrText>
      </w:r>
      <w:r w:rsidR="00F1137D" w:rsidRPr="007363FF">
        <w:rPr>
          <w:rFonts w:ascii="Book Antiqua" w:hAnsi="Book Antiqua" w:cs="Arial"/>
          <w:sz w:val="24"/>
          <w:szCs w:val="24"/>
        </w:rPr>
        <w:fldChar w:fldCharType="separate"/>
      </w:r>
      <w:r w:rsidR="00F1137D" w:rsidRPr="007363FF">
        <w:rPr>
          <w:rFonts w:ascii="Book Antiqua" w:hAnsi="Book Antiqua" w:cs="Arial"/>
          <w:noProof/>
          <w:sz w:val="24"/>
          <w:szCs w:val="24"/>
          <w:vertAlign w:val="superscript"/>
        </w:rPr>
        <w:t>[39]</w:t>
      </w:r>
      <w:r w:rsidR="00F1137D" w:rsidRPr="007363FF">
        <w:rPr>
          <w:rFonts w:ascii="Book Antiqua" w:hAnsi="Book Antiqua" w:cs="Arial"/>
          <w:sz w:val="24"/>
          <w:szCs w:val="24"/>
        </w:rPr>
        <w:fldChar w:fldCharType="end"/>
      </w:r>
      <w:r w:rsidR="00F1137D">
        <w:rPr>
          <w:rFonts w:ascii="Book Antiqua" w:hAnsi="Book Antiqua" w:cs="Arial"/>
          <w:sz w:val="24"/>
          <w:szCs w:val="24"/>
        </w:rPr>
        <w:t xml:space="preserve"> </w:t>
      </w:r>
      <w:r w:rsidR="00624927" w:rsidRPr="007363FF">
        <w:rPr>
          <w:rFonts w:ascii="Book Antiqua" w:hAnsi="Book Antiqua" w:cs="Arial"/>
          <w:sz w:val="24"/>
          <w:szCs w:val="24"/>
        </w:rPr>
        <w:t>reported the transplantation of 10 HCV-uninfected recipients with liver grafts from HCV-viremic donors.</w:t>
      </w:r>
      <w:r w:rsidR="00E31BA0" w:rsidRPr="007363FF">
        <w:rPr>
          <w:rFonts w:ascii="Book Antiqua" w:hAnsi="Book Antiqua" w:cs="Arial"/>
          <w:sz w:val="24"/>
          <w:szCs w:val="24"/>
        </w:rPr>
        <w:t xml:space="preserve"> These grafts were offered to patients with a high estimated risk of waitlist dropout, including those</w:t>
      </w:r>
      <w:r w:rsidRPr="007363FF">
        <w:rPr>
          <w:rFonts w:ascii="Book Antiqua" w:hAnsi="Book Antiqua" w:cs="Arial"/>
          <w:sz w:val="24"/>
          <w:szCs w:val="24"/>
        </w:rPr>
        <w:t xml:space="preserve"> with hepatocellular carcinoma</w:t>
      </w:r>
      <w:r w:rsidR="00562EEA" w:rsidRPr="007363FF">
        <w:rPr>
          <w:rFonts w:ascii="Book Antiqua" w:hAnsi="Book Antiqua" w:cs="Arial"/>
          <w:sz w:val="24"/>
          <w:szCs w:val="24"/>
        </w:rPr>
        <w:t xml:space="preserve">. </w:t>
      </w:r>
      <w:r w:rsidR="00386E19" w:rsidRPr="007363FF">
        <w:rPr>
          <w:rFonts w:ascii="Book Antiqua" w:hAnsi="Book Antiqua" w:cs="Arial"/>
          <w:sz w:val="24"/>
          <w:szCs w:val="24"/>
        </w:rPr>
        <w:t>All recipients developed HCV viremia on day 4 post-LT. Contrary to the THINKER trial, which was an industry-sponsored study, in this study providers were required to obtain insurance approval for each patient prior to initiation of therapy, just as if the patient were being treated in any other clinical context.</w:t>
      </w:r>
      <w:r w:rsidR="009D10DA" w:rsidRPr="007363FF">
        <w:rPr>
          <w:rFonts w:ascii="Book Antiqua" w:hAnsi="Book Antiqua" w:cs="Arial"/>
          <w:sz w:val="24"/>
          <w:szCs w:val="24"/>
        </w:rPr>
        <w:t xml:space="preserve"> Therefore, treatment was not initiated until a median time of 43 d. </w:t>
      </w:r>
      <w:r w:rsidR="0097256C" w:rsidRPr="007363FF">
        <w:rPr>
          <w:rFonts w:ascii="Book Antiqua" w:hAnsi="Book Antiqua" w:cs="Arial"/>
          <w:sz w:val="24"/>
          <w:szCs w:val="24"/>
        </w:rPr>
        <w:t>Treatment regimen was at the discretion of the provider, and consisted of SOF-based therapies</w:t>
      </w:r>
      <w:r w:rsidRPr="007363FF">
        <w:rPr>
          <w:rFonts w:ascii="Book Antiqua" w:hAnsi="Book Antiqua" w:cs="Arial"/>
          <w:sz w:val="24"/>
          <w:szCs w:val="24"/>
        </w:rPr>
        <w:t xml:space="preserve"> </w:t>
      </w:r>
      <w:r w:rsidR="00BA292C" w:rsidRPr="007363FF">
        <w:rPr>
          <w:rFonts w:ascii="Book Antiqua" w:hAnsi="Book Antiqua" w:cs="Arial"/>
          <w:sz w:val="24"/>
          <w:szCs w:val="24"/>
        </w:rPr>
        <w:t>and all patients achieved SVR</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F1000_CSL_CITATION&lt;~#@#~&gt;[{"DOI":"10.1111/ajt.15162","First":false,"Last":false,"PMID":"30378723","abstract":"In the context of organ shortage, the opioid epidemic, and effective direct-acting antiviral (DAA) therapy for hepatitis C (HCV), more HCV-infected donor organs may be used for liver transplantation. Current data regarding outcomes after donor-derived HCV in previously non-viremic liver transplant recipients are limited. Clinical data for adult liver transplant recipients with donor-derived HCV infection from March 2017 to January 2018 at our institution were extracted from the medical record. Ten patients received livers from donors known to be infected with HCV based on positive nucleic acid testing (NAT). Seven had a prior diagnosis of HCV and were treated before liver transplantation. All recipients were non-viremic at the time of transplantation. All 10 recipients derived hepatitis C infection from their donor and achieved sustained virologic response at 12 weeks post-treatment (SVR-12) with DAA-based regimens, with a median time from transplant to treatment initiation of 43 days (IQR 20-59). There have been no instances of graft loss or death, with median follow-up of 380 days (IQR 263-434) post-transplant. Transplantation of HCV-viremic livers into non-viremic recipients results in acceptable short-term outcomes. Such strategies may be used to expand the donor pool and increase access to liver transplantation. This article is protected by copyright. All rights reserved.&lt;br&gt;&lt;br&gt;This article is protected by copyright. All rights reserved.","author":[{"family":"Kwong","given":"Allison J"},{"family":"Wall","given":"Anji"},{"family":"Melcher","given":"Marc"},{"family":"Wang","given":"Uerica"},{"family":"Ahmed","given":"Aijaz"},{"family":"Subramanian","given":"Aruna"},{"family":"Kwo","given":"Paul Y"}],"authorYearDisplayFormat":false,"citation-label":"5964083","container-title":"American Journal of Transplantation","container-title-short":"Am. J. Transplant.","id":"5964083","invisible":false,"issued":{"date-parts":[["2018","10","31"]]},"journalAbbreviation":"Am. J. Transplant.","suppress-author":false,"title":"Liver Transplantation for HCV Non-Viremic Recipients with HCV Viremic Donors.","type":"article-journal"}]</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[39]</w:t>
      </w:r>
      <w:r w:rsidR="0074363C" w:rsidRPr="007363FF">
        <w:rPr>
          <w:rFonts w:ascii="Book Antiqua" w:hAnsi="Book Antiqua" w:cs="Arial"/>
          <w:sz w:val="24"/>
          <w:szCs w:val="24"/>
        </w:rPr>
        <w:fldChar w:fldCharType="end"/>
      </w:r>
      <w:r w:rsidR="00BA292C" w:rsidRPr="007363FF">
        <w:rPr>
          <w:rFonts w:ascii="Book Antiqua" w:hAnsi="Book Antiqua" w:cs="Arial"/>
          <w:sz w:val="24"/>
          <w:szCs w:val="24"/>
        </w:rPr>
        <w:t xml:space="preserve">. </w:t>
      </w:r>
      <w:r w:rsidRPr="007363FF">
        <w:rPr>
          <w:rFonts w:ascii="Book Antiqua" w:hAnsi="Book Antiqua" w:cs="Arial"/>
          <w:sz w:val="24"/>
          <w:szCs w:val="24"/>
        </w:rPr>
        <w:t>Adverse events included 1</w:t>
      </w:r>
      <w:r w:rsidR="00D679E8" w:rsidRPr="007363FF">
        <w:rPr>
          <w:rFonts w:ascii="Book Antiqua" w:hAnsi="Book Antiqua" w:cs="Arial"/>
          <w:sz w:val="24"/>
          <w:szCs w:val="24"/>
        </w:rPr>
        <w:t xml:space="preserve"> patient who dev</w:t>
      </w:r>
      <w:r w:rsidRPr="007363FF">
        <w:rPr>
          <w:rFonts w:ascii="Book Antiqua" w:hAnsi="Book Antiqua" w:cs="Arial"/>
          <w:sz w:val="24"/>
          <w:szCs w:val="24"/>
        </w:rPr>
        <w:t xml:space="preserve">eloped leukopenia and anemia </w:t>
      </w:r>
      <w:r w:rsidR="00D679E8" w:rsidRPr="007363FF">
        <w:rPr>
          <w:rFonts w:ascii="Book Antiqua" w:hAnsi="Book Antiqua" w:cs="Arial"/>
          <w:sz w:val="24"/>
          <w:szCs w:val="24"/>
        </w:rPr>
        <w:t>and 3 patients who developed</w:t>
      </w:r>
      <w:r w:rsidR="00921F3B" w:rsidRPr="007363FF">
        <w:rPr>
          <w:rFonts w:ascii="Book Antiqua" w:hAnsi="Book Antiqua" w:cs="Arial"/>
          <w:sz w:val="24"/>
          <w:szCs w:val="24"/>
        </w:rPr>
        <w:t xml:space="preserve"> biopsy-proven</w:t>
      </w:r>
      <w:r w:rsidR="00D679E8" w:rsidRPr="007363FF">
        <w:rPr>
          <w:rFonts w:ascii="Book Antiqua" w:hAnsi="Book Antiqua" w:cs="Arial"/>
          <w:sz w:val="24"/>
          <w:szCs w:val="24"/>
        </w:rPr>
        <w:t xml:space="preserve"> rejection.</w:t>
      </w:r>
      <w:r w:rsidR="00F50ECA" w:rsidRPr="007363FF">
        <w:rPr>
          <w:rFonts w:ascii="Book Antiqua" w:hAnsi="Book Antiqua" w:cs="Arial"/>
          <w:sz w:val="24"/>
          <w:szCs w:val="24"/>
        </w:rPr>
        <w:t xml:space="preserve"> Recurrent HCV was not seen in any of the allografts.</w:t>
      </w:r>
      <w:r w:rsidR="00D679E8" w:rsidRPr="007363FF">
        <w:rPr>
          <w:rFonts w:ascii="Book Antiqua" w:hAnsi="Book Antiqua" w:cs="Arial"/>
          <w:sz w:val="24"/>
          <w:szCs w:val="24"/>
        </w:rPr>
        <w:t xml:space="preserve"> </w:t>
      </w:r>
      <w:r w:rsidR="00120EC5" w:rsidRPr="007363FF">
        <w:rPr>
          <w:rFonts w:ascii="Book Antiqua" w:hAnsi="Book Antiqua" w:cs="Arial"/>
          <w:sz w:val="24"/>
          <w:szCs w:val="24"/>
        </w:rPr>
        <w:t>Two of the patients developed</w:t>
      </w:r>
      <w:r w:rsidR="00921F3B" w:rsidRPr="007363FF">
        <w:rPr>
          <w:rFonts w:ascii="Book Antiqua" w:hAnsi="Book Antiqua" w:cs="Arial"/>
          <w:sz w:val="24"/>
          <w:szCs w:val="24"/>
        </w:rPr>
        <w:t xml:space="preserve"> </w:t>
      </w:r>
      <w:r w:rsidR="00120EC5" w:rsidRPr="007363FF">
        <w:rPr>
          <w:rFonts w:ascii="Book Antiqua" w:hAnsi="Book Antiqua" w:cs="Arial"/>
          <w:sz w:val="24"/>
          <w:szCs w:val="24"/>
        </w:rPr>
        <w:t>rejection within 1 month of LT, prior to initiation of HCV treatment</w:t>
      </w:r>
      <w:r w:rsidR="00766E39" w:rsidRPr="007363FF">
        <w:rPr>
          <w:rFonts w:ascii="Book Antiqua" w:hAnsi="Book Antiqua" w:cs="Arial"/>
          <w:sz w:val="24"/>
          <w:szCs w:val="24"/>
        </w:rPr>
        <w:t xml:space="preserve"> (one with both acute cellular rejection and antibody-mediated rejection, the other with only acute cellular rejection)</w:t>
      </w:r>
      <w:r w:rsidR="00120EC5" w:rsidRPr="007363FF">
        <w:rPr>
          <w:rFonts w:ascii="Book Antiqua" w:hAnsi="Book Antiqua" w:cs="Arial"/>
          <w:sz w:val="24"/>
          <w:szCs w:val="24"/>
        </w:rPr>
        <w:t xml:space="preserve">, and one developed antibody-mediated rejection 5 mo after transplant, after completing HCV treatment. </w:t>
      </w:r>
      <w:r w:rsidR="00921F3B" w:rsidRPr="007363FF">
        <w:rPr>
          <w:rFonts w:ascii="Book Antiqua" w:hAnsi="Book Antiqua" w:cs="Arial"/>
          <w:sz w:val="24"/>
          <w:szCs w:val="24"/>
        </w:rPr>
        <w:t>Immunosuppression levels did not vary appreciably to explain the development of rejection in these patients</w:t>
      </w:r>
      <w:r w:rsidR="009C6603" w:rsidRPr="007363FF">
        <w:rPr>
          <w:rFonts w:ascii="Book Antiqua" w:hAnsi="Book Antiqua" w:cs="Arial"/>
          <w:sz w:val="24"/>
          <w:szCs w:val="24"/>
        </w:rPr>
        <w:t xml:space="preserve">, though it is possible that either HCV infection itself or treatment with DAAs may have led to some immunologic changes that increased the risk of rejection in this population. </w:t>
      </w:r>
      <w:r w:rsidR="00A27B5B" w:rsidRPr="007363FF">
        <w:rPr>
          <w:rFonts w:ascii="Book Antiqua" w:hAnsi="Book Antiqua" w:cs="Arial"/>
          <w:sz w:val="24"/>
          <w:szCs w:val="24"/>
        </w:rPr>
        <w:t>The authors concluded that it is difficult to draw conclusions given the small sample size, and that this connection should be further investigated among HCV-uninfected patients who receive HCV-viremic grafts</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F1000_CSL_CITATION&lt;~#@#~&gt;[{"DOI":"10.1111/ajt.15162","First":false,"Last":false,"PMID":"30378723","abstract":"In the context of organ shortage, the opioid epidemic, and effective direct-acting antiviral (DAA) therapy for hepatitis C (HCV), more HCV-infected donor organs may be used for liver transplantation. Current data regarding outcomes after donor-derived HCV in previously non-viremic liver transplant recipients are limited. Clinical data for adult liver transplant recipients with donor-derived HCV infection from March 2017 to January 2018 at our institution were extracted from the medical record. Ten patients received livers from donors known to be infected with HCV based on positive nucleic acid testing (NAT). Seven had a prior diagnosis of HCV and were treated before liver transplantation. All recipients were non-viremic at the time of transplantation. All 10 recipients derived hepatitis C infection from their donor and achieved sustained virologic response at 12 weeks post-treatment (SVR-12) with DAA-based regimens, with a median time from transplant to treatment initiation of 43 days (IQR 20-59). There have been no instances of graft loss or death, with median follow-up of 380 days (IQR 263-434) post-transplant. Transplantation of HCV-viremic livers into non-viremic recipients results in acceptable short-term outcomes. Such strategies may be used to expand the donor pool and increase access to liver transplantation. This article is protected by copyright. All rights reserved.&lt;br&gt;&lt;br&gt;This article is protected by copyright. All rights reserved.","author":[{"family":"Kwong","given":"Allison J"},{"family":"Wall","given":"Anji"},{"family":"Melcher","given":"Marc"},{"family":"Wang","given":"Uerica"},{"family":"Ahmed","given":"Aijaz"},{"family":"Subramanian","given":"Aruna"},{"family":"Kwo","given":"Paul Y"}],"authorYearDisplayFormat":false,"citation-label":"5964083","container-title":"American Journal of Transplantation","container-title-short":"Am. J. Transplant.","id":"5964083","invisible":false,"issued":{"date-parts":[["2018","10","31"]]},"journalAbbreviation":"Am. J. Transplant.","suppress-author":false,"title":"Liver Transplantation for HCV Non-Viremic Recipients with HCV Viremic Donors.","type":"article-journal"}]</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[39]</w:t>
      </w:r>
      <w:r w:rsidR="0074363C" w:rsidRPr="007363FF">
        <w:rPr>
          <w:rFonts w:ascii="Book Antiqua" w:hAnsi="Book Antiqua" w:cs="Arial"/>
          <w:sz w:val="24"/>
          <w:szCs w:val="24"/>
        </w:rPr>
        <w:fldChar w:fldCharType="end"/>
      </w:r>
      <w:r w:rsidR="00A27B5B" w:rsidRPr="007363FF">
        <w:rPr>
          <w:rFonts w:ascii="Book Antiqua" w:hAnsi="Book Antiqua" w:cs="Arial"/>
          <w:sz w:val="24"/>
          <w:szCs w:val="24"/>
        </w:rPr>
        <w:t xml:space="preserve">. </w:t>
      </w:r>
    </w:p>
    <w:p w14:paraId="1EC5EDF2" w14:textId="56B4C386" w:rsidR="004B4E7A" w:rsidRPr="007363FF" w:rsidRDefault="000E7C89" w:rsidP="0098113A">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A</w:t>
      </w:r>
      <w:r w:rsidR="00DE28E7" w:rsidRPr="007363FF">
        <w:rPr>
          <w:rFonts w:ascii="Book Antiqua" w:hAnsi="Book Antiqua" w:cs="Arial"/>
          <w:sz w:val="24"/>
          <w:szCs w:val="24"/>
        </w:rPr>
        <w:t>nother</w:t>
      </w:r>
      <w:r w:rsidRPr="007363FF">
        <w:rPr>
          <w:rFonts w:ascii="Book Antiqua" w:hAnsi="Book Antiqua" w:cs="Arial"/>
          <w:sz w:val="24"/>
          <w:szCs w:val="24"/>
        </w:rPr>
        <w:t xml:space="preserve"> recent study by Cotter and colleagues examined the practice of </w:t>
      </w:r>
      <w:r w:rsidR="00252108" w:rsidRPr="007363FF">
        <w:rPr>
          <w:rFonts w:ascii="Book Antiqua" w:hAnsi="Book Antiqua" w:cs="Arial"/>
          <w:sz w:val="24"/>
          <w:szCs w:val="24"/>
        </w:rPr>
        <w:t xml:space="preserve">transplantation from HCV-seropositive and/or -viremic donors to HCV-uninfected </w:t>
      </w:r>
      <w:r w:rsidR="00252108" w:rsidRPr="007363FF">
        <w:rPr>
          <w:rFonts w:ascii="Book Antiqua" w:hAnsi="Book Antiqua" w:cs="Arial"/>
          <w:sz w:val="24"/>
          <w:szCs w:val="24"/>
        </w:rPr>
        <w:lastRenderedPageBreak/>
        <w:t>recipients from January 2008 to January 2018</w:t>
      </w:r>
      <w:r w:rsidR="00DE28E7" w:rsidRPr="007363FF">
        <w:rPr>
          <w:rFonts w:ascii="Book Antiqua" w:hAnsi="Book Antiqua" w:cs="Arial"/>
          <w:sz w:val="24"/>
          <w:szCs w:val="24"/>
        </w:rPr>
        <w:t xml:space="preserve"> in the U</w:t>
      </w:r>
      <w:r w:rsidR="00F36B68">
        <w:rPr>
          <w:rFonts w:ascii="Book Antiqua" w:hAnsi="Book Antiqua" w:cs="Arial"/>
          <w:sz w:val="24"/>
          <w:szCs w:val="24"/>
        </w:rPr>
        <w:t xml:space="preserve">nited </w:t>
      </w:r>
      <w:r w:rsidR="00DE28E7" w:rsidRPr="007363FF">
        <w:rPr>
          <w:rFonts w:ascii="Book Antiqua" w:hAnsi="Book Antiqua" w:cs="Arial"/>
          <w:sz w:val="24"/>
          <w:szCs w:val="24"/>
        </w:rPr>
        <w:t>S</w:t>
      </w:r>
      <w:r w:rsidR="00F36B68">
        <w:rPr>
          <w:rFonts w:ascii="Book Antiqua" w:hAnsi="Book Antiqua" w:cs="Arial"/>
          <w:sz w:val="24"/>
          <w:szCs w:val="24"/>
        </w:rPr>
        <w:t>tates</w:t>
      </w:r>
      <w:r w:rsidR="008165EB" w:rsidRPr="007363FF">
        <w:rPr>
          <w:rFonts w:ascii="Book Antiqua" w:hAnsi="Book Antiqua" w:cs="Arial"/>
          <w:sz w:val="24"/>
          <w:szCs w:val="24"/>
        </w:rPr>
        <w:t xml:space="preserve"> (</w:t>
      </w:r>
      <w:r w:rsidR="00AA7DEE" w:rsidRPr="007363FF">
        <w:rPr>
          <w:rFonts w:ascii="Book Antiqua" w:hAnsi="Book Antiqua" w:cs="Arial"/>
          <w:sz w:val="24"/>
          <w:szCs w:val="24"/>
        </w:rPr>
        <w:t>T</w:t>
      </w:r>
      <w:r w:rsidR="008165EB" w:rsidRPr="007363FF">
        <w:rPr>
          <w:rFonts w:ascii="Book Antiqua" w:hAnsi="Book Antiqua" w:cs="Arial"/>
          <w:sz w:val="24"/>
          <w:szCs w:val="24"/>
        </w:rPr>
        <w:t>able 3)</w:t>
      </w:r>
      <w:r w:rsidR="00252108" w:rsidRPr="007363FF">
        <w:rPr>
          <w:rFonts w:ascii="Book Antiqua" w:hAnsi="Book Antiqua" w:cs="Arial"/>
          <w:sz w:val="24"/>
          <w:szCs w:val="24"/>
        </w:rPr>
        <w:t xml:space="preserve">. </w:t>
      </w:r>
      <w:r w:rsidR="00AD3712" w:rsidRPr="007363FF">
        <w:rPr>
          <w:rFonts w:ascii="Book Antiqua" w:hAnsi="Book Antiqua" w:cs="Arial"/>
          <w:sz w:val="24"/>
          <w:szCs w:val="24"/>
        </w:rPr>
        <w:t>During this time, there were 2635 transplants performed with using HCV-seropositive livers, of which 2378 were given to 2378 HCV-seropositive recipients</w:t>
      </w:r>
      <w:r w:rsidR="001E23BB" w:rsidRPr="007363FF">
        <w:rPr>
          <w:rFonts w:ascii="Book Antiqua" w:hAnsi="Book Antiqua" w:cs="Arial"/>
          <w:sz w:val="24"/>
          <w:szCs w:val="24"/>
        </w:rPr>
        <w:t>. The number of HCV-seropositive to -negative transplants increased from 7 in 2008 to 10</w:t>
      </w:r>
      <w:r w:rsidR="00D026D9" w:rsidRPr="007363FF">
        <w:rPr>
          <w:rFonts w:ascii="Book Antiqua" w:hAnsi="Book Antiqua" w:cs="Arial"/>
          <w:sz w:val="24"/>
          <w:szCs w:val="24"/>
        </w:rPr>
        <w:t>7</w:t>
      </w:r>
      <w:r w:rsidR="001E23BB" w:rsidRPr="007363FF">
        <w:rPr>
          <w:rFonts w:ascii="Book Antiqua" w:hAnsi="Book Antiqua" w:cs="Arial"/>
          <w:sz w:val="24"/>
          <w:szCs w:val="24"/>
        </w:rPr>
        <w:t xml:space="preserve"> in 201</w:t>
      </w:r>
      <w:r w:rsidR="00D026D9" w:rsidRPr="007363FF">
        <w:rPr>
          <w:rFonts w:ascii="Book Antiqua" w:hAnsi="Book Antiqua" w:cs="Arial"/>
          <w:sz w:val="24"/>
          <w:szCs w:val="24"/>
        </w:rPr>
        <w:t>7</w:t>
      </w:r>
      <w:r w:rsidR="00E53F1B" w:rsidRPr="007363FF">
        <w:rPr>
          <w:rFonts w:ascii="Book Antiqua" w:hAnsi="Book Antiqua" w:cs="Arial"/>
          <w:sz w:val="24"/>
          <w:szCs w:val="24"/>
        </w:rPr>
        <w:t>, or from 55 in the pre-DAA era to 202 in the post-DAA era.</w:t>
      </w:r>
      <w:r w:rsidR="0080430C" w:rsidRPr="007363FF">
        <w:rPr>
          <w:rFonts w:ascii="Book Antiqua" w:hAnsi="Book Antiqua" w:cs="Arial"/>
          <w:sz w:val="24"/>
          <w:szCs w:val="24"/>
        </w:rPr>
        <w:t xml:space="preserve"> </w:t>
      </w:r>
      <w:r w:rsidR="00681CCC" w:rsidRPr="007363FF">
        <w:rPr>
          <w:rFonts w:ascii="Book Antiqua" w:hAnsi="Book Antiqua" w:cs="Arial"/>
          <w:sz w:val="24"/>
          <w:szCs w:val="24"/>
        </w:rPr>
        <w:t xml:space="preserve">HCV-uninfected patients who received </w:t>
      </w:r>
      <w:r w:rsidR="004E3910" w:rsidRPr="007363FF">
        <w:rPr>
          <w:rFonts w:ascii="Book Antiqua" w:hAnsi="Book Antiqua" w:cs="Arial"/>
          <w:sz w:val="24"/>
          <w:szCs w:val="24"/>
        </w:rPr>
        <w:t xml:space="preserve">-seropositive livers had higher MELD scores and waitlist times, and received livers from younger and lower </w:t>
      </w:r>
      <w:r w:rsidR="00F30232" w:rsidRPr="007363FF">
        <w:rPr>
          <w:rFonts w:ascii="Book Antiqua" w:hAnsi="Book Antiqua" w:cs="Arial"/>
          <w:sz w:val="24"/>
          <w:szCs w:val="24"/>
        </w:rPr>
        <w:t xml:space="preserve">body-mass index </w:t>
      </w:r>
      <w:r w:rsidR="004E3910" w:rsidRPr="007363FF">
        <w:rPr>
          <w:rFonts w:ascii="Book Antiqua" w:hAnsi="Book Antiqua" w:cs="Arial"/>
          <w:sz w:val="24"/>
          <w:szCs w:val="24"/>
        </w:rPr>
        <w:t>donors</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F1000_CSL_CITATION&lt;~#@#~&gt;[{"DOI":"10.1002/hep.30540","First":false,"Last":false,"PMID":"30706517","abstract":"&lt;strong&gt;BACKGROUND &amp; AIMS:&lt;/strong&gt; Direct-acting antiviral (DAA) therapy has altered the frequency and outcome of liver transplantation for hepatitis C virus (HCV). The high efficacy and tolerability of DAA therapy has also created a rationale for utilizing HCV-viremic (HCV-RNA-positive) donors, including into HCV-negative recipients. We examined trends in the frequency of organ utilization and graft survival in recipients of HCV-viremic donors (HCV-RNA-positive as measured by Nucleic Acid Testing, NAT).&lt;br&gt;&lt;br&gt;&lt;strong&gt;METHODS:&lt;/strong&gt; Data was collected from the Scientific Registry of Transplant Recipients (SRTR) on adult patients who underwent a primary, single organ, deceased donor liver transplant from January 1, 2008, to January 31, 2018. Outcomes of HCV-negative transplant recipients (R-) who received an allograft from donors who were HCV RNA-positive (DNAT+) were compared to outcomes for R- patients who received organs from donors who were HCV RNA-negative (DNAT-).&lt;br&gt;&lt;br&gt;&lt;strong&gt;RESULTS:&lt;/strong&gt; There were 11,270 DNAT-/R-; 4,748 DNAT-/R+, 87 DNAT+/R-; and 753 DNAT+/R+ patients, with 2-year graft survival similar across all groups: DNAT-/R- 88%; DNAT-/R+ 88%; DNAT+/R- 86%; DNAT+/R+ 90%. Additionally, there were 2,635 liver transplants using HCV antibody-positive donors (DAb+): 2378 DAb+/R+ and 257 DAb+/R-. The annual number of DAb+/R- transplants increased from 7 in 2008 to 107 in 2017. In the post-DAA era, graft survival improved for all recipients, with 3-year survival of DAb+/R- patients and DAb+/R+ patients increasing to 88% from 79% and to 85% from 78%, respectively.&lt;br&gt;&lt;br&gt;&lt;strong&gt;CONCLUSIONS:&lt;/strong&gt; The post-DAA era has seen increased utilization of HCV-viremic donor livers, including HCV-viremic livers into HCV-negative recipients. Early graft outcomes are similar to those of HCV-negative recipients. These results support utilization of HCV-viremic organs in selected recipients both with and without HCV infection. This article is protected by copyright. All rights reserved.&lt;br&gt;&lt;br&gt;This article is protected by copyright. All rights reserved.","author":[{"family":"Cotter","given":"Thomas G"},{"family":"Paul","given":"Sonali"},{"family":"Sandıkçı","given":"Burhaneddin"},{"family":"Couri","given":"Thomas"},{"family":"Bodzin","given":"Adam S"},{"family":"Little","given":"Ester C"},{"family":"Sundaram","given":"Vinay"},{"family":"Charlton","given":"Michael"}],"authorYearDisplayFormat":false,"citation-label":"6415410","container-title":"Hepatology","container-title-short":"Hepatology","id":"6415410","invisible":false,"issued":{"date-parts":[["2019","1","31"]]},"journalAbbreviation":"Hepatology","suppress-author":false,"title":"Increasing Utilization and Excellent Initial Outcomes Following Liver Transplant of HCV-Viremic Donors into HCV-Negative Recipients.","type":"article-journal"}]</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[40]</w:t>
      </w:r>
      <w:r w:rsidR="0074363C" w:rsidRPr="007363FF">
        <w:rPr>
          <w:rFonts w:ascii="Book Antiqua" w:hAnsi="Book Antiqua" w:cs="Arial"/>
          <w:sz w:val="24"/>
          <w:szCs w:val="24"/>
        </w:rPr>
        <w:fldChar w:fldCharType="end"/>
      </w:r>
      <w:r w:rsidR="004E3910" w:rsidRPr="007363FF">
        <w:rPr>
          <w:rFonts w:ascii="Book Antiqua" w:hAnsi="Book Antiqua" w:cs="Arial"/>
          <w:sz w:val="24"/>
          <w:szCs w:val="24"/>
        </w:rPr>
        <w:t>.</w:t>
      </w:r>
      <w:r w:rsidR="00734465" w:rsidRPr="007363FF">
        <w:rPr>
          <w:rFonts w:ascii="Book Antiqua" w:hAnsi="Book Antiqua" w:cs="Arial"/>
          <w:sz w:val="24"/>
          <w:szCs w:val="24"/>
        </w:rPr>
        <w:t xml:space="preserve"> </w:t>
      </w:r>
      <w:r w:rsidR="004B67A7" w:rsidRPr="007363FF">
        <w:rPr>
          <w:rFonts w:ascii="Book Antiqua" w:hAnsi="Book Antiqua" w:cs="Arial"/>
          <w:sz w:val="24"/>
          <w:szCs w:val="24"/>
        </w:rPr>
        <w:t>Three-year g</w:t>
      </w:r>
      <w:r w:rsidR="00734465" w:rsidRPr="007363FF">
        <w:rPr>
          <w:rFonts w:ascii="Book Antiqua" w:hAnsi="Book Antiqua" w:cs="Arial"/>
          <w:sz w:val="24"/>
          <w:szCs w:val="24"/>
        </w:rPr>
        <w:t>raft survival</w:t>
      </w:r>
      <w:r w:rsidR="0026415C" w:rsidRPr="007363FF">
        <w:rPr>
          <w:rFonts w:ascii="Book Antiqua" w:hAnsi="Book Antiqua" w:cs="Arial"/>
          <w:sz w:val="24"/>
          <w:szCs w:val="24"/>
        </w:rPr>
        <w:t xml:space="preserve"> in the DAA era</w:t>
      </w:r>
      <w:r w:rsidR="00734465" w:rsidRPr="007363FF">
        <w:rPr>
          <w:rFonts w:ascii="Book Antiqua" w:hAnsi="Book Antiqua" w:cs="Arial"/>
          <w:sz w:val="24"/>
          <w:szCs w:val="24"/>
        </w:rPr>
        <w:t xml:space="preserve"> was essentially equivalent at 85.1% compared with 84.5% among patients who received HCV-seropositive versus -negative grafts.</w:t>
      </w:r>
      <w:r w:rsidR="00BB6967" w:rsidRPr="007363FF">
        <w:rPr>
          <w:rFonts w:ascii="Book Antiqua" w:hAnsi="Book Antiqua" w:cs="Arial"/>
          <w:sz w:val="24"/>
          <w:szCs w:val="24"/>
        </w:rPr>
        <w:t xml:space="preserve"> Similar results were seen in </w:t>
      </w:r>
      <w:r w:rsidR="004B4E7A" w:rsidRPr="007363FF">
        <w:rPr>
          <w:rFonts w:ascii="Book Antiqua" w:hAnsi="Book Antiqua" w:cs="Arial"/>
          <w:sz w:val="24"/>
          <w:szCs w:val="24"/>
        </w:rPr>
        <w:t>HCV-viremic donor to HCV-uninfected recipient transplants</w:t>
      </w:r>
      <w:r w:rsidR="00BB6967" w:rsidRPr="007363FF">
        <w:rPr>
          <w:rFonts w:ascii="Book Antiqua" w:hAnsi="Book Antiqua" w:cs="Arial"/>
          <w:sz w:val="24"/>
          <w:szCs w:val="24"/>
        </w:rPr>
        <w:t xml:space="preserve"> with no</w:t>
      </w:r>
      <w:r w:rsidR="004D0A6C" w:rsidRPr="007363FF">
        <w:rPr>
          <w:rFonts w:ascii="Book Antiqua" w:hAnsi="Book Antiqua" w:cs="Arial"/>
          <w:sz w:val="24"/>
          <w:szCs w:val="24"/>
        </w:rPr>
        <w:t xml:space="preserve"> difference in </w:t>
      </w:r>
      <w:r w:rsidR="00BB6967" w:rsidRPr="007363FF">
        <w:rPr>
          <w:rFonts w:ascii="Book Antiqua" w:hAnsi="Book Antiqua" w:cs="Arial"/>
          <w:sz w:val="24"/>
          <w:szCs w:val="24"/>
        </w:rPr>
        <w:t xml:space="preserve">2-year </w:t>
      </w:r>
      <w:r w:rsidR="004D0A6C" w:rsidRPr="007363FF">
        <w:rPr>
          <w:rFonts w:ascii="Book Antiqua" w:hAnsi="Book Antiqua" w:cs="Arial"/>
          <w:sz w:val="24"/>
          <w:szCs w:val="24"/>
        </w:rPr>
        <w:t>graft survival among recipients of grafts from HCV-viremic donors</w:t>
      </w:r>
      <w:r w:rsidR="00BB6967" w:rsidRPr="007363FF">
        <w:rPr>
          <w:rFonts w:ascii="Book Antiqua" w:hAnsi="Book Antiqua" w:cs="Arial"/>
          <w:sz w:val="24"/>
          <w:szCs w:val="24"/>
        </w:rPr>
        <w:t xml:space="preserve"> compared to HCV-aviremic donors</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F1000_CSL_CITATION&lt;~#@#~&gt;[{"DOI":"10.1002/hep.30540","First":false,"Last":false,"PMID":"30706517","abstract":"&lt;strong&gt;BACKGROUND &amp; AIMS:&lt;/strong&gt; Direct-acting antiviral (DAA) therapy has altered the frequency and outcome of liver transplantation for hepatitis C virus (HCV). The high efficacy and tolerability of DAA therapy has also created a rationale for utilizing HCV-viremic (HCV-RNA-positive) donors, including into HCV-negative recipients. We examined trends in the frequency of organ utilization and graft survival in recipients of HCV-viremic donors (HCV-RNA-positive as measured by Nucleic Acid Testing, NAT).&lt;br&gt;&lt;br&gt;&lt;strong&gt;METHODS:&lt;/strong&gt; Data was collected from the Scientific Registry of Transplant Recipients (SRTR) on adult patients who underwent a primary, single organ, deceased donor liver transplant from January 1, 2008, to January 31, 2018. Outcomes of HCV-negative transplant recipients (R-) who received an allograft from donors who were HCV RNA-positive (DNAT+) were compared to outcomes for R- patients who received organs from donors who were HCV RNA-negative (DNAT-).&lt;br&gt;&lt;br&gt;&lt;strong&gt;RESULTS:&lt;/strong&gt; There were 11,270 DNAT-/R-; 4,748 DNAT-/R+, 87 DNAT+/R-; and 753 DNAT+/R+ patients, with 2-year graft survival similar across all groups: DNAT-/R- 88%; DNAT-/R+ 88%; DNAT+/R- 86%; DNAT+/R+ 90%. Additionally, there were 2,635 liver transplants using HCV antibody-positive donors (DAb+): 2378 DAb+/R+ and 257 DAb+/R-. The annual number of DAb+/R- transplants increased from 7 in 2008 to 107 in 2017. In the post-DAA era, graft survival improved for all recipients, with 3-year survival of DAb+/R- patients and DAb+/R+ patients increasing to 88% from 79% and to 85% from 78%, respectively.&lt;br&gt;&lt;br&gt;&lt;strong&gt;CONCLUSIONS:&lt;/strong&gt; The post-DAA era has seen increased utilization of HCV-viremic donor livers, including HCV-viremic livers into HCV-negative recipients. Early graft outcomes are similar to those of HCV-negative recipients. These results support utilization of HCV-viremic organs in selected recipients both with and without HCV infection. This article is protected by copyright. All rights reserved.&lt;br&gt;&lt;br&gt;This article is protected by copyright. All rights reserved.","author":[{"family":"Cotter","given":"Thomas G"},{"family":"Paul","given":"Sonali"},{"family":"Sandıkçı","given":"Burhaneddin"},{"family":"Couri","given":"Thomas"},{"family":"Bodzin","given":"Adam S"},{"family":"Little","given":"Ester C"},{"family":"Sundaram","given":"Vinay"},{"family":"Charlton","given":"Michael"}],"authorYearDisplayFormat":false,"citation-label":"6415410","container-title":"Hepatology","container-title-short":"Hepatology","id":"6415410","invisible":false,"issued":{"date-parts":[["2019","1","31"]]},"journalAbbreviation":"Hepatology","suppress-author":false,"title":"Increasing Utilization and Excellent Initial Outcomes Following Liver Transplant of HCV-Viremic Donors into HCV-Negative Recipients.","type":"article-journal"}]</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[40]</w:t>
      </w:r>
      <w:r w:rsidR="0074363C" w:rsidRPr="007363FF">
        <w:rPr>
          <w:rFonts w:ascii="Book Antiqua" w:hAnsi="Book Antiqua" w:cs="Arial"/>
          <w:sz w:val="24"/>
          <w:szCs w:val="24"/>
        </w:rPr>
        <w:fldChar w:fldCharType="end"/>
      </w:r>
      <w:r w:rsidR="004E33D5" w:rsidRPr="007363FF">
        <w:rPr>
          <w:rFonts w:ascii="Book Antiqua" w:hAnsi="Book Antiqua" w:cs="Arial"/>
          <w:sz w:val="24"/>
          <w:szCs w:val="24"/>
        </w:rPr>
        <w:t>.</w:t>
      </w:r>
    </w:p>
    <w:p w14:paraId="2A46194F" w14:textId="77777777" w:rsidR="006A3BA8" w:rsidRPr="007363FF" w:rsidRDefault="006A3BA8" w:rsidP="007363FF">
      <w:pPr>
        <w:pStyle w:val="a3"/>
        <w:adjustRightInd w:val="0"/>
        <w:snapToGrid w:val="0"/>
        <w:spacing w:line="360" w:lineRule="auto"/>
        <w:jc w:val="both"/>
        <w:rPr>
          <w:rFonts w:ascii="Book Antiqua" w:hAnsi="Book Antiqua" w:cs="Arial"/>
          <w:sz w:val="24"/>
          <w:szCs w:val="24"/>
        </w:rPr>
      </w:pPr>
    </w:p>
    <w:p w14:paraId="5E45AE9C" w14:textId="4286A298" w:rsidR="00482B3F" w:rsidRPr="007363FF" w:rsidRDefault="0098113A" w:rsidP="007363FF">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b/>
          <w:sz w:val="24"/>
          <w:szCs w:val="24"/>
        </w:rPr>
        <w:t>RISKS ASSOCIATED WITH POST-LIVER TRANSPLANT HCV INFECTION</w:t>
      </w:r>
    </w:p>
    <w:p w14:paraId="213EF5AF" w14:textId="2CEC1562" w:rsidR="00CF651F" w:rsidRPr="007363FF" w:rsidRDefault="00BB6967" w:rsidP="007363FF">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 xml:space="preserve">There is still a concern that </w:t>
      </w:r>
      <w:r w:rsidR="00804BEE" w:rsidRPr="007363FF">
        <w:rPr>
          <w:rFonts w:ascii="Book Antiqua" w:hAnsi="Book Antiqua" w:cs="Arial"/>
          <w:sz w:val="24"/>
          <w:szCs w:val="24"/>
        </w:rPr>
        <w:t>acute HCV in the post-transplant setting</w:t>
      </w:r>
      <w:r w:rsidRPr="007363FF">
        <w:rPr>
          <w:rFonts w:ascii="Book Antiqua" w:hAnsi="Book Antiqua" w:cs="Arial"/>
          <w:sz w:val="24"/>
          <w:szCs w:val="24"/>
        </w:rPr>
        <w:t xml:space="preserve"> can be severe</w:t>
      </w:r>
      <w:r w:rsidR="00804BEE" w:rsidRPr="007363FF">
        <w:rPr>
          <w:rFonts w:ascii="Book Antiqua" w:hAnsi="Book Antiqua" w:cs="Arial"/>
          <w:sz w:val="24"/>
          <w:szCs w:val="24"/>
        </w:rPr>
        <w:t xml:space="preserve">, especially if there is a delay in initiating treatment with DAAs. </w:t>
      </w:r>
      <w:r w:rsidR="009213D6" w:rsidRPr="007363FF">
        <w:rPr>
          <w:rFonts w:ascii="Book Antiqua" w:hAnsi="Book Antiqua" w:cs="Arial"/>
          <w:sz w:val="24"/>
          <w:szCs w:val="24"/>
        </w:rPr>
        <w:t>Effective</w:t>
      </w:r>
      <w:r w:rsidR="00015EAE" w:rsidRPr="007363FF">
        <w:rPr>
          <w:rFonts w:ascii="Book Antiqua" w:hAnsi="Book Antiqua" w:cs="Arial"/>
          <w:sz w:val="24"/>
          <w:szCs w:val="24"/>
        </w:rPr>
        <w:t xml:space="preserve"> and timely</w:t>
      </w:r>
      <w:r w:rsidR="009213D6" w:rsidRPr="007363FF">
        <w:rPr>
          <w:rFonts w:ascii="Book Antiqua" w:hAnsi="Book Antiqua" w:cs="Arial"/>
          <w:sz w:val="24"/>
          <w:szCs w:val="24"/>
        </w:rPr>
        <w:t xml:space="preserve"> treatment for HCV-infected individuals post-LT is essential as </w:t>
      </w:r>
      <w:r w:rsidR="00DF2423" w:rsidRPr="007363FF">
        <w:rPr>
          <w:rFonts w:ascii="Book Antiqua" w:hAnsi="Book Antiqua" w:cs="Arial"/>
          <w:sz w:val="24"/>
          <w:szCs w:val="24"/>
        </w:rPr>
        <w:t>the course of HCV is accelerated</w:t>
      </w:r>
      <w:r w:rsidR="009213D6" w:rsidRPr="007363FF">
        <w:rPr>
          <w:rFonts w:ascii="Book Antiqua" w:hAnsi="Book Antiqua" w:cs="Arial"/>
          <w:sz w:val="24"/>
          <w:szCs w:val="24"/>
        </w:rPr>
        <w:t xml:space="preserve"> in the post-transplant setting</w:t>
      </w:r>
      <w:r w:rsidR="00DF2423" w:rsidRPr="007363FF">
        <w:rPr>
          <w:rFonts w:ascii="Book Antiqua" w:hAnsi="Book Antiqua" w:cs="Arial"/>
          <w:sz w:val="24"/>
          <w:szCs w:val="24"/>
        </w:rPr>
        <w:t>, with up to 30% of patients developing cirrhosis within 5 years of LT. In addition, up to 9% of patients may develop a severe form of HCV, fibrosing cholestatic hepatitis (FCH)</w:t>
      </w:r>
      <w:r w:rsidR="009436DE" w:rsidRPr="007363FF">
        <w:rPr>
          <w:rFonts w:ascii="Book Antiqua" w:hAnsi="Book Antiqua" w:cs="Arial"/>
          <w:sz w:val="24"/>
          <w:szCs w:val="24"/>
        </w:rPr>
        <w:t xml:space="preserve">, with a very high viral load, progressive cholestasis and early graft loss. </w:t>
      </w:r>
      <w:r w:rsidR="00654D35" w:rsidRPr="007363FF">
        <w:rPr>
          <w:rFonts w:ascii="Book Antiqua" w:hAnsi="Book Antiqua" w:cs="Arial"/>
          <w:sz w:val="24"/>
          <w:szCs w:val="24"/>
        </w:rPr>
        <w:t>With DAAs, progression of FCH can be aborted, with data from a number of studies suggesting rates of SVR ranging from 73</w:t>
      </w:r>
      <w:r w:rsidR="0098113A">
        <w:rPr>
          <w:rFonts w:ascii="Book Antiqua" w:hAnsi="Book Antiqua" w:cs="Arial"/>
          <w:sz w:val="24"/>
          <w:szCs w:val="24"/>
        </w:rPr>
        <w:t>%-</w:t>
      </w:r>
      <w:r w:rsidR="00C96BA4" w:rsidRPr="007363FF">
        <w:rPr>
          <w:rFonts w:ascii="Book Antiqua" w:hAnsi="Book Antiqua" w:cs="Arial"/>
          <w:sz w:val="24"/>
          <w:szCs w:val="24"/>
        </w:rPr>
        <w:t>100%</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F1000_CSL_CITATION&lt;~#@#~&gt;[{"DOI":"10.1053/j.gastro.2015.05.010","First":false,"Last":false,"PMID":"25985734","abstract":"&lt;strong&gt;BACKGROUND &amp; AIMS:&lt;/strong&gt; There are no effective and safe treatments for chronic hepatitis C virus (HCV) infection of patients who have advanced liver disease.&lt;br&gt;&lt;br&gt;&lt;strong&gt;METHODS:&lt;/strong&gt; In this phase 2, open-label study, we assessed treatment with the NS5A inhibitor ledipasvir, the nucleotide polymerase inhibitor sofosbuvir, and ribavirin in patients infected with HCV genotypes 1 or 4. Cohort A enrolled patients with cirrhosis and moderate or severe hepatic impairment who had not undergone liver transplantation. Cohort B enrolled patients who had undergone liver transplantation: those without cirrhosis; those with cirrhosis and mild, moderate, or severe hepatic impairment; and those with fibrosing cholestatic hepatitis. Patients were assigned randomly (1:1) to receive 12 or 24 weeks of a fixed-dose combination tablet containing ledipasvir and sofosbuvir, once daily, plus ribavirin. The primary end point was sustained virologic response at 12 weeks after the end of treatment (SVR12).&lt;br&gt;&lt;br&gt;&lt;strong&gt;RESULTS:&lt;/strong&gt; We enrolled 337 patients, 332 (99%) with HCV genotype 1 infection and 5 (1%) with HCV genotype 4 infection. In cohort A (nontransplant), SVR12 was achieved by 86%-89% of patients. In cohort B (transplant recipients), SVR12 was achieved by 96%-98% of patients without cirrhosis or with compensated cirrhosis, by 85%-88% of patients with moderate hepatic impairment, by 60%-75% of patients with severe hepatic impairment, and by all 6 patients with fibrosing cholestatic hepatitis. Response rates in the 12- and 24-week groups were similar. Thirteen patients (4%) discontinued the ledipasvir and sofosbuvir combination prematurely because of adverse events; 10 patients died, mainly from complications related to hepatic decompensation.&lt;br&gt;&lt;br&gt;&lt;strong&gt;CONCLUSION:&lt;/strong&gt; The combination of ledipasvir, sofosbuvir, and ribavirin for 12 weeks produced high rates of SVR12 in patients with advanced liver disease, including those with decompensated cirrhosis before and after liver transplantation. ClinTrials.gov: NCT01938430.&lt;br&gt;&lt;br&gt;Copyright © 2015 AGA Institute. Published by Elsevier Inc. All rights reserved.","author":[{"family":"Charlton","given":"Michael"},{"family":"Everson","given":"Gregory T"},{"family":"Flamm","given":"Steven L"},{"family":"Kumar","given":"Princy"},{"family":"Landis","given":"Charles"},{"family":"Brown","given":"Robert S"},{"family":"Fried","given":"Michael W"},{"family":"Terrault","given":"Norah A"},{"family":"O'Leary","given":"Jacqueline G"},{"family":"Vargas","given":"Hugo E"},{"family":"Kuo","given":"Alexander"},{"family":"Schiff","given":"Eugene"},{"family":"Sulkowski","given":"Mark S"},{"family":"Gilroy","given":"Richard"},{"family":"Watt","given":"Kymberly D"},{"family":"Brown","given":"Kimberly"},{"family":"Kwo","given":"Paul"},{"family":"Pungpapong","given":"Surakit"},{"family":"Korenblat","given":"Kevin M"},{"family":"Muir","given":"Andrew J"},{"family":"Teperman","given":"Lewis"},{"family":"Fontana","given":"Robert J"},{"family":"Denning","given":"Jill"},{"family":"Arterburn","given":"Sarah"},{"family":"Dvory-Sobol","given":"Hadas"},{"family":"Brandt-Sarif","given":"Theo"},{"family":"Pang","given":"Phillip S"},{"family":"McHutchison","given":"John G"},{"family":"Reddy","given":"K Rajender"},{"family":"Afdhal","given":"Nezam"},{"family":"SOLAR-1 Investigators"}],"authorYearDisplayFormat":false,"citation-label":"3885981","container-title":"Gastroenterology","container-title-short":"Gastroenterology","id":"3885981","invisible":false,"issue":"3","issued":{"date-parts":[["2015","9"]]},"journalAbbreviation":"Gastroenterology","page":"649-659","suppress-author":false,"title":"Ledipasvir and sofosbuvir plus ribavirin for treatment of HCV infection in patients with advanced liver disease.","type":"article-journal","volume":"149"},{"DOI":"10.1016/S1473-3099(16)00052-9","First":false,"Last":false,"PMID":"26907736","author":[{"family":"Manns","given":"Michael"},{"family":"Samuel","given":"Didier"},{"family":"Gane","given":"Edward J"},{"family":"Mutimer","given":"David"},{"family":"McCaughan","given":"Geoff"},{"family":"Buti","given":"Maria"},{"family":"Prieto","given":"Martín"},{"family":"Calleja","given":"José Luis"},{"family":"Peck-Radosavljevic","given":"Markus"},{"family":"Müllhaupt","given":"Beat"},{"family":"Agarwal","given":"Kosh"},{"family":"Angus","given":"Peter"},{"family":"Yoshida","given":"Eric M"},{"family":"Colombo","given":"Massimo"},{"family":"Rizzetto","given":"Mario"},{"family":"Dvory-Sobol","given":"Hadas"},{"family":"Denning","given":"Jill"},{"family":"Arterburn","given":"Sarah"},{"family":"Pang","given":"Phillip S"},{"family":"Brainard","given":"Diana"},{"family":"McHutchison","given":"John G"},{"family":"Dufour","given":"Jean-François"},{"family":"Van Vlierberghe","given":"Hans"},{"family":"van Hoek","given":"Bart"},{"family":"Forns","given":"Xavier"},{"family":"SOLAR-2 investigators"}],"authorYearDisplayFormat":false,"citation-label":"5824370","container-title":"The Lancet Infectious Diseases","container-title-short":"Lancet Infect. Dis.","id":"5824370","invisible":false,"issue":"6","issued":{"date-parts":[["2016","6"]]},"journalAbbreviation":"Lancet Infect. Dis.","page":"685-697","suppress-author":false,"title":"Ledipasvir and sofosbuvir plus ribavirin in patients with genotype 1 or 4 hepatitis C virus infection and advanced liver disease: a multicentre, open-label, randomised, phase 2 trial.","type":"article-journal","volume":"16"},{"DOI":"10.1002/hep.27681","First":false,"Last":false,"PMID":"25557906","abstract":"&lt;strong&gt;UNLABELLED:&lt;/strong&gt; Recurrent hepatitis C virus (HCV) infection after liver transplantation (LT) is associated with accelerated progression of liver disease, frequently leading to graft loss and early death. Existing treatment options for severe recurrent HCV infection are limited by suboptimal efficacy, poor tolerability, and numerous drug interactions. We provided sofosbuvir (SOF) and ribavirin (RBV) on a compassionate-use basis to patients with severe recurrent hepatitis C, including those with fibrosing cholestatic hepatitis (FCH) and decompensated cirrhosis who had a life expectancy of 1 year or less. All patients were to receive 24-48 weeks of SOF plus RBV. Investigators could add pegylated interferon to the regimen at their discretion. Data from the first 104 patients who completed or prematurely discontinued treatment by January 1, 2014 are presented. Of the 104 patients analyzed, 52 had an early severe recurrence (diagnosed &lt; 12 months after LT) and 52 had cirrhosis (diagnosed &gt;12 months after LT). Twelve patients who underwent retransplantation were excluded from our efficacy analysis. Of the 92 patients assessed, 54 (59%) achieved sustained virological response (SVR) at 12 weeks after the end of treatment, with a higher rate (73%; 35 of 48) in patients with early severe recurrence. Of the 103 patients assessed for clinical outcome, 59 (57%) reported clinical improvement at the last study visit, 23 (22%) were unchanged, 3 (3%) had a worsened clinical status, and 13 (13%) died. Overall, 123 serious adverse events (SAEs) occurred in 49 patients (47%). SAEs associated with hepatic decompensation were the most frequent, with 26 SAEs occurring in 19 patients (18%).&lt;br&gt;&lt;br&gt;&lt;strong&gt;CONCLUSION:&lt;/strong&gt; SOF and RBV provide high rates of SVR in patients with severe recurrent HCV, including patients with early severe recurrence, FCH, and cirrhosis.&lt;br&gt;&lt;br&gt;© 2015 by the American Association for the Study of Liver Diseases.","author":[{"family":"Forns","given":"Xavier"},{"family":"Charlton","given":"Michael"},{"family":"Denning","given":"Jill"},{"family":"McHutchison","given":"John G"},{"family":"Symonds","given":"William T"},{"family":"Brainard","given":"Diana"},{"family":"Brandt-Sarif","given":"Theo"},{"family":"Chang","given":"Paul"},{"family":"Kivett","given":"Valerie"},{"family":"Castells","given":"Lluís"},{"family":"Prieto","given":"Martín"},{"family":"Fontana","given":"Robert J"},{"family":"Baumert","given":"Thomas F"},{"family":"Coilly","given":"Audrey"},{"family":"Londoño","given":"Maria Carlota"},{"family":"Habersetzer","given":"François"}],"authorYearDisplayFormat":false,"citation-label":"4271148","container-title":"Hepatology","container-title-short":"Hepatology","id":"4271148","invisible":false,"issue":"5","issued":{"date-parts":[["2015","5"]]},"journalAbbreviation":"Hepatology","page":"1485-1494","suppress-author":false,"title":"Sofosbuvir compassionate use program for patients with severe recurrent hepatitis C after liver transplantation.","type":"article-journal","volume":"61"},{"DOI":"10.1016/j.cgh.2015.05.030","First":false,"Last":false,"PMID":"26044317","abstract":"&lt;strong&gt;BACKGROUND &amp; AIMS:&lt;/strong&gt; Fibrosing cholestatic hepatitis (FCH) is a life-threatening disorder that develops in patients with recurrent hepatitis C virus (HCV) infection after liver transplantation. Until recently, therapeutic options have been limited. We evaluated the efficacy and safety of sofosbuvir- and daclatasvir-based regimens.&lt;br&gt;&lt;br&gt;&lt;strong&gt;METHODS:&lt;/strong&gt; We analyzed data from 23 patients with FCH who participated in a prospective cohort study in France and Belgium of the effects of antiviral agents in patients with recurrence of HCV infection after liver transplantation, from October 2013 through April 2014. Most of the patients had genotype 1 infections that had not responded to previous treatment; 4 patients also were infected with human immunodeficiency virus. Eight patients (37%) had ascites and 15 patients (65%) had bilirubin levels greater than 100 mmol/L; their median serum level of HCV RNA was 7 log IU/mL. The median time between transplantation and treatment initiation was 5 months. Subjects were given either sofosbuvir and daclatasvir (n = 15) or sofosbuvir and ribavirin (n = 8) for 24 weeks. The primary outcome was complete clinical response (survival without re-transplantation, bilirubin level &lt; 34 μmol/L, and no ascites or hepatic encephalopathy 36 weeks after treatment began).&lt;br&gt;&lt;br&gt;&lt;strong&gt;RESULTS:&lt;/strong&gt; All patients survived, without re-transplantation, until week 36. Rapid and dramatic improvements in clinical status were observed. The patients' median bilirubin concentration decreased from 122 μmol/L at baseline to a normal value at week 12 of treatment. Twenty-two patients (96%) had a complete clinical response at week 36. Despite the low rate of rapid virologic response, 22 patients (96%) achieved a sustained virologic response at week 12. The only relapse of HCV infection occurred in a patient with human immunodeficiency virus infection who received sofosbuvir and ribavirin. Tolerance was satisfactory, with no grade 3 or 4 adverse events related to sofosbuvir or daclatasvir and no significant interactions among drugs.&lt;br&gt;&lt;br&gt;&lt;strong&gt;CONCLUSIONS:&lt;/strong&gt; Sofosbuvir therapy with daclatasvir or ribavirin leads to major clinical improvement and high rates of sustained virologic response at week 12 in most patients with recurrence of HCV infection and FCH after liver transplantation. ClinicalTrial.gov no: NCT01944527.&lt;br&gt;&lt;br&gt;Copyright © 2015 AGA Institute. Published by Elsevier Inc. All rights reserved.","author":[{"family":"Leroy","given":"Vincent"},{"family":"Dumortier","given":"Jérôme"},{"family":"Coilly","given":"Audrey"},{"family":"Sebagh","given":"Mylène"},{"family":"Fougerou-Leurent","given":"Claire"},{"family":"Radenne","given":"Sylvie"},{"family":"Botta","given":"Danielle"},{"family":"Durand","given":"François"},{"family":"Silvain","given":"Christine"},{"family":"Lebray","given":"Pascal"},{"family":"Houssel-Debry","given":"Pauline"},{"family":"Kamar","given":"Nassim"},{"family":"D'Alteroche","given":"Louis"},{"family":"Petrov-Sanchez","given":"Ventzislava"},{"family":"Diallo","given":"Alpha"},{"family":"Pageaux","given":"Georges-Philippe"},{"family":"Duclos-Vallee","given":"Jean-Charles"},{"family":"Agence Nationale de Recherches sur le SIDA et les Hépatites Virales CO23 Compassionate Use of Protease Inhibitors in Viral C in Liver Transplantation Study Group"}],"authorYearDisplayFormat":false,"citation-label":"6468281","container-title":"Clinical Gastroenterology and Hepatology","container-title-short":"Clin. Gastroenterol. Hepatol.","id":"6468281","invisible":false,"issue":"11","issued":{"date-parts":[["2015","11"]]},"journalAbbreviation":"Clin. Gastroenterol. Hepatol.","page":"1993-2001.e1","suppress-author":false,"title":"Efficacy of sofosbuvir and daclatasvir in patients with fibrosing cholestatic hepatitis C after liver transplantation.","type":"article-journal","volume":"13"}]</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[24,25,41,42]</w:t>
      </w:r>
      <w:r w:rsidR="0074363C" w:rsidRPr="007363FF">
        <w:rPr>
          <w:rFonts w:ascii="Book Antiqua" w:hAnsi="Book Antiqua" w:cs="Arial"/>
          <w:sz w:val="24"/>
          <w:szCs w:val="24"/>
        </w:rPr>
        <w:fldChar w:fldCharType="end"/>
      </w:r>
      <w:r w:rsidR="00654D35" w:rsidRPr="007363FF">
        <w:rPr>
          <w:rFonts w:ascii="Book Antiqua" w:hAnsi="Book Antiqua" w:cs="Arial"/>
          <w:sz w:val="24"/>
          <w:szCs w:val="24"/>
        </w:rPr>
        <w:t xml:space="preserve">. </w:t>
      </w:r>
      <w:r w:rsidR="00AB6137" w:rsidRPr="007363FF">
        <w:rPr>
          <w:rFonts w:ascii="Book Antiqua" w:hAnsi="Book Antiqua" w:cs="Arial"/>
          <w:sz w:val="24"/>
          <w:szCs w:val="24"/>
        </w:rPr>
        <w:t>In the IFN era, these complications made it such that LT for HCV-related cirrhosis was associated with the worst outcomes post-LT compared with other etiologies of liver disease</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F1000_CSL_CITATION&lt;~#@#~&gt;[{"DOI":"10.1016/j.jhep.2017.03.006","First":false,"Last":false,"PMID":"28323126","abstract":"The advent of safe and highly effective direct-acting antiviral agents (DAAs) has had huge implications for the hepatitis C virus (HCV) transplant field, and changed our management of both patients on the waiting list and those with HCV graft re-infection after liver transplantation (LT). When treating HCV infection before LT, HCV re-infection of the graft can be prevented in nearly all patients. In addition, some candidates show a remarkable clinical improvement and may be delisted. Alternatively, HCV infection can be treated post-LT either soon after the transplant, taking advantage of the removal of the infected native liver, or at the time of disease recurrence, as was carried out in the past. In either case, some DAAs have a limited use because of their drug to drug interactions with various immunosuppressants as well as the many other drugs liver transplant recipients are often prescribed. In addition, some DAAs should be avoided in case of severe renal failure, which is not an unusual complication after LT. The present document provides a series of consensus statements on the LT issues that have not been extensively addressed previously. These statements have been developed to support physicians and other stakeholders in charge of LT candidates and recipients when deciding to treat HCV, especially in difficult situations.&lt;br&gt;&lt;br&gt;Copyright © 2017 European Association for the Study of the Liver. Published by Elsevier B.V. All rights reserved.","author":[{"family":"Belli","given":"Luca S"},{"family":"Duvoux","given":"Christophe"},{"family":"Berenguer","given":"Marina"},{"family":"Berg","given":"Thomas"},{"family":"Coilly","given":"Audrey"},{"family":"Colle","given":"Isabelle"},{"family":"Fagiuoli","given":"Stefano"},{"family":"Khoo","given":"Saye"},{"family":"Pageaux","given":"Georges Philippe"},{"family":"Puoti","given":"Massimo"},{"family":"Samuel","given":"Didier"},{"family":"Strazzabosco","given":"Mario"}],"authorYearDisplayFormat":false,"citation-label":"6467959","container-title":"Journal of Hepatology","container-title-short":"J. Hepatol.","id":"6467959","invisible":false,"issue":"3","issued":{"date-parts":[["2017","3","18"]]},"journalAbbreviation":"J. Hepatol.","page":"585-602","suppress-author":false,"title":"ELITA consensus statements on the use of DAAs in liver transplant candidates and recipients.","type":"article-journal","volume":"67"}]</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[21]</w:t>
      </w:r>
      <w:r w:rsidR="0074363C" w:rsidRPr="007363FF">
        <w:rPr>
          <w:rFonts w:ascii="Book Antiqua" w:hAnsi="Book Antiqua" w:cs="Arial"/>
          <w:sz w:val="24"/>
          <w:szCs w:val="24"/>
        </w:rPr>
        <w:fldChar w:fldCharType="end"/>
      </w:r>
      <w:r w:rsidR="00AB6137" w:rsidRPr="007363FF">
        <w:rPr>
          <w:rFonts w:ascii="Book Antiqua" w:hAnsi="Book Antiqua" w:cs="Arial"/>
          <w:sz w:val="24"/>
          <w:szCs w:val="24"/>
        </w:rPr>
        <w:t>.</w:t>
      </w:r>
      <w:r w:rsidR="0086139C" w:rsidRPr="007363FF">
        <w:rPr>
          <w:rFonts w:ascii="Book Antiqua" w:hAnsi="Book Antiqua" w:cs="Arial"/>
          <w:sz w:val="24"/>
          <w:szCs w:val="24"/>
        </w:rPr>
        <w:t xml:space="preserve"> </w:t>
      </w:r>
      <w:r w:rsidR="005E3E3C" w:rsidRPr="007363FF">
        <w:rPr>
          <w:rFonts w:ascii="Book Antiqua" w:hAnsi="Book Antiqua" w:cs="Arial"/>
          <w:sz w:val="24"/>
          <w:szCs w:val="24"/>
        </w:rPr>
        <w:t>In the current era</w:t>
      </w:r>
      <w:r w:rsidR="0086139C" w:rsidRPr="007363FF">
        <w:rPr>
          <w:rFonts w:ascii="Book Antiqua" w:hAnsi="Book Antiqua" w:cs="Arial"/>
          <w:sz w:val="24"/>
          <w:szCs w:val="24"/>
        </w:rPr>
        <w:t>, however, post-LT survival has improved significantly for patients who undergo LT for HCV, equivalent to that of recipients transplanted for etiologies other than HCV</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F1000_CSL_CITATION&lt;~#@#~&gt;[{"DOI":"10.1002/lt.25424","First":false,"Last":false,"PMID":"30716208","abstract":"&lt;strong&gt;BACKGROUND:&lt;/strong&gt; Highly effective direct acting antiviral (DAA) therapy has transformed outcomes of liver transplantation in HCV patients. We examined longer-term outcomes in HCV-positive recipients in the DAA era.&lt;br&gt;&lt;br&gt;&lt;strong&gt;METHODS:&lt;/strong&gt; We analyzed the Scientific Registry of Transplant Recipients (SRTR) for primary adult, single organ, non-fulminant liver transplant recipients in the US from January 1, 2008, to June 30, 2018. Graft loss was compared among HCV-positive liver transplant recipients that received an HCV-negative and -positive donors (D-/R+) (D+/R+) and HCV-negative liver transplant recipients that received an HCV-negative donor (D-/R-). The groups were further divided between the pre- and DAA eras.&lt;br&gt;&lt;br&gt;&lt;strong&gt;RESULTS:&lt;/strong&gt; 52,526 patients were included; 31,193 D-/R-, 18,746 D-/R+ and 2,587 D+/R+. The number of D-/R+ transplants decreased from 2,010 in 2008 to 1,334 in 2017, with this decline particularly noticeable since 2015. D-/R+ patients in the DAA era (n=7,107) were older, had higher rates of hepatocellular carcinoma, and lower MELD scores than those in the pre-DAA era. Graft survival improved for all recipients in the DAA era but most dramatically in HCV-positive recipients: D-/R+ 1-year survival was 92.4% vs 88.7% and 3-year survival was 83.7% vs 77.7% (DAA vs. pre-DAA era, respectively), compared to D-/R- 1-year survival of 92.7% vs 91.0% and 3-year survival of 85.7% vs 84.0% (DAA vs. pre-DAA era, respectively). The magnitude of improvement in 3-year graft survival was almost 4-fold greater for D-/R+. The 3-year survival for D+/R+ patients was similar to HCV-negative patients.&lt;br&gt;&lt;br&gt;&lt;strong&gt;CONCLUSION:&lt;/strong&gt; The number of liver transplants for HCV has decreased by more than one third over the past decade. Graft survival among HCV-positive recipients has increased disproportionately in the DAA era, with HCV-positive recipients now achieving similar outcomes to non-HCV recipients. This article is protected by copyright. All rights reserved.&lt;br&gt;&lt;br&gt;This article is protected by copyright. All rights reserved.","author":[{"family":"Cotter","given":"Thomas G"},{"family":"Paul","given":"Sonali"},{"family":"Sandıkçı","given":"Burhaneddin"},{"family":"Couri","given":"Thomas"},{"family":"Bodzin","given":"Adam S"},{"family":"Little","given":"Ester C"},{"family":"Sundaram","given":"Vinay"},{"family":"Charlton","given":"Michael"}],"authorYearDisplayFormat":false,"citation-label":"6415402","container-title":"Liver Transplantation","container-title-short":"Liver Transpl.","id":"6415402","invisible":false,"issued":{"date-parts":[["2019","2","4"]]},"journalAbbreviation":"Liver Transpl.","suppress-author":false,"title":"Improved Graft Survival after Liver Transplantation for Recipients with Hepatitis C in the Direct-acting Antiviral Era.","type":"article-journal"}]</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[43]</w:t>
      </w:r>
      <w:r w:rsidR="0074363C" w:rsidRPr="007363FF">
        <w:rPr>
          <w:rFonts w:ascii="Book Antiqua" w:hAnsi="Book Antiqua" w:cs="Arial"/>
          <w:sz w:val="24"/>
          <w:szCs w:val="24"/>
        </w:rPr>
        <w:fldChar w:fldCharType="end"/>
      </w:r>
      <w:r w:rsidR="0086139C" w:rsidRPr="007363FF">
        <w:rPr>
          <w:rFonts w:ascii="Book Antiqua" w:hAnsi="Book Antiqua" w:cs="Arial"/>
          <w:sz w:val="24"/>
          <w:szCs w:val="24"/>
        </w:rPr>
        <w:t>.</w:t>
      </w:r>
      <w:r w:rsidR="000F548C" w:rsidRPr="007363FF">
        <w:rPr>
          <w:rFonts w:ascii="Book Antiqua" w:hAnsi="Book Antiqua" w:cs="Arial"/>
          <w:sz w:val="24"/>
          <w:szCs w:val="24"/>
        </w:rPr>
        <w:t xml:space="preserve"> </w:t>
      </w:r>
    </w:p>
    <w:p w14:paraId="23C3AB74" w14:textId="77FD111D" w:rsidR="00DA3FCF" w:rsidRPr="007363FF" w:rsidRDefault="00DA3FCF" w:rsidP="00036B44">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One potential consequence of effective HCV treatment is the development of i</w:t>
      </w:r>
      <w:r w:rsidR="009C52F1" w:rsidRPr="007363FF">
        <w:rPr>
          <w:rFonts w:ascii="Book Antiqua" w:hAnsi="Book Antiqua" w:cs="Arial"/>
          <w:sz w:val="24"/>
          <w:szCs w:val="24"/>
        </w:rPr>
        <w:t>mmune-mediated graft dysfunction</w:t>
      </w:r>
      <w:r w:rsidR="00001596" w:rsidRPr="007363FF">
        <w:rPr>
          <w:rFonts w:ascii="Book Antiqua" w:hAnsi="Book Antiqua" w:cs="Arial"/>
          <w:sz w:val="24"/>
          <w:szCs w:val="24"/>
        </w:rPr>
        <w:t xml:space="preserve"> (IGD)</w:t>
      </w:r>
      <w:r w:rsidRPr="007363FF">
        <w:rPr>
          <w:rFonts w:ascii="Book Antiqua" w:hAnsi="Book Antiqua" w:cs="Arial"/>
          <w:sz w:val="24"/>
          <w:szCs w:val="24"/>
        </w:rPr>
        <w:t>. IGD</w:t>
      </w:r>
      <w:r w:rsidR="009C52F1" w:rsidRPr="007363FF">
        <w:rPr>
          <w:rFonts w:ascii="Book Antiqua" w:hAnsi="Book Antiqua" w:cs="Arial"/>
          <w:sz w:val="24"/>
          <w:szCs w:val="24"/>
        </w:rPr>
        <w:t xml:space="preserve"> was seen in approximately 7.2% of LT recipients </w:t>
      </w:r>
      <w:r w:rsidR="009C52F1" w:rsidRPr="007363FF">
        <w:rPr>
          <w:rFonts w:ascii="Book Antiqua" w:hAnsi="Book Antiqua" w:cs="Arial"/>
          <w:sz w:val="24"/>
          <w:szCs w:val="24"/>
        </w:rPr>
        <w:lastRenderedPageBreak/>
        <w:t xml:space="preserve">treated with IFN-based </w:t>
      </w:r>
      <w:r w:rsidR="00520A6A" w:rsidRPr="007363FF">
        <w:rPr>
          <w:rFonts w:ascii="Book Antiqua" w:hAnsi="Book Antiqua" w:cs="Arial"/>
          <w:sz w:val="24"/>
          <w:szCs w:val="24"/>
        </w:rPr>
        <w:t>therapies and</w:t>
      </w:r>
      <w:r w:rsidR="009C52F1" w:rsidRPr="007363FF">
        <w:rPr>
          <w:rFonts w:ascii="Book Antiqua" w:hAnsi="Book Antiqua" w:cs="Arial"/>
          <w:sz w:val="24"/>
          <w:szCs w:val="24"/>
        </w:rPr>
        <w:t xml:space="preserve"> was characterized predominantly by the development of plasma cell hepatitis and was associated with lower long-term survival (61.5% </w:t>
      </w:r>
      <w:r w:rsidR="009C52F1" w:rsidRPr="0098113A">
        <w:rPr>
          <w:rFonts w:ascii="Book Antiqua" w:hAnsi="Book Antiqua" w:cs="Arial"/>
          <w:i/>
          <w:iCs/>
          <w:sz w:val="24"/>
          <w:szCs w:val="24"/>
        </w:rPr>
        <w:t>vs</w:t>
      </w:r>
      <w:r w:rsidR="009C52F1" w:rsidRPr="007363FF">
        <w:rPr>
          <w:rFonts w:ascii="Book Antiqua" w:hAnsi="Book Antiqua" w:cs="Arial"/>
          <w:sz w:val="24"/>
          <w:szCs w:val="24"/>
        </w:rPr>
        <w:t xml:space="preserve"> 91.3%) compared to patients without </w:t>
      </w:r>
      <w:r w:rsidR="00001596" w:rsidRPr="007363FF">
        <w:rPr>
          <w:rFonts w:ascii="Book Antiqua" w:hAnsi="Book Antiqua" w:cs="Arial"/>
          <w:sz w:val="24"/>
          <w:szCs w:val="24"/>
        </w:rPr>
        <w:t>IGD</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F1000_CSL_CITATION&lt;~#@#~&gt;[{"DOI":"10.1053/j.gastro.2012.01.030","First":false,"Last":false,"PMID":"22285805","abstract":"&lt;strong&gt;BACKGROUND &amp; AIMS:&lt;/strong&gt; Patients with recurrent hepatitis C virus infection treated with pegylated interferon (PEG) after liver transplantation can develop severe immune-mediated graft dysfunction (IGD) characterized by plasma cell hepatitis or rejection.&lt;br&gt;&lt;br&gt;&lt;strong&gt;METHODS:&lt;/strong&gt; We conducted a multicenter case-control study of 52 liver transplant recipients with hepatitis C to assess the incidence of, risk factors for, and outcomes of PEG-IGD. Data from each patient were compared with those from 2 matched patients who did not develop PEG-IGD (n = 104). We performed a multivariate analysis of risk factors and analyzed treatment and outcomes of graft dysfunction subtypes.&lt;br&gt;&lt;br&gt;&lt;strong&gt;RESULTS:&lt;/strong&gt; Overall incidence of PEG-IGD during a 10-year study period was 7.2%. Risk factors included no prior PEG therapy (odds ratio = 5.3; P &lt;  .0001), therapy with PEGα-2a (odds ratio = 4.7; P = .03), and immune features (mainly plasma cell hepatitis) on pre-PEG therapy liver biopsies (odds ratio = 3.9; P = .005). The PEG-IGD group had lower long-term patient (61.5% vs 91.3% of controls) and graft (38.5% vs 85.6% of controls) survival and higher rates of retransplantation (34.6% vs 6.7% of controls) (all, P &lt;  .0001), without increases in sustained virologic response. Variables associated with increased mortality included acute rejection as the PEG-IGD sub-type (hazard ratio [HR] = 2.4; P = .002), a high level of alkaline phosphatase at PEG initiation (HR = 1.003; P = .005), and lack of a sustained virologic response (HR = 3.3; P = .04). Variables associated with graft failure included a high level of alkaline phosphatase at PEG initiation (HR = 1.002; P = .04) and lack of a sustained virologic response (HR = 2.1; P = .04).&lt;br&gt;&lt;br&gt;&lt;strong&gt;CONCLUSIONS:&lt;/strong&gt; PEG-IGD has high morbidity and mortality and is not associated with increased rates of virologic response. It is important to avoid PEG therapy in liver transplant recipients with specific clinical, biochemical, and histologic risk factors for PEG-IGD.&lt;br&gt;&lt;br&gt;Copyright © 2012 AGA Institute. Published by Elsevier Inc. All rights reserved.","author":[{"family":"Levitsky","given":"Josh"},{"family":"Fiel","given":"Maria Isabel"},{"family":"Norvell","given":"John P"},{"family":"Wang","given":"Edward"},{"family":"Watt","given":"Kymberly D"},{"family":"Curry","given":"Michael P"},{"family":"Tewani","given":"Sumeet"},{"family":"McCashland","given":"Timothy M"},{"family":"Hoteit","given":"Maarouf A"},{"family":"Shaked","given":"Abraham"},{"family":"Saab","given":"Samuel"},{"family":"Chi","given":"Amanda C"},{"family":"Tien","given":"Amy"},{"family":"Schiano","given":"Thomas D"}],"authorYearDisplayFormat":false,"citation-label":"6469398","container-title":"Gastroenterology","container-title-short":"Gastroenterology","id":"6469398","invisible":false,"issue":"5","issued":{"date-parts":[["2012","5"]]},"journalAbbreviation":"Gastroenterology","page":"1132-1139.e1","suppress-author":false,"title":"Risk for immune-mediated graft dysfunction in liver transplant recipients with recurrent HCV infection treated with pegylated interferon.","type":"article-journal","volume":"142"}]</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[44]</w:t>
      </w:r>
      <w:r w:rsidR="0074363C" w:rsidRPr="007363FF">
        <w:rPr>
          <w:rFonts w:ascii="Book Antiqua" w:hAnsi="Book Antiqua" w:cs="Arial"/>
          <w:sz w:val="24"/>
          <w:szCs w:val="24"/>
        </w:rPr>
        <w:fldChar w:fldCharType="end"/>
      </w:r>
      <w:r w:rsidR="009C52F1" w:rsidRPr="007363FF">
        <w:rPr>
          <w:rFonts w:ascii="Book Antiqua" w:hAnsi="Book Antiqua" w:cs="Arial"/>
          <w:sz w:val="24"/>
          <w:szCs w:val="24"/>
        </w:rPr>
        <w:t xml:space="preserve">. </w:t>
      </w:r>
      <w:r w:rsidR="00520A6A" w:rsidRPr="007363FF">
        <w:rPr>
          <w:rFonts w:ascii="Book Antiqua" w:hAnsi="Book Antiqua" w:cs="Arial"/>
          <w:sz w:val="24"/>
          <w:szCs w:val="24"/>
        </w:rPr>
        <w:t xml:space="preserve">IGD appears to be less common following DAA therapies, occurring with a rate of 3.4%. </w:t>
      </w:r>
      <w:r w:rsidR="00270CE1" w:rsidRPr="007363FF">
        <w:rPr>
          <w:rFonts w:ascii="Book Antiqua" w:hAnsi="Book Antiqua" w:cs="Arial"/>
          <w:sz w:val="24"/>
          <w:szCs w:val="24"/>
        </w:rPr>
        <w:t>While the mechanism for IFN-associated IGD is likely related to an augmentation of the immune response, the mechanism driving IGD in patients treated with DAAs</w:t>
      </w:r>
      <w:r w:rsidR="00DB1992" w:rsidRPr="007363FF">
        <w:rPr>
          <w:rFonts w:ascii="Book Antiqua" w:hAnsi="Book Antiqua" w:cs="Arial"/>
          <w:sz w:val="24"/>
          <w:szCs w:val="24"/>
        </w:rPr>
        <w:t xml:space="preserve"> is less clear</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F1000_CSL_CITATION&lt;~#@#~&gt;[{"DOI":"10.1111/ajt.15053","First":false,"Last":false,"PMID":"30075485","abstract":"Interferon treatment of hepatitis C virus (HCV) infection after liver transplantation (LT) can result in immune-mediated graft dysfunction (IGD). The occurrence of, risk factors for, and outcomes of IGD with direct-acting antiviral (DAA) therapy have not been reported. We conducted a multicenter study of HCV+LT recipients who did or did not develop DAA-IGD (1 case: 2 controls-33 vs 66). Among all treated between 2014 and 2016, DAA-IGD occurred in 3.4% (33/978). IGD occurred only after treatment completion (76.0 [IQR, 47.0;176]). Among those treated, 48% had plasma cell hepatitis, 36% acute cellular rejection, 6% chronic rejection, and 9% combined findings. Median time to liver enzyme resolution was 77.5 days (IQR, 31.5;126). After diagnosis, hospitalizations, steroid-induced hyperglycemia, and infection occurred in a higher percentage of cases vs controls (33% vs 7.5%, 21% vs 1.5%, 9% vs 0%; all P &lt;  .05). Only one IGD patient died and none required retransplant. A multivariate regression analysis found that liver enzyme elevations during and soon after DAA therapy completion correlated with subsequent IGD. In conclusion, while DAA-IGD is uncommon, liver enzyme elevations during or after DAA therapy may be a sign of impending IGD. These indicators should guide clinicians to diagnose and treat IGD early before the more deleterious later clinical presentation.&lt;br&gt;&lt;br&gt;© 2018 The American Society of Transplantation and the American Society of Transplant Surgeons.","author":[{"family":"Chan","given":"Christine"},{"family":"Schiano","given":"Thomas"},{"family":"Agudelo","given":"Eliana"},{"family":"Paul Haydek","given":"John"},{"family":"Hoteit","given":"Maarouf"},{"family":"Laurito","given":"Marcela P"},{"family":"Norvell","given":"John P"},{"family":"Terrault","given":"Norah"},{"family":"Verna","given":"Elizabeth C"},{"family":"Yang","given":"Amy"},{"family":"Levitsky","given":"Josh"}],"authorYearDisplayFormat":false,"citation-label":"6469392","container-title":"American Journal of Transplantation","container-title-short":"Am. J. Transplant.","id":"6469392","invisible":false,"issue":"10","issued":{"date-parts":[["2018","10"]]},"journalAbbreviation":"Am. J. Transplant.","page":"2506-2512","suppress-author":false,"title":"Immune-mediated graft dysfunction in liver transplant recipients with hepatitis C virus treated with direct-acting antiviral therapy.","type":"article-journal","volume":"18"}]</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[45]</w:t>
      </w:r>
      <w:r w:rsidR="0074363C" w:rsidRPr="007363FF">
        <w:rPr>
          <w:rFonts w:ascii="Book Antiqua" w:hAnsi="Book Antiqua" w:cs="Arial"/>
          <w:sz w:val="24"/>
          <w:szCs w:val="24"/>
        </w:rPr>
        <w:fldChar w:fldCharType="end"/>
      </w:r>
      <w:r w:rsidR="00270CE1" w:rsidRPr="007363FF">
        <w:rPr>
          <w:rFonts w:ascii="Book Antiqua" w:hAnsi="Book Antiqua" w:cs="Arial"/>
          <w:sz w:val="24"/>
          <w:szCs w:val="24"/>
        </w:rPr>
        <w:t>.</w:t>
      </w:r>
      <w:r w:rsidR="00067994" w:rsidRPr="007363FF">
        <w:rPr>
          <w:rFonts w:ascii="Book Antiqua" w:hAnsi="Book Antiqua" w:cs="Arial"/>
          <w:sz w:val="24"/>
          <w:szCs w:val="24"/>
        </w:rPr>
        <w:t xml:space="preserve"> Patients should be monitored closely for the development of rejection during treatment with DAAs, especially among HCV-uninfected recipients receiving grafts from viremic patients.</w:t>
      </w:r>
    </w:p>
    <w:p w14:paraId="24953465" w14:textId="42866E6F" w:rsidR="005F226B" w:rsidRPr="007363FF" w:rsidRDefault="00DA3FCF" w:rsidP="0098113A">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Extrahepatic complications that must be monitored for in the post-LT setting</w:t>
      </w:r>
      <w:r w:rsidR="00B52B39" w:rsidRPr="007363FF">
        <w:rPr>
          <w:rFonts w:ascii="Book Antiqua" w:hAnsi="Book Antiqua" w:cs="Arial"/>
          <w:sz w:val="24"/>
          <w:szCs w:val="24"/>
        </w:rPr>
        <w:t xml:space="preserve"> in untreated patients</w:t>
      </w:r>
      <w:r w:rsidRPr="007363FF">
        <w:rPr>
          <w:rFonts w:ascii="Book Antiqua" w:hAnsi="Book Antiqua" w:cs="Arial"/>
          <w:sz w:val="24"/>
          <w:szCs w:val="24"/>
        </w:rPr>
        <w:t xml:space="preserve"> include new-onset diabetes mellitus, glomerulonephritis, and lymphoproliferative disorders.</w:t>
      </w:r>
      <w:r w:rsidR="00B52B39" w:rsidRPr="007363FF">
        <w:rPr>
          <w:rFonts w:ascii="Book Antiqua" w:hAnsi="Book Antiqua" w:cs="Arial"/>
          <w:sz w:val="24"/>
          <w:szCs w:val="24"/>
        </w:rPr>
        <w:t xml:space="preserve"> While most patients are at risk for the development of DM in the post-transplant setting owing to the metabolic effects of</w:t>
      </w:r>
      <w:r w:rsidR="00050E24" w:rsidRPr="007363FF">
        <w:rPr>
          <w:rFonts w:ascii="Book Antiqua" w:hAnsi="Book Antiqua" w:cs="Arial"/>
          <w:sz w:val="24"/>
          <w:szCs w:val="24"/>
        </w:rPr>
        <w:t xml:space="preserve"> calcineurin inhibitors, the presence of concomitant chronic HCV infection increases that risk, with a prevalence ranging from 13 to </w:t>
      </w:r>
      <w:r w:rsidR="00F23627" w:rsidRPr="007363FF">
        <w:rPr>
          <w:rFonts w:ascii="Book Antiqua" w:hAnsi="Book Antiqua" w:cs="Arial"/>
          <w:sz w:val="24"/>
          <w:szCs w:val="24"/>
        </w:rPr>
        <w:t>2</w:t>
      </w:r>
      <w:r w:rsidR="00050E24" w:rsidRPr="007363FF">
        <w:rPr>
          <w:rFonts w:ascii="Book Antiqua" w:hAnsi="Book Antiqua" w:cs="Arial"/>
          <w:sz w:val="24"/>
          <w:szCs w:val="24"/>
        </w:rPr>
        <w:t>8%</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F1000_CSL_CITATION&lt;~#@#~&gt;[{"DOI":"10.1016/j.cld.2017.03.013","First":false,"Last":false,"PMID":"28689596","abstract":"Chronic hepatitis C virus (HCV) infection remains a leading cause of chronic liver disease in the United States. Although the hepatic impact of chronic HCV leading to cirrhosis and the need for liver transplantation is paramount, the extrahepatic manifestations of chronic HCV infection are equally important. In particular, a better understanding of the prevalence and impact of extrahepatic manifestations of chronic HCV infection in the post-liver transplant setting relies on understanding the interplay between the effects of chronic HCV infection in a posttransplant environment characterized by strong immunosuppression and the associated risks of this milieu.&lt;br&gt;&lt;br&gt;Copyright © 2017 Elsevier Inc. All rights reserved.","author":[{"family":"Wong","given":"Robert J"},{"family":"Saab","given":"Sammy"},{"family":"Ahmed","given":"Aijaz"}],"authorYearDisplayFormat":false,"citation-label":"6469389","container-title":"Clinics in liver disease","container-title-short":"Clin. Liver Dis.","id":"6469389","invisible":false,"issue":"3","issued":{"date-parts":[["2017","4","22"]]},"journalAbbreviation":"Clin. Liver Dis.","page":"595-606","suppress-author":false,"title":"Extrahepatic manifestations of hepatitis C virus after liver transplantation.","type":"article-journal","volume":"21"}]</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[46]</w:t>
      </w:r>
      <w:r w:rsidR="0074363C" w:rsidRPr="007363FF">
        <w:rPr>
          <w:rFonts w:ascii="Book Antiqua" w:hAnsi="Book Antiqua" w:cs="Arial"/>
          <w:sz w:val="24"/>
          <w:szCs w:val="24"/>
        </w:rPr>
        <w:fldChar w:fldCharType="end"/>
      </w:r>
      <w:r w:rsidR="00C06A80" w:rsidRPr="007363FF">
        <w:rPr>
          <w:rFonts w:ascii="Book Antiqua" w:hAnsi="Book Antiqua" w:cs="Arial"/>
          <w:sz w:val="24"/>
          <w:szCs w:val="24"/>
        </w:rPr>
        <w:t xml:space="preserve">. </w:t>
      </w:r>
      <w:r w:rsidR="00443CAF" w:rsidRPr="007363FF">
        <w:rPr>
          <w:rFonts w:ascii="Book Antiqua" w:hAnsi="Book Antiqua" w:cs="Arial"/>
          <w:sz w:val="24"/>
          <w:szCs w:val="24"/>
        </w:rPr>
        <w:t xml:space="preserve">Along with its metabolic effects, HCV contributes to post-LT renal dysfunction through a variety of mechanisms, in some cases via induction of cryoglobulinemia or HCV-associated glomerulonephritis. </w:t>
      </w:r>
      <w:r w:rsidR="00BD2273" w:rsidRPr="007363FF">
        <w:rPr>
          <w:rFonts w:ascii="Book Antiqua" w:hAnsi="Book Antiqua" w:cs="Arial"/>
          <w:sz w:val="24"/>
          <w:szCs w:val="24"/>
        </w:rPr>
        <w:t>Finally, HCV is an independent risk factor for the development of lymphoproliferative disorders, including non-Hodgkin lymphomas</w:t>
      </w:r>
      <w:r w:rsidR="0074363C" w:rsidRPr="007363FF">
        <w:rPr>
          <w:rFonts w:ascii="Book Antiqua" w:hAnsi="Book Antiqua" w:cs="Arial"/>
          <w:sz w:val="24"/>
          <w:szCs w:val="24"/>
        </w:rPr>
        <w:fldChar w:fldCharType="begin"/>
      </w:r>
      <w:r w:rsidR="00722938" w:rsidRPr="007363FF">
        <w:rPr>
          <w:rFonts w:ascii="Book Antiqua" w:hAnsi="Book Antiqua" w:cs="Arial"/>
          <w:sz w:val="24"/>
          <w:szCs w:val="24"/>
        </w:rPr>
        <w:instrText>ADDIN F1000_CSL_CITATION&lt;~#@#~&gt;[{"DOI":"10.1016/j.cld.2017.03.013","First":false,"Last":false,"PMID":"28689596","abstract":"Chronic hepatitis C virus (HCV) infection remains a leading cause of chronic liver disease in the United States. Although the hepatic impact of chronic HCV leading to cirrhosis and the need for liver transplantation is paramount, the extrahepatic manifestations of chronic HCV infection are equally important. In particular, a better understanding of the prevalence and impact of extrahepatic manifestations of chronic HCV infection in the post-liver transplant setting relies on understanding the interplay between the effects of chronic HCV infection in a posttransplant environment characterized by strong immunosuppression and the associated risks of this milieu.&lt;br&gt;&lt;br&gt;Copyright © 2017 Elsevier Inc. All rights reserved.","author":[{"family":"Wong","given":"Robert J"},{"family":"Saab","given":"Sammy"},{"family":"Ahmed","given":"Aijaz"}],"authorYearDisplayFormat":false,"citation-label":"6469389","container-title":"Clinics in liver disease","container-title-short":"Clin. Liver Dis.","id":"6469389","invisible":false,"issue":"3","issued":{"date-parts":[["2017","4","22"]]},"journalAbbreviation":"Clin. Liver Dis.","page":"595-606","suppress-author":false,"title":"Extrahepatic manifestations of hepatitis C virus after liver transplantation.","type":"article-journal","volume":"21"}]</w:instrText>
      </w:r>
      <w:r w:rsidR="0074363C"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[46]</w:t>
      </w:r>
      <w:r w:rsidR="0074363C" w:rsidRPr="007363FF">
        <w:rPr>
          <w:rFonts w:ascii="Book Antiqua" w:hAnsi="Book Antiqua" w:cs="Arial"/>
          <w:sz w:val="24"/>
          <w:szCs w:val="24"/>
        </w:rPr>
        <w:fldChar w:fldCharType="end"/>
      </w:r>
      <w:r w:rsidR="00BD2273" w:rsidRPr="007363FF">
        <w:rPr>
          <w:rFonts w:ascii="Book Antiqua" w:hAnsi="Book Antiqua" w:cs="Arial"/>
          <w:sz w:val="24"/>
          <w:szCs w:val="24"/>
        </w:rPr>
        <w:t xml:space="preserve">. With timely antiviral therapy, the occurrence of these complications may be limited; however, it is critical to consent patients who may be interested in receiving HCV-seropositive or -viremic donor livers for these risks in the even that antiviral therapy is delayed. </w:t>
      </w:r>
    </w:p>
    <w:p w14:paraId="43E24542" w14:textId="686F95BC" w:rsidR="00392FB9" w:rsidRPr="007363FF" w:rsidRDefault="00392FB9" w:rsidP="007363FF">
      <w:pPr>
        <w:adjustRightInd w:val="0"/>
        <w:snapToGrid w:val="0"/>
        <w:spacing w:after="0" w:line="360" w:lineRule="auto"/>
        <w:jc w:val="both"/>
        <w:rPr>
          <w:rFonts w:ascii="Book Antiqua" w:hAnsi="Book Antiqua" w:cs="Arial"/>
          <w:sz w:val="24"/>
          <w:szCs w:val="24"/>
        </w:rPr>
      </w:pPr>
    </w:p>
    <w:p w14:paraId="24673031" w14:textId="77777777" w:rsidR="00BF09C5" w:rsidRPr="00BF09C5" w:rsidRDefault="00BF09C5" w:rsidP="007363FF">
      <w:pPr>
        <w:adjustRightInd w:val="0"/>
        <w:snapToGrid w:val="0"/>
        <w:spacing w:after="0" w:line="360" w:lineRule="auto"/>
        <w:jc w:val="both"/>
        <w:rPr>
          <w:rFonts w:ascii="Book Antiqua" w:hAnsi="Book Antiqua" w:cs="Arial"/>
          <w:b/>
          <w:bCs/>
          <w:i/>
          <w:iCs/>
          <w:sz w:val="24"/>
          <w:szCs w:val="24"/>
        </w:rPr>
      </w:pPr>
      <w:r w:rsidRPr="00BF09C5">
        <w:rPr>
          <w:rFonts w:ascii="Book Antiqua" w:hAnsi="Book Antiqua" w:cs="Arial"/>
          <w:b/>
          <w:bCs/>
          <w:i/>
          <w:iCs/>
          <w:sz w:val="24"/>
          <w:szCs w:val="24"/>
        </w:rPr>
        <w:t xml:space="preserve">HBV </w:t>
      </w:r>
    </w:p>
    <w:p w14:paraId="23489CA1" w14:textId="387E07D7" w:rsidR="00EC7D17" w:rsidRPr="007363FF" w:rsidRDefault="00450897" w:rsidP="007363FF">
      <w:pPr>
        <w:adjustRightInd w:val="0"/>
        <w:snapToGrid w:val="0"/>
        <w:spacing w:after="0" w:line="360" w:lineRule="auto"/>
        <w:jc w:val="both"/>
        <w:rPr>
          <w:rFonts w:ascii="Book Antiqua" w:hAnsi="Book Antiqua" w:cs="Arial"/>
          <w:sz w:val="24"/>
          <w:szCs w:val="24"/>
        </w:rPr>
      </w:pPr>
      <w:r w:rsidRPr="007363FF">
        <w:rPr>
          <w:rFonts w:ascii="Book Antiqua" w:hAnsi="Book Antiqua" w:cs="Arial"/>
          <w:sz w:val="24"/>
          <w:szCs w:val="24"/>
        </w:rPr>
        <w:t>Prior to effective anti-viral therapy, r</w:t>
      </w:r>
      <w:r w:rsidR="008D6D84" w:rsidRPr="007363FF">
        <w:rPr>
          <w:rFonts w:ascii="Book Antiqua" w:hAnsi="Book Antiqua" w:cs="Arial"/>
          <w:sz w:val="24"/>
          <w:szCs w:val="24"/>
        </w:rPr>
        <w:t>ecurrence o</w:t>
      </w:r>
      <w:r w:rsidR="000426C7" w:rsidRPr="007363FF">
        <w:rPr>
          <w:rFonts w:ascii="Book Antiqua" w:hAnsi="Book Antiqua" w:cs="Arial"/>
          <w:sz w:val="24"/>
          <w:szCs w:val="24"/>
        </w:rPr>
        <w:t>f</w:t>
      </w:r>
      <w:r w:rsidR="00BF09C5">
        <w:rPr>
          <w:rFonts w:ascii="Book Antiqua" w:hAnsi="Book Antiqua" w:cs="Arial"/>
          <w:sz w:val="24"/>
          <w:szCs w:val="24"/>
        </w:rPr>
        <w:t xml:space="preserve"> </w:t>
      </w:r>
      <w:r w:rsidR="000426C7" w:rsidRPr="007363FF">
        <w:rPr>
          <w:rFonts w:ascii="Book Antiqua" w:hAnsi="Book Antiqua" w:cs="Arial"/>
          <w:sz w:val="24"/>
          <w:szCs w:val="24"/>
        </w:rPr>
        <w:t>HBV</w:t>
      </w:r>
      <w:r w:rsidR="00BF09C5">
        <w:rPr>
          <w:rFonts w:ascii="Book Antiqua" w:hAnsi="Book Antiqua" w:cs="Arial"/>
          <w:sz w:val="24"/>
          <w:szCs w:val="24"/>
        </w:rPr>
        <w:t xml:space="preserve"> </w:t>
      </w:r>
      <w:r w:rsidR="000426C7" w:rsidRPr="007363FF">
        <w:rPr>
          <w:rFonts w:ascii="Book Antiqua" w:hAnsi="Book Antiqua" w:cs="Arial"/>
          <w:sz w:val="24"/>
          <w:szCs w:val="24"/>
        </w:rPr>
        <w:t>after LT</w:t>
      </w:r>
      <w:r w:rsidR="008D6D84" w:rsidRPr="007363FF">
        <w:rPr>
          <w:rFonts w:ascii="Book Antiqua" w:hAnsi="Book Antiqua" w:cs="Arial"/>
          <w:sz w:val="24"/>
          <w:szCs w:val="24"/>
        </w:rPr>
        <w:t xml:space="preserve"> for HBV related liver disease was a feared complication with high rates of al</w:t>
      </w:r>
      <w:r w:rsidR="007E713D" w:rsidRPr="007363FF">
        <w:rPr>
          <w:rFonts w:ascii="Book Antiqua" w:hAnsi="Book Antiqua" w:cs="Arial"/>
          <w:sz w:val="24"/>
          <w:szCs w:val="24"/>
        </w:rPr>
        <w:t>lograft failure and mortality</w:t>
      </w:r>
      <w:r w:rsidR="00F272A4" w:rsidRPr="007363FF">
        <w:rPr>
          <w:rFonts w:ascii="Book Antiqua" w:hAnsi="Book Antiqua" w:cs="Arial"/>
          <w:sz w:val="24"/>
          <w:szCs w:val="24"/>
        </w:rPr>
        <w:fldChar w:fldCharType="begin"/>
      </w:r>
      <w:r w:rsidR="00F272A4" w:rsidRPr="007363FF">
        <w:rPr>
          <w:rFonts w:ascii="Book Antiqua" w:hAnsi="Book Antiqua" w:cs="Arial"/>
          <w:sz w:val="24"/>
          <w:szCs w:val="24"/>
        </w:rPr>
        <w:instrText>ADDIN F1000_CSL_CITATION&lt;~#@#~&gt;[{"First":false,"Last":false,"PMCID":"PMC2972630","PMID":"2010156","abstract":"Fifty-nine patients with prior hepatitis B virus infection underwent orthotopic liver transplantation. During the first 2 mo, mortality was not significantly different in the hepatitis B virus-infected group (25.5%) vs. a hepatitis B virus-immune control group (21%). Beyond 2 mo, the mortality, rate of graft loss, need for retransplantation and incidence of abnormal liver function were significantly higher in the hepatitis B virus-infected group. Treatment of the hepatitis B virus infection was attempted with passive immunization, combined active and passive immunization, alpha-interferon or nothing. The clinical outcome was not significantly influenced by any of these therapies. However, of the patients who lived more than 60 days, 6 of 22 treated with active plus passive immunization were cleared of HBsAg, something achieved once in 16 patients treated with alpha-interferon, never in 3 patients with passive immunization only and once in 4 patients with no therapy. In patients with recurrent hepatitis B virus infection, the pace of hepatitis development in the graft appeared to be accelerated, and this was particularly striking in patients who underwent multiple retransplantations at progressively shorter intervals. None of the patients who became HBsAg-negative had HBeAg preoperatively.","author":[{"family":"Todo","given":"S"},{"family":"Demetris","given":"A J"},{"family":"Van Thiel","given":"D"},{"family":"Teperman","given":"L"},{"family":"Fung","given":"J J"},{"family":"Starzl","given":"T E"}],"authorYearDisplayFormat":false,"citation-label":"3885971","container-title":"Hepatology","container-title-short":"Hepatology","id":"3885971","invisible":false,"issue":"4","issued":{"date-parts":[["1991","4"]]},"journalAbbreviation":"Hepatology","page":"619-626","suppress-author":false,"title":"Orthotopic liver transplantation for patients with hepatitis B virus-related liver disease.","type":"article-journal","volume":"13"},{"DOI":"10.1016/0168-8278(92)90138-f","First":false,"Last":false,"PMID":"1737910","abstract":"The implications of hepatitis B virus (HBV) reinfection after liver transplantation were studied in 29 patients followed for 1.7-15 years. Of 20 patients with HBV infection alone, nine were HBeAg and HBV DNA seronegative and 11 had evidence of HBV replication as measured by HBeAg or HBV DNA seropositivity. Nine patients had co-existing HBV and delta virus (HDV) infection. Five patients became HBsAg seronegative after transplantation (four immediately and one after an hepatitic episode). Of the 20 patients with HBV infection alone, 17 had evidence of viral replication after transplantation with markedly increased HBV DNA levels. Five patients with HDV infection had HBV DNA in serum, but in significantly lower amounts than in those with HBV infection alone. Twenty-five episodes of graft dysfunction attributed to recurrent HBV infection occurred in 19 patients (65.5%). Thirteen episodes (in 12 patients) were self-resolving acute hepatitic illnesses. Six patients had a rapidly progressive illness leading to graft loss within 6 weeks, with the distinctive histological features termed fibrosing cholestatic hepatitis (FCH). Liver function tests in these patients showed markedly abnormal serum bilirubin and prothrombin times, but only modest increases in serum transaminase levels. An additional six patients lost their graft as a consequence of HBV recurrence through various pathogenetic mechanisms including possible (but unproven) FCH, chronic active hepatitis or late-onset hepatic failure. Co-existing HDV infection appeared to confer some medium-term protection from graft loss.","author":[{"family":"O'Grady","given":"J G"},{"family":"Smith","given":"H M"},{"family":"Davies","given":"S E"},{"family":"Daniels","given":"H M"},{"family":"Donaldson","given":"P T"},{"family":"Tan","given":"K C"},{"family":"Portmann","given":"B"},{"family":"Alexander","given":"G J"},{"family":"Williams","given":"R"}],"authorYearDisplayFormat":false,"citation-label":"7516360","container-title":"Journal of Hepatology","container-title-short":"J. Hepatol.","id":"7516360","invisible":false,"issue":"1","issued":{"date-parts":[["1992","1"]]},"journalAbbreviation":"J. Hepatol.","page":"104-111","suppress-author":false,"title":"Hepatitis B virus reinfection after orthotopic liver transplantation. Serological and clinical implications.","type":"article-journal","volume":"14"}]</w:instrText>
      </w:r>
      <w:r w:rsidR="00F272A4"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[47,48]</w:t>
      </w:r>
      <w:r w:rsidR="00F272A4" w:rsidRPr="007363FF">
        <w:rPr>
          <w:rFonts w:ascii="Book Antiqua" w:hAnsi="Book Antiqua" w:cs="Arial"/>
          <w:sz w:val="24"/>
          <w:szCs w:val="24"/>
        </w:rPr>
        <w:fldChar w:fldCharType="end"/>
      </w:r>
      <w:r w:rsidR="008D6D84" w:rsidRPr="007363FF">
        <w:rPr>
          <w:rFonts w:ascii="Book Antiqua" w:hAnsi="Book Antiqua" w:cs="Arial"/>
          <w:sz w:val="24"/>
          <w:szCs w:val="24"/>
        </w:rPr>
        <w:t xml:space="preserve">. </w:t>
      </w:r>
      <w:r w:rsidR="000426C7" w:rsidRPr="007363FF">
        <w:rPr>
          <w:rFonts w:ascii="Book Antiqua" w:hAnsi="Book Antiqua" w:cs="Arial"/>
          <w:sz w:val="24"/>
          <w:szCs w:val="24"/>
        </w:rPr>
        <w:t>The use of hepatitis B immune globulin (HBIG) as passive immunization after LT dramatically reduced the risk of recurre</w:t>
      </w:r>
      <w:r w:rsidR="007E713D" w:rsidRPr="007363FF">
        <w:rPr>
          <w:rFonts w:ascii="Book Antiqua" w:hAnsi="Book Antiqua" w:cs="Arial"/>
          <w:sz w:val="24"/>
          <w:szCs w:val="24"/>
        </w:rPr>
        <w:t>nt HBV and improved survival</w:t>
      </w:r>
      <w:r w:rsidR="00F272A4" w:rsidRPr="007363FF">
        <w:rPr>
          <w:rFonts w:ascii="Book Antiqua" w:hAnsi="Book Antiqua" w:cs="Arial"/>
          <w:sz w:val="24"/>
          <w:szCs w:val="24"/>
        </w:rPr>
        <w:fldChar w:fldCharType="begin"/>
      </w:r>
      <w:r w:rsidR="00F272A4" w:rsidRPr="007363FF">
        <w:rPr>
          <w:rFonts w:ascii="Book Antiqua" w:hAnsi="Book Antiqua" w:cs="Arial"/>
          <w:sz w:val="24"/>
          <w:szCs w:val="24"/>
        </w:rPr>
        <w:instrText>ADDIN F1000_CSL_CITATION&lt;~#@#~&gt;[{"DOI":"10.1056/NEJM199312163292503","First":false,"Last":false,"PMID":"8247035","abstract":"&lt;strong&gt;BACKGROUND:&lt;/strong&gt; The role of liver transplantation in patients positive for the hepatitis B surface antigen (HBsAg) is controversial because of the high rate of recurrent hepatitis B virus (HBV) infection. It has not been determined whether this risk is greater for certain patients and whether the administration of anti-hepatitis B surface antigen (anti-HBs) immune globulin is beneficial.&lt;br&gt;&lt;br&gt;&lt;strong&gt;METHODS:&lt;/strong&gt; We conducted a retrospective study at 17 European centers of 372 consecutive HBsAg-positive patients who underwent liver transplantation between 1977 and 1990. Recurrence of HBV infection was defined as the reappearance of HBsAg in serum.&lt;br&gt;&lt;br&gt;&lt;strong&gt;RESULTS:&lt;/strong&gt; For all 334 patients with follow-up data, the mean (+/- SE) three-year actuarial risk of recurrence of HBV was 50 +/- 3 percent. The risk was 67 +/- 4 percent among 163 patients with HBV-related cirrhosis, 32 +/- 5 percent among 110 patients with cirrhosis related to hepatitis delta virus, 40 +/- 16 percent among 14 patients with fulminant hepatitis delta infection, and 17 +/- 7 percent among 39 patients with fulminant HBV infection (P &lt;  0.001). Among the patients with HBV-related cirrhosis, the risk of HBV recurrence was greatest (83 +/- 6 percent) in those who were seropositive for HBV DNA at the transplantation and lowest (58 +/- 7 percent) in those with neither HBV DNA nor hepatitis B e antigen detectable in serum. With respect to the use of passive prophylaxis with anti-HBs immune globulin, the risk of HBV recurrence was 75 +/- 6 percent among the 67 patients given no immunoprophylaxis, 74 +/- 5 percent among the 83 treated for two months, and 36 +/- 4 percent among the 209 treated for six months or longer (P &lt;  0.001). In a multivariate analysis the predictors of a lower risk of HBV recurrence were the long-term administration of the immune globulin, hepatitis delta virus superinfection, and acute liver disease. For the entire study cohort, survival was 75 percent at one year and 63 percent at three years, but for those in whom HBV infection recurred, survival was 68 percent at one year and 44 percent at three years.&lt;br&gt;&lt;br&gt;&lt;strong&gt;CONCLUSIONS:&lt;/strong&gt; In this retrospective study of HBsAg-positive patients, liver transplantation had better results in those who had fulminant hepatitis or delta virus superinfection. An absence of viral replication at the time of transplantation and long-term immunoprophylaxis were associated with a reduced risk of recurrent HBV infection and reduced mortality.","author":[{"family":"Samuel","given":"D"},{"family":"Muller","given":"R"},{"family":"Alexander","given":"G"},{"family":"Fassati","given":"L"},{"family":"Ducot","given":"B"},{"family":"Benhamou","given":"J P"},{"family":"Bismuth","given":"H"}],"authorYearDisplayFormat":false,"citation-label":"7516362","container-title":"The New England Journal of Medicine","container-title-short":"N. Engl. J. Med.","id":"7516362","invisible":false,"issue":"25","issued":{"date-parts":[["1993","12","16"]]},"journalAbbreviation":"N. Engl. J. Med.","page":"1842-1847","suppress-author":false,"title":"Liver transplantation in European patients with the hepatitis B surface antigen.","type":"article-journal","volume":"329"}]</w:instrText>
      </w:r>
      <w:r w:rsidR="00F272A4"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[49]</w:t>
      </w:r>
      <w:r w:rsidR="00F272A4" w:rsidRPr="007363FF">
        <w:rPr>
          <w:rFonts w:ascii="Book Antiqua" w:hAnsi="Book Antiqua" w:cs="Arial"/>
          <w:sz w:val="24"/>
          <w:szCs w:val="24"/>
        </w:rPr>
        <w:fldChar w:fldCharType="end"/>
      </w:r>
      <w:r w:rsidR="008C435D" w:rsidRPr="007363FF">
        <w:rPr>
          <w:rFonts w:ascii="Book Antiqua" w:hAnsi="Book Antiqua" w:cs="Arial"/>
          <w:sz w:val="24"/>
          <w:szCs w:val="24"/>
        </w:rPr>
        <w:t xml:space="preserve">, and the addition of anti-virals such as lamivudine further reduced the risk of HBV recurrence </w:t>
      </w:r>
      <w:r w:rsidR="004F6458" w:rsidRPr="007363FF">
        <w:rPr>
          <w:rFonts w:ascii="Book Antiqua" w:hAnsi="Book Antiqua" w:cs="Arial"/>
          <w:sz w:val="24"/>
          <w:szCs w:val="24"/>
        </w:rPr>
        <w:t>such that long term survival after LT is better than most other indications</w:t>
      </w:r>
      <w:r w:rsidR="00F272A4" w:rsidRPr="007363FF">
        <w:rPr>
          <w:rFonts w:ascii="Book Antiqua" w:hAnsi="Book Antiqua" w:cs="Arial"/>
          <w:sz w:val="24"/>
          <w:szCs w:val="24"/>
        </w:rPr>
        <w:fldChar w:fldCharType="begin"/>
      </w:r>
      <w:r w:rsidR="00F272A4" w:rsidRPr="007363FF">
        <w:rPr>
          <w:rFonts w:ascii="Book Antiqua" w:hAnsi="Book Antiqua" w:cs="Arial"/>
          <w:sz w:val="24"/>
          <w:szCs w:val="24"/>
        </w:rPr>
        <w:instrText>ADDIN F1000_CSL_CITATION&lt;~#@#~&gt;[{"DOI":"10.1016/s0140-6736(96)04444-3","First":false,"Last":false,"PMID":"8898039","abstract":"&lt;strong&gt;BACKGROUND:&lt;/strong&gt; Orthotopic liver transplantation in patients positive for hepatitis B virus (HBV) DNA is associated with a high reinfection rate, even with hepatitis B immunoglobulin (HBIG) prophylaxis. Nucleoside analogues that inhibit hepatitis B replication in patients with chronic hepatitis B could prevent reinfection after transplantation. The aim of this study was to analyse the efficacy and safety of prophylaxis both before and after transplantation with the nucleoside analogue lamivudine, without HBIG, in patients undergoing liver transplantation.&lt;br&gt;&lt;br&gt;&lt;strong&gt;METHODS:&lt;/strong&gt; 17 HBsAg-positive patients with decompensated cirrhosis and previous evidence of viral replication were enrolled. 12 were HBV-DNA-positive by a signal amplification assay. Patients were treated with oral lamivudine (100 mg daily) for at least 4 weeks before transplantation and followed up for 18-90 weeks after transplantation.&lt;br&gt;&lt;br&gt;&lt;strong&gt;FINDINGS:&lt;/strong&gt; HBV DNA became undetectable in serum before transplantation in all HBV-DNA-positive patients. Four died before transplantation from complications of cirrhosis; one patient was withdrawn from the study because of a cerebrovascular accident. The remaining 12 patients underwent transplantation. Two patients died after transplantation (one at 3 days and one [suicide] at 20 weeks). HBV DNA reappeared in one patient with histological evidence of recurrent hepatitis (72 weeks). By week 24 the nine remaining patients had lost HBsAg and remained negative for HBV DNA.&lt;br&gt;&lt;br&gt;&lt;strong&gt;INTERPRETATION:&lt;/strong&gt; Lamivudine treatment may prove useful in preventing recurrence of hepatitis B after liver transplantation. The effect on survival of patients after transplantation remains to be assessed.","author":[{"family":"Grellier","given":"L"},{"family":"Mutimer","given":"D"},{"family":"Ahmed","given":"M"},{"family":"Brown","given":"D"},{"family":"Burroughs","given":"A K"},{"family":"Rolles","given":"K"},{"family":"McMaster","given":"P"},{"family":"Beranek","given":"P"},{"family":"Kennedy","given":"F"},{"family":"Kibbler","given":"H"},{"family":"McPhillips","given":"P"},{"family":"Elias","given":"E"},{"family":"Dusheiko","given":"G"}],"authorYearDisplayFormat":false,"citation-label":"7516363","container-title":"The Lancet","container-title-short":"Lancet","id":"7516363","invisible":false,"issue":"9036","issued":{"date-parts":[["1996","11","2"]]},"journalAbbreviation":"Lancet","page":"1212-1215","suppress-author":false,"title":"Lamivudine prophylaxis against reinfection in liver transplantation for hepatitis B cirrhosis.","type":"article-journal","volume":"348"}]</w:instrText>
      </w:r>
      <w:r w:rsidR="00F272A4"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[50]</w:t>
      </w:r>
      <w:r w:rsidR="00F272A4" w:rsidRPr="007363FF">
        <w:rPr>
          <w:rFonts w:ascii="Book Antiqua" w:hAnsi="Book Antiqua" w:cs="Arial"/>
          <w:sz w:val="24"/>
          <w:szCs w:val="24"/>
        </w:rPr>
        <w:fldChar w:fldCharType="end"/>
      </w:r>
      <w:r w:rsidR="008C435D" w:rsidRPr="007363FF">
        <w:rPr>
          <w:rFonts w:ascii="Book Antiqua" w:hAnsi="Book Antiqua" w:cs="Arial"/>
          <w:sz w:val="24"/>
          <w:szCs w:val="24"/>
        </w:rPr>
        <w:t>.</w:t>
      </w:r>
      <w:r w:rsidR="00522567" w:rsidRPr="007363FF">
        <w:rPr>
          <w:rFonts w:ascii="Book Antiqua" w:hAnsi="Book Antiqua" w:cs="Arial"/>
          <w:sz w:val="24"/>
          <w:szCs w:val="24"/>
        </w:rPr>
        <w:t xml:space="preserve"> The current </w:t>
      </w:r>
      <w:r w:rsidR="00522567" w:rsidRPr="007363FF">
        <w:rPr>
          <w:rFonts w:ascii="Book Antiqua" w:hAnsi="Book Antiqua" w:cs="Arial"/>
          <w:sz w:val="24"/>
          <w:szCs w:val="24"/>
        </w:rPr>
        <w:lastRenderedPageBreak/>
        <w:t>strategy to prevent HBV recurrence after LT consists of indefinite oral anti-viral therapy with or without HBIG, with most centers in the U</w:t>
      </w:r>
      <w:r w:rsidR="00933C57">
        <w:rPr>
          <w:rFonts w:ascii="Book Antiqua" w:hAnsi="Book Antiqua" w:cs="Arial"/>
          <w:sz w:val="24"/>
          <w:szCs w:val="24"/>
        </w:rPr>
        <w:t xml:space="preserve">nited </w:t>
      </w:r>
      <w:r w:rsidR="00522567" w:rsidRPr="007363FF">
        <w:rPr>
          <w:rFonts w:ascii="Book Antiqua" w:hAnsi="Book Antiqua" w:cs="Arial"/>
          <w:sz w:val="24"/>
          <w:szCs w:val="24"/>
        </w:rPr>
        <w:t>S</w:t>
      </w:r>
      <w:r w:rsidR="00933C57">
        <w:rPr>
          <w:rFonts w:ascii="Book Antiqua" w:hAnsi="Book Antiqua" w:cs="Arial"/>
          <w:sz w:val="24"/>
          <w:szCs w:val="24"/>
        </w:rPr>
        <w:t>tates</w:t>
      </w:r>
      <w:r w:rsidR="00522567" w:rsidRPr="007363FF">
        <w:rPr>
          <w:rFonts w:ascii="Book Antiqua" w:hAnsi="Book Antiqua" w:cs="Arial"/>
          <w:sz w:val="24"/>
          <w:szCs w:val="24"/>
        </w:rPr>
        <w:t xml:space="preserve"> using only a very short course (less than 3 mo) of HBIG. </w:t>
      </w:r>
    </w:p>
    <w:p w14:paraId="45FD4B36" w14:textId="25FAA3DA" w:rsidR="009436DE" w:rsidRDefault="009436DE" w:rsidP="0098113A">
      <w:pPr>
        <w:adjustRightInd w:val="0"/>
        <w:snapToGrid w:val="0"/>
        <w:spacing w:after="0"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 xml:space="preserve">Unlike the situation with HCV-infection where DAA therapy is a cure, current therapy for </w:t>
      </w:r>
      <w:r w:rsidR="008165EB" w:rsidRPr="007363FF">
        <w:rPr>
          <w:rFonts w:ascii="Book Antiqua" w:hAnsi="Book Antiqua" w:cs="Arial"/>
          <w:sz w:val="24"/>
          <w:szCs w:val="24"/>
        </w:rPr>
        <w:t xml:space="preserve">chronic </w:t>
      </w:r>
      <w:r w:rsidRPr="007363FF">
        <w:rPr>
          <w:rFonts w:ascii="Book Antiqua" w:hAnsi="Book Antiqua" w:cs="Arial"/>
          <w:sz w:val="24"/>
          <w:szCs w:val="24"/>
        </w:rPr>
        <w:t xml:space="preserve">HBV-infection </w:t>
      </w:r>
      <w:r w:rsidR="0098113A">
        <w:rPr>
          <w:rFonts w:ascii="Book Antiqua" w:hAnsi="Book Antiqua" w:cs="Arial"/>
          <w:sz w:val="24"/>
          <w:szCs w:val="24"/>
        </w:rPr>
        <w:t>[</w:t>
      </w:r>
      <w:r w:rsidR="008165EB" w:rsidRPr="007363FF">
        <w:rPr>
          <w:rFonts w:ascii="Book Antiqua" w:hAnsi="Book Antiqua" w:cs="Arial"/>
          <w:sz w:val="24"/>
          <w:szCs w:val="24"/>
        </w:rPr>
        <w:t>defined as patients with persistently positive HBV surface antigen (HBsAg)</w:t>
      </w:r>
      <w:r w:rsidR="0098113A">
        <w:rPr>
          <w:rFonts w:ascii="Book Antiqua" w:hAnsi="Book Antiqua" w:cs="Arial"/>
          <w:sz w:val="24"/>
          <w:szCs w:val="24"/>
        </w:rPr>
        <w:t>]</w:t>
      </w:r>
      <w:r w:rsidR="008165EB" w:rsidRPr="007363FF">
        <w:rPr>
          <w:rFonts w:ascii="Book Antiqua" w:hAnsi="Book Antiqua" w:cs="Arial"/>
          <w:sz w:val="24"/>
          <w:szCs w:val="24"/>
        </w:rPr>
        <w:t xml:space="preserve"> </w:t>
      </w:r>
      <w:r w:rsidRPr="007363FF">
        <w:rPr>
          <w:rFonts w:ascii="Book Antiqua" w:hAnsi="Book Antiqua" w:cs="Arial"/>
          <w:sz w:val="24"/>
          <w:szCs w:val="24"/>
        </w:rPr>
        <w:t xml:space="preserve">aims to suppress viral replication. </w:t>
      </w:r>
      <w:r w:rsidR="008165EB" w:rsidRPr="007363FF">
        <w:rPr>
          <w:rFonts w:ascii="Book Antiqua" w:hAnsi="Book Antiqua" w:cs="Arial"/>
          <w:sz w:val="24"/>
          <w:szCs w:val="24"/>
        </w:rPr>
        <w:t xml:space="preserve">Chronic HBV infected patients can be further defined by the presence or absence of HBV envelope antigen (HBeAg) as either HBeAg positive or negative. </w:t>
      </w:r>
      <w:r w:rsidRPr="007363FF">
        <w:rPr>
          <w:rFonts w:ascii="Book Antiqua" w:hAnsi="Book Antiqua" w:cs="Arial"/>
          <w:sz w:val="24"/>
          <w:szCs w:val="24"/>
        </w:rPr>
        <w:t xml:space="preserve">In the non-immunosuppressed patient therapy can be finite if HBeAg positive patients develop durable HBeAg negativity and the development of positive anti-HBe with a negative HBV DNA. However, in HBeAg negative patients therapy is indefinite as it needs to be in the immunosuppressed patient as there is a very high risk of flare of HBV when therapy is withdrawn. </w:t>
      </w:r>
    </w:p>
    <w:p w14:paraId="1B6C96DF" w14:textId="77777777" w:rsidR="0098113A" w:rsidRPr="007363FF" w:rsidRDefault="0098113A" w:rsidP="0098113A">
      <w:pPr>
        <w:adjustRightInd w:val="0"/>
        <w:snapToGrid w:val="0"/>
        <w:spacing w:after="0" w:line="360" w:lineRule="auto"/>
        <w:jc w:val="both"/>
        <w:rPr>
          <w:rFonts w:ascii="Book Antiqua" w:hAnsi="Book Antiqua" w:cs="Arial"/>
          <w:sz w:val="24"/>
          <w:szCs w:val="24"/>
        </w:rPr>
      </w:pPr>
    </w:p>
    <w:p w14:paraId="213B399A" w14:textId="77777777" w:rsidR="00522567" w:rsidRPr="0098113A" w:rsidRDefault="00522567" w:rsidP="007363FF">
      <w:pPr>
        <w:adjustRightInd w:val="0"/>
        <w:snapToGrid w:val="0"/>
        <w:spacing w:after="0" w:line="360" w:lineRule="auto"/>
        <w:jc w:val="both"/>
        <w:rPr>
          <w:rFonts w:ascii="Book Antiqua" w:hAnsi="Book Antiqua" w:cs="Arial"/>
          <w:b/>
          <w:bCs/>
          <w:i/>
          <w:iCs/>
          <w:sz w:val="24"/>
          <w:szCs w:val="24"/>
        </w:rPr>
      </w:pPr>
      <w:r w:rsidRPr="0098113A">
        <w:rPr>
          <w:rFonts w:ascii="Book Antiqua" w:hAnsi="Book Antiqua" w:cs="Arial"/>
          <w:b/>
          <w:bCs/>
          <w:i/>
          <w:iCs/>
          <w:sz w:val="24"/>
          <w:szCs w:val="24"/>
        </w:rPr>
        <w:t>HBV</w:t>
      </w:r>
      <w:r w:rsidR="00C728F8" w:rsidRPr="0098113A">
        <w:rPr>
          <w:rFonts w:ascii="Book Antiqua" w:hAnsi="Book Antiqua" w:cs="Arial"/>
          <w:b/>
          <w:bCs/>
          <w:i/>
          <w:iCs/>
          <w:sz w:val="24"/>
          <w:szCs w:val="24"/>
        </w:rPr>
        <w:t xml:space="preserve"> core antibody</w:t>
      </w:r>
      <w:r w:rsidRPr="0098113A">
        <w:rPr>
          <w:rFonts w:ascii="Book Antiqua" w:hAnsi="Book Antiqua" w:cs="Arial"/>
          <w:b/>
          <w:bCs/>
          <w:i/>
          <w:iCs/>
          <w:sz w:val="24"/>
          <w:szCs w:val="24"/>
        </w:rPr>
        <w:t xml:space="preserve"> positive donors</w:t>
      </w:r>
    </w:p>
    <w:p w14:paraId="781D7A65" w14:textId="7D40E483" w:rsidR="000B3487" w:rsidRPr="007363FF" w:rsidRDefault="00522567" w:rsidP="007363FF">
      <w:pPr>
        <w:adjustRightInd w:val="0"/>
        <w:snapToGrid w:val="0"/>
        <w:spacing w:after="0" w:line="360" w:lineRule="auto"/>
        <w:jc w:val="both"/>
        <w:rPr>
          <w:rFonts w:ascii="Book Antiqua" w:hAnsi="Book Antiqua" w:cs="Arial"/>
          <w:sz w:val="24"/>
          <w:szCs w:val="24"/>
          <w:shd w:val="clear" w:color="auto" w:fill="FFFFFF"/>
        </w:rPr>
      </w:pPr>
      <w:r w:rsidRPr="007363FF">
        <w:rPr>
          <w:rFonts w:ascii="Book Antiqua" w:hAnsi="Book Antiqua" w:cs="Arial"/>
          <w:sz w:val="24"/>
          <w:szCs w:val="24"/>
        </w:rPr>
        <w:t xml:space="preserve">The virology of HBV is complex and complete clearance of virus after infection is difficult to achieve with current therapies. </w:t>
      </w:r>
      <w:r w:rsidR="00D5350D" w:rsidRPr="007363FF">
        <w:rPr>
          <w:rFonts w:ascii="Book Antiqua" w:hAnsi="Book Antiqua" w:cs="Arial"/>
          <w:sz w:val="24"/>
          <w:szCs w:val="24"/>
        </w:rPr>
        <w:t xml:space="preserve">The reactivation of HBV after chemotherapy is well recognized and </w:t>
      </w:r>
      <w:r w:rsidR="004F6458" w:rsidRPr="007363FF">
        <w:rPr>
          <w:rFonts w:ascii="Book Antiqua" w:hAnsi="Book Antiqua" w:cs="Arial"/>
          <w:sz w:val="24"/>
          <w:szCs w:val="24"/>
        </w:rPr>
        <w:t xml:space="preserve">in the </w:t>
      </w:r>
      <w:r w:rsidR="00933C57" w:rsidRPr="007363FF">
        <w:rPr>
          <w:rFonts w:ascii="Book Antiqua" w:hAnsi="Book Antiqua" w:cs="Arial"/>
          <w:sz w:val="24"/>
          <w:szCs w:val="24"/>
        </w:rPr>
        <w:t>U</w:t>
      </w:r>
      <w:r w:rsidR="00933C57">
        <w:rPr>
          <w:rFonts w:ascii="Book Antiqua" w:hAnsi="Book Antiqua" w:cs="Arial"/>
          <w:sz w:val="24"/>
          <w:szCs w:val="24"/>
        </w:rPr>
        <w:t xml:space="preserve">nited </w:t>
      </w:r>
      <w:r w:rsidR="00933C57" w:rsidRPr="007363FF">
        <w:rPr>
          <w:rFonts w:ascii="Book Antiqua" w:hAnsi="Book Antiqua" w:cs="Arial"/>
          <w:sz w:val="24"/>
          <w:szCs w:val="24"/>
        </w:rPr>
        <w:t>S</w:t>
      </w:r>
      <w:r w:rsidR="00933C57">
        <w:rPr>
          <w:rFonts w:ascii="Book Antiqua" w:hAnsi="Book Antiqua" w:cs="Arial"/>
          <w:sz w:val="24"/>
          <w:szCs w:val="24"/>
        </w:rPr>
        <w:t>tates</w:t>
      </w:r>
      <w:r w:rsidR="004F6458" w:rsidRPr="007363FF">
        <w:rPr>
          <w:rFonts w:ascii="Book Antiqua" w:hAnsi="Book Antiqua" w:cs="Arial"/>
          <w:sz w:val="24"/>
          <w:szCs w:val="24"/>
        </w:rPr>
        <w:t xml:space="preserve"> guidelines from the American Society of Clinical Oncology recommend </w:t>
      </w:r>
      <w:r w:rsidR="004F6458" w:rsidRPr="007363FF">
        <w:rPr>
          <w:rFonts w:ascii="Book Antiqua" w:hAnsi="Book Antiqua" w:cs="Arial"/>
          <w:sz w:val="24"/>
          <w:szCs w:val="24"/>
          <w:shd w:val="clear" w:color="auto" w:fill="FFFFFF"/>
        </w:rPr>
        <w:t>starting antiviral</w:t>
      </w:r>
      <w:r w:rsidR="0098113A">
        <w:rPr>
          <w:rStyle w:val="apple-converted-space"/>
          <w:rFonts w:ascii="Book Antiqua" w:hAnsi="Book Antiqua" w:cs="Arial"/>
          <w:sz w:val="24"/>
          <w:szCs w:val="24"/>
          <w:shd w:val="clear" w:color="auto" w:fill="FFFFFF"/>
        </w:rPr>
        <w:t xml:space="preserve"> </w:t>
      </w:r>
      <w:r w:rsidR="004F6458" w:rsidRPr="007363FF">
        <w:rPr>
          <w:rStyle w:val="highlight"/>
          <w:rFonts w:ascii="Book Antiqua" w:hAnsi="Book Antiqua" w:cs="Arial"/>
          <w:sz w:val="24"/>
          <w:szCs w:val="24"/>
          <w:shd w:val="clear" w:color="auto" w:fill="FFFFFF"/>
        </w:rPr>
        <w:t>therapy</w:t>
      </w:r>
      <w:r w:rsidR="0098113A">
        <w:rPr>
          <w:rStyle w:val="highlight"/>
          <w:rFonts w:ascii="Book Antiqua" w:hAnsi="Book Antiqua" w:cs="Arial"/>
          <w:sz w:val="24"/>
          <w:szCs w:val="24"/>
          <w:shd w:val="clear" w:color="auto" w:fill="FFFFFF"/>
        </w:rPr>
        <w:t xml:space="preserve"> </w:t>
      </w:r>
      <w:r w:rsidR="004F6458" w:rsidRPr="007363FF">
        <w:rPr>
          <w:rFonts w:ascii="Book Antiqua" w:hAnsi="Book Antiqua" w:cs="Arial"/>
          <w:sz w:val="24"/>
          <w:szCs w:val="24"/>
          <w:shd w:val="clear" w:color="auto" w:fill="FFFFFF"/>
        </w:rPr>
        <w:t>for HBsAg-positive/anti-HBc-positive patients before or with chemo</w:t>
      </w:r>
      <w:r w:rsidR="004F6458" w:rsidRPr="007363FF">
        <w:rPr>
          <w:rStyle w:val="highlight"/>
          <w:rFonts w:ascii="Book Antiqua" w:hAnsi="Book Antiqua" w:cs="Arial"/>
          <w:sz w:val="24"/>
          <w:szCs w:val="24"/>
          <w:shd w:val="clear" w:color="auto" w:fill="FFFFFF"/>
        </w:rPr>
        <w:t>therapy</w:t>
      </w:r>
      <w:r w:rsidR="0098113A">
        <w:rPr>
          <w:rStyle w:val="highlight"/>
          <w:rFonts w:ascii="Book Antiqua" w:hAnsi="Book Antiqua" w:cs="Arial"/>
          <w:sz w:val="24"/>
          <w:szCs w:val="24"/>
          <w:shd w:val="clear" w:color="auto" w:fill="FFFFFF"/>
        </w:rPr>
        <w:t xml:space="preserve"> </w:t>
      </w:r>
      <w:r w:rsidR="004F6458" w:rsidRPr="007363FF">
        <w:rPr>
          <w:rFonts w:ascii="Book Antiqua" w:hAnsi="Book Antiqua" w:cs="Arial"/>
          <w:sz w:val="24"/>
          <w:szCs w:val="24"/>
          <w:shd w:val="clear" w:color="auto" w:fill="FFFFFF"/>
        </w:rPr>
        <w:t xml:space="preserve">and monitoring HBsAg-negative/anti-HBc-positive patients for </w:t>
      </w:r>
      <w:r w:rsidR="004F6458" w:rsidRPr="007363FF">
        <w:rPr>
          <w:rStyle w:val="highlight"/>
          <w:rFonts w:ascii="Book Antiqua" w:hAnsi="Book Antiqua" w:cs="Arial"/>
          <w:sz w:val="24"/>
          <w:szCs w:val="24"/>
          <w:shd w:val="clear" w:color="auto" w:fill="FFFFFF"/>
        </w:rPr>
        <w:t>reactivation</w:t>
      </w:r>
      <w:r w:rsidR="0098113A">
        <w:rPr>
          <w:rStyle w:val="highlight"/>
          <w:rFonts w:ascii="Book Antiqua" w:hAnsi="Book Antiqua" w:cs="Arial"/>
          <w:sz w:val="24"/>
          <w:szCs w:val="24"/>
          <w:shd w:val="clear" w:color="auto" w:fill="FFFFFF"/>
        </w:rPr>
        <w:t xml:space="preserve"> </w:t>
      </w:r>
      <w:r w:rsidR="004F6458" w:rsidRPr="007363FF">
        <w:rPr>
          <w:rFonts w:ascii="Book Antiqua" w:hAnsi="Book Antiqua" w:cs="Arial"/>
          <w:sz w:val="24"/>
          <w:szCs w:val="24"/>
          <w:shd w:val="clear" w:color="auto" w:fill="FFFFFF"/>
        </w:rPr>
        <w:t>with</w:t>
      </w:r>
      <w:r w:rsidR="0098113A">
        <w:rPr>
          <w:rFonts w:ascii="Book Antiqua" w:hAnsi="Book Antiqua" w:cs="Arial"/>
          <w:sz w:val="24"/>
          <w:szCs w:val="24"/>
          <w:shd w:val="clear" w:color="auto" w:fill="FFFFFF"/>
        </w:rPr>
        <w:t xml:space="preserve"> </w:t>
      </w:r>
      <w:r w:rsidR="004F6458" w:rsidRPr="007363FF">
        <w:rPr>
          <w:rStyle w:val="highlight"/>
          <w:rFonts w:ascii="Book Antiqua" w:hAnsi="Book Antiqua" w:cs="Arial"/>
          <w:sz w:val="24"/>
          <w:szCs w:val="24"/>
          <w:shd w:val="clear" w:color="auto" w:fill="FFFFFF"/>
        </w:rPr>
        <w:t>HBV</w:t>
      </w:r>
      <w:r w:rsidR="0098113A">
        <w:rPr>
          <w:rStyle w:val="highlight"/>
          <w:rFonts w:ascii="Book Antiqua" w:hAnsi="Book Antiqua" w:cs="Arial"/>
          <w:sz w:val="24"/>
          <w:szCs w:val="24"/>
          <w:shd w:val="clear" w:color="auto" w:fill="FFFFFF"/>
        </w:rPr>
        <w:t xml:space="preserve"> </w:t>
      </w:r>
      <w:r w:rsidR="004F6458" w:rsidRPr="007363FF">
        <w:rPr>
          <w:rFonts w:ascii="Book Antiqua" w:hAnsi="Book Antiqua" w:cs="Arial"/>
          <w:sz w:val="24"/>
          <w:szCs w:val="24"/>
          <w:shd w:val="clear" w:color="auto" w:fill="FFFFFF"/>
        </w:rPr>
        <w:t>DNA and ALT levels, starting antivirals if</w:t>
      </w:r>
      <w:r w:rsidR="004F6458" w:rsidRPr="007363FF">
        <w:rPr>
          <w:rStyle w:val="apple-converted-space"/>
          <w:rFonts w:ascii="Book Antiqua" w:hAnsi="Book Antiqua" w:cs="Arial"/>
          <w:sz w:val="24"/>
          <w:szCs w:val="24"/>
          <w:shd w:val="clear" w:color="auto" w:fill="FFFFFF"/>
        </w:rPr>
        <w:t> </w:t>
      </w:r>
      <w:r w:rsidR="004F6458" w:rsidRPr="007363FF">
        <w:rPr>
          <w:rStyle w:val="highlight"/>
          <w:rFonts w:ascii="Book Antiqua" w:hAnsi="Book Antiqua" w:cs="Arial"/>
          <w:sz w:val="24"/>
          <w:szCs w:val="24"/>
          <w:shd w:val="clear" w:color="auto" w:fill="FFFFFF"/>
        </w:rPr>
        <w:t>reactivation</w:t>
      </w:r>
      <w:r w:rsidR="004F6458" w:rsidRPr="007363FF">
        <w:rPr>
          <w:rStyle w:val="apple-converted-space"/>
          <w:rFonts w:ascii="Book Antiqua" w:hAnsi="Book Antiqua" w:cs="Arial"/>
          <w:sz w:val="24"/>
          <w:szCs w:val="24"/>
          <w:shd w:val="clear" w:color="auto" w:fill="FFFFFF"/>
        </w:rPr>
        <w:t> </w:t>
      </w:r>
      <w:r w:rsidR="004F6458" w:rsidRPr="007363FF">
        <w:rPr>
          <w:rFonts w:ascii="Book Antiqua" w:hAnsi="Book Antiqua" w:cs="Arial"/>
          <w:sz w:val="24"/>
          <w:szCs w:val="24"/>
          <w:shd w:val="clear" w:color="auto" w:fill="FFFFFF"/>
        </w:rPr>
        <w:t xml:space="preserve">occurs but in those undergoing chemotherapy associated with a high risk of HBV reactivation antivirals </w:t>
      </w:r>
      <w:r w:rsidR="007E713D" w:rsidRPr="007363FF">
        <w:rPr>
          <w:rFonts w:ascii="Book Antiqua" w:hAnsi="Book Antiqua" w:cs="Arial"/>
          <w:sz w:val="24"/>
          <w:szCs w:val="24"/>
          <w:shd w:val="clear" w:color="auto" w:fill="FFFFFF"/>
        </w:rPr>
        <w:t>can be started pre-emptively</w:t>
      </w:r>
      <w:r w:rsidR="00E51E41" w:rsidRPr="007363FF">
        <w:rPr>
          <w:rFonts w:ascii="Book Antiqua" w:hAnsi="Book Antiqua" w:cs="Arial"/>
          <w:sz w:val="24"/>
          <w:szCs w:val="24"/>
          <w:shd w:val="clear" w:color="auto" w:fill="FFFFFF"/>
        </w:rPr>
        <w:fldChar w:fldCharType="begin"/>
      </w:r>
      <w:r w:rsidR="00E51E41" w:rsidRPr="007363FF">
        <w:rPr>
          <w:rFonts w:ascii="Book Antiqua" w:hAnsi="Book Antiqua" w:cs="Arial"/>
          <w:sz w:val="24"/>
          <w:szCs w:val="24"/>
          <w:shd w:val="clear" w:color="auto" w:fill="FFFFFF"/>
        </w:rPr>
        <w:instrText>ADDIN F1000_CSL_CITATION&lt;~#@#~&gt;[{"DOI":"10.1200/JCO.2015.61.3745","First":false,"Last":false,"PMCID":"PMC4477791","PMID":"25964247","abstract":"&lt;strong&gt;PURPOSE:&lt;/strong&gt; This updated provisional clinical opinion presents a revised opinion based on American Society of Clinical Oncology panel consensus in the context of an evolving database.&lt;br&gt;&lt;br&gt;&lt;strong&gt;CONTEXT:&lt;/strong&gt; Despite the 2010 provisional clinical opinion recommendation, there is still evidence of suboptimal hepatitis B virus (HBV) screening among patients at high risk for HBV infection or HBV reactivation after chemotherapy. This updated provisional clinical opinion introduces a risk-adaptive strategy to identify and treat patients with HBV infection to reduce their risk of HBV reactivation.&lt;br&gt;&lt;br&gt;&lt;strong&gt;PROVISIONAL CLINICAL OPINION:&lt;/strong&gt; Medical providers should screen by testing patients for HBV infection before starting anti-CD20 therapy or hematopoietic cell transplantation. Providers should also screen patients with risk factors for HBV infection. Screening should include both hepatitis B surface antigen (HBsAg) and hepatitis B core antibody (anti-HBc), because reactivation can occur in patients who are HBsAg positive/anti-HBc positive or HBsAg negative/anti-HBc positive. Either total anti-HBc or anti-HBc immunoglobulin G (not immunoglobulin M) test should be used. Clinicians should start antiviral therapy for HBsAg-positive/anti-HBc-positive patients before or contemporaneously with cancer therapy and monitor HBsAg-negative/anti-HBc-positive patients for reactivation with HBV DNA and ALT levels, promptly starting antivirals if reactivation occurs. Clinicians can initiate antivirals for HBsAg-negative/anti-HBc-positive patients anticipating cancer therapies associated with a high risk of reactivation, or they can monitor HBV DNA and ALT levels and initiate on-demand antivirals. For patients who neither have HBV risk factors nor anticipate cancer therapy associated with a high risk of reactivation, current evidence does not support HBV screening before initiation of cancer therapy. Two panel members provided a minority viewpoint, involving a strategy of universal HBsAg and selective anti-HBc testing.&lt;br&gt;&lt;br&gt;© 2015 by American Society of Clinical Oncology.","author":[{"family":"Hwang","given":"Jessica P"},{"family":"Somerfield","given":"Mark R"},{"family":"Alston-Johnson","given":"Devena E"},{"family":"Cryer","given":"Donna R"},{"family":"Feld","given":"Jordan J"},{"family":"Kramer","given":"Barnett S"},{"family":"Sabichi","given":"Anita L"},{"family":"Wong","given":"Sandra L"},{"family":"Artz","given":"Andrew S"}],"authorYearDisplayFormat":false,"citation-label":"4570418","container-title":"Journal of Clinical Oncology","container-title-short":"J. Clin. Oncol.","id":"4570418","invisible":false,"issue":"19","issued":{"date-parts":[["2015","7","1"]]},"journalAbbreviation":"J. Clin. Oncol.","page":"2212-2220","suppress-author":false,"title":"Hepatitis B virus screening for patients with cancer before therapy: american society of clinical oncology provisional clinical opinion update.","type":"article-journal","volume":"33"}]</w:instrText>
      </w:r>
      <w:r w:rsidR="00E51E41" w:rsidRPr="007363FF">
        <w:rPr>
          <w:rFonts w:ascii="Book Antiqua" w:hAnsi="Book Antiqua" w:cs="Arial"/>
          <w:sz w:val="24"/>
          <w:szCs w:val="24"/>
          <w:shd w:val="clear" w:color="auto" w:fill="FFFFFF"/>
        </w:rPr>
        <w:fldChar w:fldCharType="separate"/>
      </w:r>
      <w:r w:rsidR="00B203B5" w:rsidRPr="007363FF">
        <w:rPr>
          <w:rFonts w:ascii="Book Antiqua" w:hAnsi="Book Antiqua" w:cs="Arial"/>
          <w:noProof/>
          <w:sz w:val="24"/>
          <w:szCs w:val="24"/>
          <w:shd w:val="clear" w:color="auto" w:fill="FFFFFF"/>
          <w:vertAlign w:val="superscript"/>
        </w:rPr>
        <w:t>[51]</w:t>
      </w:r>
      <w:r w:rsidR="00E51E41" w:rsidRPr="007363FF">
        <w:rPr>
          <w:rFonts w:ascii="Book Antiqua" w:hAnsi="Book Antiqua" w:cs="Arial"/>
          <w:sz w:val="24"/>
          <w:szCs w:val="24"/>
          <w:shd w:val="clear" w:color="auto" w:fill="FFFFFF"/>
        </w:rPr>
        <w:fldChar w:fldCharType="end"/>
      </w:r>
      <w:r w:rsidR="004F6458" w:rsidRPr="007363FF">
        <w:rPr>
          <w:rFonts w:ascii="Book Antiqua" w:hAnsi="Book Antiqua" w:cs="Arial"/>
          <w:sz w:val="24"/>
          <w:szCs w:val="24"/>
          <w:shd w:val="clear" w:color="auto" w:fill="FFFFFF"/>
        </w:rPr>
        <w:t>. Much of the concern over chemotherapeutic regimens and reactivation of HBV has occurred recently with the advent of biologic therapies with direct effects on immunity. The original reports of HBV reactivation from immunosuppression came from the transplant arena more than 20 years ago.</w:t>
      </w:r>
    </w:p>
    <w:p w14:paraId="055D93E4" w14:textId="63A87345" w:rsidR="00EC7D17" w:rsidRPr="007363FF" w:rsidRDefault="004F6458" w:rsidP="00036B44">
      <w:pPr>
        <w:adjustRightInd w:val="0"/>
        <w:snapToGrid w:val="0"/>
        <w:spacing w:after="0" w:line="360" w:lineRule="auto"/>
        <w:ind w:firstLineChars="100" w:firstLine="240"/>
        <w:jc w:val="both"/>
        <w:rPr>
          <w:rFonts w:ascii="Book Antiqua" w:hAnsi="Book Antiqua" w:cs="Arial"/>
          <w:sz w:val="24"/>
          <w:szCs w:val="24"/>
        </w:rPr>
      </w:pPr>
      <w:r w:rsidRPr="007363FF">
        <w:rPr>
          <w:rFonts w:ascii="Book Antiqua" w:hAnsi="Book Antiqua" w:cs="Arial"/>
          <w:sz w:val="24"/>
          <w:szCs w:val="24"/>
          <w:shd w:val="clear" w:color="auto" w:fill="FFFFFF"/>
        </w:rPr>
        <w:t xml:space="preserve">The </w:t>
      </w:r>
      <w:r w:rsidR="000B3487" w:rsidRPr="007363FF">
        <w:rPr>
          <w:rFonts w:ascii="Book Antiqua" w:hAnsi="Book Antiqua" w:cs="Arial"/>
          <w:sz w:val="24"/>
          <w:szCs w:val="24"/>
        </w:rPr>
        <w:t xml:space="preserve">National Institute of Diabetes and Digestive and Kidney Diseases Liver Transplantation Database examined 674 LT recipients and their donors for evidence of transmission of HBV </w:t>
      </w:r>
      <w:r w:rsidR="00C728F8" w:rsidRPr="007363FF">
        <w:rPr>
          <w:rFonts w:ascii="Book Antiqua" w:hAnsi="Book Antiqua" w:cs="Arial"/>
          <w:sz w:val="24"/>
          <w:szCs w:val="24"/>
        </w:rPr>
        <w:t>between 1989 and 1994</w:t>
      </w:r>
      <w:r w:rsidR="00E51E41" w:rsidRPr="007363FF">
        <w:rPr>
          <w:rFonts w:ascii="Book Antiqua" w:hAnsi="Book Antiqua" w:cs="Arial"/>
          <w:sz w:val="24"/>
          <w:szCs w:val="24"/>
        </w:rPr>
        <w:fldChar w:fldCharType="begin"/>
      </w:r>
      <w:r w:rsidR="00E51E41" w:rsidRPr="007363FF">
        <w:rPr>
          <w:rFonts w:ascii="Book Antiqua" w:hAnsi="Book Antiqua" w:cs="Arial"/>
          <w:sz w:val="24"/>
          <w:szCs w:val="24"/>
        </w:rPr>
        <w:instrText>ADDIN F1000_CSL_CITATION&lt;~#@#~&gt;[{"DOI":"10.1053/gast.1997.v113.pm9352871","First":false,"Last":false,"PMID":"9352871","abstract":"&lt;strong&gt;BACKGROUND &amp; AIMS:&lt;/strong&gt; Organ donors are a potential source of transmissible disease after transplantation. The aim of this study was to evaluate the risk of acquiring hepatitis B among transplantation recipients of livers from donors without serum hepatitis B surface antigen (HBsAg) but with antibody to hepatitis B core antigen (anti-HBc).&lt;br&gt;&lt;br&gt;&lt;strong&gt;METHODS:&lt;/strong&gt; The transplantation experience of four centers between 1989 and 1994 was reviewed. Recipients of livers from 674 donors were considered informative for hepatitis B virus transmission.&lt;br&gt;&lt;br&gt;&lt;strong&gt;RESULTS:&lt;/strong&gt; Hepatitis B developed in 18 of 23 recipients of livers from anti-HBc-positive donors (78%) compared with only 3 of 651 recipients of anti-HBc-negative donor livers (0.5%) (P &lt;  0.0001). HBsAg persisted in all recipients with donor-related hepatitis B. Liver histology showed chronic hepatitis of moderate severity in 2 of 13 recipients at 1 year and 5 of 8 recipients between 1.6 and 4.5 years from transplantation. Liver transplantation from an anti-HBc-positive donor was associated with decreased 4-year survival (adjusted mortality hazard ratio of 2.4; 95% confidence interval, 1.4-4.0).&lt;br&gt;&lt;br&gt;&lt;strong&gt;CONCLUSIONS:&lt;/strong&gt; De novo posttransplantation hepatitis B infection occurs at a high rate in recipients of donors with anti-HBc. Transmission of hepatitis B through transplantation suggests that the virus may persist in the liver despite serological resolution of infection.","author":[{"family":"Dickson","given":"R C"},{"family":"Everhart","given":"J E"},{"family":"Lake","given":"J R"},{"family":"Wei","given":"Y"},{"family":"Seaberg","given":"E C"},{"family":"Wiesner","given":"R H"},{"family":"Zetterman","given":"R K"},{"family":"Pruett","given":"T L"},{"family":"Ishitani","given":"M B"},{"family":"Hoofnagle","given":"J H"}],"authorYearDisplayFormat":false,"citation-label":"7516366","container-title":"Gastroenterology","container-title-short":"Gastroenterology","id":"7516366","invisible":false,"issue":"5","issued":{"date-parts":[["1997","11"]]},"journalAbbreviation":"Gastroenterology","page":"1668-1674","suppress-author":false,"title":"Transmission of hepatitis B by transplantation of livers from donors positive for antibody to hepatitis B core antigen. The National Institute of Diabetes and Digestive and Kidney Diseases Liver Transplantation Database.","type":"article-journal","volume":"113"}]</w:instrText>
      </w:r>
      <w:r w:rsidR="00E51E41"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[52]</w:t>
      </w:r>
      <w:r w:rsidR="00E51E41" w:rsidRPr="007363FF">
        <w:rPr>
          <w:rFonts w:ascii="Book Antiqua" w:hAnsi="Book Antiqua" w:cs="Arial"/>
          <w:sz w:val="24"/>
          <w:szCs w:val="24"/>
        </w:rPr>
        <w:fldChar w:fldCharType="end"/>
      </w:r>
      <w:r w:rsidR="000B3487" w:rsidRPr="007363FF">
        <w:rPr>
          <w:rFonts w:ascii="Book Antiqua" w:hAnsi="Book Antiqua" w:cs="Arial"/>
          <w:sz w:val="24"/>
          <w:szCs w:val="24"/>
        </w:rPr>
        <w:t xml:space="preserve">. Of the 23 </w:t>
      </w:r>
      <w:r w:rsidR="00B2295C" w:rsidRPr="007363FF">
        <w:rPr>
          <w:rFonts w:ascii="Book Antiqua" w:hAnsi="Book Antiqua" w:cs="Arial"/>
          <w:sz w:val="24"/>
          <w:szCs w:val="24"/>
        </w:rPr>
        <w:t xml:space="preserve">HBV-negative </w:t>
      </w:r>
      <w:r w:rsidR="000B3487" w:rsidRPr="007363FF">
        <w:rPr>
          <w:rFonts w:ascii="Book Antiqua" w:hAnsi="Book Antiqua" w:cs="Arial"/>
          <w:sz w:val="24"/>
          <w:szCs w:val="24"/>
        </w:rPr>
        <w:t xml:space="preserve">recipients of </w:t>
      </w:r>
      <w:r w:rsidR="000B3487" w:rsidRPr="007363FF">
        <w:rPr>
          <w:rFonts w:ascii="Book Antiqua" w:hAnsi="Book Antiqua" w:cs="Arial"/>
          <w:sz w:val="24"/>
          <w:szCs w:val="24"/>
        </w:rPr>
        <w:lastRenderedPageBreak/>
        <w:t>livers from anti-HBc positive donors, 18 (78%) developed HBV infection with appearance of HBsAg even though donors had been HBsAg negative</w:t>
      </w:r>
      <w:r w:rsidR="009D0F7E" w:rsidRPr="007363FF">
        <w:rPr>
          <w:rFonts w:ascii="Book Antiqua" w:hAnsi="Book Antiqua" w:cs="Arial"/>
          <w:sz w:val="24"/>
          <w:szCs w:val="24"/>
        </w:rPr>
        <w:t>, with reduced survival. This time period coincided with the use of HBIG and in small series it appeared to be effective in preventing HBV infection in recipients of anti-HBc po</w:t>
      </w:r>
      <w:r w:rsidR="007E713D" w:rsidRPr="007363FF">
        <w:rPr>
          <w:rFonts w:ascii="Book Antiqua" w:hAnsi="Book Antiqua" w:cs="Arial"/>
          <w:sz w:val="24"/>
          <w:szCs w:val="24"/>
        </w:rPr>
        <w:t>sitive live donor allografts</w:t>
      </w:r>
      <w:r w:rsidR="00E51E41" w:rsidRPr="007363FF">
        <w:rPr>
          <w:rFonts w:ascii="Book Antiqua" w:hAnsi="Book Antiqua" w:cs="Arial"/>
          <w:sz w:val="24"/>
          <w:szCs w:val="24"/>
        </w:rPr>
        <w:fldChar w:fldCharType="begin"/>
      </w:r>
      <w:r w:rsidR="00E51E41" w:rsidRPr="007363FF">
        <w:rPr>
          <w:rFonts w:ascii="Book Antiqua" w:hAnsi="Book Antiqua" w:cs="Arial"/>
          <w:sz w:val="24"/>
          <w:szCs w:val="24"/>
        </w:rPr>
        <w:instrText>ADDIN F1000_CSL_CITATION&lt;~#@#~&gt;[{"DOI":"10.1097/00007890-199802270-00007","First":false,"Last":false,"PMID":"9500622","abstract":"&lt;strong&gt;BACKGROUND:&lt;/strong&gt; In order to clarify the risk of hepatitis B virus (HBV) transmission from hepatitis B core antibody-positive (HBcAb(+)) donors and to evolve a new strategy to counter such a risk, we undertook a retrospective (1990-1995) and prospective (1995-1996) analysis of our experience with living related liver transplantation involving HBcAb(+) donors.&lt;br&gt;&lt;br&gt;&lt;strong&gt;METHODS:&lt;/strong&gt; Between June 15, 1990, and June 30, 1995, HBcAb(+) individuals were not excluded as donor candidates at our institutions. For 171 liver transplants, 16 donors were HBcAb(+). Between July 1, 1995, and June 30, 1996, HBcAb(+) individuals were generally excluded as donor candidates; however, three recipients were given liver grafts from HBcAb(+) donors because other donor candidates presented even higher risks. In the latter period, recipients with transplants from HBcAb(+) donors underwent prophylactic passive immunization with hyperimmune hepatitis B immunoglobulin (HBIG). The serum of 10 HBcAb(+) donors was examined by nested polymerase chain reaction for the presence of HBV-DNA, but it was not detected in any of them. However, the same examination of the liver tissue of five such donors yielded positive results in all cases.&lt;br&gt;&lt;br&gt;&lt;strong&gt;RESULTS:&lt;/strong&gt; In the first 5-year period, out of 16 recipients with HBcAb(+) donors, 15 became hepatitis B surface antigen-positive after transplant. The three recipients with HBcAb(+) donors during the second 1-year period, who were treated by prophylactic passive immunization with HBIG, remained hepatitis B surface antigen-negative and negative for serum HBV-DNA after transplant.&lt;br&gt;&lt;br&gt;&lt;strong&gt;CONCLUSIONS:&lt;/strong&gt; HBV exists in the liver of healthy HBcAb(+) individuals, but not in the blood. Therefore, HBV is thought to be transmitted to recipients by liver grafts from the HBcAb(+) donors at a significantly high rate. The prevention of viral activation and clinical disease development by means of passive immunization with HBIG seems promising, although the follow-up period in our study may be too short for any definitive conclusions.","author":[{"family":"Uemoto","given":"S"},{"family":"Sugiyama","given":"K"},{"family":"Marusawa","given":"H"},{"family":"Inomata","given":"Y"},{"family":"Asonuma","given":"K"},{"family":"Egawa","given":"H"},{"family":"Kiuchi","given":"T"},{"family":"Miyake","given":"Y"},{"family":"Tanaka","given":"K"},{"family":"Chiba","given":"T"}],"authorYearDisplayFormat":false,"citation-label":"7516367","container-title":"Transplantation","container-title-short":"Transplantation","id":"7516367","invisible":false,"issue":"4","issued":{"date-parts":[["1998","2","27"]]},"journalAbbreviation":"Transplantation","page":"494-499","suppress-author":false,"title":"Transmission of hepatitis B virus from hepatitis B core antibody-positive donors in living related liver transplants.","type":"article-journal","volume":"65"}]</w:instrText>
      </w:r>
      <w:r w:rsidR="00E51E41"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[53]</w:t>
      </w:r>
      <w:r w:rsidR="00E51E41" w:rsidRPr="007363FF">
        <w:rPr>
          <w:rFonts w:ascii="Book Antiqua" w:hAnsi="Book Antiqua" w:cs="Arial"/>
          <w:sz w:val="24"/>
          <w:szCs w:val="24"/>
        </w:rPr>
        <w:fldChar w:fldCharType="end"/>
      </w:r>
      <w:r w:rsidR="00EB698C" w:rsidRPr="007363FF">
        <w:rPr>
          <w:rFonts w:ascii="Book Antiqua" w:hAnsi="Book Antiqua" w:cs="Arial"/>
          <w:sz w:val="24"/>
          <w:szCs w:val="24"/>
        </w:rPr>
        <w:t xml:space="preserve">. </w:t>
      </w:r>
    </w:p>
    <w:p w14:paraId="38FDCEB3" w14:textId="2A4C9D41" w:rsidR="009D0F7E" w:rsidRPr="007363FF" w:rsidRDefault="00C728F8" w:rsidP="0098113A">
      <w:pPr>
        <w:adjustRightInd w:val="0"/>
        <w:snapToGrid w:val="0"/>
        <w:spacing w:after="0"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The introduction</w:t>
      </w:r>
      <w:r w:rsidR="00B2295C" w:rsidRPr="007363FF">
        <w:rPr>
          <w:rFonts w:ascii="Book Antiqua" w:hAnsi="Book Antiqua" w:cs="Arial"/>
          <w:sz w:val="24"/>
          <w:szCs w:val="24"/>
        </w:rPr>
        <w:t xml:space="preserve"> of lamivudine further improved the survival of recipients of anti-HBc positive donors. In a </w:t>
      </w:r>
      <w:r w:rsidR="00933C57" w:rsidRPr="007363FF">
        <w:rPr>
          <w:rFonts w:ascii="Book Antiqua" w:hAnsi="Book Antiqua" w:cs="Arial"/>
          <w:sz w:val="24"/>
          <w:szCs w:val="24"/>
        </w:rPr>
        <w:t>U</w:t>
      </w:r>
      <w:r w:rsidR="00933C57">
        <w:rPr>
          <w:rFonts w:ascii="Book Antiqua" w:hAnsi="Book Antiqua" w:cs="Arial"/>
          <w:sz w:val="24"/>
          <w:szCs w:val="24"/>
        </w:rPr>
        <w:t xml:space="preserve">nited </w:t>
      </w:r>
      <w:r w:rsidR="00933C57" w:rsidRPr="007363FF">
        <w:rPr>
          <w:rFonts w:ascii="Book Antiqua" w:hAnsi="Book Antiqua" w:cs="Arial"/>
          <w:sz w:val="24"/>
          <w:szCs w:val="24"/>
        </w:rPr>
        <w:t>S</w:t>
      </w:r>
      <w:r w:rsidR="00933C57">
        <w:rPr>
          <w:rFonts w:ascii="Book Antiqua" w:hAnsi="Book Antiqua" w:cs="Arial"/>
          <w:sz w:val="24"/>
          <w:szCs w:val="24"/>
        </w:rPr>
        <w:t>tates</w:t>
      </w:r>
      <w:r w:rsidR="00B2295C" w:rsidRPr="007363FF">
        <w:rPr>
          <w:rFonts w:ascii="Book Antiqua" w:hAnsi="Book Antiqua" w:cs="Arial"/>
          <w:sz w:val="24"/>
          <w:szCs w:val="24"/>
        </w:rPr>
        <w:t xml:space="preserve"> study of 15 patients (6 who were HBsAg positive and 9 who were HBsAg negative at time of LT) who received anti-HBc positive allografts were followed for a mean of 17 mo. All patients received lamivudine daily and HBIG was given to HBsAg positive patients. All 15 patients remained HBsAg negative and 9 underwent liver biopsy after LT with only 1 patient having detectable HBV DNA in liver tissue (although remained HBsAg neg</w:t>
      </w:r>
      <w:r w:rsidR="00B33F8E" w:rsidRPr="007363FF">
        <w:rPr>
          <w:rFonts w:ascii="Book Antiqua" w:hAnsi="Book Antiqua" w:cs="Arial"/>
          <w:sz w:val="24"/>
          <w:szCs w:val="24"/>
        </w:rPr>
        <w:t xml:space="preserve">ative and anti-HBs </w:t>
      </w:r>
      <w:r w:rsidR="007E713D" w:rsidRPr="007363FF">
        <w:rPr>
          <w:rFonts w:ascii="Book Antiqua" w:hAnsi="Book Antiqua" w:cs="Arial"/>
          <w:sz w:val="24"/>
          <w:szCs w:val="24"/>
        </w:rPr>
        <w:t>positive)</w:t>
      </w:r>
      <w:r w:rsidR="00E51E41" w:rsidRPr="007363FF">
        <w:rPr>
          <w:rFonts w:ascii="Book Antiqua" w:hAnsi="Book Antiqua" w:cs="Arial"/>
          <w:sz w:val="24"/>
          <w:szCs w:val="24"/>
        </w:rPr>
        <w:fldChar w:fldCharType="begin"/>
      </w:r>
      <w:r w:rsidR="00E51E41" w:rsidRPr="007363FF">
        <w:rPr>
          <w:rFonts w:ascii="Book Antiqua" w:hAnsi="Book Antiqua" w:cs="Arial"/>
          <w:sz w:val="24"/>
          <w:szCs w:val="24"/>
        </w:rPr>
        <w:instrText>ADDIN F1000_CSL_CITATION&lt;~#@#~&gt;[{"DOI":"10.1053/jlts.2001.23911","First":false,"Last":false,"PMID":"11443579","abstract":"Donor shortage has led to the use of hepatitis B core antibody (anti-HBc)--positive (anti-HBc(+)) liver allografts for patients in need of relatively urgent orthotopic liver transplantation (OLT). Because anti-HBc(+) allografts transmit hepatitis B virus (HBV) infection at a high rate, effective prophylaxis is required. We assessed the effectiveness of lamivudine in preventing HBV transmission by anti-HBc(+) allografts. Between March 1996 and March 2000 at Cedars-Sinai Medical Center (Los Angeles, CA), 15 of 169 patients (8.9%) received liver allografts from anti-HBc(+) donors. Six patients were hepatitis B surface antigen (HBsAg)(+) (group 1), and 9 patients were HBsAg negative (HBsAg(-); group 2) before OLT. All patients were administered lamivudine, 100 or 150 mg/d, orally after OLT. Patients who were HBsAg(+) before OLT also were administered hepatitis B immunoglobulin (HBIG) prophylaxis. Hepatitis B serological tests were performed on all patients, and HBV DNA was determined in liver tissues in 10 patients. All 15 patients remained HBsAg(-) at their last follow-up 2 to 40 months (mean, 17 months) post-OLT. All patients in group 1 had antibody to HBsAg (anti-HBs) titers greater than 250 mIU/mL post-OLT (mean follow-up, 20 months; range, 7 to 40 months). Of the 2 patients in group 1 who underwent liver biopsy after OLT, 1 patient had detectable hepatic HBV DNA despite being anti-HBs(+) and HBsAg(-). Among the patients in group 2, none acquired anti-HBc or HBsAg. Hepatic HBV DNA was undetectable in the 7 patients in group 2 who underwent liver biopsy after OLT. Anti-HBc(+) allografts can be safely used in patients who undergo OLT for chronic hepatitis B and susceptible transplant recipients if prophylaxis with combination HBIG and lamivudine or lamividine alone is administered after OLT, respectively. However, more data are needed to determine the efficacy of lamivudine monotherapy in preventing transmission of HBV infection from anti-HBc(+) liver allografts to susceptible recipients.","author":[{"family":"Yu","given":"A S"},{"family":"Vierling","given":"J M"},{"family":"Colquhoun","given":"S D"},{"family":"Arnaout","given":"W S"},{"family":"Chan","given":"C K"},{"family":"Khanafshar","given":"E"},{"family":"Geller","given":"S A"},{"family":"Nichols","given":"W S"},{"family":"Fong","given":"T L"}],"authorYearDisplayFormat":false,"citation-label":"7516369","container-title":"Liver Transplantation","container-title-short":"Liver Transpl.","id":"7516369","invisible":false,"issue":"6","issued":{"date-parts":[["2001","6"]]},"journalAbbreviation":"Liver Transpl.","page":"513-517","suppress-author":false,"title":"Transmission of hepatitis B infection from hepatitis B core antibody--positive liver allografts is prevented by lamivudine therapy.","type":"article-journal","volume":"7"}]</w:instrText>
      </w:r>
      <w:r w:rsidR="00E51E41"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[54]</w:t>
      </w:r>
      <w:r w:rsidR="00E51E41" w:rsidRPr="007363FF">
        <w:rPr>
          <w:rFonts w:ascii="Book Antiqua" w:hAnsi="Book Antiqua" w:cs="Arial"/>
          <w:sz w:val="24"/>
          <w:szCs w:val="24"/>
        </w:rPr>
        <w:fldChar w:fldCharType="end"/>
      </w:r>
      <w:r w:rsidR="00B2295C" w:rsidRPr="007363FF">
        <w:rPr>
          <w:rFonts w:ascii="Book Antiqua" w:hAnsi="Book Antiqua" w:cs="Arial"/>
          <w:sz w:val="24"/>
          <w:szCs w:val="24"/>
        </w:rPr>
        <w:t>. Similar results were noted in a Taiwanese cohort of 16 recipients of anti-HBc positive live donor liver allografts with no evidence of de novo HBV infection after a</w:t>
      </w:r>
      <w:r w:rsidR="007E713D" w:rsidRPr="007363FF">
        <w:rPr>
          <w:rFonts w:ascii="Book Antiqua" w:hAnsi="Book Antiqua" w:cs="Arial"/>
          <w:sz w:val="24"/>
          <w:szCs w:val="24"/>
        </w:rPr>
        <w:t xml:space="preserve"> mean follow up of 25 mo</w:t>
      </w:r>
      <w:r w:rsidR="00FC1ED2" w:rsidRPr="007363FF">
        <w:rPr>
          <w:rFonts w:ascii="Book Antiqua" w:hAnsi="Book Antiqua" w:cs="Arial"/>
          <w:sz w:val="24"/>
          <w:szCs w:val="24"/>
        </w:rPr>
        <w:fldChar w:fldCharType="begin"/>
      </w:r>
      <w:r w:rsidR="00FC1ED2" w:rsidRPr="007363FF">
        <w:rPr>
          <w:rFonts w:ascii="Book Antiqua" w:hAnsi="Book Antiqua" w:cs="Arial"/>
          <w:sz w:val="24"/>
          <w:szCs w:val="24"/>
        </w:rPr>
        <w:instrText>ADDIN F1000_CSL_CITATION&lt;~#@#~&gt;[{"DOI":"10.1034/j.1399-0012.2002.01133.x","First":false,"Last":false,"PMID":"12437618","abstract":"Exclusion of liver grafts from hepatitis B core antibody (anti-HBc) positive donors to prevent de novo hepatitis B virus (HBV) infection after liver transplantation is not feasible in areas highly endemic for HBV virus like Taiwan, where approximately 80% of adults are anti-HBc(+). The efficacy of lamivudine monotherapy to prevent de novo HBV infection after living donor liver transplantation (LDLT) using grafts from anti-HBc(+) donors remains to be elucidated. From June 1994 to August 2000, LDLT was performed in 42 recipients. Twenty-four of the 42 donors were anti-HBc(+) (57%). Pre-transplant HBV vaccination was given to all recipients irrespective of anti-HBc status at monthly intervals for 3 months. Until December 1997, eight recipients received liver grafts from anti-HBc(+) donors without prophylaxis. Since January 1998, prophylaxis with lamivudine monotherapy was given to 16 recipients receiving liver grafts from anti-HBc(+) donors. De novo HBV infection occurred in three of the eight recipients (37.5%) who did not receive prophylaxis, while none of the 16 recipients given lamivudine developed de novo HBV infection after a mean follow-up of 25 months. Two of the three recipients with de novo HBV infection were anti-HBs(-) and one recipient was anti-HBs(+). Lamivudine was well tolerated, and no side effects were noted. These results suggest that lamivudine monotherapy for recipients receiving anti-HBc(+) liver grafts is a simple, relatively inexpensive and effective prophylactic regimen for prevention of de novo HBV infection. The additive protection provided by vaccine-induced or natural immunity is uncertain.","author":[{"family":"Chen","given":"Yaw-Sen"},{"family":"Wang","given":"Chih-Chi"},{"family":"de Villa","given":"Vanessa H"},{"family":"Wang","given":"Shih-Hor"},{"family":"Cheng","given":"Yu-Fan"},{"family":"Huang","given":"Tung-Liang"},{"family":"Jawan","given":"Bruno"},{"family":"Chiu","given":"King-Wah"},{"family":"Chen","given":"Chao-Long"}],"authorYearDisplayFormat":false,"citation-label":"239116","container-title":"Clinical Transplantation","container-title-short":"Clin. Transplant.","id":"239116","invisible":false,"issue":"6","issued":{"date-parts":[["2002","12"]]},"journalAbbreviation":"Clin. Transplant.","page":"405-409","suppress-author":false,"title":"Prevention of de novo hepatitis B virus infection in living donor liver transplantation using hepatitis B core antibody positive donors.","type":"article-journal","volume":"16"}]</w:instrText>
      </w:r>
      <w:r w:rsidR="00FC1ED2"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[55]</w:t>
      </w:r>
      <w:r w:rsidR="00FC1ED2" w:rsidRPr="007363FF">
        <w:rPr>
          <w:rFonts w:ascii="Book Antiqua" w:hAnsi="Book Antiqua" w:cs="Arial"/>
          <w:sz w:val="24"/>
          <w:szCs w:val="24"/>
        </w:rPr>
        <w:fldChar w:fldCharType="end"/>
      </w:r>
      <w:r w:rsidR="00B2295C" w:rsidRPr="007363FF">
        <w:rPr>
          <w:rFonts w:ascii="Book Antiqua" w:hAnsi="Book Antiqua" w:cs="Arial"/>
          <w:sz w:val="24"/>
          <w:szCs w:val="24"/>
        </w:rPr>
        <w:t xml:space="preserve">. </w:t>
      </w:r>
    </w:p>
    <w:p w14:paraId="7BEF741A" w14:textId="66B400F8" w:rsidR="00B2295C" w:rsidRPr="007363FF" w:rsidRDefault="00B2295C" w:rsidP="0098113A">
      <w:pPr>
        <w:adjustRightInd w:val="0"/>
        <w:snapToGrid w:val="0"/>
        <w:spacing w:after="0"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 xml:space="preserve">Despite the </w:t>
      </w:r>
      <w:r w:rsidR="00A621AA" w:rsidRPr="007363FF">
        <w:rPr>
          <w:rFonts w:ascii="Book Antiqua" w:hAnsi="Book Antiqua" w:cs="Arial"/>
          <w:sz w:val="24"/>
          <w:szCs w:val="24"/>
        </w:rPr>
        <w:t xml:space="preserve">success of antiviral therapy there has been some controversy </w:t>
      </w:r>
      <w:r w:rsidRPr="007363FF">
        <w:rPr>
          <w:rFonts w:ascii="Book Antiqua" w:hAnsi="Book Antiqua" w:cs="Arial"/>
          <w:sz w:val="24"/>
          <w:szCs w:val="24"/>
        </w:rPr>
        <w:t>when examining long-term outcomes. A large prospective observational Italian study of 219</w:t>
      </w:r>
      <w:r w:rsidR="00A621AA" w:rsidRPr="007363FF">
        <w:rPr>
          <w:rFonts w:ascii="Book Antiqua" w:hAnsi="Book Antiqua" w:cs="Arial"/>
          <w:sz w:val="24"/>
          <w:szCs w:val="24"/>
        </w:rPr>
        <w:t xml:space="preserve"> LT recipients who received</w:t>
      </w:r>
      <w:r w:rsidRPr="007363FF">
        <w:rPr>
          <w:rFonts w:ascii="Book Antiqua" w:hAnsi="Book Antiqua" w:cs="Arial"/>
          <w:sz w:val="24"/>
          <w:szCs w:val="24"/>
        </w:rPr>
        <w:t xml:space="preserve"> anti-HBc positive deceased donor allografts </w:t>
      </w:r>
      <w:r w:rsidR="00A621AA" w:rsidRPr="007363FF">
        <w:rPr>
          <w:rFonts w:ascii="Book Antiqua" w:hAnsi="Book Antiqua" w:cs="Arial"/>
          <w:sz w:val="24"/>
          <w:szCs w:val="24"/>
        </w:rPr>
        <w:t xml:space="preserve">between 2007-2009 </w:t>
      </w:r>
      <w:r w:rsidRPr="007363FF">
        <w:rPr>
          <w:rFonts w:ascii="Book Antiqua" w:hAnsi="Book Antiqua" w:cs="Arial"/>
          <w:sz w:val="24"/>
          <w:szCs w:val="24"/>
        </w:rPr>
        <w:t>suggested that recipients who were HBsAg positive who received thes</w:t>
      </w:r>
      <w:r w:rsidR="003F7EF0" w:rsidRPr="007363FF">
        <w:rPr>
          <w:rFonts w:ascii="Book Antiqua" w:hAnsi="Book Antiqua" w:cs="Arial"/>
          <w:sz w:val="24"/>
          <w:szCs w:val="24"/>
        </w:rPr>
        <w:t>e organs had an increased 3 year survival compared to recipi</w:t>
      </w:r>
      <w:r w:rsidR="007E713D" w:rsidRPr="007363FF">
        <w:rPr>
          <w:rFonts w:ascii="Book Antiqua" w:hAnsi="Book Antiqua" w:cs="Arial"/>
          <w:sz w:val="24"/>
          <w:szCs w:val="24"/>
        </w:rPr>
        <w:t>ents who were HBsAg negative</w:t>
      </w:r>
      <w:r w:rsidR="00FC1ED2" w:rsidRPr="007363FF">
        <w:rPr>
          <w:rFonts w:ascii="Book Antiqua" w:hAnsi="Book Antiqua" w:cs="Arial"/>
          <w:sz w:val="24"/>
          <w:szCs w:val="24"/>
        </w:rPr>
        <w:fldChar w:fldCharType="begin"/>
      </w:r>
      <w:r w:rsidR="00FC1ED2" w:rsidRPr="007363FF">
        <w:rPr>
          <w:rFonts w:ascii="Book Antiqua" w:hAnsi="Book Antiqua" w:cs="Arial"/>
          <w:sz w:val="24"/>
          <w:szCs w:val="24"/>
        </w:rPr>
        <w:instrText>ADDIN F1000_CSL_CITATION&lt;~#@#~&gt;[{"DOI":"10.1016/j.jhep.2012.11.025","First":false,"Last":false,"PMID":"23201239","abstract":"&lt;strong&gt;BACKGROUND &amp; AIMS:&lt;/strong&gt; The appropriate allocation of grafts from HBcAb positive donors in liver transplantation is crucial, yet a consensus is still lacking.&lt;br&gt;&lt;br&gt;&lt;strong&gt;METHODS:&lt;/strong&gt; We evaluated this issue within Liver Match, a prospective observational Italian study. Data from 1437 consecutive, first transplants performed in 2007-2009 using grafts from deceased heart beating donors were analyzed (median follow-up: 1040 days). Of these, 219 (15.2%) were HBcAb positive. Sixty-six HBcAb positive grafts were allocated to HBsAg positive and 153 to HBsAg negative recipients.&lt;br&gt;&lt;br&gt;&lt;strong&gt;RESULTS:&lt;/strong&gt; 329 graft losses occurred (22.9%): 66 (30.1%) among 219 recipients of HBcAb positive grafts, and 263 (21.6%) among 1218 recipients of HBcAb negative grafts. Graft survival was lower in recipients of HBcAb positive compared to HBcAb negative donors, with unadjusted 3-year graft survival of 0.69 (s.e. 0.032) and 0.77 (0.013), respectively (log-rank, p=0.0047). After stratifying for recipient HBsAg status, this difference was only observed among HBsAg negative recipients (log rank, p=0.0007), 3-year graft survival being excellent (0.88, s.e. 0.020) among HBsAg positive recipients, regardless of the HBcAb donor status (log rank, p=0.4478). Graft loss due to de novo HBV hepatitis occurred only in one patient. At Cox regression, hazard ratios for graft loss were: MELD (1.30 per 10 units, p=0.0002), donor HBcAb positivity (1.56, p=0.0015), recipient HBsAg positivity (0.43, p &lt; 0.0001), portal vein thrombosis (1.99, p=0.0156), and DRI (1.41 per unit, p=0.0325).&lt;br&gt;&lt;br&gt;&lt;strong&gt;CONCLUSIONS:&lt;/strong&gt; HBcAb positive donor grafts have better outcomes when transplanted into HBsAg positive than HBsAg negative recipients. These findings suggest that donor HBcAb positivity requires more stringent allocation strategies.&lt;br&gt;&lt;br&gt;Copyright © 2012 European Association for the Study of the Liver. Published by Elsevier B.V. All rights reserved.","author":[{"family":"Angelico","given":"Mario"},{"family":"Nardi","given":"Alessandra"},{"family":"Marianelli","given":"Tania"},{"family":"Caccamo","given":"Lucio"},{"family":"Romagnoli","given":"Renato"},{"family":"Tisone","given":"Giuseppe"},{"family":"Pinna","given":"Antonio D"},{"family":"Avolio","given":"Alfonso W"},{"family":"Fagiuoli","given":"Stefano"},{"family":"Burra","given":"Patrizia"},{"family":"Strazzabosco","given":"Mario"},{"family":"Costa","given":"Alessandro Nanni"},{"family":"Liver Match Investigators"}],"authorYearDisplayFormat":false,"citation-label":"7516370","container-title":"Journal of Hepatology","container-title-short":"J. Hepatol.","id":"7516370","invisible":false,"issue":"4","issued":{"date-parts":[["2013","4"]]},"journalAbbreviation":"J. Hepatol.","page":"715-723","suppress-author":false,"title":"Hepatitis B-core antibody positive donors in liver transplantation and their impact on graft survival: evidence from the Liver Match cohort study.","type":"article-journal","volume":"58"}]</w:instrText>
      </w:r>
      <w:r w:rsidR="00FC1ED2"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[56]</w:t>
      </w:r>
      <w:r w:rsidR="00FC1ED2" w:rsidRPr="007363FF">
        <w:rPr>
          <w:rFonts w:ascii="Book Antiqua" w:hAnsi="Book Antiqua" w:cs="Arial"/>
          <w:sz w:val="24"/>
          <w:szCs w:val="24"/>
        </w:rPr>
        <w:fldChar w:fldCharType="end"/>
      </w:r>
      <w:r w:rsidR="003F7EF0" w:rsidRPr="007363FF">
        <w:rPr>
          <w:rFonts w:ascii="Book Antiqua" w:hAnsi="Book Antiqua" w:cs="Arial"/>
          <w:sz w:val="24"/>
          <w:szCs w:val="24"/>
        </w:rPr>
        <w:t>. Interestingly only 1 patient developed graft loss due to de novo HBV infection suggesting that other factors were responsible for the decreased survival in HBsAg negative recipients.</w:t>
      </w:r>
      <w:r w:rsidR="00A621AA" w:rsidRPr="007363FF">
        <w:rPr>
          <w:rFonts w:ascii="Book Antiqua" w:hAnsi="Book Antiqua" w:cs="Arial"/>
          <w:sz w:val="24"/>
          <w:szCs w:val="24"/>
        </w:rPr>
        <w:t xml:space="preserve"> However, good long-term survival was demonstrated in 64 HBsAg negative recipients of anti-HBc positive allografts with 69% 5</w:t>
      </w:r>
      <w:r w:rsidR="00D92C7B" w:rsidRPr="007363FF">
        <w:rPr>
          <w:rFonts w:ascii="Book Antiqua" w:hAnsi="Book Antiqua" w:cs="Arial"/>
          <w:sz w:val="24"/>
          <w:szCs w:val="24"/>
        </w:rPr>
        <w:t>-</w:t>
      </w:r>
      <w:r w:rsidR="00A621AA" w:rsidRPr="007363FF">
        <w:rPr>
          <w:rFonts w:ascii="Book Antiqua" w:hAnsi="Book Antiqua" w:cs="Arial"/>
          <w:sz w:val="24"/>
          <w:szCs w:val="24"/>
        </w:rPr>
        <w:t xml:space="preserve">year survival using a regimen of HBIG at the time of </w:t>
      </w:r>
      <w:r w:rsidR="007E713D" w:rsidRPr="007363FF">
        <w:rPr>
          <w:rFonts w:ascii="Book Antiqua" w:hAnsi="Book Antiqua" w:cs="Arial"/>
          <w:sz w:val="24"/>
          <w:szCs w:val="24"/>
        </w:rPr>
        <w:t>LT and then daily lamivudine</w:t>
      </w:r>
      <w:r w:rsidR="00FC1ED2" w:rsidRPr="007363FF">
        <w:rPr>
          <w:rFonts w:ascii="Book Antiqua" w:hAnsi="Book Antiqua" w:cs="Arial"/>
          <w:sz w:val="24"/>
          <w:szCs w:val="24"/>
        </w:rPr>
        <w:fldChar w:fldCharType="begin"/>
      </w:r>
      <w:r w:rsidR="00FC1ED2" w:rsidRPr="007363FF">
        <w:rPr>
          <w:rFonts w:ascii="Book Antiqua" w:hAnsi="Book Antiqua" w:cs="Arial"/>
          <w:sz w:val="24"/>
          <w:szCs w:val="24"/>
        </w:rPr>
        <w:instrText>ADDIN F1000_CSL_CITATION&lt;~#@#~&gt;[{"DOI":"10.1002/lt.23644","First":false,"Last":false,"PMID":"23526668","abstract":"The use of livers from hepatitis B surface antigen-negative (HBsAg- )/hepatitis B core antibody-positive (HBcAb+ ) donors in liver transplantation (LT) for HBsAg(-) /HBcAb- recipients is still controversial because of a lack of standard antiviral prophylaxis and long-term follow-up. We present our 13-year experience with the use of HBcAb+ donor livers in HBcAb- recipients. Patients received prophylaxis with hepatitis B immunoglobulin at the time of LT and then lamivudine daily. De novo hepatitis B virus (HBV) was defined as positive HBV DNA detection. Between January 1999 and December 2010, 1013 adult LT procedures were performed at our center. Sixty-four HBsAg- /HBcAb- patients (6.3%) received an HBsAg- /HBcAb+ liver. All donor sera were negative for HBcAb immunoglobulin M and HBV DNA. The mean follow-up was 48.8</w:instrText>
      </w:r>
      <w:r w:rsidR="00FC1ED2" w:rsidRPr="007363FF">
        <w:rPr>
          <w:rFonts w:ascii="MS Mincho" w:eastAsia="MS Mincho" w:hAnsi="MS Mincho" w:cs="MS Mincho" w:hint="eastAsia"/>
          <w:sz w:val="24"/>
          <w:szCs w:val="24"/>
        </w:rPr>
        <w:instrText> </w:instrText>
      </w:r>
      <w:r w:rsidR="00FC1ED2" w:rsidRPr="007363FF">
        <w:rPr>
          <w:rFonts w:ascii="Book Antiqua" w:hAnsi="Book Antiqua" w:cs="Book Antiqua"/>
          <w:sz w:val="24"/>
          <w:szCs w:val="24"/>
        </w:rPr>
        <w:instrText>±</w:instrText>
      </w:r>
      <w:r w:rsidR="00FC1ED2" w:rsidRPr="007363FF">
        <w:rPr>
          <w:rFonts w:ascii="MS Mincho" w:eastAsia="MS Mincho" w:hAnsi="MS Mincho" w:cs="MS Mincho" w:hint="eastAsia"/>
          <w:sz w:val="24"/>
          <w:szCs w:val="24"/>
        </w:rPr>
        <w:instrText> </w:instrText>
      </w:r>
      <w:r w:rsidR="00FC1ED2" w:rsidRPr="007363FF">
        <w:rPr>
          <w:rFonts w:ascii="Book Antiqua" w:hAnsi="Book Antiqua" w:cs="Arial"/>
          <w:sz w:val="24"/>
          <w:szCs w:val="24"/>
        </w:rPr>
        <w:instrText>40.1 months (range</w:instrText>
      </w:r>
      <w:r w:rsidR="00FC1ED2" w:rsidRPr="007363FF">
        <w:rPr>
          <w:rFonts w:ascii="MS Mincho" w:eastAsia="MS Mincho" w:hAnsi="MS Mincho" w:cs="MS Mincho" w:hint="eastAsia"/>
          <w:sz w:val="24"/>
          <w:szCs w:val="24"/>
        </w:rPr>
        <w:instrText> </w:instrText>
      </w:r>
      <w:r w:rsidR="00FC1ED2" w:rsidRPr="007363FF">
        <w:rPr>
          <w:rFonts w:ascii="Book Antiqua" w:hAnsi="Book Antiqua" w:cs="Arial"/>
          <w:sz w:val="24"/>
          <w:szCs w:val="24"/>
        </w:rPr>
        <w:instrText>=</w:instrText>
      </w:r>
      <w:r w:rsidR="00FC1ED2" w:rsidRPr="007363FF">
        <w:rPr>
          <w:rFonts w:ascii="MS Mincho" w:eastAsia="MS Mincho" w:hAnsi="MS Mincho" w:cs="MS Mincho" w:hint="eastAsia"/>
          <w:sz w:val="24"/>
          <w:szCs w:val="24"/>
        </w:rPr>
        <w:instrText> </w:instrText>
      </w:r>
      <w:r w:rsidR="00FC1ED2" w:rsidRPr="007363FF">
        <w:rPr>
          <w:rFonts w:ascii="Book Antiqua" w:hAnsi="Book Antiqua" w:cs="Arial"/>
          <w:sz w:val="24"/>
          <w:szCs w:val="24"/>
        </w:rPr>
        <w:instrText>1.2-148.8). Both the patient survival rates and the graft survival rates were 92.2% and 69.2% at 1 and 5 years, respectively. No graft losses or deaths were related to de novo HBV. Nine of the 64 patients (14.1%) developed de novo HBV. The mean time from LT to de novo HBV was 21.4</w:instrText>
      </w:r>
      <w:r w:rsidR="00FC1ED2" w:rsidRPr="007363FF">
        <w:rPr>
          <w:rFonts w:ascii="MS Mincho" w:eastAsia="MS Mincho" w:hAnsi="MS Mincho" w:cs="MS Mincho" w:hint="eastAsia"/>
          <w:sz w:val="24"/>
          <w:szCs w:val="24"/>
        </w:rPr>
        <w:instrText> </w:instrText>
      </w:r>
      <w:r w:rsidR="00FC1ED2" w:rsidRPr="007363FF">
        <w:rPr>
          <w:rFonts w:ascii="Book Antiqua" w:hAnsi="Book Antiqua" w:cs="Book Antiqua"/>
          <w:sz w:val="24"/>
          <w:szCs w:val="24"/>
        </w:rPr>
        <w:instrText>±</w:instrText>
      </w:r>
      <w:r w:rsidR="00FC1ED2" w:rsidRPr="007363FF">
        <w:rPr>
          <w:rFonts w:ascii="MS Mincho" w:eastAsia="MS Mincho" w:hAnsi="MS Mincho" w:cs="MS Mincho" w:hint="eastAsia"/>
          <w:sz w:val="24"/>
          <w:szCs w:val="24"/>
        </w:rPr>
        <w:instrText> </w:instrText>
      </w:r>
      <w:r w:rsidR="00FC1ED2" w:rsidRPr="007363FF">
        <w:rPr>
          <w:rFonts w:ascii="Book Antiqua" w:hAnsi="Book Antiqua" w:cs="Arial"/>
          <w:sz w:val="24"/>
          <w:szCs w:val="24"/>
        </w:rPr>
        <w:instrText>26.1 months (range</w:instrText>
      </w:r>
      <w:r w:rsidR="00FC1ED2" w:rsidRPr="007363FF">
        <w:rPr>
          <w:rFonts w:ascii="MS Mincho" w:eastAsia="MS Mincho" w:hAnsi="MS Mincho" w:cs="MS Mincho" w:hint="eastAsia"/>
          <w:sz w:val="24"/>
          <w:szCs w:val="24"/>
        </w:rPr>
        <w:instrText> </w:instrText>
      </w:r>
      <w:r w:rsidR="00FC1ED2" w:rsidRPr="007363FF">
        <w:rPr>
          <w:rFonts w:ascii="Book Antiqua" w:hAnsi="Book Antiqua" w:cs="Arial"/>
          <w:sz w:val="24"/>
          <w:szCs w:val="24"/>
        </w:rPr>
        <w:instrText>=</w:instrText>
      </w:r>
      <w:r w:rsidR="00FC1ED2" w:rsidRPr="007363FF">
        <w:rPr>
          <w:rFonts w:ascii="MS Mincho" w:eastAsia="MS Mincho" w:hAnsi="MS Mincho" w:cs="MS Mincho" w:hint="eastAsia"/>
          <w:sz w:val="24"/>
          <w:szCs w:val="24"/>
        </w:rPr>
        <w:instrText> </w:instrText>
      </w:r>
      <w:r w:rsidR="00FC1ED2" w:rsidRPr="007363FF">
        <w:rPr>
          <w:rFonts w:ascii="Book Antiqua" w:hAnsi="Book Antiqua" w:cs="Arial"/>
          <w:sz w:val="24"/>
          <w:szCs w:val="24"/>
        </w:rPr>
        <w:instrText>10.8-92.8 months). De novo HBV was successfully treated with adefovir or tenofovir. In conclusion, HBcAb+ allografts can be safely used in HBcAb- recipients without increased mortality or graft loss. Lifelong prophylaxis, continuous surveillance, and compliance are imperative for success. Should a de novo infection occur, our experience suggests that a variety of treatments can be employed to salvage the graft and obtain serum HBV DNA clearance.&lt;br&gt;&lt;br&gt;Copyright © 2013 American Association for the Study of Liver Diseases.","author":[{"family":"Bohorquez","given":"Humberto E"},{"family":"Cohen","given":"Ari J"},{"family":"Girgrah","given":"Nigel"},{"family":"Bruce","given":"David S"},{"family":"Carmody","given":"Ian C"},{"family":"Joshi","given":"Shoba"},{"family":"Reichman","given":"Trevor W"},{"family":"Therapondos","given":"George"},{"family":"Mason","given":"Andrew L"},{"family":"Loss","given":"George E"}],"authorYearDisplayFormat":false,"citation-label":"7516372","container-title":"Liver Transplantation","container-title-short":"Liver Transpl.","id":"7516372","invisible":false,"issue":"6","issued":{"date-parts":[["2013","6"]]},"journalAbbreviation":"Liver Transpl.","page":"611-618","suppress-author":false,"title":"Liver transplantation in hepatitis B core-negative recipients using livers from hepatitis B core-positive donors: a 13-year experience.","type":"article-journal","volume":"19"}]</w:instrText>
      </w:r>
      <w:r w:rsidR="00FC1ED2"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[57]</w:t>
      </w:r>
      <w:r w:rsidR="00FC1ED2" w:rsidRPr="007363FF">
        <w:rPr>
          <w:rFonts w:ascii="Book Antiqua" w:hAnsi="Book Antiqua" w:cs="Arial"/>
          <w:sz w:val="24"/>
          <w:szCs w:val="24"/>
        </w:rPr>
        <w:fldChar w:fldCharType="end"/>
      </w:r>
      <w:r w:rsidR="00A621AA" w:rsidRPr="007363FF">
        <w:rPr>
          <w:rFonts w:ascii="Book Antiqua" w:hAnsi="Book Antiqua" w:cs="Arial"/>
          <w:sz w:val="24"/>
          <w:szCs w:val="24"/>
        </w:rPr>
        <w:t>. Nine patients developed de novo HBV infection despite this prophylaxis but were successfully treated with adefovir or tenofovir. Even better results have been seen in the p</w:t>
      </w:r>
      <w:r w:rsidR="009436DE" w:rsidRPr="007363FF">
        <w:rPr>
          <w:rFonts w:ascii="Book Antiqua" w:hAnsi="Book Antiqua" w:cs="Arial"/>
          <w:sz w:val="24"/>
          <w:szCs w:val="24"/>
        </w:rPr>
        <w:t>ediatric population with 92% 10-</w:t>
      </w:r>
      <w:r w:rsidR="00A621AA" w:rsidRPr="007363FF">
        <w:rPr>
          <w:rFonts w:ascii="Book Antiqua" w:hAnsi="Book Antiqua" w:cs="Arial"/>
          <w:sz w:val="24"/>
          <w:szCs w:val="24"/>
        </w:rPr>
        <w:t>year survival in 41 recipients of anti-HBc positive allografts using a combination of HBIG for 1 year post-LT and yearly HBV</w:t>
      </w:r>
      <w:r w:rsidR="00B33F8E" w:rsidRPr="007363FF">
        <w:rPr>
          <w:rFonts w:ascii="Book Antiqua" w:hAnsi="Book Antiqua" w:cs="Arial"/>
          <w:sz w:val="24"/>
          <w:szCs w:val="24"/>
        </w:rPr>
        <w:t xml:space="preserve"> vaccine, wi</w:t>
      </w:r>
      <w:r w:rsidR="007E713D" w:rsidRPr="007363FF">
        <w:rPr>
          <w:rFonts w:ascii="Book Antiqua" w:hAnsi="Book Antiqua" w:cs="Arial"/>
          <w:sz w:val="24"/>
          <w:szCs w:val="24"/>
        </w:rPr>
        <w:t>thout antivirals</w:t>
      </w:r>
      <w:r w:rsidR="00FC1ED2" w:rsidRPr="007363FF">
        <w:rPr>
          <w:rFonts w:ascii="Book Antiqua" w:hAnsi="Book Antiqua" w:cs="Arial"/>
          <w:sz w:val="24"/>
          <w:szCs w:val="24"/>
        </w:rPr>
        <w:fldChar w:fldCharType="begin"/>
      </w:r>
      <w:r w:rsidR="00FC1ED2" w:rsidRPr="007363FF">
        <w:rPr>
          <w:rFonts w:ascii="Book Antiqua" w:hAnsi="Book Antiqua" w:cs="Arial"/>
          <w:sz w:val="24"/>
          <w:szCs w:val="24"/>
        </w:rPr>
        <w:instrText>ADDIN F1000_CSL_CITATION&lt;~#@#~&gt;[{"DOI":"10.1002/lt.24372","First":false,"Last":false,"PMID":"26600319","abstract":"The use of hepatitis B core antibody-positive (HBcAb+) grafts for liver transplantation (LT) has the potential to safely expand the donor pool, as long as proper prophylaxis against de novo hepatitis B (DNHB) is employed. The aim of this study was to characterize the longterm outcome of pediatric LT recipients of HBcAb + liver grafts under a prophylaxis regimen against DNHB using hepatitis B virus (HBV) vaccine and hepatitis B immunoglobulin (HBIG). From June 1996 to February 2013, 49 patients receiving pediatric LT at our center were from HBcAb + donors. Forty-one patients who received DNHB prophylaxis according to our protocol were included in this analysis. Our DNHB prophylaxis protocol consists of HBV vaccine intramuscular injections given intermittently to maintain anti-hepatitis B surface antibody (HBsAb) titers above 100 IU/L. HBIG was also used during the first posttransplant year with a target anti-HBsAb titer level above 200 IU/L. There were 19 boys and 22 girls. Median age was 1.0 year (range, 4 months to 16 years). Median follow-up time was 66 months after transplant. Median annual number of HBV vaccine injections was 0.8 per year (range, 0-1.8 per year). Four patients did not require any HBV vaccine injections during follow-up. One patient with DNHB was encountered during the follow-up period (1/41, 2.4%). DNHB was diagnosed at 3.5 years after transplant, when hepatitis B surface antigen was positive upon routine follow-up serologic testing. Anti-HBsAb titer was 101.5 IU/L at the time. No grafts were lost because of DNHB-related events. Overall survival of the 41 recipients of HBcAb + grafts who received DNHB prophylaxis was 92.3% at 10 years after transplant. In conclusion, longterm prophylaxis against DNHB with HBV vaccine in pediatric LT recipients of HBcAb + grafts was safe and effective in terms of DNHB incidence as well as graft and patient survival.&lt;br&gt;&lt;br&gt;© 2015 American Association for the Study of Liver Diseases.","author":[{"family":"Lee","given":"Sanghoon"},{"family":"Kim","given":"Jong Man"},{"family":"Choi","given":"Gyu Seong"},{"family":"Park","given":"Jae Berm"},{"family":"Kwon","given":"Choon Hyuck David"},{"family":"Choe","given":"Yon-Ho"},{"family":"Joh","given":"Jae-Won"},{"family":"Lee","given":"Suk-Koo"}],"authorYearDisplayFormat":false,"citation-label":"7516374","container-title":"Liver Transplantation","container-title-short":"Liver Transpl.","id":"7516374","invisible":false,"issue":"2","issued":{"date-parts":[["2016","2"]]},"journalAbbreviation":"Liver Transpl.","page":"247-251","suppress-author":false,"title":"De novo hepatitis b prophylaxis with hepatitis B virus vaccine and hepatitis B immunoglobulin in pediatric recipients of core antibody-positive livers.","type":"article-journal","volume":"22"}]</w:instrText>
      </w:r>
      <w:r w:rsidR="00FC1ED2"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[58]</w:t>
      </w:r>
      <w:r w:rsidR="00FC1ED2" w:rsidRPr="007363FF">
        <w:rPr>
          <w:rFonts w:ascii="Book Antiqua" w:hAnsi="Book Antiqua" w:cs="Arial"/>
          <w:sz w:val="24"/>
          <w:szCs w:val="24"/>
        </w:rPr>
        <w:fldChar w:fldCharType="end"/>
      </w:r>
      <w:r w:rsidR="00A621AA" w:rsidRPr="007363FF">
        <w:rPr>
          <w:rFonts w:ascii="Book Antiqua" w:hAnsi="Book Antiqua" w:cs="Arial"/>
          <w:sz w:val="24"/>
          <w:szCs w:val="24"/>
        </w:rPr>
        <w:t xml:space="preserve">. </w:t>
      </w:r>
    </w:p>
    <w:p w14:paraId="5C2071B4" w14:textId="77777777" w:rsidR="00C7539F" w:rsidRPr="007363FF" w:rsidRDefault="00C7539F" w:rsidP="007363FF">
      <w:pPr>
        <w:adjustRightInd w:val="0"/>
        <w:snapToGrid w:val="0"/>
        <w:spacing w:after="0" w:line="360" w:lineRule="auto"/>
        <w:jc w:val="both"/>
        <w:rPr>
          <w:rFonts w:ascii="Book Antiqua" w:hAnsi="Book Antiqua" w:cs="Arial"/>
          <w:sz w:val="24"/>
          <w:szCs w:val="24"/>
          <w:shd w:val="clear" w:color="auto" w:fill="FFFFFF"/>
        </w:rPr>
      </w:pPr>
    </w:p>
    <w:p w14:paraId="2C4609CD" w14:textId="570E131A" w:rsidR="004F6458" w:rsidRPr="0098113A" w:rsidRDefault="007C5069" w:rsidP="007363FF">
      <w:pPr>
        <w:adjustRightInd w:val="0"/>
        <w:snapToGrid w:val="0"/>
        <w:spacing w:after="0" w:line="360" w:lineRule="auto"/>
        <w:jc w:val="both"/>
        <w:rPr>
          <w:rFonts w:ascii="Book Antiqua" w:hAnsi="Book Antiqua" w:cs="Arial"/>
          <w:b/>
          <w:bCs/>
          <w:i/>
          <w:iCs/>
          <w:sz w:val="24"/>
          <w:szCs w:val="24"/>
          <w:shd w:val="clear" w:color="auto" w:fill="FFFFFF"/>
        </w:rPr>
      </w:pPr>
      <w:r w:rsidRPr="0098113A">
        <w:rPr>
          <w:rFonts w:ascii="Book Antiqua" w:hAnsi="Book Antiqua" w:cs="Arial"/>
          <w:b/>
          <w:bCs/>
          <w:i/>
          <w:iCs/>
          <w:sz w:val="24"/>
          <w:szCs w:val="24"/>
          <w:shd w:val="clear" w:color="auto" w:fill="FFFFFF"/>
        </w:rPr>
        <w:t>HBV</w:t>
      </w:r>
      <w:r w:rsidR="004577D9" w:rsidRPr="0098113A">
        <w:rPr>
          <w:rFonts w:ascii="Book Antiqua" w:hAnsi="Book Antiqua" w:cs="Arial"/>
          <w:b/>
          <w:bCs/>
          <w:i/>
          <w:iCs/>
          <w:sz w:val="24"/>
          <w:szCs w:val="24"/>
          <w:shd w:val="clear" w:color="auto" w:fill="FFFFFF"/>
        </w:rPr>
        <w:t xml:space="preserve"> surface antigen positive donors</w:t>
      </w:r>
    </w:p>
    <w:p w14:paraId="5C67A261" w14:textId="505B113B" w:rsidR="00FF069B" w:rsidRPr="007363FF" w:rsidRDefault="007C5069" w:rsidP="007363FF">
      <w:pPr>
        <w:adjustRightInd w:val="0"/>
        <w:snapToGrid w:val="0"/>
        <w:spacing w:after="0" w:line="360" w:lineRule="auto"/>
        <w:jc w:val="both"/>
        <w:rPr>
          <w:rFonts w:ascii="Book Antiqua" w:hAnsi="Book Antiqua" w:cs="Arial"/>
          <w:sz w:val="24"/>
          <w:szCs w:val="24"/>
          <w:shd w:val="clear" w:color="auto" w:fill="FFFFFF"/>
        </w:rPr>
      </w:pPr>
      <w:r w:rsidRPr="007363FF">
        <w:rPr>
          <w:rFonts w:ascii="Book Antiqua" w:hAnsi="Book Antiqua" w:cs="Arial"/>
          <w:sz w:val="24"/>
          <w:szCs w:val="24"/>
          <w:shd w:val="clear" w:color="auto" w:fill="FFFFFF"/>
        </w:rPr>
        <w:lastRenderedPageBreak/>
        <w:t>With the continued organ shortage every effort should be made to use donor liver allografts that previously may have been discarded. This is particularly the case in areas of the world where HBV infection is endemic</w:t>
      </w:r>
      <w:r w:rsidR="00333B97" w:rsidRPr="007363FF">
        <w:rPr>
          <w:rFonts w:ascii="Book Antiqua" w:hAnsi="Book Antiqua" w:cs="Arial"/>
          <w:sz w:val="24"/>
          <w:szCs w:val="24"/>
          <w:shd w:val="clear" w:color="auto" w:fill="FFFFFF"/>
        </w:rPr>
        <w:t xml:space="preserve"> and the prevalence of anti-HBc positivity can be as high as 80%. The encouraging results using these types of liver donors with highly effective anti-viral therapy has led to the possibility of using donors who are HBsAg positive and therefore likely to have chronic HBV infection.</w:t>
      </w:r>
    </w:p>
    <w:p w14:paraId="2BC68BC3" w14:textId="50B0E53E" w:rsidR="00FF069B" w:rsidRPr="007363FF" w:rsidRDefault="00333B97" w:rsidP="00036B44">
      <w:pPr>
        <w:adjustRightInd w:val="0"/>
        <w:snapToGrid w:val="0"/>
        <w:spacing w:after="0" w:line="360" w:lineRule="auto"/>
        <w:ind w:firstLineChars="100" w:firstLine="240"/>
        <w:jc w:val="both"/>
        <w:rPr>
          <w:rFonts w:ascii="Book Antiqua" w:hAnsi="Book Antiqua" w:cs="Arial"/>
          <w:sz w:val="24"/>
          <w:szCs w:val="24"/>
          <w:shd w:val="clear" w:color="auto" w:fill="FFFFFF"/>
        </w:rPr>
      </w:pPr>
      <w:r w:rsidRPr="007363FF">
        <w:rPr>
          <w:rFonts w:ascii="Book Antiqua" w:hAnsi="Book Antiqua" w:cs="Arial"/>
          <w:sz w:val="24"/>
          <w:szCs w:val="24"/>
          <w:shd w:val="clear" w:color="auto" w:fill="FFFFFF"/>
        </w:rPr>
        <w:t>Several reports have emerged demonstrating that HBsAg positive deceased donors can be safely used in HBsAg positive or HBsAg negative recipients. A small Italian study of 10 patients followed for a median of 42 mo after LT using HBsAg positive donors with HBIG and antiviral therapy and showed no evidence of HBV hepatitis in any patient with half of HBsAg negative recipients remai</w:t>
      </w:r>
      <w:r w:rsidR="007E713D" w:rsidRPr="007363FF">
        <w:rPr>
          <w:rFonts w:ascii="Book Antiqua" w:hAnsi="Book Antiqua" w:cs="Arial"/>
          <w:sz w:val="24"/>
          <w:szCs w:val="24"/>
          <w:shd w:val="clear" w:color="auto" w:fill="FFFFFF"/>
        </w:rPr>
        <w:t>ning HB</w:t>
      </w:r>
      <w:r w:rsidR="004B4D55" w:rsidRPr="007363FF">
        <w:rPr>
          <w:rFonts w:ascii="Book Antiqua" w:hAnsi="Book Antiqua" w:cs="Arial"/>
          <w:sz w:val="24"/>
          <w:szCs w:val="24"/>
          <w:shd w:val="clear" w:color="auto" w:fill="FFFFFF"/>
        </w:rPr>
        <w:t>s</w:t>
      </w:r>
      <w:r w:rsidR="007E713D" w:rsidRPr="007363FF">
        <w:rPr>
          <w:rFonts w:ascii="Book Antiqua" w:hAnsi="Book Antiqua" w:cs="Arial"/>
          <w:sz w:val="24"/>
          <w:szCs w:val="24"/>
          <w:shd w:val="clear" w:color="auto" w:fill="FFFFFF"/>
        </w:rPr>
        <w:t>Ag negative after LT</w:t>
      </w:r>
      <w:r w:rsidR="00462A59" w:rsidRPr="007363FF">
        <w:rPr>
          <w:rFonts w:ascii="Book Antiqua" w:hAnsi="Book Antiqua" w:cs="Arial"/>
          <w:sz w:val="24"/>
          <w:szCs w:val="24"/>
          <w:shd w:val="clear" w:color="auto" w:fill="FFFFFF"/>
        </w:rPr>
        <w:fldChar w:fldCharType="begin"/>
      </w:r>
      <w:r w:rsidR="00462A59" w:rsidRPr="007363FF">
        <w:rPr>
          <w:rFonts w:ascii="Book Antiqua" w:hAnsi="Book Antiqua" w:cs="Arial"/>
          <w:sz w:val="24"/>
          <w:szCs w:val="24"/>
          <w:shd w:val="clear" w:color="auto" w:fill="FFFFFF"/>
        </w:rPr>
        <w:instrText>ADDIN F1000_CSL_CITATION&lt;~#@#~&gt;[{"DOI":"10.1016/j.jhep.2011.09.016","First":false,"Last":false,"PMID":"22027583","abstract":"&lt;strong&gt;BACKGROUND &amp; AIMS:&lt;/strong&gt; The main limitation of orthotopic liver transplantation (OLT) is the scarcity of available donor organs. A possibility to increase the organ pool is to use grafts from hepatitis B virus surface antigen (HBsAg) positive donors, but few data are currently available in this setting. We assessed the clinical, serovirological, and immunological outcomes of liver transplant from HBsAg positive donors in a single centre study.&lt;br&gt;&lt;br&gt;&lt;strong&gt;METHODS:&lt;/strong&gt; From 2005 to 2009 10 patients underwent OLT from HBsAg positive donors, for HBV-related disease (n=6) or HBV-unrelated disease (n=4). The median follow-up was 42 months (range 12-60). All recipients were HBcAb positive and were given antiviral prophylaxis.&lt;br&gt;&lt;br&gt;&lt;strong&gt;RESULTS:&lt;/strong&gt; Patients transplanted for HBV-related disease never cleared HBsAg. Two HBsAg negative patients never tested positive for HBsAg, whereas the others experienced an HBsAg appearance, followed by spontaneous production of anti-HBs, allowing HBsAg clearance. No patient ever had any sign of HBV hepatitis. HBV replication was effectively controlled by antiviral therapy. The immunologic sub-study showed that a most robust anti-HBV specific T cell response was associated with the control of HBV infection.&lt;br&gt;&lt;br&gt;&lt;strong&gt;CONCLUSIONS:&lt;/strong&gt; OLT from HBsAg positive donors seems to be a safe procedure in the era of highly effective antiviral therapy.&lt;br&gt;&lt;br&gt;Copyright © 2011 European Association for the Study of the Liver. Published by Elsevier B.V. All rights reserved.","author":[{"family":"Loggi","given":"Elisabetta"},{"family":"Micco","given":"Lorenzo"},{"family":"Ercolani","given":"Giorgio"},{"family":"Cucchetti","given":"Alessandro"},{"family":"Bihl","given":"Florian K"},{"family":"Grazi","given":"Gian Luca"},{"family":"Gitto","given":"Stefano"},{"family":"Bontadini","given":"Andrea"},{"family":"Bernardi","given":"Mauro"},{"family":"Grossi","given":"Paolo"},{"family":"Costa","given":"Alessandro Nanni"},{"family":"Pinna","given":"Antonio Daniele"},{"family":"Brander","given":"Christian"},{"family":"Andreone","given":"Pietro"}],"authorYearDisplayFormat":false,"citation-label":"7516375","container-title":"Journal of Hepatology","container-title-short":"J. Hepatol.","id":"7516375","invisible":false,"issue":"3","issued":{"date-parts":[["2012","3"]]},"journalAbbreviation":"J. Hepatol.","page":"579-585","suppress-author":false,"title":"Liver transplantation from hepatitis B surface antigen positive donors: a safe way to expand the donor pool.","type":"article-journal","volume":"56"}]</w:instrText>
      </w:r>
      <w:r w:rsidR="00462A59" w:rsidRPr="007363FF">
        <w:rPr>
          <w:rFonts w:ascii="Book Antiqua" w:hAnsi="Book Antiqua" w:cs="Arial"/>
          <w:sz w:val="24"/>
          <w:szCs w:val="24"/>
          <w:shd w:val="clear" w:color="auto" w:fill="FFFFFF"/>
        </w:rPr>
        <w:fldChar w:fldCharType="separate"/>
      </w:r>
      <w:r w:rsidR="00B203B5" w:rsidRPr="007363FF">
        <w:rPr>
          <w:rFonts w:ascii="Book Antiqua" w:hAnsi="Book Antiqua" w:cs="Arial"/>
          <w:noProof/>
          <w:sz w:val="24"/>
          <w:szCs w:val="24"/>
          <w:shd w:val="clear" w:color="auto" w:fill="FFFFFF"/>
          <w:vertAlign w:val="superscript"/>
        </w:rPr>
        <w:t>[59]</w:t>
      </w:r>
      <w:r w:rsidR="00462A59" w:rsidRPr="007363FF">
        <w:rPr>
          <w:rFonts w:ascii="Book Antiqua" w:hAnsi="Book Antiqua" w:cs="Arial"/>
          <w:sz w:val="24"/>
          <w:szCs w:val="24"/>
          <w:shd w:val="clear" w:color="auto" w:fill="FFFFFF"/>
        </w:rPr>
        <w:fldChar w:fldCharType="end"/>
      </w:r>
      <w:r w:rsidRPr="007363FF">
        <w:rPr>
          <w:rFonts w:ascii="Book Antiqua" w:hAnsi="Book Antiqua" w:cs="Arial"/>
          <w:sz w:val="24"/>
          <w:szCs w:val="24"/>
          <w:shd w:val="clear" w:color="auto" w:fill="FFFFFF"/>
        </w:rPr>
        <w:t>. A larger study in Asia compared 42 adult recipients of HBsAg</w:t>
      </w:r>
      <w:r w:rsidR="00ED6B4A" w:rsidRPr="007363FF">
        <w:rPr>
          <w:rFonts w:ascii="Book Antiqua" w:hAnsi="Book Antiqua" w:cs="Arial"/>
          <w:sz w:val="24"/>
          <w:szCs w:val="24"/>
          <w:shd w:val="clear" w:color="auto" w:fill="FFFFFF"/>
        </w:rPr>
        <w:t xml:space="preserve"> </w:t>
      </w:r>
      <w:r w:rsidRPr="007363FF">
        <w:rPr>
          <w:rFonts w:ascii="Book Antiqua" w:hAnsi="Book Antiqua" w:cs="Arial"/>
          <w:sz w:val="24"/>
          <w:szCs w:val="24"/>
          <w:shd w:val="clear" w:color="auto" w:fill="FFFFFF"/>
        </w:rPr>
        <w:t>positive donors with 327 patients who received HBsAg negative donors and noted comparabl</w:t>
      </w:r>
      <w:r w:rsidR="007E713D" w:rsidRPr="007363FF">
        <w:rPr>
          <w:rFonts w:ascii="Book Antiqua" w:hAnsi="Book Antiqua" w:cs="Arial"/>
          <w:sz w:val="24"/>
          <w:szCs w:val="24"/>
          <w:shd w:val="clear" w:color="auto" w:fill="FFFFFF"/>
        </w:rPr>
        <w:t>e graft and patient survival</w:t>
      </w:r>
      <w:r w:rsidR="00462A59" w:rsidRPr="007363FF">
        <w:rPr>
          <w:rFonts w:ascii="Book Antiqua" w:hAnsi="Book Antiqua" w:cs="Arial"/>
          <w:sz w:val="24"/>
          <w:szCs w:val="24"/>
          <w:shd w:val="clear" w:color="auto" w:fill="FFFFFF"/>
        </w:rPr>
        <w:fldChar w:fldCharType="begin"/>
      </w:r>
      <w:r w:rsidR="00462A59" w:rsidRPr="007363FF">
        <w:rPr>
          <w:rFonts w:ascii="Book Antiqua" w:hAnsi="Book Antiqua" w:cs="Arial"/>
          <w:sz w:val="24"/>
          <w:szCs w:val="24"/>
          <w:shd w:val="clear" w:color="auto" w:fill="FFFFFF"/>
        </w:rPr>
        <w:instrText>ADDIN F1000_CSL_CITATION&lt;~#@#~&gt;[{"DOI":"10.1016/j.jhep.2014.05.003","First":false,"Last":false,"PMID":"24824283","abstract":"&lt;strong&gt;BACKGROUND &amp; AIMS:&lt;/strong&gt; Liver grafts from hepatitis B surface antigen (HBsAg) positive donors could have potential to increase the donor pool. However, knowledge is extremely limited in this setting because currently available data are mostly from case reports. We aimed to assess the outcomes and experiences of liver transplantation from HBsAg positive donors in a single centre study.&lt;br&gt;&lt;br&gt;&lt;strong&gt;METHODS:&lt;/strong&gt; From January 2010 to February 2013, 42 adult patients underwent liver transplantation from HBsAg positive donors and 327 patients from HBsAg negative ones. The outcomes including complications and survival of two groups were compared and antiviral therapy retrospectively reviewed.&lt;br&gt;&lt;br&gt;&lt;strong&gt;RESULTS:&lt;/strong&gt; HBsAg positive liver grafts were more likely to be allocated to patients with hepatitis B (HBV)-related diseases. Post-transplant evaluation showed similar graft function regaining pace and no differences in complications such as primary non-function, acute rejection and biliary complications. Patient and graft survivals were comparable to that of HBsAg negative grafts. Furthermore, HBsAg persisted after transplant in all patients that received positive grafts. The donor HBV serum status determined the one of the recipient after transplantation. No HBV flare-ups were observed under antiviral therapy of oral nucleotide analogues, regardless of using hepatitis B immunoglobulin combination.&lt;br&gt;&lt;br&gt;&lt;strong&gt;CONCLUSIONS:&lt;/strong&gt; Utilization of HBsAg positive liver grafts seems not to increase postoperative morbidity and mortality. Therefore it is a safe way to expand the donor pool when no suitable donor is available. Our experience also suggests that hepatitis B immunoglobulin should be abandoned in recipients of HBsAg positive liver grafts, in whom HBV prophylaxis could be the only oral antiviral therapy.&lt;br&gt;&lt;br&gt;Copyright © 2014 European Association for the Study of the Liver. Published by Elsevier B.V. All rights reserved.","author":[{"family":"Yu","given":"Songfeng"},{"family":"Yu","given":"Jun"},{"family":"Zhang","given":"Wei"},{"family":"Cheng","given":"Longyu"},{"family":"Ye","given":"Yufu"},{"family":"Geng","given":"Lei"},{"family":"Yu","given":"Zhiyong"},{"family":"Yan","given":"Sheng"},{"family":"Wu","given":"Lihua"},{"family":"Wang","given":"Weilin"},{"family":"Zheng","given":"Shusen"}],"authorYearDisplayFormat":false,"citation-label":"429699","container-title":"Journal of Hepatology","container-title-short":"J. Hepatol.","id":"429699","invisible":false,"issue":"4","issued":{"date-parts":[["2014","10"]]},"journalAbbreviation":"J. Hepatol.","page":"809-815","suppress-author":false,"title":"Safe use of liver grafts from hepatitis B surface antigen positive donors in liver transplantation.","type":"article-journal","volume":"61"}]</w:instrText>
      </w:r>
      <w:r w:rsidR="00462A59" w:rsidRPr="007363FF">
        <w:rPr>
          <w:rFonts w:ascii="Book Antiqua" w:hAnsi="Book Antiqua" w:cs="Arial"/>
          <w:sz w:val="24"/>
          <w:szCs w:val="24"/>
          <w:shd w:val="clear" w:color="auto" w:fill="FFFFFF"/>
        </w:rPr>
        <w:fldChar w:fldCharType="separate"/>
      </w:r>
      <w:r w:rsidR="00B203B5" w:rsidRPr="007363FF">
        <w:rPr>
          <w:rFonts w:ascii="Book Antiqua" w:hAnsi="Book Antiqua" w:cs="Arial"/>
          <w:noProof/>
          <w:sz w:val="24"/>
          <w:szCs w:val="24"/>
          <w:shd w:val="clear" w:color="auto" w:fill="FFFFFF"/>
          <w:vertAlign w:val="superscript"/>
        </w:rPr>
        <w:t>[60]</w:t>
      </w:r>
      <w:r w:rsidR="00462A59" w:rsidRPr="007363FF">
        <w:rPr>
          <w:rFonts w:ascii="Book Antiqua" w:hAnsi="Book Antiqua" w:cs="Arial"/>
          <w:sz w:val="24"/>
          <w:szCs w:val="24"/>
          <w:shd w:val="clear" w:color="auto" w:fill="FFFFFF"/>
        </w:rPr>
        <w:fldChar w:fldCharType="end"/>
      </w:r>
      <w:r w:rsidRPr="007363FF">
        <w:rPr>
          <w:rFonts w:ascii="Book Antiqua" w:hAnsi="Book Antiqua" w:cs="Arial"/>
          <w:sz w:val="24"/>
          <w:szCs w:val="24"/>
          <w:shd w:val="clear" w:color="auto" w:fill="FFFFFF"/>
        </w:rPr>
        <w:t>. All the recipients of HBsAg positive allografts remained HBsAg</w:t>
      </w:r>
      <w:r w:rsidR="00ED6B4A" w:rsidRPr="007363FF">
        <w:rPr>
          <w:rFonts w:ascii="Book Antiqua" w:hAnsi="Book Antiqua" w:cs="Arial"/>
          <w:sz w:val="24"/>
          <w:szCs w:val="24"/>
          <w:shd w:val="clear" w:color="auto" w:fill="FFFFFF"/>
        </w:rPr>
        <w:t xml:space="preserve"> </w:t>
      </w:r>
      <w:r w:rsidR="00FF069B" w:rsidRPr="007363FF">
        <w:rPr>
          <w:rFonts w:ascii="Book Antiqua" w:hAnsi="Book Antiqua" w:cs="Arial"/>
          <w:sz w:val="24"/>
          <w:szCs w:val="24"/>
          <w:shd w:val="clear" w:color="auto" w:fill="FFFFFF"/>
        </w:rPr>
        <w:t>positive</w:t>
      </w:r>
      <w:r w:rsidRPr="007363FF">
        <w:rPr>
          <w:rFonts w:ascii="Book Antiqua" w:hAnsi="Book Antiqua" w:cs="Arial"/>
          <w:sz w:val="24"/>
          <w:szCs w:val="24"/>
          <w:shd w:val="clear" w:color="auto" w:fill="FFFFFF"/>
        </w:rPr>
        <w:t xml:space="preserve"> without evidence of HBV hepatitis and were mainly receiving oral antiviral therapy without HBIG.</w:t>
      </w:r>
      <w:r w:rsidR="00F71BEF" w:rsidRPr="007363FF">
        <w:rPr>
          <w:rFonts w:ascii="Book Antiqua" w:hAnsi="Book Antiqua" w:cs="Arial"/>
          <w:sz w:val="24"/>
          <w:szCs w:val="24"/>
          <w:shd w:val="clear" w:color="auto" w:fill="FFFFFF"/>
        </w:rPr>
        <w:t xml:space="preserve"> Closer examination of viral activity suggests that there is low level viremia early on after LT with HBsAg positive donors but this becomes unde</w:t>
      </w:r>
      <w:r w:rsidR="007E713D" w:rsidRPr="007363FF">
        <w:rPr>
          <w:rFonts w:ascii="Book Antiqua" w:hAnsi="Book Antiqua" w:cs="Arial"/>
          <w:sz w:val="24"/>
          <w:szCs w:val="24"/>
          <w:shd w:val="clear" w:color="auto" w:fill="FFFFFF"/>
        </w:rPr>
        <w:t>tectable within a few months</w:t>
      </w:r>
      <w:r w:rsidR="00462A59" w:rsidRPr="007363FF">
        <w:rPr>
          <w:rFonts w:ascii="Book Antiqua" w:hAnsi="Book Antiqua" w:cs="Arial"/>
          <w:sz w:val="24"/>
          <w:szCs w:val="24"/>
          <w:shd w:val="clear" w:color="auto" w:fill="FFFFFF"/>
        </w:rPr>
        <w:fldChar w:fldCharType="begin"/>
      </w:r>
      <w:r w:rsidR="00462A59" w:rsidRPr="007363FF">
        <w:rPr>
          <w:rFonts w:ascii="Book Antiqua" w:hAnsi="Book Antiqua" w:cs="Arial"/>
          <w:sz w:val="24"/>
          <w:szCs w:val="24"/>
          <w:shd w:val="clear" w:color="auto" w:fill="FFFFFF"/>
        </w:rPr>
        <w:instrText>ADDIN F1000_CSL_CITATION&lt;~#@#~&gt;[{"DOI":"10.1111/jvh.12880","First":false,"Last":false,"PMID":"29431877","abstract":"Indications of liver transplantation are extensive, but deceased donation does not meet the demand. Hepatitis B surface antigen (HBsAg)-positive grafts used to be discarded in the past. The aim of this study was to examine viral activity and outcome of HBsAg-positive deceased grafts transplanted to HBsAg-positive recipients. Eleven HBsAg-positive deceased grafts were transplanted to HBsAg-positive patients with acute liver failure (3 patients), hepatocellular carcinoma (6 patients) and repeatedly bleeding varices (2 patients). Postoperatively, hepatitis B virus (HBV) infection was treated by a combination of antiviral nucleoside and nucleotide analogues. HBV DNA and HBsAg were measured periodically. The median (interquartile) model of end-stage liver disease score for the recipients was 19 (16-32) with a range from 11 to 40. HBV DNA was detected in 6 patients with a range from 61 to 1083 IU/mL before transplantation. After transplantation, HBV DNA was detected in 4 patients in the first month and 2 patients in the 6th month and became undetectable for all patients at end of the first year. The quantitative HBsAg ranged from 0.86 to 241.1 IU/mL at 6 months and 0.34 to 238.5 IU/mL at 24 months (P = .135). Three of the patients died in the early phase, and the other patients were followed up for 40.0 ± 19.2 months with normal liver function. In conclusion, HBsAg-positive deceased liver grafts function well with minimal viral activity under treatment of combined antiviral nucleoside and nucleotide analogues. Use of HBsAg-positive deceased grafts is feasible and increases the donor pool to rescue dying patients.&lt;br&gt;&lt;br&gt;© 2018 John Wiley &amp; Sons Ltd.","author":[{"family":"Lee","given":"W C"},{"family":"Chou","given":"H S"},{"family":"Lee","given":"C S"},{"family":"Wu","given":"T H"},{"family":"Wang","given":"Y C"},{"family":"Cheng","given":"C H"},{"family":"Lee","given":"C F"},{"family":"Wu","given":"T J"},{"family":"Chan","given":"K M"}],"authorYearDisplayFormat":false,"citation-label":"7516376","container-title":"Journal of Viral Hepatitis","container-title-short":"J. Viral Hepat.","id":"7516376","invisible":false,"issue":"7","issued":{"date-parts":[["2018","3","14"]]},"journalAbbreviation":"J. Viral Hepat.","page":"874-877","suppress-author":false,"title":"Viral activity and outcome of hepatitis B surface antigen-positive grafts in deceased liver transplantation.","type":"article-journal","volume":"25"}]</w:instrText>
      </w:r>
      <w:r w:rsidR="00462A59" w:rsidRPr="007363FF">
        <w:rPr>
          <w:rFonts w:ascii="Book Antiqua" w:hAnsi="Book Antiqua" w:cs="Arial"/>
          <w:sz w:val="24"/>
          <w:szCs w:val="24"/>
          <w:shd w:val="clear" w:color="auto" w:fill="FFFFFF"/>
        </w:rPr>
        <w:fldChar w:fldCharType="separate"/>
      </w:r>
      <w:r w:rsidR="00B203B5" w:rsidRPr="007363FF">
        <w:rPr>
          <w:rFonts w:ascii="Book Antiqua" w:hAnsi="Book Antiqua" w:cs="Arial"/>
          <w:noProof/>
          <w:sz w:val="24"/>
          <w:szCs w:val="24"/>
          <w:shd w:val="clear" w:color="auto" w:fill="FFFFFF"/>
          <w:vertAlign w:val="superscript"/>
        </w:rPr>
        <w:t>[61]</w:t>
      </w:r>
      <w:r w:rsidR="00462A59" w:rsidRPr="007363FF">
        <w:rPr>
          <w:rFonts w:ascii="Book Antiqua" w:hAnsi="Book Antiqua" w:cs="Arial"/>
          <w:sz w:val="24"/>
          <w:szCs w:val="24"/>
          <w:shd w:val="clear" w:color="auto" w:fill="FFFFFF"/>
        </w:rPr>
        <w:fldChar w:fldCharType="end"/>
      </w:r>
      <w:r w:rsidR="00F71BEF" w:rsidRPr="007363FF">
        <w:rPr>
          <w:rFonts w:ascii="Book Antiqua" w:hAnsi="Book Antiqua" w:cs="Arial"/>
          <w:sz w:val="24"/>
          <w:szCs w:val="24"/>
          <w:shd w:val="clear" w:color="auto" w:fill="FFFFFF"/>
        </w:rPr>
        <w:t xml:space="preserve">. </w:t>
      </w:r>
    </w:p>
    <w:p w14:paraId="1BC62624" w14:textId="42479918" w:rsidR="00F71BEF" w:rsidRPr="007363FF" w:rsidRDefault="00F71BEF" w:rsidP="004179FC">
      <w:pPr>
        <w:adjustRightInd w:val="0"/>
        <w:snapToGrid w:val="0"/>
        <w:spacing w:after="0" w:line="360" w:lineRule="auto"/>
        <w:ind w:firstLineChars="100" w:firstLine="240"/>
        <w:jc w:val="both"/>
        <w:rPr>
          <w:rFonts w:ascii="Book Antiqua" w:hAnsi="Book Antiqua" w:cs="Arial"/>
          <w:sz w:val="24"/>
          <w:szCs w:val="24"/>
          <w:shd w:val="clear" w:color="auto" w:fill="FFFFFF"/>
        </w:rPr>
      </w:pPr>
      <w:r w:rsidRPr="007363FF">
        <w:rPr>
          <w:rFonts w:ascii="Book Antiqua" w:hAnsi="Book Antiqua" w:cs="Arial"/>
          <w:sz w:val="24"/>
          <w:szCs w:val="24"/>
          <w:shd w:val="clear" w:color="auto" w:fill="FFFFFF"/>
        </w:rPr>
        <w:t>In the U</w:t>
      </w:r>
      <w:r w:rsidR="0098113A">
        <w:rPr>
          <w:rFonts w:ascii="Book Antiqua" w:hAnsi="Book Antiqua" w:cs="Arial"/>
          <w:sz w:val="24"/>
          <w:szCs w:val="24"/>
          <w:shd w:val="clear" w:color="auto" w:fill="FFFFFF"/>
        </w:rPr>
        <w:t xml:space="preserve">nited </w:t>
      </w:r>
      <w:r w:rsidRPr="007363FF">
        <w:rPr>
          <w:rFonts w:ascii="Book Antiqua" w:hAnsi="Book Antiqua" w:cs="Arial"/>
          <w:sz w:val="24"/>
          <w:szCs w:val="24"/>
          <w:shd w:val="clear" w:color="auto" w:fill="FFFFFF"/>
        </w:rPr>
        <w:t>S</w:t>
      </w:r>
      <w:r w:rsidR="0098113A">
        <w:rPr>
          <w:rFonts w:ascii="Book Antiqua" w:hAnsi="Book Antiqua" w:cs="Arial"/>
          <w:sz w:val="24"/>
          <w:szCs w:val="24"/>
          <w:shd w:val="clear" w:color="auto" w:fill="FFFFFF"/>
        </w:rPr>
        <w:t>tates</w:t>
      </w:r>
      <w:r w:rsidRPr="007363FF">
        <w:rPr>
          <w:rFonts w:ascii="Book Antiqua" w:hAnsi="Book Antiqua" w:cs="Arial"/>
          <w:sz w:val="24"/>
          <w:szCs w:val="24"/>
          <w:shd w:val="clear" w:color="auto" w:fill="FFFFFF"/>
        </w:rPr>
        <w:t xml:space="preserve"> the American Society of Transplantation published consensus guidelines regarding the use of HBV positive donors but only refers to anti-HBc positive allografts and suggests that these donors should be considered for all adult transplant candidates with lamivudine as the antiviral prophy</w:t>
      </w:r>
      <w:r w:rsidR="00B33F8E" w:rsidRPr="007363FF">
        <w:rPr>
          <w:rFonts w:ascii="Book Antiqua" w:hAnsi="Book Antiqua" w:cs="Arial"/>
          <w:sz w:val="24"/>
          <w:szCs w:val="24"/>
          <w:shd w:val="clear" w:color="auto" w:fill="FFFFFF"/>
        </w:rPr>
        <w:t xml:space="preserve">laxis of choice </w:t>
      </w:r>
      <w:r w:rsidR="007E713D" w:rsidRPr="007363FF">
        <w:rPr>
          <w:rFonts w:ascii="Book Antiqua" w:hAnsi="Book Antiqua" w:cs="Arial"/>
          <w:sz w:val="24"/>
          <w:szCs w:val="24"/>
          <w:shd w:val="clear" w:color="auto" w:fill="FFFFFF"/>
        </w:rPr>
        <w:t>without HBIG</w:t>
      </w:r>
      <w:r w:rsidR="00462A59" w:rsidRPr="007363FF">
        <w:rPr>
          <w:rFonts w:ascii="Book Antiqua" w:hAnsi="Book Antiqua" w:cs="Arial"/>
          <w:sz w:val="24"/>
          <w:szCs w:val="24"/>
          <w:shd w:val="clear" w:color="auto" w:fill="FFFFFF"/>
        </w:rPr>
        <w:fldChar w:fldCharType="begin"/>
      </w:r>
      <w:r w:rsidR="00462A59" w:rsidRPr="007363FF">
        <w:rPr>
          <w:rFonts w:ascii="Book Antiqua" w:hAnsi="Book Antiqua" w:cs="Arial"/>
          <w:sz w:val="24"/>
          <w:szCs w:val="24"/>
          <w:shd w:val="clear" w:color="auto" w:fill="FFFFFF"/>
        </w:rPr>
        <w:instrText>ADDIN F1000_CSL_CITATION&lt;~#@#~&gt;[{"DOI":"10.1111/ajt.13187","First":false,"Last":false,"PMID":"25707744","abstract":"Use of organs from donors testing positive for hepatitis B virus (HBV) may safely expand the donor pool. The American Society of Transplantation convened a multidisciplinary expert panel that reviewed the existing literature and developed consensus recommendations for recipient management following the use of organs from HBV positive donors. Transmission risk is highest with liver donors and significantly lower with non-liver (kidney and thoracic) donors. Antiviral prophylaxis significantly reduces the rate of transmission to liver recipients from isolated HBV core antibody positive (anti-HBc+) donors. Organs from anti-HBc+ donors should be considered for all adult transplant candidates after an individualized assessment of the risks and benefits and appropriate patient consent. Indefinite antiviral prophylaxis is recommended in liver recipients with no immunity or vaccine immunity but not in liver recipients with natural immunity. Antiviral prophylaxis may be considered for up to 1 year in susceptible non-liver recipients but is not recommended in immune non-liver recipients. Although no longer the treatment of choice in patients with chronic HBV, lamivudine remains the most cost-effective choice for prophylaxis in this setting. Hepatitis B immunoglobulin is not recommended. &lt;br&gt;&lt;br&gt;© Copyright 2015 The American Society of Transplantation and the American Society of Transplant Surgeons.","author":[{"family":"Huprikar","given":"S"},{"family":"Danziger-Isakov","given":"L"},{"family":"Ahn","given":"J"},{"family":"Naugler","given":"S"},{"family":"Blumberg","given":"E"},{"family":"Avery","given":"R K"},{"family":"Koval","given":"C"},{"family":"Lease","given":"E D"},{"family":"Pillai","given":"A"},{"family":"Doucette","given":"K E"},{"family":"Levitsky","given":"J"},{"family":"Morris","given":"M I"},{"family":"Lu","given":"K"},{"family":"McDermott","given":"J K"},{"family":"Mone","given":"T"},{"family":"Orlowski","given":"J P"},{"family":"Dadhania","given":"D M"},{"family":"Abbott","given":"K"},{"family":"Horslen","given":"S"},{"family":"Laskin","given":"B L"},{"family":"Mougdil","given":"A"},{"family":"Venkat","given":"V L"},{"family":"Korenblat","given":"K"},{"family":"Kumar","given":"V"},{"family":"Grossi","given":"P"},{"family":"Bloom","given":"R D"},{"family":"Brown","given":"K"},{"family":"Kotton","given":"C N"},{"family":"Kumar","given":"D"}],"authorYearDisplayFormat":false,"citation-label":"674677","container-title":"American Journal of Transplantation","container-title-short":"Am. J. Transplant.","id":"674677","invisible":false,"issue":"5","issued":{"date-parts":[["2015","5"]]},"journalAbbreviation":"Am. J. Transplant.","page":"1162-1172","suppress-author":false,"title":"Solid organ transplantation from hepatitis B virus-positive donors: consensus guidelines for recipient management.","type":"article-journal","volume":"15"}]</w:instrText>
      </w:r>
      <w:r w:rsidR="00462A59" w:rsidRPr="007363FF">
        <w:rPr>
          <w:rFonts w:ascii="Book Antiqua" w:hAnsi="Book Antiqua" w:cs="Arial"/>
          <w:sz w:val="24"/>
          <w:szCs w:val="24"/>
          <w:shd w:val="clear" w:color="auto" w:fill="FFFFFF"/>
        </w:rPr>
        <w:fldChar w:fldCharType="separate"/>
      </w:r>
      <w:r w:rsidR="00B203B5" w:rsidRPr="007363FF">
        <w:rPr>
          <w:rFonts w:ascii="Book Antiqua" w:hAnsi="Book Antiqua" w:cs="Arial"/>
          <w:noProof/>
          <w:sz w:val="24"/>
          <w:szCs w:val="24"/>
          <w:shd w:val="clear" w:color="auto" w:fill="FFFFFF"/>
          <w:vertAlign w:val="superscript"/>
        </w:rPr>
        <w:t>[62]</w:t>
      </w:r>
      <w:r w:rsidR="00462A59" w:rsidRPr="007363FF">
        <w:rPr>
          <w:rFonts w:ascii="Book Antiqua" w:hAnsi="Book Antiqua" w:cs="Arial"/>
          <w:sz w:val="24"/>
          <w:szCs w:val="24"/>
          <w:shd w:val="clear" w:color="auto" w:fill="FFFFFF"/>
        </w:rPr>
        <w:fldChar w:fldCharType="end"/>
      </w:r>
      <w:r w:rsidRPr="007363FF">
        <w:rPr>
          <w:rFonts w:ascii="Book Antiqua" w:hAnsi="Book Antiqua" w:cs="Arial"/>
          <w:sz w:val="24"/>
          <w:szCs w:val="24"/>
          <w:shd w:val="clear" w:color="auto" w:fill="FFFFFF"/>
        </w:rPr>
        <w:t xml:space="preserve">. Hence the use of HBsAg positive donors needs further investigation. </w:t>
      </w:r>
    </w:p>
    <w:p w14:paraId="158A28DE" w14:textId="6C28A228" w:rsidR="00D31119" w:rsidRPr="007363FF" w:rsidRDefault="00522567" w:rsidP="007363FF">
      <w:pPr>
        <w:adjustRightInd w:val="0"/>
        <w:snapToGrid w:val="0"/>
        <w:spacing w:after="0" w:line="360" w:lineRule="auto"/>
        <w:jc w:val="both"/>
        <w:rPr>
          <w:rFonts w:ascii="Book Antiqua" w:hAnsi="Book Antiqua" w:cs="Arial"/>
          <w:b/>
          <w:sz w:val="24"/>
          <w:szCs w:val="24"/>
        </w:rPr>
      </w:pPr>
      <w:r w:rsidRPr="007363FF">
        <w:rPr>
          <w:rFonts w:ascii="Book Antiqua" w:hAnsi="Book Antiqua" w:cs="Arial"/>
          <w:sz w:val="24"/>
          <w:szCs w:val="24"/>
        </w:rPr>
        <w:t xml:space="preserve"> </w:t>
      </w:r>
    </w:p>
    <w:p w14:paraId="4EBA5E6A" w14:textId="3019E378" w:rsidR="00B33F8E" w:rsidRPr="007363FF" w:rsidRDefault="004179FC" w:rsidP="007363FF">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b/>
          <w:sz w:val="24"/>
          <w:szCs w:val="24"/>
        </w:rPr>
        <w:t>HUMAN IMMUNODEFICIENCY VIRUS</w:t>
      </w:r>
    </w:p>
    <w:p w14:paraId="5EC4F959" w14:textId="38FA40E0" w:rsidR="00B33F8E" w:rsidRPr="007363FF" w:rsidRDefault="00B33F8E" w:rsidP="007363FF">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 xml:space="preserve">The advent of highly effective anti-retroviral therapy (HAART) for HIV infection in the mid 1990s meant that a previously fatal disease was now a chronic illness. Patients with HIV infection share some of the risk factors for acquiring viral hepatitis infection and it became clear that rather than dying of AIDS, liver disease was becoming the leading cause of death in HIV patients, mainly from </w:t>
      </w:r>
      <w:r w:rsidR="00D31119" w:rsidRPr="007363FF">
        <w:rPr>
          <w:rFonts w:ascii="Book Antiqua" w:hAnsi="Book Antiqua" w:cs="Arial"/>
          <w:sz w:val="24"/>
          <w:szCs w:val="24"/>
        </w:rPr>
        <w:t>HBV or HCV infection</w:t>
      </w:r>
      <w:r w:rsidR="00462A59" w:rsidRPr="007363FF">
        <w:rPr>
          <w:rFonts w:ascii="Book Antiqua" w:hAnsi="Book Antiqua" w:cs="Arial"/>
          <w:sz w:val="24"/>
          <w:szCs w:val="24"/>
        </w:rPr>
        <w:fldChar w:fldCharType="begin"/>
      </w:r>
      <w:r w:rsidR="00462A59" w:rsidRPr="007363FF">
        <w:rPr>
          <w:rFonts w:ascii="Book Antiqua" w:hAnsi="Book Antiqua" w:cs="Arial"/>
          <w:sz w:val="24"/>
          <w:szCs w:val="24"/>
        </w:rPr>
        <w:instrText>ADDIN F1000_CSL_CITATION&lt;~#@#~&gt;[{"DOI":"10.1016/s0140-6736(02)11913-1","First":false,"Last":false,"PMID":"12493258","abstract":"&lt;strong&gt;BACKGROUND:&lt;/strong&gt; Although coinfection with HIV-1 and hepatitis B virus (HBV) is common, few long-term studies on liver-disease mortality in coinfected people have been undertaken. Our aim was to examine liver-related mortality among people at risk for HIV-1 and HBV infections.&lt;br&gt;&lt;br&gt;&lt;strong&gt;METHODS:&lt;/strong&gt; We used data from a multicentre, prospective cohort study to classify 5293 men who had sex with men, according to their HIV-1 antibody status, ascertained semiannually, and their hepatitis-B surface antigen status (HBsAg), which we ascertained at baseline. Mortality rates were estimated in terms of person-years and Poisson regression methods were used to test for significance of relative risks.&lt;br&gt;&lt;br&gt;&lt;strong&gt;FINDINGS:&lt;/strong&gt; 326 (6%) men were HBsAg positive, of whom 213 (65%) were HIV-1 positive. Of the 4967 HBsAg negative men, 2346 (47%) were infected with HIV-1. The liver-related mortality rate was 1.1/1000 person years, and was higher in men with HIV-1 and HBsAg (14.2/1000) than in those with only HIV-1 infection (1.7/1000, p&lt; 0.001) or only HBsAg (0.8/1000, p&lt; 0.001). In coinfected individuals, the liver-related mortality rate was highest with lower nadir CD4+ cell counts and was twice as high after 1996, when highly active antiretroviral therapy (HAART) was introduced.&lt;br&gt;&lt;br&gt;&lt;strong&gt;INTERPRETATION:&lt;/strong&gt; Individuals coinfected with HIV-1 and HBV, especially those with low CD4+ nadir counts, are at increased risk for liver-related mortality, underscoring the importance of prevention, identification, and comprehensive management of hepatitis B in people infected with HIV-1.","author":[{"family":"Thio","given":"Chloe L"},{"family":"Seaberg","given":"Eric C"},{"family":"Skolasky","given":"Richard"},{"family":"Phair","given":"John"},{"family":"Visscher","given":"Barbara"},{"family":"Muñoz","given":"Alvaro"},{"family":"Thomas","given":"David L"},{"family":"Multicenter AIDS Cohort Study"}],"authorYearDisplayFormat":false,"citation-label":"2703095","container-title":"The Lancet","container-title-short":"Lancet","id":"2703095","invisible":false,"issue":"9349","issued":{"date-parts":[["2002","12","14"]]},"journalAbbreviation":"Lancet","page":"1921-1926","suppress-author":false,"title":"HIV-1, hepatitis B virus, and risk of liver-related mortality in the Multicenter Cohort Study (MACS).","type":"article-journal","volume":"360"},{"DOI":"10.1086/318501","First":false,"Last":false,"PMID":"11170959","abstract":"Highly active antiretroviral therapy has decreased human immunodeficiency virus (HIV)-associated mortality; other comorbidities, such as chronic liver disease, are assuming greater importance. We retrospectively examined the causes of death of HIV-seropositive patients at our institution in 1991, 1996, and 1998-1999. In 1998-1999, 11 (50%) of 22 deaths were due to end-stage liver disease, compared with 3 (11.5%) of 26 in 1991 and 5 (13.9%) of 36 in 1996 (P=.003). In 1998-1999, 55% of patients had nondetectable plasma HIV RNA levels and/or CD4 cell counts of &gt;200 cells/mm(3) within the year before death. Most of the patients that were tested had detectable antibodies to hepatitis C virus (75% of patients who died in 1991, 57.7% who died in 1996, and 93.8% who died in 1998-1999; P=NS). In 1998-1999, 7 patients (31.8%) discontinued antiretroviral therapy because of hepatotoxicity, compared with 0 in 1991 and 2 (5.6%) in 1996. End-stage liver disease is now the leading cause of death in our hospitalized HIV-seropositive population.","author":[{"family":"Bica","given":"I"},{"family":"McGovern","given":"B"},{"family":"Dhar","given":"R"},{"family":"Stone","given":"D"},{"family":"McGowan","given":"K"},{"family":"Scheib","given":"R"},{"family":"Snydman","given":"D R"}],"authorYearDisplayFormat":false,"citation-label":"2703112","container-title":"Clinical Infectious Diseases","container-title-short":"Clin. Infect. Dis.","id":"2703112","invisible":false,"issue":"3","issued":{"date-parts":[["2001","2","1"]]},"journalAbbreviation":"Clin. Infect. Dis.","page":"492-497","suppress-author":false,"title":"Increasing mortality due to end-stage liver disease in patients with human immunodeficiency virus infection.","type":"article-journal","volume":"32"}]</w:instrText>
      </w:r>
      <w:r w:rsidR="00462A59"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[63,64]</w:t>
      </w:r>
      <w:r w:rsidR="00462A59" w:rsidRPr="007363FF">
        <w:rPr>
          <w:rFonts w:ascii="Book Antiqua" w:hAnsi="Book Antiqua" w:cs="Arial"/>
          <w:sz w:val="24"/>
          <w:szCs w:val="24"/>
        </w:rPr>
        <w:fldChar w:fldCharType="end"/>
      </w:r>
      <w:r w:rsidRPr="007363FF">
        <w:rPr>
          <w:rFonts w:ascii="Book Antiqua" w:hAnsi="Book Antiqua" w:cs="Arial"/>
          <w:sz w:val="24"/>
          <w:szCs w:val="24"/>
        </w:rPr>
        <w:t>.</w:t>
      </w:r>
    </w:p>
    <w:p w14:paraId="7D9C1CDF" w14:textId="77777777" w:rsidR="00C7539F" w:rsidRPr="007363FF" w:rsidRDefault="00C7539F" w:rsidP="007363FF">
      <w:pPr>
        <w:pStyle w:val="a3"/>
        <w:adjustRightInd w:val="0"/>
        <w:snapToGrid w:val="0"/>
        <w:spacing w:line="360" w:lineRule="auto"/>
        <w:jc w:val="both"/>
        <w:rPr>
          <w:rFonts w:ascii="Book Antiqua" w:hAnsi="Book Antiqua" w:cs="Arial"/>
          <w:sz w:val="24"/>
          <w:szCs w:val="24"/>
        </w:rPr>
      </w:pPr>
    </w:p>
    <w:p w14:paraId="459EBA4D" w14:textId="39962C55" w:rsidR="00B33F8E" w:rsidRPr="004179FC" w:rsidRDefault="00B33F8E" w:rsidP="007363FF">
      <w:pPr>
        <w:pStyle w:val="a3"/>
        <w:adjustRightInd w:val="0"/>
        <w:snapToGrid w:val="0"/>
        <w:spacing w:line="360" w:lineRule="auto"/>
        <w:jc w:val="both"/>
        <w:rPr>
          <w:rFonts w:ascii="Book Antiqua" w:hAnsi="Book Antiqua" w:cs="Arial"/>
          <w:b/>
          <w:bCs/>
          <w:i/>
          <w:iCs/>
          <w:sz w:val="24"/>
          <w:szCs w:val="24"/>
        </w:rPr>
      </w:pPr>
      <w:r w:rsidRPr="004179FC">
        <w:rPr>
          <w:rFonts w:ascii="Book Antiqua" w:hAnsi="Book Antiqua" w:cs="Arial"/>
          <w:b/>
          <w:bCs/>
          <w:i/>
          <w:iCs/>
          <w:sz w:val="24"/>
          <w:szCs w:val="24"/>
        </w:rPr>
        <w:t xml:space="preserve">Early </w:t>
      </w:r>
      <w:r w:rsidR="00FF273A" w:rsidRPr="004179FC">
        <w:rPr>
          <w:rFonts w:ascii="Book Antiqua" w:hAnsi="Book Antiqua" w:cs="Arial"/>
          <w:b/>
          <w:bCs/>
          <w:i/>
          <w:iCs/>
          <w:sz w:val="24"/>
          <w:szCs w:val="24"/>
        </w:rPr>
        <w:t>r</w:t>
      </w:r>
      <w:r w:rsidRPr="004179FC">
        <w:rPr>
          <w:rFonts w:ascii="Book Antiqua" w:hAnsi="Book Antiqua" w:cs="Arial"/>
          <w:b/>
          <w:bCs/>
          <w:i/>
          <w:iCs/>
          <w:sz w:val="24"/>
          <w:szCs w:val="24"/>
        </w:rPr>
        <w:t>eports</w:t>
      </w:r>
    </w:p>
    <w:p w14:paraId="755DF62F" w14:textId="4A3116B1" w:rsidR="00B33F8E" w:rsidRPr="007363FF" w:rsidRDefault="00B33F8E" w:rsidP="007363FF">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The first reports of LT in HIV patients were in carefully selected patients with only short term follow up. Norris et al reported on 14 HIV-infected liver allograft recipients (7 with HCV infection, 7 non-HCV) transplanted over 8 y</w:t>
      </w:r>
      <w:r w:rsidR="007E713D" w:rsidRPr="007363FF">
        <w:rPr>
          <w:rFonts w:ascii="Book Antiqua" w:hAnsi="Book Antiqua" w:cs="Arial"/>
          <w:sz w:val="24"/>
          <w:szCs w:val="24"/>
        </w:rPr>
        <w:t>ears in a single institution</w:t>
      </w:r>
      <w:r w:rsidR="00462A59" w:rsidRPr="007363FF">
        <w:rPr>
          <w:rFonts w:ascii="Book Antiqua" w:hAnsi="Book Antiqua" w:cs="Arial"/>
          <w:sz w:val="24"/>
          <w:szCs w:val="24"/>
        </w:rPr>
        <w:fldChar w:fldCharType="begin"/>
      </w:r>
      <w:r w:rsidR="00462A59" w:rsidRPr="007363FF">
        <w:rPr>
          <w:rFonts w:ascii="Book Antiqua" w:hAnsi="Book Antiqua" w:cs="Arial"/>
          <w:sz w:val="24"/>
          <w:szCs w:val="24"/>
        </w:rPr>
        <w:instrText>ADDIN F1000_CSL_CITATION&lt;~#@#~&gt;[{"DOI":"10.1002/lt.20233","First":false,"Last":false,"PMID":"15376307","abstract":"Liver transplantation (LT) in human immunodeficiency virus (HIV)-positive individuals is considered to be an experimental therapy with limited reported worldwide experience, and little long-term survival data. Published data suggest that the short-term outcome is encouraging in selected patients. Here, we report our experience in 14 HIV-infected liver allograft recipients, and compare outcomes between those coinfected with hepatitis C virus (HCV) and the non-HCV group. A total of 14 HIV-infected patients (12 male, 2 female, age range 26-59 years) underwent LT between January 1995 and April 2003. Indications for LT were HCV (n = 7), hepatitis B virus (HBV; n = 4), alcohol-induced liver disease (n = 2), and seronegative hepatitis (n = 1); 3 patients presented with acute liver failure. At LT, CD4 cell counts (T-helper cells that are targets for HIV) ranged from 124 to 500 cells/microL (mean 264), and HIV viral loads from &lt; 50 to 197,000 copies/mL. Nine of 12 patients were exposed to highly active antiretroviral therapy (HAART) before LT. In the non-HCV group (n = 7), all patients are alive, all surviving more than 365 days (range 668-2,661 days). No patient has experienced HBV recurrence, and graft function is normal in all 7 patients. However, 5 of 7 HCV-infected patients died after LT at 95-784 days (median 161 days). A total of 4 patients died of complications due to recurrent HCV infection and sepsis, despite antiviral therapy in 3 of them. A total of 3 patients experienced complications relating to HAART therapy. In conclusion, outcome of LT in HIV-infected patients with HBV or other causes of chronic liver disease indicates that LT is an acceptable therapeutic option in selected patients. However, longer follow-up in larger series is required before a conclusive directive can be provided for HCV / HIV coinfected patients requiring LT.","author":[{"family":"Norris","given":"Suzanne"},{"family":"Taylor","given":"Chris"},{"family":"Muiesan","given":"Paolo"},{"family":"Portmann","given":"Bernard C"},{"family":"Knisely","given":"Alex S"},{"family":"Bowles","given":"Matthew"},{"family":"Rela","given":"Mohamed"},{"family":"Heaton","given":"Nigel"},{"family":"O'Grady","given":"John G"}],"authorYearDisplayFormat":false,"citation-label":"7516378","container-title":"Liver Transplantation","container-title-short":"Liver Transpl.","id":"7516378","invisible":false,"issue":"10","issued":{"date-parts":[["2004","10"]]},"journalAbbreviation":"Liver Transpl.","page":"1271-1278","suppress-author":false,"title":"Outcomes of liver transplantation in HIV-infected individuals: the impact of HCV and HBV infection.","type":"article-journal","volume":"10"}]</w:instrText>
      </w:r>
      <w:r w:rsidR="00462A59"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[65]</w:t>
      </w:r>
      <w:r w:rsidR="00462A59" w:rsidRPr="007363FF">
        <w:rPr>
          <w:rFonts w:ascii="Book Antiqua" w:hAnsi="Book Antiqua" w:cs="Arial"/>
          <w:sz w:val="24"/>
          <w:szCs w:val="24"/>
        </w:rPr>
        <w:fldChar w:fldCharType="end"/>
      </w:r>
      <w:r w:rsidRPr="007363FF">
        <w:rPr>
          <w:rFonts w:ascii="Book Antiqua" w:hAnsi="Book Antiqua" w:cs="Arial"/>
          <w:sz w:val="24"/>
          <w:szCs w:val="24"/>
        </w:rPr>
        <w:t xml:space="preserve">. All the patients in the non-HCV infected cohort were alive at 1-year follow up but 4 of the HCV group died of complications from recurrent HCV infection and sepsis, despite HAART in the majority. Further reports confirmed that short-term outcomes were acceptable in patients with stable HIV after LT (91% at 1 year) but recurrent HCV infection was very common and affected patient and graft survival, decreasing </w:t>
      </w:r>
      <w:r w:rsidR="007E713D" w:rsidRPr="007363FF">
        <w:rPr>
          <w:rFonts w:ascii="Book Antiqua" w:hAnsi="Book Antiqua" w:cs="Arial"/>
          <w:sz w:val="24"/>
          <w:szCs w:val="24"/>
        </w:rPr>
        <w:t>to 64% at 3 years</w:t>
      </w:r>
      <w:r w:rsidR="00462A59" w:rsidRPr="007363FF">
        <w:rPr>
          <w:rFonts w:ascii="Book Antiqua" w:hAnsi="Book Antiqua" w:cs="Arial"/>
          <w:sz w:val="24"/>
          <w:szCs w:val="24"/>
        </w:rPr>
        <w:fldChar w:fldCharType="begin"/>
      </w:r>
      <w:r w:rsidR="00462A59" w:rsidRPr="007363FF">
        <w:rPr>
          <w:rFonts w:ascii="Book Antiqua" w:hAnsi="Book Antiqua" w:cs="Arial"/>
          <w:sz w:val="24"/>
          <w:szCs w:val="24"/>
        </w:rPr>
        <w:instrText>ADDIN F1000_CSL_CITATION&lt;~#@#~&gt;[{"DOI":"10.1111/j.1600-6143.2007.02061.x","First":false,"Last":false,"PMID":"18093266","abstract":"Improvements in human immunodeficiency virus (HIV)-associated mortality make it difficult to deny transplantation based upon futility. Outcomes in the current management era are unknown. This is a prospective series of liver or kidney transplant recipients with stable HIV disease. Eleven liver and 18 kidney transplant recipients were followed for a median of 3.4 years (IQR [interquartile range] 2.9-4.9). One- and 3-year liver recipients' survival was 91% and 64%, respectively; kidney recipients' survival was 94%. One- and 3-year liver graft survival was 82% and 64%, respectively; kidney graft survival was 83%. Kidney patient and graft survival were similar to the general transplant population, while liver survival was similar to the older population, based on 1999-2004 transplants in the national database. CD4+ T-cell counts and HIV RNA levels were stable; and there were two opportunistic infections (OI). The 1- and 3-year cumulative incidence (95% confidence intervals [CI]) of rejection episodes for kidney recipients was 52% (28-75%) and 70% (48-92%), respectively. Two-thirds of hepatitis C virus (HCV)-infected patients, but no patient with hepatitis B virus (HBV) infection, recurred. Good transplant and HIV-related outcomes among kidney transplant recipients, and reasonable outcomes among liver recipients suggest that transplantation is an option for selected HIV-infected patients cared for at centers with adequate expertise.","author":[{"family":"Roland","given":"M E"},{"family":"Barin","given":"B"},{"family":"Carlson","given":"L"},{"family":"Frassetto","given":"L A"},{"family":"Terrault","given":"N A"},{"family":"Hirose","given":"R"},{"family":"Freise","given":"C E"},{"family":"Benet","given":"L Z"},{"family":"Ascher","given":"N L"},{"family":"Roberts","given":"J P"},{"family":"Murphy","given":"B"},{"family":"Keller","given":"M J"},{"family":"Olthoff","given":"K M"},{"family":"Blumberg","given":"E A"},{"family":"Brayman","given":"K L"},{"family":"Bartlett","given":"S T"},{"family":"Davis","given":"C E"},{"family":"McCune","given":"J M"},{"family":"Bredt","given":"B M"},{"family":"Stablein","given":"D M"},{"family":"Stock","given":"P G"}],"authorYearDisplayFormat":false,"citation-label":"675041","container-title":"American Journal of Transplantation","container-title-short":"Am. J. Transplant.","id":"675041","invisible":false,"issue":"2","issued":{"date-parts":[["2008","2"]]},"journalAbbreviation":"Am. J. Transplant.","page":"355-365","suppress-author":false,"title":"HIV-infected liver and kidney transplant recipients: 1- and 3-year outcomes.","type":"article-journal","volume":"8"}]</w:instrText>
      </w:r>
      <w:r w:rsidR="00462A59"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[66]</w:t>
      </w:r>
      <w:r w:rsidR="00462A59" w:rsidRPr="007363FF">
        <w:rPr>
          <w:rFonts w:ascii="Book Antiqua" w:hAnsi="Book Antiqua" w:cs="Arial"/>
          <w:sz w:val="24"/>
          <w:szCs w:val="24"/>
        </w:rPr>
        <w:fldChar w:fldCharType="end"/>
      </w:r>
      <w:r w:rsidRPr="007363FF">
        <w:rPr>
          <w:rFonts w:ascii="Book Antiqua" w:hAnsi="Book Antiqua" w:cs="Arial"/>
          <w:sz w:val="24"/>
          <w:szCs w:val="24"/>
        </w:rPr>
        <w:t>. The National Institutes of Health (NIH) Solid Organ Transplantation in HIV trial enrolled 232 patients with HIV infection who underwent primary LT over 12 years and compared them to non-HIV infected patients (with and without HCV infection) transplanted over the same time frame in the U</w:t>
      </w:r>
      <w:r w:rsidR="004179FC">
        <w:rPr>
          <w:rFonts w:ascii="Book Antiqua" w:hAnsi="Book Antiqua" w:cs="Arial"/>
          <w:sz w:val="24"/>
          <w:szCs w:val="24"/>
        </w:rPr>
        <w:t xml:space="preserve">nited </w:t>
      </w:r>
      <w:r w:rsidRPr="007363FF">
        <w:rPr>
          <w:rFonts w:ascii="Book Antiqua" w:hAnsi="Book Antiqua" w:cs="Arial"/>
          <w:sz w:val="24"/>
          <w:szCs w:val="24"/>
        </w:rPr>
        <w:t>S</w:t>
      </w:r>
      <w:r w:rsidR="004179FC">
        <w:rPr>
          <w:rFonts w:ascii="Book Antiqua" w:hAnsi="Book Antiqua" w:cs="Arial"/>
          <w:sz w:val="24"/>
          <w:szCs w:val="24"/>
        </w:rPr>
        <w:t>tates.</w:t>
      </w:r>
      <w:r w:rsidRPr="007363FF">
        <w:rPr>
          <w:rFonts w:ascii="Book Antiqua" w:hAnsi="Book Antiqua" w:cs="Arial"/>
          <w:sz w:val="24"/>
          <w:szCs w:val="24"/>
        </w:rPr>
        <w:t xml:space="preserve"> Of these 232 patients, 72 had HIV mono-infection and 160 had HIV/HCV co-infection. The presence of HCV infection increased the risk of post-LT mortality with a hazard ratio of 1.46 in HCV mono-infected and 2.62 in HCV/HIV co-infected patients whereas HIV mono-infection did not affect post-LT mortality</w:t>
      </w:r>
      <w:r w:rsidR="00462A59" w:rsidRPr="007363FF">
        <w:rPr>
          <w:rFonts w:ascii="Book Antiqua" w:hAnsi="Book Antiqua" w:cs="Arial"/>
          <w:sz w:val="24"/>
          <w:szCs w:val="24"/>
        </w:rPr>
        <w:fldChar w:fldCharType="begin"/>
      </w:r>
      <w:r w:rsidR="00462A59" w:rsidRPr="007363FF">
        <w:rPr>
          <w:rFonts w:ascii="Book Antiqua" w:hAnsi="Book Antiqua" w:cs="Arial"/>
          <w:sz w:val="24"/>
          <w:szCs w:val="24"/>
        </w:rPr>
        <w:instrText>ADDIN F1000_CSL_CITATION&lt;~#@#~&gt;[{"DOI":"10.1093/cid/civ471","First":false,"Last":false,"PMCID":"PMC4560908","PMID":"26082506","abstract":"&lt;strong&gt;BACKGROUND:&lt;/strong&gt; The effectiveness of liver transplant (LT) in human immunodeficiency virus (HIV) and HIV/hepatitis C virus (HCV) coinfected recipients in the United States is unknown. We investigated (i) the effect of HIV on US patient and allograft LT outcomes, compared to HCV+ and HIV/HCV uninfected recipients and (ii) whether LT at centers that participated in the National Institutes of Health (NIH) Solid Organ Transplantation in HIV Trial, reflecting experience and a standardized approach to patient selection, impacted outcomes.&lt;br&gt;&lt;br&gt;&lt;strong&gt;METHODS:&lt;/strong&gt; A retrospective cohort study of primary LT recipients transplanted 27 February 2002 through 31 December 2013, categorized by serostatus: HCV+ (n = 20 829), HIV+ (n = 72), HIV+/HCV+ (n = 160), and HIV-/HCV- uninfected (n = 22 926) as reference. Survival was determined using Cox regression, stratified according to center NIH trial participation.&lt;br&gt;&lt;br&gt;&lt;strong&gt;RESULTS:&lt;/strong&gt; HCV (hazard ratio [HR] 1.46, 95% confidence interval [CI], 1.41-1.52) and HIV/HCV coinfection (HR 2.62, 95% CI, 2.06-3.33) were associated with mortality; HIV monoinfection was not (HR 1.37, 95% CI, .86-2.18). This was unchanged after stratification on NIH trial participation, although mortality was higher in NIH-enrolling (HIV+: HR 1.65, 95% CI, .93-2.92; HIV+/HCV+: HR 3.15, 95% CI, 2.32-4.28) than in non-enrolling centers (HIV+: HR 1.03, 95% CI, .43-2.47, HIV+/HCV+: HR 2.55, 95% CI, 1.64-3.96). Although allograft loss was higher in HIV/HCV coinfected recipients transplanted at enrolling (HR 2.64, 9%% CI, 1.91-3.64) vs nonenrolling centers (HR 2.22, 95% CI, 1.41-3.49), there was no difference in HIV and HCV monoinfected patients.&lt;br&gt;&lt;br&gt;&lt;strong&gt;CONCLUSIONS:&lt;/strong&gt; HIV+ LT recipient outcomes were superior to HCV+ or HIV/HCV coinfected recipients. Despite a standardized approach and plausibly more experience with HIV patients, transplantation at NIH study center did not improve outcomes.&lt;br&gt;&lt;br&gt;© The Author 2015. Published by Oxford University Press on behalf of the Infectious Diseases Society of America. All rights reserved. For Permissions, please e-mail: journals.permissions@oup.com.","author":[{"family":"Sawinski","given":"Deirdre"},{"family":"Goldberg","given":"David S"},{"family":"Blumberg","given":"Emily"},{"family":"Abt","given":"Peter L"},{"family":"Bloom","given":"Roy D"},{"family":"Forde","given":"Kimberly A"}],"authorYearDisplayFormat":false,"citation-label":"7516380","container-title":"Clinical Infectious Diseases","container-title-short":"Clin. Infect. Dis.","id":"7516380","invisible":false,"issue":"7","issued":{"date-parts":[["2015","10","1"]]},"journalAbbreviation":"Clin. Infect. Dis.","page":"1054-1062","suppress-author":false,"title":"Beyond the NIH multicenter HIV transplant trial experience: outcomes of HIV+ liver transplant recipients compared to HCV+ or HIV+/HCV+ coinfected recipients in the united states.","type":"article-journal","volume":"61"}]</w:instrText>
      </w:r>
      <w:r w:rsidR="00462A59"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[67]</w:t>
      </w:r>
      <w:r w:rsidR="00462A59" w:rsidRPr="007363FF">
        <w:rPr>
          <w:rFonts w:ascii="Book Antiqua" w:hAnsi="Book Antiqua" w:cs="Arial"/>
          <w:sz w:val="24"/>
          <w:szCs w:val="24"/>
        </w:rPr>
        <w:fldChar w:fldCharType="end"/>
      </w:r>
      <w:r w:rsidRPr="007363FF">
        <w:rPr>
          <w:rFonts w:ascii="Book Antiqua" w:hAnsi="Book Antiqua" w:cs="Arial"/>
          <w:sz w:val="24"/>
          <w:szCs w:val="24"/>
        </w:rPr>
        <w:t>. Hence HIV patients could successfully undergo LT but recurrent HCV infection leading to allograft failure was the main determinant of long</w:t>
      </w:r>
      <w:r w:rsidR="00462A59" w:rsidRPr="007363FF">
        <w:rPr>
          <w:rFonts w:ascii="Book Antiqua" w:hAnsi="Book Antiqua" w:cs="Arial"/>
          <w:sz w:val="24"/>
          <w:szCs w:val="24"/>
        </w:rPr>
        <w:t>-</w:t>
      </w:r>
      <w:r w:rsidRPr="007363FF">
        <w:rPr>
          <w:rFonts w:ascii="Book Antiqua" w:hAnsi="Book Antiqua" w:cs="Arial"/>
          <w:sz w:val="24"/>
          <w:szCs w:val="24"/>
        </w:rPr>
        <w:t>term survival since interferon based therapy was largely ineffective and not well tolerated.</w:t>
      </w:r>
    </w:p>
    <w:p w14:paraId="30BA5D97" w14:textId="6539C956" w:rsidR="00B33F8E" w:rsidRPr="007363FF" w:rsidRDefault="00B33F8E" w:rsidP="004179FC">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The advent of direct acting anti-viral agents (DAA) has transformed the therapy of HCV infection and cure rates of almost 100% are common. Similar success has been reported after LT in both HCV mono- infected and HCV-HIV co-infected patients without significant side effec</w:t>
      </w:r>
      <w:r w:rsidR="007E713D" w:rsidRPr="007363FF">
        <w:rPr>
          <w:rFonts w:ascii="Book Antiqua" w:hAnsi="Book Antiqua" w:cs="Arial"/>
          <w:sz w:val="24"/>
          <w:szCs w:val="24"/>
        </w:rPr>
        <w:t>ts</w:t>
      </w:r>
      <w:r w:rsidRPr="007363FF">
        <w:rPr>
          <w:rFonts w:ascii="Book Antiqua" w:hAnsi="Book Antiqua" w:cs="Arial"/>
          <w:sz w:val="24"/>
          <w:szCs w:val="24"/>
        </w:rPr>
        <w:t xml:space="preserve"> meaning recurrent HCV infection after LT can be treated or prevented in HIV patients that should lead to good long-term outcome</w:t>
      </w:r>
      <w:r w:rsidR="00E8362F" w:rsidRPr="007363FF">
        <w:rPr>
          <w:rFonts w:ascii="Book Antiqua" w:hAnsi="Book Antiqua" w:cs="Arial"/>
          <w:sz w:val="24"/>
          <w:szCs w:val="24"/>
        </w:rPr>
        <w:fldChar w:fldCharType="begin"/>
      </w:r>
      <w:r w:rsidR="00175278" w:rsidRPr="007363FF">
        <w:rPr>
          <w:rFonts w:ascii="Book Antiqua" w:hAnsi="Book Antiqua" w:cs="Arial"/>
          <w:sz w:val="24"/>
          <w:szCs w:val="24"/>
        </w:rPr>
        <w:instrText>ADDIN F1000_CSL_CITATION&lt;~#@#~&gt;[{"DOI":"10.1111/ajt.14996","First":false,"Last":false,"PMID":"29963780","abstract":"Direct-acting antivirals have proved to be highly efficacious and safe in monoinfected liver transplant (LT) recipients who experience recurrence of hepatitis C virus (HCV) infection. However, there is a lack of data on effectiveness and tolerability of these regimens in HCV/HIV-coinfected patients who experience recurrence of HCV infection after LT. In this prospective, multicenter cohort study, the outcomes of 47 HCV/HIV-coinfected LT patients who received DAA therapy (with or without ribavirin [RBV]) were compared with those of a matched cohort of 148 HCV-monoinfected LT recipients who received similar treatment. Baseline characteristics were similar in both groups. HCV/HIV-coinfected patients had a median (IQR) CD4 T-cell count of 366 (256-467) cells/µL. HIV-RNA was &lt; 50 copies/mL in 96% of patients. The DAA regimens administered were SOF + LDV ± RBV (34%), SOF + SMV ± RBV (31%), SOF + DCV ± RBV (27%), SMV + DCV ± RBV (5%), and 3D (3%), with no differences between the groups. Treatment was well tolerated in both groups. Rates of SVR (negative serum HCV-RNA at 12 weeks after the end of treatment) were high and similar for coinfected and monoinfected patients (95% and 94%, respectively; P = .239). Albeit not significant, a trend toward lower SVR rates among patients with advanced fibrosis (P = .093) and genotype 4 (P = .088) was observed. In conclusion, interferon-free regimens with DAAs for post-LT recurrence of HCV infection in HIV-infected individuals were highly effective and well tolerated, with results comparable to those of HCV-monoinfected patients.&lt;br&gt;&lt;br&gt;© 2018 The American Society of Transplantation and the American Society of Transplant Surgeons.","author":[{"family":"Manzardo","given":"Christian"},{"family":"Londoño","given":"Maria C"},{"family":"Castells","given":"LLuís"},{"family":"Testillano","given":"Milagros"},{"family":"Luis Montero","given":"José"},{"family":"Peñafiel","given":"Judit"},{"family":"Subirana","given":"Marta"},{"family":"Moreno","given":"Ana"},{"family":"Aguilera","given":"Victoria"},{"family":"Luisa González-Diéguez","given":"María"},{"family":"Calvo-Pulido","given":"Jorge"},{"family":"Xiol","given":"Xavier"},{"family":"Salcedo","given":"Magdalena"},{"family":"Cuervas-Mons","given":"Valentin"},{"family":"Manuel Sousa","given":"José"},{"family":"Suarez","given":"Francisco"},{"family":"Serrano","given":"Trinidad"},{"family":"Ignacio Herrero","given":"Jose"},{"family":"Jiménez","given":"Miguel"},{"family":"Fernandez","given":"José R"},{"family":"Giménez","given":"Carlos"},{"family":"Del Campo","given":"Santos"},{"family":"Esteban-Mur","given":"Juan I"},{"family":"Crespo","given":"Gonzalo"},{"family":"Moreno","given":"Asunción"},{"family":"de la Rosa","given":"Gloria"},{"family":"Rimola","given":"Antoni"},{"family":"Miro","given":"Jose M"},{"family":"FIPSE LT-HIV investigators"}],"authorYearDisplayFormat":false,"citation-label":"7516382","container-title":"American Journal of Transplantation","container-title-short":"Am. J. Transplant.","id":"7516382","invisible":false,"issue":"10","issued":{"date-parts":[["2018","8","13"]]},"journalAbbreviation":"Am. J. Transplant.","page":"2513-2522","suppress-author":false,"title":"Direct-acting antivirals are effective and safe in HCV/HIV-coinfected liver transplant recipients who experience recurrence of hepatitis C: A prospective nationwide cohort study.","type":"article-journal","volume":"18"}]</w:instrText>
      </w:r>
      <w:r w:rsidR="00E8362F"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[68]</w:t>
      </w:r>
      <w:r w:rsidR="00E8362F" w:rsidRPr="007363FF">
        <w:rPr>
          <w:rFonts w:ascii="Book Antiqua" w:hAnsi="Book Antiqua" w:cs="Arial"/>
          <w:sz w:val="24"/>
          <w:szCs w:val="24"/>
        </w:rPr>
        <w:fldChar w:fldCharType="end"/>
      </w:r>
      <w:r w:rsidRPr="007363FF">
        <w:rPr>
          <w:rFonts w:ascii="Book Antiqua" w:hAnsi="Book Antiqua" w:cs="Arial"/>
          <w:sz w:val="24"/>
          <w:szCs w:val="24"/>
        </w:rPr>
        <w:t>.</w:t>
      </w:r>
    </w:p>
    <w:p w14:paraId="78A52EB6" w14:textId="77777777" w:rsidR="00B33F8E" w:rsidRPr="007363FF" w:rsidRDefault="00B33F8E" w:rsidP="007363FF">
      <w:pPr>
        <w:pStyle w:val="a3"/>
        <w:adjustRightInd w:val="0"/>
        <w:snapToGrid w:val="0"/>
        <w:spacing w:line="360" w:lineRule="auto"/>
        <w:jc w:val="both"/>
        <w:rPr>
          <w:rFonts w:ascii="Book Antiqua" w:hAnsi="Book Antiqua" w:cs="Arial"/>
          <w:sz w:val="24"/>
          <w:szCs w:val="24"/>
          <w:u w:val="single"/>
        </w:rPr>
      </w:pPr>
    </w:p>
    <w:p w14:paraId="715B4C65" w14:textId="141284D9" w:rsidR="00B33F8E" w:rsidRPr="004179FC" w:rsidRDefault="00B33F8E" w:rsidP="007363FF">
      <w:pPr>
        <w:pStyle w:val="a3"/>
        <w:adjustRightInd w:val="0"/>
        <w:snapToGrid w:val="0"/>
        <w:spacing w:line="360" w:lineRule="auto"/>
        <w:jc w:val="both"/>
        <w:rPr>
          <w:rFonts w:ascii="Book Antiqua" w:hAnsi="Book Antiqua" w:cs="Arial"/>
          <w:b/>
          <w:bCs/>
          <w:i/>
          <w:iCs/>
          <w:sz w:val="24"/>
          <w:szCs w:val="24"/>
        </w:rPr>
      </w:pPr>
      <w:r w:rsidRPr="004179FC">
        <w:rPr>
          <w:rFonts w:ascii="Book Antiqua" w:hAnsi="Book Antiqua" w:cs="Arial"/>
          <w:b/>
          <w:bCs/>
          <w:i/>
          <w:iCs/>
          <w:sz w:val="24"/>
          <w:szCs w:val="24"/>
        </w:rPr>
        <w:t xml:space="preserve">HOPE </w:t>
      </w:r>
      <w:r w:rsidR="00826575" w:rsidRPr="004179FC">
        <w:rPr>
          <w:rFonts w:ascii="Book Antiqua" w:hAnsi="Book Antiqua" w:cs="Arial"/>
          <w:b/>
          <w:bCs/>
          <w:i/>
          <w:iCs/>
          <w:sz w:val="24"/>
          <w:szCs w:val="24"/>
        </w:rPr>
        <w:t>a</w:t>
      </w:r>
      <w:r w:rsidRPr="004179FC">
        <w:rPr>
          <w:rFonts w:ascii="Book Antiqua" w:hAnsi="Book Antiqua" w:cs="Arial"/>
          <w:b/>
          <w:bCs/>
          <w:i/>
          <w:iCs/>
          <w:sz w:val="24"/>
          <w:szCs w:val="24"/>
        </w:rPr>
        <w:t>ct</w:t>
      </w:r>
    </w:p>
    <w:p w14:paraId="568EA51E" w14:textId="35ECF264" w:rsidR="00B33F8E" w:rsidRPr="007363FF" w:rsidRDefault="00B33F8E" w:rsidP="007363FF">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 xml:space="preserve">Up until 2013 federal law prohibited the use of organs from deceased donors with HIV infection. Worldwide, there is a shortage of deceased donor organs and patients with HIV </w:t>
      </w:r>
      <w:r w:rsidRPr="007363FF">
        <w:rPr>
          <w:rFonts w:ascii="Book Antiqua" w:hAnsi="Book Antiqua" w:cs="Arial"/>
          <w:sz w:val="24"/>
          <w:szCs w:val="24"/>
        </w:rPr>
        <w:lastRenderedPageBreak/>
        <w:t>infection have higher wait-list mortality. Several countries with high HIV infection rates among the general population demonstrated that HIV infected donors could be an important source of deceased donor or</w:t>
      </w:r>
      <w:r w:rsidR="007E713D" w:rsidRPr="007363FF">
        <w:rPr>
          <w:rFonts w:ascii="Book Antiqua" w:hAnsi="Book Antiqua" w:cs="Arial"/>
          <w:sz w:val="24"/>
          <w:szCs w:val="24"/>
        </w:rPr>
        <w:t>gans with excellent outcomes</w:t>
      </w:r>
      <w:r w:rsidR="00175278" w:rsidRPr="007363FF">
        <w:rPr>
          <w:rFonts w:ascii="Book Antiqua" w:hAnsi="Book Antiqua" w:cs="Arial"/>
          <w:sz w:val="24"/>
          <w:szCs w:val="24"/>
        </w:rPr>
        <w:fldChar w:fldCharType="begin"/>
      </w:r>
      <w:r w:rsidR="00175278" w:rsidRPr="007363FF">
        <w:rPr>
          <w:rFonts w:ascii="Book Antiqua" w:hAnsi="Book Antiqua" w:cs="Arial"/>
          <w:sz w:val="24"/>
          <w:szCs w:val="24"/>
        </w:rPr>
        <w:instrText>ADDIN F1000_CSL_CITATION&lt;~#@#~&gt;[{"DOI":"10.1111/ajt.13344","First":false,"Last":false,"PMID":"26080612","abstract":"Life expectancy among HIV-infected (HIV+) individuals has improved dramatically with effective antiretroviral therapy. Consequently, chronic diseases such as end-stage liver and kidney disease are growing causes of morbidity and mortality. HIV+ individuals can have excellent outcomes after solid organ transplantation, and the need for transplantation in this population is increasing. However, there is a significant organ shortage, and HIV+ individuals experience higher mortality rates on transplant waitlists. In South Africa, the use of organs from HIV+ deceased donors (HIVDD) has been successful, but until recently federal law prohibited this practice in the United States. With the recognition that organs from HIVDD could fill a critical need, the HIV Organ Policy Equity (HOPE) Act was passed in November 2013, reversing the federal ban on the use of HIV+ donors for HIV+ recipients. In translating this policy into practice, the biologic risks of using HIV+ donors need to be carefully considered. In this mini-review, we explore relevant aspects of HIV virology, antiretroviral treatment, drug resistance, opportunistic infections and HIV-related organ dysfunction that are critical to a transplant team considering HIV-to-HIV transplantation. &lt;br&gt;&lt;br&gt;© Copyright 2015 The American Society of Transplantation and the American Society of Transplant Surgeons.","author":[{"family":"Boyarsky","given":"B J"},{"family":"Durand","given":"C M"},{"family":"Palella","given":"F J"},{"family":"Segev","given":"D L"}],"authorYearDisplayFormat":false,"citation-label":"7516390","container-title":"American Journal of Transplantation","container-title-short":"Am. J. Transplant.","id":"7516390","invisible":false,"issue":"8","issued":{"date-parts":[["2015","8"]]},"journalAbbreviation":"Am. J. Transplant.","page":"2023-2030","suppress-author":false,"title":"Challenges and Clinical Decision-Making in HIV-to-HIV Transplantation: Insights From the HIV Literature.","type":"article-journal","volume":"15"}]</w:instrText>
      </w:r>
      <w:r w:rsidR="00175278"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[69]</w:t>
      </w:r>
      <w:r w:rsidR="00175278" w:rsidRPr="007363FF">
        <w:rPr>
          <w:rFonts w:ascii="Book Antiqua" w:hAnsi="Book Antiqua" w:cs="Arial"/>
          <w:sz w:val="24"/>
          <w:szCs w:val="24"/>
        </w:rPr>
        <w:fldChar w:fldCharType="end"/>
      </w:r>
      <w:r w:rsidRPr="007363FF">
        <w:rPr>
          <w:rFonts w:ascii="Book Antiqua" w:hAnsi="Book Antiqua" w:cs="Arial"/>
          <w:sz w:val="24"/>
          <w:szCs w:val="24"/>
        </w:rPr>
        <w:t>. In Europe reports emerged of long-term success of HIV-positive donors to HIV-positive recipients with undet</w:t>
      </w:r>
      <w:r w:rsidR="007E713D" w:rsidRPr="007363FF">
        <w:rPr>
          <w:rFonts w:ascii="Book Antiqua" w:hAnsi="Book Antiqua" w:cs="Arial"/>
          <w:sz w:val="24"/>
          <w:szCs w:val="24"/>
        </w:rPr>
        <w:t>ectable HIV viremia on HAART</w:t>
      </w:r>
      <w:r w:rsidR="00175278" w:rsidRPr="007363FF">
        <w:rPr>
          <w:rFonts w:ascii="Book Antiqua" w:hAnsi="Book Antiqua" w:cs="Arial"/>
          <w:sz w:val="24"/>
          <w:szCs w:val="24"/>
        </w:rPr>
        <w:fldChar w:fldCharType="begin"/>
      </w:r>
      <w:r w:rsidR="00175278" w:rsidRPr="007363FF">
        <w:rPr>
          <w:rFonts w:ascii="Book Antiqua" w:hAnsi="Book Antiqua" w:cs="Arial"/>
          <w:sz w:val="24"/>
          <w:szCs w:val="24"/>
        </w:rPr>
        <w:instrText>ADDIN F1000_CSL_CITATION&lt;~#@#~&gt;[{"DOI":"10.1111/ajt.13824","First":false,"Last":false,"PMID":"27109874","abstract":"Most countries exclude human immunodeficiency virus (HIV)-positive patients from organ donation because of concerns regarding donor-derived HIV transmission. The Swiss Federal Act on Transplantation has allowed organ transplantation between HIV-positive donors and recipients since 2007. We report the successful liver transplantation from an HIV-positive donor to an HIV-positive recipient. Both donor and recipient had been treated for many years with antiretroviral therapy and harbored multidrug-resistant viruses. Five months after transplantation, HIV viremia remains undetectable. This observation supports the inclusion of appropriate HIV-positive donors for transplants specifically allocated to HIV-positive recipients.&lt;br&gt;&lt;br&gt;© Copyright 2016 The American Society of Transplantation and the American Society of Transplant Surgeons.","author":[{"family":"Calmy","given":"A"},{"family":"van Delden","given":"C"},{"family":"Giostra","given":"E"},{"family":"Junet","given":"C"},{"family":"Rubbia Brandt","given":"L"},{"family":"Yerly","given":"S"},{"family":"Chave","given":"J P"},{"family":"Samer","given":"C"},{"family":"Elkrief","given":"L"},{"family":"Vionnet","given":"J"},{"family":"Berney","given":"T"},{"family":"Swiss HIV and Swiss Transplant Cohort Studies"}],"authorYearDisplayFormat":false,"citation-label":"7516391","container-title":"American Journal of Transplantation","container-title-short":"Am. J. Transplant.","id":"7516391","invisible":false,"issue":"8","issued":{"date-parts":[["2016","6","7"]]},"journalAbbreviation":"Am. J. Transplant.","page":"2473-2478","suppress-author":false,"title":"HIV-Positive-to-HIV-Positive Liver Transplantation.","type":"article-journal","volume":"16"}]</w:instrText>
      </w:r>
      <w:r w:rsidR="00175278"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[70]</w:t>
      </w:r>
      <w:r w:rsidR="00175278" w:rsidRPr="007363FF">
        <w:rPr>
          <w:rFonts w:ascii="Book Antiqua" w:hAnsi="Book Antiqua" w:cs="Arial"/>
          <w:sz w:val="24"/>
          <w:szCs w:val="24"/>
        </w:rPr>
        <w:fldChar w:fldCharType="end"/>
      </w:r>
      <w:r w:rsidRPr="007363FF">
        <w:rPr>
          <w:rFonts w:ascii="Book Antiqua" w:hAnsi="Book Antiqua" w:cs="Arial"/>
          <w:sz w:val="24"/>
          <w:szCs w:val="24"/>
        </w:rPr>
        <w:t xml:space="preserve">. Eventually the HIV Organ Policy Equity (HOPE) Act was passed by the </w:t>
      </w:r>
      <w:r w:rsidR="00933C57" w:rsidRPr="007363FF">
        <w:rPr>
          <w:rFonts w:ascii="Book Antiqua" w:hAnsi="Book Antiqua" w:cs="Arial"/>
          <w:sz w:val="24"/>
          <w:szCs w:val="24"/>
        </w:rPr>
        <w:t>U</w:t>
      </w:r>
      <w:r w:rsidR="00933C57">
        <w:rPr>
          <w:rFonts w:ascii="Book Antiqua" w:hAnsi="Book Antiqua" w:cs="Arial"/>
          <w:sz w:val="24"/>
          <w:szCs w:val="24"/>
        </w:rPr>
        <w:t xml:space="preserve">nited </w:t>
      </w:r>
      <w:r w:rsidR="00933C57" w:rsidRPr="007363FF">
        <w:rPr>
          <w:rFonts w:ascii="Book Antiqua" w:hAnsi="Book Antiqua" w:cs="Arial"/>
          <w:sz w:val="24"/>
          <w:szCs w:val="24"/>
        </w:rPr>
        <w:t>S</w:t>
      </w:r>
      <w:r w:rsidR="00933C57">
        <w:rPr>
          <w:rFonts w:ascii="Book Antiqua" w:hAnsi="Book Antiqua" w:cs="Arial"/>
          <w:sz w:val="24"/>
          <w:szCs w:val="24"/>
        </w:rPr>
        <w:t>tates</w:t>
      </w:r>
      <w:r w:rsidRPr="007363FF">
        <w:rPr>
          <w:rFonts w:ascii="Book Antiqua" w:hAnsi="Book Antiqua" w:cs="Arial"/>
          <w:sz w:val="24"/>
          <w:szCs w:val="24"/>
        </w:rPr>
        <w:t xml:space="preserve"> Congress in November 2013 allowing the use of HIV positive donors in HIV positive recipients. </w:t>
      </w:r>
    </w:p>
    <w:p w14:paraId="2481DA2D" w14:textId="2D574913" w:rsidR="00C7539F" w:rsidRPr="007363FF" w:rsidRDefault="00B33F8E" w:rsidP="00036B44">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Initial reports have been encouraging with several centers performing transplants under research protocol with excellent results since the first HIV positive donor to HIV positive recipient in March 2016 at Johns Hopkins</w:t>
      </w:r>
      <w:r w:rsidR="00175278" w:rsidRPr="007363FF">
        <w:rPr>
          <w:rFonts w:ascii="Book Antiqua" w:hAnsi="Book Antiqua" w:cs="Arial"/>
          <w:sz w:val="24"/>
          <w:szCs w:val="24"/>
        </w:rPr>
        <w:fldChar w:fldCharType="begin"/>
      </w:r>
      <w:r w:rsidR="00175278" w:rsidRPr="007363FF">
        <w:rPr>
          <w:rFonts w:ascii="Book Antiqua" w:hAnsi="Book Antiqua" w:cs="Arial"/>
          <w:sz w:val="24"/>
          <w:szCs w:val="24"/>
        </w:rPr>
        <w:instrText>ADDIN F1000_CSL_CITATION&lt;~#@#~&gt;[{"DOI":"10.1097/MOT.0000000000000510","First":false,"Last":false,"PMCID":"PMC6110383","PMID":"29432254","abstract":"&lt;strong&gt;PURPOSE OF REVIEW:&lt;/strong&gt; The HIV Organ Policy Equity (HOPE) Act, signed in 2013, reversed the federal ban on HIV-to-HIV transplantation. In this review, we examine the progress in HOPE implementation, the current status of HIV-to-HIV transplantation, and remaining challenges.&lt;br&gt;&lt;br&gt;&lt;strong&gt;RECENT FINDINGS:&lt;/strong&gt; Pursuant to the HOPE Act, the Department of Health and Human Services revised federal regulations to allow HIV-to-HIV transplants under research protocols adherent to criteria published by the National Institutes of Health. The first HIV-to-HIV kidney and liver transplants were performed at Johns Hopkins in March of 2016. Legal and practical challenges remain. Further efforts are needed to educate potential HIV+ donors and to support Organ Procurement Organizations. As of November 2017, there are 22 transplant centers approved to perform HIV-to-HIV transplants in 10 United Network for Organ Sharing regions. To date, 16 Organ Procurement Organizations in 22 states have evaluated HIV+ donors. The National Institutes of Health-funded HOPE in Action: A Multicenter Clinical Trial of HIV-to-HIV Deceased Donor (HIVDD) Kidney Transplantation Kidney Trial will launch at 19 transplant centers in December of 2017. A HOPE in Action Multicenter HIVDD Liver Trial is in development.&lt;br&gt;&lt;br&gt;&lt;strong&gt;SUMMARY:&lt;/strong&gt; Significant progress toward full HOPE implementation has been made though barriers remain. Some challenges are unique to HIV-HIV transplantation, whereas others are amplifications of issues across the current transplant system. In addition to a public health benefit for all transplant candidates in the United States, partnership on the HOPE Act has the potential to address systemic challenges to national donation and transplantation.","author":[{"family":"Doby","given":"Brianna L"},{"family":"Tobian","given":"Aaron A R"},{"family":"Segev","given":"Dorry L"},{"family":"Durand","given":"Christine M"}],"authorYearDisplayFormat":false,"citation-label":"7516392","container-title":"Current opinion in organ transplantation","container-title-short":"Curr. Opin. Organ Transplant.","id":"7516392","invisible":false,"issue":"2","issued":{"date-parts":[["2018"]]},"journalAbbreviation":"Curr. Opin. Organ Transplant.","page":"271-278","suppress-author":false,"title":"Moving from the HIV Organ Policy Equity Act to HIV Organ Policy Equity in action: changing practice and challenging stigma.","type":"article-journal","volume":"23"}]</w:instrText>
      </w:r>
      <w:r w:rsidR="00175278"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[71]</w:t>
      </w:r>
      <w:r w:rsidR="00175278" w:rsidRPr="007363FF">
        <w:rPr>
          <w:rFonts w:ascii="Book Antiqua" w:hAnsi="Book Antiqua" w:cs="Arial"/>
          <w:sz w:val="24"/>
          <w:szCs w:val="24"/>
        </w:rPr>
        <w:fldChar w:fldCharType="end"/>
      </w:r>
      <w:r w:rsidRPr="007363FF">
        <w:rPr>
          <w:rFonts w:ascii="Book Antiqua" w:hAnsi="Book Antiqua" w:cs="Arial"/>
          <w:sz w:val="24"/>
          <w:szCs w:val="24"/>
        </w:rPr>
        <w:t>. Guidelines have also been developed by the American Society of Transplantation regarding solid organ transplantation in HIV-infected recipients but await more data before making any firm recommendat</w:t>
      </w:r>
      <w:r w:rsidR="007E713D" w:rsidRPr="007363FF">
        <w:rPr>
          <w:rFonts w:ascii="Book Antiqua" w:hAnsi="Book Antiqua" w:cs="Arial"/>
          <w:sz w:val="24"/>
          <w:szCs w:val="24"/>
        </w:rPr>
        <w:t>ions for HIV-positive donors</w:t>
      </w:r>
      <w:r w:rsidR="00175278" w:rsidRPr="007363FF">
        <w:rPr>
          <w:rFonts w:ascii="Book Antiqua" w:hAnsi="Book Antiqua" w:cs="Arial"/>
          <w:sz w:val="24"/>
          <w:szCs w:val="24"/>
        </w:rPr>
        <w:fldChar w:fldCharType="begin"/>
      </w:r>
      <w:r w:rsidR="00175278" w:rsidRPr="007363FF">
        <w:rPr>
          <w:rFonts w:ascii="Book Antiqua" w:hAnsi="Book Antiqua" w:cs="Arial"/>
          <w:sz w:val="24"/>
          <w:szCs w:val="24"/>
        </w:rPr>
        <w:instrText>ADDIN F1000_CSL_CITATION&lt;~#@#~&gt;[{"DOI":"10.1111/ctr.13499","First":false,"Last":false,"PMID":"30773688","abstract":"These updated guidelines from the Infectious Diseases Community of Practice of the American Society of Transplantation review the management of transplantation in HIV-infected individuals. Transplantation has become the standard of care for patients with HIV and end-stage kidney or liver disease. Although less data exist for thoracic organ and pancreas transplantation, it is likely that transplantation is also safe and effective for these recipients as well. Despite what is typically a transient decline in CD4+ T lymphocytes, HIV remains well controlled and infection risks are similar to those of HIV-uninfected transplant recipients. The availability of effective directly active antivirals for the treatment of Hepatitis C is likely to improve outcomes in HIV and HCV co-infected individuals, a population previously noted to have decreased survival. Drug interactions remain an important consideration, and integrase inhibitor-based regimens are preferred due to the absence of interactions with calcineurin and mTOR inhibitors. Additionally, despite the use of more potent immunosuppression, rejection rates exceed those found in HIV-uninfected recipients. Ongoing research evaluating HIV-positive organ donors may provide support for utilizing these donors for HIV-positive patients in need of transplantation.&lt;br&gt;&lt;br&gt;© 2019 John Wiley &amp; Sons A/S. Published by John Wiley &amp; Sons Ltd.","author":[{"family":"Blumberg","given":"Emily A"},{"family":"Rogers","given":"Christin C"},{"family":"American Society of Transplantation Infectious Diseases Community of Practice"}],"authorYearDisplayFormat":false,"citation-label":"7516394","container-title":"Clinical Transplantation","container-title-short":"Clin. Transplant.","id":"7516394","invisible":false,"issued":{"date-parts":[["2019","2","17"]]},"journalAbbreviation":"Clin. Transplant.","page":"e13499","suppress-author":false,"title":"Solid organ transplantation in the HIV-infected patient: Guidelines from the American Society of Transplantation Infectious Diseases Community of Practice.","type":"article-journal"}]</w:instrText>
      </w:r>
      <w:r w:rsidR="00175278"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[72]</w:t>
      </w:r>
      <w:r w:rsidR="00175278" w:rsidRPr="007363FF">
        <w:rPr>
          <w:rFonts w:ascii="Book Antiqua" w:hAnsi="Book Antiqua" w:cs="Arial"/>
          <w:sz w:val="24"/>
          <w:szCs w:val="24"/>
        </w:rPr>
        <w:fldChar w:fldCharType="end"/>
      </w:r>
      <w:r w:rsidRPr="007363FF">
        <w:rPr>
          <w:rFonts w:ascii="Book Antiqua" w:hAnsi="Book Antiqua" w:cs="Arial"/>
          <w:sz w:val="24"/>
          <w:szCs w:val="24"/>
        </w:rPr>
        <w:t xml:space="preserve">. A recent survey of transplant centers in the </w:t>
      </w:r>
      <w:r w:rsidR="00933C57" w:rsidRPr="007363FF">
        <w:rPr>
          <w:rFonts w:ascii="Book Antiqua" w:hAnsi="Book Antiqua" w:cs="Arial"/>
          <w:sz w:val="24"/>
          <w:szCs w:val="24"/>
        </w:rPr>
        <w:t>U</w:t>
      </w:r>
      <w:r w:rsidR="00933C57">
        <w:rPr>
          <w:rFonts w:ascii="Book Antiqua" w:hAnsi="Book Antiqua" w:cs="Arial"/>
          <w:sz w:val="24"/>
          <w:szCs w:val="24"/>
        </w:rPr>
        <w:t xml:space="preserve">nited </w:t>
      </w:r>
      <w:r w:rsidR="00933C57" w:rsidRPr="007363FF">
        <w:rPr>
          <w:rFonts w:ascii="Book Antiqua" w:hAnsi="Book Antiqua" w:cs="Arial"/>
          <w:sz w:val="24"/>
          <w:szCs w:val="24"/>
        </w:rPr>
        <w:t>S</w:t>
      </w:r>
      <w:r w:rsidR="00933C57">
        <w:rPr>
          <w:rFonts w:ascii="Book Antiqua" w:hAnsi="Book Antiqua" w:cs="Arial"/>
          <w:sz w:val="24"/>
          <w:szCs w:val="24"/>
        </w:rPr>
        <w:t>tates</w:t>
      </w:r>
      <w:r w:rsidRPr="007363FF">
        <w:rPr>
          <w:rFonts w:ascii="Book Antiqua" w:hAnsi="Book Antiqua" w:cs="Arial"/>
          <w:sz w:val="24"/>
          <w:szCs w:val="24"/>
        </w:rPr>
        <w:t xml:space="preserve"> suggested that most were aware of the research restrictions of the HOPE Act that the use of HIV positive donors should be under protocol and supported this policy. In addition, the local HIV prevalence, HIV positive recipient volume, overall transplant volume and increased infectious rick donor utilization were important determinants of whether centers were planning HIV positive donor to HIV po</w:t>
      </w:r>
      <w:r w:rsidR="007E713D" w:rsidRPr="007363FF">
        <w:rPr>
          <w:rFonts w:ascii="Book Antiqua" w:hAnsi="Book Antiqua" w:cs="Arial"/>
          <w:sz w:val="24"/>
          <w:szCs w:val="24"/>
        </w:rPr>
        <w:t>sitive recipient transplants</w:t>
      </w:r>
      <w:r w:rsidR="00175278" w:rsidRPr="007363FF">
        <w:rPr>
          <w:rFonts w:ascii="Book Antiqua" w:hAnsi="Book Antiqua" w:cs="Arial"/>
          <w:sz w:val="24"/>
          <w:szCs w:val="24"/>
        </w:rPr>
        <w:fldChar w:fldCharType="begin"/>
      </w:r>
      <w:r w:rsidR="00175278" w:rsidRPr="007363FF">
        <w:rPr>
          <w:rFonts w:ascii="Book Antiqua" w:hAnsi="Book Antiqua" w:cs="Arial"/>
          <w:sz w:val="24"/>
          <w:szCs w:val="24"/>
        </w:rPr>
        <w:instrText>ADDIN F1000_CSL_CITATION&lt;~#@#~&gt;[{"DOI":"10.1111/ctr.13365","First":false,"Last":false,"PMCID":"PMC6191317","PMID":"30074638","abstract":"&lt;strong&gt;BACKGROUND:&lt;/strong&gt; HIV+ donor organs can now be transplanted into HIV+ recipients (HIV D+/R+) following the HIV Organ Policy Equity (HOPE) Act. Implementation of the HOPE Act requires transplant center awareness and support of HIV D+/R+ transplants.&lt;br&gt;&lt;br&gt;&lt;strong&gt;METHODS:&lt;/strong&gt; To assess center-level barriers to implementation, we surveyed 209 transplant centers on knowledge, attitudes, and planned HIV D+/R+ protocols.&lt;br&gt;&lt;br&gt;&lt;strong&gt;RESULTS:&lt;/strong&gt; Responding centers (n = 114; 56%) represented all UNOS regions. Fifty centers (93 organ programs) planned HIV D+/R+ protocols (kidney n = 48, liver n = 34, pancreas n = 8, heart n = 2, lung = 1), primarily in the eastern United States (28/50). Most (91.2%) were aware that HIV D+/R+ transplantation is legal; 21.4% were unaware of research restrictions. Respondents generally agreed with HOPE research criteria except the required experience with ≥5 HIV+ transplants by organ type. Centers planning HIV D+/R+ protocols had higher transplant volume, HIV+ recipient volume, increased infectious risk donor utilization, and local HIV prevalence (P &lt;  0.01). Centers not planning HIV D+/R+ protocols were more likely to believe their HIV+ candidates would not accept HIV+ donor organs (P &lt;  0.001). Most centers (83.2%) supported HIV+ living donation.&lt;br&gt;&lt;br&gt;&lt;strong&gt;CONCLUSIONS:&lt;/strong&gt; Although many programs plan HIV D+/R+ transplantation, center-level barriers remain including geographic clustering of kidney/liver programs and concerns about HIV+ candidate willingness to accept HIV+ donor organs.&lt;br&gt;&lt;br&gt;© 2018 John Wiley &amp; Sons A/S. Published by John Wiley &amp; Sons Ltd.","author":[{"family":"Van Pilsum Rasmussen","given":"Sarah E"},{"family":"Bowring","given":"Mary Grace"},{"family":"Shaffer","given":"Ashton A"},{"family":"Henderson","given":"Macey L"},{"family":"Massie","given":"Allan"},{"family":"Tobian","given":"Aaron A R"},{"family":"Segev","given":"Dorry L"},{"family":"Durand","given":"Christine M"}],"authorYearDisplayFormat":false,"citation-label":"7516395","container-title":"Clinical Transplantation","container-title-short":"Clin. Transplant.","id":"7516395","invisible":false,"issue":"10","issued":{"date-parts":[["2018","8","31"]]},"journalAbbreviation":"Clin. Transplant.","page":"e13365","suppress-author":false,"title":"Knowledge, attitudes, and planned practice of HIV-positive to HIV-positive transplantation in US transplant centers.","type":"article-journal","volume":"32"}]</w:instrText>
      </w:r>
      <w:r w:rsidR="00175278"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[73]</w:t>
      </w:r>
      <w:r w:rsidR="00175278" w:rsidRPr="007363FF">
        <w:rPr>
          <w:rFonts w:ascii="Book Antiqua" w:hAnsi="Book Antiqua" w:cs="Arial"/>
          <w:sz w:val="24"/>
          <w:szCs w:val="24"/>
        </w:rPr>
        <w:fldChar w:fldCharType="end"/>
      </w:r>
      <w:r w:rsidRPr="007363FF">
        <w:rPr>
          <w:rFonts w:ascii="Book Antiqua" w:hAnsi="Book Antiqua" w:cs="Arial"/>
          <w:sz w:val="24"/>
          <w:szCs w:val="24"/>
        </w:rPr>
        <w:t xml:space="preserve">. </w:t>
      </w:r>
    </w:p>
    <w:p w14:paraId="334F1BFE" w14:textId="60997C3B" w:rsidR="004179FC" w:rsidRDefault="00B33F8E" w:rsidP="004179FC">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t>An unexpected benefit of the HOPE Act has been the utilization of organs from deceased donors that would previously have been discarded as they were thought to be from HIV-positive donors although this was the result of a false-positive HIV screening test. This was examined in the HOPE in Action trial where donors who tested positive for anti-HIV antibody or HIV nucleic acid test but were not known to have HIV infection were classified as false-positive donors. From these 10 suspected false positive donors, 21 HIV-positive recipients were transplanted, including 5 liver and one liver-kidney recipient. All of the donors were subsequently shown to be HIV-non</w:t>
      </w:r>
      <w:r w:rsidR="00BB6967" w:rsidRPr="007363FF">
        <w:rPr>
          <w:rFonts w:ascii="Book Antiqua" w:hAnsi="Book Antiqua" w:cs="Arial"/>
          <w:sz w:val="24"/>
          <w:szCs w:val="24"/>
        </w:rPr>
        <w:t>-</w:t>
      </w:r>
      <w:r w:rsidRPr="007363FF">
        <w:rPr>
          <w:rFonts w:ascii="Book Antiqua" w:hAnsi="Book Antiqua" w:cs="Arial"/>
          <w:sz w:val="24"/>
          <w:szCs w:val="24"/>
        </w:rPr>
        <w:t>infected. Extrapolating these results to all donors in the US, 50-100 false positive HIV donors can be exp</w:t>
      </w:r>
      <w:r w:rsidR="007E713D" w:rsidRPr="007363FF">
        <w:rPr>
          <w:rFonts w:ascii="Book Antiqua" w:hAnsi="Book Antiqua" w:cs="Arial"/>
          <w:sz w:val="24"/>
          <w:szCs w:val="24"/>
        </w:rPr>
        <w:t>ected</w:t>
      </w:r>
      <w:r w:rsidR="00175278" w:rsidRPr="007363FF">
        <w:rPr>
          <w:rFonts w:ascii="Book Antiqua" w:hAnsi="Book Antiqua" w:cs="Arial"/>
          <w:sz w:val="24"/>
          <w:szCs w:val="24"/>
        </w:rPr>
        <w:fldChar w:fldCharType="begin"/>
      </w:r>
      <w:r w:rsidR="00175278" w:rsidRPr="007363FF">
        <w:rPr>
          <w:rFonts w:ascii="Book Antiqua" w:hAnsi="Book Antiqua" w:cs="Arial"/>
          <w:sz w:val="24"/>
          <w:szCs w:val="24"/>
        </w:rPr>
        <w:instrText>ADDIN F1000_CSL_CITATION&lt;~#@#~&gt;[{"DOI":"10.1111/ajt.14993","First":false,"Last":false,"PMCID":"PMC6160348","PMID":"29947471","abstract":"Organs from deceased donors with suspected false-positive HIV screening tests were generally discarded due to the chance that the test was truly positive. However, the HIV Organ Policy Equity (HOPE) Act now facilitates use of such organs for transplantation to HIV-infected (HIV+) individuals. In the HOPE in Action trial, donors without a known HIV infection who unexpectedly tested positive for anti-HIV antibody (Ab) or HIV nucleic acid test (NAT) were classified as suspected false-positive donors. Between March 2016 and March 2018, 10 suspected false-positive donors had organs recovered for transplant for 21 HIV + recipients (14 single-kidney, 1 double-kidney, 5 liver, 1 simultaneous liver-kidney). Median donor age was 24 years; cause of death was trauma (n = 5), stroke (n = 4), and anoxia (n = 1); three donors were labeled Public Health Service increased infectious risk. Median kidney donor profile index was 30.5 (IQR 22-58). Eight donors were HIV Ab+/NAT-; two were HIV Ab-/NAT+. All 10 suspected false-positive donors were confirmed to be HIV-noninfected. Given the false-positive rates of approved assays used to screen &gt; 20 000 deceased donors annually, we estimate 50-100 HIV false-positive donors per year. Organ transplantation from suspected HIV false-positive donors is an unexpected benefit of the HOPE Act that provides another novel organ source.&lt;br&gt;&lt;br&gt;© 2018 The American Society of Transplantation and the American Society of Transplant Surgeons.","author":[{"family":"Durand","given":"Christine M"},{"family":"Halpern","given":"Samantha E"},{"family":"Bowring","given":"Mary G"},{"family":"Bismut","given":"Gilad A"},{"family":"Kusemiju","given":"Oyinkansola T"},{"family":"Doby","given":"Brianna"},{"family":"Fernandez","given":"Reinaldo E"},{"family":"Kirby","given":"Charles S"},{"family":"Ostrander","given":"Darin"},{"family":"Stock","given":"Peter G"},{"family":"Mehta","given":"Shikha"},{"family":"Turgeon","given":"Nicole A"},{"family":"Wojciechowski","given":"David"},{"family":"Huprikar","given":"Shirish"},{"family":"Florman","given":"Sander"},{"family":"Ottmann","given":"Shane"},{"family":"Desai","given":"Niraj M"},{"family":"Cameron","given":"Andrew"},{"family":"Massie","given":"Allan B"},{"family":"Tobian","given":"Aaron A R"},{"family":"Redd","given":"Andrew D"},{"family":"Segev","given":"Dorry L"}],"authorYearDisplayFormat":false,"citation-label":"7516496","container-title":"American Journal of Transplantation","container-title-short":"Am. J. Transplant.","id":"7516496","invisible":false,"issue":"10","issued":{"date-parts":[["2018","7","23"]]},"journalAbbreviation":"Am. J. Transplant.","page":"2579-2586","suppress-author":false,"title":"Organs from deceased donors with false-positive HIV screening tests: An unexpected benefit of the HOPE act.","type":"article-journal","volume":"18"}]</w:instrText>
      </w:r>
      <w:r w:rsidR="00175278"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[74]</w:t>
      </w:r>
      <w:r w:rsidR="00175278" w:rsidRPr="007363FF">
        <w:rPr>
          <w:rFonts w:ascii="Book Antiqua" w:hAnsi="Book Antiqua" w:cs="Arial"/>
          <w:sz w:val="24"/>
          <w:szCs w:val="24"/>
        </w:rPr>
        <w:fldChar w:fldCharType="end"/>
      </w:r>
      <w:r w:rsidRPr="007363FF">
        <w:rPr>
          <w:rFonts w:ascii="Book Antiqua" w:hAnsi="Book Antiqua" w:cs="Arial"/>
          <w:sz w:val="24"/>
          <w:szCs w:val="24"/>
        </w:rPr>
        <w:t>.</w:t>
      </w:r>
    </w:p>
    <w:p w14:paraId="1BF733ED" w14:textId="089B37AC" w:rsidR="00B33F8E" w:rsidRDefault="00B33F8E" w:rsidP="004179FC">
      <w:pPr>
        <w:pStyle w:val="a3"/>
        <w:adjustRightInd w:val="0"/>
        <w:snapToGrid w:val="0"/>
        <w:spacing w:line="360" w:lineRule="auto"/>
        <w:ind w:firstLineChars="100" w:firstLine="240"/>
        <w:jc w:val="both"/>
        <w:rPr>
          <w:rFonts w:ascii="Book Antiqua" w:hAnsi="Book Antiqua" w:cs="Arial"/>
          <w:sz w:val="24"/>
          <w:szCs w:val="24"/>
        </w:rPr>
      </w:pPr>
      <w:r w:rsidRPr="007363FF">
        <w:rPr>
          <w:rFonts w:ascii="Book Antiqua" w:hAnsi="Book Antiqua" w:cs="Arial"/>
          <w:sz w:val="24"/>
          <w:szCs w:val="24"/>
        </w:rPr>
        <w:lastRenderedPageBreak/>
        <w:t>Unlike the situation with HCV positive donors, at this time the use of HIV-positive donors to HIV-negative recipients cannot be advocated. The almost universal cure rate of current HCV therapy means that HCV-negative recipients of HCV positive liver allografts are almost guaranteed to clear the HCV infection after transplantation. A recent report described a live donor</w:t>
      </w:r>
      <w:r w:rsidR="00BB6967" w:rsidRPr="007363FF">
        <w:rPr>
          <w:rFonts w:ascii="Book Antiqua" w:hAnsi="Book Antiqua" w:cs="Arial"/>
          <w:sz w:val="24"/>
          <w:szCs w:val="24"/>
        </w:rPr>
        <w:t xml:space="preserve"> LT</w:t>
      </w:r>
      <w:r w:rsidRPr="007363FF">
        <w:rPr>
          <w:rFonts w:ascii="Book Antiqua" w:hAnsi="Book Antiqua" w:cs="Arial"/>
          <w:sz w:val="24"/>
          <w:szCs w:val="24"/>
        </w:rPr>
        <w:t xml:space="preserve"> from an HIV-positive mother to her HIV-negative child in South Africa as a life-saving measure. Using pre-operative HIV-prophylaxis in the child, HIV infection in the child has not been observed after more than a year after transplan</w:t>
      </w:r>
      <w:r w:rsidR="007E713D" w:rsidRPr="007363FF">
        <w:rPr>
          <w:rFonts w:ascii="Book Antiqua" w:hAnsi="Book Antiqua" w:cs="Arial"/>
          <w:sz w:val="24"/>
          <w:szCs w:val="24"/>
        </w:rPr>
        <w:t>tation</w:t>
      </w:r>
      <w:r w:rsidR="00175278" w:rsidRPr="007363FF">
        <w:rPr>
          <w:rFonts w:ascii="Book Antiqua" w:hAnsi="Book Antiqua" w:cs="Arial"/>
          <w:sz w:val="24"/>
          <w:szCs w:val="24"/>
        </w:rPr>
        <w:fldChar w:fldCharType="begin"/>
      </w:r>
      <w:r w:rsidR="00175278" w:rsidRPr="007363FF">
        <w:rPr>
          <w:rFonts w:ascii="Book Antiqua" w:hAnsi="Book Antiqua" w:cs="Arial"/>
          <w:sz w:val="24"/>
          <w:szCs w:val="24"/>
        </w:rPr>
        <w:instrText>ADDIN F1000_CSL_CITATION&lt;~#@#~&gt;[{"DOI":"10.1097/QAD.0000000000002000","First":false,"Last":false,"PMCID":"PMC6200383","PMID":"30281558","abstract":"&lt;strong&gt;OBJECTIVE:&lt;/strong&gt; Transplant a liver from an HIV-positive mother to her HIV-negative child to save the child's life.&lt;br&gt;&lt;br&gt;&lt;strong&gt;DESIGN:&lt;/strong&gt; A unique case of living donor liver transplantation from an HIV-positive mother to her HIV-negative child in South Africa. Two aspects of this case are ground-breaking. First, it involves living donation by someone who is HIV-positive and second it involves controlled transplant of an organ from an HIV-positive donor into an HIV-negative recipient, with the potential to prevent infection in the recipient.&lt;br&gt;&lt;br&gt;&lt;strong&gt;METHODS:&lt;/strong&gt; Standard surgical procedure for living donor liver transplantation at our centre was followed. HIV-prophylaxis was administered preoperatively. Extensive, ultrasensitive HIV testing, over and above standard diagnostic assays, was undertaken to investigate recipient serostatus and is ongoing.&lt;br&gt;&lt;br&gt;&lt;strong&gt;RESULTS:&lt;/strong&gt; Both mother and child are well, over 1 year posttransplantation. HIV seroconversion in our recipient was detected with serological testing at day 43 posttransplant. However, a decline in HIV antibody titres approaching undetectable levels is now being observed. No plasma, or cell-associated HIV-1 DNA has been detected in the recipient at any time-point since transplant.&lt;br&gt;&lt;br&gt;&lt;strong&gt;CONCLUSION:&lt;/strong&gt; This case potentially opens up a new living liver donor pool which might have clinical relevance in countries where there is a high burden of HIV and a limited number of deceased donor organs or limited access to transplantation. However, our recipient's HIV status is equivocal at present and additional investigation regarding seroconversion events in this unique profile is ongoing.","author":[{"family":"Botha","given":"Jean"},{"family":"Conradie","given":"Francesca"},{"family":"Etheredge","given":"Harriet"},{"family":"Fabian","given":"June"},{"family":"Duncan","given":"Mary"},{"family":"Haeri Mazanderani","given":"Ahmad"},{"family":"Paximadis","given":"Maria"},{"family":"Maher","given":"Heather"},{"family":"Britz","given":"Russell"},{"family":"Loveland","given":"Jerome"},{"family":"Ströbele","given":"Bernd"},{"family":"Rambarran","given":"Sharan"},{"family":"Mahomed","given":"Adam"},{"family":"Terblanche","given":"Alta"},{"family":"Beretta","given":"Marisa"},{"family":"Brannigan","given":"Liam"},{"family":"Pienaar","given":"Michael"},{"family":"Archibald-Durham","given":"Lindsay"},{"family":"Lang","given":"Allison"},{"family":"Tiemessen","given":"Caroline T"}],"authorYearDisplayFormat":false,"citation-label":"7516502","container-title":"AIDS","container-title-short":"AIDS","id":"7516502","invisible":false,"issue":"16","issued":{"date-parts":[["2018","10","23"]]},"journalAbbreviation":"AIDS","page":"F13-F19","suppress-author":false,"title":"Living donor liver transplant from an HIV-positive mother to her HIV-negative child: opening up new therapeutic options.","type":"article-journal","volume":"32"}]</w:instrText>
      </w:r>
      <w:r w:rsidR="00175278" w:rsidRPr="007363FF">
        <w:rPr>
          <w:rFonts w:ascii="Book Antiqua" w:hAnsi="Book Antiqua" w:cs="Arial"/>
          <w:sz w:val="24"/>
          <w:szCs w:val="24"/>
        </w:rPr>
        <w:fldChar w:fldCharType="separate"/>
      </w:r>
      <w:r w:rsidR="00B203B5" w:rsidRPr="007363FF">
        <w:rPr>
          <w:rFonts w:ascii="Book Antiqua" w:hAnsi="Book Antiqua" w:cs="Arial"/>
          <w:noProof/>
          <w:sz w:val="24"/>
          <w:szCs w:val="24"/>
          <w:vertAlign w:val="superscript"/>
        </w:rPr>
        <w:t>[75]</w:t>
      </w:r>
      <w:r w:rsidR="00175278" w:rsidRPr="007363FF">
        <w:rPr>
          <w:rFonts w:ascii="Book Antiqua" w:hAnsi="Book Antiqua" w:cs="Arial"/>
          <w:sz w:val="24"/>
          <w:szCs w:val="24"/>
        </w:rPr>
        <w:fldChar w:fldCharType="end"/>
      </w:r>
      <w:r w:rsidRPr="007363FF">
        <w:rPr>
          <w:rFonts w:ascii="Book Antiqua" w:hAnsi="Book Antiqua" w:cs="Arial"/>
          <w:sz w:val="24"/>
          <w:szCs w:val="24"/>
        </w:rPr>
        <w:t>.</w:t>
      </w:r>
    </w:p>
    <w:p w14:paraId="45B365D3" w14:textId="77777777" w:rsidR="00036B44" w:rsidRPr="007363FF" w:rsidRDefault="00036B44" w:rsidP="00036B44">
      <w:pPr>
        <w:pStyle w:val="a3"/>
        <w:adjustRightInd w:val="0"/>
        <w:snapToGrid w:val="0"/>
        <w:spacing w:line="360" w:lineRule="auto"/>
        <w:jc w:val="both"/>
        <w:rPr>
          <w:rFonts w:ascii="Book Antiqua" w:hAnsi="Book Antiqua" w:cs="Arial"/>
          <w:sz w:val="24"/>
          <w:szCs w:val="24"/>
        </w:rPr>
      </w:pPr>
    </w:p>
    <w:p w14:paraId="758FCA8F" w14:textId="7FC30D2A" w:rsidR="00B33F8E" w:rsidRPr="007363FF" w:rsidRDefault="004179FC" w:rsidP="007363FF">
      <w:pPr>
        <w:pStyle w:val="a3"/>
        <w:adjustRightInd w:val="0"/>
        <w:snapToGrid w:val="0"/>
        <w:spacing w:line="360" w:lineRule="auto"/>
        <w:jc w:val="both"/>
        <w:rPr>
          <w:rFonts w:ascii="Book Antiqua" w:hAnsi="Book Antiqua" w:cs="Arial"/>
          <w:sz w:val="24"/>
          <w:szCs w:val="24"/>
        </w:rPr>
      </w:pPr>
      <w:r w:rsidRPr="000D02EA">
        <w:rPr>
          <w:rFonts w:ascii="Book Antiqua" w:eastAsia="MS Mincho" w:hAnsi="Book Antiqua" w:cs="Helvetica-Condensed-Black"/>
          <w:b/>
          <w:lang w:eastAsia="ja-JP"/>
        </w:rPr>
        <w:t>CONCLUSION</w:t>
      </w:r>
    </w:p>
    <w:p w14:paraId="64CFC89B" w14:textId="3DAA2A49" w:rsidR="0014724E" w:rsidRPr="005A247E" w:rsidRDefault="00B33F8E" w:rsidP="005A247E">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 xml:space="preserve">The high efficacy and safety of </w:t>
      </w:r>
      <w:r w:rsidR="007E713D" w:rsidRPr="007363FF">
        <w:rPr>
          <w:rFonts w:ascii="Book Antiqua" w:hAnsi="Book Antiqua" w:cs="Arial"/>
          <w:sz w:val="24"/>
          <w:szCs w:val="24"/>
        </w:rPr>
        <w:t xml:space="preserve">antiviral </w:t>
      </w:r>
      <w:r w:rsidRPr="007363FF">
        <w:rPr>
          <w:rFonts w:ascii="Book Antiqua" w:hAnsi="Book Antiqua" w:cs="Arial"/>
          <w:sz w:val="24"/>
          <w:szCs w:val="24"/>
        </w:rPr>
        <w:t xml:space="preserve">therapy for the treatment of </w:t>
      </w:r>
      <w:r w:rsidR="007E713D" w:rsidRPr="007363FF">
        <w:rPr>
          <w:rFonts w:ascii="Book Antiqua" w:hAnsi="Book Antiqua" w:cs="Arial"/>
          <w:sz w:val="24"/>
          <w:szCs w:val="24"/>
        </w:rPr>
        <w:t>viral hepatitis</w:t>
      </w:r>
      <w:r w:rsidRPr="007363FF">
        <w:rPr>
          <w:rFonts w:ascii="Book Antiqua" w:hAnsi="Book Antiqua" w:cs="Arial"/>
          <w:sz w:val="24"/>
          <w:szCs w:val="24"/>
        </w:rPr>
        <w:t xml:space="preserve"> has provided the transplant community with the opportunity to utilize organs from </w:t>
      </w:r>
      <w:r w:rsidR="007E713D" w:rsidRPr="007363FF">
        <w:rPr>
          <w:rFonts w:ascii="Book Antiqua" w:hAnsi="Book Antiqua" w:cs="Arial"/>
          <w:sz w:val="24"/>
          <w:szCs w:val="24"/>
        </w:rPr>
        <w:t xml:space="preserve">donors infected with HCV and HBV and these infections can be easily treated after LT. The HOPE Act in the United States has allowed the transplantation of organs from HIV-positive donors into HIV-positive recipients that previously would have </w:t>
      </w:r>
      <w:r w:rsidR="000C2A7E" w:rsidRPr="007363FF">
        <w:rPr>
          <w:rFonts w:ascii="Book Antiqua" w:hAnsi="Book Antiqua" w:cs="Arial"/>
          <w:sz w:val="24"/>
          <w:szCs w:val="24"/>
        </w:rPr>
        <w:t xml:space="preserve">been </w:t>
      </w:r>
      <w:r w:rsidR="007E713D" w:rsidRPr="007363FF">
        <w:rPr>
          <w:rFonts w:ascii="Book Antiqua" w:hAnsi="Book Antiqua" w:cs="Arial"/>
          <w:sz w:val="24"/>
          <w:szCs w:val="24"/>
        </w:rPr>
        <w:t>discarded. In the case of HCV</w:t>
      </w:r>
      <w:r w:rsidR="00175278" w:rsidRPr="007363FF">
        <w:rPr>
          <w:rFonts w:ascii="Book Antiqua" w:hAnsi="Book Antiqua" w:cs="Arial"/>
          <w:sz w:val="24"/>
          <w:szCs w:val="24"/>
        </w:rPr>
        <w:t>,</w:t>
      </w:r>
      <w:r w:rsidR="007E713D" w:rsidRPr="007363FF">
        <w:rPr>
          <w:rFonts w:ascii="Book Antiqua" w:hAnsi="Book Antiqua" w:cs="Arial"/>
          <w:sz w:val="24"/>
          <w:szCs w:val="24"/>
        </w:rPr>
        <w:t xml:space="preserve"> the almost 100% cure rates of DAA therapy means that HCV-positive organs can be considered</w:t>
      </w:r>
      <w:r w:rsidRPr="007363FF">
        <w:rPr>
          <w:rFonts w:ascii="Book Antiqua" w:hAnsi="Book Antiqua" w:cs="Arial"/>
          <w:sz w:val="24"/>
          <w:szCs w:val="24"/>
        </w:rPr>
        <w:t xml:space="preserve"> for those patients on the LT waiting list not currently infected with HCV. Due at least in part to the tragic effects of the opioid epidemic</w:t>
      </w:r>
      <w:r w:rsidR="007E713D" w:rsidRPr="007363FF">
        <w:rPr>
          <w:rFonts w:ascii="Book Antiqua" w:hAnsi="Book Antiqua" w:cs="Arial"/>
          <w:sz w:val="24"/>
          <w:szCs w:val="24"/>
        </w:rPr>
        <w:t xml:space="preserve"> in the United States</w:t>
      </w:r>
      <w:r w:rsidRPr="007363FF">
        <w:rPr>
          <w:rFonts w:ascii="Book Antiqua" w:hAnsi="Book Antiqua" w:cs="Arial"/>
          <w:sz w:val="24"/>
          <w:szCs w:val="24"/>
        </w:rPr>
        <w:t>, HCV-positive</w:t>
      </w:r>
      <w:r w:rsidR="007E713D" w:rsidRPr="007363FF">
        <w:rPr>
          <w:rFonts w:ascii="Book Antiqua" w:hAnsi="Book Antiqua" w:cs="Arial"/>
          <w:sz w:val="24"/>
          <w:szCs w:val="24"/>
        </w:rPr>
        <w:t>, HBV-positive and HIV-positive</w:t>
      </w:r>
      <w:r w:rsidRPr="007363FF">
        <w:rPr>
          <w:rFonts w:ascii="Book Antiqua" w:hAnsi="Book Antiqua" w:cs="Arial"/>
          <w:sz w:val="24"/>
          <w:szCs w:val="24"/>
        </w:rPr>
        <w:t xml:space="preserve"> donors are increasing in prevalence</w:t>
      </w:r>
      <w:r w:rsidR="007E713D" w:rsidRPr="007363FF">
        <w:rPr>
          <w:rFonts w:ascii="Book Antiqua" w:hAnsi="Book Antiqua" w:cs="Arial"/>
          <w:sz w:val="24"/>
          <w:szCs w:val="24"/>
        </w:rPr>
        <w:t xml:space="preserve"> and come from younger people, a demographic associated with very favorable long-term outcome after LT</w:t>
      </w:r>
      <w:r w:rsidRPr="007363FF">
        <w:rPr>
          <w:rFonts w:ascii="Book Antiqua" w:hAnsi="Book Antiqua" w:cs="Arial"/>
          <w:sz w:val="24"/>
          <w:szCs w:val="24"/>
        </w:rPr>
        <w:t xml:space="preserve">. </w:t>
      </w:r>
      <w:r w:rsidR="007E713D" w:rsidRPr="007363FF">
        <w:rPr>
          <w:rFonts w:ascii="Book Antiqua" w:hAnsi="Book Antiqua" w:cs="Arial"/>
          <w:sz w:val="24"/>
          <w:szCs w:val="24"/>
        </w:rPr>
        <w:t xml:space="preserve">The success of DAA therapy even in </w:t>
      </w:r>
      <w:r w:rsidRPr="007363FF">
        <w:rPr>
          <w:rFonts w:ascii="Book Antiqua" w:hAnsi="Book Antiqua" w:cs="Arial"/>
          <w:sz w:val="24"/>
          <w:szCs w:val="24"/>
        </w:rPr>
        <w:t>HCV</w:t>
      </w:r>
      <w:r w:rsidR="007E713D" w:rsidRPr="007363FF">
        <w:rPr>
          <w:rFonts w:ascii="Book Antiqua" w:hAnsi="Book Antiqua" w:cs="Arial"/>
          <w:sz w:val="24"/>
          <w:szCs w:val="24"/>
        </w:rPr>
        <w:t>-infected cirrhotic patients means that HCV-related liver disease is</w:t>
      </w:r>
      <w:r w:rsidRPr="007363FF">
        <w:rPr>
          <w:rFonts w:ascii="Book Antiqua" w:hAnsi="Book Antiqua" w:cs="Arial"/>
          <w:sz w:val="24"/>
          <w:szCs w:val="24"/>
        </w:rPr>
        <w:t xml:space="preserve"> declining as an indication for LT, and many of the sickest patients awaiting LT may be HCV-negative. </w:t>
      </w:r>
      <w:r w:rsidR="007E713D" w:rsidRPr="007363FF">
        <w:rPr>
          <w:rFonts w:ascii="Book Antiqua" w:hAnsi="Book Antiqua" w:cs="Arial"/>
          <w:sz w:val="24"/>
          <w:szCs w:val="24"/>
        </w:rPr>
        <w:t xml:space="preserve">The use of HBV-positive and HIV-positive organs in HBV-positive and HIV-positive recipients </w:t>
      </w:r>
      <w:r w:rsidR="009436DE" w:rsidRPr="007363FF">
        <w:rPr>
          <w:rFonts w:ascii="Book Antiqua" w:hAnsi="Book Antiqua" w:cs="Arial"/>
          <w:sz w:val="24"/>
          <w:szCs w:val="24"/>
        </w:rPr>
        <w:t>is an efficient method of utilizing organs that otherwise would be discarded.</w:t>
      </w:r>
      <w:r w:rsidR="007E713D" w:rsidRPr="007363FF">
        <w:rPr>
          <w:rFonts w:ascii="Book Antiqua" w:hAnsi="Book Antiqua" w:cs="Arial"/>
          <w:sz w:val="24"/>
          <w:szCs w:val="24"/>
        </w:rPr>
        <w:t xml:space="preserve"> </w:t>
      </w:r>
      <w:r w:rsidR="009436DE" w:rsidRPr="007363FF">
        <w:rPr>
          <w:rFonts w:ascii="Book Antiqua" w:hAnsi="Book Antiqua" w:cs="Arial"/>
          <w:sz w:val="24"/>
          <w:szCs w:val="24"/>
        </w:rPr>
        <w:t xml:space="preserve">The use of these organs in HBV-negative or HIV-negative recipients is still not advised unless in highly exceptional circumstances as these infections can currently only be suppressed and not cured. </w:t>
      </w:r>
      <w:r w:rsidRPr="007363FF">
        <w:rPr>
          <w:rFonts w:ascii="Book Antiqua" w:hAnsi="Book Antiqua" w:cs="Arial"/>
          <w:sz w:val="24"/>
          <w:szCs w:val="24"/>
        </w:rPr>
        <w:t xml:space="preserve">Modeling and real-world data so far suggest that the practice of transplanting organs from HCV-positive donors into </w:t>
      </w:r>
      <w:r w:rsidR="009436DE" w:rsidRPr="007363FF">
        <w:rPr>
          <w:rFonts w:ascii="Book Antiqua" w:hAnsi="Book Antiqua" w:cs="Arial"/>
          <w:sz w:val="24"/>
          <w:szCs w:val="24"/>
        </w:rPr>
        <w:t>HCV</w:t>
      </w:r>
      <w:r w:rsidRPr="007363FF">
        <w:rPr>
          <w:rFonts w:ascii="Book Antiqua" w:hAnsi="Book Antiqua" w:cs="Arial"/>
          <w:sz w:val="24"/>
          <w:szCs w:val="24"/>
        </w:rPr>
        <w:t xml:space="preserve">-negative recipients is associated with good </w:t>
      </w:r>
      <w:r w:rsidRPr="007363FF">
        <w:rPr>
          <w:rFonts w:ascii="Book Antiqua" w:hAnsi="Book Antiqua" w:cs="Arial"/>
          <w:sz w:val="24"/>
          <w:szCs w:val="24"/>
        </w:rPr>
        <w:lastRenderedPageBreak/>
        <w:t xml:space="preserve">short-term outcomes and is becoming standard practice at many centers. Longer term data is needed to fully assess the effects of this practice. </w:t>
      </w:r>
    </w:p>
    <w:p w14:paraId="124FBBED" w14:textId="77777777" w:rsidR="00B10316" w:rsidRPr="007363FF" w:rsidRDefault="00B10316" w:rsidP="007363FF">
      <w:pPr>
        <w:adjustRightInd w:val="0"/>
        <w:snapToGrid w:val="0"/>
        <w:spacing w:after="0" w:line="360" w:lineRule="auto"/>
        <w:jc w:val="both"/>
        <w:rPr>
          <w:rFonts w:ascii="Book Antiqua" w:eastAsia="Times New Roman" w:hAnsi="Book Antiqua" w:cs="Arial"/>
          <w:bCs/>
          <w:kern w:val="36"/>
          <w:sz w:val="24"/>
          <w:szCs w:val="24"/>
        </w:rPr>
      </w:pPr>
      <w:r w:rsidRPr="007363FF">
        <w:rPr>
          <w:rFonts w:ascii="Book Antiqua" w:eastAsia="Times New Roman" w:hAnsi="Book Antiqua" w:cs="Arial"/>
          <w:bCs/>
          <w:kern w:val="36"/>
          <w:sz w:val="24"/>
          <w:szCs w:val="24"/>
        </w:rPr>
        <w:br w:type="page"/>
      </w:r>
    </w:p>
    <w:p w14:paraId="7770A115" w14:textId="2CC17FF0" w:rsidR="00B203B5" w:rsidRPr="007363FF" w:rsidRDefault="000B0727" w:rsidP="000B0727">
      <w:pPr>
        <w:widowControl w:val="0"/>
        <w:autoSpaceDE w:val="0"/>
        <w:autoSpaceDN w:val="0"/>
        <w:adjustRightInd w:val="0"/>
        <w:snapToGrid w:val="0"/>
        <w:spacing w:after="0" w:line="360" w:lineRule="auto"/>
        <w:jc w:val="both"/>
        <w:rPr>
          <w:rFonts w:ascii="Book Antiqua" w:hAnsi="Book Antiqua"/>
          <w:noProof/>
          <w:sz w:val="24"/>
          <w:szCs w:val="24"/>
        </w:rPr>
      </w:pPr>
      <w:r w:rsidRPr="000D02EA">
        <w:rPr>
          <w:rFonts w:ascii="Book Antiqua" w:hAnsi="Book Antiqua"/>
          <w:b/>
        </w:rPr>
        <w:lastRenderedPageBreak/>
        <w:t>REFERENCES</w:t>
      </w:r>
      <w:r w:rsidRPr="007363FF">
        <w:rPr>
          <w:rFonts w:ascii="Book Antiqua" w:hAnsi="Book Antiqua" w:cs="Arial"/>
          <w:sz w:val="24"/>
          <w:szCs w:val="24"/>
        </w:rPr>
        <w:t xml:space="preserve"> </w:t>
      </w:r>
    </w:p>
    <w:p w14:paraId="0A6083E6" w14:textId="1B1385C5"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bookmarkStart w:id="37" w:name="OLE_LINK8"/>
      <w:r w:rsidRPr="0022418B">
        <w:rPr>
          <w:rFonts w:ascii="Book Antiqua" w:hAnsi="Book Antiqua" w:cs="Arial"/>
          <w:sz w:val="24"/>
          <w:szCs w:val="24"/>
          <w:highlight w:val="yellow"/>
        </w:rPr>
        <w:t xml:space="preserve">1 </w:t>
      </w:r>
      <w:r w:rsidR="00A80631" w:rsidRPr="0022418B">
        <w:rPr>
          <w:rFonts w:ascii="Book Antiqua" w:hAnsi="Book Antiqua" w:cs="Arial"/>
          <w:b/>
          <w:bCs/>
          <w:sz w:val="24"/>
          <w:szCs w:val="24"/>
          <w:highlight w:val="yellow"/>
        </w:rPr>
        <w:t>U.S. Department of Health &amp; Human Services</w:t>
      </w:r>
      <w:r w:rsidR="00A80631" w:rsidRPr="0022418B">
        <w:rPr>
          <w:rFonts w:ascii="Book Antiqua" w:hAnsi="Book Antiqua" w:cs="Arial"/>
          <w:sz w:val="24"/>
          <w:szCs w:val="24"/>
          <w:highlight w:val="yellow"/>
        </w:rPr>
        <w:t xml:space="preserve">. </w:t>
      </w:r>
      <w:r w:rsidRPr="0022418B">
        <w:rPr>
          <w:rFonts w:ascii="Book Antiqua" w:hAnsi="Book Antiqua" w:cs="Arial"/>
          <w:sz w:val="24"/>
          <w:szCs w:val="24"/>
          <w:highlight w:val="yellow"/>
        </w:rPr>
        <w:t xml:space="preserve">Data-OPTN [Internet]. [cited 2019 </w:t>
      </w:r>
      <w:r w:rsidR="00396333" w:rsidRPr="0022418B">
        <w:rPr>
          <w:rFonts w:ascii="Book Antiqua" w:hAnsi="Book Antiqua" w:cs="Arial"/>
          <w:sz w:val="24"/>
          <w:szCs w:val="24"/>
          <w:highlight w:val="yellow"/>
        </w:rPr>
        <w:t>February</w:t>
      </w:r>
      <w:r w:rsidRPr="0022418B">
        <w:rPr>
          <w:rFonts w:ascii="Book Antiqua" w:hAnsi="Book Antiqua" w:cs="Arial"/>
          <w:sz w:val="24"/>
          <w:szCs w:val="24"/>
          <w:highlight w:val="yellow"/>
        </w:rPr>
        <w:t xml:space="preserve"> 8];</w:t>
      </w:r>
      <w:r w:rsidR="00396333" w:rsidRPr="0022418B">
        <w:rPr>
          <w:rFonts w:ascii="Book Antiqua" w:hAnsi="Book Antiqua" w:cs="Arial"/>
          <w:sz w:val="24"/>
          <w:szCs w:val="24"/>
          <w:highlight w:val="yellow"/>
        </w:rPr>
        <w:t xml:space="preserve"> </w:t>
      </w:r>
      <w:r w:rsidRPr="0022418B">
        <w:rPr>
          <w:rFonts w:ascii="Book Antiqua" w:hAnsi="Book Antiqua" w:cs="Arial"/>
          <w:sz w:val="24"/>
          <w:szCs w:val="24"/>
          <w:highlight w:val="yellow"/>
        </w:rPr>
        <w:t xml:space="preserve">Available from: </w:t>
      </w:r>
      <w:hyperlink r:id="rId11" w:history="1">
        <w:r w:rsidR="00653FC5" w:rsidRPr="0022418B">
          <w:rPr>
            <w:rStyle w:val="a4"/>
            <w:rFonts w:ascii="Book Antiqua" w:hAnsi="Book Antiqua" w:cs="Arial"/>
            <w:sz w:val="24"/>
            <w:szCs w:val="24"/>
            <w:highlight w:val="yellow"/>
          </w:rPr>
          <w:t>https://optn.transplant.hrsa.gov/data/</w:t>
        </w:r>
      </w:hyperlink>
      <w:r w:rsidR="00653FC5">
        <w:rPr>
          <w:rFonts w:ascii="Book Antiqua" w:hAnsi="Book Antiqua" w:cs="Arial"/>
          <w:sz w:val="24"/>
          <w:szCs w:val="24"/>
        </w:rPr>
        <w:t xml:space="preserve"> </w:t>
      </w:r>
    </w:p>
    <w:p w14:paraId="33B0B392"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2 </w:t>
      </w:r>
      <w:r w:rsidRPr="000B0727">
        <w:rPr>
          <w:rFonts w:ascii="Book Antiqua" w:hAnsi="Book Antiqua" w:cs="Arial"/>
          <w:b/>
          <w:sz w:val="24"/>
          <w:szCs w:val="24"/>
        </w:rPr>
        <w:t>Kim WR</w:t>
      </w:r>
      <w:r w:rsidRPr="000B0727">
        <w:rPr>
          <w:rFonts w:ascii="Book Antiqua" w:hAnsi="Book Antiqua" w:cs="Arial"/>
          <w:sz w:val="24"/>
          <w:szCs w:val="24"/>
        </w:rPr>
        <w:t xml:space="preserve">, Lake JR, Smith JM, Schladt DP, Skeans MA, Harper AM, Wainright JL, Snyder JJ, Israni AK, Kasiske BL. OPTN/SRTR 2016 Annual Data Report: Liver. </w:t>
      </w:r>
      <w:r w:rsidRPr="000B0727">
        <w:rPr>
          <w:rFonts w:ascii="Book Antiqua" w:hAnsi="Book Antiqua" w:cs="Arial"/>
          <w:i/>
          <w:sz w:val="24"/>
          <w:szCs w:val="24"/>
        </w:rPr>
        <w:t>Am J Transplant</w:t>
      </w:r>
      <w:r w:rsidRPr="000B0727">
        <w:rPr>
          <w:rFonts w:ascii="Book Antiqua" w:hAnsi="Book Antiqua" w:cs="Arial"/>
          <w:sz w:val="24"/>
          <w:szCs w:val="24"/>
        </w:rPr>
        <w:t xml:space="preserve"> 2018; </w:t>
      </w:r>
      <w:r w:rsidRPr="000B0727">
        <w:rPr>
          <w:rFonts w:ascii="Book Antiqua" w:hAnsi="Book Antiqua" w:cs="Arial"/>
          <w:b/>
          <w:sz w:val="24"/>
          <w:szCs w:val="24"/>
        </w:rPr>
        <w:t>18 Suppl 1</w:t>
      </w:r>
      <w:r w:rsidRPr="000B0727">
        <w:rPr>
          <w:rFonts w:ascii="Book Antiqua" w:hAnsi="Book Antiqua" w:cs="Arial"/>
          <w:sz w:val="24"/>
          <w:szCs w:val="24"/>
        </w:rPr>
        <w:t>: 172-253 [PMID: 29292603 DOI: 10.1111/ajt.14559]</w:t>
      </w:r>
    </w:p>
    <w:p w14:paraId="1CE5B78A"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3 </w:t>
      </w:r>
      <w:r w:rsidRPr="000B0727">
        <w:rPr>
          <w:rFonts w:ascii="Book Antiqua" w:hAnsi="Book Antiqua" w:cs="Arial"/>
          <w:b/>
          <w:sz w:val="24"/>
          <w:szCs w:val="24"/>
        </w:rPr>
        <w:t>Kim WR</w:t>
      </w:r>
      <w:r w:rsidRPr="000B0727">
        <w:rPr>
          <w:rFonts w:ascii="Book Antiqua" w:hAnsi="Book Antiqua" w:cs="Arial"/>
          <w:sz w:val="24"/>
          <w:szCs w:val="24"/>
        </w:rPr>
        <w:t xml:space="preserve">, Lake JR, Smith JM, Skeans MA, Schladt DP, Edwards EB, Harper AM, Wainright JL, Snyder JJ, Israni AK, Kasiske BL. OPTN/SRTR 2013 Annual Data Report: liver. </w:t>
      </w:r>
      <w:r w:rsidRPr="000B0727">
        <w:rPr>
          <w:rFonts w:ascii="Book Antiqua" w:hAnsi="Book Antiqua" w:cs="Arial"/>
          <w:i/>
          <w:sz w:val="24"/>
          <w:szCs w:val="24"/>
        </w:rPr>
        <w:t>Am J Transplant</w:t>
      </w:r>
      <w:r w:rsidRPr="000B0727">
        <w:rPr>
          <w:rFonts w:ascii="Book Antiqua" w:hAnsi="Book Antiqua" w:cs="Arial"/>
          <w:sz w:val="24"/>
          <w:szCs w:val="24"/>
        </w:rPr>
        <w:t xml:space="preserve"> 2015; </w:t>
      </w:r>
      <w:r w:rsidRPr="000B0727">
        <w:rPr>
          <w:rFonts w:ascii="Book Antiqua" w:hAnsi="Book Antiqua" w:cs="Arial"/>
          <w:b/>
          <w:sz w:val="24"/>
          <w:szCs w:val="24"/>
        </w:rPr>
        <w:t>15 Suppl 2</w:t>
      </w:r>
      <w:r w:rsidRPr="000B0727">
        <w:rPr>
          <w:rFonts w:ascii="Book Antiqua" w:hAnsi="Book Antiqua" w:cs="Arial"/>
          <w:sz w:val="24"/>
          <w:szCs w:val="24"/>
        </w:rPr>
        <w:t>: 1-28 [PMID: 25626341 DOI: 10.1111/ajt.13197]</w:t>
      </w:r>
    </w:p>
    <w:p w14:paraId="33BEF842"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4 </w:t>
      </w:r>
      <w:r w:rsidRPr="000B0727">
        <w:rPr>
          <w:rFonts w:ascii="Book Antiqua" w:hAnsi="Book Antiqua" w:cs="Arial"/>
          <w:b/>
          <w:sz w:val="24"/>
          <w:szCs w:val="24"/>
        </w:rPr>
        <w:t>Shingina A</w:t>
      </w:r>
      <w:r w:rsidRPr="000B0727">
        <w:rPr>
          <w:rFonts w:ascii="Book Antiqua" w:hAnsi="Book Antiqua" w:cs="Arial"/>
          <w:sz w:val="24"/>
          <w:szCs w:val="24"/>
        </w:rPr>
        <w:t xml:space="preserve">, DeWitt PE, Dodge JL, Biggins SW, Gralla J, Sprague D, Bambha K. Future Trends in Demand for Liver Transplant: Birth Cohort Effects Among Patients With NASH and HCC. </w:t>
      </w:r>
      <w:r w:rsidRPr="000B0727">
        <w:rPr>
          <w:rFonts w:ascii="Book Antiqua" w:hAnsi="Book Antiqua" w:cs="Arial"/>
          <w:i/>
          <w:sz w:val="24"/>
          <w:szCs w:val="24"/>
        </w:rPr>
        <w:t>Transplantation</w:t>
      </w:r>
      <w:r w:rsidRPr="000B0727">
        <w:rPr>
          <w:rFonts w:ascii="Book Antiqua" w:hAnsi="Book Antiqua" w:cs="Arial"/>
          <w:sz w:val="24"/>
          <w:szCs w:val="24"/>
        </w:rPr>
        <w:t xml:space="preserve"> 2019; </w:t>
      </w:r>
      <w:r w:rsidRPr="000B0727">
        <w:rPr>
          <w:rFonts w:ascii="Book Antiqua" w:hAnsi="Book Antiqua" w:cs="Arial"/>
          <w:b/>
          <w:sz w:val="24"/>
          <w:szCs w:val="24"/>
        </w:rPr>
        <w:t>103</w:t>
      </w:r>
      <w:r w:rsidRPr="000B0727">
        <w:rPr>
          <w:rFonts w:ascii="Book Antiqua" w:hAnsi="Book Antiqua" w:cs="Arial"/>
          <w:sz w:val="24"/>
          <w:szCs w:val="24"/>
        </w:rPr>
        <w:t>: 140-148 [PMID: 30451739 DOI: 10.1097/TP.0000000000002497]</w:t>
      </w:r>
    </w:p>
    <w:p w14:paraId="4046CE9F"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5 </w:t>
      </w:r>
      <w:r w:rsidRPr="000B0727">
        <w:rPr>
          <w:rFonts w:ascii="Book Antiqua" w:hAnsi="Book Antiqua" w:cs="Arial"/>
          <w:b/>
          <w:sz w:val="24"/>
          <w:szCs w:val="24"/>
        </w:rPr>
        <w:t>Lee BP</w:t>
      </w:r>
      <w:r w:rsidRPr="000B0727">
        <w:rPr>
          <w:rFonts w:ascii="Book Antiqua" w:hAnsi="Book Antiqua" w:cs="Arial"/>
          <w:sz w:val="24"/>
          <w:szCs w:val="24"/>
        </w:rPr>
        <w:t xml:space="preserve">, Vittinghoff E, Dodge JL, Cullaro G, Terrault NA. National Trends and Long-term Outcomes of Liver Transplant for Alcohol-Associated Liver Disease in the United States. </w:t>
      </w:r>
      <w:r w:rsidRPr="000B0727">
        <w:rPr>
          <w:rFonts w:ascii="Book Antiqua" w:hAnsi="Book Antiqua" w:cs="Arial"/>
          <w:i/>
          <w:sz w:val="24"/>
          <w:szCs w:val="24"/>
        </w:rPr>
        <w:t>JAMA Intern Med</w:t>
      </w:r>
      <w:r w:rsidRPr="000B0727">
        <w:rPr>
          <w:rFonts w:ascii="Book Antiqua" w:hAnsi="Book Antiqua" w:cs="Arial"/>
          <w:sz w:val="24"/>
          <w:szCs w:val="24"/>
        </w:rPr>
        <w:t xml:space="preserve"> 2019; </w:t>
      </w:r>
      <w:r w:rsidRPr="000B0727">
        <w:rPr>
          <w:rFonts w:ascii="Book Antiqua" w:hAnsi="Book Antiqua" w:cs="Arial"/>
          <w:b/>
          <w:sz w:val="24"/>
          <w:szCs w:val="24"/>
        </w:rPr>
        <w:t>179</w:t>
      </w:r>
      <w:r w:rsidRPr="000B0727">
        <w:rPr>
          <w:rFonts w:ascii="Book Antiqua" w:hAnsi="Book Antiqua" w:cs="Arial"/>
          <w:sz w:val="24"/>
          <w:szCs w:val="24"/>
        </w:rPr>
        <w:t>: 340-348 [PMID: 30667468 DOI: 10.1001/jamainternmed.2018.6536]</w:t>
      </w:r>
    </w:p>
    <w:p w14:paraId="77719103"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6 </w:t>
      </w:r>
      <w:r w:rsidRPr="000B0727">
        <w:rPr>
          <w:rFonts w:ascii="Book Antiqua" w:hAnsi="Book Antiqua" w:cs="Arial"/>
          <w:b/>
          <w:sz w:val="24"/>
          <w:szCs w:val="24"/>
        </w:rPr>
        <w:t>Levitsky J</w:t>
      </w:r>
      <w:r w:rsidRPr="000B0727">
        <w:rPr>
          <w:rFonts w:ascii="Book Antiqua" w:hAnsi="Book Antiqua" w:cs="Arial"/>
          <w:sz w:val="24"/>
          <w:szCs w:val="24"/>
        </w:rPr>
        <w:t xml:space="preserve">, Formica RN, Bloom RD, Charlton M, Curry M, Friedewald J, Friedman J, Goldberg D, Hall S, Ison M, Kaiser T, Klassen D, Klintmalm G, Kobashigawa J, Liapakis A, O'Conner K, Reese P, Stewart D, Terrault N, Theodoropoulos N, Trotter J, Verna E, Volk M. The American Society of Transplantation Consensus Conference on the Use of Hepatitis C Viremic Donors in Solid Organ Transplantation. </w:t>
      </w:r>
      <w:r w:rsidRPr="000B0727">
        <w:rPr>
          <w:rFonts w:ascii="Book Antiqua" w:hAnsi="Book Antiqua" w:cs="Arial"/>
          <w:i/>
          <w:sz w:val="24"/>
          <w:szCs w:val="24"/>
        </w:rPr>
        <w:t>Am J Transplant</w:t>
      </w:r>
      <w:r w:rsidRPr="000B0727">
        <w:rPr>
          <w:rFonts w:ascii="Book Antiqua" w:hAnsi="Book Antiqua" w:cs="Arial"/>
          <w:sz w:val="24"/>
          <w:szCs w:val="24"/>
        </w:rPr>
        <w:t xml:space="preserve"> 2017; </w:t>
      </w:r>
      <w:r w:rsidRPr="000B0727">
        <w:rPr>
          <w:rFonts w:ascii="Book Antiqua" w:hAnsi="Book Antiqua" w:cs="Arial"/>
          <w:b/>
          <w:sz w:val="24"/>
          <w:szCs w:val="24"/>
        </w:rPr>
        <w:t>17</w:t>
      </w:r>
      <w:r w:rsidRPr="000B0727">
        <w:rPr>
          <w:rFonts w:ascii="Book Antiqua" w:hAnsi="Book Antiqua" w:cs="Arial"/>
          <w:sz w:val="24"/>
          <w:szCs w:val="24"/>
        </w:rPr>
        <w:t>: 2790-2802 [PMID: 28556422 DOI: 10.1111/ajt.14381]</w:t>
      </w:r>
    </w:p>
    <w:p w14:paraId="5AD50577"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7 </w:t>
      </w:r>
      <w:r w:rsidRPr="000B0727">
        <w:rPr>
          <w:rFonts w:ascii="Book Antiqua" w:hAnsi="Book Antiqua" w:cs="Arial"/>
          <w:b/>
          <w:sz w:val="24"/>
          <w:szCs w:val="24"/>
        </w:rPr>
        <w:t>Bari K</w:t>
      </w:r>
      <w:r w:rsidRPr="000B0727">
        <w:rPr>
          <w:rFonts w:ascii="Book Antiqua" w:hAnsi="Book Antiqua" w:cs="Arial"/>
          <w:sz w:val="24"/>
          <w:szCs w:val="24"/>
        </w:rPr>
        <w:t xml:space="preserve">, Luckett K, Kaiser T, Diwan T, Cuffy M, Schoech MR, Safdar K, Blackard JT, Apewokin S, Paterno F, Sherman KE, Zucker SD, Anwar N, Shah SA. Hepatitis C transmission from seropositive, nonviremic donors to non-hepatitis C liver transplant recipients. </w:t>
      </w:r>
      <w:r w:rsidRPr="000B0727">
        <w:rPr>
          <w:rFonts w:ascii="Book Antiqua" w:hAnsi="Book Antiqua" w:cs="Arial"/>
          <w:i/>
          <w:sz w:val="24"/>
          <w:szCs w:val="24"/>
        </w:rPr>
        <w:t>Hepatology</w:t>
      </w:r>
      <w:r w:rsidRPr="000B0727">
        <w:rPr>
          <w:rFonts w:ascii="Book Antiqua" w:hAnsi="Book Antiqua" w:cs="Arial"/>
          <w:sz w:val="24"/>
          <w:szCs w:val="24"/>
        </w:rPr>
        <w:t xml:space="preserve"> 2018; </w:t>
      </w:r>
      <w:r w:rsidRPr="000B0727">
        <w:rPr>
          <w:rFonts w:ascii="Book Antiqua" w:hAnsi="Book Antiqua" w:cs="Arial"/>
          <w:b/>
          <w:sz w:val="24"/>
          <w:szCs w:val="24"/>
        </w:rPr>
        <w:t>67</w:t>
      </w:r>
      <w:r w:rsidRPr="000B0727">
        <w:rPr>
          <w:rFonts w:ascii="Book Antiqua" w:hAnsi="Book Antiqua" w:cs="Arial"/>
          <w:sz w:val="24"/>
          <w:szCs w:val="24"/>
        </w:rPr>
        <w:t>: 1673-1682 [PMID: 29205441 DOI: 10.1002/hep.29704]</w:t>
      </w:r>
    </w:p>
    <w:p w14:paraId="393F9D4B"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8 </w:t>
      </w:r>
      <w:r w:rsidRPr="000B0727">
        <w:rPr>
          <w:rFonts w:ascii="Book Antiqua" w:hAnsi="Book Antiqua" w:cs="Arial"/>
          <w:b/>
          <w:sz w:val="24"/>
          <w:szCs w:val="24"/>
        </w:rPr>
        <w:t>Moore KJ</w:t>
      </w:r>
      <w:r w:rsidRPr="000B0727">
        <w:rPr>
          <w:rFonts w:ascii="Book Antiqua" w:hAnsi="Book Antiqua" w:cs="Arial"/>
          <w:sz w:val="24"/>
          <w:szCs w:val="24"/>
        </w:rPr>
        <w:t xml:space="preserve">, Gauri A, Koru-Sengul T. Prevalence and sociodemographic disparities of Hepatitis C in Baby Boomers and the US adult population. </w:t>
      </w:r>
      <w:r w:rsidRPr="000B0727">
        <w:rPr>
          <w:rFonts w:ascii="Book Antiqua" w:hAnsi="Book Antiqua" w:cs="Arial"/>
          <w:i/>
          <w:sz w:val="24"/>
          <w:szCs w:val="24"/>
        </w:rPr>
        <w:t>J Infect Public Health</w:t>
      </w:r>
      <w:r w:rsidRPr="000B0727">
        <w:rPr>
          <w:rFonts w:ascii="Book Antiqua" w:hAnsi="Book Antiqua" w:cs="Arial"/>
          <w:sz w:val="24"/>
          <w:szCs w:val="24"/>
        </w:rPr>
        <w:t xml:space="preserve"> 2019; </w:t>
      </w:r>
      <w:r w:rsidRPr="000B0727">
        <w:rPr>
          <w:rFonts w:ascii="Book Antiqua" w:hAnsi="Book Antiqua" w:cs="Arial"/>
          <w:b/>
          <w:sz w:val="24"/>
          <w:szCs w:val="24"/>
        </w:rPr>
        <w:t>12</w:t>
      </w:r>
      <w:r w:rsidRPr="000B0727">
        <w:rPr>
          <w:rFonts w:ascii="Book Antiqua" w:hAnsi="Book Antiqua" w:cs="Arial"/>
          <w:sz w:val="24"/>
          <w:szCs w:val="24"/>
        </w:rPr>
        <w:t xml:space="preserve">: </w:t>
      </w:r>
      <w:r w:rsidRPr="000B0727">
        <w:rPr>
          <w:rFonts w:ascii="Book Antiqua" w:hAnsi="Book Antiqua" w:cs="Arial"/>
          <w:sz w:val="24"/>
          <w:szCs w:val="24"/>
        </w:rPr>
        <w:lastRenderedPageBreak/>
        <w:t>32-36 [PMID: 30170837 DOI: 10.1016/j.jiph.2018.08.003]</w:t>
      </w:r>
    </w:p>
    <w:p w14:paraId="588211C6"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9 </w:t>
      </w:r>
      <w:r w:rsidRPr="000B0727">
        <w:rPr>
          <w:rFonts w:ascii="Book Antiqua" w:hAnsi="Book Antiqua" w:cs="Arial"/>
          <w:b/>
          <w:sz w:val="24"/>
          <w:szCs w:val="24"/>
        </w:rPr>
        <w:t>Rosenberg ES</w:t>
      </w:r>
      <w:r w:rsidRPr="000B0727">
        <w:rPr>
          <w:rFonts w:ascii="Book Antiqua" w:hAnsi="Book Antiqua" w:cs="Arial"/>
          <w:sz w:val="24"/>
          <w:szCs w:val="24"/>
        </w:rPr>
        <w:t xml:space="preserve">, Rosenthal EM, Hall EW, Barker L, Hofmeister MG, Sullivan PS, Dietz P, Mermin J, Ryerson AB. Prevalence of Hepatitis C Virus Infection in US States and the District of Columbia, 2013 to 2016. </w:t>
      </w:r>
      <w:r w:rsidRPr="000B0727">
        <w:rPr>
          <w:rFonts w:ascii="Book Antiqua" w:hAnsi="Book Antiqua" w:cs="Arial"/>
          <w:i/>
          <w:sz w:val="24"/>
          <w:szCs w:val="24"/>
        </w:rPr>
        <w:t>JAMA Netw Open</w:t>
      </w:r>
      <w:r w:rsidRPr="000B0727">
        <w:rPr>
          <w:rFonts w:ascii="Book Antiqua" w:hAnsi="Book Antiqua" w:cs="Arial"/>
          <w:sz w:val="24"/>
          <w:szCs w:val="24"/>
        </w:rPr>
        <w:t xml:space="preserve"> 2018; </w:t>
      </w:r>
      <w:r w:rsidRPr="000B0727">
        <w:rPr>
          <w:rFonts w:ascii="Book Antiqua" w:hAnsi="Book Antiqua" w:cs="Arial"/>
          <w:b/>
          <w:sz w:val="24"/>
          <w:szCs w:val="24"/>
        </w:rPr>
        <w:t>1</w:t>
      </w:r>
      <w:r w:rsidRPr="000B0727">
        <w:rPr>
          <w:rFonts w:ascii="Book Antiqua" w:hAnsi="Book Antiqua" w:cs="Arial"/>
          <w:sz w:val="24"/>
          <w:szCs w:val="24"/>
        </w:rPr>
        <w:t>: e186371 [PMID: 30646319 DOI: 10.1001/jamanetworkopen.2018.6371]</w:t>
      </w:r>
    </w:p>
    <w:p w14:paraId="10F0B65E"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10 </w:t>
      </w:r>
      <w:r w:rsidRPr="000B0727">
        <w:rPr>
          <w:rFonts w:ascii="Book Antiqua" w:hAnsi="Book Antiqua" w:cs="Arial"/>
          <w:b/>
          <w:sz w:val="24"/>
          <w:szCs w:val="24"/>
        </w:rPr>
        <w:t>Havens JR</w:t>
      </w:r>
      <w:r w:rsidRPr="000B0727">
        <w:rPr>
          <w:rFonts w:ascii="Book Antiqua" w:hAnsi="Book Antiqua" w:cs="Arial"/>
          <w:sz w:val="24"/>
          <w:szCs w:val="24"/>
        </w:rPr>
        <w:t xml:space="preserve">, Lofwall MR, Frost SD, Oser CB, Leukefeld CG, Crosby RA. Individual and network factors associated with prevalent hepatitis C infection among rural Appalachian injection drug users. </w:t>
      </w:r>
      <w:r w:rsidRPr="000B0727">
        <w:rPr>
          <w:rFonts w:ascii="Book Antiqua" w:hAnsi="Book Antiqua" w:cs="Arial"/>
          <w:i/>
          <w:sz w:val="24"/>
          <w:szCs w:val="24"/>
        </w:rPr>
        <w:t>Am J Public Health</w:t>
      </w:r>
      <w:r w:rsidRPr="000B0727">
        <w:rPr>
          <w:rFonts w:ascii="Book Antiqua" w:hAnsi="Book Antiqua" w:cs="Arial"/>
          <w:sz w:val="24"/>
          <w:szCs w:val="24"/>
        </w:rPr>
        <w:t xml:space="preserve"> 2013; </w:t>
      </w:r>
      <w:r w:rsidRPr="000B0727">
        <w:rPr>
          <w:rFonts w:ascii="Book Antiqua" w:hAnsi="Book Antiqua" w:cs="Arial"/>
          <w:b/>
          <w:sz w:val="24"/>
          <w:szCs w:val="24"/>
        </w:rPr>
        <w:t>103</w:t>
      </w:r>
      <w:r w:rsidRPr="000B0727">
        <w:rPr>
          <w:rFonts w:ascii="Book Antiqua" w:hAnsi="Book Antiqua" w:cs="Arial"/>
          <w:sz w:val="24"/>
          <w:szCs w:val="24"/>
        </w:rPr>
        <w:t>: e44-e52 [PMID: 23153148 DOI: 10.2105/AJPH.2012.300874]</w:t>
      </w:r>
    </w:p>
    <w:p w14:paraId="7D90FB07"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11 </w:t>
      </w:r>
      <w:r w:rsidRPr="000B0727">
        <w:rPr>
          <w:rFonts w:ascii="Book Antiqua" w:hAnsi="Book Antiqua" w:cs="Arial"/>
          <w:b/>
          <w:sz w:val="24"/>
          <w:szCs w:val="24"/>
        </w:rPr>
        <w:t>Moorman AC</w:t>
      </w:r>
      <w:r w:rsidRPr="000B0727">
        <w:rPr>
          <w:rFonts w:ascii="Book Antiqua" w:hAnsi="Book Antiqua" w:cs="Arial"/>
          <w:sz w:val="24"/>
          <w:szCs w:val="24"/>
        </w:rPr>
        <w:t xml:space="preserve">, Rupp LB, Gordon SC, Zhong Y, Xing J, Lu M, Boscarino JA, Schmidt MA, Daida YG, Teshale EH, Spradling PR, Holmberg SD; CHeCS Investigators. Long-Term Liver Disease, Treatment, and Mortality Outcomes Among 17,000 Persons Diagnosed with Chronic Hepatitis C Virus Infection: Current Chronic Hepatitis Cohort Study Status and Review of Findings. </w:t>
      </w:r>
      <w:r w:rsidRPr="000B0727">
        <w:rPr>
          <w:rFonts w:ascii="Book Antiqua" w:hAnsi="Book Antiqua" w:cs="Arial"/>
          <w:i/>
          <w:sz w:val="24"/>
          <w:szCs w:val="24"/>
        </w:rPr>
        <w:t>Infect Dis Clin North Am</w:t>
      </w:r>
      <w:r w:rsidRPr="000B0727">
        <w:rPr>
          <w:rFonts w:ascii="Book Antiqua" w:hAnsi="Book Antiqua" w:cs="Arial"/>
          <w:sz w:val="24"/>
          <w:szCs w:val="24"/>
        </w:rPr>
        <w:t xml:space="preserve"> 2018; </w:t>
      </w:r>
      <w:r w:rsidRPr="000B0727">
        <w:rPr>
          <w:rFonts w:ascii="Book Antiqua" w:hAnsi="Book Antiqua" w:cs="Arial"/>
          <w:b/>
          <w:sz w:val="24"/>
          <w:szCs w:val="24"/>
        </w:rPr>
        <w:t>32</w:t>
      </w:r>
      <w:r w:rsidRPr="000B0727">
        <w:rPr>
          <w:rFonts w:ascii="Book Antiqua" w:hAnsi="Book Antiqua" w:cs="Arial"/>
          <w:sz w:val="24"/>
          <w:szCs w:val="24"/>
        </w:rPr>
        <w:t>: 253-268 [PMID: 29778254 DOI: 10.1016/j.idc.2018.02.002]</w:t>
      </w:r>
    </w:p>
    <w:p w14:paraId="3DFB354D"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12 </w:t>
      </w:r>
      <w:r w:rsidRPr="000B0727">
        <w:rPr>
          <w:rFonts w:ascii="Book Antiqua" w:hAnsi="Book Antiqua" w:cs="Arial"/>
          <w:b/>
          <w:sz w:val="24"/>
          <w:szCs w:val="24"/>
        </w:rPr>
        <w:t>Kim D</w:t>
      </w:r>
      <w:r w:rsidRPr="000B0727">
        <w:rPr>
          <w:rFonts w:ascii="Book Antiqua" w:hAnsi="Book Antiqua" w:cs="Arial"/>
          <w:sz w:val="24"/>
          <w:szCs w:val="24"/>
        </w:rPr>
        <w:t xml:space="preserve">, Li AA, Gadiparthi C, Khan MA, Cholankeril G, Glenn JS, Ahmed A. Changing Trends in Etiology-Based Annual Mortality From Chronic Liver Disease, From 2007 Through 2016. </w:t>
      </w:r>
      <w:r w:rsidRPr="000B0727">
        <w:rPr>
          <w:rFonts w:ascii="Book Antiqua" w:hAnsi="Book Antiqua" w:cs="Arial"/>
          <w:i/>
          <w:sz w:val="24"/>
          <w:szCs w:val="24"/>
        </w:rPr>
        <w:t>Gastroenterology</w:t>
      </w:r>
      <w:r w:rsidRPr="000B0727">
        <w:rPr>
          <w:rFonts w:ascii="Book Antiqua" w:hAnsi="Book Antiqua" w:cs="Arial"/>
          <w:sz w:val="24"/>
          <w:szCs w:val="24"/>
        </w:rPr>
        <w:t xml:space="preserve"> 2018; </w:t>
      </w:r>
      <w:r w:rsidRPr="000B0727">
        <w:rPr>
          <w:rFonts w:ascii="Book Antiqua" w:hAnsi="Book Antiqua" w:cs="Arial"/>
          <w:b/>
          <w:sz w:val="24"/>
          <w:szCs w:val="24"/>
        </w:rPr>
        <w:t>155</w:t>
      </w:r>
      <w:r w:rsidRPr="000B0727">
        <w:rPr>
          <w:rFonts w:ascii="Book Antiqua" w:hAnsi="Book Antiqua" w:cs="Arial"/>
          <w:sz w:val="24"/>
          <w:szCs w:val="24"/>
        </w:rPr>
        <w:t>: 1154-1163.e3 [PMID: 30009816 DOI: 10.1053/j.gastro.2018.07.008]</w:t>
      </w:r>
    </w:p>
    <w:p w14:paraId="6938AB41" w14:textId="47830A40" w:rsidR="000B0727" w:rsidRPr="000B0727" w:rsidRDefault="000B0727" w:rsidP="00F8591A">
      <w:pPr>
        <w:widowControl w:val="0"/>
        <w:autoSpaceDE w:val="0"/>
        <w:autoSpaceDN w:val="0"/>
        <w:adjustRightInd w:val="0"/>
        <w:snapToGrid w:val="0"/>
        <w:spacing w:after="0" w:line="360" w:lineRule="auto"/>
        <w:jc w:val="both"/>
        <w:rPr>
          <w:rFonts w:ascii="Book Antiqua" w:hAnsi="Book Antiqua" w:cs="Arial"/>
          <w:sz w:val="24"/>
          <w:szCs w:val="24"/>
        </w:rPr>
      </w:pPr>
      <w:r w:rsidRPr="00BE4AAC">
        <w:rPr>
          <w:rFonts w:ascii="Book Antiqua" w:hAnsi="Book Antiqua" w:cs="Arial"/>
          <w:sz w:val="24"/>
          <w:szCs w:val="24"/>
          <w:highlight w:val="yellow"/>
        </w:rPr>
        <w:t>13</w:t>
      </w:r>
      <w:r w:rsidR="00396333" w:rsidRPr="00BE4AAC">
        <w:rPr>
          <w:rFonts w:ascii="Book Antiqua" w:hAnsi="Book Antiqua" w:cs="Arial"/>
          <w:b/>
          <w:bCs/>
          <w:sz w:val="24"/>
          <w:szCs w:val="24"/>
          <w:highlight w:val="yellow"/>
        </w:rPr>
        <w:t xml:space="preserve"> </w:t>
      </w:r>
      <w:r w:rsidR="00F8591A" w:rsidRPr="00BE4AAC">
        <w:rPr>
          <w:rFonts w:ascii="Book Antiqua" w:hAnsi="Book Antiqua" w:cs="Arial"/>
          <w:b/>
          <w:bCs/>
          <w:sz w:val="24"/>
          <w:szCs w:val="24"/>
          <w:highlight w:val="yellow"/>
        </w:rPr>
        <w:t>Hedegaard H</w:t>
      </w:r>
      <w:r w:rsidR="00F8591A" w:rsidRPr="00BE4AAC">
        <w:rPr>
          <w:rFonts w:ascii="Book Antiqua" w:hAnsi="Book Antiqua" w:cs="Arial"/>
          <w:sz w:val="24"/>
          <w:szCs w:val="24"/>
          <w:highlight w:val="yellow"/>
        </w:rPr>
        <w:t>, Miniño AM, Warner M.</w:t>
      </w:r>
      <w:r w:rsidR="00F8591A" w:rsidRPr="00BE4AAC">
        <w:rPr>
          <w:rFonts w:ascii="Book Antiqua" w:hAnsi="Book Antiqua" w:cs="Arial" w:hint="eastAsia"/>
          <w:sz w:val="24"/>
          <w:szCs w:val="24"/>
          <w:highlight w:val="yellow"/>
          <w:lang w:eastAsia="zh-CN"/>
        </w:rPr>
        <w:t xml:space="preserve"> </w:t>
      </w:r>
      <w:r w:rsidR="00F8591A" w:rsidRPr="00BE4AAC">
        <w:rPr>
          <w:rFonts w:ascii="Book Antiqua" w:hAnsi="Book Antiqua" w:cs="Arial"/>
          <w:sz w:val="24"/>
          <w:szCs w:val="24"/>
          <w:highlight w:val="yellow"/>
        </w:rPr>
        <w:t>Drug overdose deaths in the United States,</w:t>
      </w:r>
      <w:r w:rsidR="00F8591A" w:rsidRPr="00BE4AAC">
        <w:rPr>
          <w:rFonts w:ascii="Book Antiqua" w:hAnsi="Book Antiqua" w:cs="Arial" w:hint="eastAsia"/>
          <w:sz w:val="24"/>
          <w:szCs w:val="24"/>
          <w:highlight w:val="yellow"/>
          <w:lang w:eastAsia="zh-CN"/>
        </w:rPr>
        <w:t xml:space="preserve"> </w:t>
      </w:r>
      <w:r w:rsidR="00F8591A" w:rsidRPr="00BE4AAC">
        <w:rPr>
          <w:rFonts w:ascii="Book Antiqua" w:hAnsi="Book Antiqua" w:cs="Arial"/>
          <w:sz w:val="24"/>
          <w:szCs w:val="24"/>
          <w:highlight w:val="yellow"/>
        </w:rPr>
        <w:t>1999–2017. NCHS Data Brief, no 329.</w:t>
      </w:r>
      <w:r w:rsidR="00F8591A" w:rsidRPr="00BE4AAC">
        <w:rPr>
          <w:rFonts w:ascii="Book Antiqua" w:hAnsi="Book Antiqua" w:cs="Arial" w:hint="eastAsia"/>
          <w:sz w:val="24"/>
          <w:szCs w:val="24"/>
          <w:highlight w:val="yellow"/>
          <w:lang w:eastAsia="zh-CN"/>
        </w:rPr>
        <w:t xml:space="preserve"> </w:t>
      </w:r>
      <w:r w:rsidR="00F8591A" w:rsidRPr="00BE4AAC">
        <w:rPr>
          <w:rFonts w:ascii="Book Antiqua" w:hAnsi="Book Antiqua" w:cs="Arial"/>
          <w:sz w:val="24"/>
          <w:szCs w:val="24"/>
          <w:highlight w:val="yellow"/>
        </w:rPr>
        <w:t>Hyattsville, MD: National Center for Health</w:t>
      </w:r>
      <w:r w:rsidR="00293C77" w:rsidRPr="00BE4AAC">
        <w:rPr>
          <w:rFonts w:ascii="Book Antiqua" w:hAnsi="Book Antiqua" w:cs="Arial" w:hint="eastAsia"/>
          <w:sz w:val="24"/>
          <w:szCs w:val="24"/>
          <w:highlight w:val="yellow"/>
          <w:lang w:eastAsia="zh-CN"/>
        </w:rPr>
        <w:t xml:space="preserve"> </w:t>
      </w:r>
      <w:r w:rsidR="00F8591A" w:rsidRPr="00BE4AAC">
        <w:rPr>
          <w:rFonts w:ascii="Book Antiqua" w:hAnsi="Book Antiqua" w:cs="Arial"/>
          <w:sz w:val="24"/>
          <w:szCs w:val="24"/>
          <w:highlight w:val="yellow"/>
        </w:rPr>
        <w:t>Statistics. 2018.</w:t>
      </w:r>
      <w:r w:rsidR="00396333" w:rsidRPr="00BE4AAC">
        <w:rPr>
          <w:rFonts w:ascii="Book Antiqua" w:hAnsi="Book Antiqua" w:cs="Arial"/>
          <w:sz w:val="24"/>
          <w:szCs w:val="24"/>
          <w:highlight w:val="yellow"/>
        </w:rPr>
        <w:t xml:space="preserve"> </w:t>
      </w:r>
      <w:r w:rsidRPr="00BE4AAC">
        <w:rPr>
          <w:rFonts w:ascii="Book Antiqua" w:hAnsi="Book Antiqua" w:cs="Arial"/>
          <w:sz w:val="24"/>
          <w:szCs w:val="24"/>
          <w:highlight w:val="yellow"/>
        </w:rPr>
        <w:t xml:space="preserve">Available from: </w:t>
      </w:r>
      <w:hyperlink r:id="rId12" w:history="1">
        <w:r w:rsidR="00F8591A" w:rsidRPr="00BE4AAC">
          <w:rPr>
            <w:rStyle w:val="a4"/>
            <w:rFonts w:ascii="Book Antiqua" w:hAnsi="Book Antiqua" w:cs="Arial"/>
            <w:sz w:val="24"/>
            <w:szCs w:val="24"/>
            <w:highlight w:val="yellow"/>
          </w:rPr>
          <w:t>https://www.cdc.gov/nchs/products/databriefs/db329.htm</w:t>
        </w:r>
      </w:hyperlink>
      <w:r w:rsidR="00F8591A">
        <w:rPr>
          <w:rFonts w:ascii="Book Antiqua" w:hAnsi="Book Antiqua" w:cs="Arial"/>
          <w:sz w:val="24"/>
          <w:szCs w:val="24"/>
        </w:rPr>
        <w:t xml:space="preserve"> </w:t>
      </w:r>
    </w:p>
    <w:p w14:paraId="3E0EC61D"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14 </w:t>
      </w:r>
      <w:r w:rsidRPr="000B0727">
        <w:rPr>
          <w:rFonts w:ascii="Book Antiqua" w:hAnsi="Book Antiqua" w:cs="Arial"/>
          <w:b/>
          <w:sz w:val="24"/>
          <w:szCs w:val="24"/>
        </w:rPr>
        <w:t>Bowring MG</w:t>
      </w:r>
      <w:r w:rsidRPr="000B0727">
        <w:rPr>
          <w:rFonts w:ascii="Book Antiqua" w:hAnsi="Book Antiqua" w:cs="Arial"/>
          <w:sz w:val="24"/>
          <w:szCs w:val="24"/>
        </w:rPr>
        <w:t xml:space="preserve">, Kucirka LM, Massie AB, Luo X, Cameron A, Sulkowski M, Rakestraw K, Gurakar A, Kuo I, Segev DL, Durand CM. Changes in Utilization and Discard of Hepatitis C-Infected Donor Livers in the Recent Era. </w:t>
      </w:r>
      <w:r w:rsidRPr="000B0727">
        <w:rPr>
          <w:rFonts w:ascii="Book Antiqua" w:hAnsi="Book Antiqua" w:cs="Arial"/>
          <w:i/>
          <w:sz w:val="24"/>
          <w:szCs w:val="24"/>
        </w:rPr>
        <w:t>Am J Transplant</w:t>
      </w:r>
      <w:r w:rsidRPr="000B0727">
        <w:rPr>
          <w:rFonts w:ascii="Book Antiqua" w:hAnsi="Book Antiqua" w:cs="Arial"/>
          <w:sz w:val="24"/>
          <w:szCs w:val="24"/>
        </w:rPr>
        <w:t xml:space="preserve"> 2017; </w:t>
      </w:r>
      <w:r w:rsidRPr="000B0727">
        <w:rPr>
          <w:rFonts w:ascii="Book Antiqua" w:hAnsi="Book Antiqua" w:cs="Arial"/>
          <w:b/>
          <w:sz w:val="24"/>
          <w:szCs w:val="24"/>
        </w:rPr>
        <w:t>17</w:t>
      </w:r>
      <w:r w:rsidRPr="000B0727">
        <w:rPr>
          <w:rFonts w:ascii="Book Antiqua" w:hAnsi="Book Antiqua" w:cs="Arial"/>
          <w:sz w:val="24"/>
          <w:szCs w:val="24"/>
        </w:rPr>
        <w:t>: 519-527 [PMID: 27456927 DOI: 10.1111/ajt.13976]</w:t>
      </w:r>
    </w:p>
    <w:p w14:paraId="57D316C8"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15 </w:t>
      </w:r>
      <w:r w:rsidRPr="000B0727">
        <w:rPr>
          <w:rFonts w:ascii="Book Antiqua" w:hAnsi="Book Antiqua" w:cs="Arial"/>
          <w:b/>
          <w:sz w:val="24"/>
          <w:szCs w:val="24"/>
        </w:rPr>
        <w:t>Gane EJ</w:t>
      </w:r>
      <w:r w:rsidRPr="000B0727">
        <w:rPr>
          <w:rFonts w:ascii="Book Antiqua" w:hAnsi="Book Antiqua" w:cs="Arial"/>
          <w:sz w:val="24"/>
          <w:szCs w:val="24"/>
        </w:rPr>
        <w:t xml:space="preserve">, Portmann BC, Naoumov NV, Smith HM, Underhill JA, Donaldson PT, Maertens G, Williams R. Long-term outcome of hepatitis C infection after liver </w:t>
      </w:r>
      <w:r w:rsidRPr="000B0727">
        <w:rPr>
          <w:rFonts w:ascii="Book Antiqua" w:hAnsi="Book Antiqua" w:cs="Arial"/>
          <w:sz w:val="24"/>
          <w:szCs w:val="24"/>
        </w:rPr>
        <w:lastRenderedPageBreak/>
        <w:t xml:space="preserve">transplantation. </w:t>
      </w:r>
      <w:r w:rsidRPr="000B0727">
        <w:rPr>
          <w:rFonts w:ascii="Book Antiqua" w:hAnsi="Book Antiqua" w:cs="Arial"/>
          <w:i/>
          <w:sz w:val="24"/>
          <w:szCs w:val="24"/>
        </w:rPr>
        <w:t>N Engl J Med</w:t>
      </w:r>
      <w:r w:rsidRPr="000B0727">
        <w:rPr>
          <w:rFonts w:ascii="Book Antiqua" w:hAnsi="Book Antiqua" w:cs="Arial"/>
          <w:sz w:val="24"/>
          <w:szCs w:val="24"/>
        </w:rPr>
        <w:t xml:space="preserve"> 1996; </w:t>
      </w:r>
      <w:r w:rsidRPr="000B0727">
        <w:rPr>
          <w:rFonts w:ascii="Book Antiqua" w:hAnsi="Book Antiqua" w:cs="Arial"/>
          <w:b/>
          <w:sz w:val="24"/>
          <w:szCs w:val="24"/>
        </w:rPr>
        <w:t>334</w:t>
      </w:r>
      <w:r w:rsidRPr="000B0727">
        <w:rPr>
          <w:rFonts w:ascii="Book Antiqua" w:hAnsi="Book Antiqua" w:cs="Arial"/>
          <w:sz w:val="24"/>
          <w:szCs w:val="24"/>
        </w:rPr>
        <w:t>: 815-820 [PMID: 8596547 DOI: 10.1056/NEJM199603283341302]</w:t>
      </w:r>
    </w:p>
    <w:p w14:paraId="581DE519" w14:textId="5D36F578"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16 </w:t>
      </w:r>
      <w:r w:rsidRPr="000B0727">
        <w:rPr>
          <w:rFonts w:ascii="Book Antiqua" w:hAnsi="Book Antiqua" w:cs="Arial"/>
          <w:b/>
          <w:sz w:val="24"/>
          <w:szCs w:val="24"/>
        </w:rPr>
        <w:t>Vargas HE</w:t>
      </w:r>
      <w:r w:rsidRPr="000B0727">
        <w:rPr>
          <w:rFonts w:ascii="Book Antiqua" w:hAnsi="Book Antiqua" w:cs="Arial"/>
          <w:sz w:val="24"/>
          <w:szCs w:val="24"/>
        </w:rPr>
        <w:t xml:space="preserve">, Laskus T, Wang LF, Lee R, Radkowski M, Dodson F, Fung JJ, Rakela J. Outcome of liver transplantation in hepatitis C virus-infected patients who received hepatitis C virus-infected grafts. </w:t>
      </w:r>
      <w:r w:rsidRPr="000B0727">
        <w:rPr>
          <w:rFonts w:ascii="Book Antiqua" w:hAnsi="Book Antiqua" w:cs="Arial"/>
          <w:i/>
          <w:sz w:val="24"/>
          <w:szCs w:val="24"/>
        </w:rPr>
        <w:t>Gastroenterology</w:t>
      </w:r>
      <w:r w:rsidRPr="000B0727">
        <w:rPr>
          <w:rFonts w:ascii="Book Antiqua" w:hAnsi="Book Antiqua" w:cs="Arial"/>
          <w:sz w:val="24"/>
          <w:szCs w:val="24"/>
        </w:rPr>
        <w:t xml:space="preserve"> 1999; </w:t>
      </w:r>
      <w:r w:rsidRPr="000B0727">
        <w:rPr>
          <w:rFonts w:ascii="Book Antiqua" w:hAnsi="Book Antiqua" w:cs="Arial"/>
          <w:b/>
          <w:sz w:val="24"/>
          <w:szCs w:val="24"/>
        </w:rPr>
        <w:t>117</w:t>
      </w:r>
      <w:r w:rsidRPr="000B0727">
        <w:rPr>
          <w:rFonts w:ascii="Book Antiqua" w:hAnsi="Book Antiqua" w:cs="Arial"/>
          <w:sz w:val="24"/>
          <w:szCs w:val="24"/>
        </w:rPr>
        <w:t xml:space="preserve">: 149-153 [PMID: </w:t>
      </w:r>
      <w:bookmarkStart w:id="38" w:name="OLE_LINK7"/>
      <w:r w:rsidRPr="000B0727">
        <w:rPr>
          <w:rFonts w:ascii="Book Antiqua" w:hAnsi="Book Antiqua" w:cs="Arial"/>
          <w:sz w:val="24"/>
          <w:szCs w:val="24"/>
        </w:rPr>
        <w:t>10381921</w:t>
      </w:r>
      <w:bookmarkEnd w:id="38"/>
      <w:r w:rsidR="00396333">
        <w:rPr>
          <w:rFonts w:ascii="Book Antiqua" w:hAnsi="Book Antiqua" w:cs="Arial"/>
          <w:sz w:val="24"/>
          <w:szCs w:val="24"/>
        </w:rPr>
        <w:t xml:space="preserve"> </w:t>
      </w:r>
      <w:r w:rsidR="00396333" w:rsidRPr="000B0727">
        <w:rPr>
          <w:rFonts w:ascii="Book Antiqua" w:hAnsi="Book Antiqua" w:cs="Arial"/>
          <w:sz w:val="24"/>
          <w:szCs w:val="24"/>
        </w:rPr>
        <w:t>DOI:</w:t>
      </w:r>
      <w:r w:rsidR="00396333">
        <w:rPr>
          <w:rFonts w:ascii="Book Antiqua" w:hAnsi="Book Antiqua" w:cs="Arial"/>
          <w:sz w:val="24"/>
          <w:szCs w:val="24"/>
        </w:rPr>
        <w:t xml:space="preserve"> </w:t>
      </w:r>
      <w:r w:rsidR="00396333" w:rsidRPr="00396333">
        <w:rPr>
          <w:rFonts w:ascii="Book Antiqua" w:hAnsi="Book Antiqua" w:cs="Arial"/>
          <w:sz w:val="24"/>
          <w:szCs w:val="24"/>
        </w:rPr>
        <w:t>10.1016/s0016-5085(99)70561-5</w:t>
      </w:r>
      <w:r w:rsidRPr="000B0727">
        <w:rPr>
          <w:rFonts w:ascii="Book Antiqua" w:hAnsi="Book Antiqua" w:cs="Arial"/>
          <w:sz w:val="24"/>
          <w:szCs w:val="24"/>
        </w:rPr>
        <w:t>]</w:t>
      </w:r>
    </w:p>
    <w:p w14:paraId="0DEAE63F"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17 </w:t>
      </w:r>
      <w:r w:rsidRPr="000B0727">
        <w:rPr>
          <w:rFonts w:ascii="Book Antiqua" w:hAnsi="Book Antiqua" w:cs="Arial"/>
          <w:b/>
          <w:sz w:val="24"/>
          <w:szCs w:val="24"/>
        </w:rPr>
        <w:t>Marroquin CE</w:t>
      </w:r>
      <w:r w:rsidRPr="000B0727">
        <w:rPr>
          <w:rFonts w:ascii="Book Antiqua" w:hAnsi="Book Antiqua" w:cs="Arial"/>
          <w:sz w:val="24"/>
          <w:szCs w:val="24"/>
        </w:rPr>
        <w:t xml:space="preserve">, Marino G, Kuo PC, Plotkin JS, Rustgi VK, Lu AD, Edwards E, Taranto S, Johnson LB. Transplantation of hepatitis C-positive livers in hepatitis C-positive patients is equivalent to transplanting hepatitis C-negative livers. </w:t>
      </w:r>
      <w:r w:rsidRPr="000B0727">
        <w:rPr>
          <w:rFonts w:ascii="Book Antiqua" w:hAnsi="Book Antiqua" w:cs="Arial"/>
          <w:i/>
          <w:sz w:val="24"/>
          <w:szCs w:val="24"/>
        </w:rPr>
        <w:t>Liver Transpl</w:t>
      </w:r>
      <w:r w:rsidRPr="000B0727">
        <w:rPr>
          <w:rFonts w:ascii="Book Antiqua" w:hAnsi="Book Antiqua" w:cs="Arial"/>
          <w:sz w:val="24"/>
          <w:szCs w:val="24"/>
        </w:rPr>
        <w:t xml:space="preserve"> 2001; </w:t>
      </w:r>
      <w:r w:rsidRPr="000B0727">
        <w:rPr>
          <w:rFonts w:ascii="Book Antiqua" w:hAnsi="Book Antiqua" w:cs="Arial"/>
          <w:b/>
          <w:sz w:val="24"/>
          <w:szCs w:val="24"/>
        </w:rPr>
        <w:t>7</w:t>
      </w:r>
      <w:r w:rsidRPr="000B0727">
        <w:rPr>
          <w:rFonts w:ascii="Book Antiqua" w:hAnsi="Book Antiqua" w:cs="Arial"/>
          <w:sz w:val="24"/>
          <w:szCs w:val="24"/>
        </w:rPr>
        <w:t>: 762-768 [PMID: 11552208 DOI: 10.1053/jlts.2001.27088]</w:t>
      </w:r>
    </w:p>
    <w:p w14:paraId="078FC386"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18 </w:t>
      </w:r>
      <w:r w:rsidRPr="000B0727">
        <w:rPr>
          <w:rFonts w:ascii="Book Antiqua" w:hAnsi="Book Antiqua" w:cs="Arial"/>
          <w:b/>
          <w:sz w:val="24"/>
          <w:szCs w:val="24"/>
        </w:rPr>
        <w:t>Ballarin R</w:t>
      </w:r>
      <w:r w:rsidRPr="000B0727">
        <w:rPr>
          <w:rFonts w:ascii="Book Antiqua" w:hAnsi="Book Antiqua" w:cs="Arial"/>
          <w:sz w:val="24"/>
          <w:szCs w:val="24"/>
        </w:rPr>
        <w:t xml:space="preserve">, Cucchetti A, Spaggiari M, Montalti R, Di Benedetto F, Nadalin S, Troisi RI, Valmasoni M, Longo C, De Ruvo N, Cautero N, Cillo U, Pinna AD, Burra P, Gerunda GE. Long-term follow-up and outcome of liver transplantation from anti-hepatitis C virus-positive donors: a European multicentric case-control study. </w:t>
      </w:r>
      <w:r w:rsidRPr="000B0727">
        <w:rPr>
          <w:rFonts w:ascii="Book Antiqua" w:hAnsi="Book Antiqua" w:cs="Arial"/>
          <w:i/>
          <w:sz w:val="24"/>
          <w:szCs w:val="24"/>
        </w:rPr>
        <w:t>Transplantation</w:t>
      </w:r>
      <w:r w:rsidRPr="000B0727">
        <w:rPr>
          <w:rFonts w:ascii="Book Antiqua" w:hAnsi="Book Antiqua" w:cs="Arial"/>
          <w:sz w:val="24"/>
          <w:szCs w:val="24"/>
        </w:rPr>
        <w:t xml:space="preserve"> 2011; </w:t>
      </w:r>
      <w:r w:rsidRPr="000B0727">
        <w:rPr>
          <w:rFonts w:ascii="Book Antiqua" w:hAnsi="Book Antiqua" w:cs="Arial"/>
          <w:b/>
          <w:sz w:val="24"/>
          <w:szCs w:val="24"/>
        </w:rPr>
        <w:t>91</w:t>
      </w:r>
      <w:r w:rsidRPr="000B0727">
        <w:rPr>
          <w:rFonts w:ascii="Book Antiqua" w:hAnsi="Book Antiqua" w:cs="Arial"/>
          <w:sz w:val="24"/>
          <w:szCs w:val="24"/>
        </w:rPr>
        <w:t>: 1265-1272 [PMID: 21478815 DOI: 10.1097/TP.0b013e318219eb8f]</w:t>
      </w:r>
    </w:p>
    <w:p w14:paraId="314CADD8" w14:textId="4D4C29E1"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19 </w:t>
      </w:r>
      <w:r w:rsidRPr="00576860">
        <w:rPr>
          <w:rFonts w:ascii="Book Antiqua" w:hAnsi="Book Antiqua" w:cs="Arial"/>
          <w:sz w:val="24"/>
          <w:szCs w:val="24"/>
          <w:highlight w:val="yellow"/>
        </w:rPr>
        <w:t xml:space="preserve">Liverpool HEP Interactions [Internet]. </w:t>
      </w:r>
      <w:r w:rsidRPr="00396333">
        <w:rPr>
          <w:rFonts w:ascii="Book Antiqua" w:hAnsi="Book Antiqua" w:cs="Arial"/>
          <w:sz w:val="24"/>
          <w:szCs w:val="24"/>
          <w:highlight w:val="yellow"/>
        </w:rPr>
        <w:t xml:space="preserve">[cited </w:t>
      </w:r>
      <w:r w:rsidR="00396333" w:rsidRPr="00396333">
        <w:rPr>
          <w:rFonts w:ascii="Book Antiqua" w:hAnsi="Book Antiqua" w:cs="Arial"/>
          <w:sz w:val="24"/>
          <w:szCs w:val="24"/>
          <w:highlight w:val="yellow"/>
        </w:rPr>
        <w:t>2019</w:t>
      </w:r>
      <w:r w:rsidRPr="00396333">
        <w:rPr>
          <w:rFonts w:ascii="Book Antiqua" w:hAnsi="Book Antiqua" w:cs="Arial"/>
          <w:sz w:val="24"/>
          <w:szCs w:val="24"/>
          <w:highlight w:val="yellow"/>
        </w:rPr>
        <w:t xml:space="preserve"> Feb</w:t>
      </w:r>
      <w:r w:rsidR="00396333">
        <w:rPr>
          <w:rFonts w:ascii="Book Antiqua" w:hAnsi="Book Antiqua" w:cs="Arial"/>
          <w:sz w:val="24"/>
          <w:szCs w:val="24"/>
          <w:highlight w:val="yellow"/>
        </w:rPr>
        <w:t>ruary</w:t>
      </w:r>
      <w:r w:rsidRPr="00396333">
        <w:rPr>
          <w:rFonts w:ascii="Book Antiqua" w:hAnsi="Book Antiqua" w:cs="Arial"/>
          <w:sz w:val="24"/>
          <w:szCs w:val="24"/>
          <w:highlight w:val="yellow"/>
        </w:rPr>
        <w:t xml:space="preserve"> 18];</w:t>
      </w:r>
      <w:r w:rsidR="00396333" w:rsidRPr="00396333">
        <w:rPr>
          <w:rFonts w:ascii="Book Antiqua" w:hAnsi="Book Antiqua" w:cs="Arial"/>
          <w:sz w:val="24"/>
          <w:szCs w:val="24"/>
          <w:highlight w:val="yellow"/>
        </w:rPr>
        <w:t xml:space="preserve"> </w:t>
      </w:r>
      <w:r w:rsidRPr="00396333">
        <w:rPr>
          <w:rFonts w:ascii="Book Antiqua" w:hAnsi="Book Antiqua" w:cs="Arial"/>
          <w:sz w:val="24"/>
          <w:szCs w:val="24"/>
          <w:highlight w:val="yellow"/>
        </w:rPr>
        <w:t xml:space="preserve">Available from: </w:t>
      </w:r>
      <w:hyperlink r:id="rId13" w:history="1">
        <w:r w:rsidR="00576860" w:rsidRPr="00320217">
          <w:rPr>
            <w:rStyle w:val="a4"/>
            <w:rFonts w:ascii="Book Antiqua" w:hAnsi="Book Antiqua" w:cs="Arial"/>
            <w:sz w:val="24"/>
            <w:szCs w:val="24"/>
            <w:highlight w:val="yellow"/>
          </w:rPr>
          <w:t>https://www.hep-druginteractions.org/checker</w:t>
        </w:r>
      </w:hyperlink>
      <w:r w:rsidR="00576860">
        <w:rPr>
          <w:rFonts w:ascii="Book Antiqua" w:hAnsi="Book Antiqua" w:cs="Arial"/>
          <w:sz w:val="24"/>
          <w:szCs w:val="24"/>
        </w:rPr>
        <w:t xml:space="preserve"> </w:t>
      </w:r>
    </w:p>
    <w:p w14:paraId="65B5F9DA"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20 </w:t>
      </w:r>
      <w:r w:rsidRPr="000B0727">
        <w:rPr>
          <w:rFonts w:ascii="Book Antiqua" w:hAnsi="Book Antiqua" w:cs="Arial"/>
          <w:b/>
          <w:sz w:val="24"/>
          <w:szCs w:val="24"/>
        </w:rPr>
        <w:t>Badri PS</w:t>
      </w:r>
      <w:r w:rsidRPr="000B0727">
        <w:rPr>
          <w:rFonts w:ascii="Book Antiqua" w:hAnsi="Book Antiqua" w:cs="Arial"/>
          <w:sz w:val="24"/>
          <w:szCs w:val="24"/>
        </w:rPr>
        <w:t xml:space="preserve">, Parikh A, Coakley EP, Ding B, Awni WM, Dutta S, Menon RM. Pharmacokinetics of Tacrolimus and Cyclosporine in Liver Transplant Recipients Receiving 3 Direct-Acting Antivirals as Treatment for Hepatitis C Infection. </w:t>
      </w:r>
      <w:r w:rsidRPr="000B0727">
        <w:rPr>
          <w:rFonts w:ascii="Book Antiqua" w:hAnsi="Book Antiqua" w:cs="Arial"/>
          <w:i/>
          <w:sz w:val="24"/>
          <w:szCs w:val="24"/>
        </w:rPr>
        <w:t>Ther Drug Monit</w:t>
      </w:r>
      <w:r w:rsidRPr="000B0727">
        <w:rPr>
          <w:rFonts w:ascii="Book Antiqua" w:hAnsi="Book Antiqua" w:cs="Arial"/>
          <w:sz w:val="24"/>
          <w:szCs w:val="24"/>
        </w:rPr>
        <w:t xml:space="preserve"> 2016; </w:t>
      </w:r>
      <w:r w:rsidRPr="000B0727">
        <w:rPr>
          <w:rFonts w:ascii="Book Antiqua" w:hAnsi="Book Antiqua" w:cs="Arial"/>
          <w:b/>
          <w:sz w:val="24"/>
          <w:szCs w:val="24"/>
        </w:rPr>
        <w:t>38</w:t>
      </w:r>
      <w:r w:rsidRPr="000B0727">
        <w:rPr>
          <w:rFonts w:ascii="Book Antiqua" w:hAnsi="Book Antiqua" w:cs="Arial"/>
          <w:sz w:val="24"/>
          <w:szCs w:val="24"/>
        </w:rPr>
        <w:t>: 640-645 [PMID: 27310199 DOI: 10.1097/FTD.0000000000000315]</w:t>
      </w:r>
    </w:p>
    <w:p w14:paraId="113F1DDA"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21 </w:t>
      </w:r>
      <w:r w:rsidRPr="000B0727">
        <w:rPr>
          <w:rFonts w:ascii="Book Antiqua" w:hAnsi="Book Antiqua" w:cs="Arial"/>
          <w:b/>
          <w:sz w:val="24"/>
          <w:szCs w:val="24"/>
        </w:rPr>
        <w:t>Belli LS</w:t>
      </w:r>
      <w:r w:rsidRPr="000B0727">
        <w:rPr>
          <w:rFonts w:ascii="Book Antiqua" w:hAnsi="Book Antiqua" w:cs="Arial"/>
          <w:sz w:val="24"/>
          <w:szCs w:val="24"/>
        </w:rPr>
        <w:t xml:space="preserve">, Duvoux C, Berenguer M, Berg T, Coilly A, Colle I, Fagiuoli S, Khoo S, Pageaux GP, Puoti M, Samuel D, Strazzabosco M. ELITA consensus statements on the use of DAAs in liver transplant candidates and recipients. </w:t>
      </w:r>
      <w:r w:rsidRPr="000B0727">
        <w:rPr>
          <w:rFonts w:ascii="Book Antiqua" w:hAnsi="Book Antiqua" w:cs="Arial"/>
          <w:i/>
          <w:sz w:val="24"/>
          <w:szCs w:val="24"/>
        </w:rPr>
        <w:t>J Hepatol</w:t>
      </w:r>
      <w:r w:rsidRPr="000B0727">
        <w:rPr>
          <w:rFonts w:ascii="Book Antiqua" w:hAnsi="Book Antiqua" w:cs="Arial"/>
          <w:sz w:val="24"/>
          <w:szCs w:val="24"/>
        </w:rPr>
        <w:t xml:space="preserve"> 2017; </w:t>
      </w:r>
      <w:r w:rsidRPr="000B0727">
        <w:rPr>
          <w:rFonts w:ascii="Book Antiqua" w:hAnsi="Book Antiqua" w:cs="Arial"/>
          <w:b/>
          <w:sz w:val="24"/>
          <w:szCs w:val="24"/>
        </w:rPr>
        <w:t>67</w:t>
      </w:r>
      <w:r w:rsidRPr="000B0727">
        <w:rPr>
          <w:rFonts w:ascii="Book Antiqua" w:hAnsi="Book Antiqua" w:cs="Arial"/>
          <w:sz w:val="24"/>
          <w:szCs w:val="24"/>
        </w:rPr>
        <w:t>: 585-602 [PMID: 28323126 DOI: 10.1016/j.jhep.2017.03.006]</w:t>
      </w:r>
    </w:p>
    <w:p w14:paraId="3D68FF20"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22 </w:t>
      </w:r>
      <w:r w:rsidRPr="000B0727">
        <w:rPr>
          <w:rFonts w:ascii="Book Antiqua" w:hAnsi="Book Antiqua" w:cs="Arial"/>
          <w:b/>
          <w:sz w:val="24"/>
          <w:szCs w:val="24"/>
        </w:rPr>
        <w:t>Saxena V</w:t>
      </w:r>
      <w:r w:rsidRPr="000B0727">
        <w:rPr>
          <w:rFonts w:ascii="Book Antiqua" w:hAnsi="Book Antiqua" w:cs="Arial"/>
          <w:sz w:val="24"/>
          <w:szCs w:val="24"/>
        </w:rPr>
        <w:t xml:space="preserve">, Koraishy FM, Sise ME, Lim JK, Schmidt M, Chung RT, Liapakis A, Nelson DR, Fried MW, Terrault NA; HCV-TARGET. Safety and efficacy of sofosbuvir-containing regimens in hepatitis C-infected patients with impaired renal function. </w:t>
      </w:r>
      <w:r w:rsidRPr="000B0727">
        <w:rPr>
          <w:rFonts w:ascii="Book Antiqua" w:hAnsi="Book Antiqua" w:cs="Arial"/>
          <w:i/>
          <w:sz w:val="24"/>
          <w:szCs w:val="24"/>
        </w:rPr>
        <w:t>Liver Int</w:t>
      </w:r>
      <w:r w:rsidRPr="000B0727">
        <w:rPr>
          <w:rFonts w:ascii="Book Antiqua" w:hAnsi="Book Antiqua" w:cs="Arial"/>
          <w:sz w:val="24"/>
          <w:szCs w:val="24"/>
        </w:rPr>
        <w:t xml:space="preserve"> 2016; </w:t>
      </w:r>
      <w:r w:rsidRPr="000B0727">
        <w:rPr>
          <w:rFonts w:ascii="Book Antiqua" w:hAnsi="Book Antiqua" w:cs="Arial"/>
          <w:b/>
          <w:sz w:val="24"/>
          <w:szCs w:val="24"/>
        </w:rPr>
        <w:t>36</w:t>
      </w:r>
      <w:r w:rsidRPr="000B0727">
        <w:rPr>
          <w:rFonts w:ascii="Book Antiqua" w:hAnsi="Book Antiqua" w:cs="Arial"/>
          <w:sz w:val="24"/>
          <w:szCs w:val="24"/>
        </w:rPr>
        <w:t>: 807-816 [PMID: 26923436 DOI: 10.1111/liv.13102]</w:t>
      </w:r>
    </w:p>
    <w:p w14:paraId="00103AAE" w14:textId="3C3D522B"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2B67AD">
        <w:rPr>
          <w:rFonts w:ascii="Book Antiqua" w:hAnsi="Book Antiqua" w:cs="Arial"/>
          <w:sz w:val="24"/>
          <w:szCs w:val="24"/>
          <w:highlight w:val="yellow"/>
        </w:rPr>
        <w:lastRenderedPageBreak/>
        <w:t xml:space="preserve">23 </w:t>
      </w:r>
      <w:r w:rsidR="009043CA" w:rsidRPr="002B2BCA">
        <w:rPr>
          <w:rFonts w:ascii="Book Antiqua" w:hAnsi="Book Antiqua" w:cs="Arial"/>
          <w:b/>
          <w:bCs/>
          <w:sz w:val="24"/>
          <w:szCs w:val="24"/>
          <w:highlight w:val="yellow"/>
        </w:rPr>
        <w:t>AASLD</w:t>
      </w:r>
      <w:r w:rsidR="002B2BCA" w:rsidRPr="002B2BCA">
        <w:rPr>
          <w:rFonts w:ascii="Book Antiqua" w:hAnsi="Book Antiqua" w:cs="Arial"/>
          <w:b/>
          <w:bCs/>
          <w:sz w:val="24"/>
          <w:szCs w:val="24"/>
          <w:highlight w:val="yellow"/>
        </w:rPr>
        <w:t>-</w:t>
      </w:r>
      <w:r w:rsidR="009043CA" w:rsidRPr="002B2BCA">
        <w:rPr>
          <w:rFonts w:ascii="Book Antiqua" w:hAnsi="Book Antiqua" w:cs="Arial"/>
          <w:b/>
          <w:bCs/>
          <w:sz w:val="24"/>
          <w:szCs w:val="24"/>
          <w:highlight w:val="yellow"/>
        </w:rPr>
        <w:t>IDSA</w:t>
      </w:r>
      <w:r w:rsidR="009043CA" w:rsidRPr="002B2BCA">
        <w:rPr>
          <w:rFonts w:ascii="Book Antiqua" w:hAnsi="Book Antiqua" w:cs="Arial"/>
          <w:sz w:val="24"/>
          <w:szCs w:val="24"/>
          <w:highlight w:val="yellow"/>
        </w:rPr>
        <w:t>.</w:t>
      </w:r>
      <w:r w:rsidR="009043CA" w:rsidRPr="002B67AD">
        <w:rPr>
          <w:rFonts w:ascii="Book Antiqua" w:hAnsi="Book Antiqua" w:cs="Arial"/>
          <w:sz w:val="24"/>
          <w:szCs w:val="24"/>
          <w:highlight w:val="yellow"/>
        </w:rPr>
        <w:t xml:space="preserve"> </w:t>
      </w:r>
      <w:r w:rsidRPr="002B67AD">
        <w:rPr>
          <w:rFonts w:ascii="Book Antiqua" w:hAnsi="Book Antiqua" w:cs="Arial"/>
          <w:sz w:val="24"/>
          <w:szCs w:val="24"/>
          <w:highlight w:val="yellow"/>
        </w:rPr>
        <w:t xml:space="preserve">Patients Who Develop Recurrent HCV Infection Post Liver Transplantation | </w:t>
      </w:r>
      <w:r w:rsidR="009043CA" w:rsidRPr="002B67AD">
        <w:rPr>
          <w:rFonts w:ascii="Book Antiqua" w:hAnsi="Book Antiqua" w:cs="Arial"/>
          <w:sz w:val="24"/>
          <w:szCs w:val="24"/>
          <w:highlight w:val="yellow"/>
        </w:rPr>
        <w:t>HCV Guidance: Recommendations for Testing, Managing, and Treating Hepatitis C</w:t>
      </w:r>
      <w:r w:rsidRPr="002B67AD">
        <w:rPr>
          <w:rFonts w:ascii="Book Antiqua" w:hAnsi="Book Antiqua" w:cs="Arial"/>
          <w:sz w:val="24"/>
          <w:szCs w:val="24"/>
          <w:highlight w:val="yellow"/>
        </w:rPr>
        <w:t xml:space="preserve">. [cited 2019 </w:t>
      </w:r>
      <w:r w:rsidR="00396333" w:rsidRPr="002B67AD">
        <w:rPr>
          <w:rFonts w:ascii="Book Antiqua" w:hAnsi="Book Antiqua" w:cs="Arial"/>
          <w:sz w:val="24"/>
          <w:szCs w:val="24"/>
          <w:highlight w:val="yellow"/>
        </w:rPr>
        <w:t>February</w:t>
      </w:r>
      <w:r w:rsidRPr="002B67AD">
        <w:rPr>
          <w:rFonts w:ascii="Book Antiqua" w:hAnsi="Book Antiqua" w:cs="Arial"/>
          <w:sz w:val="24"/>
          <w:szCs w:val="24"/>
          <w:highlight w:val="yellow"/>
        </w:rPr>
        <w:t xml:space="preserve"> 18];</w:t>
      </w:r>
      <w:r w:rsidR="00396333" w:rsidRPr="002B67AD">
        <w:rPr>
          <w:rFonts w:ascii="Book Antiqua" w:hAnsi="Book Antiqua" w:cs="Arial"/>
          <w:sz w:val="24"/>
          <w:szCs w:val="24"/>
          <w:highlight w:val="yellow"/>
        </w:rPr>
        <w:t xml:space="preserve"> </w:t>
      </w:r>
      <w:r w:rsidRPr="002B67AD">
        <w:rPr>
          <w:rFonts w:ascii="Book Antiqua" w:hAnsi="Book Antiqua" w:cs="Arial"/>
          <w:sz w:val="24"/>
          <w:szCs w:val="24"/>
          <w:highlight w:val="yellow"/>
        </w:rPr>
        <w:t xml:space="preserve">Available from: </w:t>
      </w:r>
      <w:hyperlink r:id="rId14" w:history="1">
        <w:r w:rsidR="009043CA" w:rsidRPr="002B67AD">
          <w:rPr>
            <w:rStyle w:val="a4"/>
            <w:rFonts w:ascii="Book Antiqua" w:hAnsi="Book Antiqua" w:cs="Arial"/>
            <w:sz w:val="24"/>
            <w:szCs w:val="24"/>
            <w:highlight w:val="yellow"/>
          </w:rPr>
          <w:t>https://www.hcvguidelines.org/unique-populations/post-liver-transplant</w:t>
        </w:r>
      </w:hyperlink>
      <w:r w:rsidR="009043CA">
        <w:rPr>
          <w:rFonts w:ascii="Book Antiqua" w:hAnsi="Book Antiqua" w:cs="Arial"/>
          <w:sz w:val="24"/>
          <w:szCs w:val="24"/>
        </w:rPr>
        <w:t xml:space="preserve"> </w:t>
      </w:r>
    </w:p>
    <w:p w14:paraId="09A7E6B4"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24 </w:t>
      </w:r>
      <w:r w:rsidRPr="000B0727">
        <w:rPr>
          <w:rFonts w:ascii="Book Antiqua" w:hAnsi="Book Antiqua" w:cs="Arial"/>
          <w:b/>
          <w:sz w:val="24"/>
          <w:szCs w:val="24"/>
        </w:rPr>
        <w:t>Charlton M</w:t>
      </w:r>
      <w:r w:rsidRPr="000B0727">
        <w:rPr>
          <w:rFonts w:ascii="Book Antiqua" w:hAnsi="Book Antiqua" w:cs="Arial"/>
          <w:sz w:val="24"/>
          <w:szCs w:val="24"/>
        </w:rPr>
        <w:t xml:space="preserve">, Everson GT, Flamm SL, Kumar P, Landis C, Brown RS Jr, Fried MW, Terrault NA, O'Leary JG, Vargas HE, Kuo A, Schiff E, Sulkowski MS, Gilroy R, Watt KD, Brown K, Kwo P, Pungpapong S, Korenblat KM, Muir AJ, Teperman L, Fontana RJ, Denning J, Arterburn S, Dvory-Sobol H, Brandt-Sarif T, Pang PS, McHutchison JG, Reddy KR, Afdhal N; SOLAR-1 Investigators. Ledipasvir and Sofosbuvir Plus Ribavirin for Treatment of HCV Infection in Patients With Advanced Liver Disease. </w:t>
      </w:r>
      <w:r w:rsidRPr="000B0727">
        <w:rPr>
          <w:rFonts w:ascii="Book Antiqua" w:hAnsi="Book Antiqua" w:cs="Arial"/>
          <w:i/>
          <w:sz w:val="24"/>
          <w:szCs w:val="24"/>
        </w:rPr>
        <w:t>Gastroenterology</w:t>
      </w:r>
      <w:r w:rsidRPr="000B0727">
        <w:rPr>
          <w:rFonts w:ascii="Book Antiqua" w:hAnsi="Book Antiqua" w:cs="Arial"/>
          <w:sz w:val="24"/>
          <w:szCs w:val="24"/>
        </w:rPr>
        <w:t xml:space="preserve"> 2015; </w:t>
      </w:r>
      <w:r w:rsidRPr="000B0727">
        <w:rPr>
          <w:rFonts w:ascii="Book Antiqua" w:hAnsi="Book Antiqua" w:cs="Arial"/>
          <w:b/>
          <w:sz w:val="24"/>
          <w:szCs w:val="24"/>
        </w:rPr>
        <w:t>149</w:t>
      </w:r>
      <w:r w:rsidRPr="000B0727">
        <w:rPr>
          <w:rFonts w:ascii="Book Antiqua" w:hAnsi="Book Antiqua" w:cs="Arial"/>
          <w:sz w:val="24"/>
          <w:szCs w:val="24"/>
        </w:rPr>
        <w:t>: 649-659 [PMID: 25985734 DOI: 10.1053/j.gastro.2015.05.010]</w:t>
      </w:r>
    </w:p>
    <w:p w14:paraId="094A316E"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25 </w:t>
      </w:r>
      <w:r w:rsidRPr="000B0727">
        <w:rPr>
          <w:rFonts w:ascii="Book Antiqua" w:hAnsi="Book Antiqua" w:cs="Arial"/>
          <w:b/>
          <w:sz w:val="24"/>
          <w:szCs w:val="24"/>
        </w:rPr>
        <w:t>Manns M</w:t>
      </w:r>
      <w:r w:rsidRPr="000B0727">
        <w:rPr>
          <w:rFonts w:ascii="Book Antiqua" w:hAnsi="Book Antiqua" w:cs="Arial"/>
          <w:sz w:val="24"/>
          <w:szCs w:val="24"/>
        </w:rPr>
        <w:t xml:space="preserve">, Samuel D, Gane EJ, Mutimer D, McCaughan G, Buti M, Prieto M, Calleja JL, Peck-Radosavljevic M, Müllhaupt B, Agarwal K, Angus P, Yoshida EM, Colombo M, Rizzetto M, Dvory-Sobol H, Denning J, Arterburn S, Pang PS, Brainard D, McHutchison JG, Dufour JF, Van Vlierberghe H, van Hoek B, Forns X; SOLAR-2 investigators. Ledipasvir and sofosbuvir plus ribavirin in patients with genotype 1 or 4 hepatitis C virus infection and advanced liver disease: a multicentre, open-label, randomised, phase 2 trial. </w:t>
      </w:r>
      <w:r w:rsidRPr="000B0727">
        <w:rPr>
          <w:rFonts w:ascii="Book Antiqua" w:hAnsi="Book Antiqua" w:cs="Arial"/>
          <w:i/>
          <w:sz w:val="24"/>
          <w:szCs w:val="24"/>
        </w:rPr>
        <w:t>Lancet Infect Dis</w:t>
      </w:r>
      <w:r w:rsidRPr="000B0727">
        <w:rPr>
          <w:rFonts w:ascii="Book Antiqua" w:hAnsi="Book Antiqua" w:cs="Arial"/>
          <w:sz w:val="24"/>
          <w:szCs w:val="24"/>
        </w:rPr>
        <w:t xml:space="preserve"> 2016; </w:t>
      </w:r>
      <w:r w:rsidRPr="000B0727">
        <w:rPr>
          <w:rFonts w:ascii="Book Antiqua" w:hAnsi="Book Antiqua" w:cs="Arial"/>
          <w:b/>
          <w:sz w:val="24"/>
          <w:szCs w:val="24"/>
        </w:rPr>
        <w:t>16</w:t>
      </w:r>
      <w:r w:rsidRPr="000B0727">
        <w:rPr>
          <w:rFonts w:ascii="Book Antiqua" w:hAnsi="Book Antiqua" w:cs="Arial"/>
          <w:sz w:val="24"/>
          <w:szCs w:val="24"/>
        </w:rPr>
        <w:t>: 685-697 [PMID: 26907736 DOI: 10.1016/S1473-3099(16)00052-9]</w:t>
      </w:r>
    </w:p>
    <w:p w14:paraId="7E570644"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26 </w:t>
      </w:r>
      <w:r w:rsidRPr="000B0727">
        <w:rPr>
          <w:rFonts w:ascii="Book Antiqua" w:hAnsi="Book Antiqua" w:cs="Arial"/>
          <w:b/>
          <w:sz w:val="24"/>
          <w:szCs w:val="24"/>
        </w:rPr>
        <w:t>Poordad F</w:t>
      </w:r>
      <w:r w:rsidRPr="000B0727">
        <w:rPr>
          <w:rFonts w:ascii="Book Antiqua" w:hAnsi="Book Antiqua" w:cs="Arial"/>
          <w:sz w:val="24"/>
          <w:szCs w:val="24"/>
        </w:rPr>
        <w:t xml:space="preserve">, Schiff ER, Vierling JM, Landis C, Fontana RJ, Yang R, McPhee F, Hughes EA, Noviello S, Swenson ES. Daclatasvir with sofosbuvir and ribavirin for hepatitis C virus infection with advanced cirrhosis or post-liver transplantation recurrence. </w:t>
      </w:r>
      <w:r w:rsidRPr="000B0727">
        <w:rPr>
          <w:rFonts w:ascii="Book Antiqua" w:hAnsi="Book Antiqua" w:cs="Arial"/>
          <w:i/>
          <w:sz w:val="24"/>
          <w:szCs w:val="24"/>
        </w:rPr>
        <w:t>Hepatology</w:t>
      </w:r>
      <w:r w:rsidRPr="000B0727">
        <w:rPr>
          <w:rFonts w:ascii="Book Antiqua" w:hAnsi="Book Antiqua" w:cs="Arial"/>
          <w:sz w:val="24"/>
          <w:szCs w:val="24"/>
        </w:rPr>
        <w:t xml:space="preserve"> 2016; </w:t>
      </w:r>
      <w:r w:rsidRPr="000B0727">
        <w:rPr>
          <w:rFonts w:ascii="Book Antiqua" w:hAnsi="Book Antiqua" w:cs="Arial"/>
          <w:b/>
          <w:sz w:val="24"/>
          <w:szCs w:val="24"/>
        </w:rPr>
        <w:t>63</w:t>
      </w:r>
      <w:r w:rsidRPr="000B0727">
        <w:rPr>
          <w:rFonts w:ascii="Book Antiqua" w:hAnsi="Book Antiqua" w:cs="Arial"/>
          <w:sz w:val="24"/>
          <w:szCs w:val="24"/>
        </w:rPr>
        <w:t>: 1493-1505 [PMID: 26754432 DOI: 10.1002/hep.28446]</w:t>
      </w:r>
    </w:p>
    <w:p w14:paraId="6B986D62"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27 </w:t>
      </w:r>
      <w:r w:rsidRPr="000B0727">
        <w:rPr>
          <w:rFonts w:ascii="Book Antiqua" w:hAnsi="Book Antiqua" w:cs="Arial"/>
          <w:b/>
          <w:sz w:val="24"/>
          <w:szCs w:val="24"/>
        </w:rPr>
        <w:t>Kwok RM</w:t>
      </w:r>
      <w:r w:rsidRPr="000B0727">
        <w:rPr>
          <w:rFonts w:ascii="Book Antiqua" w:hAnsi="Book Antiqua" w:cs="Arial"/>
          <w:sz w:val="24"/>
          <w:szCs w:val="24"/>
        </w:rPr>
        <w:t xml:space="preserve">, Ahn J, Schiano TD, Te HS, Potosky DR, Tierney A, Satoskar R, Robertazzi S, Rodigas C, Lee Sang M, Wiegel J, Patel N, Gripshover J, Hassan MA, Branch A, Smith CI. Sofosbuvir plus ledispasvir for recurrent hepatitis C in liver transplant recipients. </w:t>
      </w:r>
      <w:r w:rsidRPr="000B0727">
        <w:rPr>
          <w:rFonts w:ascii="Book Antiqua" w:hAnsi="Book Antiqua" w:cs="Arial"/>
          <w:i/>
          <w:sz w:val="24"/>
          <w:szCs w:val="24"/>
        </w:rPr>
        <w:t>Liver Transpl</w:t>
      </w:r>
      <w:r w:rsidRPr="000B0727">
        <w:rPr>
          <w:rFonts w:ascii="Book Antiqua" w:hAnsi="Book Antiqua" w:cs="Arial"/>
          <w:sz w:val="24"/>
          <w:szCs w:val="24"/>
        </w:rPr>
        <w:t xml:space="preserve"> 2016; </w:t>
      </w:r>
      <w:r w:rsidRPr="000B0727">
        <w:rPr>
          <w:rFonts w:ascii="Book Antiqua" w:hAnsi="Book Antiqua" w:cs="Arial"/>
          <w:b/>
          <w:sz w:val="24"/>
          <w:szCs w:val="24"/>
        </w:rPr>
        <w:t>22</w:t>
      </w:r>
      <w:r w:rsidRPr="000B0727">
        <w:rPr>
          <w:rFonts w:ascii="Book Antiqua" w:hAnsi="Book Antiqua" w:cs="Arial"/>
          <w:sz w:val="24"/>
          <w:szCs w:val="24"/>
        </w:rPr>
        <w:t>: 1536-1543 [PMID: 27543748 DOI: 10.1002/lt.24614]</w:t>
      </w:r>
    </w:p>
    <w:p w14:paraId="51A93B04"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28 </w:t>
      </w:r>
      <w:r w:rsidRPr="000B0727">
        <w:rPr>
          <w:rFonts w:ascii="Book Antiqua" w:hAnsi="Book Antiqua" w:cs="Arial"/>
          <w:b/>
          <w:sz w:val="24"/>
          <w:szCs w:val="24"/>
        </w:rPr>
        <w:t>Reau N</w:t>
      </w:r>
      <w:r w:rsidRPr="000B0727">
        <w:rPr>
          <w:rFonts w:ascii="Book Antiqua" w:hAnsi="Book Antiqua" w:cs="Arial"/>
          <w:sz w:val="24"/>
          <w:szCs w:val="24"/>
        </w:rPr>
        <w:t xml:space="preserve">, Kwo PY, Rhee S, Brown RS Jr, Agarwal K, Angus P, Gane E, Kao JH, Mantry PS, Mutimer D, Reddy KR, Tran TT, Hu YB, Gulati A, Krishnan P, Dumas EO, Porcalla A, Shulman NS, Liu W, Samanta S, Trinh R, Forns X. Glecaprevir/Pibrentasvir Treatment </w:t>
      </w:r>
      <w:r w:rsidRPr="000B0727">
        <w:rPr>
          <w:rFonts w:ascii="Book Antiqua" w:hAnsi="Book Antiqua" w:cs="Arial"/>
          <w:sz w:val="24"/>
          <w:szCs w:val="24"/>
        </w:rPr>
        <w:lastRenderedPageBreak/>
        <w:t xml:space="preserve">in Liver or Kidney Transplant Patients With Hepatitis C Virus Infection. </w:t>
      </w:r>
      <w:r w:rsidRPr="000B0727">
        <w:rPr>
          <w:rFonts w:ascii="Book Antiqua" w:hAnsi="Book Antiqua" w:cs="Arial"/>
          <w:i/>
          <w:sz w:val="24"/>
          <w:szCs w:val="24"/>
        </w:rPr>
        <w:t>Hepatology</w:t>
      </w:r>
      <w:r w:rsidRPr="000B0727">
        <w:rPr>
          <w:rFonts w:ascii="Book Antiqua" w:hAnsi="Book Antiqua" w:cs="Arial"/>
          <w:sz w:val="24"/>
          <w:szCs w:val="24"/>
        </w:rPr>
        <w:t xml:space="preserve"> 2018; </w:t>
      </w:r>
      <w:r w:rsidRPr="000B0727">
        <w:rPr>
          <w:rFonts w:ascii="Book Antiqua" w:hAnsi="Book Antiqua" w:cs="Arial"/>
          <w:b/>
          <w:sz w:val="24"/>
          <w:szCs w:val="24"/>
        </w:rPr>
        <w:t>68</w:t>
      </w:r>
      <w:r w:rsidRPr="000B0727">
        <w:rPr>
          <w:rFonts w:ascii="Book Antiqua" w:hAnsi="Book Antiqua" w:cs="Arial"/>
          <w:sz w:val="24"/>
          <w:szCs w:val="24"/>
        </w:rPr>
        <w:t>: 1298-1307 [PMID: 29672891 DOI: 10.1002/hep.30046]</w:t>
      </w:r>
    </w:p>
    <w:p w14:paraId="6449F060"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29 </w:t>
      </w:r>
      <w:r w:rsidRPr="000B0727">
        <w:rPr>
          <w:rFonts w:ascii="Book Antiqua" w:hAnsi="Book Antiqua" w:cs="Arial"/>
          <w:b/>
          <w:sz w:val="24"/>
          <w:szCs w:val="24"/>
        </w:rPr>
        <w:t>Saxena V</w:t>
      </w:r>
      <w:r w:rsidRPr="000B0727">
        <w:rPr>
          <w:rFonts w:ascii="Book Antiqua" w:hAnsi="Book Antiqua" w:cs="Arial"/>
          <w:sz w:val="24"/>
          <w:szCs w:val="24"/>
        </w:rPr>
        <w:t xml:space="preserve">, Khungar V, Verna EC, Levitsky J, Brown RS Jr, Hassan MA, Sulkowski MS, O'Leary JG, Koraishy F, Galati JS, Kuo AA, Vainorius M, Akushevich L, Nelson DR, Fried MW, Terrault N, Reddy KR. Safety and efficacy of current direct-acting antiviral regimens in kidney and liver transplant recipients with hepatitis C: Results from the HCV-TARGET study. </w:t>
      </w:r>
      <w:r w:rsidRPr="000B0727">
        <w:rPr>
          <w:rFonts w:ascii="Book Antiqua" w:hAnsi="Book Antiqua" w:cs="Arial"/>
          <w:i/>
          <w:sz w:val="24"/>
          <w:szCs w:val="24"/>
        </w:rPr>
        <w:t>Hepatology</w:t>
      </w:r>
      <w:r w:rsidRPr="000B0727">
        <w:rPr>
          <w:rFonts w:ascii="Book Antiqua" w:hAnsi="Book Antiqua" w:cs="Arial"/>
          <w:sz w:val="24"/>
          <w:szCs w:val="24"/>
        </w:rPr>
        <w:t xml:space="preserve"> 2017; </w:t>
      </w:r>
      <w:r w:rsidRPr="000B0727">
        <w:rPr>
          <w:rFonts w:ascii="Book Antiqua" w:hAnsi="Book Antiqua" w:cs="Arial"/>
          <w:b/>
          <w:sz w:val="24"/>
          <w:szCs w:val="24"/>
        </w:rPr>
        <w:t>66</w:t>
      </w:r>
      <w:r w:rsidRPr="000B0727">
        <w:rPr>
          <w:rFonts w:ascii="Book Antiqua" w:hAnsi="Book Antiqua" w:cs="Arial"/>
          <w:sz w:val="24"/>
          <w:szCs w:val="24"/>
        </w:rPr>
        <w:t>: 1090-1101 [PMID: 28504842 DOI: 10.1002/hep.29258]</w:t>
      </w:r>
    </w:p>
    <w:p w14:paraId="0397909C" w14:textId="524B2484"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30 </w:t>
      </w:r>
      <w:r w:rsidRPr="00396333">
        <w:rPr>
          <w:rFonts w:ascii="Book Antiqua" w:hAnsi="Book Antiqua" w:cs="Arial"/>
          <w:b/>
          <w:sz w:val="24"/>
          <w:szCs w:val="24"/>
          <w:highlight w:val="yellow"/>
        </w:rPr>
        <w:t>AASLD-IDSA.</w:t>
      </w:r>
      <w:r w:rsidR="00EC3427">
        <w:rPr>
          <w:rFonts w:ascii="Book Antiqua" w:hAnsi="Book Antiqua" w:cs="Arial"/>
          <w:b/>
          <w:sz w:val="24"/>
          <w:szCs w:val="24"/>
          <w:highlight w:val="yellow"/>
        </w:rPr>
        <w:t xml:space="preserve"> </w:t>
      </w:r>
      <w:r w:rsidRPr="00EC3427">
        <w:rPr>
          <w:rFonts w:ascii="Book Antiqua" w:hAnsi="Book Antiqua" w:cs="Arial"/>
          <w:bCs/>
          <w:sz w:val="24"/>
          <w:szCs w:val="24"/>
          <w:highlight w:val="yellow"/>
        </w:rPr>
        <w:t xml:space="preserve">Recommendations for testing, </w:t>
      </w:r>
      <w:r w:rsidRPr="00396333">
        <w:rPr>
          <w:rFonts w:ascii="Book Antiqua" w:hAnsi="Book Antiqua" w:cs="Arial"/>
          <w:sz w:val="24"/>
          <w:szCs w:val="24"/>
          <w:highlight w:val="yellow"/>
        </w:rPr>
        <w:t>managing, and treating hepatitis C. [Internet]. [cited 2017 Jul</w:t>
      </w:r>
      <w:r w:rsidR="00396333" w:rsidRPr="00396333">
        <w:rPr>
          <w:rFonts w:ascii="Book Antiqua" w:hAnsi="Book Antiqua" w:cs="Arial"/>
          <w:sz w:val="24"/>
          <w:szCs w:val="24"/>
          <w:highlight w:val="yellow"/>
        </w:rPr>
        <w:t>y</w:t>
      </w:r>
      <w:r w:rsidRPr="00396333">
        <w:rPr>
          <w:rFonts w:ascii="Book Antiqua" w:hAnsi="Book Antiqua" w:cs="Arial"/>
          <w:sz w:val="24"/>
          <w:szCs w:val="24"/>
          <w:highlight w:val="yellow"/>
        </w:rPr>
        <w:t xml:space="preserve"> 29];</w:t>
      </w:r>
      <w:r w:rsidR="00396333" w:rsidRPr="00396333">
        <w:rPr>
          <w:rFonts w:ascii="Book Antiqua" w:hAnsi="Book Antiqua" w:cs="Arial"/>
          <w:sz w:val="24"/>
          <w:szCs w:val="24"/>
          <w:highlight w:val="yellow"/>
        </w:rPr>
        <w:t xml:space="preserve"> </w:t>
      </w:r>
      <w:r w:rsidRPr="00396333">
        <w:rPr>
          <w:rFonts w:ascii="Book Antiqua" w:hAnsi="Book Antiqua" w:cs="Arial"/>
          <w:sz w:val="24"/>
          <w:szCs w:val="24"/>
          <w:highlight w:val="yellow"/>
        </w:rPr>
        <w:t xml:space="preserve">Available from: </w:t>
      </w:r>
      <w:hyperlink r:id="rId15" w:history="1">
        <w:r w:rsidR="0077144B" w:rsidRPr="00320217">
          <w:rPr>
            <w:rStyle w:val="a4"/>
            <w:rFonts w:ascii="Book Antiqua" w:hAnsi="Book Antiqua" w:cs="Arial"/>
            <w:sz w:val="24"/>
            <w:szCs w:val="24"/>
            <w:highlight w:val="yellow"/>
          </w:rPr>
          <w:t>http://www.hcvguidelines.org</w:t>
        </w:r>
      </w:hyperlink>
      <w:r w:rsidR="0077144B">
        <w:rPr>
          <w:rFonts w:ascii="Book Antiqua" w:hAnsi="Book Antiqua" w:cs="Arial"/>
          <w:sz w:val="24"/>
          <w:szCs w:val="24"/>
        </w:rPr>
        <w:t xml:space="preserve"> </w:t>
      </w:r>
    </w:p>
    <w:p w14:paraId="68935C34"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31 </w:t>
      </w:r>
      <w:r w:rsidRPr="000B0727">
        <w:rPr>
          <w:rFonts w:ascii="Book Antiqua" w:hAnsi="Book Antiqua" w:cs="Arial"/>
          <w:b/>
          <w:sz w:val="24"/>
          <w:szCs w:val="24"/>
        </w:rPr>
        <w:t>Kim WR</w:t>
      </w:r>
      <w:r w:rsidRPr="000B0727">
        <w:rPr>
          <w:rFonts w:ascii="Book Antiqua" w:hAnsi="Book Antiqua" w:cs="Arial"/>
          <w:sz w:val="24"/>
          <w:szCs w:val="24"/>
        </w:rPr>
        <w:t xml:space="preserve">, Lake JR, Smith JM, Skeans MA, Schladt DP, Edwards EB, Harper AM, Wainright JL, Snyder JJ, Israni AK, Kasiske BL. OPTN/SRTR 2015 Annual Data Report: Liver. </w:t>
      </w:r>
      <w:r w:rsidRPr="000B0727">
        <w:rPr>
          <w:rFonts w:ascii="Book Antiqua" w:hAnsi="Book Antiqua" w:cs="Arial"/>
          <w:i/>
          <w:sz w:val="24"/>
          <w:szCs w:val="24"/>
        </w:rPr>
        <w:t>Am J Transplant</w:t>
      </w:r>
      <w:r w:rsidRPr="000B0727">
        <w:rPr>
          <w:rFonts w:ascii="Book Antiqua" w:hAnsi="Book Antiqua" w:cs="Arial"/>
          <w:sz w:val="24"/>
          <w:szCs w:val="24"/>
        </w:rPr>
        <w:t xml:space="preserve"> 2017; </w:t>
      </w:r>
      <w:r w:rsidRPr="000B0727">
        <w:rPr>
          <w:rFonts w:ascii="Book Antiqua" w:hAnsi="Book Antiqua" w:cs="Arial"/>
          <w:b/>
          <w:sz w:val="24"/>
          <w:szCs w:val="24"/>
        </w:rPr>
        <w:t>17 Suppl 1</w:t>
      </w:r>
      <w:r w:rsidRPr="000B0727">
        <w:rPr>
          <w:rFonts w:ascii="Book Antiqua" w:hAnsi="Book Antiqua" w:cs="Arial"/>
          <w:sz w:val="24"/>
          <w:szCs w:val="24"/>
        </w:rPr>
        <w:t>: 174-251 [PMID: 28052604 DOI: 10.1111/ajt.14126]</w:t>
      </w:r>
    </w:p>
    <w:p w14:paraId="7845252F"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32 </w:t>
      </w:r>
      <w:r w:rsidRPr="000B0727">
        <w:rPr>
          <w:rFonts w:ascii="Book Antiqua" w:hAnsi="Book Antiqua" w:cs="Arial"/>
          <w:b/>
          <w:sz w:val="24"/>
          <w:szCs w:val="24"/>
        </w:rPr>
        <w:t>Shah AP</w:t>
      </w:r>
      <w:r w:rsidRPr="000B0727">
        <w:rPr>
          <w:rFonts w:ascii="Book Antiqua" w:hAnsi="Book Antiqua" w:cs="Arial"/>
          <w:sz w:val="24"/>
          <w:szCs w:val="24"/>
        </w:rPr>
        <w:t xml:space="preserve">, Cameron A, Singh P, Frank AM, Fenkel JM. Successful treatment of donor-derived hepatitis C viral infection in three transplant recipients from a donor at increased risk for bloodborne pathogens. </w:t>
      </w:r>
      <w:r w:rsidRPr="000B0727">
        <w:rPr>
          <w:rFonts w:ascii="Book Antiqua" w:hAnsi="Book Antiqua" w:cs="Arial"/>
          <w:i/>
          <w:sz w:val="24"/>
          <w:szCs w:val="24"/>
        </w:rPr>
        <w:t>Transpl Infect Dis</w:t>
      </w:r>
      <w:r w:rsidRPr="000B0727">
        <w:rPr>
          <w:rFonts w:ascii="Book Antiqua" w:hAnsi="Book Antiqua" w:cs="Arial"/>
          <w:sz w:val="24"/>
          <w:szCs w:val="24"/>
        </w:rPr>
        <w:t xml:space="preserve"> 2017; </w:t>
      </w:r>
      <w:r w:rsidRPr="000B0727">
        <w:rPr>
          <w:rFonts w:ascii="Book Antiqua" w:hAnsi="Book Antiqua" w:cs="Arial"/>
          <w:b/>
          <w:sz w:val="24"/>
          <w:szCs w:val="24"/>
        </w:rPr>
        <w:t>19</w:t>
      </w:r>
      <w:r w:rsidRPr="000B0727">
        <w:rPr>
          <w:rFonts w:ascii="Book Antiqua" w:hAnsi="Book Antiqua" w:cs="Arial"/>
          <w:sz w:val="24"/>
          <w:szCs w:val="24"/>
        </w:rPr>
        <w:t>:  [PMID: 28060446 DOI: 10.1111/tid.12660]</w:t>
      </w:r>
    </w:p>
    <w:p w14:paraId="0FB0644E"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33 </w:t>
      </w:r>
      <w:r w:rsidRPr="000B0727">
        <w:rPr>
          <w:rFonts w:ascii="Book Antiqua" w:hAnsi="Book Antiqua" w:cs="Arial"/>
          <w:b/>
          <w:sz w:val="24"/>
          <w:szCs w:val="24"/>
        </w:rPr>
        <w:t>Saberi B</w:t>
      </w:r>
      <w:r w:rsidRPr="000B0727">
        <w:rPr>
          <w:rFonts w:ascii="Book Antiqua" w:hAnsi="Book Antiqua" w:cs="Arial"/>
          <w:sz w:val="24"/>
          <w:szCs w:val="24"/>
        </w:rPr>
        <w:t xml:space="preserve">, Hamilton JP, Durand CM, Li Z, Philosophe B, Cameron AM, Sulkowski MS, Gurakar A. Utilization of hepatitis C virus RNA-positive donor liver for transplant to hepatitis C virus RNA-negative recipient. </w:t>
      </w:r>
      <w:r w:rsidRPr="000B0727">
        <w:rPr>
          <w:rFonts w:ascii="Book Antiqua" w:hAnsi="Book Antiqua" w:cs="Arial"/>
          <w:i/>
          <w:sz w:val="24"/>
          <w:szCs w:val="24"/>
        </w:rPr>
        <w:t>Liver Transpl</w:t>
      </w:r>
      <w:r w:rsidRPr="000B0727">
        <w:rPr>
          <w:rFonts w:ascii="Book Antiqua" w:hAnsi="Book Antiqua" w:cs="Arial"/>
          <w:sz w:val="24"/>
          <w:szCs w:val="24"/>
        </w:rPr>
        <w:t xml:space="preserve"> 2018; </w:t>
      </w:r>
      <w:r w:rsidRPr="000B0727">
        <w:rPr>
          <w:rFonts w:ascii="Book Antiqua" w:hAnsi="Book Antiqua" w:cs="Arial"/>
          <w:b/>
          <w:sz w:val="24"/>
          <w:szCs w:val="24"/>
        </w:rPr>
        <w:t>24</w:t>
      </w:r>
      <w:r w:rsidRPr="000B0727">
        <w:rPr>
          <w:rFonts w:ascii="Book Antiqua" w:hAnsi="Book Antiqua" w:cs="Arial"/>
          <w:sz w:val="24"/>
          <w:szCs w:val="24"/>
        </w:rPr>
        <w:t>: 140-143 [PMID: 28779557 DOI: 10.1002/lt.24838]</w:t>
      </w:r>
    </w:p>
    <w:p w14:paraId="7D04AAEC"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34 </w:t>
      </w:r>
      <w:r w:rsidRPr="000B0727">
        <w:rPr>
          <w:rFonts w:ascii="Book Antiqua" w:hAnsi="Book Antiqua" w:cs="Arial"/>
          <w:b/>
          <w:sz w:val="24"/>
          <w:szCs w:val="24"/>
        </w:rPr>
        <w:t>Goldberg DS</w:t>
      </w:r>
      <w:r w:rsidRPr="000B0727">
        <w:rPr>
          <w:rFonts w:ascii="Book Antiqua" w:hAnsi="Book Antiqua" w:cs="Arial"/>
          <w:sz w:val="24"/>
          <w:szCs w:val="24"/>
        </w:rPr>
        <w:t xml:space="preserve">, Abt PL, Blumberg EA, Van Deerlin VM, Levine M, Reddy KR, Bloom RD, Nazarian SM, Sawinski D, Porrett P, Naji A, Hasz R, Suplee L, Trofe-Clark J, Sicilia A, McCauley M, Farooqi M, Gentile C, Smith J, Reese PP. Trial of Transplantation of HCV-Infected Kidneys into Uninfected Recipients. </w:t>
      </w:r>
      <w:r w:rsidRPr="000B0727">
        <w:rPr>
          <w:rFonts w:ascii="Book Antiqua" w:hAnsi="Book Antiqua" w:cs="Arial"/>
          <w:i/>
          <w:sz w:val="24"/>
          <w:szCs w:val="24"/>
        </w:rPr>
        <w:t>N Engl J Med</w:t>
      </w:r>
      <w:r w:rsidRPr="000B0727">
        <w:rPr>
          <w:rFonts w:ascii="Book Antiqua" w:hAnsi="Book Antiqua" w:cs="Arial"/>
          <w:sz w:val="24"/>
          <w:szCs w:val="24"/>
        </w:rPr>
        <w:t xml:space="preserve"> 2017; </w:t>
      </w:r>
      <w:r w:rsidRPr="000B0727">
        <w:rPr>
          <w:rFonts w:ascii="Book Antiqua" w:hAnsi="Book Antiqua" w:cs="Arial"/>
          <w:b/>
          <w:sz w:val="24"/>
          <w:szCs w:val="24"/>
        </w:rPr>
        <w:t>376</w:t>
      </w:r>
      <w:r w:rsidRPr="000B0727">
        <w:rPr>
          <w:rFonts w:ascii="Book Antiqua" w:hAnsi="Book Antiqua" w:cs="Arial"/>
          <w:sz w:val="24"/>
          <w:szCs w:val="24"/>
        </w:rPr>
        <w:t>: 2394-2395 [PMID: 28459186 DOI: 10.1056/NEJMc1705221]</w:t>
      </w:r>
    </w:p>
    <w:p w14:paraId="371E0E7B"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35 </w:t>
      </w:r>
      <w:r w:rsidRPr="000B0727">
        <w:rPr>
          <w:rFonts w:ascii="Book Antiqua" w:hAnsi="Book Antiqua" w:cs="Arial"/>
          <w:b/>
          <w:sz w:val="24"/>
          <w:szCs w:val="24"/>
        </w:rPr>
        <w:t>Reese PP</w:t>
      </w:r>
      <w:r w:rsidRPr="000B0727">
        <w:rPr>
          <w:rFonts w:ascii="Book Antiqua" w:hAnsi="Book Antiqua" w:cs="Arial"/>
          <w:sz w:val="24"/>
          <w:szCs w:val="24"/>
        </w:rPr>
        <w:t xml:space="preserve">, Abt PL, Blumberg EA, Van Deerlin VM, Bloom RD, Potluri VS, Levine M, Porrett P, Sawinski D, Nazarian SM, Naji A, Hasz R, Suplee L, Trofe-Clark J, Sicilia A, McCauley M, Gentile C, Smith J, Niknam BA, Bleicher M, Reddy KR, Goldberg DS. </w:t>
      </w:r>
      <w:r w:rsidRPr="000B0727">
        <w:rPr>
          <w:rFonts w:ascii="Book Antiqua" w:hAnsi="Book Antiqua" w:cs="Arial"/>
          <w:sz w:val="24"/>
          <w:szCs w:val="24"/>
        </w:rPr>
        <w:lastRenderedPageBreak/>
        <w:t xml:space="preserve">Twelve-Month Outcomes After Transplant of Hepatitis C-Infected Kidneys Into Uninfected Recipients: A Single-Group Trial. </w:t>
      </w:r>
      <w:r w:rsidRPr="000B0727">
        <w:rPr>
          <w:rFonts w:ascii="Book Antiqua" w:hAnsi="Book Antiqua" w:cs="Arial"/>
          <w:i/>
          <w:sz w:val="24"/>
          <w:szCs w:val="24"/>
        </w:rPr>
        <w:t>Ann Intern Med</w:t>
      </w:r>
      <w:r w:rsidRPr="000B0727">
        <w:rPr>
          <w:rFonts w:ascii="Book Antiqua" w:hAnsi="Book Antiqua" w:cs="Arial"/>
          <w:sz w:val="24"/>
          <w:szCs w:val="24"/>
        </w:rPr>
        <w:t xml:space="preserve"> 2018; </w:t>
      </w:r>
      <w:r w:rsidRPr="000B0727">
        <w:rPr>
          <w:rFonts w:ascii="Book Antiqua" w:hAnsi="Book Antiqua" w:cs="Arial"/>
          <w:b/>
          <w:sz w:val="24"/>
          <w:szCs w:val="24"/>
        </w:rPr>
        <w:t>169</w:t>
      </w:r>
      <w:r w:rsidRPr="000B0727">
        <w:rPr>
          <w:rFonts w:ascii="Book Antiqua" w:hAnsi="Book Antiqua" w:cs="Arial"/>
          <w:sz w:val="24"/>
          <w:szCs w:val="24"/>
        </w:rPr>
        <w:t>: 273-281 [PMID: 30083748 DOI: 10.7326/M18-0749]</w:t>
      </w:r>
    </w:p>
    <w:p w14:paraId="171E4A25"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36 </w:t>
      </w:r>
      <w:r w:rsidRPr="000B0727">
        <w:rPr>
          <w:rFonts w:ascii="Book Antiqua" w:hAnsi="Book Antiqua" w:cs="Arial"/>
          <w:b/>
          <w:sz w:val="24"/>
          <w:szCs w:val="24"/>
        </w:rPr>
        <w:t>Bethea ED</w:t>
      </w:r>
      <w:r w:rsidRPr="000B0727">
        <w:rPr>
          <w:rFonts w:ascii="Book Antiqua" w:hAnsi="Book Antiqua" w:cs="Arial"/>
          <w:sz w:val="24"/>
          <w:szCs w:val="24"/>
        </w:rPr>
        <w:t xml:space="preserve">, Gaj K, Gustafson JL, Axtell A, Lebeis T, Schoenike M, Turvey K, Coglianese E, Thomas S, Newton-Cheh C, Ibrahim N, Carlson W, Ho JE, Shah R, Nayor M, Gift T, Shao S, Dugal A, Markmann J, Elias N, Yeh H, Andersson K, Pratt D, Bhan I, Safa K, Fishman J, Kotton C, Myoung P, Villavicencio MA, D'Alessandro D, Chung RT, Lewis GD. Pre-emptive pangenotypic direct acting antiviral therapy in donor HCV-positive to recipient HCV-negative heart transplantation: an open-label study. </w:t>
      </w:r>
      <w:r w:rsidRPr="000B0727">
        <w:rPr>
          <w:rFonts w:ascii="Book Antiqua" w:hAnsi="Book Antiqua" w:cs="Arial"/>
          <w:i/>
          <w:sz w:val="24"/>
          <w:szCs w:val="24"/>
        </w:rPr>
        <w:t>Lancet Gastroenterol Hepatol</w:t>
      </w:r>
      <w:r w:rsidRPr="000B0727">
        <w:rPr>
          <w:rFonts w:ascii="Book Antiqua" w:hAnsi="Book Antiqua" w:cs="Arial"/>
          <w:sz w:val="24"/>
          <w:szCs w:val="24"/>
        </w:rPr>
        <w:t xml:space="preserve"> 2019; </w:t>
      </w:r>
      <w:r w:rsidRPr="000B0727">
        <w:rPr>
          <w:rFonts w:ascii="Book Antiqua" w:hAnsi="Book Antiqua" w:cs="Arial"/>
          <w:b/>
          <w:sz w:val="24"/>
          <w:szCs w:val="24"/>
        </w:rPr>
        <w:t>4</w:t>
      </w:r>
      <w:r w:rsidRPr="000B0727">
        <w:rPr>
          <w:rFonts w:ascii="Book Antiqua" w:hAnsi="Book Antiqua" w:cs="Arial"/>
          <w:sz w:val="24"/>
          <w:szCs w:val="24"/>
        </w:rPr>
        <w:t>: 771-780 [PMID: 31353243 DOI: 10.1016/S2468-1253(19)30240-7]</w:t>
      </w:r>
    </w:p>
    <w:p w14:paraId="000F2F88"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37 </w:t>
      </w:r>
      <w:r w:rsidRPr="000B0727">
        <w:rPr>
          <w:rFonts w:ascii="Book Antiqua" w:hAnsi="Book Antiqua" w:cs="Arial"/>
          <w:b/>
          <w:sz w:val="24"/>
          <w:szCs w:val="24"/>
        </w:rPr>
        <w:t>Chhatwal J</w:t>
      </w:r>
      <w:r w:rsidRPr="000B0727">
        <w:rPr>
          <w:rFonts w:ascii="Book Antiqua" w:hAnsi="Book Antiqua" w:cs="Arial"/>
          <w:sz w:val="24"/>
          <w:szCs w:val="24"/>
        </w:rPr>
        <w:t xml:space="preserve">, Samur S, Bethea ED, Ayer T, Kanwal F, Hur C, Roberts MS, Terrault N, Chung RT. Transplanting hepatitis C virus-positive livers into hepatitis C virus-negative patients with preemptive antiviral treatment: A modeling study. </w:t>
      </w:r>
      <w:r w:rsidRPr="000B0727">
        <w:rPr>
          <w:rFonts w:ascii="Book Antiqua" w:hAnsi="Book Antiqua" w:cs="Arial"/>
          <w:i/>
          <w:sz w:val="24"/>
          <w:szCs w:val="24"/>
        </w:rPr>
        <w:t>Hepatology</w:t>
      </w:r>
      <w:r w:rsidRPr="000B0727">
        <w:rPr>
          <w:rFonts w:ascii="Book Antiqua" w:hAnsi="Book Antiqua" w:cs="Arial"/>
          <w:sz w:val="24"/>
          <w:szCs w:val="24"/>
        </w:rPr>
        <w:t xml:space="preserve"> 2018; </w:t>
      </w:r>
      <w:r w:rsidRPr="000B0727">
        <w:rPr>
          <w:rFonts w:ascii="Book Antiqua" w:hAnsi="Book Antiqua" w:cs="Arial"/>
          <w:b/>
          <w:sz w:val="24"/>
          <w:szCs w:val="24"/>
        </w:rPr>
        <w:t>67</w:t>
      </w:r>
      <w:r w:rsidRPr="000B0727">
        <w:rPr>
          <w:rFonts w:ascii="Book Antiqua" w:hAnsi="Book Antiqua" w:cs="Arial"/>
          <w:sz w:val="24"/>
          <w:szCs w:val="24"/>
        </w:rPr>
        <w:t>: 2085-2095 [PMID: 29222916 DOI: 10.1002/hep.29723]</w:t>
      </w:r>
    </w:p>
    <w:p w14:paraId="619F2FD3"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38 </w:t>
      </w:r>
      <w:r w:rsidRPr="000B0727">
        <w:rPr>
          <w:rFonts w:ascii="Book Antiqua" w:hAnsi="Book Antiqua" w:cs="Arial"/>
          <w:b/>
          <w:sz w:val="24"/>
          <w:szCs w:val="24"/>
        </w:rPr>
        <w:t>Bethea ED</w:t>
      </w:r>
      <w:r w:rsidRPr="000B0727">
        <w:rPr>
          <w:rFonts w:ascii="Book Antiqua" w:hAnsi="Book Antiqua" w:cs="Arial"/>
          <w:sz w:val="24"/>
          <w:szCs w:val="24"/>
        </w:rPr>
        <w:t xml:space="preserve">, Samur S, Kanwal F, Ayer T, Hur C, Roberts MS, Terrault N, Chung RT, Chhatwal J. Cost Effectiveness of Transplanting HCV-Infected Livers Into Uninfected Recipients With Preemptive Antiviral Therapy. </w:t>
      </w:r>
      <w:r w:rsidRPr="000B0727">
        <w:rPr>
          <w:rFonts w:ascii="Book Antiqua" w:hAnsi="Book Antiqua" w:cs="Arial"/>
          <w:i/>
          <w:sz w:val="24"/>
          <w:szCs w:val="24"/>
        </w:rPr>
        <w:t>Clin Gastroenterol Hepatol</w:t>
      </w:r>
      <w:r w:rsidRPr="000B0727">
        <w:rPr>
          <w:rFonts w:ascii="Book Antiqua" w:hAnsi="Book Antiqua" w:cs="Arial"/>
          <w:sz w:val="24"/>
          <w:szCs w:val="24"/>
        </w:rPr>
        <w:t xml:space="preserve"> 2019; </w:t>
      </w:r>
      <w:r w:rsidRPr="000B0727">
        <w:rPr>
          <w:rFonts w:ascii="Book Antiqua" w:hAnsi="Book Antiqua" w:cs="Arial"/>
          <w:b/>
          <w:sz w:val="24"/>
          <w:szCs w:val="24"/>
        </w:rPr>
        <w:t>17</w:t>
      </w:r>
      <w:r w:rsidRPr="000B0727">
        <w:rPr>
          <w:rFonts w:ascii="Book Antiqua" w:hAnsi="Book Antiqua" w:cs="Arial"/>
          <w:sz w:val="24"/>
          <w:szCs w:val="24"/>
        </w:rPr>
        <w:t>: 739-747.e8 [PMID: 30138735 DOI: 10.1016/j.cgh.2018.08.042]</w:t>
      </w:r>
    </w:p>
    <w:p w14:paraId="32FA8D11"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39 </w:t>
      </w:r>
      <w:r w:rsidRPr="000B0727">
        <w:rPr>
          <w:rFonts w:ascii="Book Antiqua" w:hAnsi="Book Antiqua" w:cs="Arial"/>
          <w:b/>
          <w:sz w:val="24"/>
          <w:szCs w:val="24"/>
        </w:rPr>
        <w:t>Kwong AJ</w:t>
      </w:r>
      <w:r w:rsidRPr="000B0727">
        <w:rPr>
          <w:rFonts w:ascii="Book Antiqua" w:hAnsi="Book Antiqua" w:cs="Arial"/>
          <w:sz w:val="24"/>
          <w:szCs w:val="24"/>
        </w:rPr>
        <w:t xml:space="preserve">, Wall A, Melcher M, Wang U, Ahmed A, Subramanian A, Kwo PY. Liver transplantation for hepatitis C virus (HCV) non-viremic recipients with HCV viremic donors. </w:t>
      </w:r>
      <w:r w:rsidRPr="000B0727">
        <w:rPr>
          <w:rFonts w:ascii="Book Antiqua" w:hAnsi="Book Antiqua" w:cs="Arial"/>
          <w:i/>
          <w:sz w:val="24"/>
          <w:szCs w:val="24"/>
        </w:rPr>
        <w:t>Am J Transplant</w:t>
      </w:r>
      <w:r w:rsidRPr="000B0727">
        <w:rPr>
          <w:rFonts w:ascii="Book Antiqua" w:hAnsi="Book Antiqua" w:cs="Arial"/>
          <w:sz w:val="24"/>
          <w:szCs w:val="24"/>
        </w:rPr>
        <w:t xml:space="preserve"> 2019; </w:t>
      </w:r>
      <w:r w:rsidRPr="000B0727">
        <w:rPr>
          <w:rFonts w:ascii="Book Antiqua" w:hAnsi="Book Antiqua" w:cs="Arial"/>
          <w:b/>
          <w:sz w:val="24"/>
          <w:szCs w:val="24"/>
        </w:rPr>
        <w:t>19</w:t>
      </w:r>
      <w:r w:rsidRPr="000B0727">
        <w:rPr>
          <w:rFonts w:ascii="Book Antiqua" w:hAnsi="Book Antiqua" w:cs="Arial"/>
          <w:sz w:val="24"/>
          <w:szCs w:val="24"/>
        </w:rPr>
        <w:t>: 1380-1387 [PMID: 30378723 DOI: 10.1111/ajt.15162]</w:t>
      </w:r>
    </w:p>
    <w:p w14:paraId="51029D5E"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40 </w:t>
      </w:r>
      <w:r w:rsidRPr="000B0727">
        <w:rPr>
          <w:rFonts w:ascii="Book Antiqua" w:hAnsi="Book Antiqua" w:cs="Arial"/>
          <w:b/>
          <w:sz w:val="24"/>
          <w:szCs w:val="24"/>
        </w:rPr>
        <w:t>Cotter TG</w:t>
      </w:r>
      <w:r w:rsidRPr="000B0727">
        <w:rPr>
          <w:rFonts w:ascii="Book Antiqua" w:hAnsi="Book Antiqua" w:cs="Arial"/>
          <w:sz w:val="24"/>
          <w:szCs w:val="24"/>
        </w:rPr>
        <w:t xml:space="preserve">, Paul S, Sandıkçı B, Couri T, Bodzin AS, Little EC, Sundaram V, Charlton M. Increasing Utilization and Excellent Initial Outcomes Following Liver Transplant of Hepatitis C Virus (HCV)-Viremic Donors Into HCV-Negative Recipients: Outcomes Following Liver Transplant of HCV-Viremic Donors. </w:t>
      </w:r>
      <w:r w:rsidRPr="000B0727">
        <w:rPr>
          <w:rFonts w:ascii="Book Antiqua" w:hAnsi="Book Antiqua" w:cs="Arial"/>
          <w:i/>
          <w:sz w:val="24"/>
          <w:szCs w:val="24"/>
        </w:rPr>
        <w:t>Hepatology</w:t>
      </w:r>
      <w:r w:rsidRPr="000B0727">
        <w:rPr>
          <w:rFonts w:ascii="Book Antiqua" w:hAnsi="Book Antiqua" w:cs="Arial"/>
          <w:sz w:val="24"/>
          <w:szCs w:val="24"/>
        </w:rPr>
        <w:t xml:space="preserve"> 2019; </w:t>
      </w:r>
      <w:r w:rsidRPr="000B0727">
        <w:rPr>
          <w:rFonts w:ascii="Book Antiqua" w:hAnsi="Book Antiqua" w:cs="Arial"/>
          <w:b/>
          <w:sz w:val="24"/>
          <w:szCs w:val="24"/>
        </w:rPr>
        <w:t>69</w:t>
      </w:r>
      <w:r w:rsidRPr="000B0727">
        <w:rPr>
          <w:rFonts w:ascii="Book Antiqua" w:hAnsi="Book Antiqua" w:cs="Arial"/>
          <w:sz w:val="24"/>
          <w:szCs w:val="24"/>
        </w:rPr>
        <w:t>: 2381-2395 [PMID: 30706517 DOI: 10.1002/hep.30540]</w:t>
      </w:r>
    </w:p>
    <w:p w14:paraId="6C5BF0F8"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41 </w:t>
      </w:r>
      <w:r w:rsidRPr="000B0727">
        <w:rPr>
          <w:rFonts w:ascii="Book Antiqua" w:hAnsi="Book Antiqua" w:cs="Arial"/>
          <w:b/>
          <w:sz w:val="24"/>
          <w:szCs w:val="24"/>
        </w:rPr>
        <w:t>Forns X</w:t>
      </w:r>
      <w:r w:rsidRPr="000B0727">
        <w:rPr>
          <w:rFonts w:ascii="Book Antiqua" w:hAnsi="Book Antiqua" w:cs="Arial"/>
          <w:sz w:val="24"/>
          <w:szCs w:val="24"/>
        </w:rPr>
        <w:t xml:space="preserve">, Charlton M, Denning J, McHutchison JG, Symonds WT, Brainard D, Brandt-Sarif T, Chang P, Kivett V, Castells L, Prieto M, Fontana RJ, Baumert TF, Coilly A, Londoño MC, Habersetzer F. Sofosbuvir compassionate use program for patients with </w:t>
      </w:r>
      <w:r w:rsidRPr="000B0727">
        <w:rPr>
          <w:rFonts w:ascii="Book Antiqua" w:hAnsi="Book Antiqua" w:cs="Arial"/>
          <w:sz w:val="24"/>
          <w:szCs w:val="24"/>
        </w:rPr>
        <w:lastRenderedPageBreak/>
        <w:t xml:space="preserve">severe recurrent hepatitis C after liver transplantation. </w:t>
      </w:r>
      <w:r w:rsidRPr="000B0727">
        <w:rPr>
          <w:rFonts w:ascii="Book Antiqua" w:hAnsi="Book Antiqua" w:cs="Arial"/>
          <w:i/>
          <w:sz w:val="24"/>
          <w:szCs w:val="24"/>
        </w:rPr>
        <w:t>Hepatology</w:t>
      </w:r>
      <w:r w:rsidRPr="000B0727">
        <w:rPr>
          <w:rFonts w:ascii="Book Antiqua" w:hAnsi="Book Antiqua" w:cs="Arial"/>
          <w:sz w:val="24"/>
          <w:szCs w:val="24"/>
        </w:rPr>
        <w:t xml:space="preserve"> 2015; </w:t>
      </w:r>
      <w:r w:rsidRPr="000B0727">
        <w:rPr>
          <w:rFonts w:ascii="Book Antiqua" w:hAnsi="Book Antiqua" w:cs="Arial"/>
          <w:b/>
          <w:sz w:val="24"/>
          <w:szCs w:val="24"/>
        </w:rPr>
        <w:t>61</w:t>
      </w:r>
      <w:r w:rsidRPr="000B0727">
        <w:rPr>
          <w:rFonts w:ascii="Book Antiqua" w:hAnsi="Book Antiqua" w:cs="Arial"/>
          <w:sz w:val="24"/>
          <w:szCs w:val="24"/>
        </w:rPr>
        <w:t>: 1485-1494 [PMID: 25557906 DOI: 10.1002/hep.27681]</w:t>
      </w:r>
    </w:p>
    <w:p w14:paraId="1E38416C"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42 </w:t>
      </w:r>
      <w:r w:rsidRPr="000B0727">
        <w:rPr>
          <w:rFonts w:ascii="Book Antiqua" w:hAnsi="Book Antiqua" w:cs="Arial"/>
          <w:b/>
          <w:sz w:val="24"/>
          <w:szCs w:val="24"/>
        </w:rPr>
        <w:t>Leroy V</w:t>
      </w:r>
      <w:r w:rsidRPr="000B0727">
        <w:rPr>
          <w:rFonts w:ascii="Book Antiqua" w:hAnsi="Book Antiqua" w:cs="Arial"/>
          <w:sz w:val="24"/>
          <w:szCs w:val="24"/>
        </w:rPr>
        <w:t xml:space="preserve">, Dumortier J, Coilly A, Sebagh M, Fougerou-Leurent C, Radenne S, Botta D, Durand F, Silvain C, Lebray P, Houssel-Debry P, Kamar N, D'Alteroche L, Petrov-Sanchez V, Diallo A, Pageaux GP, Duclos-Vallee JC; Agence Nationale de Recherches sur le SIDA et les Hépatites Virales CO23 Compassionate Use of Protease Inhibitors in Viral C in Liver Transplantation Study Group. Efficacy of Sofosbuvir and Daclatasvir in Patients With Fibrosing Cholestatic Hepatitis C After Liver Transplantation. </w:t>
      </w:r>
      <w:r w:rsidRPr="000B0727">
        <w:rPr>
          <w:rFonts w:ascii="Book Antiqua" w:hAnsi="Book Antiqua" w:cs="Arial"/>
          <w:i/>
          <w:sz w:val="24"/>
          <w:szCs w:val="24"/>
        </w:rPr>
        <w:t>Clin Gastroenterol Hepatol</w:t>
      </w:r>
      <w:r w:rsidRPr="000B0727">
        <w:rPr>
          <w:rFonts w:ascii="Book Antiqua" w:hAnsi="Book Antiqua" w:cs="Arial"/>
          <w:sz w:val="24"/>
          <w:szCs w:val="24"/>
        </w:rPr>
        <w:t xml:space="preserve"> 2015; </w:t>
      </w:r>
      <w:r w:rsidRPr="000B0727">
        <w:rPr>
          <w:rFonts w:ascii="Book Antiqua" w:hAnsi="Book Antiqua" w:cs="Arial"/>
          <w:b/>
          <w:sz w:val="24"/>
          <w:szCs w:val="24"/>
        </w:rPr>
        <w:t>13</w:t>
      </w:r>
      <w:r w:rsidRPr="000B0727">
        <w:rPr>
          <w:rFonts w:ascii="Book Antiqua" w:hAnsi="Book Antiqua" w:cs="Arial"/>
          <w:sz w:val="24"/>
          <w:szCs w:val="24"/>
        </w:rPr>
        <w:t>: 1993-2001.e1-2 [PMID: 26044317 DOI: 10.1016/j.cgh.2015.05.030]</w:t>
      </w:r>
    </w:p>
    <w:p w14:paraId="6F32924A"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43 </w:t>
      </w:r>
      <w:r w:rsidRPr="000B0727">
        <w:rPr>
          <w:rFonts w:ascii="Book Antiqua" w:hAnsi="Book Antiqua" w:cs="Arial"/>
          <w:b/>
          <w:sz w:val="24"/>
          <w:szCs w:val="24"/>
        </w:rPr>
        <w:t>Cotter TG</w:t>
      </w:r>
      <w:r w:rsidRPr="000B0727">
        <w:rPr>
          <w:rFonts w:ascii="Book Antiqua" w:hAnsi="Book Antiqua" w:cs="Arial"/>
          <w:sz w:val="24"/>
          <w:szCs w:val="24"/>
        </w:rPr>
        <w:t xml:space="preserve">, Paul S, Sandıkçı B, Couri T, Bodzin AS, Little EC, Sundaram V, Charlton M. Improved Graft Survival After Liver Transplantation for Recipients With Hepatitis C Virus in the Direct-Acting Antiviral Era. </w:t>
      </w:r>
      <w:r w:rsidRPr="000B0727">
        <w:rPr>
          <w:rFonts w:ascii="Book Antiqua" w:hAnsi="Book Antiqua" w:cs="Arial"/>
          <w:i/>
          <w:sz w:val="24"/>
          <w:szCs w:val="24"/>
        </w:rPr>
        <w:t>Liver Transpl</w:t>
      </w:r>
      <w:r w:rsidRPr="000B0727">
        <w:rPr>
          <w:rFonts w:ascii="Book Antiqua" w:hAnsi="Book Antiqua" w:cs="Arial"/>
          <w:sz w:val="24"/>
          <w:szCs w:val="24"/>
        </w:rPr>
        <w:t xml:space="preserve"> 2019; </w:t>
      </w:r>
      <w:r w:rsidRPr="000B0727">
        <w:rPr>
          <w:rFonts w:ascii="Book Antiqua" w:hAnsi="Book Antiqua" w:cs="Arial"/>
          <w:b/>
          <w:sz w:val="24"/>
          <w:szCs w:val="24"/>
        </w:rPr>
        <w:t>25</w:t>
      </w:r>
      <w:r w:rsidRPr="000B0727">
        <w:rPr>
          <w:rFonts w:ascii="Book Antiqua" w:hAnsi="Book Antiqua" w:cs="Arial"/>
          <w:sz w:val="24"/>
          <w:szCs w:val="24"/>
        </w:rPr>
        <w:t>: 598-609 [PMID: 30716208 DOI: 10.1002/lt.25424]</w:t>
      </w:r>
    </w:p>
    <w:p w14:paraId="02231AB8"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44 </w:t>
      </w:r>
      <w:r w:rsidRPr="000B0727">
        <w:rPr>
          <w:rFonts w:ascii="Book Antiqua" w:hAnsi="Book Antiqua" w:cs="Arial"/>
          <w:b/>
          <w:sz w:val="24"/>
          <w:szCs w:val="24"/>
        </w:rPr>
        <w:t>Levitsky J</w:t>
      </w:r>
      <w:r w:rsidRPr="000B0727">
        <w:rPr>
          <w:rFonts w:ascii="Book Antiqua" w:hAnsi="Book Antiqua" w:cs="Arial"/>
          <w:sz w:val="24"/>
          <w:szCs w:val="24"/>
        </w:rPr>
        <w:t xml:space="preserve">, Fiel MI, Norvell JP, Wang E, Watt KD, Curry MP, Tewani S, McCashland TM, Hoteit MA, Shaked A, Saab S, Chi AC, Tien A, Schiano TD. Risk for immune-mediated graft dysfunction in liver transplant recipients with recurrent HCV infection treated with pegylated interferon. </w:t>
      </w:r>
      <w:r w:rsidRPr="000B0727">
        <w:rPr>
          <w:rFonts w:ascii="Book Antiqua" w:hAnsi="Book Antiqua" w:cs="Arial"/>
          <w:i/>
          <w:sz w:val="24"/>
          <w:szCs w:val="24"/>
        </w:rPr>
        <w:t>Gastroenterology</w:t>
      </w:r>
      <w:r w:rsidRPr="000B0727">
        <w:rPr>
          <w:rFonts w:ascii="Book Antiqua" w:hAnsi="Book Antiqua" w:cs="Arial"/>
          <w:sz w:val="24"/>
          <w:szCs w:val="24"/>
        </w:rPr>
        <w:t xml:space="preserve"> 2012; </w:t>
      </w:r>
      <w:r w:rsidRPr="000B0727">
        <w:rPr>
          <w:rFonts w:ascii="Book Antiqua" w:hAnsi="Book Antiqua" w:cs="Arial"/>
          <w:b/>
          <w:sz w:val="24"/>
          <w:szCs w:val="24"/>
        </w:rPr>
        <w:t>142</w:t>
      </w:r>
      <w:r w:rsidRPr="000B0727">
        <w:rPr>
          <w:rFonts w:ascii="Book Antiqua" w:hAnsi="Book Antiqua" w:cs="Arial"/>
          <w:sz w:val="24"/>
          <w:szCs w:val="24"/>
        </w:rPr>
        <w:t>: 1132-1139.e1 [PMID: 22285805 DOI: 10.1053/j.gastro.2012.01.030]</w:t>
      </w:r>
    </w:p>
    <w:p w14:paraId="17C4C5CF"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45 </w:t>
      </w:r>
      <w:r w:rsidRPr="000B0727">
        <w:rPr>
          <w:rFonts w:ascii="Book Antiqua" w:hAnsi="Book Antiqua" w:cs="Arial"/>
          <w:b/>
          <w:sz w:val="24"/>
          <w:szCs w:val="24"/>
        </w:rPr>
        <w:t>Chan C</w:t>
      </w:r>
      <w:r w:rsidRPr="000B0727">
        <w:rPr>
          <w:rFonts w:ascii="Book Antiqua" w:hAnsi="Book Antiqua" w:cs="Arial"/>
          <w:sz w:val="24"/>
          <w:szCs w:val="24"/>
        </w:rPr>
        <w:t xml:space="preserve">, Schiano T, Agudelo E, Paul Haydek J, Hoteit M, Laurito MP, Norvell JP, Terrault N, Verna EC, Yang A, Levitsky J. Immune-mediated graft dysfunction in liver transplant recipients with hepatitis C virus treated with direct-acting antiviral therapy. </w:t>
      </w:r>
      <w:r w:rsidRPr="000B0727">
        <w:rPr>
          <w:rFonts w:ascii="Book Antiqua" w:hAnsi="Book Antiqua" w:cs="Arial"/>
          <w:i/>
          <w:sz w:val="24"/>
          <w:szCs w:val="24"/>
        </w:rPr>
        <w:t>Am J Transplant</w:t>
      </w:r>
      <w:r w:rsidRPr="000B0727">
        <w:rPr>
          <w:rFonts w:ascii="Book Antiqua" w:hAnsi="Book Antiqua" w:cs="Arial"/>
          <w:sz w:val="24"/>
          <w:szCs w:val="24"/>
        </w:rPr>
        <w:t xml:space="preserve"> 2018; </w:t>
      </w:r>
      <w:r w:rsidRPr="000B0727">
        <w:rPr>
          <w:rFonts w:ascii="Book Antiqua" w:hAnsi="Book Antiqua" w:cs="Arial"/>
          <w:b/>
          <w:sz w:val="24"/>
          <w:szCs w:val="24"/>
        </w:rPr>
        <w:t>18</w:t>
      </w:r>
      <w:r w:rsidRPr="000B0727">
        <w:rPr>
          <w:rFonts w:ascii="Book Antiqua" w:hAnsi="Book Antiqua" w:cs="Arial"/>
          <w:sz w:val="24"/>
          <w:szCs w:val="24"/>
        </w:rPr>
        <w:t>: 2506-2512 [PMID: 30075485 DOI: 10.1111/ajt.15053]</w:t>
      </w:r>
    </w:p>
    <w:p w14:paraId="72E55C2F"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46 </w:t>
      </w:r>
      <w:r w:rsidRPr="000B0727">
        <w:rPr>
          <w:rFonts w:ascii="Book Antiqua" w:hAnsi="Book Antiqua" w:cs="Arial"/>
          <w:b/>
          <w:sz w:val="24"/>
          <w:szCs w:val="24"/>
        </w:rPr>
        <w:t>Wong RJ</w:t>
      </w:r>
      <w:r w:rsidRPr="000B0727">
        <w:rPr>
          <w:rFonts w:ascii="Book Antiqua" w:hAnsi="Book Antiqua" w:cs="Arial"/>
          <w:sz w:val="24"/>
          <w:szCs w:val="24"/>
        </w:rPr>
        <w:t xml:space="preserve">, Saab S, Ahmed A. Extrahepatic Manifestations of Hepatitis C Virus After Liver Transplantation. </w:t>
      </w:r>
      <w:r w:rsidRPr="000B0727">
        <w:rPr>
          <w:rFonts w:ascii="Book Antiqua" w:hAnsi="Book Antiqua" w:cs="Arial"/>
          <w:i/>
          <w:sz w:val="24"/>
          <w:szCs w:val="24"/>
        </w:rPr>
        <w:t>Clin Liver Dis</w:t>
      </w:r>
      <w:r w:rsidRPr="000B0727">
        <w:rPr>
          <w:rFonts w:ascii="Book Antiqua" w:hAnsi="Book Antiqua" w:cs="Arial"/>
          <w:sz w:val="24"/>
          <w:szCs w:val="24"/>
        </w:rPr>
        <w:t xml:space="preserve"> 2017; </w:t>
      </w:r>
      <w:r w:rsidRPr="000B0727">
        <w:rPr>
          <w:rFonts w:ascii="Book Antiqua" w:hAnsi="Book Antiqua" w:cs="Arial"/>
          <w:b/>
          <w:sz w:val="24"/>
          <w:szCs w:val="24"/>
        </w:rPr>
        <w:t>21</w:t>
      </w:r>
      <w:r w:rsidRPr="000B0727">
        <w:rPr>
          <w:rFonts w:ascii="Book Antiqua" w:hAnsi="Book Antiqua" w:cs="Arial"/>
          <w:sz w:val="24"/>
          <w:szCs w:val="24"/>
        </w:rPr>
        <w:t>: 595-606 [PMID: 28689596 DOI: 10.1016/j.cld.2017.03.013]</w:t>
      </w:r>
    </w:p>
    <w:p w14:paraId="640E5A94"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47 </w:t>
      </w:r>
      <w:r w:rsidRPr="000B0727">
        <w:rPr>
          <w:rFonts w:ascii="Book Antiqua" w:hAnsi="Book Antiqua" w:cs="Arial"/>
          <w:b/>
          <w:sz w:val="24"/>
          <w:szCs w:val="24"/>
        </w:rPr>
        <w:t>Todo S</w:t>
      </w:r>
      <w:r w:rsidRPr="000B0727">
        <w:rPr>
          <w:rFonts w:ascii="Book Antiqua" w:hAnsi="Book Antiqua" w:cs="Arial"/>
          <w:sz w:val="24"/>
          <w:szCs w:val="24"/>
        </w:rPr>
        <w:t xml:space="preserve">, Demetris AJ, Van Thiel D, Teperman L, Fung JJ, Starzl TE. Orthotopic liver transplantation for patients with hepatitis B virus-related liver disease. </w:t>
      </w:r>
      <w:r w:rsidRPr="000B0727">
        <w:rPr>
          <w:rFonts w:ascii="Book Antiqua" w:hAnsi="Book Antiqua" w:cs="Arial"/>
          <w:i/>
          <w:sz w:val="24"/>
          <w:szCs w:val="24"/>
        </w:rPr>
        <w:t>Hepatology</w:t>
      </w:r>
      <w:r w:rsidRPr="000B0727">
        <w:rPr>
          <w:rFonts w:ascii="Book Antiqua" w:hAnsi="Book Antiqua" w:cs="Arial"/>
          <w:sz w:val="24"/>
          <w:szCs w:val="24"/>
        </w:rPr>
        <w:t xml:space="preserve"> 1991; </w:t>
      </w:r>
      <w:r w:rsidRPr="000B0727">
        <w:rPr>
          <w:rFonts w:ascii="Book Antiqua" w:hAnsi="Book Antiqua" w:cs="Arial"/>
          <w:b/>
          <w:sz w:val="24"/>
          <w:szCs w:val="24"/>
        </w:rPr>
        <w:t>13</w:t>
      </w:r>
      <w:r w:rsidRPr="000B0727">
        <w:rPr>
          <w:rFonts w:ascii="Book Antiqua" w:hAnsi="Book Antiqua" w:cs="Arial"/>
          <w:sz w:val="24"/>
          <w:szCs w:val="24"/>
        </w:rPr>
        <w:t>: 619-626 [PMID: 2010156]</w:t>
      </w:r>
    </w:p>
    <w:p w14:paraId="15B5C200"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lastRenderedPageBreak/>
        <w:t xml:space="preserve">48 </w:t>
      </w:r>
      <w:r w:rsidRPr="000B0727">
        <w:rPr>
          <w:rFonts w:ascii="Book Antiqua" w:hAnsi="Book Antiqua" w:cs="Arial"/>
          <w:b/>
          <w:sz w:val="24"/>
          <w:szCs w:val="24"/>
        </w:rPr>
        <w:t>O'Grady JG</w:t>
      </w:r>
      <w:r w:rsidRPr="000B0727">
        <w:rPr>
          <w:rFonts w:ascii="Book Antiqua" w:hAnsi="Book Antiqua" w:cs="Arial"/>
          <w:sz w:val="24"/>
          <w:szCs w:val="24"/>
        </w:rPr>
        <w:t xml:space="preserve">, Smith HM, Davies SE, Daniels HM, Donaldson PT, Tan KC, Portmann B, Alexander GJ, Williams R. Hepatitis B virus reinfection after orthotopic liver transplantation. Serological and clinical implications. </w:t>
      </w:r>
      <w:r w:rsidRPr="000B0727">
        <w:rPr>
          <w:rFonts w:ascii="Book Antiqua" w:hAnsi="Book Antiqua" w:cs="Arial"/>
          <w:i/>
          <w:sz w:val="24"/>
          <w:szCs w:val="24"/>
        </w:rPr>
        <w:t>J Hepatol</w:t>
      </w:r>
      <w:r w:rsidRPr="000B0727">
        <w:rPr>
          <w:rFonts w:ascii="Book Antiqua" w:hAnsi="Book Antiqua" w:cs="Arial"/>
          <w:sz w:val="24"/>
          <w:szCs w:val="24"/>
        </w:rPr>
        <w:t xml:space="preserve"> 1992; </w:t>
      </w:r>
      <w:r w:rsidRPr="000B0727">
        <w:rPr>
          <w:rFonts w:ascii="Book Antiqua" w:hAnsi="Book Antiqua" w:cs="Arial"/>
          <w:b/>
          <w:sz w:val="24"/>
          <w:szCs w:val="24"/>
        </w:rPr>
        <w:t>14</w:t>
      </w:r>
      <w:r w:rsidRPr="000B0727">
        <w:rPr>
          <w:rFonts w:ascii="Book Antiqua" w:hAnsi="Book Antiqua" w:cs="Arial"/>
          <w:sz w:val="24"/>
          <w:szCs w:val="24"/>
        </w:rPr>
        <w:t>: 104-111 [PMID: 1737910 DOI: 10.1016/0168-8278(92)90138-f]</w:t>
      </w:r>
    </w:p>
    <w:p w14:paraId="78E0327E"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49 </w:t>
      </w:r>
      <w:r w:rsidRPr="000B0727">
        <w:rPr>
          <w:rFonts w:ascii="Book Antiqua" w:hAnsi="Book Antiqua" w:cs="Arial"/>
          <w:b/>
          <w:sz w:val="24"/>
          <w:szCs w:val="24"/>
        </w:rPr>
        <w:t>Samuel D</w:t>
      </w:r>
      <w:r w:rsidRPr="000B0727">
        <w:rPr>
          <w:rFonts w:ascii="Book Antiqua" w:hAnsi="Book Antiqua" w:cs="Arial"/>
          <w:sz w:val="24"/>
          <w:szCs w:val="24"/>
        </w:rPr>
        <w:t xml:space="preserve">, Muller R, Alexander G, Fassati L, Ducot B, Benhamou JP, Bismuth H. Liver transplantation in European patients with the hepatitis B surface antigen. </w:t>
      </w:r>
      <w:r w:rsidRPr="000B0727">
        <w:rPr>
          <w:rFonts w:ascii="Book Antiqua" w:hAnsi="Book Antiqua" w:cs="Arial"/>
          <w:i/>
          <w:sz w:val="24"/>
          <w:szCs w:val="24"/>
        </w:rPr>
        <w:t>N Engl J Med</w:t>
      </w:r>
      <w:r w:rsidRPr="000B0727">
        <w:rPr>
          <w:rFonts w:ascii="Book Antiqua" w:hAnsi="Book Antiqua" w:cs="Arial"/>
          <w:sz w:val="24"/>
          <w:szCs w:val="24"/>
        </w:rPr>
        <w:t xml:space="preserve"> 1993; </w:t>
      </w:r>
      <w:r w:rsidRPr="000B0727">
        <w:rPr>
          <w:rFonts w:ascii="Book Antiqua" w:hAnsi="Book Antiqua" w:cs="Arial"/>
          <w:b/>
          <w:sz w:val="24"/>
          <w:szCs w:val="24"/>
        </w:rPr>
        <w:t>329</w:t>
      </w:r>
      <w:r w:rsidRPr="000B0727">
        <w:rPr>
          <w:rFonts w:ascii="Book Antiqua" w:hAnsi="Book Antiqua" w:cs="Arial"/>
          <w:sz w:val="24"/>
          <w:szCs w:val="24"/>
        </w:rPr>
        <w:t>: 1842-1847 [PMID: 8247035 DOI: 10.1056/NEJM199312163292503]</w:t>
      </w:r>
    </w:p>
    <w:p w14:paraId="4BFE0A54"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50 </w:t>
      </w:r>
      <w:r w:rsidRPr="000B0727">
        <w:rPr>
          <w:rFonts w:ascii="Book Antiqua" w:hAnsi="Book Antiqua" w:cs="Arial"/>
          <w:b/>
          <w:sz w:val="24"/>
          <w:szCs w:val="24"/>
        </w:rPr>
        <w:t>Grellier L</w:t>
      </w:r>
      <w:r w:rsidRPr="000B0727">
        <w:rPr>
          <w:rFonts w:ascii="Book Antiqua" w:hAnsi="Book Antiqua" w:cs="Arial"/>
          <w:sz w:val="24"/>
          <w:szCs w:val="24"/>
        </w:rPr>
        <w:t xml:space="preserve">, Mutimer D, Ahmed M, Brown D, Burroughs AK, Rolles K, McMaster P, Beranek P, Kennedy F, Kibbler H, McPhillips P, Elias E, Dusheiko G. Lamivudine prophylaxis against reinfection in liver transplantation for hepatitis B cirrhosis. </w:t>
      </w:r>
      <w:r w:rsidRPr="000B0727">
        <w:rPr>
          <w:rFonts w:ascii="Book Antiqua" w:hAnsi="Book Antiqua" w:cs="Arial"/>
          <w:i/>
          <w:sz w:val="24"/>
          <w:szCs w:val="24"/>
        </w:rPr>
        <w:t>Lancet</w:t>
      </w:r>
      <w:r w:rsidRPr="000B0727">
        <w:rPr>
          <w:rFonts w:ascii="Book Antiqua" w:hAnsi="Book Antiqua" w:cs="Arial"/>
          <w:sz w:val="24"/>
          <w:szCs w:val="24"/>
        </w:rPr>
        <w:t xml:space="preserve"> 1996; </w:t>
      </w:r>
      <w:r w:rsidRPr="000B0727">
        <w:rPr>
          <w:rFonts w:ascii="Book Antiqua" w:hAnsi="Book Antiqua" w:cs="Arial"/>
          <w:b/>
          <w:sz w:val="24"/>
          <w:szCs w:val="24"/>
        </w:rPr>
        <w:t>348</w:t>
      </w:r>
      <w:r w:rsidRPr="000B0727">
        <w:rPr>
          <w:rFonts w:ascii="Book Antiqua" w:hAnsi="Book Antiqua" w:cs="Arial"/>
          <w:sz w:val="24"/>
          <w:szCs w:val="24"/>
        </w:rPr>
        <w:t>: 1212-1215 [PMID: 8898039 DOI: 10.1016/s0140-6736(96)04444-3]</w:t>
      </w:r>
    </w:p>
    <w:p w14:paraId="6BDF0A69"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51 </w:t>
      </w:r>
      <w:r w:rsidRPr="000B0727">
        <w:rPr>
          <w:rFonts w:ascii="Book Antiqua" w:hAnsi="Book Antiqua" w:cs="Arial"/>
          <w:b/>
          <w:sz w:val="24"/>
          <w:szCs w:val="24"/>
        </w:rPr>
        <w:t>Hwang JP</w:t>
      </w:r>
      <w:r w:rsidRPr="000B0727">
        <w:rPr>
          <w:rFonts w:ascii="Book Antiqua" w:hAnsi="Book Antiqua" w:cs="Arial"/>
          <w:sz w:val="24"/>
          <w:szCs w:val="24"/>
        </w:rPr>
        <w:t xml:space="preserve">, Somerfield MR, Alston-Johnson DE, Cryer DR, Feld JJ, Kramer BS, Sabichi AL, Wong SL, Artz AS. Hepatitis B Virus Screening for Patients With Cancer Before Therapy: American Society of Clinical Oncology Provisional Clinical Opinion Update. </w:t>
      </w:r>
      <w:r w:rsidRPr="000B0727">
        <w:rPr>
          <w:rFonts w:ascii="Book Antiqua" w:hAnsi="Book Antiqua" w:cs="Arial"/>
          <w:i/>
          <w:sz w:val="24"/>
          <w:szCs w:val="24"/>
        </w:rPr>
        <w:t>J Clin Oncol</w:t>
      </w:r>
      <w:r w:rsidRPr="000B0727">
        <w:rPr>
          <w:rFonts w:ascii="Book Antiqua" w:hAnsi="Book Antiqua" w:cs="Arial"/>
          <w:sz w:val="24"/>
          <w:szCs w:val="24"/>
        </w:rPr>
        <w:t xml:space="preserve"> 2015; </w:t>
      </w:r>
      <w:r w:rsidRPr="000B0727">
        <w:rPr>
          <w:rFonts w:ascii="Book Antiqua" w:hAnsi="Book Antiqua" w:cs="Arial"/>
          <w:b/>
          <w:sz w:val="24"/>
          <w:szCs w:val="24"/>
        </w:rPr>
        <w:t>33</w:t>
      </w:r>
      <w:r w:rsidRPr="000B0727">
        <w:rPr>
          <w:rFonts w:ascii="Book Antiqua" w:hAnsi="Book Antiqua" w:cs="Arial"/>
          <w:sz w:val="24"/>
          <w:szCs w:val="24"/>
        </w:rPr>
        <w:t>: 2212-2220 [PMID: 25964247 DOI: 10.1200/JCO.2015.61.3745]</w:t>
      </w:r>
    </w:p>
    <w:p w14:paraId="669F4C70"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52 </w:t>
      </w:r>
      <w:r w:rsidRPr="000B0727">
        <w:rPr>
          <w:rFonts w:ascii="Book Antiqua" w:hAnsi="Book Antiqua" w:cs="Arial"/>
          <w:b/>
          <w:sz w:val="24"/>
          <w:szCs w:val="24"/>
        </w:rPr>
        <w:t>Dickson RC</w:t>
      </w:r>
      <w:r w:rsidRPr="000B0727">
        <w:rPr>
          <w:rFonts w:ascii="Book Antiqua" w:hAnsi="Book Antiqua" w:cs="Arial"/>
          <w:sz w:val="24"/>
          <w:szCs w:val="24"/>
        </w:rPr>
        <w:t xml:space="preserve">, Everhart JE, Lake JR, Wei Y, Seaberg EC, Wiesner RH, Zetterman RK, Pruett TL, Ishitani MB, Hoofnagle JH. Transmission of hepatitis B by transplantation of livers from donors positive for antibody to hepatitis B core antigen. The National Institute of Diabetes and Digestive and Kidney Diseases Liver Transplantation Database. </w:t>
      </w:r>
      <w:r w:rsidRPr="000B0727">
        <w:rPr>
          <w:rFonts w:ascii="Book Antiqua" w:hAnsi="Book Antiqua" w:cs="Arial"/>
          <w:i/>
          <w:sz w:val="24"/>
          <w:szCs w:val="24"/>
        </w:rPr>
        <w:t>Gastroenterology</w:t>
      </w:r>
      <w:r w:rsidRPr="000B0727">
        <w:rPr>
          <w:rFonts w:ascii="Book Antiqua" w:hAnsi="Book Antiqua" w:cs="Arial"/>
          <w:sz w:val="24"/>
          <w:szCs w:val="24"/>
        </w:rPr>
        <w:t xml:space="preserve"> 1997; </w:t>
      </w:r>
      <w:r w:rsidRPr="000B0727">
        <w:rPr>
          <w:rFonts w:ascii="Book Antiqua" w:hAnsi="Book Antiqua" w:cs="Arial"/>
          <w:b/>
          <w:sz w:val="24"/>
          <w:szCs w:val="24"/>
        </w:rPr>
        <w:t>113</w:t>
      </w:r>
      <w:r w:rsidRPr="000B0727">
        <w:rPr>
          <w:rFonts w:ascii="Book Antiqua" w:hAnsi="Book Antiqua" w:cs="Arial"/>
          <w:sz w:val="24"/>
          <w:szCs w:val="24"/>
        </w:rPr>
        <w:t>: 1668-1674 [PMID: 9352871 DOI: 10.1053/gast.1997.v113.pm9352871]</w:t>
      </w:r>
    </w:p>
    <w:p w14:paraId="08444CEB"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53 </w:t>
      </w:r>
      <w:r w:rsidRPr="000B0727">
        <w:rPr>
          <w:rFonts w:ascii="Book Antiqua" w:hAnsi="Book Antiqua" w:cs="Arial"/>
          <w:b/>
          <w:sz w:val="24"/>
          <w:szCs w:val="24"/>
        </w:rPr>
        <w:t>Uemoto S</w:t>
      </w:r>
      <w:r w:rsidRPr="000B0727">
        <w:rPr>
          <w:rFonts w:ascii="Book Antiqua" w:hAnsi="Book Antiqua" w:cs="Arial"/>
          <w:sz w:val="24"/>
          <w:szCs w:val="24"/>
        </w:rPr>
        <w:t xml:space="preserve">, Sugiyama K, Marusawa H, Inomata Y, Asonuma K, Egawa H, Kiuchi T, Miyake Y, Tanaka K, Chiba T. Transmission of hepatitis B virus from hepatitis B core antibody-positive donors in living related liver transplants. </w:t>
      </w:r>
      <w:r w:rsidRPr="000B0727">
        <w:rPr>
          <w:rFonts w:ascii="Book Antiqua" w:hAnsi="Book Antiqua" w:cs="Arial"/>
          <w:i/>
          <w:sz w:val="24"/>
          <w:szCs w:val="24"/>
        </w:rPr>
        <w:t>Transplantation</w:t>
      </w:r>
      <w:r w:rsidRPr="000B0727">
        <w:rPr>
          <w:rFonts w:ascii="Book Antiqua" w:hAnsi="Book Antiqua" w:cs="Arial"/>
          <w:sz w:val="24"/>
          <w:szCs w:val="24"/>
        </w:rPr>
        <w:t xml:space="preserve"> 1998; </w:t>
      </w:r>
      <w:r w:rsidRPr="000B0727">
        <w:rPr>
          <w:rFonts w:ascii="Book Antiqua" w:hAnsi="Book Antiqua" w:cs="Arial"/>
          <w:b/>
          <w:sz w:val="24"/>
          <w:szCs w:val="24"/>
        </w:rPr>
        <w:t>65</w:t>
      </w:r>
      <w:r w:rsidRPr="000B0727">
        <w:rPr>
          <w:rFonts w:ascii="Book Antiqua" w:hAnsi="Book Antiqua" w:cs="Arial"/>
          <w:sz w:val="24"/>
          <w:szCs w:val="24"/>
        </w:rPr>
        <w:t>: 494-499 [PMID: 9500622 DOI: 10.1097/00007890-199802270-00007]</w:t>
      </w:r>
    </w:p>
    <w:p w14:paraId="3F4779E2"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54 </w:t>
      </w:r>
      <w:r w:rsidRPr="000B0727">
        <w:rPr>
          <w:rFonts w:ascii="Book Antiqua" w:hAnsi="Book Antiqua" w:cs="Arial"/>
          <w:b/>
          <w:sz w:val="24"/>
          <w:szCs w:val="24"/>
        </w:rPr>
        <w:t>Yu AS</w:t>
      </w:r>
      <w:r w:rsidRPr="000B0727">
        <w:rPr>
          <w:rFonts w:ascii="Book Antiqua" w:hAnsi="Book Antiqua" w:cs="Arial"/>
          <w:sz w:val="24"/>
          <w:szCs w:val="24"/>
        </w:rPr>
        <w:t xml:space="preserve">, Vierling JM, Colquhoun SD, Arnaout WS, Chan CK, Khanafshar E, Geller SA, Nichols WS, Fong TL. Transmission of hepatitis B infection from hepatitis B core antibody--positive liver allografts is prevented by lamivudine therapy. </w:t>
      </w:r>
      <w:r w:rsidRPr="000B0727">
        <w:rPr>
          <w:rFonts w:ascii="Book Antiqua" w:hAnsi="Book Antiqua" w:cs="Arial"/>
          <w:i/>
          <w:sz w:val="24"/>
          <w:szCs w:val="24"/>
        </w:rPr>
        <w:t>Liver Transpl</w:t>
      </w:r>
      <w:r w:rsidRPr="000B0727">
        <w:rPr>
          <w:rFonts w:ascii="Book Antiqua" w:hAnsi="Book Antiqua" w:cs="Arial"/>
          <w:sz w:val="24"/>
          <w:szCs w:val="24"/>
        </w:rPr>
        <w:t xml:space="preserve"> 2001; </w:t>
      </w:r>
      <w:r w:rsidRPr="000B0727">
        <w:rPr>
          <w:rFonts w:ascii="Book Antiqua" w:hAnsi="Book Antiqua" w:cs="Arial"/>
          <w:b/>
          <w:sz w:val="24"/>
          <w:szCs w:val="24"/>
        </w:rPr>
        <w:t>7</w:t>
      </w:r>
      <w:r w:rsidRPr="000B0727">
        <w:rPr>
          <w:rFonts w:ascii="Book Antiqua" w:hAnsi="Book Antiqua" w:cs="Arial"/>
          <w:sz w:val="24"/>
          <w:szCs w:val="24"/>
        </w:rPr>
        <w:t>: 513-517 [PMID: 11443579 DOI: 10.1053/jlts.2001.23911]</w:t>
      </w:r>
    </w:p>
    <w:p w14:paraId="341BBAE1"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lastRenderedPageBreak/>
        <w:t xml:space="preserve">55 </w:t>
      </w:r>
      <w:r w:rsidRPr="000B0727">
        <w:rPr>
          <w:rFonts w:ascii="Book Antiqua" w:hAnsi="Book Antiqua" w:cs="Arial"/>
          <w:b/>
          <w:sz w:val="24"/>
          <w:szCs w:val="24"/>
        </w:rPr>
        <w:t>Chen YS</w:t>
      </w:r>
      <w:r w:rsidRPr="000B0727">
        <w:rPr>
          <w:rFonts w:ascii="Book Antiqua" w:hAnsi="Book Antiqua" w:cs="Arial"/>
          <w:sz w:val="24"/>
          <w:szCs w:val="24"/>
        </w:rPr>
        <w:t xml:space="preserve">, Wang CC, de Villa VH, Wang SH, Cheng YF, Huang TL, Jawan B, Chiu KW, Chen CL. Prevention of de novo hepatitis B virus infection in living donor liver transplantation using hepatitis B core antibody positive donors. </w:t>
      </w:r>
      <w:r w:rsidRPr="000B0727">
        <w:rPr>
          <w:rFonts w:ascii="Book Antiqua" w:hAnsi="Book Antiqua" w:cs="Arial"/>
          <w:i/>
          <w:sz w:val="24"/>
          <w:szCs w:val="24"/>
        </w:rPr>
        <w:t>Clin Transplant</w:t>
      </w:r>
      <w:r w:rsidRPr="000B0727">
        <w:rPr>
          <w:rFonts w:ascii="Book Antiqua" w:hAnsi="Book Antiqua" w:cs="Arial"/>
          <w:sz w:val="24"/>
          <w:szCs w:val="24"/>
        </w:rPr>
        <w:t xml:space="preserve"> 2002; </w:t>
      </w:r>
      <w:r w:rsidRPr="000B0727">
        <w:rPr>
          <w:rFonts w:ascii="Book Antiqua" w:hAnsi="Book Antiqua" w:cs="Arial"/>
          <w:b/>
          <w:sz w:val="24"/>
          <w:szCs w:val="24"/>
        </w:rPr>
        <w:t>16</w:t>
      </w:r>
      <w:r w:rsidRPr="000B0727">
        <w:rPr>
          <w:rFonts w:ascii="Book Antiqua" w:hAnsi="Book Antiqua" w:cs="Arial"/>
          <w:sz w:val="24"/>
          <w:szCs w:val="24"/>
        </w:rPr>
        <w:t>: 405-409 [PMID: 12437618 DOI: 10.1034/j.1399-0012.2002.01133.x]</w:t>
      </w:r>
    </w:p>
    <w:p w14:paraId="26DD132B"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56 </w:t>
      </w:r>
      <w:r w:rsidRPr="000B0727">
        <w:rPr>
          <w:rFonts w:ascii="Book Antiqua" w:hAnsi="Book Antiqua" w:cs="Arial"/>
          <w:b/>
          <w:sz w:val="24"/>
          <w:szCs w:val="24"/>
        </w:rPr>
        <w:t>Angelico M</w:t>
      </w:r>
      <w:r w:rsidRPr="000B0727">
        <w:rPr>
          <w:rFonts w:ascii="Book Antiqua" w:hAnsi="Book Antiqua" w:cs="Arial"/>
          <w:sz w:val="24"/>
          <w:szCs w:val="24"/>
        </w:rPr>
        <w:t xml:space="preserve">, Nardi A, Marianelli T, Caccamo L, Romagnoli R, Tisone G, Pinna AD, Avolio AW, Fagiuoli S, Burra P, Strazzabosco M, Costa AN; Liver Match Investigators. Hepatitis B-core antibody positive donors in liver transplantation and their impact on graft survival: evidence from the Liver Match cohort study. </w:t>
      </w:r>
      <w:r w:rsidRPr="000B0727">
        <w:rPr>
          <w:rFonts w:ascii="Book Antiqua" w:hAnsi="Book Antiqua" w:cs="Arial"/>
          <w:i/>
          <w:sz w:val="24"/>
          <w:szCs w:val="24"/>
        </w:rPr>
        <w:t>J Hepatol</w:t>
      </w:r>
      <w:r w:rsidRPr="000B0727">
        <w:rPr>
          <w:rFonts w:ascii="Book Antiqua" w:hAnsi="Book Antiqua" w:cs="Arial"/>
          <w:sz w:val="24"/>
          <w:szCs w:val="24"/>
        </w:rPr>
        <w:t xml:space="preserve"> 2013; </w:t>
      </w:r>
      <w:r w:rsidRPr="000B0727">
        <w:rPr>
          <w:rFonts w:ascii="Book Antiqua" w:hAnsi="Book Antiqua" w:cs="Arial"/>
          <w:b/>
          <w:sz w:val="24"/>
          <w:szCs w:val="24"/>
        </w:rPr>
        <w:t>58</w:t>
      </w:r>
      <w:r w:rsidRPr="000B0727">
        <w:rPr>
          <w:rFonts w:ascii="Book Antiqua" w:hAnsi="Book Antiqua" w:cs="Arial"/>
          <w:sz w:val="24"/>
          <w:szCs w:val="24"/>
        </w:rPr>
        <w:t>: 715-723 [PMID: 23201239 DOI: 10.1016/j.jhep.2012.11.025]</w:t>
      </w:r>
    </w:p>
    <w:p w14:paraId="0A3532C3"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57 </w:t>
      </w:r>
      <w:r w:rsidRPr="000B0727">
        <w:rPr>
          <w:rFonts w:ascii="Book Antiqua" w:hAnsi="Book Antiqua" w:cs="Arial"/>
          <w:b/>
          <w:sz w:val="24"/>
          <w:szCs w:val="24"/>
        </w:rPr>
        <w:t>Bohorquez HE</w:t>
      </w:r>
      <w:r w:rsidRPr="000B0727">
        <w:rPr>
          <w:rFonts w:ascii="Book Antiqua" w:hAnsi="Book Antiqua" w:cs="Arial"/>
          <w:sz w:val="24"/>
          <w:szCs w:val="24"/>
        </w:rPr>
        <w:t xml:space="preserve">, Cohen AJ, Girgrah N, Bruce DS, Carmody IC, Joshi S, Reichman TW, Therapondos G, Mason AL, Loss GE. Liver transplantation in hepatitis B core-negative recipients using livers from hepatitis B core-positive donors: a 13-year experience. </w:t>
      </w:r>
      <w:r w:rsidRPr="000B0727">
        <w:rPr>
          <w:rFonts w:ascii="Book Antiqua" w:hAnsi="Book Antiqua" w:cs="Arial"/>
          <w:i/>
          <w:sz w:val="24"/>
          <w:szCs w:val="24"/>
        </w:rPr>
        <w:t>Liver Transpl</w:t>
      </w:r>
      <w:r w:rsidRPr="000B0727">
        <w:rPr>
          <w:rFonts w:ascii="Book Antiqua" w:hAnsi="Book Antiqua" w:cs="Arial"/>
          <w:sz w:val="24"/>
          <w:szCs w:val="24"/>
        </w:rPr>
        <w:t xml:space="preserve"> 2013; </w:t>
      </w:r>
      <w:r w:rsidRPr="000B0727">
        <w:rPr>
          <w:rFonts w:ascii="Book Antiqua" w:hAnsi="Book Antiqua" w:cs="Arial"/>
          <w:b/>
          <w:sz w:val="24"/>
          <w:szCs w:val="24"/>
        </w:rPr>
        <w:t>19</w:t>
      </w:r>
      <w:r w:rsidRPr="000B0727">
        <w:rPr>
          <w:rFonts w:ascii="Book Antiqua" w:hAnsi="Book Antiqua" w:cs="Arial"/>
          <w:sz w:val="24"/>
          <w:szCs w:val="24"/>
        </w:rPr>
        <w:t>: 611-618 [PMID: 23526668 DOI: 10.1002/lt.23644]</w:t>
      </w:r>
    </w:p>
    <w:p w14:paraId="35E92A06"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58 </w:t>
      </w:r>
      <w:r w:rsidRPr="000B0727">
        <w:rPr>
          <w:rFonts w:ascii="Book Antiqua" w:hAnsi="Book Antiqua" w:cs="Arial"/>
          <w:b/>
          <w:sz w:val="24"/>
          <w:szCs w:val="24"/>
        </w:rPr>
        <w:t>Lee S</w:t>
      </w:r>
      <w:r w:rsidRPr="000B0727">
        <w:rPr>
          <w:rFonts w:ascii="Book Antiqua" w:hAnsi="Book Antiqua" w:cs="Arial"/>
          <w:sz w:val="24"/>
          <w:szCs w:val="24"/>
        </w:rPr>
        <w:t xml:space="preserve">, Kim JM, Choi GS, Park JB, Kwon CH, Choe YH, Joh JW, Lee SK. De novo hepatitis b prophylaxis with hepatitis B virus vaccine and hepatitis B immunoglobulin in pediatric recipients of core antibody-positive livers. </w:t>
      </w:r>
      <w:r w:rsidRPr="000B0727">
        <w:rPr>
          <w:rFonts w:ascii="Book Antiqua" w:hAnsi="Book Antiqua" w:cs="Arial"/>
          <w:i/>
          <w:sz w:val="24"/>
          <w:szCs w:val="24"/>
        </w:rPr>
        <w:t>Liver Transpl</w:t>
      </w:r>
      <w:r w:rsidRPr="000B0727">
        <w:rPr>
          <w:rFonts w:ascii="Book Antiqua" w:hAnsi="Book Antiqua" w:cs="Arial"/>
          <w:sz w:val="24"/>
          <w:szCs w:val="24"/>
        </w:rPr>
        <w:t xml:space="preserve"> 2016; </w:t>
      </w:r>
      <w:r w:rsidRPr="000B0727">
        <w:rPr>
          <w:rFonts w:ascii="Book Antiqua" w:hAnsi="Book Antiqua" w:cs="Arial"/>
          <w:b/>
          <w:sz w:val="24"/>
          <w:szCs w:val="24"/>
        </w:rPr>
        <w:t>22</w:t>
      </w:r>
      <w:r w:rsidRPr="000B0727">
        <w:rPr>
          <w:rFonts w:ascii="Book Antiqua" w:hAnsi="Book Antiqua" w:cs="Arial"/>
          <w:sz w:val="24"/>
          <w:szCs w:val="24"/>
        </w:rPr>
        <w:t>: 247-251 [PMID: 26600319 DOI: 10.1002/lt.24372]</w:t>
      </w:r>
    </w:p>
    <w:p w14:paraId="4CFDF116"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59 </w:t>
      </w:r>
      <w:r w:rsidRPr="000B0727">
        <w:rPr>
          <w:rFonts w:ascii="Book Antiqua" w:hAnsi="Book Antiqua" w:cs="Arial"/>
          <w:b/>
          <w:sz w:val="24"/>
          <w:szCs w:val="24"/>
        </w:rPr>
        <w:t>Loggi E</w:t>
      </w:r>
      <w:r w:rsidRPr="000B0727">
        <w:rPr>
          <w:rFonts w:ascii="Book Antiqua" w:hAnsi="Book Antiqua" w:cs="Arial"/>
          <w:sz w:val="24"/>
          <w:szCs w:val="24"/>
        </w:rPr>
        <w:t xml:space="preserve">, Micco L, Ercolani G, Cucchetti A, Bihl FK, Grazi GL, Gitto S, Bontadini A, Bernardi M, Grossi P, Costa AN, Pinna AD, Brander C, Andreone P. Liver transplantation from hepatitis B surface antigen positive donors: a safe way to expand the donor pool. </w:t>
      </w:r>
      <w:r w:rsidRPr="000B0727">
        <w:rPr>
          <w:rFonts w:ascii="Book Antiqua" w:hAnsi="Book Antiqua" w:cs="Arial"/>
          <w:i/>
          <w:sz w:val="24"/>
          <w:szCs w:val="24"/>
        </w:rPr>
        <w:t>J Hepatol</w:t>
      </w:r>
      <w:r w:rsidRPr="000B0727">
        <w:rPr>
          <w:rFonts w:ascii="Book Antiqua" w:hAnsi="Book Antiqua" w:cs="Arial"/>
          <w:sz w:val="24"/>
          <w:szCs w:val="24"/>
        </w:rPr>
        <w:t xml:space="preserve"> 2012; </w:t>
      </w:r>
      <w:r w:rsidRPr="000B0727">
        <w:rPr>
          <w:rFonts w:ascii="Book Antiqua" w:hAnsi="Book Antiqua" w:cs="Arial"/>
          <w:b/>
          <w:sz w:val="24"/>
          <w:szCs w:val="24"/>
        </w:rPr>
        <w:t>56</w:t>
      </w:r>
      <w:r w:rsidRPr="000B0727">
        <w:rPr>
          <w:rFonts w:ascii="Book Antiqua" w:hAnsi="Book Antiqua" w:cs="Arial"/>
          <w:sz w:val="24"/>
          <w:szCs w:val="24"/>
        </w:rPr>
        <w:t>: 579-585 [PMID: 22027583 DOI: 10.1016/j.jhep.2011.09.016]</w:t>
      </w:r>
    </w:p>
    <w:p w14:paraId="4516A8B7"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60 </w:t>
      </w:r>
      <w:r w:rsidRPr="000B0727">
        <w:rPr>
          <w:rFonts w:ascii="Book Antiqua" w:hAnsi="Book Antiqua" w:cs="Arial"/>
          <w:b/>
          <w:sz w:val="24"/>
          <w:szCs w:val="24"/>
        </w:rPr>
        <w:t>Yu S</w:t>
      </w:r>
      <w:r w:rsidRPr="000B0727">
        <w:rPr>
          <w:rFonts w:ascii="Book Antiqua" w:hAnsi="Book Antiqua" w:cs="Arial"/>
          <w:sz w:val="24"/>
          <w:szCs w:val="24"/>
        </w:rPr>
        <w:t xml:space="preserve">, Yu J, Zhang W, Cheng L, Ye Y, Geng L, Yu Z, Yan S, Wu L, Wang W, Zheng S. Safe use of liver grafts from hepatitis B surface antigen positive donors in liver transplantation. </w:t>
      </w:r>
      <w:r w:rsidRPr="000B0727">
        <w:rPr>
          <w:rFonts w:ascii="Book Antiqua" w:hAnsi="Book Antiqua" w:cs="Arial"/>
          <w:i/>
          <w:sz w:val="24"/>
          <w:szCs w:val="24"/>
        </w:rPr>
        <w:t>J Hepatol</w:t>
      </w:r>
      <w:r w:rsidRPr="000B0727">
        <w:rPr>
          <w:rFonts w:ascii="Book Antiqua" w:hAnsi="Book Antiqua" w:cs="Arial"/>
          <w:sz w:val="24"/>
          <w:szCs w:val="24"/>
        </w:rPr>
        <w:t xml:space="preserve"> 2014; </w:t>
      </w:r>
      <w:r w:rsidRPr="000B0727">
        <w:rPr>
          <w:rFonts w:ascii="Book Antiqua" w:hAnsi="Book Antiqua" w:cs="Arial"/>
          <w:b/>
          <w:sz w:val="24"/>
          <w:szCs w:val="24"/>
        </w:rPr>
        <w:t>61</w:t>
      </w:r>
      <w:r w:rsidRPr="000B0727">
        <w:rPr>
          <w:rFonts w:ascii="Book Antiqua" w:hAnsi="Book Antiqua" w:cs="Arial"/>
          <w:sz w:val="24"/>
          <w:szCs w:val="24"/>
        </w:rPr>
        <w:t>: 809-815 [PMID: 24824283 DOI: 10.1016/j.jhep.2014.05.003]</w:t>
      </w:r>
    </w:p>
    <w:p w14:paraId="11535883"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61 </w:t>
      </w:r>
      <w:r w:rsidRPr="000B0727">
        <w:rPr>
          <w:rFonts w:ascii="Book Antiqua" w:hAnsi="Book Antiqua" w:cs="Arial"/>
          <w:b/>
          <w:sz w:val="24"/>
          <w:szCs w:val="24"/>
        </w:rPr>
        <w:t>Lee WC</w:t>
      </w:r>
      <w:r w:rsidRPr="000B0727">
        <w:rPr>
          <w:rFonts w:ascii="Book Antiqua" w:hAnsi="Book Antiqua" w:cs="Arial"/>
          <w:sz w:val="24"/>
          <w:szCs w:val="24"/>
        </w:rPr>
        <w:t xml:space="preserve">, Chou HS, Lee CS, Wu TH, Wang YC, Cheng CH, Lee CF, Wu TJ, Chan KM. Viral activity and outcome of hepatitis B surface antigen-positive grafts in deceased liver transplantation. </w:t>
      </w:r>
      <w:r w:rsidRPr="000B0727">
        <w:rPr>
          <w:rFonts w:ascii="Book Antiqua" w:hAnsi="Book Antiqua" w:cs="Arial"/>
          <w:i/>
          <w:sz w:val="24"/>
          <w:szCs w:val="24"/>
        </w:rPr>
        <w:t>J Viral Hepat</w:t>
      </w:r>
      <w:r w:rsidRPr="000B0727">
        <w:rPr>
          <w:rFonts w:ascii="Book Antiqua" w:hAnsi="Book Antiqua" w:cs="Arial"/>
          <w:sz w:val="24"/>
          <w:szCs w:val="24"/>
        </w:rPr>
        <w:t xml:space="preserve"> 2018; </w:t>
      </w:r>
      <w:r w:rsidRPr="000B0727">
        <w:rPr>
          <w:rFonts w:ascii="Book Antiqua" w:hAnsi="Book Antiqua" w:cs="Arial"/>
          <w:b/>
          <w:sz w:val="24"/>
          <w:szCs w:val="24"/>
        </w:rPr>
        <w:t>25</w:t>
      </w:r>
      <w:r w:rsidRPr="000B0727">
        <w:rPr>
          <w:rFonts w:ascii="Book Antiqua" w:hAnsi="Book Antiqua" w:cs="Arial"/>
          <w:sz w:val="24"/>
          <w:szCs w:val="24"/>
        </w:rPr>
        <w:t>: 874-877 [PMID: 29431877 DOI: 10.1111/jvh.12880]</w:t>
      </w:r>
    </w:p>
    <w:p w14:paraId="45775FDF"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62 </w:t>
      </w:r>
      <w:r w:rsidRPr="000B0727">
        <w:rPr>
          <w:rFonts w:ascii="Book Antiqua" w:hAnsi="Book Antiqua" w:cs="Arial"/>
          <w:b/>
          <w:sz w:val="24"/>
          <w:szCs w:val="24"/>
        </w:rPr>
        <w:t>Huprikar S</w:t>
      </w:r>
      <w:r w:rsidRPr="000B0727">
        <w:rPr>
          <w:rFonts w:ascii="Book Antiqua" w:hAnsi="Book Antiqua" w:cs="Arial"/>
          <w:sz w:val="24"/>
          <w:szCs w:val="24"/>
        </w:rPr>
        <w:t xml:space="preserve">, Danziger-Isakov L, Ahn J, Naugler S, Blumberg E, Avery RK, Koval C, </w:t>
      </w:r>
      <w:r w:rsidRPr="000B0727">
        <w:rPr>
          <w:rFonts w:ascii="Book Antiqua" w:hAnsi="Book Antiqua" w:cs="Arial"/>
          <w:sz w:val="24"/>
          <w:szCs w:val="24"/>
        </w:rPr>
        <w:lastRenderedPageBreak/>
        <w:t xml:space="preserve">Lease ED, Pillai A, Doucette KE, Levitsky J, Morris MI, Lu K, McDermott JK, Mone T, Orlowski JP, Dadhania DM, Abbott K, Horslen S, Laskin BL, Mougdil A, Venkat VL, Korenblat K, Kumar V, Grossi P, Bloom RD, Brown K, Kotton CN, Kumar D. Solid organ transplantation from hepatitis B virus-positive donors: consensus guidelines for recipient management. </w:t>
      </w:r>
      <w:r w:rsidRPr="000B0727">
        <w:rPr>
          <w:rFonts w:ascii="Book Antiqua" w:hAnsi="Book Antiqua" w:cs="Arial"/>
          <w:i/>
          <w:sz w:val="24"/>
          <w:szCs w:val="24"/>
        </w:rPr>
        <w:t>Am J Transplant</w:t>
      </w:r>
      <w:r w:rsidRPr="000B0727">
        <w:rPr>
          <w:rFonts w:ascii="Book Antiqua" w:hAnsi="Book Antiqua" w:cs="Arial"/>
          <w:sz w:val="24"/>
          <w:szCs w:val="24"/>
        </w:rPr>
        <w:t xml:space="preserve"> 2015; </w:t>
      </w:r>
      <w:r w:rsidRPr="000B0727">
        <w:rPr>
          <w:rFonts w:ascii="Book Antiqua" w:hAnsi="Book Antiqua" w:cs="Arial"/>
          <w:b/>
          <w:sz w:val="24"/>
          <w:szCs w:val="24"/>
        </w:rPr>
        <w:t>15</w:t>
      </w:r>
      <w:r w:rsidRPr="000B0727">
        <w:rPr>
          <w:rFonts w:ascii="Book Antiqua" w:hAnsi="Book Antiqua" w:cs="Arial"/>
          <w:sz w:val="24"/>
          <w:szCs w:val="24"/>
        </w:rPr>
        <w:t>: 1162-1172 [PMID: 25707744 DOI: 10.1111/ajt.13187]</w:t>
      </w:r>
    </w:p>
    <w:p w14:paraId="0FA5D664"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63 </w:t>
      </w:r>
      <w:r w:rsidRPr="000B0727">
        <w:rPr>
          <w:rFonts w:ascii="Book Antiqua" w:hAnsi="Book Antiqua" w:cs="Arial"/>
          <w:b/>
          <w:sz w:val="24"/>
          <w:szCs w:val="24"/>
        </w:rPr>
        <w:t>Thio CL</w:t>
      </w:r>
      <w:r w:rsidRPr="000B0727">
        <w:rPr>
          <w:rFonts w:ascii="Book Antiqua" w:hAnsi="Book Antiqua" w:cs="Arial"/>
          <w:sz w:val="24"/>
          <w:szCs w:val="24"/>
        </w:rPr>
        <w:t xml:space="preserve">, Seaberg EC, Skolasky R Jr, Phair J, Visscher B, Muñoz A, Thomas DL; Multicenter AIDS Cohort Study. HIV-1, hepatitis B virus, and risk of liver-related mortality in the Multicenter Cohort Study (MACS). </w:t>
      </w:r>
      <w:r w:rsidRPr="000B0727">
        <w:rPr>
          <w:rFonts w:ascii="Book Antiqua" w:hAnsi="Book Antiqua" w:cs="Arial"/>
          <w:i/>
          <w:sz w:val="24"/>
          <w:szCs w:val="24"/>
        </w:rPr>
        <w:t>Lancet</w:t>
      </w:r>
      <w:r w:rsidRPr="000B0727">
        <w:rPr>
          <w:rFonts w:ascii="Book Antiqua" w:hAnsi="Book Antiqua" w:cs="Arial"/>
          <w:sz w:val="24"/>
          <w:szCs w:val="24"/>
        </w:rPr>
        <w:t xml:space="preserve"> 2002; </w:t>
      </w:r>
      <w:r w:rsidRPr="000B0727">
        <w:rPr>
          <w:rFonts w:ascii="Book Antiqua" w:hAnsi="Book Antiqua" w:cs="Arial"/>
          <w:b/>
          <w:sz w:val="24"/>
          <w:szCs w:val="24"/>
        </w:rPr>
        <w:t>360</w:t>
      </w:r>
      <w:r w:rsidRPr="000B0727">
        <w:rPr>
          <w:rFonts w:ascii="Book Antiqua" w:hAnsi="Book Antiqua" w:cs="Arial"/>
          <w:sz w:val="24"/>
          <w:szCs w:val="24"/>
        </w:rPr>
        <w:t>: 1921-1926 [PMID: 12493258 DOI: 10.1016/s0140-6736(02)11913-1]</w:t>
      </w:r>
    </w:p>
    <w:p w14:paraId="681E6EC7"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64 </w:t>
      </w:r>
      <w:r w:rsidRPr="000B0727">
        <w:rPr>
          <w:rFonts w:ascii="Book Antiqua" w:hAnsi="Book Antiqua" w:cs="Arial"/>
          <w:b/>
          <w:sz w:val="24"/>
          <w:szCs w:val="24"/>
        </w:rPr>
        <w:t>Bica I</w:t>
      </w:r>
      <w:r w:rsidRPr="000B0727">
        <w:rPr>
          <w:rFonts w:ascii="Book Antiqua" w:hAnsi="Book Antiqua" w:cs="Arial"/>
          <w:sz w:val="24"/>
          <w:szCs w:val="24"/>
        </w:rPr>
        <w:t xml:space="preserve">, McGovern B, Dhar R, Stone D, McGowan K, Scheib R, Snydman DR. Increasing mortality due to end-stage liver disease in patients with human immunodeficiency virus infection. </w:t>
      </w:r>
      <w:r w:rsidRPr="000B0727">
        <w:rPr>
          <w:rFonts w:ascii="Book Antiqua" w:hAnsi="Book Antiqua" w:cs="Arial"/>
          <w:i/>
          <w:sz w:val="24"/>
          <w:szCs w:val="24"/>
        </w:rPr>
        <w:t>Clin Infect Dis</w:t>
      </w:r>
      <w:r w:rsidRPr="000B0727">
        <w:rPr>
          <w:rFonts w:ascii="Book Antiqua" w:hAnsi="Book Antiqua" w:cs="Arial"/>
          <w:sz w:val="24"/>
          <w:szCs w:val="24"/>
        </w:rPr>
        <w:t xml:space="preserve"> 2001; </w:t>
      </w:r>
      <w:r w:rsidRPr="000B0727">
        <w:rPr>
          <w:rFonts w:ascii="Book Antiqua" w:hAnsi="Book Antiqua" w:cs="Arial"/>
          <w:b/>
          <w:sz w:val="24"/>
          <w:szCs w:val="24"/>
        </w:rPr>
        <w:t>32</w:t>
      </w:r>
      <w:r w:rsidRPr="000B0727">
        <w:rPr>
          <w:rFonts w:ascii="Book Antiqua" w:hAnsi="Book Antiqua" w:cs="Arial"/>
          <w:sz w:val="24"/>
          <w:szCs w:val="24"/>
        </w:rPr>
        <w:t>: 492-497 [PMID: 11170959 DOI: 10.1086/318501]</w:t>
      </w:r>
    </w:p>
    <w:p w14:paraId="728CA7D3"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65 </w:t>
      </w:r>
      <w:r w:rsidRPr="000B0727">
        <w:rPr>
          <w:rFonts w:ascii="Book Antiqua" w:hAnsi="Book Antiqua" w:cs="Arial"/>
          <w:b/>
          <w:sz w:val="24"/>
          <w:szCs w:val="24"/>
        </w:rPr>
        <w:t>Norris S</w:t>
      </w:r>
      <w:r w:rsidRPr="000B0727">
        <w:rPr>
          <w:rFonts w:ascii="Book Antiqua" w:hAnsi="Book Antiqua" w:cs="Arial"/>
          <w:sz w:val="24"/>
          <w:szCs w:val="24"/>
        </w:rPr>
        <w:t xml:space="preserve">, Taylor C, Muiesan P, Portmann BC, Knisely AS, Bowles M, Rela M, Heaton N, O'Grady JG. Outcomes of liver transplantation in HIV-infected individuals: the impact of HCV and HBV infection. </w:t>
      </w:r>
      <w:r w:rsidRPr="000B0727">
        <w:rPr>
          <w:rFonts w:ascii="Book Antiqua" w:hAnsi="Book Antiqua" w:cs="Arial"/>
          <w:i/>
          <w:sz w:val="24"/>
          <w:szCs w:val="24"/>
        </w:rPr>
        <w:t>Liver Transpl</w:t>
      </w:r>
      <w:r w:rsidRPr="000B0727">
        <w:rPr>
          <w:rFonts w:ascii="Book Antiqua" w:hAnsi="Book Antiqua" w:cs="Arial"/>
          <w:sz w:val="24"/>
          <w:szCs w:val="24"/>
        </w:rPr>
        <w:t xml:space="preserve"> 2004; </w:t>
      </w:r>
      <w:r w:rsidRPr="000B0727">
        <w:rPr>
          <w:rFonts w:ascii="Book Antiqua" w:hAnsi="Book Antiqua" w:cs="Arial"/>
          <w:b/>
          <w:sz w:val="24"/>
          <w:szCs w:val="24"/>
        </w:rPr>
        <w:t>10</w:t>
      </w:r>
      <w:r w:rsidRPr="000B0727">
        <w:rPr>
          <w:rFonts w:ascii="Book Antiqua" w:hAnsi="Book Antiqua" w:cs="Arial"/>
          <w:sz w:val="24"/>
          <w:szCs w:val="24"/>
        </w:rPr>
        <w:t>: 1271-1278 [PMID: 15376307 DOI: 10.1002/lt.20233]</w:t>
      </w:r>
    </w:p>
    <w:p w14:paraId="190F3A33"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66 </w:t>
      </w:r>
      <w:r w:rsidRPr="000B0727">
        <w:rPr>
          <w:rFonts w:ascii="Book Antiqua" w:hAnsi="Book Antiqua" w:cs="Arial"/>
          <w:b/>
          <w:sz w:val="24"/>
          <w:szCs w:val="24"/>
        </w:rPr>
        <w:t>Roland ME</w:t>
      </w:r>
      <w:r w:rsidRPr="000B0727">
        <w:rPr>
          <w:rFonts w:ascii="Book Antiqua" w:hAnsi="Book Antiqua" w:cs="Arial"/>
          <w:sz w:val="24"/>
          <w:szCs w:val="24"/>
        </w:rPr>
        <w:t xml:space="preserve">, Barin B, Carlson L, Frassetto LA, Terrault NA, Hirose R, Freise CE, Benet LZ, Ascher NL, Roberts JP, Murphy B, Keller MJ, Olthoff KM, Blumberg EA, Brayman KL, Bartlett ST, Davis CE, McCune JM, Bredt BM, Stablein DM, Stock PG. HIV-infected liver and kidney transplant recipients: 1- and 3-year outcomes. </w:t>
      </w:r>
      <w:r w:rsidRPr="000B0727">
        <w:rPr>
          <w:rFonts w:ascii="Book Antiqua" w:hAnsi="Book Antiqua" w:cs="Arial"/>
          <w:i/>
          <w:sz w:val="24"/>
          <w:szCs w:val="24"/>
        </w:rPr>
        <w:t>Am J Transplant</w:t>
      </w:r>
      <w:r w:rsidRPr="000B0727">
        <w:rPr>
          <w:rFonts w:ascii="Book Antiqua" w:hAnsi="Book Antiqua" w:cs="Arial"/>
          <w:sz w:val="24"/>
          <w:szCs w:val="24"/>
        </w:rPr>
        <w:t xml:space="preserve"> 2008; </w:t>
      </w:r>
      <w:r w:rsidRPr="000B0727">
        <w:rPr>
          <w:rFonts w:ascii="Book Antiqua" w:hAnsi="Book Antiqua" w:cs="Arial"/>
          <w:b/>
          <w:sz w:val="24"/>
          <w:szCs w:val="24"/>
        </w:rPr>
        <w:t>8</w:t>
      </w:r>
      <w:r w:rsidRPr="000B0727">
        <w:rPr>
          <w:rFonts w:ascii="Book Antiqua" w:hAnsi="Book Antiqua" w:cs="Arial"/>
          <w:sz w:val="24"/>
          <w:szCs w:val="24"/>
        </w:rPr>
        <w:t>: 355-365 [PMID: 18093266 DOI: 10.1111/j.1600-6143.2007.02061.x]</w:t>
      </w:r>
    </w:p>
    <w:p w14:paraId="78386368"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67 </w:t>
      </w:r>
      <w:r w:rsidRPr="000B0727">
        <w:rPr>
          <w:rFonts w:ascii="Book Antiqua" w:hAnsi="Book Antiqua" w:cs="Arial"/>
          <w:b/>
          <w:sz w:val="24"/>
          <w:szCs w:val="24"/>
        </w:rPr>
        <w:t>Sawinski D</w:t>
      </w:r>
      <w:r w:rsidRPr="000B0727">
        <w:rPr>
          <w:rFonts w:ascii="Book Antiqua" w:hAnsi="Book Antiqua" w:cs="Arial"/>
          <w:sz w:val="24"/>
          <w:szCs w:val="24"/>
        </w:rPr>
        <w:t xml:space="preserve">, Goldberg DS, Blumberg E, Abt PL, Bloom RD, Forde KA. Beyond the NIH Multicenter HIV Transplant Trial Experience: Outcomes of HIV+ Liver Transplant Recipients Compared to HCV+ or HIV+/HCV+ Coinfected Recipients in the United States. </w:t>
      </w:r>
      <w:r w:rsidRPr="000B0727">
        <w:rPr>
          <w:rFonts w:ascii="Book Antiqua" w:hAnsi="Book Antiqua" w:cs="Arial"/>
          <w:i/>
          <w:sz w:val="24"/>
          <w:szCs w:val="24"/>
        </w:rPr>
        <w:t>Clin Infect Dis</w:t>
      </w:r>
      <w:r w:rsidRPr="000B0727">
        <w:rPr>
          <w:rFonts w:ascii="Book Antiqua" w:hAnsi="Book Antiqua" w:cs="Arial"/>
          <w:sz w:val="24"/>
          <w:szCs w:val="24"/>
        </w:rPr>
        <w:t xml:space="preserve"> 2015; </w:t>
      </w:r>
      <w:r w:rsidRPr="000B0727">
        <w:rPr>
          <w:rFonts w:ascii="Book Antiqua" w:hAnsi="Book Antiqua" w:cs="Arial"/>
          <w:b/>
          <w:sz w:val="24"/>
          <w:szCs w:val="24"/>
        </w:rPr>
        <w:t>61</w:t>
      </w:r>
      <w:r w:rsidRPr="000B0727">
        <w:rPr>
          <w:rFonts w:ascii="Book Antiqua" w:hAnsi="Book Antiqua" w:cs="Arial"/>
          <w:sz w:val="24"/>
          <w:szCs w:val="24"/>
        </w:rPr>
        <w:t>: 1054-1062 [PMID: 26082506 DOI: 10.1093/cid/civ471]</w:t>
      </w:r>
    </w:p>
    <w:p w14:paraId="264A856B"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68 </w:t>
      </w:r>
      <w:r w:rsidRPr="000B0727">
        <w:rPr>
          <w:rFonts w:ascii="Book Antiqua" w:hAnsi="Book Antiqua" w:cs="Arial"/>
          <w:b/>
          <w:sz w:val="24"/>
          <w:szCs w:val="24"/>
        </w:rPr>
        <w:t>Manzardo C</w:t>
      </w:r>
      <w:r w:rsidRPr="000B0727">
        <w:rPr>
          <w:rFonts w:ascii="Book Antiqua" w:hAnsi="Book Antiqua" w:cs="Arial"/>
          <w:sz w:val="24"/>
          <w:szCs w:val="24"/>
        </w:rPr>
        <w:t xml:space="preserve">, Londoño MC, Castells L, Testillano M, Luis Montero J, Peñafiel J, Subirana M, Moreno A, Aguilera V, Luisa González-Diéguez M, Calvo-Pulido J, Xiol X, Salcedo M, Cuervas-Mons V, Manuel Sousa J, Suarez F, Serrano T, Ignacio Herrero J, </w:t>
      </w:r>
      <w:r w:rsidRPr="000B0727">
        <w:rPr>
          <w:rFonts w:ascii="Book Antiqua" w:hAnsi="Book Antiqua" w:cs="Arial"/>
          <w:sz w:val="24"/>
          <w:szCs w:val="24"/>
        </w:rPr>
        <w:lastRenderedPageBreak/>
        <w:t xml:space="preserve">Jiménez M, Fernandez JR, Giménez C, Del Campo S, Esteban-Mur JI, Crespo G, Moreno A, de la Rosa G, Rimola A, Miro JM; FIPSE LT-HIV investigators. Direct-acting antivirals are effective and safe in HCV/HIV-coinfected liver transplant recipients who experience recurrence of hepatitis C: A prospective nationwide cohort study. </w:t>
      </w:r>
      <w:r w:rsidRPr="000B0727">
        <w:rPr>
          <w:rFonts w:ascii="Book Antiqua" w:hAnsi="Book Antiqua" w:cs="Arial"/>
          <w:i/>
          <w:sz w:val="24"/>
          <w:szCs w:val="24"/>
        </w:rPr>
        <w:t>Am J Transplant</w:t>
      </w:r>
      <w:r w:rsidRPr="000B0727">
        <w:rPr>
          <w:rFonts w:ascii="Book Antiqua" w:hAnsi="Book Antiqua" w:cs="Arial"/>
          <w:sz w:val="24"/>
          <w:szCs w:val="24"/>
        </w:rPr>
        <w:t xml:space="preserve"> 2018; </w:t>
      </w:r>
      <w:r w:rsidRPr="000B0727">
        <w:rPr>
          <w:rFonts w:ascii="Book Antiqua" w:hAnsi="Book Antiqua" w:cs="Arial"/>
          <w:b/>
          <w:sz w:val="24"/>
          <w:szCs w:val="24"/>
        </w:rPr>
        <w:t>18</w:t>
      </w:r>
      <w:r w:rsidRPr="000B0727">
        <w:rPr>
          <w:rFonts w:ascii="Book Antiqua" w:hAnsi="Book Antiqua" w:cs="Arial"/>
          <w:sz w:val="24"/>
          <w:szCs w:val="24"/>
        </w:rPr>
        <w:t>: 2513-2522 [PMID: 29963780 DOI: 10.1111/ajt.14996]</w:t>
      </w:r>
    </w:p>
    <w:p w14:paraId="13ED1E6F"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69 </w:t>
      </w:r>
      <w:r w:rsidRPr="000B0727">
        <w:rPr>
          <w:rFonts w:ascii="Book Antiqua" w:hAnsi="Book Antiqua" w:cs="Arial"/>
          <w:b/>
          <w:sz w:val="24"/>
          <w:szCs w:val="24"/>
        </w:rPr>
        <w:t>Boyarsky BJ</w:t>
      </w:r>
      <w:r w:rsidRPr="000B0727">
        <w:rPr>
          <w:rFonts w:ascii="Book Antiqua" w:hAnsi="Book Antiqua" w:cs="Arial"/>
          <w:sz w:val="24"/>
          <w:szCs w:val="24"/>
        </w:rPr>
        <w:t xml:space="preserve">, Durand CM, Palella FJ Jr, Segev DL. Challenges and Clinical Decision-Making in HIV-to-HIV Transplantation: Insights From the HIV Literature. </w:t>
      </w:r>
      <w:r w:rsidRPr="000B0727">
        <w:rPr>
          <w:rFonts w:ascii="Book Antiqua" w:hAnsi="Book Antiqua" w:cs="Arial"/>
          <w:i/>
          <w:sz w:val="24"/>
          <w:szCs w:val="24"/>
        </w:rPr>
        <w:t>Am J Transplant</w:t>
      </w:r>
      <w:r w:rsidRPr="000B0727">
        <w:rPr>
          <w:rFonts w:ascii="Book Antiqua" w:hAnsi="Book Antiqua" w:cs="Arial"/>
          <w:sz w:val="24"/>
          <w:szCs w:val="24"/>
        </w:rPr>
        <w:t xml:space="preserve"> 2015; </w:t>
      </w:r>
      <w:r w:rsidRPr="000B0727">
        <w:rPr>
          <w:rFonts w:ascii="Book Antiqua" w:hAnsi="Book Antiqua" w:cs="Arial"/>
          <w:b/>
          <w:sz w:val="24"/>
          <w:szCs w:val="24"/>
        </w:rPr>
        <w:t>15</w:t>
      </w:r>
      <w:r w:rsidRPr="000B0727">
        <w:rPr>
          <w:rFonts w:ascii="Book Antiqua" w:hAnsi="Book Antiqua" w:cs="Arial"/>
          <w:sz w:val="24"/>
          <w:szCs w:val="24"/>
        </w:rPr>
        <w:t>: 2023-2030 [PMID: 26080612 DOI: 10.1111/ajt.13344]</w:t>
      </w:r>
    </w:p>
    <w:p w14:paraId="0AB54385"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70 </w:t>
      </w:r>
      <w:r w:rsidRPr="000B0727">
        <w:rPr>
          <w:rFonts w:ascii="Book Antiqua" w:hAnsi="Book Antiqua" w:cs="Arial"/>
          <w:b/>
          <w:sz w:val="24"/>
          <w:szCs w:val="24"/>
        </w:rPr>
        <w:t>Calmy A</w:t>
      </w:r>
      <w:r w:rsidRPr="000B0727">
        <w:rPr>
          <w:rFonts w:ascii="Book Antiqua" w:hAnsi="Book Antiqua" w:cs="Arial"/>
          <w:sz w:val="24"/>
          <w:szCs w:val="24"/>
        </w:rPr>
        <w:t xml:space="preserve">, van Delden C, Giostra E, Junet C, Rubbia Brandt L, Yerly S, Chave JP, Samer C, Elkrief L, Vionnet J, Berney T; Swiss HIV and Swiss Transplant Cohort Studies. HIV-Positive-to-HIV-Positive Liver Transplantation. </w:t>
      </w:r>
      <w:r w:rsidRPr="000B0727">
        <w:rPr>
          <w:rFonts w:ascii="Book Antiqua" w:hAnsi="Book Antiqua" w:cs="Arial"/>
          <w:i/>
          <w:sz w:val="24"/>
          <w:szCs w:val="24"/>
        </w:rPr>
        <w:t>Am J Transplant</w:t>
      </w:r>
      <w:r w:rsidRPr="000B0727">
        <w:rPr>
          <w:rFonts w:ascii="Book Antiqua" w:hAnsi="Book Antiqua" w:cs="Arial"/>
          <w:sz w:val="24"/>
          <w:szCs w:val="24"/>
        </w:rPr>
        <w:t xml:space="preserve"> 2016; </w:t>
      </w:r>
      <w:r w:rsidRPr="000B0727">
        <w:rPr>
          <w:rFonts w:ascii="Book Antiqua" w:hAnsi="Book Antiqua" w:cs="Arial"/>
          <w:b/>
          <w:sz w:val="24"/>
          <w:szCs w:val="24"/>
        </w:rPr>
        <w:t>16</w:t>
      </w:r>
      <w:r w:rsidRPr="000B0727">
        <w:rPr>
          <w:rFonts w:ascii="Book Antiqua" w:hAnsi="Book Antiqua" w:cs="Arial"/>
          <w:sz w:val="24"/>
          <w:szCs w:val="24"/>
        </w:rPr>
        <w:t>: 2473-2478 [PMID: 27109874 DOI: 10.1111/ajt.13824]</w:t>
      </w:r>
    </w:p>
    <w:p w14:paraId="66EC0BD2"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71 </w:t>
      </w:r>
      <w:r w:rsidRPr="000B0727">
        <w:rPr>
          <w:rFonts w:ascii="Book Antiqua" w:hAnsi="Book Antiqua" w:cs="Arial"/>
          <w:b/>
          <w:sz w:val="24"/>
          <w:szCs w:val="24"/>
        </w:rPr>
        <w:t>Doby BL</w:t>
      </w:r>
      <w:r w:rsidRPr="000B0727">
        <w:rPr>
          <w:rFonts w:ascii="Book Antiqua" w:hAnsi="Book Antiqua" w:cs="Arial"/>
          <w:sz w:val="24"/>
          <w:szCs w:val="24"/>
        </w:rPr>
        <w:t xml:space="preserve">, Tobian AAR, Segev DL, Durand CM. Moving from the HIV Organ Policy Equity Act to HIV Organ Policy Equity in action: changing practice and challenging stigma. </w:t>
      </w:r>
      <w:r w:rsidRPr="000B0727">
        <w:rPr>
          <w:rFonts w:ascii="Book Antiqua" w:hAnsi="Book Antiqua" w:cs="Arial"/>
          <w:i/>
          <w:sz w:val="24"/>
          <w:szCs w:val="24"/>
        </w:rPr>
        <w:t>Curr Opin Organ Transplant</w:t>
      </w:r>
      <w:r w:rsidRPr="000B0727">
        <w:rPr>
          <w:rFonts w:ascii="Book Antiqua" w:hAnsi="Book Antiqua" w:cs="Arial"/>
          <w:sz w:val="24"/>
          <w:szCs w:val="24"/>
        </w:rPr>
        <w:t xml:space="preserve"> 2018; </w:t>
      </w:r>
      <w:r w:rsidRPr="000B0727">
        <w:rPr>
          <w:rFonts w:ascii="Book Antiqua" w:hAnsi="Book Antiqua" w:cs="Arial"/>
          <w:b/>
          <w:sz w:val="24"/>
          <w:szCs w:val="24"/>
        </w:rPr>
        <w:t>23</w:t>
      </w:r>
      <w:r w:rsidRPr="000B0727">
        <w:rPr>
          <w:rFonts w:ascii="Book Antiqua" w:hAnsi="Book Antiqua" w:cs="Arial"/>
          <w:sz w:val="24"/>
          <w:szCs w:val="24"/>
        </w:rPr>
        <w:t>: 271-278 [PMID: 29432254 DOI: 10.1097/MOT.0000000000000510]</w:t>
      </w:r>
    </w:p>
    <w:p w14:paraId="088E7493"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72 </w:t>
      </w:r>
      <w:r w:rsidRPr="000B0727">
        <w:rPr>
          <w:rFonts w:ascii="Book Antiqua" w:hAnsi="Book Antiqua" w:cs="Arial"/>
          <w:b/>
          <w:sz w:val="24"/>
          <w:szCs w:val="24"/>
        </w:rPr>
        <w:t>Blumberg EA</w:t>
      </w:r>
      <w:r w:rsidRPr="000B0727">
        <w:rPr>
          <w:rFonts w:ascii="Book Antiqua" w:hAnsi="Book Antiqua" w:cs="Arial"/>
          <w:sz w:val="24"/>
          <w:szCs w:val="24"/>
        </w:rPr>
        <w:t xml:space="preserve">, Rogers CC; American Society of Transplantation Infectious Diseases Community of Practice. Solid organ transplantation in the HIV-infected patient: Guidelines from the American Society of Transplantation Infectious Diseases Community of Practice. </w:t>
      </w:r>
      <w:r w:rsidRPr="000B0727">
        <w:rPr>
          <w:rFonts w:ascii="Book Antiqua" w:hAnsi="Book Antiqua" w:cs="Arial"/>
          <w:i/>
          <w:sz w:val="24"/>
          <w:szCs w:val="24"/>
        </w:rPr>
        <w:t>Clin Transplant</w:t>
      </w:r>
      <w:r w:rsidRPr="000B0727">
        <w:rPr>
          <w:rFonts w:ascii="Book Antiqua" w:hAnsi="Book Antiqua" w:cs="Arial"/>
          <w:sz w:val="24"/>
          <w:szCs w:val="24"/>
        </w:rPr>
        <w:t xml:space="preserve"> 2019; </w:t>
      </w:r>
      <w:r w:rsidRPr="000B0727">
        <w:rPr>
          <w:rFonts w:ascii="Book Antiqua" w:hAnsi="Book Antiqua" w:cs="Arial"/>
          <w:b/>
          <w:sz w:val="24"/>
          <w:szCs w:val="24"/>
        </w:rPr>
        <w:t>33</w:t>
      </w:r>
      <w:r w:rsidRPr="000B0727">
        <w:rPr>
          <w:rFonts w:ascii="Book Antiqua" w:hAnsi="Book Antiqua" w:cs="Arial"/>
          <w:sz w:val="24"/>
          <w:szCs w:val="24"/>
        </w:rPr>
        <w:t>: e13499 [PMID: 30773688 DOI: 10.1111/ctr.13499]</w:t>
      </w:r>
    </w:p>
    <w:p w14:paraId="5C1AD37D"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73 </w:t>
      </w:r>
      <w:r w:rsidRPr="000B0727">
        <w:rPr>
          <w:rFonts w:ascii="Book Antiqua" w:hAnsi="Book Antiqua" w:cs="Arial"/>
          <w:b/>
          <w:sz w:val="24"/>
          <w:szCs w:val="24"/>
        </w:rPr>
        <w:t>Van Pilsum Rasmussen SE</w:t>
      </w:r>
      <w:r w:rsidRPr="000B0727">
        <w:rPr>
          <w:rFonts w:ascii="Book Antiqua" w:hAnsi="Book Antiqua" w:cs="Arial"/>
          <w:sz w:val="24"/>
          <w:szCs w:val="24"/>
        </w:rPr>
        <w:t xml:space="preserve">, Bowring MG, Shaffer AA, Henderson ML, Massie A, Tobian AAR, Segev DL, Durand CM. Knowledge, attitudes, and planned practice of HIV-positive to HIV-positive transplantation in US transplant centers. </w:t>
      </w:r>
      <w:r w:rsidRPr="000B0727">
        <w:rPr>
          <w:rFonts w:ascii="Book Antiqua" w:hAnsi="Book Antiqua" w:cs="Arial"/>
          <w:i/>
          <w:sz w:val="24"/>
          <w:szCs w:val="24"/>
        </w:rPr>
        <w:t>Clin Transplant</w:t>
      </w:r>
      <w:r w:rsidRPr="000B0727">
        <w:rPr>
          <w:rFonts w:ascii="Book Antiqua" w:hAnsi="Book Antiqua" w:cs="Arial"/>
          <w:sz w:val="24"/>
          <w:szCs w:val="24"/>
        </w:rPr>
        <w:t xml:space="preserve"> 2018; </w:t>
      </w:r>
      <w:r w:rsidRPr="000B0727">
        <w:rPr>
          <w:rFonts w:ascii="Book Antiqua" w:hAnsi="Book Antiqua" w:cs="Arial"/>
          <w:b/>
          <w:sz w:val="24"/>
          <w:szCs w:val="24"/>
        </w:rPr>
        <w:t>32</w:t>
      </w:r>
      <w:r w:rsidRPr="000B0727">
        <w:rPr>
          <w:rFonts w:ascii="Book Antiqua" w:hAnsi="Book Antiqua" w:cs="Arial"/>
          <w:sz w:val="24"/>
          <w:szCs w:val="24"/>
        </w:rPr>
        <w:t>: e13365 [PMID: 30074638 DOI: 10.1111/ctr.13365]</w:t>
      </w:r>
    </w:p>
    <w:p w14:paraId="0C304312"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74 </w:t>
      </w:r>
      <w:r w:rsidRPr="000B0727">
        <w:rPr>
          <w:rFonts w:ascii="Book Antiqua" w:hAnsi="Book Antiqua" w:cs="Arial"/>
          <w:b/>
          <w:sz w:val="24"/>
          <w:szCs w:val="24"/>
        </w:rPr>
        <w:t>Durand CM</w:t>
      </w:r>
      <w:r w:rsidRPr="000B0727">
        <w:rPr>
          <w:rFonts w:ascii="Book Antiqua" w:hAnsi="Book Antiqua" w:cs="Arial"/>
          <w:sz w:val="24"/>
          <w:szCs w:val="24"/>
        </w:rPr>
        <w:t xml:space="preserve">, Halpern SE, Bowring MG, Bismut GA, Kusemiju OT, Doby B, Fernandez RE, Kirby CS, Ostrander D, Stock PG, Mehta S, Turgeon NA, Wojciechowski D, Huprikar S, Florman S, Ottmann S, Desai NM, Cameron A, Massie AB, Tobian AAR, Redd AD, Segev DL. Organs from deceased donors with false-positive HIV screening tests: An </w:t>
      </w:r>
      <w:r w:rsidRPr="000B0727">
        <w:rPr>
          <w:rFonts w:ascii="Book Antiqua" w:hAnsi="Book Antiqua" w:cs="Arial"/>
          <w:sz w:val="24"/>
          <w:szCs w:val="24"/>
        </w:rPr>
        <w:lastRenderedPageBreak/>
        <w:t xml:space="preserve">unexpected benefit of the HOPE act. </w:t>
      </w:r>
      <w:r w:rsidRPr="000B0727">
        <w:rPr>
          <w:rFonts w:ascii="Book Antiqua" w:hAnsi="Book Antiqua" w:cs="Arial"/>
          <w:i/>
          <w:sz w:val="24"/>
          <w:szCs w:val="24"/>
        </w:rPr>
        <w:t>Am J Transplant</w:t>
      </w:r>
      <w:r w:rsidRPr="000B0727">
        <w:rPr>
          <w:rFonts w:ascii="Book Antiqua" w:hAnsi="Book Antiqua" w:cs="Arial"/>
          <w:sz w:val="24"/>
          <w:szCs w:val="24"/>
        </w:rPr>
        <w:t xml:space="preserve"> 2018; </w:t>
      </w:r>
      <w:r w:rsidRPr="000B0727">
        <w:rPr>
          <w:rFonts w:ascii="Book Antiqua" w:hAnsi="Book Antiqua" w:cs="Arial"/>
          <w:b/>
          <w:sz w:val="24"/>
          <w:szCs w:val="24"/>
        </w:rPr>
        <w:t>18</w:t>
      </w:r>
      <w:r w:rsidRPr="000B0727">
        <w:rPr>
          <w:rFonts w:ascii="Book Antiqua" w:hAnsi="Book Antiqua" w:cs="Arial"/>
          <w:sz w:val="24"/>
          <w:szCs w:val="24"/>
        </w:rPr>
        <w:t>: 2579-2586 [PMID: 29947471 DOI: 10.1111/ajt.14993]</w:t>
      </w:r>
    </w:p>
    <w:p w14:paraId="3289C928" w14:textId="77777777" w:rsidR="000B0727" w:rsidRPr="000B0727" w:rsidRDefault="000B0727" w:rsidP="000B0727">
      <w:pPr>
        <w:widowControl w:val="0"/>
        <w:autoSpaceDE w:val="0"/>
        <w:autoSpaceDN w:val="0"/>
        <w:adjustRightInd w:val="0"/>
        <w:snapToGrid w:val="0"/>
        <w:spacing w:after="0" w:line="360" w:lineRule="auto"/>
        <w:jc w:val="both"/>
        <w:rPr>
          <w:rFonts w:ascii="Book Antiqua" w:hAnsi="Book Antiqua" w:cs="Arial"/>
          <w:sz w:val="24"/>
          <w:szCs w:val="24"/>
        </w:rPr>
      </w:pPr>
      <w:r w:rsidRPr="000B0727">
        <w:rPr>
          <w:rFonts w:ascii="Book Antiqua" w:hAnsi="Book Antiqua" w:cs="Arial"/>
          <w:sz w:val="24"/>
          <w:szCs w:val="24"/>
        </w:rPr>
        <w:t xml:space="preserve">75 </w:t>
      </w:r>
      <w:r w:rsidRPr="000B0727">
        <w:rPr>
          <w:rFonts w:ascii="Book Antiqua" w:hAnsi="Book Antiqua" w:cs="Arial"/>
          <w:b/>
          <w:sz w:val="24"/>
          <w:szCs w:val="24"/>
        </w:rPr>
        <w:t>Botha J</w:t>
      </w:r>
      <w:r w:rsidRPr="000B0727">
        <w:rPr>
          <w:rFonts w:ascii="Book Antiqua" w:hAnsi="Book Antiqua" w:cs="Arial"/>
          <w:sz w:val="24"/>
          <w:szCs w:val="24"/>
        </w:rPr>
        <w:t xml:space="preserve">, Conradie F, Etheredge H, Fabian J, Duncan M, Haeri Mazanderani A, Paximadis M, Maher H, Britz R, Loveland J, Ströbele B, Rambarran S, Mahomed A, Terblanche A, Beretta M, Brannigan L, Pienaar M, Archibald-Durham L, Lang A, Tiemessen CT. Living donor liver transplant from an HIV-positive mother to her HIV-negative child: opening up new therapeutic options. </w:t>
      </w:r>
      <w:r w:rsidRPr="000B0727">
        <w:rPr>
          <w:rFonts w:ascii="Book Antiqua" w:hAnsi="Book Antiqua" w:cs="Arial"/>
          <w:i/>
          <w:sz w:val="24"/>
          <w:szCs w:val="24"/>
        </w:rPr>
        <w:t>AIDS</w:t>
      </w:r>
      <w:r w:rsidRPr="000B0727">
        <w:rPr>
          <w:rFonts w:ascii="Book Antiqua" w:hAnsi="Book Antiqua" w:cs="Arial"/>
          <w:sz w:val="24"/>
          <w:szCs w:val="24"/>
        </w:rPr>
        <w:t xml:space="preserve"> 2018; </w:t>
      </w:r>
      <w:r w:rsidRPr="000B0727">
        <w:rPr>
          <w:rFonts w:ascii="Book Antiqua" w:hAnsi="Book Antiqua" w:cs="Arial"/>
          <w:b/>
          <w:sz w:val="24"/>
          <w:szCs w:val="24"/>
        </w:rPr>
        <w:t>32</w:t>
      </w:r>
      <w:r w:rsidRPr="000B0727">
        <w:rPr>
          <w:rFonts w:ascii="Book Antiqua" w:hAnsi="Book Antiqua" w:cs="Arial"/>
          <w:sz w:val="24"/>
          <w:szCs w:val="24"/>
        </w:rPr>
        <w:t>: F13-F19 [PMID: 30281558 DOI: 10.1097/QAD.0000000000002000]</w:t>
      </w:r>
    </w:p>
    <w:p w14:paraId="4CAD01F4" w14:textId="760BF734" w:rsidR="00396333" w:rsidRPr="00663BB7" w:rsidRDefault="00396333" w:rsidP="00A864D6">
      <w:pPr>
        <w:adjustRightInd w:val="0"/>
        <w:snapToGrid w:val="0"/>
        <w:spacing w:after="0" w:line="360" w:lineRule="auto"/>
        <w:jc w:val="right"/>
        <w:rPr>
          <w:rFonts w:ascii="Book Antiqua" w:hAnsi="Book Antiqua"/>
          <w:color w:val="000000"/>
          <w:sz w:val="24"/>
          <w:szCs w:val="24"/>
        </w:rPr>
      </w:pPr>
      <w:bookmarkStart w:id="39" w:name="OLE_LINK139"/>
      <w:bookmarkStart w:id="40" w:name="OLE_LINK140"/>
      <w:bookmarkStart w:id="41" w:name="OLE_LINK1023"/>
      <w:bookmarkStart w:id="42" w:name="OLE_LINK1027"/>
      <w:bookmarkStart w:id="43" w:name="OLE_LINK1028"/>
      <w:bookmarkStart w:id="44" w:name="OLE_LINK1029"/>
      <w:bookmarkStart w:id="45" w:name="OLE_LINK51"/>
      <w:bookmarkStart w:id="46" w:name="OLE_LINK1069"/>
      <w:bookmarkStart w:id="47" w:name="OLE_LINK1104"/>
      <w:bookmarkStart w:id="48" w:name="OLE_LINK1107"/>
      <w:bookmarkStart w:id="49" w:name="OLE_LINK1073"/>
      <w:bookmarkStart w:id="50" w:name="OLE_LINK1074"/>
      <w:bookmarkStart w:id="51" w:name="OLE_LINK1090"/>
      <w:bookmarkStart w:id="52" w:name="OLE_LINK1086"/>
      <w:bookmarkStart w:id="53" w:name="OLE_LINK1088"/>
      <w:bookmarkStart w:id="54" w:name="OLE_LINK1119"/>
      <w:bookmarkStart w:id="55" w:name="OLE_LINK1145"/>
      <w:bookmarkStart w:id="56" w:name="OLE_LINK1106"/>
      <w:bookmarkStart w:id="57" w:name="OLE_LINK28"/>
      <w:bookmarkStart w:id="58" w:name="OLE_LINK197"/>
      <w:bookmarkStart w:id="59" w:name="OLE_LINK457"/>
      <w:bookmarkStart w:id="60" w:name="OLE_LINK521"/>
      <w:bookmarkStart w:id="61" w:name="OLE_LINK614"/>
      <w:bookmarkEnd w:id="37"/>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Pr>
          <w:rFonts w:ascii="Book Antiqua" w:hAnsi="Book Antiqua"/>
          <w:bCs/>
          <w:color w:val="000000"/>
          <w:sz w:val="24"/>
          <w:szCs w:val="24"/>
        </w:rPr>
        <w:t>Chen</w:t>
      </w:r>
      <w:r w:rsidRPr="00663BB7">
        <w:rPr>
          <w:rFonts w:ascii="Book Antiqua" w:hAnsi="Book Antiqua"/>
          <w:bCs/>
          <w:color w:val="000000"/>
          <w:sz w:val="24"/>
          <w:szCs w:val="24"/>
        </w:rPr>
        <w:t xml:space="preserve"> </w:t>
      </w:r>
      <w:r>
        <w:rPr>
          <w:rFonts w:ascii="Book Antiqua" w:hAnsi="Book Antiqua"/>
          <w:bCs/>
          <w:color w:val="000000"/>
          <w:sz w:val="24"/>
          <w:szCs w:val="24"/>
        </w:rPr>
        <w:t>Z</w:t>
      </w:r>
      <w:r w:rsidRPr="00663BB7">
        <w:rPr>
          <w:rFonts w:ascii="Book Antiqua" w:hAnsi="Book Antiqua"/>
          <w:bCs/>
          <w:color w:val="000000"/>
          <w:sz w:val="24"/>
          <w:szCs w:val="24"/>
        </w:rPr>
        <w:t xml:space="preserve">, </w:t>
      </w:r>
      <w:r w:rsidRPr="00396333">
        <w:rPr>
          <w:rFonts w:ascii="Book Antiqua" w:hAnsi="Book Antiqua"/>
          <w:bCs/>
          <w:color w:val="000000"/>
          <w:sz w:val="24"/>
          <w:szCs w:val="24"/>
        </w:rPr>
        <w:t>El-Shabrawi MH</w:t>
      </w:r>
      <w:r w:rsidRPr="00663BB7">
        <w:rPr>
          <w:rFonts w:ascii="Book Antiqua" w:hAnsi="Book Antiqua"/>
          <w:bCs/>
          <w:color w:val="000000"/>
          <w:sz w:val="24"/>
          <w:szCs w:val="24"/>
        </w:rPr>
        <w:t xml:space="preserve">, </w:t>
      </w:r>
      <w:r w:rsidRPr="00396333">
        <w:rPr>
          <w:rFonts w:ascii="Book Antiqua" w:hAnsi="Book Antiqua"/>
          <w:bCs/>
          <w:color w:val="000000"/>
          <w:sz w:val="24"/>
          <w:szCs w:val="24"/>
        </w:rPr>
        <w:t>Gad</w:t>
      </w:r>
      <w:r w:rsidRPr="00663BB7">
        <w:rPr>
          <w:rFonts w:ascii="Book Antiqua" w:hAnsi="Book Antiqua"/>
          <w:bCs/>
          <w:color w:val="000000"/>
          <w:sz w:val="24"/>
          <w:szCs w:val="24"/>
        </w:rPr>
        <w:t xml:space="preserve"> </w:t>
      </w:r>
      <w:r>
        <w:rPr>
          <w:rFonts w:ascii="Book Antiqua" w:hAnsi="Book Antiqua"/>
          <w:bCs/>
          <w:color w:val="000000"/>
          <w:sz w:val="24"/>
          <w:szCs w:val="24"/>
        </w:rPr>
        <w:t xml:space="preserve">EH, </w:t>
      </w:r>
      <w:r w:rsidR="00F13F0E" w:rsidRPr="00F13F0E">
        <w:rPr>
          <w:rFonts w:ascii="Book Antiqua" w:hAnsi="Book Antiqua"/>
          <w:bCs/>
          <w:color w:val="000000"/>
          <w:sz w:val="24"/>
          <w:szCs w:val="24"/>
        </w:rPr>
        <w:t>Tahiri</w:t>
      </w:r>
      <w:r w:rsidRPr="00663BB7">
        <w:rPr>
          <w:rFonts w:ascii="Book Antiqua" w:hAnsi="Book Antiqua"/>
          <w:b/>
          <w:bCs/>
          <w:color w:val="000000"/>
          <w:sz w:val="24"/>
          <w:szCs w:val="24"/>
        </w:rPr>
        <w:t xml:space="preserve"> </w:t>
      </w:r>
      <w:r w:rsidR="00F13F0E" w:rsidRPr="00F13F0E">
        <w:rPr>
          <w:rFonts w:ascii="Book Antiqua" w:hAnsi="Book Antiqua"/>
          <w:color w:val="000000"/>
          <w:sz w:val="24"/>
          <w:szCs w:val="24"/>
        </w:rPr>
        <w:t>M</w:t>
      </w:r>
      <w:r w:rsidR="00F13F0E">
        <w:rPr>
          <w:rFonts w:ascii="Book Antiqua" w:hAnsi="Book Antiqua"/>
          <w:b/>
          <w:bCs/>
          <w:color w:val="000000"/>
          <w:sz w:val="24"/>
          <w:szCs w:val="24"/>
        </w:rPr>
        <w:t xml:space="preserve">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w:t>
      </w:r>
      <w:r>
        <w:rPr>
          <w:rFonts w:ascii="Book Antiqua" w:hAnsi="Book Antiqua" w:hint="eastAsia"/>
          <w:color w:val="000000"/>
          <w:sz w:val="24"/>
          <w:szCs w:val="24"/>
        </w:rPr>
        <w:t>Wang</w:t>
      </w:r>
      <w:r>
        <w:rPr>
          <w:rFonts w:ascii="Book Antiqua" w:hAnsi="Book Antiqua"/>
          <w:color w:val="000000"/>
          <w:sz w:val="24"/>
          <w:szCs w:val="24"/>
        </w:rPr>
        <w:t xml:space="preserve"> J</w:t>
      </w:r>
    </w:p>
    <w:p w14:paraId="2430BCD8" w14:textId="77777777" w:rsidR="00396333" w:rsidRPr="00663BB7" w:rsidRDefault="00396333" w:rsidP="00A864D6">
      <w:pPr>
        <w:adjustRightInd w:val="0"/>
        <w:snapToGrid w:val="0"/>
        <w:spacing w:after="0"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p>
    <w:bookmarkEnd w:id="39"/>
    <w:bookmarkEnd w:id="40"/>
    <w:p w14:paraId="3CD066F5" w14:textId="5FCFEE9B" w:rsidR="00396333" w:rsidRDefault="00396333" w:rsidP="00A864D6">
      <w:pPr>
        <w:widowControl w:val="0"/>
        <w:autoSpaceDE w:val="0"/>
        <w:autoSpaceDN w:val="0"/>
        <w:adjustRightInd w:val="0"/>
        <w:snapToGrid w:val="0"/>
        <w:spacing w:after="0" w:line="360" w:lineRule="auto"/>
        <w:rPr>
          <w:rFonts w:ascii="Book Antiqua" w:hAnsi="Book Antiqua" w:cs="Arial"/>
          <w:sz w:val="24"/>
          <w:szCs w:val="24"/>
        </w:rPr>
      </w:pPr>
      <w:r>
        <w:rPr>
          <w:rFonts w:ascii="Book Antiqua" w:hAnsi="Book Antiqua" w:cs="宋体"/>
          <w:b/>
          <w:sz w:val="24"/>
          <w:szCs w:val="24"/>
        </w:rPr>
        <w:t>Specialty</w:t>
      </w:r>
      <w:r>
        <w:rPr>
          <w:rFonts w:ascii="Book Antiqua" w:hAnsi="Book Antiqua" w:cs="宋体" w:hint="eastAsia"/>
          <w:b/>
          <w:sz w:val="24"/>
          <w:szCs w:val="24"/>
        </w:rPr>
        <w:t xml:space="preserve"> </w:t>
      </w:r>
      <w:r w:rsidRPr="00663BB7">
        <w:rPr>
          <w:rFonts w:ascii="Book Antiqua" w:hAnsi="Book Antiqua" w:cs="宋体"/>
          <w:b/>
          <w:sz w:val="24"/>
          <w:szCs w:val="24"/>
        </w:rPr>
        <w:t xml:space="preserve">type: </w:t>
      </w:r>
      <w:r w:rsidRPr="00663BB7">
        <w:rPr>
          <w:rFonts w:ascii="Book Antiqua" w:eastAsia="微软雅黑" w:hAnsi="Book Antiqua" w:cs="宋体"/>
          <w:sz w:val="24"/>
          <w:szCs w:val="24"/>
        </w:rPr>
        <w:t>Gastroenterology and hepatology</w:t>
      </w:r>
      <w:r w:rsidRPr="00663BB7">
        <w:rPr>
          <w:rFonts w:ascii="Book Antiqua" w:hAnsi="Book Antiqua" w:cs="宋体"/>
          <w:sz w:val="24"/>
          <w:szCs w:val="24"/>
        </w:rPr>
        <w:t xml:space="preserve"> </w:t>
      </w:r>
      <w:r w:rsidRPr="00663BB7">
        <w:rPr>
          <w:rFonts w:ascii="Book Antiqua" w:hAnsi="Book Antiqua" w:cs="宋体"/>
          <w:sz w:val="24"/>
          <w:szCs w:val="24"/>
        </w:rPr>
        <w:br/>
      </w:r>
      <w:r>
        <w:rPr>
          <w:rFonts w:ascii="Book Antiqua" w:hAnsi="Book Antiqua" w:cs="宋体"/>
          <w:b/>
          <w:sz w:val="24"/>
          <w:szCs w:val="24"/>
        </w:rPr>
        <w:t>Country</w:t>
      </w:r>
      <w:r>
        <w:rPr>
          <w:rFonts w:ascii="Book Antiqua" w:hAnsi="Book Antiqua" w:cs="宋体" w:hint="eastAsia"/>
          <w:b/>
          <w:sz w:val="24"/>
          <w:szCs w:val="24"/>
        </w:rPr>
        <w:t xml:space="preserve"> </w:t>
      </w:r>
      <w:r>
        <w:rPr>
          <w:rFonts w:ascii="Book Antiqua" w:hAnsi="Book Antiqua" w:cs="宋体"/>
          <w:b/>
          <w:sz w:val="24"/>
          <w:szCs w:val="24"/>
        </w:rPr>
        <w:t>of</w:t>
      </w:r>
      <w:r>
        <w:rPr>
          <w:rFonts w:ascii="Book Antiqua" w:hAnsi="Book Antiqua" w:cs="宋体" w:hint="eastAsia"/>
          <w:b/>
          <w:sz w:val="24"/>
          <w:szCs w:val="24"/>
        </w:rPr>
        <w:t xml:space="preserve"> </w:t>
      </w:r>
      <w:r w:rsidRPr="00663BB7">
        <w:rPr>
          <w:rFonts w:ascii="Book Antiqua" w:hAnsi="Book Antiqua" w:cs="宋体"/>
          <w:b/>
          <w:sz w:val="24"/>
          <w:szCs w:val="24"/>
        </w:rPr>
        <w:t xml:space="preserve">origin: </w:t>
      </w:r>
      <w:r w:rsidR="00F13F0E" w:rsidRPr="00F13F0E">
        <w:rPr>
          <w:rFonts w:ascii="Book Antiqua" w:hAnsi="Book Antiqua" w:cs="宋体"/>
          <w:sz w:val="24"/>
          <w:szCs w:val="24"/>
        </w:rPr>
        <w:t>United States</w:t>
      </w:r>
      <w:r w:rsidRPr="00663BB7">
        <w:rPr>
          <w:rFonts w:ascii="Book Antiqua" w:hAnsi="Book Antiqua" w:cs="宋体"/>
          <w:sz w:val="24"/>
          <w:szCs w:val="24"/>
        </w:rPr>
        <w:t xml:space="preserve"> </w:t>
      </w:r>
      <w:r w:rsidRPr="00663BB7">
        <w:rPr>
          <w:rFonts w:ascii="Book Antiqua" w:hAnsi="Book Antiqua" w:cs="宋体"/>
          <w:sz w:val="24"/>
          <w:szCs w:val="24"/>
        </w:rPr>
        <w:br/>
      </w:r>
      <w:r>
        <w:rPr>
          <w:rFonts w:ascii="Book Antiqua" w:hAnsi="Book Antiqua" w:cs="宋体"/>
          <w:b/>
          <w:sz w:val="24"/>
          <w:szCs w:val="24"/>
        </w:rPr>
        <w:t>Peer-review</w:t>
      </w:r>
      <w:r>
        <w:rPr>
          <w:rFonts w:ascii="Book Antiqua" w:hAnsi="Book Antiqua" w:cs="宋体" w:hint="eastAsia"/>
          <w:b/>
          <w:sz w:val="24"/>
          <w:szCs w:val="24"/>
        </w:rPr>
        <w:t xml:space="preserve"> </w:t>
      </w:r>
      <w:r>
        <w:rPr>
          <w:rFonts w:ascii="Book Antiqua" w:hAnsi="Book Antiqua" w:cs="宋体"/>
          <w:b/>
          <w:sz w:val="24"/>
          <w:szCs w:val="24"/>
        </w:rPr>
        <w:t>report</w:t>
      </w:r>
      <w:r>
        <w:rPr>
          <w:rFonts w:ascii="Book Antiqua" w:hAnsi="Book Antiqua" w:cs="宋体" w:hint="eastAsia"/>
          <w:b/>
          <w:sz w:val="24"/>
          <w:szCs w:val="24"/>
        </w:rPr>
        <w:t xml:space="preserve"> </w:t>
      </w:r>
      <w:r w:rsidRPr="00663BB7">
        <w:rPr>
          <w:rFonts w:ascii="Book Antiqua" w:hAnsi="Book Antiqua" w:cs="宋体"/>
          <w:b/>
          <w:sz w:val="24"/>
          <w:szCs w:val="24"/>
        </w:rPr>
        <w:t>classification</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A</w:t>
      </w:r>
      <w:r>
        <w:rPr>
          <w:rFonts w:ascii="Book Antiqua" w:hAnsi="Book Antiqua" w:cs="宋体" w:hint="eastAsia"/>
          <w:b/>
          <w:sz w:val="24"/>
          <w:szCs w:val="24"/>
        </w:rPr>
        <w:t xml:space="preserve"> </w:t>
      </w:r>
      <w:r w:rsidRPr="00663BB7">
        <w:rPr>
          <w:rFonts w:ascii="Book Antiqua" w:hAnsi="Book Antiqua" w:cs="宋体"/>
          <w:b/>
          <w:sz w:val="24"/>
          <w:szCs w:val="24"/>
        </w:rPr>
        <w:t xml:space="preserve">(Excellent): </w:t>
      </w:r>
      <w:r w:rsidRPr="00663BB7">
        <w:rPr>
          <w:rFonts w:ascii="Book Antiqua" w:hAnsi="Book Antiqua" w:cs="宋体"/>
          <w:sz w:val="24"/>
          <w:szCs w:val="24"/>
        </w:rPr>
        <w:t>A, A</w:t>
      </w:r>
      <w:r w:rsidR="00F13F0E">
        <w:rPr>
          <w:rFonts w:ascii="Book Antiqua" w:hAnsi="Book Antiqua" w:cs="宋体"/>
          <w:sz w:val="24"/>
          <w:szCs w:val="24"/>
        </w:rPr>
        <w:t>, A</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B</w:t>
      </w:r>
      <w:r>
        <w:rPr>
          <w:rFonts w:ascii="Book Antiqua" w:hAnsi="Book Antiqua" w:cs="宋体" w:hint="eastAsia"/>
          <w:b/>
          <w:sz w:val="24"/>
          <w:szCs w:val="24"/>
        </w:rPr>
        <w:t xml:space="preserve"> </w:t>
      </w:r>
      <w:r>
        <w:rPr>
          <w:rFonts w:ascii="Book Antiqua" w:hAnsi="Book Antiqua" w:cs="宋体"/>
          <w:b/>
          <w:sz w:val="24"/>
          <w:szCs w:val="24"/>
        </w:rPr>
        <w:t>(Very</w:t>
      </w:r>
      <w:r>
        <w:rPr>
          <w:rFonts w:ascii="Book Antiqua" w:hAnsi="Book Antiqua" w:cs="宋体" w:hint="eastAsia"/>
          <w:b/>
          <w:sz w:val="24"/>
          <w:szCs w:val="24"/>
        </w:rPr>
        <w:t xml:space="preserve"> </w:t>
      </w:r>
      <w:r w:rsidRPr="00663BB7">
        <w:rPr>
          <w:rFonts w:ascii="Book Antiqua" w:hAnsi="Book Antiqua" w:cs="宋体"/>
          <w:b/>
          <w:sz w:val="24"/>
          <w:szCs w:val="24"/>
        </w:rPr>
        <w:t xml:space="preserve">good): </w:t>
      </w:r>
      <w:r w:rsidRPr="00663BB7">
        <w:rPr>
          <w:rFonts w:ascii="Book Antiqua" w:hAnsi="Book Antiqua" w:cs="宋体"/>
          <w:sz w:val="24"/>
          <w:szCs w:val="24"/>
        </w:rPr>
        <w:t>B</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C</w:t>
      </w:r>
      <w:r>
        <w:rPr>
          <w:rFonts w:ascii="Book Antiqua" w:hAnsi="Book Antiqua" w:cs="宋体" w:hint="eastAsia"/>
          <w:b/>
          <w:sz w:val="24"/>
          <w:szCs w:val="24"/>
        </w:rPr>
        <w:t xml:space="preserve"> </w:t>
      </w:r>
      <w:r w:rsidRPr="00663BB7">
        <w:rPr>
          <w:rFonts w:ascii="Book Antiqua" w:hAnsi="Book Antiqua" w:cs="宋体"/>
          <w:b/>
          <w:sz w:val="24"/>
          <w:szCs w:val="24"/>
        </w:rPr>
        <w:t xml:space="preserve">(Good): </w:t>
      </w:r>
      <w:r w:rsidR="00F13F0E">
        <w:rPr>
          <w:rFonts w:ascii="Book Antiqua" w:hAnsi="Book Antiqua" w:cs="宋体"/>
          <w:sz w:val="24"/>
          <w:szCs w:val="24"/>
        </w:rPr>
        <w:t>C</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D</w:t>
      </w:r>
      <w:r>
        <w:rPr>
          <w:rFonts w:ascii="Book Antiqua" w:hAnsi="Book Antiqua" w:cs="宋体" w:hint="eastAsia"/>
          <w:b/>
          <w:sz w:val="24"/>
          <w:szCs w:val="24"/>
        </w:rPr>
        <w:t xml:space="preserve"> </w:t>
      </w:r>
      <w:r w:rsidRPr="00663BB7">
        <w:rPr>
          <w:rFonts w:ascii="Book Antiqua" w:hAnsi="Book Antiqua" w:cs="宋体"/>
          <w:b/>
          <w:sz w:val="24"/>
          <w:szCs w:val="24"/>
        </w:rPr>
        <w:t xml:space="preserve">(Fair): </w:t>
      </w:r>
      <w:r w:rsidRPr="00663BB7">
        <w:rPr>
          <w:rFonts w:ascii="Book Antiqua" w:hAnsi="Book Antiqua" w:cs="宋体"/>
          <w:sz w:val="24"/>
          <w:szCs w:val="24"/>
        </w:rPr>
        <w:t>0</w:t>
      </w:r>
      <w:r>
        <w:rPr>
          <w:rFonts w:ascii="Book Antiqua" w:hAnsi="Book Antiqua" w:cs="宋体"/>
          <w:b/>
          <w:sz w:val="24"/>
          <w:szCs w:val="24"/>
        </w:rPr>
        <w:br/>
        <w:t>Grade</w:t>
      </w:r>
      <w:r>
        <w:rPr>
          <w:rFonts w:ascii="Book Antiqua" w:hAnsi="Book Antiqua" w:cs="宋体" w:hint="eastAsia"/>
          <w:b/>
          <w:sz w:val="24"/>
          <w:szCs w:val="24"/>
        </w:rPr>
        <w:t xml:space="preserve"> </w:t>
      </w:r>
      <w:r>
        <w:rPr>
          <w:rFonts w:ascii="Book Antiqua" w:hAnsi="Book Antiqua" w:cs="宋体"/>
          <w:b/>
          <w:sz w:val="24"/>
          <w:szCs w:val="24"/>
        </w:rPr>
        <w:t>E</w:t>
      </w:r>
      <w:r>
        <w:rPr>
          <w:rFonts w:ascii="Book Antiqua" w:hAnsi="Book Antiqua" w:cs="宋体" w:hint="eastAsia"/>
          <w:b/>
          <w:sz w:val="24"/>
          <w:szCs w:val="24"/>
        </w:rPr>
        <w:t xml:space="preserve"> </w:t>
      </w:r>
      <w:r w:rsidRPr="00663BB7">
        <w:rPr>
          <w:rFonts w:ascii="Book Antiqua" w:hAnsi="Book Antiqua" w:cs="宋体"/>
          <w:b/>
          <w:sz w:val="24"/>
          <w:szCs w:val="24"/>
        </w:rPr>
        <w:t xml:space="preserve">(Poor): </w:t>
      </w:r>
      <w:r w:rsidRPr="00663BB7">
        <w:rPr>
          <w:rFonts w:ascii="Book Antiqua" w:hAnsi="Book Antiqua" w:cs="宋体"/>
          <w:sz w:val="24"/>
          <w:szCs w:val="24"/>
        </w:rPr>
        <w:t>0</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4618E48A" w14:textId="77777777" w:rsidR="000B0727" w:rsidRDefault="000B0727">
      <w:pPr>
        <w:rPr>
          <w:rFonts w:ascii="Book Antiqua" w:hAnsi="Book Antiqua" w:cs="Arial"/>
          <w:sz w:val="24"/>
          <w:szCs w:val="24"/>
        </w:rPr>
      </w:pPr>
      <w:r>
        <w:rPr>
          <w:rFonts w:ascii="Book Antiqua" w:hAnsi="Book Antiqua" w:cs="Arial"/>
          <w:sz w:val="24"/>
          <w:szCs w:val="24"/>
        </w:rPr>
        <w:br w:type="page"/>
      </w:r>
    </w:p>
    <w:p w14:paraId="4404511B" w14:textId="387F0D58" w:rsidR="000B0727" w:rsidRPr="00895896" w:rsidRDefault="000B0727" w:rsidP="000B0727">
      <w:pPr>
        <w:adjustRightInd w:val="0"/>
        <w:snapToGrid w:val="0"/>
        <w:spacing w:after="0" w:line="360" w:lineRule="auto"/>
        <w:jc w:val="both"/>
        <w:rPr>
          <w:rFonts w:ascii="Book Antiqua" w:hAnsi="Book Antiqua" w:cs="Arial"/>
          <w:b/>
          <w:bCs/>
          <w:sz w:val="24"/>
          <w:szCs w:val="24"/>
        </w:rPr>
      </w:pPr>
      <w:r w:rsidRPr="00895896">
        <w:rPr>
          <w:rFonts w:ascii="Book Antiqua" w:hAnsi="Book Antiqua" w:cs="Arial"/>
          <w:b/>
          <w:bCs/>
          <w:sz w:val="24"/>
          <w:szCs w:val="24"/>
        </w:rPr>
        <w:lastRenderedPageBreak/>
        <w:t xml:space="preserve">Table 1 Terminology for </w:t>
      </w:r>
      <w:r w:rsidR="00E5595D" w:rsidRPr="00895896">
        <w:rPr>
          <w:rFonts w:ascii="Book Antiqua" w:hAnsi="Book Antiqua" w:cs="Arial"/>
          <w:b/>
          <w:bCs/>
          <w:sz w:val="24"/>
          <w:szCs w:val="24"/>
        </w:rPr>
        <w:t>h</w:t>
      </w:r>
      <w:r w:rsidRPr="00895896">
        <w:rPr>
          <w:rFonts w:ascii="Book Antiqua" w:hAnsi="Book Antiqua" w:cs="Arial"/>
          <w:b/>
          <w:bCs/>
          <w:sz w:val="24"/>
          <w:szCs w:val="24"/>
        </w:rPr>
        <w:t xml:space="preserve">epatitis C virus-positive </w:t>
      </w:r>
      <w:r w:rsidR="00E5595D" w:rsidRPr="00895896">
        <w:rPr>
          <w:rFonts w:ascii="Book Antiqua" w:hAnsi="Book Antiqua" w:cs="Arial"/>
          <w:b/>
          <w:bCs/>
          <w:sz w:val="24"/>
          <w:szCs w:val="24"/>
        </w:rPr>
        <w:t>d</w:t>
      </w:r>
      <w:r w:rsidRPr="00895896">
        <w:rPr>
          <w:rFonts w:ascii="Book Antiqua" w:hAnsi="Book Antiqua" w:cs="Arial"/>
          <w:b/>
          <w:bCs/>
          <w:sz w:val="24"/>
          <w:szCs w:val="24"/>
        </w:rPr>
        <w:t xml:space="preserve">onors </w:t>
      </w:r>
    </w:p>
    <w:tbl>
      <w:tblPr>
        <w:tblW w:w="9498" w:type="dxa"/>
        <w:tblCellMar>
          <w:left w:w="0" w:type="dxa"/>
          <w:right w:w="0" w:type="dxa"/>
        </w:tblCellMar>
        <w:tblLook w:val="0420" w:firstRow="1" w:lastRow="0" w:firstColumn="0" w:lastColumn="0" w:noHBand="0" w:noVBand="1"/>
      </w:tblPr>
      <w:tblGrid>
        <w:gridCol w:w="3500"/>
        <w:gridCol w:w="2520"/>
        <w:gridCol w:w="3478"/>
      </w:tblGrid>
      <w:tr w:rsidR="000B0727" w:rsidRPr="007363FF" w14:paraId="7B6A978D" w14:textId="77777777" w:rsidTr="00AE68E8">
        <w:trPr>
          <w:trHeight w:val="67"/>
        </w:trPr>
        <w:tc>
          <w:tcPr>
            <w:tcW w:w="3500"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74A863E1" w14:textId="123B92FA" w:rsidR="000B0727" w:rsidRPr="007363FF" w:rsidRDefault="000B0727" w:rsidP="00FA52FE">
            <w:pPr>
              <w:adjustRightInd w:val="0"/>
              <w:snapToGrid w:val="0"/>
              <w:spacing w:after="0" w:line="360" w:lineRule="auto"/>
              <w:jc w:val="both"/>
              <w:rPr>
                <w:rFonts w:ascii="Book Antiqua" w:hAnsi="Book Antiqua" w:cs="Arial"/>
                <w:sz w:val="24"/>
                <w:szCs w:val="24"/>
              </w:rPr>
            </w:pPr>
            <w:r w:rsidRPr="007363FF">
              <w:rPr>
                <w:rFonts w:ascii="Book Antiqua" w:hAnsi="Book Antiqua" w:cs="Arial"/>
                <w:b/>
                <w:bCs/>
                <w:sz w:val="24"/>
                <w:szCs w:val="24"/>
              </w:rPr>
              <w:t xml:space="preserve">Donor </w:t>
            </w:r>
            <w:r w:rsidR="00B36E32" w:rsidRPr="007363FF">
              <w:rPr>
                <w:rFonts w:ascii="Book Antiqua" w:hAnsi="Book Antiqua" w:cs="Arial"/>
                <w:b/>
                <w:bCs/>
                <w:sz w:val="24"/>
                <w:szCs w:val="24"/>
              </w:rPr>
              <w:t>t</w:t>
            </w:r>
            <w:r w:rsidRPr="007363FF">
              <w:rPr>
                <w:rFonts w:ascii="Book Antiqua" w:hAnsi="Book Antiqua" w:cs="Arial"/>
                <w:b/>
                <w:bCs/>
                <w:sz w:val="24"/>
                <w:szCs w:val="24"/>
              </w:rPr>
              <w:t>esting</w:t>
            </w:r>
          </w:p>
        </w:tc>
        <w:tc>
          <w:tcPr>
            <w:tcW w:w="2520"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7B0C9E3A" w14:textId="2000B745" w:rsidR="000B0727" w:rsidRPr="007363FF" w:rsidRDefault="000B0727" w:rsidP="00FA52FE">
            <w:pPr>
              <w:adjustRightInd w:val="0"/>
              <w:snapToGrid w:val="0"/>
              <w:spacing w:after="0" w:line="360" w:lineRule="auto"/>
              <w:jc w:val="both"/>
              <w:rPr>
                <w:rFonts w:ascii="Book Antiqua" w:hAnsi="Book Antiqua" w:cs="Arial"/>
                <w:sz w:val="24"/>
                <w:szCs w:val="24"/>
              </w:rPr>
            </w:pPr>
            <w:r w:rsidRPr="007363FF">
              <w:rPr>
                <w:rFonts w:ascii="Book Antiqua" w:hAnsi="Book Antiqua" w:cs="Arial"/>
                <w:b/>
                <w:bCs/>
                <w:sz w:val="24"/>
                <w:szCs w:val="24"/>
              </w:rPr>
              <w:t xml:space="preserve">Anti-HCV </w:t>
            </w:r>
            <w:r w:rsidR="006D1029" w:rsidRPr="007363FF">
              <w:rPr>
                <w:rFonts w:ascii="Book Antiqua" w:hAnsi="Book Antiqua" w:cs="Arial"/>
                <w:b/>
                <w:bCs/>
                <w:sz w:val="24"/>
                <w:szCs w:val="24"/>
              </w:rPr>
              <w:t>a</w:t>
            </w:r>
            <w:r w:rsidRPr="007363FF">
              <w:rPr>
                <w:rFonts w:ascii="Book Antiqua" w:hAnsi="Book Antiqua" w:cs="Arial"/>
                <w:b/>
                <w:bCs/>
                <w:sz w:val="24"/>
                <w:szCs w:val="24"/>
              </w:rPr>
              <w:t>ntibody</w:t>
            </w:r>
          </w:p>
        </w:tc>
        <w:tc>
          <w:tcPr>
            <w:tcW w:w="3478"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2E1F2210" w14:textId="77777777" w:rsidR="000B0727" w:rsidRPr="007363FF" w:rsidRDefault="000B0727" w:rsidP="00FA52FE">
            <w:pPr>
              <w:adjustRightInd w:val="0"/>
              <w:snapToGrid w:val="0"/>
              <w:spacing w:after="0" w:line="360" w:lineRule="auto"/>
              <w:jc w:val="both"/>
              <w:rPr>
                <w:rFonts w:ascii="Book Antiqua" w:hAnsi="Book Antiqua" w:cs="Arial"/>
                <w:sz w:val="24"/>
                <w:szCs w:val="24"/>
              </w:rPr>
            </w:pPr>
            <w:r w:rsidRPr="007363FF">
              <w:rPr>
                <w:rFonts w:ascii="Book Antiqua" w:hAnsi="Book Antiqua" w:cs="Arial"/>
                <w:b/>
                <w:bCs/>
                <w:sz w:val="24"/>
                <w:szCs w:val="24"/>
              </w:rPr>
              <w:t>HCV RNA</w:t>
            </w:r>
          </w:p>
        </w:tc>
      </w:tr>
      <w:tr w:rsidR="000B0727" w:rsidRPr="007363FF" w14:paraId="1983367D" w14:textId="77777777" w:rsidTr="00F60ED3">
        <w:trPr>
          <w:trHeight w:val="46"/>
        </w:trPr>
        <w:tc>
          <w:tcPr>
            <w:tcW w:w="3500" w:type="dxa"/>
            <w:tcBorders>
              <w:top w:val="single" w:sz="4" w:space="0" w:color="auto"/>
            </w:tcBorders>
            <w:shd w:val="clear" w:color="auto" w:fill="FFFFFF" w:themeFill="background1"/>
            <w:tcMar>
              <w:top w:w="72" w:type="dxa"/>
              <w:left w:w="144" w:type="dxa"/>
              <w:bottom w:w="72" w:type="dxa"/>
              <w:right w:w="144" w:type="dxa"/>
            </w:tcMar>
            <w:vAlign w:val="center"/>
            <w:hideMark/>
          </w:tcPr>
          <w:p w14:paraId="4344F0F6" w14:textId="28707588" w:rsidR="000B0727" w:rsidRPr="007363FF" w:rsidRDefault="000B0727" w:rsidP="00FA52FE">
            <w:pPr>
              <w:adjustRightInd w:val="0"/>
              <w:snapToGrid w:val="0"/>
              <w:spacing w:after="0" w:line="360" w:lineRule="auto"/>
              <w:jc w:val="both"/>
              <w:rPr>
                <w:rFonts w:ascii="Book Antiqua" w:hAnsi="Book Antiqua" w:cs="Arial"/>
                <w:sz w:val="24"/>
                <w:szCs w:val="24"/>
              </w:rPr>
            </w:pPr>
            <w:r w:rsidRPr="007363FF">
              <w:rPr>
                <w:rFonts w:ascii="Book Antiqua" w:hAnsi="Book Antiqua" w:cs="Arial"/>
                <w:sz w:val="24"/>
                <w:szCs w:val="24"/>
              </w:rPr>
              <w:t xml:space="preserve">Donor </w:t>
            </w:r>
            <w:r w:rsidR="00B36E32" w:rsidRPr="007363FF">
              <w:rPr>
                <w:rFonts w:ascii="Book Antiqua" w:hAnsi="Book Antiqua" w:cs="Arial"/>
                <w:sz w:val="24"/>
                <w:szCs w:val="24"/>
              </w:rPr>
              <w:t>t</w:t>
            </w:r>
            <w:r w:rsidRPr="007363FF">
              <w:rPr>
                <w:rFonts w:ascii="Book Antiqua" w:hAnsi="Book Antiqua" w:cs="Arial"/>
                <w:sz w:val="24"/>
                <w:szCs w:val="24"/>
              </w:rPr>
              <w:t xml:space="preserve">erminology if </w:t>
            </w:r>
            <w:r w:rsidR="00B36E32" w:rsidRPr="007363FF">
              <w:rPr>
                <w:rFonts w:ascii="Book Antiqua" w:hAnsi="Book Antiqua" w:cs="Arial"/>
                <w:sz w:val="24"/>
                <w:szCs w:val="24"/>
              </w:rPr>
              <w:t>p</w:t>
            </w:r>
            <w:r w:rsidRPr="007363FF">
              <w:rPr>
                <w:rFonts w:ascii="Book Antiqua" w:hAnsi="Book Antiqua" w:cs="Arial"/>
                <w:sz w:val="24"/>
                <w:szCs w:val="24"/>
              </w:rPr>
              <w:t>ositive</w:t>
            </w:r>
          </w:p>
        </w:tc>
        <w:tc>
          <w:tcPr>
            <w:tcW w:w="2520" w:type="dxa"/>
            <w:tcBorders>
              <w:top w:val="single" w:sz="4" w:space="0" w:color="auto"/>
            </w:tcBorders>
            <w:shd w:val="clear" w:color="auto" w:fill="FFFFFF" w:themeFill="background1"/>
            <w:tcMar>
              <w:top w:w="72" w:type="dxa"/>
              <w:left w:w="144" w:type="dxa"/>
              <w:bottom w:w="72" w:type="dxa"/>
              <w:right w:w="144" w:type="dxa"/>
            </w:tcMar>
            <w:vAlign w:val="center"/>
            <w:hideMark/>
          </w:tcPr>
          <w:p w14:paraId="46DCE735" w14:textId="1ACAD3E7" w:rsidR="000B0727" w:rsidRPr="00895896" w:rsidRDefault="00231C99" w:rsidP="00FA52FE">
            <w:pPr>
              <w:adjustRightInd w:val="0"/>
              <w:snapToGrid w:val="0"/>
              <w:spacing w:after="0" w:line="360" w:lineRule="auto"/>
              <w:jc w:val="both"/>
              <w:rPr>
                <w:rFonts w:ascii="Book Antiqua" w:hAnsi="Book Antiqua" w:cs="Arial"/>
                <w:sz w:val="24"/>
                <w:szCs w:val="24"/>
              </w:rPr>
            </w:pPr>
            <w:r>
              <w:rPr>
                <w:rFonts w:ascii="Book Antiqua" w:hAnsi="Book Antiqua" w:cs="Arial"/>
                <w:sz w:val="24"/>
                <w:szCs w:val="24"/>
              </w:rPr>
              <w:t>“</w:t>
            </w:r>
            <w:r w:rsidR="000B0727" w:rsidRPr="00895896">
              <w:rPr>
                <w:rFonts w:ascii="Book Antiqua" w:hAnsi="Book Antiqua" w:cs="Arial"/>
                <w:sz w:val="24"/>
                <w:szCs w:val="24"/>
              </w:rPr>
              <w:t>Seropositive”</w:t>
            </w:r>
          </w:p>
        </w:tc>
        <w:tc>
          <w:tcPr>
            <w:tcW w:w="3478" w:type="dxa"/>
            <w:tcBorders>
              <w:top w:val="single" w:sz="4" w:space="0" w:color="auto"/>
            </w:tcBorders>
            <w:shd w:val="clear" w:color="auto" w:fill="FFFFFF" w:themeFill="background1"/>
            <w:tcMar>
              <w:top w:w="72" w:type="dxa"/>
              <w:left w:w="144" w:type="dxa"/>
              <w:bottom w:w="72" w:type="dxa"/>
              <w:right w:w="144" w:type="dxa"/>
            </w:tcMar>
            <w:vAlign w:val="center"/>
            <w:hideMark/>
          </w:tcPr>
          <w:p w14:paraId="239EADEE" w14:textId="1BE9D93C" w:rsidR="000B0727" w:rsidRPr="00895896" w:rsidRDefault="000B0727" w:rsidP="00FA52FE">
            <w:pPr>
              <w:adjustRightInd w:val="0"/>
              <w:snapToGrid w:val="0"/>
              <w:spacing w:after="0" w:line="360" w:lineRule="auto"/>
              <w:jc w:val="both"/>
              <w:rPr>
                <w:rFonts w:ascii="Book Antiqua" w:hAnsi="Book Antiqua" w:cs="Arial"/>
                <w:sz w:val="24"/>
                <w:szCs w:val="24"/>
              </w:rPr>
            </w:pPr>
            <w:r w:rsidRPr="00895896">
              <w:rPr>
                <w:rFonts w:ascii="Book Antiqua" w:hAnsi="Book Antiqua" w:cs="Arial"/>
                <w:sz w:val="24"/>
                <w:szCs w:val="24"/>
              </w:rPr>
              <w:t>“NAT</w:t>
            </w:r>
            <w:r w:rsidR="00F60ED3">
              <w:rPr>
                <w:rFonts w:ascii="Book Antiqua" w:hAnsi="Book Antiqua" w:cs="Arial"/>
                <w:sz w:val="24"/>
                <w:szCs w:val="24"/>
              </w:rPr>
              <w:t xml:space="preserve"> </w:t>
            </w:r>
            <w:r w:rsidR="00F60ED3" w:rsidRPr="00895896">
              <w:rPr>
                <w:rFonts w:ascii="Book Antiqua" w:hAnsi="Book Antiqua" w:cs="Arial"/>
                <w:sz w:val="24"/>
                <w:szCs w:val="24"/>
              </w:rPr>
              <w:t>p</w:t>
            </w:r>
            <w:r w:rsidRPr="00895896">
              <w:rPr>
                <w:rFonts w:ascii="Book Antiqua" w:hAnsi="Book Antiqua" w:cs="Arial"/>
                <w:sz w:val="24"/>
                <w:szCs w:val="24"/>
              </w:rPr>
              <w:t>ositive” or “Viremic”</w:t>
            </w:r>
          </w:p>
        </w:tc>
      </w:tr>
      <w:tr w:rsidR="000B0727" w:rsidRPr="007363FF" w14:paraId="6DC9AC6B" w14:textId="77777777" w:rsidTr="00F60ED3">
        <w:trPr>
          <w:trHeight w:val="23"/>
        </w:trPr>
        <w:tc>
          <w:tcPr>
            <w:tcW w:w="3500" w:type="dxa"/>
            <w:shd w:val="clear" w:color="auto" w:fill="FFFFFF" w:themeFill="background1"/>
            <w:tcMar>
              <w:top w:w="72" w:type="dxa"/>
              <w:left w:w="144" w:type="dxa"/>
              <w:bottom w:w="72" w:type="dxa"/>
              <w:right w:w="144" w:type="dxa"/>
            </w:tcMar>
            <w:vAlign w:val="center"/>
            <w:hideMark/>
          </w:tcPr>
          <w:p w14:paraId="59CE27A2" w14:textId="401C9A55" w:rsidR="000B0727" w:rsidRPr="007363FF" w:rsidRDefault="000B0727" w:rsidP="00FA52FE">
            <w:pPr>
              <w:adjustRightInd w:val="0"/>
              <w:snapToGrid w:val="0"/>
              <w:spacing w:after="0" w:line="360" w:lineRule="auto"/>
              <w:jc w:val="both"/>
              <w:rPr>
                <w:rFonts w:ascii="Book Antiqua" w:hAnsi="Book Antiqua" w:cs="Arial"/>
                <w:sz w:val="24"/>
                <w:szCs w:val="24"/>
              </w:rPr>
            </w:pPr>
            <w:r w:rsidRPr="007363FF">
              <w:rPr>
                <w:rFonts w:ascii="Book Antiqua" w:hAnsi="Book Antiqua" w:cs="Arial"/>
                <w:sz w:val="24"/>
                <w:szCs w:val="24"/>
              </w:rPr>
              <w:t xml:space="preserve">Acute </w:t>
            </w:r>
            <w:r w:rsidR="00B36E32" w:rsidRPr="007363FF">
              <w:rPr>
                <w:rFonts w:ascii="Book Antiqua" w:hAnsi="Book Antiqua" w:cs="Arial"/>
                <w:sz w:val="24"/>
                <w:szCs w:val="24"/>
              </w:rPr>
              <w:t>i</w:t>
            </w:r>
            <w:r w:rsidRPr="007363FF">
              <w:rPr>
                <w:rFonts w:ascii="Book Antiqua" w:hAnsi="Book Antiqua" w:cs="Arial"/>
                <w:sz w:val="24"/>
                <w:szCs w:val="24"/>
              </w:rPr>
              <w:t>nfection</w:t>
            </w:r>
          </w:p>
        </w:tc>
        <w:tc>
          <w:tcPr>
            <w:tcW w:w="2520" w:type="dxa"/>
            <w:shd w:val="clear" w:color="auto" w:fill="FFFFFF" w:themeFill="background1"/>
            <w:tcMar>
              <w:top w:w="72" w:type="dxa"/>
              <w:left w:w="144" w:type="dxa"/>
              <w:bottom w:w="72" w:type="dxa"/>
              <w:right w:w="144" w:type="dxa"/>
            </w:tcMar>
            <w:vAlign w:val="center"/>
            <w:hideMark/>
          </w:tcPr>
          <w:p w14:paraId="54D363F7" w14:textId="77777777" w:rsidR="000B0727" w:rsidRPr="00895896" w:rsidRDefault="000B0727" w:rsidP="00FA52FE">
            <w:pPr>
              <w:adjustRightInd w:val="0"/>
              <w:snapToGrid w:val="0"/>
              <w:spacing w:after="0" w:line="360" w:lineRule="auto"/>
              <w:jc w:val="both"/>
              <w:rPr>
                <w:rFonts w:ascii="Book Antiqua" w:hAnsi="Book Antiqua" w:cs="Arial"/>
                <w:sz w:val="24"/>
                <w:szCs w:val="24"/>
              </w:rPr>
            </w:pPr>
            <w:r w:rsidRPr="00895896">
              <w:rPr>
                <w:rFonts w:ascii="Book Antiqua" w:hAnsi="Book Antiqua" w:cs="Arial"/>
                <w:sz w:val="24"/>
                <w:szCs w:val="24"/>
              </w:rPr>
              <w:t>(-)</w:t>
            </w:r>
          </w:p>
        </w:tc>
        <w:tc>
          <w:tcPr>
            <w:tcW w:w="3478" w:type="dxa"/>
            <w:shd w:val="clear" w:color="auto" w:fill="FFFFFF" w:themeFill="background1"/>
            <w:tcMar>
              <w:top w:w="72" w:type="dxa"/>
              <w:left w:w="144" w:type="dxa"/>
              <w:bottom w:w="72" w:type="dxa"/>
              <w:right w:w="144" w:type="dxa"/>
            </w:tcMar>
            <w:vAlign w:val="center"/>
            <w:hideMark/>
          </w:tcPr>
          <w:p w14:paraId="4CAEED12" w14:textId="77777777" w:rsidR="000B0727" w:rsidRPr="00895896" w:rsidRDefault="000B0727" w:rsidP="00FA52FE">
            <w:pPr>
              <w:adjustRightInd w:val="0"/>
              <w:snapToGrid w:val="0"/>
              <w:spacing w:after="0" w:line="360" w:lineRule="auto"/>
              <w:jc w:val="both"/>
              <w:rPr>
                <w:rFonts w:ascii="Book Antiqua" w:hAnsi="Book Antiqua" w:cs="Arial"/>
                <w:sz w:val="24"/>
                <w:szCs w:val="24"/>
              </w:rPr>
            </w:pPr>
            <w:r w:rsidRPr="00895896">
              <w:rPr>
                <w:rFonts w:ascii="Book Antiqua" w:hAnsi="Book Antiqua" w:cs="Arial"/>
                <w:sz w:val="24"/>
                <w:szCs w:val="24"/>
              </w:rPr>
              <w:t>+</w:t>
            </w:r>
          </w:p>
        </w:tc>
      </w:tr>
      <w:tr w:rsidR="000B0727" w:rsidRPr="007363FF" w14:paraId="47304E72" w14:textId="77777777" w:rsidTr="00F60ED3">
        <w:trPr>
          <w:trHeight w:val="23"/>
        </w:trPr>
        <w:tc>
          <w:tcPr>
            <w:tcW w:w="3500" w:type="dxa"/>
            <w:shd w:val="clear" w:color="auto" w:fill="FFFFFF" w:themeFill="background1"/>
            <w:tcMar>
              <w:top w:w="72" w:type="dxa"/>
              <w:left w:w="144" w:type="dxa"/>
              <w:bottom w:w="72" w:type="dxa"/>
              <w:right w:w="144" w:type="dxa"/>
            </w:tcMar>
            <w:vAlign w:val="center"/>
            <w:hideMark/>
          </w:tcPr>
          <w:p w14:paraId="6CE87FC0" w14:textId="4AE5932A" w:rsidR="000B0727" w:rsidRPr="007363FF" w:rsidRDefault="000B0727" w:rsidP="00FA52FE">
            <w:pPr>
              <w:adjustRightInd w:val="0"/>
              <w:snapToGrid w:val="0"/>
              <w:spacing w:after="0" w:line="360" w:lineRule="auto"/>
              <w:jc w:val="both"/>
              <w:rPr>
                <w:rFonts w:ascii="Book Antiqua" w:hAnsi="Book Antiqua" w:cs="Arial"/>
                <w:sz w:val="24"/>
                <w:szCs w:val="24"/>
              </w:rPr>
            </w:pPr>
            <w:r w:rsidRPr="007363FF">
              <w:rPr>
                <w:rFonts w:ascii="Book Antiqua" w:hAnsi="Book Antiqua" w:cs="Arial"/>
                <w:sz w:val="24"/>
                <w:szCs w:val="24"/>
              </w:rPr>
              <w:t xml:space="preserve">Chronic </w:t>
            </w:r>
            <w:r w:rsidR="00B36E32" w:rsidRPr="007363FF">
              <w:rPr>
                <w:rFonts w:ascii="Book Antiqua" w:hAnsi="Book Antiqua" w:cs="Arial"/>
                <w:sz w:val="24"/>
                <w:szCs w:val="24"/>
              </w:rPr>
              <w:t>i</w:t>
            </w:r>
            <w:r w:rsidRPr="007363FF">
              <w:rPr>
                <w:rFonts w:ascii="Book Antiqua" w:hAnsi="Book Antiqua" w:cs="Arial"/>
                <w:sz w:val="24"/>
                <w:szCs w:val="24"/>
              </w:rPr>
              <w:t>nfection</w:t>
            </w:r>
          </w:p>
        </w:tc>
        <w:tc>
          <w:tcPr>
            <w:tcW w:w="2520" w:type="dxa"/>
            <w:shd w:val="clear" w:color="auto" w:fill="FFFFFF" w:themeFill="background1"/>
            <w:tcMar>
              <w:top w:w="72" w:type="dxa"/>
              <w:left w:w="144" w:type="dxa"/>
              <w:bottom w:w="72" w:type="dxa"/>
              <w:right w:w="144" w:type="dxa"/>
            </w:tcMar>
            <w:vAlign w:val="center"/>
            <w:hideMark/>
          </w:tcPr>
          <w:p w14:paraId="2E79E4C2" w14:textId="77777777" w:rsidR="000B0727" w:rsidRPr="00895896" w:rsidRDefault="000B0727" w:rsidP="00FA52FE">
            <w:pPr>
              <w:adjustRightInd w:val="0"/>
              <w:snapToGrid w:val="0"/>
              <w:spacing w:after="0" w:line="360" w:lineRule="auto"/>
              <w:jc w:val="both"/>
              <w:rPr>
                <w:rFonts w:ascii="Book Antiqua" w:hAnsi="Book Antiqua" w:cs="Arial"/>
                <w:sz w:val="24"/>
                <w:szCs w:val="24"/>
              </w:rPr>
            </w:pPr>
            <w:r w:rsidRPr="00895896">
              <w:rPr>
                <w:rFonts w:ascii="Book Antiqua" w:hAnsi="Book Antiqua" w:cs="Arial"/>
                <w:sz w:val="24"/>
                <w:szCs w:val="24"/>
              </w:rPr>
              <w:t>+</w:t>
            </w:r>
          </w:p>
        </w:tc>
        <w:tc>
          <w:tcPr>
            <w:tcW w:w="3478" w:type="dxa"/>
            <w:shd w:val="clear" w:color="auto" w:fill="FFFFFF" w:themeFill="background1"/>
            <w:tcMar>
              <w:top w:w="72" w:type="dxa"/>
              <w:left w:w="144" w:type="dxa"/>
              <w:bottom w:w="72" w:type="dxa"/>
              <w:right w:w="144" w:type="dxa"/>
            </w:tcMar>
            <w:vAlign w:val="center"/>
            <w:hideMark/>
          </w:tcPr>
          <w:p w14:paraId="1549B1A2" w14:textId="77777777" w:rsidR="000B0727" w:rsidRPr="00895896" w:rsidRDefault="000B0727" w:rsidP="00FA52FE">
            <w:pPr>
              <w:adjustRightInd w:val="0"/>
              <w:snapToGrid w:val="0"/>
              <w:spacing w:after="0" w:line="360" w:lineRule="auto"/>
              <w:jc w:val="both"/>
              <w:rPr>
                <w:rFonts w:ascii="Book Antiqua" w:hAnsi="Book Antiqua" w:cs="Arial"/>
                <w:sz w:val="24"/>
                <w:szCs w:val="24"/>
              </w:rPr>
            </w:pPr>
            <w:r w:rsidRPr="00895896">
              <w:rPr>
                <w:rFonts w:ascii="Book Antiqua" w:hAnsi="Book Antiqua" w:cs="Arial"/>
                <w:sz w:val="24"/>
                <w:szCs w:val="24"/>
              </w:rPr>
              <w:t>+</w:t>
            </w:r>
          </w:p>
        </w:tc>
      </w:tr>
      <w:tr w:rsidR="000B0727" w:rsidRPr="007363FF" w14:paraId="15A14255" w14:textId="77777777" w:rsidTr="00B36E32">
        <w:trPr>
          <w:trHeight w:val="23"/>
        </w:trPr>
        <w:tc>
          <w:tcPr>
            <w:tcW w:w="3500"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233E46E7" w14:textId="77777777" w:rsidR="000B0727" w:rsidRPr="007363FF" w:rsidRDefault="000B0727" w:rsidP="00FA52FE">
            <w:pPr>
              <w:adjustRightInd w:val="0"/>
              <w:snapToGrid w:val="0"/>
              <w:spacing w:after="0" w:line="360" w:lineRule="auto"/>
              <w:jc w:val="both"/>
              <w:rPr>
                <w:rFonts w:ascii="Book Antiqua" w:hAnsi="Book Antiqua" w:cs="Arial"/>
                <w:sz w:val="24"/>
                <w:szCs w:val="24"/>
              </w:rPr>
            </w:pPr>
            <w:r w:rsidRPr="007363FF">
              <w:rPr>
                <w:rFonts w:ascii="Book Antiqua" w:hAnsi="Book Antiqua" w:cs="Arial"/>
                <w:sz w:val="24"/>
                <w:szCs w:val="24"/>
              </w:rPr>
              <w:t>Resolved</w:t>
            </w:r>
          </w:p>
        </w:tc>
        <w:tc>
          <w:tcPr>
            <w:tcW w:w="2520"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2732DD71" w14:textId="77777777" w:rsidR="000B0727" w:rsidRPr="00895896" w:rsidRDefault="000B0727" w:rsidP="00FA52FE">
            <w:pPr>
              <w:adjustRightInd w:val="0"/>
              <w:snapToGrid w:val="0"/>
              <w:spacing w:after="0" w:line="360" w:lineRule="auto"/>
              <w:jc w:val="both"/>
              <w:rPr>
                <w:rFonts w:ascii="Book Antiqua" w:hAnsi="Book Antiqua" w:cs="Arial"/>
                <w:sz w:val="24"/>
                <w:szCs w:val="24"/>
              </w:rPr>
            </w:pPr>
            <w:r w:rsidRPr="00895896">
              <w:rPr>
                <w:rFonts w:ascii="Book Antiqua" w:hAnsi="Book Antiqua" w:cs="Arial"/>
                <w:sz w:val="24"/>
                <w:szCs w:val="24"/>
              </w:rPr>
              <w:t>+</w:t>
            </w:r>
          </w:p>
        </w:tc>
        <w:tc>
          <w:tcPr>
            <w:tcW w:w="3478"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65660380" w14:textId="77777777" w:rsidR="000B0727" w:rsidRPr="00895896" w:rsidRDefault="000B0727" w:rsidP="00FA52FE">
            <w:pPr>
              <w:adjustRightInd w:val="0"/>
              <w:snapToGrid w:val="0"/>
              <w:spacing w:after="0" w:line="360" w:lineRule="auto"/>
              <w:jc w:val="both"/>
              <w:rPr>
                <w:rFonts w:ascii="Book Antiqua" w:hAnsi="Book Antiqua" w:cs="Arial"/>
                <w:sz w:val="24"/>
                <w:szCs w:val="24"/>
              </w:rPr>
            </w:pPr>
            <w:r w:rsidRPr="00895896">
              <w:rPr>
                <w:rFonts w:ascii="Book Antiqua" w:hAnsi="Book Antiqua" w:cs="Arial"/>
                <w:sz w:val="24"/>
                <w:szCs w:val="24"/>
              </w:rPr>
              <w:t>(-)</w:t>
            </w:r>
          </w:p>
        </w:tc>
      </w:tr>
    </w:tbl>
    <w:p w14:paraId="04D58E20" w14:textId="151991D6" w:rsidR="000B0727" w:rsidRPr="00A97688" w:rsidRDefault="000E2002" w:rsidP="00A97688">
      <w:pPr>
        <w:shd w:val="clear" w:color="auto" w:fill="FFFFFF"/>
        <w:adjustRightInd w:val="0"/>
        <w:snapToGrid w:val="0"/>
        <w:spacing w:after="0" w:line="360" w:lineRule="auto"/>
        <w:jc w:val="both"/>
        <w:outlineLvl w:val="0"/>
        <w:rPr>
          <w:rFonts w:ascii="Book Antiqua" w:eastAsia="Times New Roman" w:hAnsi="Book Antiqua" w:cs="Arial"/>
          <w:bCs/>
          <w:kern w:val="36"/>
          <w:sz w:val="24"/>
          <w:szCs w:val="24"/>
        </w:rPr>
      </w:pPr>
      <w:r w:rsidRPr="007363FF">
        <w:rPr>
          <w:rFonts w:ascii="Book Antiqua" w:hAnsi="Book Antiqua" w:cs="Arial"/>
          <w:sz w:val="24"/>
          <w:szCs w:val="24"/>
        </w:rPr>
        <w:t>HCV</w:t>
      </w:r>
      <w:r>
        <w:rPr>
          <w:rFonts w:ascii="Book Antiqua" w:hAnsi="Book Antiqua" w:cs="Arial"/>
          <w:sz w:val="24"/>
          <w:szCs w:val="24"/>
        </w:rPr>
        <w:t xml:space="preserve">: </w:t>
      </w:r>
      <w:r w:rsidRPr="007363FF">
        <w:rPr>
          <w:rFonts w:ascii="Book Antiqua" w:hAnsi="Book Antiqua" w:cs="Arial"/>
          <w:sz w:val="24"/>
          <w:szCs w:val="24"/>
        </w:rPr>
        <w:t>Hepatitis C virus; NAT</w:t>
      </w:r>
      <w:r w:rsidR="00B403DE">
        <w:rPr>
          <w:rFonts w:ascii="Book Antiqua" w:hAnsi="Book Antiqua" w:cs="Arial"/>
          <w:sz w:val="24"/>
          <w:szCs w:val="24"/>
        </w:rPr>
        <w:t>:</w:t>
      </w:r>
      <w:r w:rsidRPr="007363FF">
        <w:rPr>
          <w:rFonts w:ascii="Book Antiqua" w:hAnsi="Book Antiqua" w:cs="Arial"/>
          <w:sz w:val="24"/>
          <w:szCs w:val="24"/>
        </w:rPr>
        <w:t xml:space="preserve"> </w:t>
      </w:r>
      <w:r w:rsidR="00B403DE" w:rsidRPr="007363FF">
        <w:rPr>
          <w:rFonts w:ascii="Book Antiqua" w:hAnsi="Book Antiqua" w:cs="Arial"/>
          <w:sz w:val="24"/>
          <w:szCs w:val="24"/>
        </w:rPr>
        <w:t>N</w:t>
      </w:r>
      <w:r w:rsidRPr="007363FF">
        <w:rPr>
          <w:rFonts w:ascii="Book Antiqua" w:hAnsi="Book Antiqua" w:cs="Arial"/>
          <w:sz w:val="24"/>
          <w:szCs w:val="24"/>
        </w:rPr>
        <w:t>ucleic acid test</w:t>
      </w:r>
      <w:r w:rsidR="00B403DE">
        <w:rPr>
          <w:rFonts w:ascii="Book Antiqua" w:hAnsi="Book Antiqua" w:cs="Arial"/>
          <w:sz w:val="24"/>
          <w:szCs w:val="24"/>
        </w:rPr>
        <w:t>.</w:t>
      </w:r>
    </w:p>
    <w:p w14:paraId="0FBA1EFF" w14:textId="1FD399EA" w:rsidR="000B0727" w:rsidRPr="004B5211" w:rsidRDefault="000B0727" w:rsidP="000B0727">
      <w:pPr>
        <w:pStyle w:val="a3"/>
        <w:adjustRightInd w:val="0"/>
        <w:snapToGrid w:val="0"/>
        <w:spacing w:line="360" w:lineRule="auto"/>
        <w:jc w:val="both"/>
        <w:rPr>
          <w:rFonts w:ascii="Book Antiqua" w:hAnsi="Book Antiqua" w:cs="Arial"/>
          <w:b/>
          <w:bCs/>
          <w:sz w:val="24"/>
          <w:szCs w:val="24"/>
        </w:rPr>
      </w:pPr>
      <w:r w:rsidRPr="007363FF">
        <w:rPr>
          <w:rFonts w:ascii="Book Antiqua" w:hAnsi="Book Antiqua" w:cs="Arial"/>
          <w:sz w:val="24"/>
          <w:szCs w:val="24"/>
        </w:rPr>
        <w:br w:type="page"/>
      </w:r>
      <w:r w:rsidRPr="004B5211">
        <w:rPr>
          <w:rFonts w:ascii="Book Antiqua" w:hAnsi="Book Antiqua" w:cs="Arial"/>
          <w:b/>
          <w:bCs/>
          <w:sz w:val="24"/>
          <w:szCs w:val="24"/>
        </w:rPr>
        <w:lastRenderedPageBreak/>
        <w:t>Table 2 Drug-drug interactions among direct-acting antivirals and calcineurin inhibitors</w:t>
      </w:r>
    </w:p>
    <w:tbl>
      <w:tblPr>
        <w:tblW w:w="10915" w:type="dxa"/>
        <w:tblInd w:w="-717" w:type="dxa"/>
        <w:tblLayout w:type="fixed"/>
        <w:tblCellMar>
          <w:left w:w="0" w:type="dxa"/>
          <w:right w:w="0" w:type="dxa"/>
        </w:tblCellMar>
        <w:tblLook w:val="0600" w:firstRow="0" w:lastRow="0" w:firstColumn="0" w:lastColumn="0" w:noHBand="1" w:noVBand="1"/>
      </w:tblPr>
      <w:tblGrid>
        <w:gridCol w:w="2127"/>
        <w:gridCol w:w="2551"/>
        <w:gridCol w:w="2127"/>
        <w:gridCol w:w="1984"/>
        <w:gridCol w:w="2126"/>
      </w:tblGrid>
      <w:tr w:rsidR="000B0727" w:rsidRPr="007363FF" w14:paraId="0EA59C61" w14:textId="77777777" w:rsidTr="004B5211">
        <w:trPr>
          <w:trHeight w:val="392"/>
        </w:trPr>
        <w:tc>
          <w:tcPr>
            <w:tcW w:w="2127" w:type="dxa"/>
            <w:tcBorders>
              <w:top w:val="single" w:sz="4" w:space="0" w:color="auto"/>
              <w:bottom w:val="single" w:sz="4" w:space="0" w:color="auto"/>
            </w:tcBorders>
            <w:shd w:val="clear" w:color="auto" w:fill="FFFFFF" w:themeFill="background1"/>
            <w:tcMar>
              <w:top w:w="45" w:type="dxa"/>
              <w:left w:w="67" w:type="dxa"/>
              <w:bottom w:w="45" w:type="dxa"/>
              <w:right w:w="67" w:type="dxa"/>
            </w:tcMar>
            <w:hideMark/>
          </w:tcPr>
          <w:p w14:paraId="7243C70B" w14:textId="77777777" w:rsidR="000B0727" w:rsidRPr="007363FF" w:rsidRDefault="000B0727" w:rsidP="00FA52FE">
            <w:pPr>
              <w:pStyle w:val="a3"/>
              <w:adjustRightInd w:val="0"/>
              <w:snapToGrid w:val="0"/>
              <w:spacing w:line="360" w:lineRule="auto"/>
              <w:jc w:val="both"/>
              <w:rPr>
                <w:rFonts w:ascii="Book Antiqua" w:hAnsi="Book Antiqua" w:cs="Arial"/>
                <w:sz w:val="24"/>
                <w:szCs w:val="24"/>
              </w:rPr>
            </w:pPr>
          </w:p>
        </w:tc>
        <w:tc>
          <w:tcPr>
            <w:tcW w:w="2551" w:type="dxa"/>
            <w:tcBorders>
              <w:top w:val="single" w:sz="4" w:space="0" w:color="auto"/>
              <w:bottom w:val="single" w:sz="4" w:space="0" w:color="auto"/>
            </w:tcBorders>
            <w:shd w:val="clear" w:color="auto" w:fill="FFFFFF" w:themeFill="background1"/>
            <w:tcMar>
              <w:top w:w="45" w:type="dxa"/>
              <w:left w:w="67" w:type="dxa"/>
              <w:bottom w:w="45" w:type="dxa"/>
              <w:right w:w="67" w:type="dxa"/>
            </w:tcMar>
            <w:hideMark/>
          </w:tcPr>
          <w:p w14:paraId="2D37E9DB" w14:textId="77777777" w:rsidR="000B0727" w:rsidRPr="007363FF" w:rsidRDefault="000B0727" w:rsidP="00FA52FE">
            <w:pPr>
              <w:pStyle w:val="a3"/>
              <w:adjustRightInd w:val="0"/>
              <w:snapToGrid w:val="0"/>
              <w:spacing w:line="360" w:lineRule="auto"/>
              <w:jc w:val="both"/>
              <w:rPr>
                <w:rFonts w:ascii="Book Antiqua" w:hAnsi="Book Antiqua" w:cs="Arial"/>
                <w:b/>
                <w:bCs/>
                <w:sz w:val="24"/>
                <w:szCs w:val="24"/>
              </w:rPr>
            </w:pPr>
            <w:r w:rsidRPr="007363FF">
              <w:rPr>
                <w:rFonts w:ascii="Book Antiqua" w:hAnsi="Book Antiqua" w:cs="Arial"/>
                <w:b/>
                <w:bCs/>
                <w:sz w:val="24"/>
                <w:szCs w:val="24"/>
              </w:rPr>
              <w:t>Cyclosporine (CSA)</w:t>
            </w:r>
          </w:p>
        </w:tc>
        <w:tc>
          <w:tcPr>
            <w:tcW w:w="2127" w:type="dxa"/>
            <w:tcBorders>
              <w:top w:val="single" w:sz="4" w:space="0" w:color="auto"/>
              <w:bottom w:val="single" w:sz="4" w:space="0" w:color="auto"/>
            </w:tcBorders>
            <w:shd w:val="clear" w:color="auto" w:fill="FFFFFF" w:themeFill="background1"/>
            <w:tcMar>
              <w:top w:w="45" w:type="dxa"/>
              <w:left w:w="67" w:type="dxa"/>
              <w:bottom w:w="45" w:type="dxa"/>
              <w:right w:w="67" w:type="dxa"/>
            </w:tcMar>
            <w:hideMark/>
          </w:tcPr>
          <w:p w14:paraId="55134FF2" w14:textId="77777777" w:rsidR="000B0727" w:rsidRPr="007363FF" w:rsidRDefault="000B0727" w:rsidP="00FA52FE">
            <w:pPr>
              <w:pStyle w:val="a3"/>
              <w:adjustRightInd w:val="0"/>
              <w:snapToGrid w:val="0"/>
              <w:spacing w:line="360" w:lineRule="auto"/>
              <w:jc w:val="both"/>
              <w:rPr>
                <w:rFonts w:ascii="Book Antiqua" w:hAnsi="Book Antiqua" w:cs="Arial"/>
                <w:b/>
                <w:bCs/>
                <w:sz w:val="24"/>
                <w:szCs w:val="24"/>
              </w:rPr>
            </w:pPr>
            <w:r w:rsidRPr="007363FF">
              <w:rPr>
                <w:rFonts w:ascii="Book Antiqua" w:hAnsi="Book Antiqua" w:cs="Arial"/>
                <w:b/>
                <w:bCs/>
                <w:sz w:val="24"/>
                <w:szCs w:val="24"/>
              </w:rPr>
              <w:t>Tacrolimus (TAC)</w:t>
            </w:r>
          </w:p>
        </w:tc>
        <w:tc>
          <w:tcPr>
            <w:tcW w:w="1984" w:type="dxa"/>
            <w:tcBorders>
              <w:top w:val="single" w:sz="4" w:space="0" w:color="auto"/>
              <w:bottom w:val="single" w:sz="4" w:space="0" w:color="auto"/>
            </w:tcBorders>
            <w:shd w:val="clear" w:color="auto" w:fill="FFFFFF" w:themeFill="background1"/>
          </w:tcPr>
          <w:p w14:paraId="60EEEB80" w14:textId="77777777" w:rsidR="000B0727" w:rsidRPr="007363FF" w:rsidRDefault="000B0727" w:rsidP="00FA52FE">
            <w:pPr>
              <w:pStyle w:val="a3"/>
              <w:adjustRightInd w:val="0"/>
              <w:snapToGrid w:val="0"/>
              <w:spacing w:line="360" w:lineRule="auto"/>
              <w:jc w:val="both"/>
              <w:rPr>
                <w:rFonts w:ascii="Book Antiqua" w:hAnsi="Book Antiqua" w:cs="Arial"/>
                <w:b/>
                <w:bCs/>
                <w:sz w:val="24"/>
                <w:szCs w:val="24"/>
              </w:rPr>
            </w:pPr>
            <w:r w:rsidRPr="007363FF">
              <w:rPr>
                <w:rFonts w:ascii="Book Antiqua" w:hAnsi="Book Antiqua" w:cs="Arial"/>
                <w:b/>
                <w:bCs/>
                <w:sz w:val="24"/>
                <w:szCs w:val="24"/>
              </w:rPr>
              <w:t>Sirolimus (SRL)</w:t>
            </w:r>
          </w:p>
        </w:tc>
        <w:tc>
          <w:tcPr>
            <w:tcW w:w="2126" w:type="dxa"/>
            <w:tcBorders>
              <w:top w:val="single" w:sz="4" w:space="0" w:color="auto"/>
              <w:bottom w:val="single" w:sz="4" w:space="0" w:color="auto"/>
            </w:tcBorders>
            <w:shd w:val="clear" w:color="auto" w:fill="FFFFFF" w:themeFill="background1"/>
          </w:tcPr>
          <w:p w14:paraId="48CD7F9E" w14:textId="77777777" w:rsidR="000B0727" w:rsidRPr="007363FF" w:rsidRDefault="000B0727" w:rsidP="00FA52FE">
            <w:pPr>
              <w:pStyle w:val="a3"/>
              <w:adjustRightInd w:val="0"/>
              <w:snapToGrid w:val="0"/>
              <w:spacing w:line="360" w:lineRule="auto"/>
              <w:jc w:val="both"/>
              <w:rPr>
                <w:rFonts w:ascii="Book Antiqua" w:hAnsi="Book Antiqua" w:cs="Arial"/>
                <w:b/>
                <w:bCs/>
                <w:sz w:val="24"/>
                <w:szCs w:val="24"/>
              </w:rPr>
            </w:pPr>
            <w:r w:rsidRPr="007363FF">
              <w:rPr>
                <w:rFonts w:ascii="Book Antiqua" w:hAnsi="Book Antiqua" w:cs="Arial"/>
                <w:b/>
                <w:bCs/>
                <w:sz w:val="24"/>
                <w:szCs w:val="24"/>
              </w:rPr>
              <w:t>Everolimus (EVR)</w:t>
            </w:r>
          </w:p>
        </w:tc>
      </w:tr>
      <w:tr w:rsidR="000B0727" w:rsidRPr="007363FF" w14:paraId="0846EC1B" w14:textId="77777777" w:rsidTr="004B5211">
        <w:trPr>
          <w:trHeight w:val="1121"/>
        </w:trPr>
        <w:tc>
          <w:tcPr>
            <w:tcW w:w="2127" w:type="dxa"/>
            <w:tcBorders>
              <w:top w:val="single" w:sz="4" w:space="0" w:color="auto"/>
            </w:tcBorders>
            <w:shd w:val="clear" w:color="auto" w:fill="FFFFFF" w:themeFill="background1"/>
            <w:tcMar>
              <w:top w:w="45" w:type="dxa"/>
              <w:left w:w="67" w:type="dxa"/>
              <w:bottom w:w="45" w:type="dxa"/>
              <w:right w:w="67" w:type="dxa"/>
            </w:tcMar>
            <w:hideMark/>
          </w:tcPr>
          <w:p w14:paraId="026CEFC3" w14:textId="32695834"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Sofosbuvir</w:t>
            </w:r>
            <w:r w:rsidR="004B5211">
              <w:rPr>
                <w:rFonts w:ascii="Book Antiqua" w:hAnsi="Book Antiqua" w:cs="Arial"/>
                <w:sz w:val="24"/>
                <w:szCs w:val="24"/>
              </w:rPr>
              <w:t xml:space="preserve"> </w:t>
            </w:r>
            <w:r w:rsidRPr="004B5211">
              <w:rPr>
                <w:rFonts w:ascii="Book Antiqua" w:hAnsi="Book Antiqua" w:cs="Arial"/>
                <w:sz w:val="24"/>
                <w:szCs w:val="24"/>
              </w:rPr>
              <w:t>(SOF)</w:t>
            </w:r>
          </w:p>
        </w:tc>
        <w:tc>
          <w:tcPr>
            <w:tcW w:w="2551" w:type="dxa"/>
            <w:tcBorders>
              <w:top w:val="single" w:sz="4" w:space="0" w:color="auto"/>
            </w:tcBorders>
            <w:shd w:val="clear" w:color="auto" w:fill="FFFFFF" w:themeFill="background1"/>
            <w:tcMar>
              <w:top w:w="45" w:type="dxa"/>
              <w:left w:w="67" w:type="dxa"/>
              <w:bottom w:w="45" w:type="dxa"/>
              <w:right w:w="67" w:type="dxa"/>
            </w:tcMar>
            <w:hideMark/>
          </w:tcPr>
          <w:p w14:paraId="2836B9FF"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4.5-fold ↑ in SOF AUC</w:t>
            </w:r>
          </w:p>
          <w:p w14:paraId="568A4148"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p w14:paraId="10F7493E"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 dose adjustment necessary</w:t>
            </w:r>
          </w:p>
        </w:tc>
        <w:tc>
          <w:tcPr>
            <w:tcW w:w="2127" w:type="dxa"/>
            <w:tcBorders>
              <w:top w:val="single" w:sz="4" w:space="0" w:color="auto"/>
            </w:tcBorders>
            <w:shd w:val="clear" w:color="auto" w:fill="FFFFFF" w:themeFill="background1"/>
            <w:tcMar>
              <w:top w:w="45" w:type="dxa"/>
              <w:left w:w="67" w:type="dxa"/>
              <w:bottom w:w="45" w:type="dxa"/>
              <w:right w:w="67" w:type="dxa"/>
            </w:tcMar>
            <w:hideMark/>
          </w:tcPr>
          <w:p w14:paraId="79C17A14"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13% ↑ in SOF AUC</w:t>
            </w:r>
          </w:p>
          <w:p w14:paraId="0E755811"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p w14:paraId="46C02EF6"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 dose adjustment necessary</w:t>
            </w:r>
          </w:p>
        </w:tc>
        <w:tc>
          <w:tcPr>
            <w:tcW w:w="1984" w:type="dxa"/>
            <w:tcBorders>
              <w:top w:val="single" w:sz="4" w:space="0" w:color="auto"/>
            </w:tcBorders>
            <w:shd w:val="clear" w:color="auto" w:fill="FFFFFF" w:themeFill="background1"/>
          </w:tcPr>
          <w:p w14:paraId="55D66257"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Not studied, no interaction expected</w:t>
            </w:r>
          </w:p>
          <w:p w14:paraId="1C878EAE"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p w14:paraId="17797258"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 dose adjustment necessary</w:t>
            </w:r>
          </w:p>
        </w:tc>
        <w:tc>
          <w:tcPr>
            <w:tcW w:w="2126" w:type="dxa"/>
            <w:tcBorders>
              <w:top w:val="single" w:sz="4" w:space="0" w:color="auto"/>
            </w:tcBorders>
            <w:shd w:val="clear" w:color="auto" w:fill="FFFFFF" w:themeFill="background1"/>
          </w:tcPr>
          <w:p w14:paraId="2924583C"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Not studied, no interaction expected</w:t>
            </w:r>
          </w:p>
          <w:p w14:paraId="7259CD76"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p w14:paraId="7A2C15A2"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 dose adjustment necessary</w:t>
            </w:r>
          </w:p>
        </w:tc>
      </w:tr>
      <w:tr w:rsidR="000B0727" w:rsidRPr="007363FF" w14:paraId="299BA9B9" w14:textId="77777777" w:rsidTr="004B5211">
        <w:trPr>
          <w:trHeight w:val="538"/>
        </w:trPr>
        <w:tc>
          <w:tcPr>
            <w:tcW w:w="2127" w:type="dxa"/>
            <w:shd w:val="clear" w:color="auto" w:fill="FFFFFF" w:themeFill="background1"/>
            <w:tcMar>
              <w:top w:w="45" w:type="dxa"/>
              <w:left w:w="67" w:type="dxa"/>
              <w:bottom w:w="45" w:type="dxa"/>
              <w:right w:w="67" w:type="dxa"/>
            </w:tcMar>
            <w:hideMark/>
          </w:tcPr>
          <w:p w14:paraId="23DC6BDA"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Ledipasvir</w:t>
            </w:r>
          </w:p>
        </w:tc>
        <w:tc>
          <w:tcPr>
            <w:tcW w:w="2551" w:type="dxa"/>
            <w:shd w:val="clear" w:color="auto" w:fill="FFFFFF" w:themeFill="background1"/>
            <w:tcMar>
              <w:top w:w="45" w:type="dxa"/>
              <w:left w:w="67" w:type="dxa"/>
              <w:bottom w:w="45" w:type="dxa"/>
              <w:right w:w="67" w:type="dxa"/>
            </w:tcMar>
          </w:tcPr>
          <w:p w14:paraId="5A224BD5"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Not studied, no interaction expected</w:t>
            </w:r>
          </w:p>
          <w:p w14:paraId="70C408B6"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tc>
        <w:tc>
          <w:tcPr>
            <w:tcW w:w="2127" w:type="dxa"/>
            <w:shd w:val="clear" w:color="auto" w:fill="FFFFFF" w:themeFill="background1"/>
            <w:tcMar>
              <w:top w:w="45" w:type="dxa"/>
              <w:left w:w="67" w:type="dxa"/>
              <w:bottom w:w="45" w:type="dxa"/>
              <w:right w:w="67" w:type="dxa"/>
            </w:tcMar>
          </w:tcPr>
          <w:p w14:paraId="2B8F2242"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Not studied, no interaction expected</w:t>
            </w:r>
          </w:p>
          <w:p w14:paraId="2D22066F"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tc>
        <w:tc>
          <w:tcPr>
            <w:tcW w:w="1984" w:type="dxa"/>
            <w:shd w:val="clear" w:color="auto" w:fill="FFFFFF" w:themeFill="background1"/>
          </w:tcPr>
          <w:p w14:paraId="0D5D9C9B"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Not studied, no interaction expected</w:t>
            </w:r>
          </w:p>
          <w:p w14:paraId="5B4D9656"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tc>
        <w:tc>
          <w:tcPr>
            <w:tcW w:w="2126" w:type="dxa"/>
            <w:shd w:val="clear" w:color="auto" w:fill="FFFFFF" w:themeFill="background1"/>
          </w:tcPr>
          <w:p w14:paraId="4A8D4BA4"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Not studied, may increase EVR concentrations due to mild inhibition of P-gp by ledipasvir</w:t>
            </w:r>
          </w:p>
        </w:tc>
      </w:tr>
      <w:tr w:rsidR="000B0727" w:rsidRPr="007363FF" w14:paraId="30950DA3" w14:textId="77777777" w:rsidTr="004B5211">
        <w:trPr>
          <w:trHeight w:val="1558"/>
        </w:trPr>
        <w:tc>
          <w:tcPr>
            <w:tcW w:w="2127" w:type="dxa"/>
            <w:shd w:val="clear" w:color="auto" w:fill="FFFFFF" w:themeFill="background1"/>
            <w:tcMar>
              <w:top w:w="45" w:type="dxa"/>
              <w:left w:w="67" w:type="dxa"/>
              <w:bottom w:w="45" w:type="dxa"/>
              <w:right w:w="67" w:type="dxa"/>
            </w:tcMar>
            <w:hideMark/>
          </w:tcPr>
          <w:p w14:paraId="53CADB33"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lang w:val="pt-BR"/>
              </w:rPr>
              <w:t>Paritaprevir / ritonavir / ombitasvir + dasabuvir (PrOD)</w:t>
            </w:r>
          </w:p>
        </w:tc>
        <w:tc>
          <w:tcPr>
            <w:tcW w:w="2551" w:type="dxa"/>
            <w:shd w:val="clear" w:color="auto" w:fill="FFFFFF" w:themeFill="background1"/>
            <w:tcMar>
              <w:top w:w="45" w:type="dxa"/>
              <w:left w:w="67" w:type="dxa"/>
              <w:bottom w:w="45" w:type="dxa"/>
              <w:right w:w="67" w:type="dxa"/>
            </w:tcMar>
            <w:hideMark/>
          </w:tcPr>
          <w:p w14:paraId="284807D3"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5.8-fold ↑ in CSA AUC</w:t>
            </w:r>
          </w:p>
          <w:p w14:paraId="6E60EA63"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p w14:paraId="170CD5C6"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Modeling suggests using 1/5 of CSA dose during PrOD treatment</w:t>
            </w:r>
          </w:p>
          <w:p w14:paraId="6271BF81"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p w14:paraId="40CCA901"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Frequent monitoring necessary</w:t>
            </w:r>
          </w:p>
        </w:tc>
        <w:tc>
          <w:tcPr>
            <w:tcW w:w="2127" w:type="dxa"/>
            <w:shd w:val="clear" w:color="auto" w:fill="FFFFFF" w:themeFill="background1"/>
            <w:tcMar>
              <w:top w:w="45" w:type="dxa"/>
              <w:left w:w="67" w:type="dxa"/>
              <w:bottom w:w="45" w:type="dxa"/>
              <w:right w:w="67" w:type="dxa"/>
            </w:tcMar>
            <w:hideMark/>
          </w:tcPr>
          <w:p w14:paraId="067C6FD9"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57-fold ↑ in TAC AUC</w:t>
            </w:r>
          </w:p>
          <w:p w14:paraId="6EDB7B32"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p w14:paraId="7512232C"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Modeling suggests TAC 0.5 mg every 7 days during PrOD treatment</w:t>
            </w:r>
          </w:p>
        </w:tc>
        <w:tc>
          <w:tcPr>
            <w:tcW w:w="1984" w:type="dxa"/>
            <w:shd w:val="clear" w:color="auto" w:fill="FFFFFF" w:themeFill="background1"/>
          </w:tcPr>
          <w:p w14:paraId="53DC527C"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38-fold ↑ in SRL AUC</w:t>
            </w:r>
          </w:p>
          <w:p w14:paraId="4655307E"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p w14:paraId="4D323C9F"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Do NOT co-administer</w:t>
            </w:r>
          </w:p>
        </w:tc>
        <w:tc>
          <w:tcPr>
            <w:tcW w:w="2126" w:type="dxa"/>
            <w:shd w:val="clear" w:color="auto" w:fill="FFFFFF" w:themeFill="background1"/>
          </w:tcPr>
          <w:p w14:paraId="1B4C7A5A"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27.1-fold ↑ in EVR AUC</w:t>
            </w:r>
          </w:p>
          <w:p w14:paraId="5FFE9953"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p w14:paraId="454CDBB2"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Do NOT co-administer</w:t>
            </w:r>
          </w:p>
        </w:tc>
      </w:tr>
      <w:tr w:rsidR="000B0727" w:rsidRPr="007363FF" w14:paraId="34C0CDD8" w14:textId="77777777" w:rsidTr="004B5211">
        <w:trPr>
          <w:trHeight w:val="975"/>
        </w:trPr>
        <w:tc>
          <w:tcPr>
            <w:tcW w:w="2127" w:type="dxa"/>
            <w:shd w:val="clear" w:color="auto" w:fill="FFFFFF" w:themeFill="background1"/>
            <w:tcMar>
              <w:top w:w="45" w:type="dxa"/>
              <w:left w:w="67" w:type="dxa"/>
              <w:bottom w:w="45" w:type="dxa"/>
              <w:right w:w="67" w:type="dxa"/>
            </w:tcMar>
            <w:hideMark/>
          </w:tcPr>
          <w:p w14:paraId="6138F51D" w14:textId="113F4054"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Elbasvir / grazoprevir</w:t>
            </w:r>
            <w:r w:rsidR="004B5211">
              <w:rPr>
                <w:rFonts w:ascii="Book Antiqua" w:hAnsi="Book Antiqua" w:cs="Arial"/>
                <w:sz w:val="24"/>
                <w:szCs w:val="24"/>
              </w:rPr>
              <w:t xml:space="preserve"> </w:t>
            </w:r>
            <w:r w:rsidRPr="004B5211">
              <w:rPr>
                <w:rFonts w:ascii="Book Antiqua" w:hAnsi="Book Antiqua" w:cs="Arial"/>
                <w:sz w:val="24"/>
                <w:szCs w:val="24"/>
              </w:rPr>
              <w:t>(EBR/GZR)</w:t>
            </w:r>
          </w:p>
        </w:tc>
        <w:tc>
          <w:tcPr>
            <w:tcW w:w="2551" w:type="dxa"/>
            <w:shd w:val="clear" w:color="auto" w:fill="FFFFFF" w:themeFill="background1"/>
            <w:tcMar>
              <w:top w:w="45" w:type="dxa"/>
              <w:left w:w="67" w:type="dxa"/>
              <w:bottom w:w="45" w:type="dxa"/>
              <w:right w:w="67" w:type="dxa"/>
            </w:tcMar>
            <w:hideMark/>
          </w:tcPr>
          <w:p w14:paraId="61203DA3"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15-fold ↑ in GZR AUC and 2-fold ↑ in EBR AUC</w:t>
            </w:r>
          </w:p>
          <w:p w14:paraId="2CE989D5"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p w14:paraId="16596E46"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Do NOT co-administer</w:t>
            </w:r>
          </w:p>
        </w:tc>
        <w:tc>
          <w:tcPr>
            <w:tcW w:w="2127" w:type="dxa"/>
            <w:shd w:val="clear" w:color="auto" w:fill="FFFFFF" w:themeFill="background1"/>
            <w:tcMar>
              <w:top w:w="45" w:type="dxa"/>
              <w:left w:w="67" w:type="dxa"/>
              <w:bottom w:w="45" w:type="dxa"/>
              <w:right w:w="67" w:type="dxa"/>
            </w:tcMar>
            <w:hideMark/>
          </w:tcPr>
          <w:p w14:paraId="7FE82840"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lastRenderedPageBreak/>
              <w:t>43% ↑ in TAC AUC</w:t>
            </w:r>
          </w:p>
          <w:p w14:paraId="085D21A1"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p w14:paraId="77DFD30F"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lastRenderedPageBreak/>
              <w:t>No a priori dose adjustment necessary</w:t>
            </w:r>
          </w:p>
        </w:tc>
        <w:tc>
          <w:tcPr>
            <w:tcW w:w="1984" w:type="dxa"/>
            <w:shd w:val="clear" w:color="auto" w:fill="FFFFFF" w:themeFill="background1"/>
          </w:tcPr>
          <w:p w14:paraId="60B0E1C8"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lastRenderedPageBreak/>
              <w:t xml:space="preserve">Not studied, may increase SRL concentrations </w:t>
            </w:r>
            <w:r w:rsidRPr="004B5211">
              <w:rPr>
                <w:rFonts w:ascii="Book Antiqua" w:hAnsi="Book Antiqua" w:cs="Arial"/>
                <w:sz w:val="24"/>
                <w:szCs w:val="24"/>
              </w:rPr>
              <w:lastRenderedPageBreak/>
              <w:t>due to mild inhibition of P-gp by elbasvir</w:t>
            </w:r>
          </w:p>
        </w:tc>
        <w:tc>
          <w:tcPr>
            <w:tcW w:w="2126" w:type="dxa"/>
            <w:shd w:val="clear" w:color="auto" w:fill="FFFFFF" w:themeFill="background1"/>
          </w:tcPr>
          <w:p w14:paraId="7CD28EE4"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lastRenderedPageBreak/>
              <w:t xml:space="preserve">Not studied, may increase EVR concentrations due </w:t>
            </w:r>
            <w:r w:rsidRPr="004B5211">
              <w:rPr>
                <w:rFonts w:ascii="Book Antiqua" w:hAnsi="Book Antiqua" w:cs="Arial"/>
                <w:sz w:val="24"/>
                <w:szCs w:val="24"/>
              </w:rPr>
              <w:lastRenderedPageBreak/>
              <w:t>to mild inhibition of P-gp by elbasvir</w:t>
            </w:r>
          </w:p>
        </w:tc>
      </w:tr>
      <w:tr w:rsidR="000B0727" w:rsidRPr="007363FF" w14:paraId="604D4240" w14:textId="77777777" w:rsidTr="004B5211">
        <w:trPr>
          <w:trHeight w:val="684"/>
        </w:trPr>
        <w:tc>
          <w:tcPr>
            <w:tcW w:w="2127" w:type="dxa"/>
            <w:shd w:val="clear" w:color="auto" w:fill="FFFFFF" w:themeFill="background1"/>
            <w:tcMar>
              <w:top w:w="45" w:type="dxa"/>
              <w:left w:w="67" w:type="dxa"/>
              <w:bottom w:w="45" w:type="dxa"/>
              <w:right w:w="67" w:type="dxa"/>
            </w:tcMar>
            <w:hideMark/>
          </w:tcPr>
          <w:p w14:paraId="63A5AB9D"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lastRenderedPageBreak/>
              <w:t>Velpatasvir</w:t>
            </w:r>
          </w:p>
        </w:tc>
        <w:tc>
          <w:tcPr>
            <w:tcW w:w="2551" w:type="dxa"/>
            <w:shd w:val="clear" w:color="auto" w:fill="FFFFFF" w:themeFill="background1"/>
            <w:tcMar>
              <w:top w:w="45" w:type="dxa"/>
              <w:left w:w="67" w:type="dxa"/>
              <w:bottom w:w="45" w:type="dxa"/>
              <w:right w:w="67" w:type="dxa"/>
            </w:tcMar>
            <w:hideMark/>
          </w:tcPr>
          <w:p w14:paraId="65B57F33"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 interaction observed; no a priori dose adjustment necessary</w:t>
            </w:r>
          </w:p>
        </w:tc>
        <w:tc>
          <w:tcPr>
            <w:tcW w:w="2127" w:type="dxa"/>
            <w:shd w:val="clear" w:color="auto" w:fill="FFFFFF" w:themeFill="background1"/>
            <w:tcMar>
              <w:top w:w="45" w:type="dxa"/>
              <w:left w:w="67" w:type="dxa"/>
              <w:bottom w:w="45" w:type="dxa"/>
              <w:right w:w="67" w:type="dxa"/>
            </w:tcMar>
            <w:hideMark/>
          </w:tcPr>
          <w:p w14:paraId="7EDDA735"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 data; no a priori dose adjustment necessary</w:t>
            </w:r>
          </w:p>
        </w:tc>
        <w:tc>
          <w:tcPr>
            <w:tcW w:w="1984" w:type="dxa"/>
            <w:shd w:val="clear" w:color="auto" w:fill="FFFFFF" w:themeFill="background1"/>
          </w:tcPr>
          <w:p w14:paraId="18649ABC"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 data; no a priori dose adjustment necessary</w:t>
            </w:r>
          </w:p>
        </w:tc>
        <w:tc>
          <w:tcPr>
            <w:tcW w:w="2126" w:type="dxa"/>
            <w:shd w:val="clear" w:color="auto" w:fill="FFFFFF" w:themeFill="background1"/>
          </w:tcPr>
          <w:p w14:paraId="6690E926"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Not studied, may increase EVR concentrations due to mild inhibition of P-gp by velpatasvir</w:t>
            </w:r>
          </w:p>
        </w:tc>
      </w:tr>
      <w:tr w:rsidR="000B0727" w:rsidRPr="007363FF" w14:paraId="729391F4" w14:textId="77777777" w:rsidTr="004B5211">
        <w:trPr>
          <w:trHeight w:val="1412"/>
        </w:trPr>
        <w:tc>
          <w:tcPr>
            <w:tcW w:w="2127" w:type="dxa"/>
            <w:shd w:val="clear" w:color="auto" w:fill="FFFFFF" w:themeFill="background1"/>
            <w:tcMar>
              <w:top w:w="45" w:type="dxa"/>
              <w:left w:w="67" w:type="dxa"/>
              <w:bottom w:w="45" w:type="dxa"/>
              <w:right w:w="67" w:type="dxa"/>
            </w:tcMar>
            <w:hideMark/>
          </w:tcPr>
          <w:p w14:paraId="0EF37D3A"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Glecaprevir / pibrentasvir (GLE/PIB)</w:t>
            </w:r>
          </w:p>
        </w:tc>
        <w:tc>
          <w:tcPr>
            <w:tcW w:w="2551" w:type="dxa"/>
            <w:shd w:val="clear" w:color="auto" w:fill="FFFFFF" w:themeFill="background1"/>
            <w:tcMar>
              <w:top w:w="45" w:type="dxa"/>
              <w:left w:w="67" w:type="dxa"/>
              <w:bottom w:w="45" w:type="dxa"/>
              <w:right w:w="67" w:type="dxa"/>
            </w:tcMar>
            <w:hideMark/>
          </w:tcPr>
          <w:p w14:paraId="2E17C3BB"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5-fold ↑ in GLE AUC with higher doses (400 mg) of CSA</w:t>
            </w:r>
          </w:p>
          <w:p w14:paraId="60BCB679"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p w14:paraId="42B11C1E" w14:textId="32267A99"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Not recommended in patients requiring stable CSA doses &gt;</w:t>
            </w:r>
            <w:r w:rsidR="004B5211">
              <w:rPr>
                <w:rFonts w:ascii="Book Antiqua" w:hAnsi="Book Antiqua" w:cs="Arial"/>
                <w:sz w:val="24"/>
                <w:szCs w:val="24"/>
              </w:rPr>
              <w:t xml:space="preserve"> </w:t>
            </w:r>
            <w:r w:rsidRPr="004B5211">
              <w:rPr>
                <w:rFonts w:ascii="Book Antiqua" w:hAnsi="Book Antiqua" w:cs="Arial"/>
                <w:sz w:val="24"/>
                <w:szCs w:val="24"/>
              </w:rPr>
              <w:t>100 mg/day</w:t>
            </w:r>
          </w:p>
        </w:tc>
        <w:tc>
          <w:tcPr>
            <w:tcW w:w="2127" w:type="dxa"/>
            <w:shd w:val="clear" w:color="auto" w:fill="FFFFFF" w:themeFill="background1"/>
            <w:tcMar>
              <w:top w:w="45" w:type="dxa"/>
              <w:left w:w="67" w:type="dxa"/>
              <w:bottom w:w="45" w:type="dxa"/>
              <w:right w:w="67" w:type="dxa"/>
            </w:tcMar>
            <w:hideMark/>
          </w:tcPr>
          <w:p w14:paraId="1F9094C6"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1.45-fold ↑ in TAC AUC</w:t>
            </w:r>
          </w:p>
          <w:p w14:paraId="08A83CA9"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p w14:paraId="392BD2DF" w14:textId="56EF3739"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 a priori dose adjustment, monitor TAC levels and titrate TAC dose as needed</w:t>
            </w:r>
          </w:p>
        </w:tc>
        <w:tc>
          <w:tcPr>
            <w:tcW w:w="1984" w:type="dxa"/>
            <w:shd w:val="clear" w:color="auto" w:fill="FFFFFF" w:themeFill="background1"/>
          </w:tcPr>
          <w:p w14:paraId="614586AF"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Not studied, may increase SRL concentrations due to mild inhibition of P-gp by pibrentasvir</w:t>
            </w:r>
          </w:p>
        </w:tc>
        <w:tc>
          <w:tcPr>
            <w:tcW w:w="2126" w:type="dxa"/>
            <w:shd w:val="clear" w:color="auto" w:fill="FFFFFF" w:themeFill="background1"/>
          </w:tcPr>
          <w:p w14:paraId="434CC0F7"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Not studied, may increase EVR concentrations due to mild inhibition of P-gp by pibrentasvir</w:t>
            </w:r>
          </w:p>
        </w:tc>
      </w:tr>
      <w:tr w:rsidR="000B0727" w:rsidRPr="007363FF" w14:paraId="47AD5979" w14:textId="77777777" w:rsidTr="004B5211">
        <w:trPr>
          <w:trHeight w:val="829"/>
        </w:trPr>
        <w:tc>
          <w:tcPr>
            <w:tcW w:w="2127" w:type="dxa"/>
            <w:tcBorders>
              <w:bottom w:val="single" w:sz="4" w:space="0" w:color="auto"/>
            </w:tcBorders>
            <w:shd w:val="clear" w:color="auto" w:fill="FFFFFF" w:themeFill="background1"/>
            <w:tcMar>
              <w:top w:w="45" w:type="dxa"/>
              <w:left w:w="67" w:type="dxa"/>
              <w:bottom w:w="45" w:type="dxa"/>
              <w:right w:w="67" w:type="dxa"/>
            </w:tcMar>
            <w:hideMark/>
          </w:tcPr>
          <w:p w14:paraId="22532FC2" w14:textId="22634F8A"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Sofosbuvir/velpatasvir/voxilaprevir (SOF/VEL/VOX)</w:t>
            </w:r>
          </w:p>
        </w:tc>
        <w:tc>
          <w:tcPr>
            <w:tcW w:w="2551" w:type="dxa"/>
            <w:tcBorders>
              <w:bottom w:val="single" w:sz="4" w:space="0" w:color="auto"/>
            </w:tcBorders>
            <w:shd w:val="clear" w:color="auto" w:fill="FFFFFF" w:themeFill="background1"/>
            <w:tcMar>
              <w:top w:w="45" w:type="dxa"/>
              <w:left w:w="67" w:type="dxa"/>
              <w:bottom w:w="45" w:type="dxa"/>
              <w:right w:w="67" w:type="dxa"/>
            </w:tcMar>
            <w:hideMark/>
          </w:tcPr>
          <w:p w14:paraId="6C5BF187" w14:textId="79DF11A9"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9.4</w:t>
            </w:r>
            <w:r w:rsidR="004B5211">
              <w:rPr>
                <w:rFonts w:ascii="Book Antiqua" w:hAnsi="Book Antiqua" w:cs="Arial"/>
                <w:sz w:val="24"/>
                <w:szCs w:val="24"/>
              </w:rPr>
              <w:t>-</w:t>
            </w:r>
            <w:r w:rsidRPr="004B5211">
              <w:rPr>
                <w:rFonts w:ascii="Book Antiqua" w:hAnsi="Book Antiqua" w:cs="Arial"/>
                <w:sz w:val="24"/>
                <w:szCs w:val="24"/>
              </w:rPr>
              <w:t>fold ↑ in VOX AUC</w:t>
            </w:r>
          </w:p>
          <w:p w14:paraId="1E4DAFE5"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p>
          <w:p w14:paraId="2561B4BE"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Do NOT co-administer</w:t>
            </w:r>
          </w:p>
        </w:tc>
        <w:tc>
          <w:tcPr>
            <w:tcW w:w="2127" w:type="dxa"/>
            <w:tcBorders>
              <w:bottom w:val="single" w:sz="4" w:space="0" w:color="auto"/>
            </w:tcBorders>
            <w:shd w:val="clear" w:color="auto" w:fill="FFFFFF" w:themeFill="background1"/>
            <w:tcMar>
              <w:top w:w="45" w:type="dxa"/>
              <w:left w:w="67" w:type="dxa"/>
              <w:bottom w:w="45" w:type="dxa"/>
              <w:right w:w="67" w:type="dxa"/>
            </w:tcMar>
            <w:hideMark/>
          </w:tcPr>
          <w:p w14:paraId="305F9A9E"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 data; no a priori dose adjustment</w:t>
            </w:r>
          </w:p>
        </w:tc>
        <w:tc>
          <w:tcPr>
            <w:tcW w:w="1984" w:type="dxa"/>
            <w:tcBorders>
              <w:bottom w:val="single" w:sz="4" w:space="0" w:color="auto"/>
            </w:tcBorders>
            <w:shd w:val="clear" w:color="auto" w:fill="FFFFFF" w:themeFill="background1"/>
          </w:tcPr>
          <w:p w14:paraId="5EBB5EB6"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Not studied, may increase SRL concentrations due to mild inhibition of P-gp by velpatasvir and voxilaprevir</w:t>
            </w:r>
          </w:p>
        </w:tc>
        <w:tc>
          <w:tcPr>
            <w:tcW w:w="2126" w:type="dxa"/>
            <w:tcBorders>
              <w:bottom w:val="single" w:sz="4" w:space="0" w:color="auto"/>
            </w:tcBorders>
            <w:shd w:val="clear" w:color="auto" w:fill="FFFFFF" w:themeFill="background1"/>
          </w:tcPr>
          <w:p w14:paraId="552D589D" w14:textId="77777777" w:rsidR="000B0727" w:rsidRPr="004B5211" w:rsidRDefault="000B0727" w:rsidP="00FA52FE">
            <w:pPr>
              <w:pStyle w:val="a3"/>
              <w:adjustRightInd w:val="0"/>
              <w:snapToGrid w:val="0"/>
              <w:spacing w:line="360" w:lineRule="auto"/>
              <w:jc w:val="both"/>
              <w:rPr>
                <w:rFonts w:ascii="Book Antiqua" w:hAnsi="Book Antiqua" w:cs="Arial"/>
                <w:sz w:val="24"/>
                <w:szCs w:val="24"/>
              </w:rPr>
            </w:pPr>
            <w:r w:rsidRPr="004B5211">
              <w:rPr>
                <w:rFonts w:ascii="Book Antiqua" w:hAnsi="Book Antiqua" w:cs="Arial"/>
                <w:sz w:val="24"/>
                <w:szCs w:val="24"/>
              </w:rPr>
              <w:t>Not studied, may increase EVR concentrations due to mild inhibition of P-gp by velpatasvir and voxilaprevir</w:t>
            </w:r>
          </w:p>
        </w:tc>
      </w:tr>
    </w:tbl>
    <w:p w14:paraId="38E003E0" w14:textId="66C057A2" w:rsidR="000B0727" w:rsidRPr="007363FF" w:rsidRDefault="00726105" w:rsidP="004B5211">
      <w:pPr>
        <w:pStyle w:val="a3"/>
        <w:adjustRightInd w:val="0"/>
        <w:snapToGrid w:val="0"/>
        <w:spacing w:line="360" w:lineRule="auto"/>
        <w:jc w:val="both"/>
        <w:rPr>
          <w:rFonts w:ascii="Book Antiqua" w:hAnsi="Book Antiqua" w:cs="Arial"/>
          <w:sz w:val="24"/>
          <w:szCs w:val="24"/>
        </w:rPr>
      </w:pPr>
      <w:r w:rsidRPr="00726105">
        <w:rPr>
          <w:rFonts w:ascii="Book Antiqua" w:hAnsi="Book Antiqua" w:cs="Arial"/>
          <w:sz w:val="24"/>
          <w:szCs w:val="24"/>
        </w:rPr>
        <w:t xml:space="preserve">Adapted from </w:t>
      </w:r>
      <w:hyperlink r:id="rId16" w:history="1">
        <w:r w:rsidRPr="00320217">
          <w:rPr>
            <w:rStyle w:val="a4"/>
            <w:rFonts w:ascii="Book Antiqua" w:hAnsi="Book Antiqua" w:cs="Arial"/>
            <w:sz w:val="24"/>
            <w:szCs w:val="24"/>
          </w:rPr>
          <w:t>www.hcvguidelines.org</w:t>
        </w:r>
      </w:hyperlink>
      <w:r>
        <w:rPr>
          <w:rFonts w:ascii="Book Antiqua" w:hAnsi="Book Antiqua" w:cs="Arial"/>
          <w:sz w:val="24"/>
          <w:szCs w:val="24"/>
        </w:rPr>
        <w:t xml:space="preserve"> </w:t>
      </w:r>
      <w:r w:rsidRPr="00726105">
        <w:rPr>
          <w:rFonts w:ascii="Book Antiqua" w:hAnsi="Book Antiqua" w:cs="Arial"/>
          <w:sz w:val="24"/>
          <w:szCs w:val="24"/>
        </w:rPr>
        <w:t xml:space="preserve">and </w:t>
      </w:r>
      <w:hyperlink r:id="rId17" w:history="1">
        <w:r w:rsidRPr="00320217">
          <w:rPr>
            <w:rStyle w:val="a4"/>
            <w:rFonts w:ascii="Book Antiqua" w:hAnsi="Book Antiqua" w:cs="Arial"/>
            <w:sz w:val="24"/>
            <w:szCs w:val="24"/>
          </w:rPr>
          <w:t>www.hep-druginteractions.org</w:t>
        </w:r>
      </w:hyperlink>
      <w:r>
        <w:rPr>
          <w:rFonts w:ascii="Book Antiqua" w:hAnsi="Book Antiqua" w:cs="Arial"/>
          <w:sz w:val="24"/>
          <w:szCs w:val="24"/>
        </w:rPr>
        <w:t xml:space="preserve">. </w:t>
      </w:r>
      <w:r w:rsidR="004B5211" w:rsidRPr="007363FF">
        <w:rPr>
          <w:rFonts w:ascii="Book Antiqua" w:hAnsi="Book Antiqua" w:cs="Arial"/>
          <w:sz w:val="24"/>
          <w:szCs w:val="24"/>
        </w:rPr>
        <w:t>CsA</w:t>
      </w:r>
      <w:r w:rsidR="004B5211">
        <w:rPr>
          <w:rFonts w:ascii="Book Antiqua" w:hAnsi="Book Antiqua" w:cs="Arial"/>
          <w:sz w:val="24"/>
          <w:szCs w:val="24"/>
        </w:rPr>
        <w:t>:</w:t>
      </w:r>
      <w:r w:rsidR="004B5211" w:rsidRPr="007363FF">
        <w:rPr>
          <w:rFonts w:ascii="Book Antiqua" w:hAnsi="Book Antiqua" w:cs="Arial"/>
          <w:sz w:val="24"/>
          <w:szCs w:val="24"/>
        </w:rPr>
        <w:t xml:space="preserve"> Cyclosporine; TAC</w:t>
      </w:r>
      <w:r w:rsidR="004B5211">
        <w:rPr>
          <w:rFonts w:ascii="Book Antiqua" w:hAnsi="Book Antiqua" w:cs="Arial"/>
          <w:sz w:val="24"/>
          <w:szCs w:val="24"/>
        </w:rPr>
        <w:t>:</w:t>
      </w:r>
      <w:r w:rsidR="004B5211" w:rsidRPr="007363FF">
        <w:rPr>
          <w:rFonts w:ascii="Book Antiqua" w:hAnsi="Book Antiqua" w:cs="Arial"/>
          <w:sz w:val="24"/>
          <w:szCs w:val="24"/>
        </w:rPr>
        <w:t xml:space="preserve"> Tacrolimus; SRL</w:t>
      </w:r>
      <w:r w:rsidR="004B5211">
        <w:rPr>
          <w:rFonts w:ascii="Book Antiqua" w:hAnsi="Book Antiqua" w:cs="Arial"/>
          <w:sz w:val="24"/>
          <w:szCs w:val="24"/>
        </w:rPr>
        <w:t>:</w:t>
      </w:r>
      <w:r w:rsidR="004B5211" w:rsidRPr="007363FF">
        <w:rPr>
          <w:rFonts w:ascii="Book Antiqua" w:hAnsi="Book Antiqua" w:cs="Arial"/>
          <w:sz w:val="24"/>
          <w:szCs w:val="24"/>
        </w:rPr>
        <w:t xml:space="preserve"> Sirolimus; EVR</w:t>
      </w:r>
      <w:r w:rsidR="004B5211">
        <w:rPr>
          <w:rFonts w:ascii="Book Antiqua" w:hAnsi="Book Antiqua" w:cs="Arial"/>
          <w:sz w:val="24"/>
          <w:szCs w:val="24"/>
        </w:rPr>
        <w:t>:</w:t>
      </w:r>
      <w:r w:rsidR="004B5211" w:rsidRPr="007363FF">
        <w:rPr>
          <w:rFonts w:ascii="Book Antiqua" w:hAnsi="Book Antiqua" w:cs="Arial"/>
          <w:sz w:val="24"/>
          <w:szCs w:val="24"/>
        </w:rPr>
        <w:t xml:space="preserve"> Everolimus; SOF</w:t>
      </w:r>
      <w:r w:rsidR="004B5211">
        <w:rPr>
          <w:rFonts w:ascii="Book Antiqua" w:hAnsi="Book Antiqua" w:cs="Arial"/>
          <w:sz w:val="24"/>
          <w:szCs w:val="24"/>
        </w:rPr>
        <w:t>:</w:t>
      </w:r>
      <w:r w:rsidR="004B5211" w:rsidRPr="007363FF">
        <w:rPr>
          <w:rFonts w:ascii="Book Antiqua" w:hAnsi="Book Antiqua" w:cs="Arial"/>
          <w:sz w:val="24"/>
          <w:szCs w:val="24"/>
        </w:rPr>
        <w:t xml:space="preserve"> Sofosbuvir; AUC</w:t>
      </w:r>
      <w:r w:rsidR="004B5211">
        <w:rPr>
          <w:rFonts w:ascii="Book Antiqua" w:hAnsi="Book Antiqua" w:cs="Arial"/>
          <w:sz w:val="24"/>
          <w:szCs w:val="24"/>
        </w:rPr>
        <w:t>:</w:t>
      </w:r>
      <w:r w:rsidR="004B5211" w:rsidRPr="007363FF">
        <w:rPr>
          <w:rFonts w:ascii="Book Antiqua" w:hAnsi="Book Antiqua" w:cs="Arial"/>
          <w:sz w:val="24"/>
          <w:szCs w:val="24"/>
        </w:rPr>
        <w:t xml:space="preserve"> Area under the curve; PrOD</w:t>
      </w:r>
      <w:r w:rsidR="004B5211">
        <w:rPr>
          <w:rFonts w:ascii="Book Antiqua" w:hAnsi="Book Antiqua" w:cs="Arial"/>
          <w:sz w:val="24"/>
          <w:szCs w:val="24"/>
        </w:rPr>
        <w:t>:</w:t>
      </w:r>
      <w:r w:rsidR="004B5211" w:rsidRPr="007363FF">
        <w:rPr>
          <w:rFonts w:ascii="Book Antiqua" w:hAnsi="Book Antiqua" w:cs="Arial"/>
          <w:sz w:val="24"/>
          <w:szCs w:val="24"/>
        </w:rPr>
        <w:t xml:space="preserve"> Paritaprevir/ritonavir, ombitasvir, and dasabuvir; </w:t>
      </w:r>
      <w:r w:rsidR="004B5211" w:rsidRPr="007363FF">
        <w:rPr>
          <w:rFonts w:ascii="Book Antiqua" w:hAnsi="Book Antiqua" w:cs="Arial"/>
          <w:sz w:val="24"/>
          <w:szCs w:val="24"/>
        </w:rPr>
        <w:lastRenderedPageBreak/>
        <w:t>ELB/GRZ</w:t>
      </w:r>
      <w:r w:rsidR="004B5211">
        <w:rPr>
          <w:rFonts w:ascii="Book Antiqua" w:hAnsi="Book Antiqua" w:cs="Arial"/>
          <w:sz w:val="24"/>
          <w:szCs w:val="24"/>
        </w:rPr>
        <w:t>:</w:t>
      </w:r>
      <w:r w:rsidR="004B5211" w:rsidRPr="007363FF">
        <w:rPr>
          <w:rFonts w:ascii="Book Antiqua" w:hAnsi="Book Antiqua" w:cs="Arial"/>
          <w:sz w:val="24"/>
          <w:szCs w:val="24"/>
        </w:rPr>
        <w:t xml:space="preserve"> Elbasvir/grazoprevir; P-gp</w:t>
      </w:r>
      <w:r w:rsidR="004B5211">
        <w:rPr>
          <w:rFonts w:ascii="Book Antiqua" w:hAnsi="Book Antiqua" w:cs="Arial"/>
          <w:sz w:val="24"/>
          <w:szCs w:val="24"/>
        </w:rPr>
        <w:t>:</w:t>
      </w:r>
      <w:r w:rsidR="004B5211" w:rsidRPr="007363FF">
        <w:rPr>
          <w:rFonts w:ascii="Book Antiqua" w:hAnsi="Book Antiqua" w:cs="Arial"/>
          <w:sz w:val="24"/>
          <w:szCs w:val="24"/>
        </w:rPr>
        <w:t xml:space="preserve"> P-glycoprotein; VOX</w:t>
      </w:r>
      <w:r w:rsidR="004B5211">
        <w:rPr>
          <w:rFonts w:ascii="Book Antiqua" w:hAnsi="Book Antiqua" w:cs="Arial"/>
          <w:sz w:val="24"/>
          <w:szCs w:val="24"/>
        </w:rPr>
        <w:t>:</w:t>
      </w:r>
      <w:r w:rsidR="004B5211" w:rsidRPr="007363FF">
        <w:rPr>
          <w:rFonts w:ascii="Book Antiqua" w:hAnsi="Book Antiqua" w:cs="Arial"/>
          <w:sz w:val="24"/>
          <w:szCs w:val="24"/>
        </w:rPr>
        <w:t xml:space="preserve"> Voxilaprevir; VEL</w:t>
      </w:r>
      <w:r w:rsidR="004B5211">
        <w:rPr>
          <w:rFonts w:ascii="Book Antiqua" w:hAnsi="Book Antiqua" w:cs="Arial"/>
          <w:sz w:val="24"/>
          <w:szCs w:val="24"/>
        </w:rPr>
        <w:t>:</w:t>
      </w:r>
      <w:r w:rsidR="004B5211" w:rsidRPr="007363FF">
        <w:rPr>
          <w:rFonts w:ascii="Book Antiqua" w:hAnsi="Book Antiqua" w:cs="Arial"/>
          <w:sz w:val="24"/>
          <w:szCs w:val="24"/>
        </w:rPr>
        <w:t xml:space="preserve"> Velpatasvir</w:t>
      </w:r>
      <w:r w:rsidR="004B5211">
        <w:rPr>
          <w:rFonts w:ascii="Book Antiqua" w:hAnsi="Book Antiqua" w:cs="Arial"/>
          <w:sz w:val="24"/>
          <w:szCs w:val="24"/>
        </w:rPr>
        <w:t>.</w:t>
      </w:r>
      <w:r w:rsidR="000B0727" w:rsidRPr="007363FF">
        <w:rPr>
          <w:rFonts w:ascii="Book Antiqua" w:hAnsi="Book Antiqua" w:cs="Arial"/>
          <w:sz w:val="24"/>
          <w:szCs w:val="24"/>
        </w:rPr>
        <w:br w:type="page"/>
      </w:r>
    </w:p>
    <w:p w14:paraId="0501799A" w14:textId="54FDA988" w:rsidR="000B0727" w:rsidRPr="007363FF" w:rsidRDefault="000B0727" w:rsidP="000B0727">
      <w:pPr>
        <w:pStyle w:val="a3"/>
        <w:adjustRightInd w:val="0"/>
        <w:snapToGrid w:val="0"/>
        <w:spacing w:line="360" w:lineRule="auto"/>
        <w:jc w:val="both"/>
        <w:rPr>
          <w:rFonts w:ascii="Book Antiqua" w:hAnsi="Book Antiqua" w:cs="Arial"/>
          <w:sz w:val="24"/>
          <w:szCs w:val="24"/>
        </w:rPr>
      </w:pPr>
      <w:r w:rsidRPr="00F36B68">
        <w:rPr>
          <w:rFonts w:ascii="Book Antiqua" w:hAnsi="Book Antiqua" w:cs="Arial"/>
          <w:b/>
          <w:bCs/>
          <w:sz w:val="24"/>
          <w:szCs w:val="24"/>
        </w:rPr>
        <w:lastRenderedPageBreak/>
        <w:t xml:space="preserve">Table 3 Graft survival is similar in HCV-negative recipients of livers from HCV NAT-positive or -negative donors (Data from Cotter </w:t>
      </w:r>
      <w:r w:rsidRPr="00F36B68">
        <w:rPr>
          <w:rFonts w:ascii="Book Antiqua" w:hAnsi="Book Antiqua" w:cs="Arial"/>
          <w:b/>
          <w:bCs/>
          <w:i/>
          <w:iCs/>
          <w:sz w:val="24"/>
          <w:szCs w:val="24"/>
        </w:rPr>
        <w:t>et al</w:t>
      </w:r>
      <w:r w:rsidR="00F36B68" w:rsidRPr="00F36B68">
        <w:rPr>
          <w:rFonts w:ascii="Book Antiqua" w:hAnsi="Book Antiqua" w:cs="Arial"/>
          <w:b/>
          <w:bCs/>
          <w:sz w:val="24"/>
          <w:szCs w:val="24"/>
          <w:vertAlign w:val="superscript"/>
        </w:rPr>
        <w:t>[40]</w:t>
      </w:r>
      <w:r w:rsidRPr="00F36B68">
        <w:rPr>
          <w:rFonts w:ascii="Book Antiqua" w:hAnsi="Book Antiqua" w:cs="Arial"/>
          <w:b/>
          <w:bCs/>
          <w:sz w:val="24"/>
          <w:szCs w:val="24"/>
        </w:rPr>
        <w:t>)</w:t>
      </w:r>
    </w:p>
    <w:tbl>
      <w:tblPr>
        <w:tblW w:w="5840" w:type="dxa"/>
        <w:shd w:val="clear" w:color="auto" w:fill="FFFFFF" w:themeFill="background1"/>
        <w:tblCellMar>
          <w:left w:w="0" w:type="dxa"/>
          <w:right w:w="0" w:type="dxa"/>
        </w:tblCellMar>
        <w:tblLook w:val="0420" w:firstRow="1" w:lastRow="0" w:firstColumn="0" w:lastColumn="0" w:noHBand="0" w:noVBand="1"/>
      </w:tblPr>
      <w:tblGrid>
        <w:gridCol w:w="1946"/>
        <w:gridCol w:w="1947"/>
        <w:gridCol w:w="1947"/>
      </w:tblGrid>
      <w:tr w:rsidR="000B0727" w:rsidRPr="007363FF" w14:paraId="6212FF2A" w14:textId="77777777" w:rsidTr="00F36B68">
        <w:trPr>
          <w:trHeight w:hRule="exact" w:val="432"/>
        </w:trPr>
        <w:tc>
          <w:tcPr>
            <w:tcW w:w="1940"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24A2B887" w14:textId="77777777" w:rsidR="000B0727" w:rsidRPr="007363FF" w:rsidRDefault="000B0727" w:rsidP="00FA52FE">
            <w:pPr>
              <w:pStyle w:val="a3"/>
              <w:adjustRightInd w:val="0"/>
              <w:snapToGrid w:val="0"/>
              <w:spacing w:line="360" w:lineRule="auto"/>
              <w:jc w:val="both"/>
              <w:rPr>
                <w:rFonts w:ascii="Book Antiqua" w:hAnsi="Book Antiqua" w:cs="Arial"/>
                <w:sz w:val="24"/>
                <w:szCs w:val="24"/>
              </w:rPr>
            </w:pPr>
          </w:p>
        </w:tc>
        <w:tc>
          <w:tcPr>
            <w:tcW w:w="1940"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118DD3A2" w14:textId="77777777" w:rsidR="000B0727" w:rsidRPr="007363FF" w:rsidRDefault="000B0727" w:rsidP="00FA52FE">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b/>
                <w:bCs/>
                <w:sz w:val="24"/>
                <w:szCs w:val="24"/>
              </w:rPr>
              <w:t>1-yr</w:t>
            </w:r>
          </w:p>
        </w:tc>
        <w:tc>
          <w:tcPr>
            <w:tcW w:w="1940"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08FCB75C" w14:textId="77777777" w:rsidR="000B0727" w:rsidRPr="007363FF" w:rsidRDefault="000B0727" w:rsidP="00FA52FE">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b/>
                <w:bCs/>
                <w:sz w:val="24"/>
                <w:szCs w:val="24"/>
              </w:rPr>
              <w:t>2-yr</w:t>
            </w:r>
          </w:p>
        </w:tc>
      </w:tr>
      <w:tr w:rsidR="000B0727" w:rsidRPr="007363FF" w14:paraId="563FD643" w14:textId="77777777" w:rsidTr="00F36B68">
        <w:trPr>
          <w:trHeight w:hRule="exact" w:val="432"/>
        </w:trPr>
        <w:tc>
          <w:tcPr>
            <w:tcW w:w="1940" w:type="dxa"/>
            <w:tcBorders>
              <w:top w:val="single" w:sz="4" w:space="0" w:color="auto"/>
            </w:tcBorders>
            <w:shd w:val="clear" w:color="auto" w:fill="FFFFFF" w:themeFill="background1"/>
            <w:tcMar>
              <w:top w:w="72" w:type="dxa"/>
              <w:left w:w="144" w:type="dxa"/>
              <w:bottom w:w="72" w:type="dxa"/>
              <w:right w:w="144" w:type="dxa"/>
            </w:tcMar>
            <w:hideMark/>
          </w:tcPr>
          <w:p w14:paraId="0DD3D7AF" w14:textId="77777777" w:rsidR="000B0727" w:rsidRPr="007363FF" w:rsidRDefault="000B0727" w:rsidP="00FA52FE">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DNAT-/R-</w:t>
            </w:r>
          </w:p>
        </w:tc>
        <w:tc>
          <w:tcPr>
            <w:tcW w:w="1940" w:type="dxa"/>
            <w:tcBorders>
              <w:top w:val="single" w:sz="4" w:space="0" w:color="auto"/>
            </w:tcBorders>
            <w:shd w:val="clear" w:color="auto" w:fill="FFFFFF" w:themeFill="background1"/>
            <w:tcMar>
              <w:top w:w="72" w:type="dxa"/>
              <w:left w:w="144" w:type="dxa"/>
              <w:bottom w:w="72" w:type="dxa"/>
              <w:right w:w="144" w:type="dxa"/>
            </w:tcMar>
            <w:hideMark/>
          </w:tcPr>
          <w:p w14:paraId="13061DDB" w14:textId="77777777" w:rsidR="000B0727" w:rsidRPr="007363FF" w:rsidRDefault="000B0727" w:rsidP="00FA52FE">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93%</w:t>
            </w:r>
          </w:p>
        </w:tc>
        <w:tc>
          <w:tcPr>
            <w:tcW w:w="1940" w:type="dxa"/>
            <w:tcBorders>
              <w:top w:val="single" w:sz="4" w:space="0" w:color="auto"/>
            </w:tcBorders>
            <w:shd w:val="clear" w:color="auto" w:fill="FFFFFF" w:themeFill="background1"/>
            <w:tcMar>
              <w:top w:w="72" w:type="dxa"/>
              <w:left w:w="144" w:type="dxa"/>
              <w:bottom w:w="72" w:type="dxa"/>
              <w:right w:w="144" w:type="dxa"/>
            </w:tcMar>
            <w:hideMark/>
          </w:tcPr>
          <w:p w14:paraId="6CB426C2" w14:textId="77777777" w:rsidR="000B0727" w:rsidRPr="007363FF" w:rsidRDefault="000B0727" w:rsidP="00FA52FE">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88%</w:t>
            </w:r>
          </w:p>
        </w:tc>
      </w:tr>
      <w:tr w:rsidR="000B0727" w:rsidRPr="007363FF" w14:paraId="614BCE76" w14:textId="77777777" w:rsidTr="00F36B68">
        <w:trPr>
          <w:trHeight w:hRule="exact" w:val="432"/>
        </w:trPr>
        <w:tc>
          <w:tcPr>
            <w:tcW w:w="1940" w:type="dxa"/>
            <w:shd w:val="clear" w:color="auto" w:fill="FFFFFF" w:themeFill="background1"/>
            <w:tcMar>
              <w:top w:w="72" w:type="dxa"/>
              <w:left w:w="144" w:type="dxa"/>
              <w:bottom w:w="72" w:type="dxa"/>
              <w:right w:w="144" w:type="dxa"/>
            </w:tcMar>
            <w:hideMark/>
          </w:tcPr>
          <w:p w14:paraId="6A0BB6DB" w14:textId="77777777" w:rsidR="000B0727" w:rsidRPr="007363FF" w:rsidRDefault="000B0727" w:rsidP="00FA52FE">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DNAT-/R+</w:t>
            </w:r>
          </w:p>
        </w:tc>
        <w:tc>
          <w:tcPr>
            <w:tcW w:w="1940" w:type="dxa"/>
            <w:shd w:val="clear" w:color="auto" w:fill="FFFFFF" w:themeFill="background1"/>
            <w:tcMar>
              <w:top w:w="72" w:type="dxa"/>
              <w:left w:w="144" w:type="dxa"/>
              <w:bottom w:w="72" w:type="dxa"/>
              <w:right w:w="144" w:type="dxa"/>
            </w:tcMar>
            <w:hideMark/>
          </w:tcPr>
          <w:p w14:paraId="5E72ECB0" w14:textId="77777777" w:rsidR="000B0727" w:rsidRPr="007363FF" w:rsidRDefault="000B0727" w:rsidP="00FA52FE">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93%</w:t>
            </w:r>
          </w:p>
        </w:tc>
        <w:tc>
          <w:tcPr>
            <w:tcW w:w="1940" w:type="dxa"/>
            <w:shd w:val="clear" w:color="auto" w:fill="FFFFFF" w:themeFill="background1"/>
            <w:tcMar>
              <w:top w:w="72" w:type="dxa"/>
              <w:left w:w="144" w:type="dxa"/>
              <w:bottom w:w="72" w:type="dxa"/>
              <w:right w:w="144" w:type="dxa"/>
            </w:tcMar>
            <w:hideMark/>
          </w:tcPr>
          <w:p w14:paraId="79EF02D0" w14:textId="77777777" w:rsidR="000B0727" w:rsidRPr="007363FF" w:rsidRDefault="000B0727" w:rsidP="00FA52FE">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88%</w:t>
            </w:r>
          </w:p>
        </w:tc>
      </w:tr>
      <w:tr w:rsidR="000B0727" w:rsidRPr="007363FF" w14:paraId="05D71BF6" w14:textId="77777777" w:rsidTr="00F36B68">
        <w:trPr>
          <w:trHeight w:hRule="exact" w:val="432"/>
        </w:trPr>
        <w:tc>
          <w:tcPr>
            <w:tcW w:w="1940" w:type="dxa"/>
            <w:shd w:val="clear" w:color="auto" w:fill="FFFFFF" w:themeFill="background1"/>
            <w:tcMar>
              <w:top w:w="72" w:type="dxa"/>
              <w:left w:w="144" w:type="dxa"/>
              <w:bottom w:w="72" w:type="dxa"/>
              <w:right w:w="144" w:type="dxa"/>
            </w:tcMar>
            <w:hideMark/>
          </w:tcPr>
          <w:p w14:paraId="343C6A19" w14:textId="77777777" w:rsidR="000B0727" w:rsidRPr="007363FF" w:rsidRDefault="000B0727" w:rsidP="00FA52FE">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DNAT+/R-</w:t>
            </w:r>
          </w:p>
        </w:tc>
        <w:tc>
          <w:tcPr>
            <w:tcW w:w="1940" w:type="dxa"/>
            <w:shd w:val="clear" w:color="auto" w:fill="FFFFFF" w:themeFill="background1"/>
            <w:tcMar>
              <w:top w:w="72" w:type="dxa"/>
              <w:left w:w="144" w:type="dxa"/>
              <w:bottom w:w="72" w:type="dxa"/>
              <w:right w:w="144" w:type="dxa"/>
            </w:tcMar>
            <w:hideMark/>
          </w:tcPr>
          <w:p w14:paraId="0CBF03C6" w14:textId="77777777" w:rsidR="000B0727" w:rsidRPr="007363FF" w:rsidRDefault="000B0727" w:rsidP="00FA52FE">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93%</w:t>
            </w:r>
          </w:p>
        </w:tc>
        <w:tc>
          <w:tcPr>
            <w:tcW w:w="1940" w:type="dxa"/>
            <w:shd w:val="clear" w:color="auto" w:fill="FFFFFF" w:themeFill="background1"/>
            <w:tcMar>
              <w:top w:w="72" w:type="dxa"/>
              <w:left w:w="144" w:type="dxa"/>
              <w:bottom w:w="72" w:type="dxa"/>
              <w:right w:w="144" w:type="dxa"/>
            </w:tcMar>
            <w:hideMark/>
          </w:tcPr>
          <w:p w14:paraId="1700695F" w14:textId="77777777" w:rsidR="000B0727" w:rsidRPr="007363FF" w:rsidRDefault="000B0727" w:rsidP="00FA52FE">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86%</w:t>
            </w:r>
          </w:p>
        </w:tc>
      </w:tr>
      <w:tr w:rsidR="000B0727" w:rsidRPr="007363FF" w14:paraId="2CEC7991" w14:textId="77777777" w:rsidTr="00F36B68">
        <w:trPr>
          <w:trHeight w:hRule="exact" w:val="432"/>
        </w:trPr>
        <w:tc>
          <w:tcPr>
            <w:tcW w:w="1940" w:type="dxa"/>
            <w:tcBorders>
              <w:bottom w:val="single" w:sz="4" w:space="0" w:color="auto"/>
            </w:tcBorders>
            <w:shd w:val="clear" w:color="auto" w:fill="FFFFFF" w:themeFill="background1"/>
            <w:tcMar>
              <w:top w:w="72" w:type="dxa"/>
              <w:left w:w="144" w:type="dxa"/>
              <w:bottom w:w="72" w:type="dxa"/>
              <w:right w:w="144" w:type="dxa"/>
            </w:tcMar>
            <w:hideMark/>
          </w:tcPr>
          <w:p w14:paraId="2858538E" w14:textId="77777777" w:rsidR="000B0727" w:rsidRPr="007363FF" w:rsidRDefault="000B0727" w:rsidP="00FA52FE">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DNAT+/R+</w:t>
            </w:r>
          </w:p>
        </w:tc>
        <w:tc>
          <w:tcPr>
            <w:tcW w:w="1940" w:type="dxa"/>
            <w:tcBorders>
              <w:bottom w:val="single" w:sz="4" w:space="0" w:color="auto"/>
            </w:tcBorders>
            <w:shd w:val="clear" w:color="auto" w:fill="FFFFFF" w:themeFill="background1"/>
            <w:tcMar>
              <w:top w:w="72" w:type="dxa"/>
              <w:left w:w="144" w:type="dxa"/>
              <w:bottom w:w="72" w:type="dxa"/>
              <w:right w:w="144" w:type="dxa"/>
            </w:tcMar>
            <w:hideMark/>
          </w:tcPr>
          <w:p w14:paraId="5F8A4859" w14:textId="77777777" w:rsidR="000B0727" w:rsidRPr="007363FF" w:rsidRDefault="000B0727" w:rsidP="00FA52FE">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94%</w:t>
            </w:r>
          </w:p>
        </w:tc>
        <w:tc>
          <w:tcPr>
            <w:tcW w:w="1940" w:type="dxa"/>
            <w:tcBorders>
              <w:bottom w:val="single" w:sz="4" w:space="0" w:color="auto"/>
            </w:tcBorders>
            <w:shd w:val="clear" w:color="auto" w:fill="FFFFFF" w:themeFill="background1"/>
            <w:tcMar>
              <w:top w:w="72" w:type="dxa"/>
              <w:left w:w="144" w:type="dxa"/>
              <w:bottom w:w="72" w:type="dxa"/>
              <w:right w:w="144" w:type="dxa"/>
            </w:tcMar>
            <w:hideMark/>
          </w:tcPr>
          <w:p w14:paraId="57066F66" w14:textId="77777777" w:rsidR="000B0727" w:rsidRPr="007363FF" w:rsidRDefault="000B0727" w:rsidP="00FA52FE">
            <w:pPr>
              <w:pStyle w:val="a3"/>
              <w:adjustRightInd w:val="0"/>
              <w:snapToGrid w:val="0"/>
              <w:spacing w:line="360" w:lineRule="auto"/>
              <w:jc w:val="both"/>
              <w:rPr>
                <w:rFonts w:ascii="Book Antiqua" w:hAnsi="Book Antiqua" w:cs="Arial"/>
                <w:sz w:val="24"/>
                <w:szCs w:val="24"/>
              </w:rPr>
            </w:pPr>
            <w:r w:rsidRPr="007363FF">
              <w:rPr>
                <w:rFonts w:ascii="Book Antiqua" w:hAnsi="Book Antiqua" w:cs="Arial"/>
                <w:sz w:val="24"/>
                <w:szCs w:val="24"/>
              </w:rPr>
              <w:t>90%</w:t>
            </w:r>
          </w:p>
        </w:tc>
      </w:tr>
    </w:tbl>
    <w:p w14:paraId="6F1BBD09" w14:textId="5722A4B3" w:rsidR="000F0A05" w:rsidRPr="007363FF" w:rsidRDefault="00F36B68" w:rsidP="000B0727">
      <w:pPr>
        <w:widowControl w:val="0"/>
        <w:autoSpaceDE w:val="0"/>
        <w:autoSpaceDN w:val="0"/>
        <w:adjustRightInd w:val="0"/>
        <w:snapToGrid w:val="0"/>
        <w:spacing w:after="0" w:line="360" w:lineRule="auto"/>
        <w:jc w:val="both"/>
        <w:rPr>
          <w:rFonts w:ascii="Book Antiqua" w:hAnsi="Book Antiqua" w:cs="Arial"/>
          <w:sz w:val="24"/>
          <w:szCs w:val="24"/>
        </w:rPr>
      </w:pPr>
      <w:r w:rsidRPr="007363FF">
        <w:rPr>
          <w:rFonts w:ascii="Book Antiqua" w:hAnsi="Book Antiqua" w:cs="Arial"/>
          <w:sz w:val="24"/>
          <w:szCs w:val="24"/>
        </w:rPr>
        <w:t>DNAT</w:t>
      </w:r>
      <w:r>
        <w:rPr>
          <w:rFonts w:ascii="Book Antiqua" w:hAnsi="Book Antiqua" w:cs="Arial"/>
          <w:sz w:val="24"/>
          <w:szCs w:val="24"/>
        </w:rPr>
        <w:t>:</w:t>
      </w:r>
      <w:r w:rsidRPr="007363FF">
        <w:rPr>
          <w:rFonts w:ascii="Book Antiqua" w:hAnsi="Book Antiqua" w:cs="Arial"/>
          <w:sz w:val="24"/>
          <w:szCs w:val="24"/>
        </w:rPr>
        <w:t xml:space="preserve"> Donor HCV NAT status; R</w:t>
      </w:r>
      <w:r>
        <w:rPr>
          <w:rFonts w:ascii="Book Antiqua" w:hAnsi="Book Antiqua" w:cs="Arial"/>
          <w:sz w:val="24"/>
          <w:szCs w:val="24"/>
        </w:rPr>
        <w:t>:</w:t>
      </w:r>
      <w:r w:rsidRPr="007363FF">
        <w:rPr>
          <w:rFonts w:ascii="Book Antiqua" w:hAnsi="Book Antiqua" w:cs="Arial"/>
          <w:sz w:val="24"/>
          <w:szCs w:val="24"/>
        </w:rPr>
        <w:t xml:space="preserve"> Recipient HCV NAT status</w:t>
      </w:r>
      <w:r>
        <w:rPr>
          <w:rFonts w:ascii="Book Antiqua" w:hAnsi="Book Antiqua" w:cs="Arial"/>
          <w:sz w:val="24"/>
          <w:szCs w:val="24"/>
        </w:rPr>
        <w:t>.</w:t>
      </w:r>
    </w:p>
    <w:sectPr w:rsidR="000F0A05" w:rsidRPr="007363FF" w:rsidSect="005B7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362C8" w14:textId="77777777" w:rsidR="004D2598" w:rsidRDefault="004D2598" w:rsidP="001A3DB3">
      <w:pPr>
        <w:spacing w:after="0" w:line="240" w:lineRule="auto"/>
      </w:pPr>
      <w:r>
        <w:separator/>
      </w:r>
    </w:p>
  </w:endnote>
  <w:endnote w:type="continuationSeparator" w:id="0">
    <w:p w14:paraId="4B1E2CAF" w14:textId="77777777" w:rsidR="004D2598" w:rsidRDefault="004D2598" w:rsidP="001A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Helvetica-Condensed-Black">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5D12A" w14:textId="77777777" w:rsidR="004D2598" w:rsidRDefault="004D2598" w:rsidP="001A3DB3">
      <w:pPr>
        <w:spacing w:after="0" w:line="240" w:lineRule="auto"/>
      </w:pPr>
      <w:r>
        <w:separator/>
      </w:r>
    </w:p>
  </w:footnote>
  <w:footnote w:type="continuationSeparator" w:id="0">
    <w:p w14:paraId="0322B554" w14:textId="77777777" w:rsidR="004D2598" w:rsidRDefault="004D2598" w:rsidP="001A3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FE7"/>
    <w:multiLevelType w:val="hybridMultilevel"/>
    <w:tmpl w:val="277A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44D52"/>
    <w:multiLevelType w:val="hybridMultilevel"/>
    <w:tmpl w:val="D33A1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34CD4"/>
    <w:multiLevelType w:val="hybridMultilevel"/>
    <w:tmpl w:val="6D86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C3A82"/>
    <w:multiLevelType w:val="hybridMultilevel"/>
    <w:tmpl w:val="277A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04DF7"/>
    <w:multiLevelType w:val="hybridMultilevel"/>
    <w:tmpl w:val="277A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05"/>
    <w:rsid w:val="000006DD"/>
    <w:rsid w:val="00001353"/>
    <w:rsid w:val="00001596"/>
    <w:rsid w:val="000037B3"/>
    <w:rsid w:val="0000485F"/>
    <w:rsid w:val="000057C1"/>
    <w:rsid w:val="00007436"/>
    <w:rsid w:val="00015EAE"/>
    <w:rsid w:val="000235FA"/>
    <w:rsid w:val="000239D4"/>
    <w:rsid w:val="00032350"/>
    <w:rsid w:val="00036B44"/>
    <w:rsid w:val="000426C7"/>
    <w:rsid w:val="00050E24"/>
    <w:rsid w:val="00053C58"/>
    <w:rsid w:val="00067994"/>
    <w:rsid w:val="00073031"/>
    <w:rsid w:val="0007504B"/>
    <w:rsid w:val="000774D6"/>
    <w:rsid w:val="00083549"/>
    <w:rsid w:val="00083778"/>
    <w:rsid w:val="00091B50"/>
    <w:rsid w:val="00094799"/>
    <w:rsid w:val="000A0119"/>
    <w:rsid w:val="000B0727"/>
    <w:rsid w:val="000B3487"/>
    <w:rsid w:val="000B594A"/>
    <w:rsid w:val="000C0772"/>
    <w:rsid w:val="000C0831"/>
    <w:rsid w:val="000C2A7E"/>
    <w:rsid w:val="000C3A2F"/>
    <w:rsid w:val="000C4A2E"/>
    <w:rsid w:val="000D02A1"/>
    <w:rsid w:val="000D5089"/>
    <w:rsid w:val="000D6310"/>
    <w:rsid w:val="000E03AE"/>
    <w:rsid w:val="000E15DE"/>
    <w:rsid w:val="000E2002"/>
    <w:rsid w:val="000E7C89"/>
    <w:rsid w:val="000F0A05"/>
    <w:rsid w:val="000F548C"/>
    <w:rsid w:val="0010022F"/>
    <w:rsid w:val="00101EF0"/>
    <w:rsid w:val="001026C4"/>
    <w:rsid w:val="00107F59"/>
    <w:rsid w:val="00114737"/>
    <w:rsid w:val="00116203"/>
    <w:rsid w:val="001203BF"/>
    <w:rsid w:val="00120EC5"/>
    <w:rsid w:val="00135CAE"/>
    <w:rsid w:val="00135D35"/>
    <w:rsid w:val="00136AFC"/>
    <w:rsid w:val="0014437E"/>
    <w:rsid w:val="001444B2"/>
    <w:rsid w:val="0014724E"/>
    <w:rsid w:val="00154F13"/>
    <w:rsid w:val="001675B5"/>
    <w:rsid w:val="00171F73"/>
    <w:rsid w:val="00175278"/>
    <w:rsid w:val="001821A7"/>
    <w:rsid w:val="00194A38"/>
    <w:rsid w:val="001A21E7"/>
    <w:rsid w:val="001A2227"/>
    <w:rsid w:val="001A3DB3"/>
    <w:rsid w:val="001A4BF3"/>
    <w:rsid w:val="001B0E6F"/>
    <w:rsid w:val="001B52CC"/>
    <w:rsid w:val="001C2340"/>
    <w:rsid w:val="001D036F"/>
    <w:rsid w:val="001D5CF7"/>
    <w:rsid w:val="001D6FC4"/>
    <w:rsid w:val="001D76A5"/>
    <w:rsid w:val="001E099A"/>
    <w:rsid w:val="001E0E3C"/>
    <w:rsid w:val="001E23BB"/>
    <w:rsid w:val="001E3380"/>
    <w:rsid w:val="00201CEA"/>
    <w:rsid w:val="002076C0"/>
    <w:rsid w:val="002123D3"/>
    <w:rsid w:val="00213EC5"/>
    <w:rsid w:val="00215FC2"/>
    <w:rsid w:val="00220327"/>
    <w:rsid w:val="00221224"/>
    <w:rsid w:val="00223229"/>
    <w:rsid w:val="0022418B"/>
    <w:rsid w:val="00231C99"/>
    <w:rsid w:val="00236D0B"/>
    <w:rsid w:val="00240699"/>
    <w:rsid w:val="00242BA7"/>
    <w:rsid w:val="00245BB5"/>
    <w:rsid w:val="00247698"/>
    <w:rsid w:val="00250902"/>
    <w:rsid w:val="00252108"/>
    <w:rsid w:val="00252C50"/>
    <w:rsid w:val="0025792F"/>
    <w:rsid w:val="0026415C"/>
    <w:rsid w:val="002649FC"/>
    <w:rsid w:val="00265586"/>
    <w:rsid w:val="00270CE1"/>
    <w:rsid w:val="00277B61"/>
    <w:rsid w:val="002876A5"/>
    <w:rsid w:val="00290E95"/>
    <w:rsid w:val="00293C77"/>
    <w:rsid w:val="002946A5"/>
    <w:rsid w:val="00297CBC"/>
    <w:rsid w:val="002A1A2F"/>
    <w:rsid w:val="002A1CDB"/>
    <w:rsid w:val="002A2ADE"/>
    <w:rsid w:val="002A7736"/>
    <w:rsid w:val="002B02C5"/>
    <w:rsid w:val="002B2BCA"/>
    <w:rsid w:val="002B47C6"/>
    <w:rsid w:val="002B5646"/>
    <w:rsid w:val="002B5F68"/>
    <w:rsid w:val="002B67AD"/>
    <w:rsid w:val="002B7922"/>
    <w:rsid w:val="002C4D08"/>
    <w:rsid w:val="002C6263"/>
    <w:rsid w:val="002D1BE9"/>
    <w:rsid w:val="002D1E16"/>
    <w:rsid w:val="002D7BFC"/>
    <w:rsid w:val="002E1146"/>
    <w:rsid w:val="002E175B"/>
    <w:rsid w:val="002E41D0"/>
    <w:rsid w:val="002E42CD"/>
    <w:rsid w:val="002F7A21"/>
    <w:rsid w:val="002F7A32"/>
    <w:rsid w:val="00303EBB"/>
    <w:rsid w:val="003225AE"/>
    <w:rsid w:val="0032624E"/>
    <w:rsid w:val="00333B97"/>
    <w:rsid w:val="00337F48"/>
    <w:rsid w:val="00342D09"/>
    <w:rsid w:val="00344F7A"/>
    <w:rsid w:val="003453FB"/>
    <w:rsid w:val="00345B3A"/>
    <w:rsid w:val="00350EC4"/>
    <w:rsid w:val="003524B4"/>
    <w:rsid w:val="00376F86"/>
    <w:rsid w:val="00382E68"/>
    <w:rsid w:val="00386E19"/>
    <w:rsid w:val="00392FB9"/>
    <w:rsid w:val="003956B9"/>
    <w:rsid w:val="00396333"/>
    <w:rsid w:val="003A13D6"/>
    <w:rsid w:val="003A1F1D"/>
    <w:rsid w:val="003A326E"/>
    <w:rsid w:val="003A63B2"/>
    <w:rsid w:val="003B2C9B"/>
    <w:rsid w:val="003B3915"/>
    <w:rsid w:val="003C7ABE"/>
    <w:rsid w:val="003D273A"/>
    <w:rsid w:val="003E4DFF"/>
    <w:rsid w:val="003E6CE8"/>
    <w:rsid w:val="003E7343"/>
    <w:rsid w:val="003F7EF0"/>
    <w:rsid w:val="0040214B"/>
    <w:rsid w:val="00403BE9"/>
    <w:rsid w:val="004104CD"/>
    <w:rsid w:val="00413F45"/>
    <w:rsid w:val="00414A4E"/>
    <w:rsid w:val="004179FC"/>
    <w:rsid w:val="0042491E"/>
    <w:rsid w:val="00426C51"/>
    <w:rsid w:val="00427FC6"/>
    <w:rsid w:val="00430BB2"/>
    <w:rsid w:val="0044002D"/>
    <w:rsid w:val="00443797"/>
    <w:rsid w:val="00443A6A"/>
    <w:rsid w:val="00443CAF"/>
    <w:rsid w:val="004507DF"/>
    <w:rsid w:val="00450897"/>
    <w:rsid w:val="00452AE8"/>
    <w:rsid w:val="004540C1"/>
    <w:rsid w:val="004552FF"/>
    <w:rsid w:val="00455659"/>
    <w:rsid w:val="004577D9"/>
    <w:rsid w:val="00462A59"/>
    <w:rsid w:val="00464AD8"/>
    <w:rsid w:val="00465653"/>
    <w:rsid w:val="00465FF4"/>
    <w:rsid w:val="00477705"/>
    <w:rsid w:val="00481B02"/>
    <w:rsid w:val="00482B3F"/>
    <w:rsid w:val="0048426F"/>
    <w:rsid w:val="00492189"/>
    <w:rsid w:val="0049587C"/>
    <w:rsid w:val="004A2A1B"/>
    <w:rsid w:val="004B4D55"/>
    <w:rsid w:val="004B4E1F"/>
    <w:rsid w:val="004B4E7A"/>
    <w:rsid w:val="004B5211"/>
    <w:rsid w:val="004B67A7"/>
    <w:rsid w:val="004C75A4"/>
    <w:rsid w:val="004D0A6C"/>
    <w:rsid w:val="004D2598"/>
    <w:rsid w:val="004D3D6F"/>
    <w:rsid w:val="004D63B9"/>
    <w:rsid w:val="004E2D0A"/>
    <w:rsid w:val="004E33D5"/>
    <w:rsid w:val="004E3910"/>
    <w:rsid w:val="004E4003"/>
    <w:rsid w:val="004E5F9F"/>
    <w:rsid w:val="004F0B4B"/>
    <w:rsid w:val="004F2E0B"/>
    <w:rsid w:val="004F3CD7"/>
    <w:rsid w:val="004F4BB3"/>
    <w:rsid w:val="004F6458"/>
    <w:rsid w:val="00502AB2"/>
    <w:rsid w:val="00511983"/>
    <w:rsid w:val="0051413F"/>
    <w:rsid w:val="00520A6A"/>
    <w:rsid w:val="00522567"/>
    <w:rsid w:val="0053498E"/>
    <w:rsid w:val="00540E9D"/>
    <w:rsid w:val="0054462D"/>
    <w:rsid w:val="005625A2"/>
    <w:rsid w:val="00562EEA"/>
    <w:rsid w:val="00564EA8"/>
    <w:rsid w:val="00576860"/>
    <w:rsid w:val="0058242D"/>
    <w:rsid w:val="00583315"/>
    <w:rsid w:val="00584261"/>
    <w:rsid w:val="00590FE8"/>
    <w:rsid w:val="005A009D"/>
    <w:rsid w:val="005A247E"/>
    <w:rsid w:val="005A449A"/>
    <w:rsid w:val="005B2621"/>
    <w:rsid w:val="005B78C4"/>
    <w:rsid w:val="005D2811"/>
    <w:rsid w:val="005D7F0C"/>
    <w:rsid w:val="005E3E3C"/>
    <w:rsid w:val="005E5166"/>
    <w:rsid w:val="005F134F"/>
    <w:rsid w:val="005F226B"/>
    <w:rsid w:val="005F55C0"/>
    <w:rsid w:val="006005D3"/>
    <w:rsid w:val="00602BF5"/>
    <w:rsid w:val="00612390"/>
    <w:rsid w:val="00614237"/>
    <w:rsid w:val="00614ED5"/>
    <w:rsid w:val="00615E34"/>
    <w:rsid w:val="00621CE4"/>
    <w:rsid w:val="00624927"/>
    <w:rsid w:val="006401B3"/>
    <w:rsid w:val="006408F1"/>
    <w:rsid w:val="00641CF3"/>
    <w:rsid w:val="00651BBA"/>
    <w:rsid w:val="00653FC5"/>
    <w:rsid w:val="0065459A"/>
    <w:rsid w:val="00654D35"/>
    <w:rsid w:val="0065562C"/>
    <w:rsid w:val="00656F1C"/>
    <w:rsid w:val="006615A4"/>
    <w:rsid w:val="00664793"/>
    <w:rsid w:val="00667BA5"/>
    <w:rsid w:val="00672AB8"/>
    <w:rsid w:val="00674183"/>
    <w:rsid w:val="00677EEE"/>
    <w:rsid w:val="00681CCC"/>
    <w:rsid w:val="00682E76"/>
    <w:rsid w:val="00682EC9"/>
    <w:rsid w:val="00682FE9"/>
    <w:rsid w:val="006833FD"/>
    <w:rsid w:val="006A260A"/>
    <w:rsid w:val="006A3BA8"/>
    <w:rsid w:val="006A4AAD"/>
    <w:rsid w:val="006D1029"/>
    <w:rsid w:val="006D36A0"/>
    <w:rsid w:val="006D7DB0"/>
    <w:rsid w:val="006F14A0"/>
    <w:rsid w:val="007014D5"/>
    <w:rsid w:val="0070760A"/>
    <w:rsid w:val="00714A92"/>
    <w:rsid w:val="00722938"/>
    <w:rsid w:val="0072510C"/>
    <w:rsid w:val="00726105"/>
    <w:rsid w:val="00734465"/>
    <w:rsid w:val="007363FF"/>
    <w:rsid w:val="0074363C"/>
    <w:rsid w:val="00743B51"/>
    <w:rsid w:val="007540AC"/>
    <w:rsid w:val="00756BCF"/>
    <w:rsid w:val="007642EE"/>
    <w:rsid w:val="00765BD4"/>
    <w:rsid w:val="00766E39"/>
    <w:rsid w:val="0077144B"/>
    <w:rsid w:val="00786D42"/>
    <w:rsid w:val="007901C3"/>
    <w:rsid w:val="007A0595"/>
    <w:rsid w:val="007A15EC"/>
    <w:rsid w:val="007A3D83"/>
    <w:rsid w:val="007A5613"/>
    <w:rsid w:val="007B021E"/>
    <w:rsid w:val="007B4E76"/>
    <w:rsid w:val="007C2C27"/>
    <w:rsid w:val="007C5069"/>
    <w:rsid w:val="007C6199"/>
    <w:rsid w:val="007D6464"/>
    <w:rsid w:val="007E713D"/>
    <w:rsid w:val="008023A7"/>
    <w:rsid w:val="0080430C"/>
    <w:rsid w:val="00804BEE"/>
    <w:rsid w:val="008146C0"/>
    <w:rsid w:val="008165EB"/>
    <w:rsid w:val="0082243D"/>
    <w:rsid w:val="00825A15"/>
    <w:rsid w:val="00826575"/>
    <w:rsid w:val="00843398"/>
    <w:rsid w:val="008440C5"/>
    <w:rsid w:val="00845E9D"/>
    <w:rsid w:val="00850B9D"/>
    <w:rsid w:val="0086139C"/>
    <w:rsid w:val="00875275"/>
    <w:rsid w:val="00884653"/>
    <w:rsid w:val="008866C3"/>
    <w:rsid w:val="00886BE3"/>
    <w:rsid w:val="008933DA"/>
    <w:rsid w:val="00895896"/>
    <w:rsid w:val="00897904"/>
    <w:rsid w:val="008A1D56"/>
    <w:rsid w:val="008A3124"/>
    <w:rsid w:val="008A43EE"/>
    <w:rsid w:val="008B646F"/>
    <w:rsid w:val="008B78B3"/>
    <w:rsid w:val="008C0A24"/>
    <w:rsid w:val="008C3630"/>
    <w:rsid w:val="008C435D"/>
    <w:rsid w:val="008D5658"/>
    <w:rsid w:val="008D6D84"/>
    <w:rsid w:val="008E3FDF"/>
    <w:rsid w:val="008E479D"/>
    <w:rsid w:val="008E68EE"/>
    <w:rsid w:val="008F31B7"/>
    <w:rsid w:val="008F771B"/>
    <w:rsid w:val="009043CA"/>
    <w:rsid w:val="00906E5E"/>
    <w:rsid w:val="009101F6"/>
    <w:rsid w:val="009106EF"/>
    <w:rsid w:val="009213D6"/>
    <w:rsid w:val="0092175B"/>
    <w:rsid w:val="00921F3B"/>
    <w:rsid w:val="00932358"/>
    <w:rsid w:val="00933C57"/>
    <w:rsid w:val="009359AC"/>
    <w:rsid w:val="009436DE"/>
    <w:rsid w:val="0094491F"/>
    <w:rsid w:val="009452B2"/>
    <w:rsid w:val="00945DB8"/>
    <w:rsid w:val="00947C36"/>
    <w:rsid w:val="009601C5"/>
    <w:rsid w:val="00971021"/>
    <w:rsid w:val="00971806"/>
    <w:rsid w:val="0097256C"/>
    <w:rsid w:val="00974602"/>
    <w:rsid w:val="00977FB8"/>
    <w:rsid w:val="0098113A"/>
    <w:rsid w:val="00985C5A"/>
    <w:rsid w:val="009869AA"/>
    <w:rsid w:val="00996F8B"/>
    <w:rsid w:val="009B633E"/>
    <w:rsid w:val="009B7D26"/>
    <w:rsid w:val="009C0FEA"/>
    <w:rsid w:val="009C345A"/>
    <w:rsid w:val="009C52F1"/>
    <w:rsid w:val="009C6603"/>
    <w:rsid w:val="009D0F7E"/>
    <w:rsid w:val="009D10DA"/>
    <w:rsid w:val="00A00139"/>
    <w:rsid w:val="00A00D39"/>
    <w:rsid w:val="00A0107C"/>
    <w:rsid w:val="00A02941"/>
    <w:rsid w:val="00A076C6"/>
    <w:rsid w:val="00A102EE"/>
    <w:rsid w:val="00A16975"/>
    <w:rsid w:val="00A16C1D"/>
    <w:rsid w:val="00A24B2A"/>
    <w:rsid w:val="00A27B5B"/>
    <w:rsid w:val="00A3074A"/>
    <w:rsid w:val="00A34DE7"/>
    <w:rsid w:val="00A34E95"/>
    <w:rsid w:val="00A42322"/>
    <w:rsid w:val="00A42F50"/>
    <w:rsid w:val="00A55E3C"/>
    <w:rsid w:val="00A621AA"/>
    <w:rsid w:val="00A70A6E"/>
    <w:rsid w:val="00A70E35"/>
    <w:rsid w:val="00A80631"/>
    <w:rsid w:val="00A8144E"/>
    <w:rsid w:val="00A81B4C"/>
    <w:rsid w:val="00A864D6"/>
    <w:rsid w:val="00A8795E"/>
    <w:rsid w:val="00A97688"/>
    <w:rsid w:val="00AA47A4"/>
    <w:rsid w:val="00AA4FC6"/>
    <w:rsid w:val="00AA7768"/>
    <w:rsid w:val="00AA7DEE"/>
    <w:rsid w:val="00AB03D0"/>
    <w:rsid w:val="00AB1413"/>
    <w:rsid w:val="00AB16ED"/>
    <w:rsid w:val="00AB30E9"/>
    <w:rsid w:val="00AB3E0A"/>
    <w:rsid w:val="00AB550C"/>
    <w:rsid w:val="00AB6137"/>
    <w:rsid w:val="00AC0925"/>
    <w:rsid w:val="00AC1EBB"/>
    <w:rsid w:val="00AC3A2C"/>
    <w:rsid w:val="00AC62A4"/>
    <w:rsid w:val="00AC6AD6"/>
    <w:rsid w:val="00AD1F1E"/>
    <w:rsid w:val="00AD3201"/>
    <w:rsid w:val="00AD3712"/>
    <w:rsid w:val="00AD5569"/>
    <w:rsid w:val="00AE1B11"/>
    <w:rsid w:val="00AE237D"/>
    <w:rsid w:val="00AE3382"/>
    <w:rsid w:val="00AE3C2F"/>
    <w:rsid w:val="00AE484E"/>
    <w:rsid w:val="00AE59A9"/>
    <w:rsid w:val="00AE68E8"/>
    <w:rsid w:val="00AF6A18"/>
    <w:rsid w:val="00B10316"/>
    <w:rsid w:val="00B120B7"/>
    <w:rsid w:val="00B16071"/>
    <w:rsid w:val="00B1621C"/>
    <w:rsid w:val="00B203B5"/>
    <w:rsid w:val="00B2295C"/>
    <w:rsid w:val="00B24763"/>
    <w:rsid w:val="00B33F8E"/>
    <w:rsid w:val="00B36E32"/>
    <w:rsid w:val="00B37A1D"/>
    <w:rsid w:val="00B403DE"/>
    <w:rsid w:val="00B407D2"/>
    <w:rsid w:val="00B46A28"/>
    <w:rsid w:val="00B50679"/>
    <w:rsid w:val="00B52B39"/>
    <w:rsid w:val="00B5663B"/>
    <w:rsid w:val="00B5781D"/>
    <w:rsid w:val="00B6414C"/>
    <w:rsid w:val="00B66070"/>
    <w:rsid w:val="00B7669A"/>
    <w:rsid w:val="00B83E76"/>
    <w:rsid w:val="00B8799C"/>
    <w:rsid w:val="00B90006"/>
    <w:rsid w:val="00B900A4"/>
    <w:rsid w:val="00B96898"/>
    <w:rsid w:val="00BA1490"/>
    <w:rsid w:val="00BA292C"/>
    <w:rsid w:val="00BA7459"/>
    <w:rsid w:val="00BA7551"/>
    <w:rsid w:val="00BB0AF8"/>
    <w:rsid w:val="00BB6967"/>
    <w:rsid w:val="00BC1DD0"/>
    <w:rsid w:val="00BC3893"/>
    <w:rsid w:val="00BC5C16"/>
    <w:rsid w:val="00BC72FE"/>
    <w:rsid w:val="00BD0691"/>
    <w:rsid w:val="00BD2273"/>
    <w:rsid w:val="00BD42B7"/>
    <w:rsid w:val="00BD4AD4"/>
    <w:rsid w:val="00BD6397"/>
    <w:rsid w:val="00BE3A8C"/>
    <w:rsid w:val="00BE4AAC"/>
    <w:rsid w:val="00BF09C5"/>
    <w:rsid w:val="00C059BC"/>
    <w:rsid w:val="00C05F14"/>
    <w:rsid w:val="00C06A80"/>
    <w:rsid w:val="00C07E08"/>
    <w:rsid w:val="00C14D6C"/>
    <w:rsid w:val="00C14E72"/>
    <w:rsid w:val="00C14EEE"/>
    <w:rsid w:val="00C156EF"/>
    <w:rsid w:val="00C163F2"/>
    <w:rsid w:val="00C407DA"/>
    <w:rsid w:val="00C4278C"/>
    <w:rsid w:val="00C4502E"/>
    <w:rsid w:val="00C467F4"/>
    <w:rsid w:val="00C47B7F"/>
    <w:rsid w:val="00C505EF"/>
    <w:rsid w:val="00C51236"/>
    <w:rsid w:val="00C5718F"/>
    <w:rsid w:val="00C574D2"/>
    <w:rsid w:val="00C70B57"/>
    <w:rsid w:val="00C70FDF"/>
    <w:rsid w:val="00C728F8"/>
    <w:rsid w:val="00C729C5"/>
    <w:rsid w:val="00C7539F"/>
    <w:rsid w:val="00C76990"/>
    <w:rsid w:val="00C93609"/>
    <w:rsid w:val="00C96BA4"/>
    <w:rsid w:val="00CA15CD"/>
    <w:rsid w:val="00CA22C5"/>
    <w:rsid w:val="00CB2A20"/>
    <w:rsid w:val="00CB4538"/>
    <w:rsid w:val="00CB721F"/>
    <w:rsid w:val="00CC6B09"/>
    <w:rsid w:val="00CC7D10"/>
    <w:rsid w:val="00CD390A"/>
    <w:rsid w:val="00CD5234"/>
    <w:rsid w:val="00CD7CA9"/>
    <w:rsid w:val="00CE310F"/>
    <w:rsid w:val="00CE5B1F"/>
    <w:rsid w:val="00CF651F"/>
    <w:rsid w:val="00D026D9"/>
    <w:rsid w:val="00D07FD8"/>
    <w:rsid w:val="00D1611B"/>
    <w:rsid w:val="00D2667F"/>
    <w:rsid w:val="00D31119"/>
    <w:rsid w:val="00D35E8C"/>
    <w:rsid w:val="00D37E63"/>
    <w:rsid w:val="00D401D5"/>
    <w:rsid w:val="00D40373"/>
    <w:rsid w:val="00D42D35"/>
    <w:rsid w:val="00D50272"/>
    <w:rsid w:val="00D52F59"/>
    <w:rsid w:val="00D5350D"/>
    <w:rsid w:val="00D5405B"/>
    <w:rsid w:val="00D55D46"/>
    <w:rsid w:val="00D62DD5"/>
    <w:rsid w:val="00D679E8"/>
    <w:rsid w:val="00D70CFE"/>
    <w:rsid w:val="00D7535C"/>
    <w:rsid w:val="00D767D7"/>
    <w:rsid w:val="00D866A2"/>
    <w:rsid w:val="00D872ED"/>
    <w:rsid w:val="00D87E5F"/>
    <w:rsid w:val="00D92C7B"/>
    <w:rsid w:val="00DA07ED"/>
    <w:rsid w:val="00DA3FCF"/>
    <w:rsid w:val="00DA4022"/>
    <w:rsid w:val="00DB1992"/>
    <w:rsid w:val="00DB43BF"/>
    <w:rsid w:val="00DB67EB"/>
    <w:rsid w:val="00DD011A"/>
    <w:rsid w:val="00DD5B3D"/>
    <w:rsid w:val="00DE0AA3"/>
    <w:rsid w:val="00DE28E7"/>
    <w:rsid w:val="00DF13CD"/>
    <w:rsid w:val="00DF1B23"/>
    <w:rsid w:val="00DF2423"/>
    <w:rsid w:val="00DF383F"/>
    <w:rsid w:val="00E16881"/>
    <w:rsid w:val="00E16F22"/>
    <w:rsid w:val="00E21D4B"/>
    <w:rsid w:val="00E247D0"/>
    <w:rsid w:val="00E31BA0"/>
    <w:rsid w:val="00E3272F"/>
    <w:rsid w:val="00E3370C"/>
    <w:rsid w:val="00E339ED"/>
    <w:rsid w:val="00E40066"/>
    <w:rsid w:val="00E45FC4"/>
    <w:rsid w:val="00E51E41"/>
    <w:rsid w:val="00E53F1B"/>
    <w:rsid w:val="00E5595D"/>
    <w:rsid w:val="00E62E6C"/>
    <w:rsid w:val="00E63E29"/>
    <w:rsid w:val="00E65BE8"/>
    <w:rsid w:val="00E70DA3"/>
    <w:rsid w:val="00E711CB"/>
    <w:rsid w:val="00E76E81"/>
    <w:rsid w:val="00E81A5D"/>
    <w:rsid w:val="00E8362F"/>
    <w:rsid w:val="00E83A8B"/>
    <w:rsid w:val="00E86299"/>
    <w:rsid w:val="00E92DC6"/>
    <w:rsid w:val="00E96539"/>
    <w:rsid w:val="00EA0414"/>
    <w:rsid w:val="00EA5EA5"/>
    <w:rsid w:val="00EA6C4D"/>
    <w:rsid w:val="00EB2121"/>
    <w:rsid w:val="00EB698C"/>
    <w:rsid w:val="00EC3427"/>
    <w:rsid w:val="00EC4F52"/>
    <w:rsid w:val="00EC7D17"/>
    <w:rsid w:val="00ED13D0"/>
    <w:rsid w:val="00ED19ED"/>
    <w:rsid w:val="00ED49C8"/>
    <w:rsid w:val="00ED6B4A"/>
    <w:rsid w:val="00EE2B3C"/>
    <w:rsid w:val="00EE553F"/>
    <w:rsid w:val="00EF27AB"/>
    <w:rsid w:val="00F010F2"/>
    <w:rsid w:val="00F03BAF"/>
    <w:rsid w:val="00F106FF"/>
    <w:rsid w:val="00F1137D"/>
    <w:rsid w:val="00F13F0E"/>
    <w:rsid w:val="00F23627"/>
    <w:rsid w:val="00F24FCE"/>
    <w:rsid w:val="00F272A4"/>
    <w:rsid w:val="00F30232"/>
    <w:rsid w:val="00F345C9"/>
    <w:rsid w:val="00F35FE5"/>
    <w:rsid w:val="00F36A88"/>
    <w:rsid w:val="00F36B68"/>
    <w:rsid w:val="00F41574"/>
    <w:rsid w:val="00F42EA0"/>
    <w:rsid w:val="00F479BE"/>
    <w:rsid w:val="00F50ECA"/>
    <w:rsid w:val="00F527F3"/>
    <w:rsid w:val="00F60ED3"/>
    <w:rsid w:val="00F64382"/>
    <w:rsid w:val="00F7093B"/>
    <w:rsid w:val="00F71BEF"/>
    <w:rsid w:val="00F744CC"/>
    <w:rsid w:val="00F758E6"/>
    <w:rsid w:val="00F770CA"/>
    <w:rsid w:val="00F8591A"/>
    <w:rsid w:val="00F85A14"/>
    <w:rsid w:val="00F85BB3"/>
    <w:rsid w:val="00F90756"/>
    <w:rsid w:val="00F94C54"/>
    <w:rsid w:val="00FA52FE"/>
    <w:rsid w:val="00FB2CB4"/>
    <w:rsid w:val="00FB4444"/>
    <w:rsid w:val="00FB512B"/>
    <w:rsid w:val="00FC1CBA"/>
    <w:rsid w:val="00FC1ED2"/>
    <w:rsid w:val="00FC7A0F"/>
    <w:rsid w:val="00FD5255"/>
    <w:rsid w:val="00FD696E"/>
    <w:rsid w:val="00FE17DE"/>
    <w:rsid w:val="00FE1AB6"/>
    <w:rsid w:val="00FE311A"/>
    <w:rsid w:val="00FE5434"/>
    <w:rsid w:val="00FF0653"/>
    <w:rsid w:val="00FF069B"/>
    <w:rsid w:val="00FF127D"/>
    <w:rsid w:val="00FF2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B5FCA"/>
  <w15:docId w15:val="{EC7344B3-1D9C-674F-9C02-330E773B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8C4"/>
  </w:style>
  <w:style w:type="paragraph" w:styleId="1">
    <w:name w:val="heading 1"/>
    <w:basedOn w:val="a"/>
    <w:link w:val="10"/>
    <w:uiPriority w:val="9"/>
    <w:qFormat/>
    <w:rsid w:val="00147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472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4724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A05"/>
    <w:pPr>
      <w:spacing w:after="0" w:line="240" w:lineRule="auto"/>
    </w:pPr>
  </w:style>
  <w:style w:type="character" w:customStyle="1" w:styleId="10">
    <w:name w:val="标题 1 字符"/>
    <w:basedOn w:val="a0"/>
    <w:link w:val="1"/>
    <w:uiPriority w:val="9"/>
    <w:rsid w:val="0014724E"/>
    <w:rPr>
      <w:rFonts w:ascii="Times New Roman" w:eastAsia="Times New Roman" w:hAnsi="Times New Roman" w:cs="Times New Roman"/>
      <w:b/>
      <w:bCs/>
      <w:kern w:val="36"/>
      <w:sz w:val="48"/>
      <w:szCs w:val="48"/>
    </w:rPr>
  </w:style>
  <w:style w:type="character" w:customStyle="1" w:styleId="30">
    <w:name w:val="标题 3 字符"/>
    <w:basedOn w:val="a0"/>
    <w:link w:val="3"/>
    <w:uiPriority w:val="9"/>
    <w:rsid w:val="0014724E"/>
    <w:rPr>
      <w:rFonts w:ascii="Times New Roman" w:eastAsia="Times New Roman" w:hAnsi="Times New Roman" w:cs="Times New Roman"/>
      <w:b/>
      <w:bCs/>
      <w:sz w:val="27"/>
      <w:szCs w:val="27"/>
    </w:rPr>
  </w:style>
  <w:style w:type="character" w:styleId="a4">
    <w:name w:val="Hyperlink"/>
    <w:basedOn w:val="a0"/>
    <w:uiPriority w:val="99"/>
    <w:unhideWhenUsed/>
    <w:rsid w:val="0014724E"/>
    <w:rPr>
      <w:color w:val="0000FF"/>
      <w:u w:val="single"/>
    </w:rPr>
  </w:style>
  <w:style w:type="character" w:customStyle="1" w:styleId="apple-converted-space">
    <w:name w:val="apple-converted-space"/>
    <w:basedOn w:val="a0"/>
    <w:rsid w:val="0014724E"/>
  </w:style>
  <w:style w:type="character" w:customStyle="1" w:styleId="highlight">
    <w:name w:val="highlight"/>
    <w:basedOn w:val="a0"/>
    <w:rsid w:val="0014724E"/>
  </w:style>
  <w:style w:type="character" w:customStyle="1" w:styleId="ui-ncbitoggler-master-text">
    <w:name w:val="ui-ncbitoggler-master-text"/>
    <w:basedOn w:val="a0"/>
    <w:rsid w:val="0014724E"/>
  </w:style>
  <w:style w:type="paragraph" w:styleId="a5">
    <w:name w:val="Normal (Web)"/>
    <w:basedOn w:val="a"/>
    <w:uiPriority w:val="99"/>
    <w:unhideWhenUsed/>
    <w:rsid w:val="00147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标题 4 字符"/>
    <w:basedOn w:val="a0"/>
    <w:link w:val="4"/>
    <w:uiPriority w:val="9"/>
    <w:semiHidden/>
    <w:rsid w:val="0014724E"/>
    <w:rPr>
      <w:rFonts w:asciiTheme="majorHAnsi" w:eastAsiaTheme="majorEastAsia" w:hAnsiTheme="majorHAnsi" w:cstheme="majorBidi"/>
      <w:b/>
      <w:bCs/>
      <w:i/>
      <w:iCs/>
      <w:color w:val="5B9BD5" w:themeColor="accent1"/>
    </w:rPr>
  </w:style>
  <w:style w:type="paragraph" w:styleId="a6">
    <w:name w:val="List Paragraph"/>
    <w:basedOn w:val="a"/>
    <w:uiPriority w:val="34"/>
    <w:qFormat/>
    <w:rsid w:val="0014724E"/>
    <w:pPr>
      <w:ind w:left="720"/>
      <w:contextualSpacing/>
    </w:pPr>
  </w:style>
  <w:style w:type="paragraph" w:styleId="a7">
    <w:name w:val="Balloon Text"/>
    <w:basedOn w:val="a"/>
    <w:link w:val="a8"/>
    <w:uiPriority w:val="99"/>
    <w:semiHidden/>
    <w:unhideWhenUsed/>
    <w:rsid w:val="008165EB"/>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8165EB"/>
    <w:rPr>
      <w:rFonts w:ascii="Tahoma" w:hAnsi="Tahoma" w:cs="Tahoma"/>
      <w:sz w:val="16"/>
      <w:szCs w:val="16"/>
    </w:rPr>
  </w:style>
  <w:style w:type="paragraph" w:styleId="a9">
    <w:name w:val="header"/>
    <w:basedOn w:val="a"/>
    <w:link w:val="aa"/>
    <w:uiPriority w:val="99"/>
    <w:unhideWhenUsed/>
    <w:rsid w:val="001A3DB3"/>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uiPriority w:val="99"/>
    <w:rsid w:val="001A3DB3"/>
    <w:rPr>
      <w:sz w:val="18"/>
      <w:szCs w:val="18"/>
    </w:rPr>
  </w:style>
  <w:style w:type="paragraph" w:styleId="ab">
    <w:name w:val="footer"/>
    <w:basedOn w:val="a"/>
    <w:link w:val="ac"/>
    <w:uiPriority w:val="99"/>
    <w:unhideWhenUsed/>
    <w:rsid w:val="001A3DB3"/>
    <w:pPr>
      <w:tabs>
        <w:tab w:val="center" w:pos="4153"/>
        <w:tab w:val="right" w:pos="8306"/>
      </w:tabs>
      <w:snapToGrid w:val="0"/>
      <w:spacing w:line="240" w:lineRule="auto"/>
    </w:pPr>
    <w:rPr>
      <w:sz w:val="18"/>
      <w:szCs w:val="18"/>
    </w:rPr>
  </w:style>
  <w:style w:type="character" w:customStyle="1" w:styleId="ac">
    <w:name w:val="页脚 字符"/>
    <w:basedOn w:val="a0"/>
    <w:link w:val="ab"/>
    <w:uiPriority w:val="99"/>
    <w:rsid w:val="001A3DB3"/>
    <w:rPr>
      <w:sz w:val="18"/>
      <w:szCs w:val="18"/>
    </w:rPr>
  </w:style>
  <w:style w:type="character" w:styleId="ad">
    <w:name w:val="annotation reference"/>
    <w:basedOn w:val="a0"/>
    <w:uiPriority w:val="99"/>
    <w:unhideWhenUsed/>
    <w:qFormat/>
    <w:rsid w:val="001A3DB3"/>
    <w:rPr>
      <w:sz w:val="21"/>
      <w:szCs w:val="21"/>
    </w:rPr>
  </w:style>
  <w:style w:type="paragraph" w:styleId="ae">
    <w:name w:val="annotation text"/>
    <w:basedOn w:val="a"/>
    <w:link w:val="af"/>
    <w:uiPriority w:val="99"/>
    <w:unhideWhenUsed/>
    <w:qFormat/>
    <w:rsid w:val="001A3DB3"/>
  </w:style>
  <w:style w:type="character" w:customStyle="1" w:styleId="af">
    <w:name w:val="批注文字 字符"/>
    <w:basedOn w:val="a0"/>
    <w:link w:val="ae"/>
    <w:uiPriority w:val="99"/>
    <w:qFormat/>
    <w:rsid w:val="001A3DB3"/>
  </w:style>
  <w:style w:type="paragraph" w:styleId="af0">
    <w:name w:val="annotation subject"/>
    <w:basedOn w:val="ae"/>
    <w:next w:val="ae"/>
    <w:link w:val="af1"/>
    <w:uiPriority w:val="99"/>
    <w:semiHidden/>
    <w:unhideWhenUsed/>
    <w:rsid w:val="001A3DB3"/>
    <w:rPr>
      <w:b/>
      <w:bCs/>
    </w:rPr>
  </w:style>
  <w:style w:type="character" w:customStyle="1" w:styleId="af1">
    <w:name w:val="批注主题 字符"/>
    <w:basedOn w:val="af"/>
    <w:link w:val="af0"/>
    <w:uiPriority w:val="99"/>
    <w:semiHidden/>
    <w:rsid w:val="001A3DB3"/>
    <w:rPr>
      <w:b/>
      <w:bCs/>
    </w:rPr>
  </w:style>
  <w:style w:type="paragraph" w:styleId="af2">
    <w:name w:val="footnote text"/>
    <w:basedOn w:val="a"/>
    <w:link w:val="af3"/>
    <w:uiPriority w:val="99"/>
    <w:semiHidden/>
    <w:unhideWhenUsed/>
    <w:rsid w:val="001A3DB3"/>
    <w:pPr>
      <w:widowControl w:val="0"/>
      <w:snapToGrid w:val="0"/>
      <w:spacing w:after="0" w:line="240" w:lineRule="auto"/>
    </w:pPr>
    <w:rPr>
      <w:kern w:val="2"/>
      <w:sz w:val="18"/>
      <w:szCs w:val="18"/>
      <w:lang w:eastAsia="zh-CN"/>
    </w:rPr>
  </w:style>
  <w:style w:type="character" w:customStyle="1" w:styleId="af3">
    <w:name w:val="脚注文本 字符"/>
    <w:basedOn w:val="a0"/>
    <w:link w:val="af2"/>
    <w:uiPriority w:val="99"/>
    <w:semiHidden/>
    <w:rsid w:val="001A3DB3"/>
    <w:rPr>
      <w:kern w:val="2"/>
      <w:sz w:val="18"/>
      <w:szCs w:val="18"/>
      <w:lang w:eastAsia="zh-CN"/>
    </w:rPr>
  </w:style>
  <w:style w:type="paragraph" w:styleId="af4">
    <w:name w:val="Body Text"/>
    <w:basedOn w:val="a"/>
    <w:link w:val="af5"/>
    <w:uiPriority w:val="1"/>
    <w:qFormat/>
    <w:rsid w:val="00F35FE5"/>
    <w:pPr>
      <w:widowControl w:val="0"/>
      <w:spacing w:after="0" w:line="240" w:lineRule="auto"/>
      <w:ind w:left="100"/>
    </w:pPr>
    <w:rPr>
      <w:rFonts w:ascii="Times New Roman" w:eastAsia="Times New Roman" w:hAnsi="Times New Roman"/>
      <w:sz w:val="24"/>
      <w:szCs w:val="24"/>
    </w:rPr>
  </w:style>
  <w:style w:type="character" w:customStyle="1" w:styleId="af5">
    <w:name w:val="正文文本 字符"/>
    <w:basedOn w:val="a0"/>
    <w:link w:val="af4"/>
    <w:uiPriority w:val="1"/>
    <w:rsid w:val="00F35FE5"/>
    <w:rPr>
      <w:rFonts w:ascii="Times New Roman" w:eastAsia="Times New Roman" w:hAnsi="Times New Roman"/>
      <w:sz w:val="24"/>
      <w:szCs w:val="24"/>
    </w:rPr>
  </w:style>
  <w:style w:type="character" w:customStyle="1" w:styleId="11">
    <w:name w:val="未处理的提及1"/>
    <w:basedOn w:val="a0"/>
    <w:uiPriority w:val="99"/>
    <w:semiHidden/>
    <w:unhideWhenUsed/>
    <w:rsid w:val="005A449A"/>
    <w:rPr>
      <w:color w:val="605E5C"/>
      <w:shd w:val="clear" w:color="auto" w:fill="E1DFDD"/>
    </w:rPr>
  </w:style>
  <w:style w:type="paragraph" w:styleId="af6">
    <w:name w:val="Revision"/>
    <w:hidden/>
    <w:uiPriority w:val="99"/>
    <w:semiHidden/>
    <w:rsid w:val="001E0E3C"/>
    <w:pPr>
      <w:spacing w:after="0" w:line="240" w:lineRule="auto"/>
    </w:pPr>
  </w:style>
  <w:style w:type="character" w:customStyle="1" w:styleId="UnresolvedMention">
    <w:name w:val="Unresolved Mention"/>
    <w:basedOn w:val="a0"/>
    <w:uiPriority w:val="99"/>
    <w:semiHidden/>
    <w:unhideWhenUsed/>
    <w:rsid w:val="002E4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353">
      <w:bodyDiv w:val="1"/>
      <w:marLeft w:val="0"/>
      <w:marRight w:val="0"/>
      <w:marTop w:val="0"/>
      <w:marBottom w:val="0"/>
      <w:divBdr>
        <w:top w:val="none" w:sz="0" w:space="0" w:color="auto"/>
        <w:left w:val="none" w:sz="0" w:space="0" w:color="auto"/>
        <w:bottom w:val="none" w:sz="0" w:space="0" w:color="auto"/>
        <w:right w:val="none" w:sz="0" w:space="0" w:color="auto"/>
      </w:divBdr>
      <w:divsChild>
        <w:div w:id="1051805017">
          <w:marLeft w:val="274"/>
          <w:marRight w:val="0"/>
          <w:marTop w:val="0"/>
          <w:marBottom w:val="0"/>
          <w:divBdr>
            <w:top w:val="none" w:sz="0" w:space="0" w:color="auto"/>
            <w:left w:val="none" w:sz="0" w:space="0" w:color="auto"/>
            <w:bottom w:val="none" w:sz="0" w:space="0" w:color="auto"/>
            <w:right w:val="none" w:sz="0" w:space="0" w:color="auto"/>
          </w:divBdr>
        </w:div>
        <w:div w:id="675809904">
          <w:marLeft w:val="274"/>
          <w:marRight w:val="0"/>
          <w:marTop w:val="0"/>
          <w:marBottom w:val="0"/>
          <w:divBdr>
            <w:top w:val="none" w:sz="0" w:space="0" w:color="auto"/>
            <w:left w:val="none" w:sz="0" w:space="0" w:color="auto"/>
            <w:bottom w:val="none" w:sz="0" w:space="0" w:color="auto"/>
            <w:right w:val="none" w:sz="0" w:space="0" w:color="auto"/>
          </w:divBdr>
        </w:div>
        <w:div w:id="470103086">
          <w:marLeft w:val="274"/>
          <w:marRight w:val="0"/>
          <w:marTop w:val="0"/>
          <w:marBottom w:val="0"/>
          <w:divBdr>
            <w:top w:val="none" w:sz="0" w:space="0" w:color="auto"/>
            <w:left w:val="none" w:sz="0" w:space="0" w:color="auto"/>
            <w:bottom w:val="none" w:sz="0" w:space="0" w:color="auto"/>
            <w:right w:val="none" w:sz="0" w:space="0" w:color="auto"/>
          </w:divBdr>
        </w:div>
        <w:div w:id="206451081">
          <w:marLeft w:val="274"/>
          <w:marRight w:val="0"/>
          <w:marTop w:val="0"/>
          <w:marBottom w:val="0"/>
          <w:divBdr>
            <w:top w:val="none" w:sz="0" w:space="0" w:color="auto"/>
            <w:left w:val="none" w:sz="0" w:space="0" w:color="auto"/>
            <w:bottom w:val="none" w:sz="0" w:space="0" w:color="auto"/>
            <w:right w:val="none" w:sz="0" w:space="0" w:color="auto"/>
          </w:divBdr>
        </w:div>
        <w:div w:id="1503280773">
          <w:marLeft w:val="274"/>
          <w:marRight w:val="0"/>
          <w:marTop w:val="0"/>
          <w:marBottom w:val="0"/>
          <w:divBdr>
            <w:top w:val="none" w:sz="0" w:space="0" w:color="auto"/>
            <w:left w:val="none" w:sz="0" w:space="0" w:color="auto"/>
            <w:bottom w:val="none" w:sz="0" w:space="0" w:color="auto"/>
            <w:right w:val="none" w:sz="0" w:space="0" w:color="auto"/>
          </w:divBdr>
        </w:div>
        <w:div w:id="1356076327">
          <w:marLeft w:val="274"/>
          <w:marRight w:val="0"/>
          <w:marTop w:val="0"/>
          <w:marBottom w:val="0"/>
          <w:divBdr>
            <w:top w:val="none" w:sz="0" w:space="0" w:color="auto"/>
            <w:left w:val="none" w:sz="0" w:space="0" w:color="auto"/>
            <w:bottom w:val="none" w:sz="0" w:space="0" w:color="auto"/>
            <w:right w:val="none" w:sz="0" w:space="0" w:color="auto"/>
          </w:divBdr>
        </w:div>
        <w:div w:id="1525826457">
          <w:marLeft w:val="274"/>
          <w:marRight w:val="0"/>
          <w:marTop w:val="0"/>
          <w:marBottom w:val="0"/>
          <w:divBdr>
            <w:top w:val="none" w:sz="0" w:space="0" w:color="auto"/>
            <w:left w:val="none" w:sz="0" w:space="0" w:color="auto"/>
            <w:bottom w:val="none" w:sz="0" w:space="0" w:color="auto"/>
            <w:right w:val="none" w:sz="0" w:space="0" w:color="auto"/>
          </w:divBdr>
        </w:div>
      </w:divsChild>
    </w:div>
    <w:div w:id="126045006">
      <w:bodyDiv w:val="1"/>
      <w:marLeft w:val="0"/>
      <w:marRight w:val="0"/>
      <w:marTop w:val="0"/>
      <w:marBottom w:val="0"/>
      <w:divBdr>
        <w:top w:val="none" w:sz="0" w:space="0" w:color="auto"/>
        <w:left w:val="none" w:sz="0" w:space="0" w:color="auto"/>
        <w:bottom w:val="none" w:sz="0" w:space="0" w:color="auto"/>
        <w:right w:val="none" w:sz="0" w:space="0" w:color="auto"/>
      </w:divBdr>
      <w:divsChild>
        <w:div w:id="1747069615">
          <w:marLeft w:val="0"/>
          <w:marRight w:val="0"/>
          <w:marTop w:val="0"/>
          <w:marBottom w:val="0"/>
          <w:divBdr>
            <w:top w:val="none" w:sz="0" w:space="0" w:color="auto"/>
            <w:left w:val="none" w:sz="0" w:space="0" w:color="auto"/>
            <w:bottom w:val="none" w:sz="0" w:space="0" w:color="auto"/>
            <w:right w:val="none" w:sz="0" w:space="0" w:color="auto"/>
          </w:divBdr>
          <w:divsChild>
            <w:div w:id="445930095">
              <w:marLeft w:val="0"/>
              <w:marRight w:val="0"/>
              <w:marTop w:val="0"/>
              <w:marBottom w:val="150"/>
              <w:divBdr>
                <w:top w:val="single" w:sz="6" w:space="0" w:color="A6CE39"/>
                <w:left w:val="single" w:sz="6" w:space="0" w:color="A6CE39"/>
                <w:bottom w:val="single" w:sz="6" w:space="0" w:color="A6CE39"/>
                <w:right w:val="single" w:sz="6" w:space="0" w:color="A6CE39"/>
              </w:divBdr>
              <w:divsChild>
                <w:div w:id="1270773969">
                  <w:marLeft w:val="0"/>
                  <w:marRight w:val="0"/>
                  <w:marTop w:val="0"/>
                  <w:marBottom w:val="0"/>
                  <w:divBdr>
                    <w:top w:val="none" w:sz="0" w:space="0" w:color="auto"/>
                    <w:left w:val="none" w:sz="0" w:space="0" w:color="auto"/>
                    <w:bottom w:val="none" w:sz="0" w:space="0" w:color="auto"/>
                    <w:right w:val="none" w:sz="0" w:space="0" w:color="auto"/>
                  </w:divBdr>
                  <w:divsChild>
                    <w:div w:id="541869997">
                      <w:marLeft w:val="-75"/>
                      <w:marRight w:val="-75"/>
                      <w:marTop w:val="0"/>
                      <w:marBottom w:val="0"/>
                      <w:divBdr>
                        <w:top w:val="none" w:sz="0" w:space="0" w:color="auto"/>
                        <w:left w:val="none" w:sz="0" w:space="0" w:color="auto"/>
                        <w:bottom w:val="none" w:sz="0" w:space="0" w:color="auto"/>
                        <w:right w:val="none" w:sz="0" w:space="0" w:color="auto"/>
                      </w:divBdr>
                      <w:divsChild>
                        <w:div w:id="16498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901148">
      <w:bodyDiv w:val="1"/>
      <w:marLeft w:val="0"/>
      <w:marRight w:val="0"/>
      <w:marTop w:val="0"/>
      <w:marBottom w:val="0"/>
      <w:divBdr>
        <w:top w:val="none" w:sz="0" w:space="0" w:color="auto"/>
        <w:left w:val="none" w:sz="0" w:space="0" w:color="auto"/>
        <w:bottom w:val="none" w:sz="0" w:space="0" w:color="auto"/>
        <w:right w:val="none" w:sz="0" w:space="0" w:color="auto"/>
      </w:divBdr>
      <w:divsChild>
        <w:div w:id="759177169">
          <w:marLeft w:val="0"/>
          <w:marRight w:val="0"/>
          <w:marTop w:val="0"/>
          <w:marBottom w:val="0"/>
          <w:divBdr>
            <w:top w:val="none" w:sz="0" w:space="0" w:color="auto"/>
            <w:left w:val="none" w:sz="0" w:space="0" w:color="auto"/>
            <w:bottom w:val="none" w:sz="0" w:space="0" w:color="auto"/>
            <w:right w:val="none" w:sz="0" w:space="0" w:color="auto"/>
          </w:divBdr>
          <w:divsChild>
            <w:div w:id="168645182">
              <w:marLeft w:val="0"/>
              <w:marRight w:val="0"/>
              <w:marTop w:val="0"/>
              <w:marBottom w:val="150"/>
              <w:divBdr>
                <w:top w:val="single" w:sz="6" w:space="0" w:color="A6CE39"/>
                <w:left w:val="single" w:sz="6" w:space="0" w:color="A6CE39"/>
                <w:bottom w:val="single" w:sz="6" w:space="0" w:color="A6CE39"/>
                <w:right w:val="single" w:sz="6" w:space="0" w:color="A6CE39"/>
              </w:divBdr>
              <w:divsChild>
                <w:div w:id="1807122191">
                  <w:marLeft w:val="0"/>
                  <w:marRight w:val="0"/>
                  <w:marTop w:val="0"/>
                  <w:marBottom w:val="0"/>
                  <w:divBdr>
                    <w:top w:val="none" w:sz="0" w:space="0" w:color="auto"/>
                    <w:left w:val="none" w:sz="0" w:space="0" w:color="auto"/>
                    <w:bottom w:val="none" w:sz="0" w:space="0" w:color="auto"/>
                    <w:right w:val="none" w:sz="0" w:space="0" w:color="auto"/>
                  </w:divBdr>
                  <w:divsChild>
                    <w:div w:id="407189217">
                      <w:marLeft w:val="-75"/>
                      <w:marRight w:val="-75"/>
                      <w:marTop w:val="0"/>
                      <w:marBottom w:val="0"/>
                      <w:divBdr>
                        <w:top w:val="none" w:sz="0" w:space="0" w:color="auto"/>
                        <w:left w:val="none" w:sz="0" w:space="0" w:color="auto"/>
                        <w:bottom w:val="none" w:sz="0" w:space="0" w:color="auto"/>
                        <w:right w:val="none" w:sz="0" w:space="0" w:color="auto"/>
                      </w:divBdr>
                      <w:divsChild>
                        <w:div w:id="9808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84854">
      <w:bodyDiv w:val="1"/>
      <w:marLeft w:val="0"/>
      <w:marRight w:val="0"/>
      <w:marTop w:val="0"/>
      <w:marBottom w:val="0"/>
      <w:divBdr>
        <w:top w:val="none" w:sz="0" w:space="0" w:color="auto"/>
        <w:left w:val="none" w:sz="0" w:space="0" w:color="auto"/>
        <w:bottom w:val="none" w:sz="0" w:space="0" w:color="auto"/>
        <w:right w:val="none" w:sz="0" w:space="0" w:color="auto"/>
      </w:divBdr>
      <w:divsChild>
        <w:div w:id="106432196">
          <w:marLeft w:val="0"/>
          <w:marRight w:val="0"/>
          <w:marTop w:val="288"/>
          <w:marBottom w:val="100"/>
          <w:divBdr>
            <w:top w:val="none" w:sz="0" w:space="0" w:color="auto"/>
            <w:left w:val="none" w:sz="0" w:space="0" w:color="auto"/>
            <w:bottom w:val="none" w:sz="0" w:space="0" w:color="auto"/>
            <w:right w:val="none" w:sz="0" w:space="0" w:color="auto"/>
          </w:divBdr>
          <w:divsChild>
            <w:div w:id="10732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4711">
      <w:bodyDiv w:val="1"/>
      <w:marLeft w:val="0"/>
      <w:marRight w:val="0"/>
      <w:marTop w:val="0"/>
      <w:marBottom w:val="0"/>
      <w:divBdr>
        <w:top w:val="none" w:sz="0" w:space="0" w:color="auto"/>
        <w:left w:val="none" w:sz="0" w:space="0" w:color="auto"/>
        <w:bottom w:val="none" w:sz="0" w:space="0" w:color="auto"/>
        <w:right w:val="none" w:sz="0" w:space="0" w:color="auto"/>
      </w:divBdr>
      <w:divsChild>
        <w:div w:id="1657302518">
          <w:marLeft w:val="0"/>
          <w:marRight w:val="0"/>
          <w:marTop w:val="288"/>
          <w:marBottom w:val="100"/>
          <w:divBdr>
            <w:top w:val="none" w:sz="0" w:space="0" w:color="auto"/>
            <w:left w:val="none" w:sz="0" w:space="0" w:color="auto"/>
            <w:bottom w:val="none" w:sz="0" w:space="0" w:color="auto"/>
            <w:right w:val="none" w:sz="0" w:space="0" w:color="auto"/>
          </w:divBdr>
          <w:divsChild>
            <w:div w:id="3374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5528">
      <w:bodyDiv w:val="1"/>
      <w:marLeft w:val="0"/>
      <w:marRight w:val="0"/>
      <w:marTop w:val="0"/>
      <w:marBottom w:val="0"/>
      <w:divBdr>
        <w:top w:val="none" w:sz="0" w:space="0" w:color="auto"/>
        <w:left w:val="none" w:sz="0" w:space="0" w:color="auto"/>
        <w:bottom w:val="none" w:sz="0" w:space="0" w:color="auto"/>
        <w:right w:val="none" w:sz="0" w:space="0" w:color="auto"/>
      </w:divBdr>
      <w:divsChild>
        <w:div w:id="1278948365">
          <w:marLeft w:val="274"/>
          <w:marRight w:val="0"/>
          <w:marTop w:val="0"/>
          <w:marBottom w:val="0"/>
          <w:divBdr>
            <w:top w:val="none" w:sz="0" w:space="0" w:color="auto"/>
            <w:left w:val="none" w:sz="0" w:space="0" w:color="auto"/>
            <w:bottom w:val="none" w:sz="0" w:space="0" w:color="auto"/>
            <w:right w:val="none" w:sz="0" w:space="0" w:color="auto"/>
          </w:divBdr>
        </w:div>
        <w:div w:id="844904079">
          <w:marLeft w:val="274"/>
          <w:marRight w:val="0"/>
          <w:marTop w:val="0"/>
          <w:marBottom w:val="0"/>
          <w:divBdr>
            <w:top w:val="none" w:sz="0" w:space="0" w:color="auto"/>
            <w:left w:val="none" w:sz="0" w:space="0" w:color="auto"/>
            <w:bottom w:val="none" w:sz="0" w:space="0" w:color="auto"/>
            <w:right w:val="none" w:sz="0" w:space="0" w:color="auto"/>
          </w:divBdr>
        </w:div>
        <w:div w:id="1620138764">
          <w:marLeft w:val="274"/>
          <w:marRight w:val="0"/>
          <w:marTop w:val="0"/>
          <w:marBottom w:val="0"/>
          <w:divBdr>
            <w:top w:val="none" w:sz="0" w:space="0" w:color="auto"/>
            <w:left w:val="none" w:sz="0" w:space="0" w:color="auto"/>
            <w:bottom w:val="none" w:sz="0" w:space="0" w:color="auto"/>
            <w:right w:val="none" w:sz="0" w:space="0" w:color="auto"/>
          </w:divBdr>
        </w:div>
        <w:div w:id="1043596608">
          <w:marLeft w:val="274"/>
          <w:marRight w:val="0"/>
          <w:marTop w:val="0"/>
          <w:marBottom w:val="0"/>
          <w:divBdr>
            <w:top w:val="none" w:sz="0" w:space="0" w:color="auto"/>
            <w:left w:val="none" w:sz="0" w:space="0" w:color="auto"/>
            <w:bottom w:val="none" w:sz="0" w:space="0" w:color="auto"/>
            <w:right w:val="none" w:sz="0" w:space="0" w:color="auto"/>
          </w:divBdr>
        </w:div>
        <w:div w:id="53047318">
          <w:marLeft w:val="274"/>
          <w:marRight w:val="0"/>
          <w:marTop w:val="0"/>
          <w:marBottom w:val="0"/>
          <w:divBdr>
            <w:top w:val="none" w:sz="0" w:space="0" w:color="auto"/>
            <w:left w:val="none" w:sz="0" w:space="0" w:color="auto"/>
            <w:bottom w:val="none" w:sz="0" w:space="0" w:color="auto"/>
            <w:right w:val="none" w:sz="0" w:space="0" w:color="auto"/>
          </w:divBdr>
        </w:div>
        <w:div w:id="28183970">
          <w:marLeft w:val="274"/>
          <w:marRight w:val="0"/>
          <w:marTop w:val="0"/>
          <w:marBottom w:val="0"/>
          <w:divBdr>
            <w:top w:val="none" w:sz="0" w:space="0" w:color="auto"/>
            <w:left w:val="none" w:sz="0" w:space="0" w:color="auto"/>
            <w:bottom w:val="none" w:sz="0" w:space="0" w:color="auto"/>
            <w:right w:val="none" w:sz="0" w:space="0" w:color="auto"/>
          </w:divBdr>
        </w:div>
        <w:div w:id="1002470830">
          <w:marLeft w:val="274"/>
          <w:marRight w:val="0"/>
          <w:marTop w:val="0"/>
          <w:marBottom w:val="0"/>
          <w:divBdr>
            <w:top w:val="none" w:sz="0" w:space="0" w:color="auto"/>
            <w:left w:val="none" w:sz="0" w:space="0" w:color="auto"/>
            <w:bottom w:val="none" w:sz="0" w:space="0" w:color="auto"/>
            <w:right w:val="none" w:sz="0" w:space="0" w:color="auto"/>
          </w:divBdr>
        </w:div>
      </w:divsChild>
    </w:div>
    <w:div w:id="548687922">
      <w:bodyDiv w:val="1"/>
      <w:marLeft w:val="0"/>
      <w:marRight w:val="0"/>
      <w:marTop w:val="0"/>
      <w:marBottom w:val="0"/>
      <w:divBdr>
        <w:top w:val="none" w:sz="0" w:space="0" w:color="auto"/>
        <w:left w:val="none" w:sz="0" w:space="0" w:color="auto"/>
        <w:bottom w:val="none" w:sz="0" w:space="0" w:color="auto"/>
        <w:right w:val="none" w:sz="0" w:space="0" w:color="auto"/>
      </w:divBdr>
      <w:divsChild>
        <w:div w:id="418872447">
          <w:marLeft w:val="274"/>
          <w:marRight w:val="0"/>
          <w:marTop w:val="0"/>
          <w:marBottom w:val="0"/>
          <w:divBdr>
            <w:top w:val="none" w:sz="0" w:space="0" w:color="auto"/>
            <w:left w:val="none" w:sz="0" w:space="0" w:color="auto"/>
            <w:bottom w:val="none" w:sz="0" w:space="0" w:color="auto"/>
            <w:right w:val="none" w:sz="0" w:space="0" w:color="auto"/>
          </w:divBdr>
        </w:div>
        <w:div w:id="1202396742">
          <w:marLeft w:val="274"/>
          <w:marRight w:val="0"/>
          <w:marTop w:val="0"/>
          <w:marBottom w:val="0"/>
          <w:divBdr>
            <w:top w:val="none" w:sz="0" w:space="0" w:color="auto"/>
            <w:left w:val="none" w:sz="0" w:space="0" w:color="auto"/>
            <w:bottom w:val="none" w:sz="0" w:space="0" w:color="auto"/>
            <w:right w:val="none" w:sz="0" w:space="0" w:color="auto"/>
          </w:divBdr>
        </w:div>
        <w:div w:id="1325549645">
          <w:marLeft w:val="274"/>
          <w:marRight w:val="0"/>
          <w:marTop w:val="0"/>
          <w:marBottom w:val="0"/>
          <w:divBdr>
            <w:top w:val="none" w:sz="0" w:space="0" w:color="auto"/>
            <w:left w:val="none" w:sz="0" w:space="0" w:color="auto"/>
            <w:bottom w:val="none" w:sz="0" w:space="0" w:color="auto"/>
            <w:right w:val="none" w:sz="0" w:space="0" w:color="auto"/>
          </w:divBdr>
        </w:div>
        <w:div w:id="1552425879">
          <w:marLeft w:val="274"/>
          <w:marRight w:val="0"/>
          <w:marTop w:val="0"/>
          <w:marBottom w:val="0"/>
          <w:divBdr>
            <w:top w:val="none" w:sz="0" w:space="0" w:color="auto"/>
            <w:left w:val="none" w:sz="0" w:space="0" w:color="auto"/>
            <w:bottom w:val="none" w:sz="0" w:space="0" w:color="auto"/>
            <w:right w:val="none" w:sz="0" w:space="0" w:color="auto"/>
          </w:divBdr>
        </w:div>
        <w:div w:id="863328966">
          <w:marLeft w:val="274"/>
          <w:marRight w:val="0"/>
          <w:marTop w:val="0"/>
          <w:marBottom w:val="0"/>
          <w:divBdr>
            <w:top w:val="none" w:sz="0" w:space="0" w:color="auto"/>
            <w:left w:val="none" w:sz="0" w:space="0" w:color="auto"/>
            <w:bottom w:val="none" w:sz="0" w:space="0" w:color="auto"/>
            <w:right w:val="none" w:sz="0" w:space="0" w:color="auto"/>
          </w:divBdr>
        </w:div>
        <w:div w:id="1171483104">
          <w:marLeft w:val="274"/>
          <w:marRight w:val="0"/>
          <w:marTop w:val="0"/>
          <w:marBottom w:val="0"/>
          <w:divBdr>
            <w:top w:val="none" w:sz="0" w:space="0" w:color="auto"/>
            <w:left w:val="none" w:sz="0" w:space="0" w:color="auto"/>
            <w:bottom w:val="none" w:sz="0" w:space="0" w:color="auto"/>
            <w:right w:val="none" w:sz="0" w:space="0" w:color="auto"/>
          </w:divBdr>
        </w:div>
        <w:div w:id="1875120149">
          <w:marLeft w:val="274"/>
          <w:marRight w:val="0"/>
          <w:marTop w:val="0"/>
          <w:marBottom w:val="0"/>
          <w:divBdr>
            <w:top w:val="none" w:sz="0" w:space="0" w:color="auto"/>
            <w:left w:val="none" w:sz="0" w:space="0" w:color="auto"/>
            <w:bottom w:val="none" w:sz="0" w:space="0" w:color="auto"/>
            <w:right w:val="none" w:sz="0" w:space="0" w:color="auto"/>
          </w:divBdr>
        </w:div>
      </w:divsChild>
    </w:div>
    <w:div w:id="910580307">
      <w:bodyDiv w:val="1"/>
      <w:marLeft w:val="0"/>
      <w:marRight w:val="0"/>
      <w:marTop w:val="0"/>
      <w:marBottom w:val="0"/>
      <w:divBdr>
        <w:top w:val="none" w:sz="0" w:space="0" w:color="auto"/>
        <w:left w:val="none" w:sz="0" w:space="0" w:color="auto"/>
        <w:bottom w:val="none" w:sz="0" w:space="0" w:color="auto"/>
        <w:right w:val="none" w:sz="0" w:space="0" w:color="auto"/>
      </w:divBdr>
      <w:divsChild>
        <w:div w:id="953756690">
          <w:marLeft w:val="0"/>
          <w:marRight w:val="0"/>
          <w:marTop w:val="288"/>
          <w:marBottom w:val="100"/>
          <w:divBdr>
            <w:top w:val="none" w:sz="0" w:space="0" w:color="auto"/>
            <w:left w:val="none" w:sz="0" w:space="0" w:color="auto"/>
            <w:bottom w:val="none" w:sz="0" w:space="0" w:color="auto"/>
            <w:right w:val="none" w:sz="0" w:space="0" w:color="auto"/>
          </w:divBdr>
          <w:divsChild>
            <w:div w:id="6256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5265">
      <w:bodyDiv w:val="1"/>
      <w:marLeft w:val="0"/>
      <w:marRight w:val="0"/>
      <w:marTop w:val="0"/>
      <w:marBottom w:val="0"/>
      <w:divBdr>
        <w:top w:val="none" w:sz="0" w:space="0" w:color="auto"/>
        <w:left w:val="none" w:sz="0" w:space="0" w:color="auto"/>
        <w:bottom w:val="none" w:sz="0" w:space="0" w:color="auto"/>
        <w:right w:val="none" w:sz="0" w:space="0" w:color="auto"/>
      </w:divBdr>
      <w:divsChild>
        <w:div w:id="1400517555">
          <w:marLeft w:val="274"/>
          <w:marRight w:val="0"/>
          <w:marTop w:val="0"/>
          <w:marBottom w:val="0"/>
          <w:divBdr>
            <w:top w:val="none" w:sz="0" w:space="0" w:color="auto"/>
            <w:left w:val="none" w:sz="0" w:space="0" w:color="auto"/>
            <w:bottom w:val="none" w:sz="0" w:space="0" w:color="auto"/>
            <w:right w:val="none" w:sz="0" w:space="0" w:color="auto"/>
          </w:divBdr>
        </w:div>
        <w:div w:id="1959989607">
          <w:marLeft w:val="274"/>
          <w:marRight w:val="0"/>
          <w:marTop w:val="0"/>
          <w:marBottom w:val="0"/>
          <w:divBdr>
            <w:top w:val="none" w:sz="0" w:space="0" w:color="auto"/>
            <w:left w:val="none" w:sz="0" w:space="0" w:color="auto"/>
            <w:bottom w:val="none" w:sz="0" w:space="0" w:color="auto"/>
            <w:right w:val="none" w:sz="0" w:space="0" w:color="auto"/>
          </w:divBdr>
        </w:div>
        <w:div w:id="252204877">
          <w:marLeft w:val="274"/>
          <w:marRight w:val="0"/>
          <w:marTop w:val="0"/>
          <w:marBottom w:val="0"/>
          <w:divBdr>
            <w:top w:val="none" w:sz="0" w:space="0" w:color="auto"/>
            <w:left w:val="none" w:sz="0" w:space="0" w:color="auto"/>
            <w:bottom w:val="none" w:sz="0" w:space="0" w:color="auto"/>
            <w:right w:val="none" w:sz="0" w:space="0" w:color="auto"/>
          </w:divBdr>
        </w:div>
        <w:div w:id="1163156161">
          <w:marLeft w:val="274"/>
          <w:marRight w:val="0"/>
          <w:marTop w:val="0"/>
          <w:marBottom w:val="0"/>
          <w:divBdr>
            <w:top w:val="none" w:sz="0" w:space="0" w:color="auto"/>
            <w:left w:val="none" w:sz="0" w:space="0" w:color="auto"/>
            <w:bottom w:val="none" w:sz="0" w:space="0" w:color="auto"/>
            <w:right w:val="none" w:sz="0" w:space="0" w:color="auto"/>
          </w:divBdr>
        </w:div>
        <w:div w:id="735516293">
          <w:marLeft w:val="274"/>
          <w:marRight w:val="0"/>
          <w:marTop w:val="0"/>
          <w:marBottom w:val="0"/>
          <w:divBdr>
            <w:top w:val="none" w:sz="0" w:space="0" w:color="auto"/>
            <w:left w:val="none" w:sz="0" w:space="0" w:color="auto"/>
            <w:bottom w:val="none" w:sz="0" w:space="0" w:color="auto"/>
            <w:right w:val="none" w:sz="0" w:space="0" w:color="auto"/>
          </w:divBdr>
        </w:div>
        <w:div w:id="955408790">
          <w:marLeft w:val="274"/>
          <w:marRight w:val="0"/>
          <w:marTop w:val="0"/>
          <w:marBottom w:val="0"/>
          <w:divBdr>
            <w:top w:val="none" w:sz="0" w:space="0" w:color="auto"/>
            <w:left w:val="none" w:sz="0" w:space="0" w:color="auto"/>
            <w:bottom w:val="none" w:sz="0" w:space="0" w:color="auto"/>
            <w:right w:val="none" w:sz="0" w:space="0" w:color="auto"/>
          </w:divBdr>
        </w:div>
        <w:div w:id="897014130">
          <w:marLeft w:val="274"/>
          <w:marRight w:val="0"/>
          <w:marTop w:val="0"/>
          <w:marBottom w:val="0"/>
          <w:divBdr>
            <w:top w:val="none" w:sz="0" w:space="0" w:color="auto"/>
            <w:left w:val="none" w:sz="0" w:space="0" w:color="auto"/>
            <w:bottom w:val="none" w:sz="0" w:space="0" w:color="auto"/>
            <w:right w:val="none" w:sz="0" w:space="0" w:color="auto"/>
          </w:divBdr>
        </w:div>
      </w:divsChild>
    </w:div>
    <w:div w:id="1560629158">
      <w:bodyDiv w:val="1"/>
      <w:marLeft w:val="0"/>
      <w:marRight w:val="0"/>
      <w:marTop w:val="0"/>
      <w:marBottom w:val="0"/>
      <w:divBdr>
        <w:top w:val="none" w:sz="0" w:space="0" w:color="auto"/>
        <w:left w:val="none" w:sz="0" w:space="0" w:color="auto"/>
        <w:bottom w:val="none" w:sz="0" w:space="0" w:color="auto"/>
        <w:right w:val="none" w:sz="0" w:space="0" w:color="auto"/>
      </w:divBdr>
      <w:divsChild>
        <w:div w:id="1327830893">
          <w:marLeft w:val="274"/>
          <w:marRight w:val="0"/>
          <w:marTop w:val="0"/>
          <w:marBottom w:val="0"/>
          <w:divBdr>
            <w:top w:val="none" w:sz="0" w:space="0" w:color="auto"/>
            <w:left w:val="none" w:sz="0" w:space="0" w:color="auto"/>
            <w:bottom w:val="none" w:sz="0" w:space="0" w:color="auto"/>
            <w:right w:val="none" w:sz="0" w:space="0" w:color="auto"/>
          </w:divBdr>
        </w:div>
        <w:div w:id="343826236">
          <w:marLeft w:val="274"/>
          <w:marRight w:val="0"/>
          <w:marTop w:val="0"/>
          <w:marBottom w:val="0"/>
          <w:divBdr>
            <w:top w:val="none" w:sz="0" w:space="0" w:color="auto"/>
            <w:left w:val="none" w:sz="0" w:space="0" w:color="auto"/>
            <w:bottom w:val="none" w:sz="0" w:space="0" w:color="auto"/>
            <w:right w:val="none" w:sz="0" w:space="0" w:color="auto"/>
          </w:divBdr>
        </w:div>
        <w:div w:id="333149068">
          <w:marLeft w:val="274"/>
          <w:marRight w:val="0"/>
          <w:marTop w:val="0"/>
          <w:marBottom w:val="0"/>
          <w:divBdr>
            <w:top w:val="none" w:sz="0" w:space="0" w:color="auto"/>
            <w:left w:val="none" w:sz="0" w:space="0" w:color="auto"/>
            <w:bottom w:val="none" w:sz="0" w:space="0" w:color="auto"/>
            <w:right w:val="none" w:sz="0" w:space="0" w:color="auto"/>
          </w:divBdr>
        </w:div>
        <w:div w:id="1132090065">
          <w:marLeft w:val="274"/>
          <w:marRight w:val="0"/>
          <w:marTop w:val="0"/>
          <w:marBottom w:val="0"/>
          <w:divBdr>
            <w:top w:val="none" w:sz="0" w:space="0" w:color="auto"/>
            <w:left w:val="none" w:sz="0" w:space="0" w:color="auto"/>
            <w:bottom w:val="none" w:sz="0" w:space="0" w:color="auto"/>
            <w:right w:val="none" w:sz="0" w:space="0" w:color="auto"/>
          </w:divBdr>
        </w:div>
        <w:div w:id="117798945">
          <w:marLeft w:val="274"/>
          <w:marRight w:val="0"/>
          <w:marTop w:val="0"/>
          <w:marBottom w:val="0"/>
          <w:divBdr>
            <w:top w:val="none" w:sz="0" w:space="0" w:color="auto"/>
            <w:left w:val="none" w:sz="0" w:space="0" w:color="auto"/>
            <w:bottom w:val="none" w:sz="0" w:space="0" w:color="auto"/>
            <w:right w:val="none" w:sz="0" w:space="0" w:color="auto"/>
          </w:divBdr>
        </w:div>
        <w:div w:id="1123960408">
          <w:marLeft w:val="274"/>
          <w:marRight w:val="0"/>
          <w:marTop w:val="0"/>
          <w:marBottom w:val="0"/>
          <w:divBdr>
            <w:top w:val="none" w:sz="0" w:space="0" w:color="auto"/>
            <w:left w:val="none" w:sz="0" w:space="0" w:color="auto"/>
            <w:bottom w:val="none" w:sz="0" w:space="0" w:color="auto"/>
            <w:right w:val="none" w:sz="0" w:space="0" w:color="auto"/>
          </w:divBdr>
        </w:div>
        <w:div w:id="1292639542">
          <w:marLeft w:val="274"/>
          <w:marRight w:val="0"/>
          <w:marTop w:val="0"/>
          <w:marBottom w:val="0"/>
          <w:divBdr>
            <w:top w:val="none" w:sz="0" w:space="0" w:color="auto"/>
            <w:left w:val="none" w:sz="0" w:space="0" w:color="auto"/>
            <w:bottom w:val="none" w:sz="0" w:space="0" w:color="auto"/>
            <w:right w:val="none" w:sz="0" w:space="0" w:color="auto"/>
          </w:divBdr>
        </w:div>
      </w:divsChild>
    </w:div>
    <w:div w:id="1634367595">
      <w:bodyDiv w:val="1"/>
      <w:marLeft w:val="0"/>
      <w:marRight w:val="0"/>
      <w:marTop w:val="0"/>
      <w:marBottom w:val="0"/>
      <w:divBdr>
        <w:top w:val="none" w:sz="0" w:space="0" w:color="auto"/>
        <w:left w:val="none" w:sz="0" w:space="0" w:color="auto"/>
        <w:bottom w:val="none" w:sz="0" w:space="0" w:color="auto"/>
        <w:right w:val="none" w:sz="0" w:space="0" w:color="auto"/>
      </w:divBdr>
    </w:div>
    <w:div w:id="1710565935">
      <w:bodyDiv w:val="1"/>
      <w:marLeft w:val="0"/>
      <w:marRight w:val="0"/>
      <w:marTop w:val="0"/>
      <w:marBottom w:val="0"/>
      <w:divBdr>
        <w:top w:val="none" w:sz="0" w:space="0" w:color="auto"/>
        <w:left w:val="none" w:sz="0" w:space="0" w:color="auto"/>
        <w:bottom w:val="none" w:sz="0" w:space="0" w:color="auto"/>
        <w:right w:val="none" w:sz="0" w:space="0" w:color="auto"/>
      </w:divBdr>
      <w:divsChild>
        <w:div w:id="66611367">
          <w:marLeft w:val="0"/>
          <w:marRight w:val="0"/>
          <w:marTop w:val="0"/>
          <w:marBottom w:val="0"/>
          <w:divBdr>
            <w:top w:val="none" w:sz="0" w:space="0" w:color="auto"/>
            <w:left w:val="none" w:sz="0" w:space="0" w:color="auto"/>
            <w:bottom w:val="none" w:sz="0" w:space="0" w:color="auto"/>
            <w:right w:val="none" w:sz="0" w:space="0" w:color="auto"/>
          </w:divBdr>
          <w:divsChild>
            <w:div w:id="169301939">
              <w:marLeft w:val="0"/>
              <w:marRight w:val="0"/>
              <w:marTop w:val="0"/>
              <w:marBottom w:val="150"/>
              <w:divBdr>
                <w:top w:val="single" w:sz="6" w:space="0" w:color="A6CE39"/>
                <w:left w:val="single" w:sz="6" w:space="0" w:color="A6CE39"/>
                <w:bottom w:val="single" w:sz="6" w:space="0" w:color="A6CE39"/>
                <w:right w:val="single" w:sz="6" w:space="0" w:color="A6CE39"/>
              </w:divBdr>
              <w:divsChild>
                <w:div w:id="268586543">
                  <w:marLeft w:val="0"/>
                  <w:marRight w:val="0"/>
                  <w:marTop w:val="0"/>
                  <w:marBottom w:val="0"/>
                  <w:divBdr>
                    <w:top w:val="none" w:sz="0" w:space="0" w:color="auto"/>
                    <w:left w:val="none" w:sz="0" w:space="0" w:color="auto"/>
                    <w:bottom w:val="none" w:sz="0" w:space="0" w:color="auto"/>
                    <w:right w:val="none" w:sz="0" w:space="0" w:color="auto"/>
                  </w:divBdr>
                  <w:divsChild>
                    <w:div w:id="1780493762">
                      <w:marLeft w:val="-75"/>
                      <w:marRight w:val="-75"/>
                      <w:marTop w:val="0"/>
                      <w:marBottom w:val="0"/>
                      <w:divBdr>
                        <w:top w:val="none" w:sz="0" w:space="0" w:color="auto"/>
                        <w:left w:val="none" w:sz="0" w:space="0" w:color="auto"/>
                        <w:bottom w:val="none" w:sz="0" w:space="0" w:color="auto"/>
                        <w:right w:val="none" w:sz="0" w:space="0" w:color="auto"/>
                      </w:divBdr>
                      <w:divsChild>
                        <w:div w:id="19879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57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219-882X" TargetMode="External"/><Relationship Id="rId13" Type="http://schemas.openxmlformats.org/officeDocument/2006/relationships/hyperlink" Target="https://www.hep-druginteractions.org/check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nchs/products/databriefs/db329.htm" TargetMode="External"/><Relationship Id="rId17" Type="http://schemas.openxmlformats.org/officeDocument/2006/relationships/hyperlink" Target="http://www.hep-druginteractions.org" TargetMode="External"/><Relationship Id="rId2" Type="http://schemas.openxmlformats.org/officeDocument/2006/relationships/numbering" Target="numbering.xml"/><Relationship Id="rId16" Type="http://schemas.openxmlformats.org/officeDocument/2006/relationships/hyperlink" Target="http://www.hcvguidelin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n.transplant.hrsa.gov/data/" TargetMode="External"/><Relationship Id="rId5" Type="http://schemas.openxmlformats.org/officeDocument/2006/relationships/webSettings" Target="webSettings.xml"/><Relationship Id="rId15" Type="http://schemas.openxmlformats.org/officeDocument/2006/relationships/hyperlink" Target="http://www.hcvguidelines.org" TargetMode="External"/><Relationship Id="rId10" Type="http://schemas.openxmlformats.org/officeDocument/2006/relationships/hyperlink" Target="mailto:jawad.ahmad@mountsina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yperlink" Target="https://www.hcvguidelines.org/unique-populations/post-liver-transpl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480D4-1AB3-4BEB-BC83-989ACEEF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45834</Words>
  <Characters>261257</Characters>
  <Application>Microsoft Office Word</Application>
  <DocSecurity>0</DocSecurity>
  <Lines>2177</Lines>
  <Paragraphs>612</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306479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Crismale, James</dc:creator>
  <cp:keywords/>
  <dc:description/>
  <cp:lastModifiedBy>HP</cp:lastModifiedBy>
  <cp:revision>2</cp:revision>
  <dcterms:created xsi:type="dcterms:W3CDTF">2019-11-29T03:03:00Z</dcterms:created>
  <dcterms:modified xsi:type="dcterms:W3CDTF">2019-11-29T03:03:00Z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585436</vt:lpwstr>
  </property>
  <property fmtid="{D5CDD505-2E9C-101B-9397-08002B2CF9AE}" pid="4" name="InsertAsFootnote">
    <vt:lpwstr>0</vt:lpwstr>
  </property>
  <property fmtid="{D5CDD505-2E9C-101B-9397-08002B2CF9AE}" pid="5" name="StyleId">
    <vt:lpwstr>http://www.zotero.org/styles/world-journal-of-gastroenterology</vt:lpwstr>
  </property>
</Properties>
</file>