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2A64" w14:textId="77777777" w:rsidR="00C16F95" w:rsidRPr="00864BDB" w:rsidRDefault="00C16F95" w:rsidP="00864BDB">
      <w:pPr>
        <w:snapToGrid w:val="0"/>
        <w:spacing w:after="0" w:line="360" w:lineRule="auto"/>
        <w:jc w:val="both"/>
        <w:rPr>
          <w:rFonts w:ascii="Book Antiqua" w:hAnsi="Book Antiqua"/>
          <w:bCs/>
          <w:color w:val="000000"/>
          <w:sz w:val="24"/>
          <w:szCs w:val="24"/>
          <w:lang w:val="en-US"/>
        </w:rPr>
      </w:pPr>
      <w:bookmarkStart w:id="0" w:name="_GoBack"/>
      <w:bookmarkEnd w:id="0"/>
      <w:r w:rsidRPr="002575A7">
        <w:rPr>
          <w:rFonts w:ascii="Book Antiqua" w:hAnsi="Book Antiqua"/>
          <w:b/>
          <w:color w:val="000000"/>
          <w:sz w:val="24"/>
          <w:szCs w:val="24"/>
          <w:lang w:val="en-US"/>
        </w:rPr>
        <w:t xml:space="preserve">Name of Journal: </w:t>
      </w:r>
      <w:r w:rsidRPr="00864BDB">
        <w:rPr>
          <w:rFonts w:ascii="Book Antiqua" w:hAnsi="Book Antiqua"/>
          <w:bCs/>
          <w:i/>
          <w:color w:val="000000"/>
          <w:sz w:val="24"/>
          <w:szCs w:val="24"/>
          <w:lang w:val="en-US"/>
        </w:rPr>
        <w:t>World Journal of Gastrointestinal Oncology</w:t>
      </w:r>
    </w:p>
    <w:p w14:paraId="2AC98CCB" w14:textId="4B2E1676" w:rsidR="000D3982" w:rsidRPr="002575A7" w:rsidRDefault="00A83F3E" w:rsidP="00864BDB">
      <w:pPr>
        <w:snapToGrid w:val="0"/>
        <w:spacing w:after="0" w:line="360" w:lineRule="auto"/>
        <w:jc w:val="both"/>
        <w:rPr>
          <w:rFonts w:ascii="Book Antiqua" w:eastAsia="Times New Roman" w:hAnsi="Book Antiqua"/>
          <w:b/>
          <w:bCs/>
          <w:color w:val="000000"/>
          <w:sz w:val="24"/>
          <w:szCs w:val="24"/>
          <w:lang w:val="en-US"/>
        </w:rPr>
      </w:pPr>
      <w:r w:rsidRPr="002575A7">
        <w:rPr>
          <w:rFonts w:ascii="Book Antiqua" w:eastAsia="Times New Roman" w:hAnsi="Book Antiqua"/>
          <w:b/>
          <w:bCs/>
          <w:color w:val="000000"/>
          <w:sz w:val="24"/>
          <w:szCs w:val="24"/>
          <w:lang w:val="en-US"/>
        </w:rPr>
        <w:t xml:space="preserve">Manuscript NO: </w:t>
      </w:r>
      <w:r w:rsidRPr="00864BDB">
        <w:rPr>
          <w:rFonts w:ascii="Book Antiqua" w:eastAsia="Times New Roman" w:hAnsi="Book Antiqua"/>
          <w:color w:val="000000"/>
          <w:sz w:val="24"/>
          <w:szCs w:val="24"/>
          <w:lang w:val="en-US"/>
        </w:rPr>
        <w:t>51067</w:t>
      </w:r>
    </w:p>
    <w:p w14:paraId="41DF503E" w14:textId="77777777" w:rsidR="00C16F95" w:rsidRPr="00864BDB" w:rsidRDefault="00C16F95" w:rsidP="00864BDB">
      <w:pPr>
        <w:snapToGrid w:val="0"/>
        <w:spacing w:after="0" w:line="360" w:lineRule="auto"/>
        <w:jc w:val="both"/>
        <w:rPr>
          <w:rFonts w:ascii="Book Antiqua" w:hAnsi="Book Antiqua"/>
          <w:bCs/>
          <w:color w:val="000000"/>
          <w:sz w:val="24"/>
          <w:szCs w:val="24"/>
          <w:lang w:val="en-US"/>
        </w:rPr>
      </w:pPr>
      <w:r w:rsidRPr="002575A7">
        <w:rPr>
          <w:rFonts w:ascii="Book Antiqua" w:hAnsi="Book Antiqua"/>
          <w:b/>
          <w:color w:val="000000"/>
          <w:sz w:val="24"/>
          <w:szCs w:val="24"/>
          <w:lang w:val="en-US"/>
        </w:rPr>
        <w:t xml:space="preserve">Manuscript Type: </w:t>
      </w:r>
      <w:r w:rsidRPr="00864BDB">
        <w:rPr>
          <w:rFonts w:ascii="Book Antiqua" w:hAnsi="Book Antiqua"/>
          <w:bCs/>
          <w:color w:val="000000"/>
          <w:sz w:val="24"/>
          <w:szCs w:val="24"/>
          <w:lang w:val="en-US"/>
        </w:rPr>
        <w:t>ORIGINAL ARTICLE</w:t>
      </w:r>
    </w:p>
    <w:p w14:paraId="32B5A4BF" w14:textId="77777777" w:rsidR="00864BDB" w:rsidRPr="007866F5" w:rsidRDefault="00864BDB" w:rsidP="00864BDB">
      <w:pPr>
        <w:pStyle w:val="af7"/>
        <w:snapToGrid w:val="0"/>
        <w:spacing w:line="360" w:lineRule="auto"/>
        <w:contextualSpacing w:val="0"/>
        <w:jc w:val="both"/>
        <w:rPr>
          <w:rFonts w:ascii="Book Antiqua" w:hAnsi="Book Antiqua"/>
          <w:b/>
          <w:color w:val="000000"/>
          <w:sz w:val="24"/>
          <w:szCs w:val="24"/>
          <w:lang w:val="en-US"/>
        </w:rPr>
      </w:pPr>
    </w:p>
    <w:p w14:paraId="26DB2713" w14:textId="77777777" w:rsidR="00864BDB" w:rsidRDefault="00C16F95" w:rsidP="00864BDB">
      <w:pPr>
        <w:pStyle w:val="af7"/>
        <w:snapToGrid w:val="0"/>
        <w:spacing w:line="360" w:lineRule="auto"/>
        <w:contextualSpacing w:val="0"/>
        <w:jc w:val="both"/>
        <w:rPr>
          <w:rFonts w:ascii="Book Antiqua" w:hAnsi="Book Antiqua"/>
          <w:b/>
          <w:i/>
          <w:iCs/>
          <w:color w:val="000000"/>
          <w:sz w:val="24"/>
          <w:szCs w:val="24"/>
          <w:lang w:val="en-US"/>
        </w:rPr>
      </w:pPr>
      <w:r w:rsidRPr="002575A7">
        <w:rPr>
          <w:rFonts w:ascii="Book Antiqua" w:hAnsi="Book Antiqua"/>
          <w:b/>
          <w:i/>
          <w:iCs/>
          <w:color w:val="000000"/>
          <w:sz w:val="24"/>
          <w:szCs w:val="24"/>
          <w:lang w:val="en-US"/>
        </w:rPr>
        <w:t>Observational Study</w:t>
      </w:r>
    </w:p>
    <w:p w14:paraId="7D959A87" w14:textId="0C8DFECB" w:rsidR="007B2F30" w:rsidRDefault="007B2F30" w:rsidP="00864BDB">
      <w:pPr>
        <w:pStyle w:val="af7"/>
        <w:snapToGrid w:val="0"/>
        <w:spacing w:line="360" w:lineRule="auto"/>
        <w:contextualSpacing w:val="0"/>
        <w:jc w:val="both"/>
        <w:rPr>
          <w:rFonts w:ascii="Book Antiqua" w:hAnsi="Book Antiqua"/>
          <w:b/>
          <w:sz w:val="24"/>
          <w:szCs w:val="24"/>
          <w:lang w:val="en-US"/>
        </w:rPr>
      </w:pPr>
      <w:r w:rsidRPr="002575A7">
        <w:rPr>
          <w:rFonts w:ascii="Book Antiqua" w:hAnsi="Book Antiqua"/>
          <w:b/>
          <w:sz w:val="24"/>
          <w:szCs w:val="24"/>
          <w:lang w:val="en-US"/>
        </w:rPr>
        <w:t xml:space="preserve">FOLFOXIRI </w:t>
      </w:r>
      <w:r w:rsidRPr="00864BDB">
        <w:rPr>
          <w:rFonts w:ascii="Book Antiqua" w:hAnsi="Book Antiqua"/>
          <w:b/>
          <w:i/>
          <w:iCs/>
          <w:sz w:val="24"/>
          <w:szCs w:val="24"/>
          <w:lang w:val="en-US"/>
        </w:rPr>
        <w:t>vs</w:t>
      </w:r>
      <w:r w:rsidRPr="002575A7">
        <w:rPr>
          <w:rFonts w:ascii="Book Antiqua" w:hAnsi="Book Antiqua"/>
          <w:b/>
          <w:sz w:val="24"/>
          <w:szCs w:val="24"/>
          <w:lang w:val="en-US"/>
        </w:rPr>
        <w:t xml:space="preserve"> FOLFIRINOX as first-line chemotherapy in patients with advanced pancreatic cancer: </w:t>
      </w:r>
      <w:r w:rsidR="00864BDB" w:rsidRPr="002575A7">
        <w:rPr>
          <w:rFonts w:ascii="Book Antiqua" w:hAnsi="Book Antiqua"/>
          <w:b/>
          <w:sz w:val="24"/>
          <w:szCs w:val="24"/>
          <w:lang w:val="en-US"/>
        </w:rPr>
        <w:t xml:space="preserve">A </w:t>
      </w:r>
      <w:r w:rsidR="00E26946" w:rsidRPr="002575A7">
        <w:rPr>
          <w:rFonts w:ascii="Book Antiqua" w:hAnsi="Book Antiqua"/>
          <w:b/>
          <w:sz w:val="24"/>
          <w:szCs w:val="24"/>
          <w:lang w:val="en-US"/>
        </w:rPr>
        <w:t>population-based cohort study</w:t>
      </w:r>
    </w:p>
    <w:p w14:paraId="4CD6F0D1" w14:textId="77777777" w:rsidR="00864BDB" w:rsidRPr="00864BDB" w:rsidRDefault="00864BDB" w:rsidP="00864BDB">
      <w:pPr>
        <w:rPr>
          <w:lang w:val="en-US"/>
        </w:rPr>
      </w:pPr>
    </w:p>
    <w:p w14:paraId="6F5637F5" w14:textId="5A175809" w:rsidR="007B2F30" w:rsidRPr="002575A7" w:rsidRDefault="000D3982"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Vienot A </w:t>
      </w:r>
      <w:r w:rsidRPr="002575A7">
        <w:rPr>
          <w:rFonts w:ascii="Book Antiqua" w:hAnsi="Book Antiqua" w:cs="Times New Roman"/>
          <w:i/>
          <w:sz w:val="24"/>
          <w:szCs w:val="24"/>
          <w:lang w:val="en-US"/>
        </w:rPr>
        <w:t>et al.</w:t>
      </w:r>
      <w:r w:rsidR="007B2F30" w:rsidRPr="002575A7">
        <w:rPr>
          <w:rFonts w:ascii="Book Antiqua" w:hAnsi="Book Antiqua" w:cs="Times New Roman"/>
          <w:sz w:val="24"/>
          <w:szCs w:val="24"/>
          <w:lang w:val="en-US"/>
        </w:rPr>
        <w:t xml:space="preserve"> FOLFOXIR</w:t>
      </w:r>
      <w:r w:rsidRPr="002575A7">
        <w:rPr>
          <w:rFonts w:ascii="Book Antiqua" w:hAnsi="Book Antiqua" w:cs="Times New Roman"/>
          <w:sz w:val="24"/>
          <w:szCs w:val="24"/>
          <w:lang w:val="en-US"/>
        </w:rPr>
        <w:t>I in advanced pancreatic cancer</w:t>
      </w:r>
    </w:p>
    <w:p w14:paraId="59ADA937" w14:textId="77777777" w:rsidR="007B2F30" w:rsidRPr="002575A7" w:rsidRDefault="007B2F30" w:rsidP="00864BDB">
      <w:pPr>
        <w:snapToGrid w:val="0"/>
        <w:spacing w:after="0" w:line="360" w:lineRule="auto"/>
        <w:jc w:val="both"/>
        <w:rPr>
          <w:rFonts w:ascii="Book Antiqua" w:hAnsi="Book Antiqua" w:cs="Times New Roman"/>
          <w:b/>
          <w:sz w:val="24"/>
          <w:szCs w:val="24"/>
          <w:lang w:val="en-US"/>
        </w:rPr>
      </w:pPr>
    </w:p>
    <w:p w14:paraId="1C8F6A91" w14:textId="4AA1CF8F" w:rsidR="00C16F95" w:rsidRPr="002575A7" w:rsidRDefault="00C16F95"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Angélique Vienot, Hortense Chevalier, Clément Bolognini, Elisabeta Gherga, Elodie Klajer, Aurélia Meurisse, Marine Jary, Stefano Kim, Christelle d’Engremont, Thierry Nguyen, Fabien Calcagno, Hamadi Almotlak, Francine Fein, Meher Nasri, </w:t>
      </w:r>
      <w:r w:rsidR="003369BE" w:rsidRPr="003369BE">
        <w:rPr>
          <w:rFonts w:ascii="Book Antiqua" w:hAnsi="Book Antiqua" w:cs="Times New Roman"/>
          <w:sz w:val="24"/>
          <w:szCs w:val="24"/>
          <w:lang w:val="en-US"/>
        </w:rPr>
        <w:t>Syrine Abdeljaoued</w:t>
      </w:r>
      <w:r w:rsidR="003369BE">
        <w:rPr>
          <w:rFonts w:ascii="Book Antiqua" w:hAnsi="Book Antiqua" w:cs="Times New Roman"/>
          <w:sz w:val="24"/>
          <w:szCs w:val="24"/>
          <w:lang w:val="en-US"/>
        </w:rPr>
        <w:t>,</w:t>
      </w:r>
      <w:r w:rsidR="003369BE" w:rsidRPr="003369BE">
        <w:rPr>
          <w:rFonts w:ascii="Book Antiqua" w:hAnsi="Book Antiqua" w:cs="Times New Roman"/>
          <w:sz w:val="24"/>
          <w:szCs w:val="24"/>
          <w:lang w:val="en-US"/>
        </w:rPr>
        <w:t xml:space="preserve"> </w:t>
      </w:r>
      <w:r w:rsidRPr="002575A7">
        <w:rPr>
          <w:rFonts w:ascii="Book Antiqua" w:hAnsi="Book Antiqua" w:cs="Times New Roman"/>
          <w:sz w:val="24"/>
          <w:szCs w:val="24"/>
          <w:lang w:val="en-US"/>
        </w:rPr>
        <w:t>Anthony Turpin, Christophe Borg, Dewi Vernerey</w:t>
      </w:r>
    </w:p>
    <w:p w14:paraId="00F38495" w14:textId="77777777" w:rsidR="00C16F95" w:rsidRPr="002575A7" w:rsidRDefault="00C16F95" w:rsidP="00864BDB">
      <w:pPr>
        <w:snapToGrid w:val="0"/>
        <w:spacing w:after="0" w:line="360" w:lineRule="auto"/>
        <w:jc w:val="both"/>
        <w:rPr>
          <w:rFonts w:ascii="Book Antiqua" w:hAnsi="Book Antiqua" w:cs="Times New Roman"/>
          <w:sz w:val="24"/>
          <w:szCs w:val="24"/>
          <w:lang w:val="en-US"/>
        </w:rPr>
      </w:pPr>
    </w:p>
    <w:p w14:paraId="1B2AB304" w14:textId="482B9118" w:rsidR="00C16F95" w:rsidRPr="002575A7" w:rsidRDefault="00C16F95"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 xml:space="preserve">Angélique Vienot, Clément Bolognini, Elodie Klajer, Marine Jary, Stefano Kim, Thierry Nguyen, Fabien Calcagno, Hamadi Almotlak, Christophe Borg, </w:t>
      </w:r>
      <w:r w:rsidRPr="002575A7">
        <w:rPr>
          <w:rFonts w:ascii="Book Antiqua" w:hAnsi="Book Antiqua" w:cs="Times New Roman"/>
          <w:sz w:val="24"/>
          <w:szCs w:val="24"/>
          <w:lang w:val="en-US"/>
        </w:rPr>
        <w:t>Department of Medical Oncology, Besançon University Hos</w:t>
      </w:r>
      <w:r w:rsidR="000D3982" w:rsidRPr="002575A7">
        <w:rPr>
          <w:rFonts w:ascii="Book Antiqua" w:hAnsi="Book Antiqua" w:cs="Times New Roman"/>
          <w:sz w:val="24"/>
          <w:szCs w:val="24"/>
          <w:lang w:val="en-US"/>
        </w:rPr>
        <w:t xml:space="preserve">pital, </w:t>
      </w:r>
      <w:r w:rsidR="00DC6981" w:rsidRPr="002575A7">
        <w:rPr>
          <w:rFonts w:ascii="Book Antiqua" w:hAnsi="Book Antiqua" w:cs="Times New Roman"/>
          <w:sz w:val="24"/>
          <w:szCs w:val="24"/>
          <w:lang w:val="en-US"/>
        </w:rPr>
        <w:t xml:space="preserve">Besançon </w:t>
      </w:r>
      <w:r w:rsidR="000D3982" w:rsidRPr="002575A7">
        <w:rPr>
          <w:rFonts w:ascii="Book Antiqua" w:hAnsi="Book Antiqua" w:cs="Times New Roman"/>
          <w:sz w:val="24"/>
          <w:szCs w:val="24"/>
          <w:lang w:val="en-US"/>
        </w:rPr>
        <w:t>F-25030, France</w:t>
      </w:r>
    </w:p>
    <w:p w14:paraId="59EAB1C5" w14:textId="77777777" w:rsidR="000D3982" w:rsidRPr="002575A7" w:rsidRDefault="000D3982" w:rsidP="00864BDB">
      <w:pPr>
        <w:snapToGrid w:val="0"/>
        <w:spacing w:after="0" w:line="360" w:lineRule="auto"/>
        <w:jc w:val="both"/>
        <w:rPr>
          <w:rFonts w:ascii="Book Antiqua" w:hAnsi="Book Antiqua" w:cs="Times New Roman"/>
          <w:sz w:val="24"/>
          <w:szCs w:val="24"/>
          <w:lang w:val="en-US"/>
        </w:rPr>
      </w:pPr>
    </w:p>
    <w:p w14:paraId="7CBAB879" w14:textId="0BCA0B56" w:rsidR="00C16F95" w:rsidRPr="003369BE" w:rsidRDefault="00C16F95" w:rsidP="00864BDB">
      <w:pPr>
        <w:snapToGrid w:val="0"/>
        <w:spacing w:after="0" w:line="360" w:lineRule="auto"/>
        <w:jc w:val="both"/>
        <w:rPr>
          <w:rFonts w:ascii="Book Antiqua" w:hAnsi="Book Antiqua" w:cs="Times New Roman"/>
          <w:sz w:val="24"/>
          <w:szCs w:val="24"/>
          <w:lang w:val="en-US"/>
        </w:rPr>
      </w:pPr>
      <w:r w:rsidRPr="003369BE">
        <w:rPr>
          <w:rFonts w:ascii="Book Antiqua" w:hAnsi="Book Antiqua" w:cs="Times New Roman"/>
          <w:b/>
          <w:sz w:val="24"/>
          <w:szCs w:val="24"/>
          <w:lang w:val="en-US"/>
        </w:rPr>
        <w:t xml:space="preserve">Angélique Vienot, Aurélia Meurisse, Marine Jary, Stefano Kim, </w:t>
      </w:r>
      <w:r w:rsidR="003369BE" w:rsidRPr="003369BE">
        <w:rPr>
          <w:rFonts w:ascii="Book Antiqua" w:hAnsi="Book Antiqua" w:cs="Times New Roman"/>
          <w:b/>
          <w:sz w:val="24"/>
          <w:szCs w:val="24"/>
          <w:lang w:val="en-US"/>
        </w:rPr>
        <w:t xml:space="preserve">Syrine Abdeljaoued, </w:t>
      </w:r>
      <w:r w:rsidRPr="003369BE">
        <w:rPr>
          <w:rFonts w:ascii="Book Antiqua" w:hAnsi="Book Antiqua" w:cs="Times New Roman"/>
          <w:b/>
          <w:sz w:val="24"/>
          <w:szCs w:val="24"/>
          <w:lang w:val="en-US"/>
        </w:rPr>
        <w:t xml:space="preserve">Christophe Borg, Dewi Vernerey, </w:t>
      </w:r>
      <w:r w:rsidRPr="003369BE">
        <w:rPr>
          <w:rFonts w:ascii="Book Antiqua" w:hAnsi="Book Antiqua" w:cs="Times New Roman"/>
          <w:sz w:val="24"/>
          <w:szCs w:val="24"/>
          <w:lang w:val="en-US"/>
        </w:rPr>
        <w:t>University Bourgogne Franche-Comté, INSERM, EFS BFC, UMR1098, Interactions Hôte-Greffon-Tumeur/Ingénierie Cellulaire et Gé</w:t>
      </w:r>
      <w:r w:rsidR="000D3982" w:rsidRPr="003369BE">
        <w:rPr>
          <w:rFonts w:ascii="Book Antiqua" w:hAnsi="Book Antiqua" w:cs="Times New Roman"/>
          <w:sz w:val="24"/>
          <w:szCs w:val="24"/>
          <w:lang w:val="en-US"/>
        </w:rPr>
        <w:t xml:space="preserve">nique, </w:t>
      </w:r>
      <w:r w:rsidR="00DC6981" w:rsidRPr="003369BE">
        <w:rPr>
          <w:rFonts w:ascii="Book Antiqua" w:hAnsi="Book Antiqua" w:cs="Times New Roman"/>
          <w:sz w:val="24"/>
          <w:szCs w:val="24"/>
          <w:lang w:val="en-US"/>
        </w:rPr>
        <w:t xml:space="preserve">Besançon </w:t>
      </w:r>
      <w:r w:rsidR="000D3982" w:rsidRPr="003369BE">
        <w:rPr>
          <w:rFonts w:ascii="Book Antiqua" w:hAnsi="Book Antiqua" w:cs="Times New Roman"/>
          <w:sz w:val="24"/>
          <w:szCs w:val="24"/>
          <w:lang w:val="en-US"/>
        </w:rPr>
        <w:t>F-25000, France</w:t>
      </w:r>
    </w:p>
    <w:p w14:paraId="6F21BD4F" w14:textId="77777777" w:rsidR="00E46E24" w:rsidRPr="003369BE" w:rsidRDefault="00E46E24" w:rsidP="00864BDB">
      <w:pPr>
        <w:snapToGrid w:val="0"/>
        <w:spacing w:after="0" w:line="360" w:lineRule="auto"/>
        <w:jc w:val="both"/>
        <w:rPr>
          <w:rFonts w:ascii="Book Antiqua" w:hAnsi="Book Antiqua" w:cs="Times New Roman"/>
          <w:sz w:val="24"/>
          <w:szCs w:val="24"/>
          <w:lang w:val="en-US"/>
        </w:rPr>
      </w:pPr>
    </w:p>
    <w:p w14:paraId="79E6AC42" w14:textId="3ADED3E3" w:rsidR="00C16F95" w:rsidRPr="00A84D8E" w:rsidRDefault="00C16F95" w:rsidP="00864BDB">
      <w:pPr>
        <w:snapToGrid w:val="0"/>
        <w:spacing w:after="0" w:line="360" w:lineRule="auto"/>
        <w:jc w:val="both"/>
        <w:rPr>
          <w:rFonts w:ascii="Book Antiqua" w:hAnsi="Book Antiqua" w:cs="Times New Roman"/>
          <w:sz w:val="24"/>
          <w:szCs w:val="24"/>
          <w:lang w:val="en-US"/>
        </w:rPr>
      </w:pPr>
      <w:r w:rsidRPr="00A84D8E">
        <w:rPr>
          <w:rFonts w:ascii="Book Antiqua" w:hAnsi="Book Antiqua" w:cs="Times New Roman"/>
          <w:b/>
          <w:sz w:val="24"/>
          <w:szCs w:val="24"/>
          <w:lang w:val="en-US"/>
        </w:rPr>
        <w:t xml:space="preserve">Angélique Vienot, Marine Jary, Stefano Kim, Christophe Borg, </w:t>
      </w:r>
      <w:r w:rsidRPr="00A84D8E">
        <w:rPr>
          <w:rFonts w:ascii="Book Antiqua" w:hAnsi="Book Antiqua" w:cs="Times New Roman"/>
          <w:sz w:val="24"/>
          <w:szCs w:val="24"/>
          <w:lang w:val="en-US"/>
        </w:rPr>
        <w:t>INSERM CIC-1431, Clinical Investigation Center in Biotherapy, Besançon University Hos</w:t>
      </w:r>
      <w:r w:rsidR="000D3982" w:rsidRPr="00A84D8E">
        <w:rPr>
          <w:rFonts w:ascii="Book Antiqua" w:hAnsi="Book Antiqua" w:cs="Times New Roman"/>
          <w:sz w:val="24"/>
          <w:szCs w:val="24"/>
          <w:lang w:val="en-US"/>
        </w:rPr>
        <w:t xml:space="preserve">pital, </w:t>
      </w:r>
      <w:r w:rsidR="00DC6981" w:rsidRPr="00A84D8E">
        <w:rPr>
          <w:rFonts w:ascii="Book Antiqua" w:hAnsi="Book Antiqua" w:cs="Times New Roman"/>
          <w:sz w:val="24"/>
          <w:szCs w:val="24"/>
          <w:lang w:val="en-US"/>
        </w:rPr>
        <w:t xml:space="preserve">Besançon </w:t>
      </w:r>
      <w:r w:rsidR="000D3982" w:rsidRPr="00A84D8E">
        <w:rPr>
          <w:rFonts w:ascii="Book Antiqua" w:hAnsi="Book Antiqua" w:cs="Times New Roman"/>
          <w:sz w:val="24"/>
          <w:szCs w:val="24"/>
          <w:lang w:val="en-US"/>
        </w:rPr>
        <w:t>F-25030, France</w:t>
      </w:r>
    </w:p>
    <w:p w14:paraId="7BD0FAD7" w14:textId="77777777" w:rsidR="00E46E24" w:rsidRPr="00A84D8E" w:rsidRDefault="00E46E24" w:rsidP="00864BDB">
      <w:pPr>
        <w:snapToGrid w:val="0"/>
        <w:spacing w:after="0" w:line="360" w:lineRule="auto"/>
        <w:jc w:val="both"/>
        <w:rPr>
          <w:rFonts w:ascii="Book Antiqua" w:hAnsi="Book Antiqua" w:cs="Times New Roman"/>
          <w:sz w:val="24"/>
          <w:szCs w:val="24"/>
          <w:lang w:val="en-US"/>
        </w:rPr>
      </w:pPr>
    </w:p>
    <w:p w14:paraId="7D4826F6" w14:textId="53775604" w:rsidR="00C16F95" w:rsidRDefault="00C16F95"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 xml:space="preserve">Hortense Chevalier, Anthony Turpin, </w:t>
      </w:r>
      <w:r w:rsidRPr="002575A7">
        <w:rPr>
          <w:rFonts w:ascii="Book Antiqua" w:hAnsi="Book Antiqua" w:cs="Times New Roman"/>
          <w:sz w:val="24"/>
          <w:szCs w:val="24"/>
          <w:lang w:val="en-US"/>
        </w:rPr>
        <w:t xml:space="preserve">Department of Medical Oncology, Lille University </w:t>
      </w:r>
      <w:r w:rsidR="000D3982" w:rsidRPr="002575A7">
        <w:rPr>
          <w:rFonts w:ascii="Book Antiqua" w:hAnsi="Book Antiqua" w:cs="Times New Roman"/>
          <w:sz w:val="24"/>
          <w:szCs w:val="24"/>
          <w:lang w:val="en-US"/>
        </w:rPr>
        <w:t>Hospital,</w:t>
      </w:r>
      <w:r w:rsidR="00DC6981" w:rsidRPr="00DC6981">
        <w:rPr>
          <w:rFonts w:ascii="Book Antiqua" w:hAnsi="Book Antiqua" w:cs="Times New Roman"/>
          <w:sz w:val="24"/>
          <w:szCs w:val="24"/>
          <w:lang w:val="en-US"/>
        </w:rPr>
        <w:t xml:space="preserve"> </w:t>
      </w:r>
      <w:r w:rsidR="00DC6981" w:rsidRPr="002575A7">
        <w:rPr>
          <w:rFonts w:ascii="Book Antiqua" w:hAnsi="Book Antiqua" w:cs="Times New Roman"/>
          <w:sz w:val="24"/>
          <w:szCs w:val="24"/>
          <w:lang w:val="en-US"/>
        </w:rPr>
        <w:t>Lille</w:t>
      </w:r>
      <w:r w:rsidR="000D3982" w:rsidRPr="002575A7">
        <w:rPr>
          <w:rFonts w:ascii="Book Antiqua" w:hAnsi="Book Antiqua" w:cs="Times New Roman"/>
          <w:sz w:val="24"/>
          <w:szCs w:val="24"/>
          <w:lang w:val="en-US"/>
        </w:rPr>
        <w:t xml:space="preserve"> F-59000, France</w:t>
      </w:r>
    </w:p>
    <w:p w14:paraId="242BC41A" w14:textId="77777777" w:rsidR="00FD14D5" w:rsidRPr="002575A7" w:rsidRDefault="00FD14D5" w:rsidP="00864BDB">
      <w:pPr>
        <w:snapToGrid w:val="0"/>
        <w:spacing w:after="0" w:line="360" w:lineRule="auto"/>
        <w:jc w:val="both"/>
        <w:rPr>
          <w:rFonts w:ascii="Book Antiqua" w:hAnsi="Book Antiqua" w:cs="Times New Roman"/>
          <w:sz w:val="24"/>
          <w:szCs w:val="24"/>
          <w:lang w:val="en-US"/>
        </w:rPr>
      </w:pPr>
    </w:p>
    <w:p w14:paraId="335B0BFF" w14:textId="58CEFE7D" w:rsidR="00C16F95" w:rsidRPr="002575A7" w:rsidRDefault="00C16F95"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lastRenderedPageBreak/>
        <w:t xml:space="preserve">Elisabeta Gherga, Meher Nasri, </w:t>
      </w:r>
      <w:r w:rsidRPr="002575A7">
        <w:rPr>
          <w:rFonts w:ascii="Book Antiqua" w:hAnsi="Book Antiqua" w:cs="Times New Roman"/>
          <w:sz w:val="24"/>
          <w:szCs w:val="24"/>
          <w:lang w:val="en-US"/>
        </w:rPr>
        <w:t>Department of Medical Oncology, Nord Franche-Comté Hospit</w:t>
      </w:r>
      <w:r w:rsidR="000D3982" w:rsidRPr="002575A7">
        <w:rPr>
          <w:rFonts w:ascii="Book Antiqua" w:hAnsi="Book Antiqua" w:cs="Times New Roman"/>
          <w:sz w:val="24"/>
          <w:szCs w:val="24"/>
          <w:lang w:val="en-US"/>
        </w:rPr>
        <w:t xml:space="preserve">al, </w:t>
      </w:r>
      <w:r w:rsidR="00DC6981" w:rsidRPr="002575A7">
        <w:rPr>
          <w:rFonts w:ascii="Book Antiqua" w:hAnsi="Book Antiqua" w:cs="Times New Roman"/>
          <w:sz w:val="24"/>
          <w:szCs w:val="24"/>
          <w:lang w:val="en-US"/>
        </w:rPr>
        <w:t xml:space="preserve">Montbéliard </w:t>
      </w:r>
      <w:r w:rsidR="000D3982" w:rsidRPr="002575A7">
        <w:rPr>
          <w:rFonts w:ascii="Book Antiqua" w:hAnsi="Book Antiqua" w:cs="Times New Roman"/>
          <w:sz w:val="24"/>
          <w:szCs w:val="24"/>
          <w:lang w:val="en-US"/>
        </w:rPr>
        <w:t>F-25020, France</w:t>
      </w:r>
    </w:p>
    <w:p w14:paraId="5A01B8AC" w14:textId="77777777" w:rsidR="00E46E24" w:rsidRPr="002575A7" w:rsidRDefault="00E46E24" w:rsidP="00864BDB">
      <w:pPr>
        <w:snapToGrid w:val="0"/>
        <w:spacing w:after="0" w:line="360" w:lineRule="auto"/>
        <w:jc w:val="both"/>
        <w:rPr>
          <w:rFonts w:ascii="Book Antiqua" w:hAnsi="Book Antiqua" w:cs="Times New Roman"/>
          <w:sz w:val="24"/>
          <w:szCs w:val="24"/>
          <w:lang w:val="en-US"/>
        </w:rPr>
      </w:pPr>
    </w:p>
    <w:p w14:paraId="0EA28FE9" w14:textId="3754C754" w:rsidR="00C16F95" w:rsidRPr="002575A7" w:rsidRDefault="00C16F95"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 xml:space="preserve">Aurélia Meurisse, Dewi Vernerey, </w:t>
      </w:r>
      <w:r w:rsidRPr="002575A7">
        <w:rPr>
          <w:rFonts w:ascii="Book Antiqua" w:hAnsi="Book Antiqua" w:cs="Times New Roman"/>
          <w:sz w:val="24"/>
          <w:szCs w:val="24"/>
          <w:lang w:val="en-US"/>
        </w:rPr>
        <w:t>Methodological and Quality of Life in Oncology Unit, Besançon University Hos</w:t>
      </w:r>
      <w:r w:rsidR="000D3982" w:rsidRPr="002575A7">
        <w:rPr>
          <w:rFonts w:ascii="Book Antiqua" w:hAnsi="Book Antiqua" w:cs="Times New Roman"/>
          <w:sz w:val="24"/>
          <w:szCs w:val="24"/>
          <w:lang w:val="en-US"/>
        </w:rPr>
        <w:t xml:space="preserve">pital, </w:t>
      </w:r>
      <w:r w:rsidR="00DC6981" w:rsidRPr="002575A7">
        <w:rPr>
          <w:rFonts w:ascii="Book Antiqua" w:hAnsi="Book Antiqua" w:cs="Times New Roman"/>
          <w:sz w:val="24"/>
          <w:szCs w:val="24"/>
          <w:lang w:val="en-US"/>
        </w:rPr>
        <w:t xml:space="preserve">Besançon </w:t>
      </w:r>
      <w:r w:rsidR="000D3982" w:rsidRPr="002575A7">
        <w:rPr>
          <w:rFonts w:ascii="Book Antiqua" w:hAnsi="Book Antiqua" w:cs="Times New Roman"/>
          <w:sz w:val="24"/>
          <w:szCs w:val="24"/>
          <w:lang w:val="en-US"/>
        </w:rPr>
        <w:t>F-25030, France</w:t>
      </w:r>
    </w:p>
    <w:p w14:paraId="3F8CF7FA" w14:textId="77777777" w:rsidR="00E46E24" w:rsidRPr="002575A7" w:rsidRDefault="00E46E24" w:rsidP="00864BDB">
      <w:pPr>
        <w:snapToGrid w:val="0"/>
        <w:spacing w:after="0" w:line="360" w:lineRule="auto"/>
        <w:jc w:val="both"/>
        <w:rPr>
          <w:rFonts w:ascii="Book Antiqua" w:hAnsi="Book Antiqua" w:cs="Times New Roman"/>
          <w:sz w:val="24"/>
          <w:szCs w:val="24"/>
          <w:lang w:val="en-US"/>
        </w:rPr>
      </w:pPr>
    </w:p>
    <w:p w14:paraId="5EB43E6B" w14:textId="15596F9F" w:rsidR="00C16F95" w:rsidRPr="002575A7" w:rsidRDefault="00C16F95"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 xml:space="preserve">Christelle d’Engremont, Francine Fein, </w:t>
      </w:r>
      <w:r w:rsidRPr="002575A7">
        <w:rPr>
          <w:rFonts w:ascii="Book Antiqua" w:hAnsi="Book Antiqua" w:cs="Times New Roman"/>
          <w:sz w:val="24"/>
          <w:szCs w:val="24"/>
          <w:lang w:val="en-US"/>
        </w:rPr>
        <w:t>Department of Gastroenterology, Besançon University Hospital,</w:t>
      </w:r>
      <w:r w:rsidR="00DC6981" w:rsidRPr="00DC6981">
        <w:rPr>
          <w:rFonts w:ascii="Book Antiqua" w:hAnsi="Book Antiqua" w:cs="Times New Roman"/>
          <w:sz w:val="24"/>
          <w:szCs w:val="24"/>
          <w:lang w:val="en-US"/>
        </w:rPr>
        <w:t xml:space="preserve"> </w:t>
      </w:r>
      <w:r w:rsidR="00DC6981" w:rsidRPr="002575A7">
        <w:rPr>
          <w:rFonts w:ascii="Book Antiqua" w:hAnsi="Book Antiqua" w:cs="Times New Roman"/>
          <w:sz w:val="24"/>
          <w:szCs w:val="24"/>
          <w:lang w:val="en-US"/>
        </w:rPr>
        <w:t>Besançon</w:t>
      </w:r>
      <w:r w:rsidRPr="002575A7">
        <w:rPr>
          <w:rFonts w:ascii="Book Antiqua" w:hAnsi="Book Antiqua" w:cs="Times New Roman"/>
          <w:sz w:val="24"/>
          <w:szCs w:val="24"/>
          <w:lang w:val="en-US"/>
        </w:rPr>
        <w:t xml:space="preserve"> F-25030, France</w:t>
      </w:r>
    </w:p>
    <w:p w14:paraId="2085EFF7" w14:textId="77777777" w:rsidR="007B2F30" w:rsidRPr="002575A7" w:rsidRDefault="007B2F30" w:rsidP="00864BDB">
      <w:pPr>
        <w:snapToGrid w:val="0"/>
        <w:spacing w:after="0" w:line="360" w:lineRule="auto"/>
        <w:jc w:val="both"/>
        <w:rPr>
          <w:rFonts w:ascii="Book Antiqua" w:hAnsi="Book Antiqua" w:cs="Times New Roman"/>
          <w:b/>
          <w:sz w:val="24"/>
          <w:szCs w:val="24"/>
          <w:lang w:val="en-US"/>
        </w:rPr>
      </w:pPr>
    </w:p>
    <w:p w14:paraId="71974CB3" w14:textId="5E5D0168" w:rsidR="00E46E24" w:rsidRPr="002575A7" w:rsidRDefault="00E46E24" w:rsidP="00864BDB">
      <w:pPr>
        <w:snapToGrid w:val="0"/>
        <w:spacing w:after="0" w:line="360" w:lineRule="auto"/>
        <w:jc w:val="both"/>
        <w:rPr>
          <w:rFonts w:ascii="Book Antiqua" w:hAnsi="Book Antiqua"/>
          <w:b/>
          <w:color w:val="000000"/>
          <w:sz w:val="24"/>
          <w:szCs w:val="24"/>
          <w:lang w:val="en-US"/>
        </w:rPr>
      </w:pPr>
      <w:r w:rsidRPr="002575A7">
        <w:rPr>
          <w:rFonts w:ascii="Book Antiqua" w:hAnsi="Book Antiqua"/>
          <w:b/>
          <w:color w:val="000000"/>
          <w:sz w:val="24"/>
          <w:szCs w:val="24"/>
          <w:lang w:val="en-US"/>
        </w:rPr>
        <w:t xml:space="preserve">Author contributions: </w:t>
      </w:r>
      <w:r w:rsidRPr="002575A7">
        <w:rPr>
          <w:rFonts w:ascii="Book Antiqua" w:hAnsi="Book Antiqua" w:cs="Times New Roman"/>
          <w:sz w:val="24"/>
          <w:szCs w:val="24"/>
          <w:lang w:val="en-US"/>
        </w:rPr>
        <w:t>Vienot</w:t>
      </w:r>
      <w:r w:rsidR="000D3982" w:rsidRPr="002575A7">
        <w:rPr>
          <w:rFonts w:ascii="Book Antiqua" w:hAnsi="Book Antiqua" w:cs="Times New Roman"/>
          <w:sz w:val="24"/>
          <w:szCs w:val="24"/>
          <w:lang w:val="en-US"/>
        </w:rPr>
        <w:t xml:space="preserve"> A, </w:t>
      </w:r>
      <w:r w:rsidRPr="002575A7">
        <w:rPr>
          <w:rFonts w:ascii="Book Antiqua" w:hAnsi="Book Antiqua" w:cs="Times New Roman"/>
          <w:sz w:val="24"/>
          <w:szCs w:val="24"/>
          <w:lang w:val="en-US"/>
        </w:rPr>
        <w:t>Borg</w:t>
      </w:r>
      <w:r w:rsidR="000D3982" w:rsidRPr="002575A7">
        <w:rPr>
          <w:rFonts w:ascii="Book Antiqua" w:hAnsi="Book Antiqua" w:cs="Times New Roman"/>
          <w:sz w:val="24"/>
          <w:szCs w:val="24"/>
          <w:lang w:val="en-US"/>
        </w:rPr>
        <w:t xml:space="preserve"> C, </w:t>
      </w:r>
      <w:r w:rsidRPr="002575A7">
        <w:rPr>
          <w:rFonts w:ascii="Book Antiqua" w:hAnsi="Book Antiqua" w:cs="Times New Roman"/>
          <w:sz w:val="24"/>
          <w:szCs w:val="24"/>
          <w:lang w:val="en-US"/>
        </w:rPr>
        <w:t xml:space="preserve">Vernerey </w:t>
      </w:r>
      <w:r w:rsidR="000D3982" w:rsidRPr="002575A7">
        <w:rPr>
          <w:rFonts w:ascii="Book Antiqua" w:hAnsi="Book Antiqua" w:cs="Times New Roman"/>
          <w:sz w:val="24"/>
          <w:szCs w:val="24"/>
          <w:lang w:val="en-US"/>
        </w:rPr>
        <w:t xml:space="preserve">D </w:t>
      </w:r>
      <w:r w:rsidRPr="002575A7">
        <w:rPr>
          <w:rFonts w:ascii="Book Antiqua" w:hAnsi="Book Antiqua" w:cs="Times New Roman"/>
          <w:sz w:val="24"/>
          <w:szCs w:val="24"/>
          <w:lang w:val="en-US"/>
        </w:rPr>
        <w:t>contr</w:t>
      </w:r>
      <w:r w:rsidR="000D3982" w:rsidRPr="002575A7">
        <w:rPr>
          <w:rFonts w:ascii="Book Antiqua" w:hAnsi="Book Antiqua" w:cs="Times New Roman"/>
          <w:sz w:val="24"/>
          <w:szCs w:val="24"/>
          <w:lang w:val="en-US"/>
        </w:rPr>
        <w:t xml:space="preserve">ibuted to conception and design; </w:t>
      </w:r>
      <w:r w:rsidRPr="002575A7">
        <w:rPr>
          <w:rFonts w:ascii="Book Antiqua" w:hAnsi="Book Antiqua" w:cs="Times New Roman"/>
          <w:sz w:val="24"/>
          <w:szCs w:val="24"/>
          <w:lang w:val="en-US"/>
        </w:rPr>
        <w:t>Vienot</w:t>
      </w:r>
      <w:r w:rsidR="000D3982" w:rsidRPr="002575A7">
        <w:rPr>
          <w:rFonts w:ascii="Book Antiqua" w:hAnsi="Book Antiqua" w:cs="Times New Roman"/>
          <w:sz w:val="24"/>
          <w:szCs w:val="24"/>
          <w:lang w:val="en-US"/>
        </w:rPr>
        <w:t xml:space="preserve"> A, </w:t>
      </w:r>
      <w:r w:rsidRPr="002575A7">
        <w:rPr>
          <w:rFonts w:ascii="Book Antiqua" w:hAnsi="Book Antiqua" w:cs="Times New Roman"/>
          <w:sz w:val="24"/>
          <w:szCs w:val="24"/>
          <w:lang w:val="en-US"/>
        </w:rPr>
        <w:t>Chevalier</w:t>
      </w:r>
      <w:r w:rsidR="000D3982" w:rsidRPr="002575A7">
        <w:rPr>
          <w:rFonts w:ascii="Book Antiqua" w:hAnsi="Book Antiqua" w:cs="Times New Roman"/>
          <w:sz w:val="24"/>
          <w:szCs w:val="24"/>
          <w:lang w:val="en-US"/>
        </w:rPr>
        <w:t xml:space="preserve"> H</w:t>
      </w:r>
      <w:r w:rsidRPr="002575A7">
        <w:rPr>
          <w:rFonts w:ascii="Book Antiqua" w:hAnsi="Book Antiqua" w:cs="Times New Roman"/>
          <w:sz w:val="24"/>
          <w:szCs w:val="24"/>
          <w:lang w:val="en-US"/>
        </w:rPr>
        <w:t>,</w:t>
      </w:r>
      <w:r w:rsidR="000D3982"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Bolognini</w:t>
      </w:r>
      <w:r w:rsidR="000D3982" w:rsidRPr="002575A7">
        <w:rPr>
          <w:rFonts w:ascii="Book Antiqua" w:hAnsi="Book Antiqua" w:cs="Times New Roman"/>
          <w:sz w:val="24"/>
          <w:szCs w:val="24"/>
          <w:lang w:val="en-US"/>
        </w:rPr>
        <w:t xml:space="preserve"> C</w:t>
      </w:r>
      <w:r w:rsidRPr="002575A7">
        <w:rPr>
          <w:rFonts w:ascii="Book Antiqua" w:hAnsi="Book Antiqua" w:cs="Times New Roman"/>
          <w:sz w:val="24"/>
          <w:szCs w:val="24"/>
          <w:lang w:val="en-US"/>
        </w:rPr>
        <w:t>,</w:t>
      </w:r>
      <w:r w:rsidR="000D3982"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Gherga</w:t>
      </w:r>
      <w:r w:rsidR="000D3982" w:rsidRPr="002575A7">
        <w:rPr>
          <w:rFonts w:ascii="Book Antiqua" w:hAnsi="Book Antiqua" w:cs="Times New Roman"/>
          <w:sz w:val="24"/>
          <w:szCs w:val="24"/>
          <w:lang w:val="en-US"/>
        </w:rPr>
        <w:t xml:space="preserve"> E, </w:t>
      </w:r>
      <w:r w:rsidRPr="002575A7">
        <w:rPr>
          <w:rFonts w:ascii="Book Antiqua" w:hAnsi="Book Antiqua" w:cs="Times New Roman"/>
          <w:sz w:val="24"/>
          <w:szCs w:val="24"/>
          <w:lang w:val="en-US"/>
        </w:rPr>
        <w:t>Klajer</w:t>
      </w:r>
      <w:r w:rsidR="000D3982" w:rsidRPr="002575A7">
        <w:rPr>
          <w:rFonts w:ascii="Book Antiqua" w:hAnsi="Book Antiqua" w:cs="Times New Roman"/>
          <w:sz w:val="24"/>
          <w:szCs w:val="24"/>
          <w:lang w:val="en-US"/>
        </w:rPr>
        <w:t xml:space="preserve"> E,</w:t>
      </w:r>
      <w:r w:rsidRPr="002575A7">
        <w:rPr>
          <w:rFonts w:ascii="Book Antiqua" w:hAnsi="Book Antiqua" w:cs="Times New Roman"/>
          <w:sz w:val="24"/>
          <w:szCs w:val="24"/>
          <w:lang w:val="en-US"/>
        </w:rPr>
        <w:t xml:space="preserve"> Jary</w:t>
      </w:r>
      <w:r w:rsidR="000D3982" w:rsidRPr="002575A7">
        <w:rPr>
          <w:rFonts w:ascii="Book Antiqua" w:hAnsi="Book Antiqua" w:cs="Times New Roman"/>
          <w:sz w:val="24"/>
          <w:szCs w:val="24"/>
          <w:lang w:val="en-US"/>
        </w:rPr>
        <w:t xml:space="preserve"> M, </w:t>
      </w:r>
      <w:r w:rsidRPr="002575A7">
        <w:rPr>
          <w:rFonts w:ascii="Book Antiqua" w:hAnsi="Book Antiqua" w:cs="Times New Roman"/>
          <w:sz w:val="24"/>
          <w:szCs w:val="24"/>
          <w:lang w:val="en-US"/>
        </w:rPr>
        <w:t>Kim</w:t>
      </w:r>
      <w:r w:rsidR="000D3982" w:rsidRPr="002575A7">
        <w:rPr>
          <w:rFonts w:ascii="Book Antiqua" w:hAnsi="Book Antiqua" w:cs="Times New Roman"/>
          <w:sz w:val="24"/>
          <w:szCs w:val="24"/>
          <w:lang w:val="en-US"/>
        </w:rPr>
        <w:t xml:space="preserve"> S, </w:t>
      </w:r>
      <w:r w:rsidRPr="002575A7">
        <w:rPr>
          <w:rFonts w:ascii="Book Antiqua" w:hAnsi="Book Antiqua" w:cs="Times New Roman"/>
          <w:sz w:val="24"/>
          <w:szCs w:val="24"/>
          <w:lang w:val="en-US"/>
        </w:rPr>
        <w:t>d’Engremont</w:t>
      </w:r>
      <w:r w:rsidR="000D3982" w:rsidRPr="002575A7">
        <w:rPr>
          <w:rFonts w:ascii="Book Antiqua" w:hAnsi="Book Antiqua" w:cs="Times New Roman"/>
          <w:sz w:val="24"/>
          <w:szCs w:val="24"/>
          <w:lang w:val="en-US"/>
        </w:rPr>
        <w:t xml:space="preserve"> C, </w:t>
      </w:r>
      <w:r w:rsidRPr="002575A7">
        <w:rPr>
          <w:rFonts w:ascii="Book Antiqua" w:hAnsi="Book Antiqua" w:cs="Times New Roman"/>
          <w:sz w:val="24"/>
          <w:szCs w:val="24"/>
          <w:lang w:val="en-US"/>
        </w:rPr>
        <w:t>Nguyen</w:t>
      </w:r>
      <w:r w:rsidR="000D3982" w:rsidRPr="002575A7">
        <w:rPr>
          <w:rFonts w:ascii="Book Antiqua" w:hAnsi="Book Antiqua" w:cs="Times New Roman"/>
          <w:sz w:val="24"/>
          <w:szCs w:val="24"/>
          <w:lang w:val="en-US"/>
        </w:rPr>
        <w:t xml:space="preserve"> T</w:t>
      </w:r>
      <w:r w:rsidRPr="002575A7">
        <w:rPr>
          <w:rFonts w:ascii="Book Antiqua" w:hAnsi="Book Antiqua" w:cs="Times New Roman"/>
          <w:sz w:val="24"/>
          <w:szCs w:val="24"/>
          <w:lang w:val="en-US"/>
        </w:rPr>
        <w:t>, Calcagno</w:t>
      </w:r>
      <w:r w:rsidR="000D3982" w:rsidRPr="002575A7">
        <w:rPr>
          <w:rFonts w:ascii="Book Antiqua" w:hAnsi="Book Antiqua" w:cs="Times New Roman"/>
          <w:sz w:val="24"/>
          <w:szCs w:val="24"/>
          <w:lang w:val="en-US"/>
        </w:rPr>
        <w:t xml:space="preserve"> F,</w:t>
      </w:r>
      <w:r w:rsidRPr="002575A7">
        <w:rPr>
          <w:rFonts w:ascii="Book Antiqua" w:hAnsi="Book Antiqua" w:cs="Times New Roman"/>
          <w:sz w:val="24"/>
          <w:szCs w:val="24"/>
          <w:lang w:val="en-US"/>
        </w:rPr>
        <w:t xml:space="preserve"> Almotlak</w:t>
      </w:r>
      <w:r w:rsidR="000D3982" w:rsidRPr="002575A7">
        <w:rPr>
          <w:rFonts w:ascii="Book Antiqua" w:hAnsi="Book Antiqua" w:cs="Times New Roman"/>
          <w:sz w:val="24"/>
          <w:szCs w:val="24"/>
          <w:lang w:val="en-US"/>
        </w:rPr>
        <w:t xml:space="preserve"> H, </w:t>
      </w:r>
      <w:r w:rsidRPr="002575A7">
        <w:rPr>
          <w:rFonts w:ascii="Book Antiqua" w:hAnsi="Book Antiqua" w:cs="Times New Roman"/>
          <w:sz w:val="24"/>
          <w:szCs w:val="24"/>
          <w:lang w:val="en-US"/>
        </w:rPr>
        <w:t>Fein</w:t>
      </w:r>
      <w:r w:rsidR="000D3982" w:rsidRPr="002575A7">
        <w:rPr>
          <w:rFonts w:ascii="Book Antiqua" w:hAnsi="Book Antiqua" w:cs="Times New Roman"/>
          <w:sz w:val="24"/>
          <w:szCs w:val="24"/>
          <w:lang w:val="en-US"/>
        </w:rPr>
        <w:t xml:space="preserve"> F,</w:t>
      </w:r>
      <w:r w:rsidRPr="002575A7">
        <w:rPr>
          <w:rFonts w:ascii="Book Antiqua" w:hAnsi="Book Antiqua" w:cs="Times New Roman"/>
          <w:sz w:val="24"/>
          <w:szCs w:val="24"/>
          <w:lang w:val="en-US"/>
        </w:rPr>
        <w:t xml:space="preserve"> Nasri</w:t>
      </w:r>
      <w:r w:rsidR="000D3982" w:rsidRPr="002575A7">
        <w:rPr>
          <w:rFonts w:ascii="Book Antiqua" w:hAnsi="Book Antiqua" w:cs="Times New Roman"/>
          <w:sz w:val="24"/>
          <w:szCs w:val="24"/>
          <w:lang w:val="en-US"/>
        </w:rPr>
        <w:t xml:space="preserve"> M,</w:t>
      </w:r>
      <w:r w:rsidRPr="002575A7">
        <w:rPr>
          <w:rFonts w:ascii="Book Antiqua" w:hAnsi="Book Antiqua" w:cs="Times New Roman"/>
          <w:sz w:val="24"/>
          <w:szCs w:val="24"/>
          <w:lang w:val="en-US"/>
        </w:rPr>
        <w:t xml:space="preserve"> Turpin</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Borg</w:t>
      </w:r>
      <w:r w:rsidR="000D3982" w:rsidRPr="002575A7">
        <w:rPr>
          <w:rFonts w:ascii="Book Antiqua" w:hAnsi="Book Antiqua" w:cs="Times New Roman"/>
          <w:sz w:val="24"/>
          <w:szCs w:val="24"/>
          <w:lang w:val="en-US"/>
        </w:rPr>
        <w:t xml:space="preserve"> C</w:t>
      </w:r>
      <w:r w:rsidRPr="002575A7">
        <w:rPr>
          <w:rFonts w:ascii="Book Antiqua" w:hAnsi="Book Antiqua" w:cs="Times New Roman"/>
          <w:sz w:val="24"/>
          <w:szCs w:val="24"/>
          <w:lang w:val="en-US"/>
        </w:rPr>
        <w:t xml:space="preserve"> contributed to collection and assembly of data. Vienot</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Meurisse</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Vernerey</w:t>
      </w:r>
      <w:r w:rsidR="000D3982" w:rsidRPr="002575A7">
        <w:rPr>
          <w:rFonts w:ascii="Book Antiqua" w:hAnsi="Book Antiqua" w:cs="Times New Roman"/>
          <w:sz w:val="24"/>
          <w:szCs w:val="24"/>
          <w:lang w:val="en-US"/>
        </w:rPr>
        <w:t xml:space="preserve"> D</w:t>
      </w:r>
      <w:r w:rsidRPr="002575A7">
        <w:rPr>
          <w:rFonts w:ascii="Book Antiqua" w:hAnsi="Book Antiqua" w:cs="Times New Roman"/>
          <w:sz w:val="24"/>
          <w:szCs w:val="24"/>
          <w:lang w:val="en-US"/>
        </w:rPr>
        <w:t xml:space="preserve"> contributed to statistical analyses. Vienot</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Chevalier</w:t>
      </w:r>
      <w:r w:rsidR="000D3982" w:rsidRPr="002575A7">
        <w:rPr>
          <w:rFonts w:ascii="Book Antiqua" w:hAnsi="Book Antiqua" w:cs="Times New Roman"/>
          <w:sz w:val="24"/>
          <w:szCs w:val="24"/>
          <w:lang w:val="en-US"/>
        </w:rPr>
        <w:t xml:space="preserve"> H,</w:t>
      </w:r>
      <w:r w:rsidRPr="002575A7">
        <w:rPr>
          <w:rFonts w:ascii="Book Antiqua" w:hAnsi="Book Antiqua" w:cs="Times New Roman"/>
          <w:sz w:val="24"/>
          <w:szCs w:val="24"/>
          <w:lang w:val="en-US"/>
        </w:rPr>
        <w:t xml:space="preserve"> Turpin</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Borg</w:t>
      </w:r>
      <w:r w:rsidR="000D3982" w:rsidRPr="002575A7">
        <w:rPr>
          <w:rFonts w:ascii="Book Antiqua" w:hAnsi="Book Antiqua" w:cs="Times New Roman"/>
          <w:sz w:val="24"/>
          <w:szCs w:val="24"/>
          <w:lang w:val="en-US"/>
        </w:rPr>
        <w:t xml:space="preserve"> C, </w:t>
      </w:r>
      <w:r w:rsidRPr="002575A7">
        <w:rPr>
          <w:rFonts w:ascii="Book Antiqua" w:hAnsi="Book Antiqua" w:cs="Times New Roman"/>
          <w:sz w:val="24"/>
          <w:szCs w:val="24"/>
          <w:lang w:val="en-US"/>
        </w:rPr>
        <w:t>Vernerey</w:t>
      </w:r>
      <w:r w:rsidR="000D3982" w:rsidRPr="002575A7">
        <w:rPr>
          <w:rFonts w:ascii="Book Antiqua" w:hAnsi="Book Antiqua" w:cs="Times New Roman"/>
          <w:sz w:val="24"/>
          <w:szCs w:val="24"/>
          <w:lang w:val="en-US"/>
        </w:rPr>
        <w:t xml:space="preserve"> D</w:t>
      </w:r>
      <w:r w:rsidRPr="002575A7">
        <w:rPr>
          <w:rFonts w:ascii="Book Antiqua" w:hAnsi="Book Antiqua" w:cs="Times New Roman"/>
          <w:sz w:val="24"/>
          <w:szCs w:val="24"/>
          <w:lang w:val="en-US"/>
        </w:rPr>
        <w:t xml:space="preserve"> contributed to data interpretation. Vienot</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Chevalier</w:t>
      </w:r>
      <w:r w:rsidR="000D3982" w:rsidRPr="002575A7">
        <w:rPr>
          <w:rFonts w:ascii="Book Antiqua" w:hAnsi="Book Antiqua" w:cs="Times New Roman"/>
          <w:sz w:val="24"/>
          <w:szCs w:val="24"/>
          <w:lang w:val="en-US"/>
        </w:rPr>
        <w:t xml:space="preserve"> H,</w:t>
      </w:r>
      <w:r w:rsidRPr="002575A7">
        <w:rPr>
          <w:rFonts w:ascii="Book Antiqua" w:hAnsi="Book Antiqua" w:cs="Times New Roman"/>
          <w:sz w:val="24"/>
          <w:szCs w:val="24"/>
          <w:lang w:val="en-US"/>
        </w:rPr>
        <w:t xml:space="preserve"> </w:t>
      </w:r>
      <w:r w:rsidR="00CD05C5" w:rsidRPr="003369BE">
        <w:rPr>
          <w:rFonts w:ascii="Book Antiqua" w:hAnsi="Book Antiqua" w:cs="Times New Roman"/>
          <w:sz w:val="24"/>
          <w:szCs w:val="24"/>
          <w:lang w:val="en-US"/>
        </w:rPr>
        <w:t>Abdeljaoued</w:t>
      </w:r>
      <w:r w:rsidR="00CD05C5">
        <w:rPr>
          <w:rFonts w:ascii="Book Antiqua" w:hAnsi="Book Antiqua" w:cs="Times New Roman"/>
          <w:sz w:val="24"/>
          <w:szCs w:val="24"/>
          <w:lang w:val="en-US"/>
        </w:rPr>
        <w:t xml:space="preserve"> S, </w:t>
      </w:r>
      <w:r w:rsidRPr="002575A7">
        <w:rPr>
          <w:rFonts w:ascii="Book Antiqua" w:hAnsi="Book Antiqua" w:cs="Times New Roman"/>
          <w:sz w:val="24"/>
          <w:szCs w:val="24"/>
          <w:lang w:val="en-US"/>
        </w:rPr>
        <w:t>Turpin</w:t>
      </w:r>
      <w:r w:rsidR="000D3982" w:rsidRPr="002575A7">
        <w:rPr>
          <w:rFonts w:ascii="Book Antiqua" w:hAnsi="Book Antiqua" w:cs="Times New Roman"/>
          <w:sz w:val="24"/>
          <w:szCs w:val="24"/>
          <w:lang w:val="en-US"/>
        </w:rPr>
        <w:t xml:space="preserve"> A,</w:t>
      </w:r>
      <w:r w:rsidRPr="002575A7">
        <w:rPr>
          <w:rFonts w:ascii="Book Antiqua" w:hAnsi="Book Antiqua" w:cs="Times New Roman"/>
          <w:sz w:val="24"/>
          <w:szCs w:val="24"/>
          <w:lang w:val="en-US"/>
        </w:rPr>
        <w:t xml:space="preserve"> Borg</w:t>
      </w:r>
      <w:r w:rsidR="000D3982" w:rsidRPr="002575A7">
        <w:rPr>
          <w:rFonts w:ascii="Book Antiqua" w:hAnsi="Book Antiqua" w:cs="Times New Roman"/>
          <w:sz w:val="24"/>
          <w:szCs w:val="24"/>
          <w:lang w:val="en-US"/>
        </w:rPr>
        <w:t xml:space="preserve"> C,</w:t>
      </w:r>
      <w:r w:rsidRPr="002575A7">
        <w:rPr>
          <w:rFonts w:ascii="Book Antiqua" w:hAnsi="Book Antiqua" w:cs="Times New Roman"/>
          <w:sz w:val="24"/>
          <w:szCs w:val="24"/>
          <w:lang w:val="en-US"/>
        </w:rPr>
        <w:t xml:space="preserve"> Vernerey</w:t>
      </w:r>
      <w:r w:rsidR="000D3982" w:rsidRPr="002575A7">
        <w:rPr>
          <w:rFonts w:ascii="Book Antiqua" w:hAnsi="Book Antiqua" w:cs="Times New Roman"/>
          <w:sz w:val="24"/>
          <w:szCs w:val="24"/>
          <w:lang w:val="en-US"/>
        </w:rPr>
        <w:t xml:space="preserve"> D</w:t>
      </w:r>
      <w:r w:rsidRPr="002575A7">
        <w:rPr>
          <w:rFonts w:ascii="Book Antiqua" w:hAnsi="Book Antiqua" w:cs="Times New Roman"/>
          <w:sz w:val="24"/>
          <w:szCs w:val="24"/>
          <w:lang w:val="en-US"/>
        </w:rPr>
        <w:t xml:space="preserve"> contributed to manuscript writing</w:t>
      </w:r>
      <w:r w:rsidR="002A4DF5">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2A4DF5" w:rsidRPr="002575A7">
        <w:rPr>
          <w:rFonts w:ascii="Book Antiqua" w:hAnsi="Book Antiqua"/>
          <w:color w:val="000000"/>
          <w:sz w:val="24"/>
          <w:szCs w:val="24"/>
          <w:lang w:val="en-US"/>
        </w:rPr>
        <w:t>a</w:t>
      </w:r>
      <w:r w:rsidRPr="002575A7">
        <w:rPr>
          <w:rFonts w:ascii="Book Antiqua" w:hAnsi="Book Antiqua"/>
          <w:color w:val="000000"/>
          <w:sz w:val="24"/>
          <w:szCs w:val="24"/>
          <w:lang w:val="en-US"/>
        </w:rPr>
        <w:t>ll authors read and approve</w:t>
      </w:r>
      <w:r w:rsidR="0062652F">
        <w:rPr>
          <w:rFonts w:ascii="Book Antiqua" w:hAnsi="Book Antiqua"/>
          <w:color w:val="000000"/>
          <w:sz w:val="24"/>
          <w:szCs w:val="24"/>
          <w:lang w:val="en-US"/>
        </w:rPr>
        <w:t>d</w:t>
      </w:r>
      <w:r w:rsidRPr="002575A7">
        <w:rPr>
          <w:rFonts w:ascii="Book Antiqua" w:hAnsi="Book Antiqua"/>
          <w:color w:val="000000"/>
          <w:sz w:val="24"/>
          <w:szCs w:val="24"/>
          <w:lang w:val="en-US"/>
        </w:rPr>
        <w:t xml:space="preserve"> the final manuscript.</w:t>
      </w:r>
    </w:p>
    <w:p w14:paraId="78787838" w14:textId="77777777" w:rsidR="00E46E24" w:rsidRPr="002575A7" w:rsidRDefault="00E46E24" w:rsidP="00864BDB">
      <w:pPr>
        <w:snapToGrid w:val="0"/>
        <w:spacing w:after="0" w:line="360" w:lineRule="auto"/>
        <w:jc w:val="both"/>
        <w:rPr>
          <w:rFonts w:ascii="Book Antiqua" w:hAnsi="Book Antiqua" w:cs="Times New Roman"/>
          <w:b/>
          <w:sz w:val="24"/>
          <w:szCs w:val="24"/>
          <w:lang w:val="en-US"/>
        </w:rPr>
      </w:pPr>
    </w:p>
    <w:p w14:paraId="5584D450" w14:textId="49CBA1BD" w:rsidR="007B2F30" w:rsidRPr="002575A7" w:rsidRDefault="007B2F30"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Corresponding author:</w:t>
      </w:r>
      <w:r w:rsidR="00970323" w:rsidRPr="002575A7">
        <w:rPr>
          <w:rFonts w:ascii="Book Antiqua" w:hAnsi="Book Antiqua" w:cs="Times New Roman"/>
          <w:b/>
          <w:sz w:val="24"/>
          <w:szCs w:val="24"/>
          <w:lang w:val="en-US"/>
        </w:rPr>
        <w:t xml:space="preserve"> </w:t>
      </w:r>
      <w:r w:rsidRPr="002575A7">
        <w:rPr>
          <w:rFonts w:ascii="Book Antiqua" w:hAnsi="Book Antiqua" w:cs="Times New Roman"/>
          <w:b/>
          <w:sz w:val="24"/>
          <w:szCs w:val="24"/>
          <w:lang w:val="en-US"/>
        </w:rPr>
        <w:t>Angélique Vienot, MD,</w:t>
      </w:r>
      <w:r w:rsidRPr="002575A7">
        <w:rPr>
          <w:rFonts w:ascii="Book Antiqua" w:hAnsi="Book Antiqua" w:cs="Times New Roman"/>
          <w:sz w:val="24"/>
          <w:szCs w:val="24"/>
          <w:lang w:val="en-US"/>
        </w:rPr>
        <w:t xml:space="preserve"> Department of Medical Oncology, Besançon University Hospital, 3 Boulevard Alexandre Fleming, </w:t>
      </w:r>
      <w:r w:rsidR="00DC6981" w:rsidRPr="00DC6981">
        <w:rPr>
          <w:rFonts w:ascii="Book Antiqua" w:hAnsi="Book Antiqua" w:cs="Times New Roman"/>
          <w:sz w:val="24"/>
          <w:szCs w:val="24"/>
          <w:lang w:val="en-US"/>
        </w:rPr>
        <w:t>Besançon F-25030</w:t>
      </w:r>
      <w:r w:rsidRPr="002575A7">
        <w:rPr>
          <w:rFonts w:ascii="Book Antiqua" w:hAnsi="Book Antiqua" w:cs="Times New Roman"/>
          <w:sz w:val="24"/>
          <w:szCs w:val="24"/>
          <w:lang w:val="en-US"/>
        </w:rPr>
        <w:t xml:space="preserve">, France. </w:t>
      </w:r>
      <w:r w:rsidR="006258C4" w:rsidRPr="00864BDB">
        <w:rPr>
          <w:rStyle w:val="af5"/>
          <w:rFonts w:ascii="Book Antiqua" w:hAnsi="Book Antiqua" w:cs="Times New Roman"/>
          <w:color w:val="auto"/>
          <w:sz w:val="24"/>
          <w:szCs w:val="24"/>
          <w:u w:val="none"/>
          <w:lang w:val="en-US"/>
        </w:rPr>
        <w:t>angelique.vienot@inserm.fr</w:t>
      </w:r>
      <w:r w:rsidR="006258C4" w:rsidRPr="00864BDB" w:rsidDel="006258C4">
        <w:rPr>
          <w:rStyle w:val="af5"/>
          <w:rFonts w:ascii="Book Antiqua" w:hAnsi="Book Antiqua" w:cs="Times New Roman"/>
          <w:color w:val="auto"/>
          <w:sz w:val="24"/>
          <w:szCs w:val="24"/>
          <w:u w:val="none"/>
          <w:lang w:val="en-US"/>
        </w:rPr>
        <w:t xml:space="preserve"> </w:t>
      </w:r>
    </w:p>
    <w:p w14:paraId="64A69265" w14:textId="265CFFBC" w:rsidR="00E46E24" w:rsidRDefault="00E46E24" w:rsidP="00864BDB">
      <w:pPr>
        <w:snapToGrid w:val="0"/>
        <w:spacing w:after="0" w:line="360" w:lineRule="auto"/>
        <w:jc w:val="both"/>
        <w:rPr>
          <w:rFonts w:ascii="Book Antiqua" w:hAnsi="Book Antiqua" w:cs="Times New Roman"/>
          <w:b/>
          <w:sz w:val="24"/>
          <w:szCs w:val="24"/>
          <w:lang w:val="en-US"/>
        </w:rPr>
      </w:pPr>
    </w:p>
    <w:p w14:paraId="75D2CC9B" w14:textId="62149CE2" w:rsidR="009D1BBF" w:rsidRPr="009D1BBF" w:rsidRDefault="009D1BBF" w:rsidP="009D1BBF">
      <w:pPr>
        <w:snapToGrid w:val="0"/>
        <w:spacing w:after="0" w:line="360" w:lineRule="auto"/>
        <w:jc w:val="both"/>
        <w:rPr>
          <w:rFonts w:ascii="Book Antiqua" w:hAnsi="Book Antiqua" w:cs="Times New Roman"/>
          <w:b/>
          <w:sz w:val="24"/>
          <w:szCs w:val="24"/>
          <w:lang w:val="en-GB"/>
        </w:rPr>
      </w:pPr>
      <w:bookmarkStart w:id="1" w:name="_Hlk28872415"/>
      <w:r w:rsidRPr="009D1BBF">
        <w:rPr>
          <w:rFonts w:ascii="Book Antiqua" w:hAnsi="Book Antiqua" w:cs="Times New Roman"/>
          <w:b/>
          <w:sz w:val="24"/>
          <w:szCs w:val="24"/>
          <w:lang w:val="en-GB"/>
        </w:rPr>
        <w:t>Received:</w:t>
      </w:r>
      <w:r w:rsidRPr="009D1BBF">
        <w:rPr>
          <w:rFonts w:ascii="Book Antiqua" w:hAnsi="Book Antiqua" w:cs="Times New Roman" w:hint="eastAsia"/>
          <w:b/>
          <w:sz w:val="24"/>
          <w:szCs w:val="24"/>
          <w:lang w:val="en-GB" w:eastAsia="zh-CN"/>
        </w:rPr>
        <w:t xml:space="preserve"> </w:t>
      </w:r>
      <w:r w:rsidRPr="00657D88">
        <w:rPr>
          <w:rFonts w:ascii="Book Antiqua" w:hAnsi="Book Antiqua" w:cs="Times New Roman"/>
          <w:sz w:val="24"/>
          <w:szCs w:val="24"/>
          <w:lang w:val="en-GB"/>
        </w:rPr>
        <w:t>August</w:t>
      </w:r>
      <w:r w:rsidRPr="00657D88">
        <w:rPr>
          <w:rFonts w:ascii="Book Antiqua" w:hAnsi="Book Antiqua" w:cs="Times New Roman" w:hint="eastAsia"/>
          <w:sz w:val="24"/>
          <w:szCs w:val="24"/>
          <w:lang w:val="en-GB"/>
        </w:rPr>
        <w:t xml:space="preserve"> </w:t>
      </w:r>
      <w:r>
        <w:rPr>
          <w:rFonts w:ascii="Book Antiqua" w:hAnsi="Book Antiqua" w:cs="Times New Roman"/>
          <w:sz w:val="24"/>
          <w:szCs w:val="24"/>
          <w:lang w:val="en-GB"/>
        </w:rPr>
        <w:t>2</w:t>
      </w:r>
      <w:r w:rsidRPr="009D1BBF">
        <w:rPr>
          <w:rFonts w:ascii="Book Antiqua" w:eastAsia="DengXian" w:hAnsi="Book Antiqua" w:cs="Times New Roman"/>
          <w:kern w:val="2"/>
          <w:sz w:val="24"/>
          <w:szCs w:val="24"/>
          <w:lang w:val="en-GB" w:eastAsia="zh-CN"/>
        </w:rPr>
        <w:t>4</w:t>
      </w:r>
      <w:r w:rsidRPr="009D1BBF">
        <w:rPr>
          <w:rFonts w:ascii="Book Antiqua" w:hAnsi="Book Antiqua" w:cs="Times New Roman"/>
          <w:sz w:val="24"/>
          <w:szCs w:val="24"/>
          <w:lang w:val="en-GB" w:eastAsia="zh-CN"/>
        </w:rPr>
        <w:t>, 201</w:t>
      </w:r>
      <w:r w:rsidRPr="009D1BBF">
        <w:rPr>
          <w:rFonts w:ascii="Book Antiqua" w:hAnsi="Book Antiqua" w:cs="Times New Roman" w:hint="eastAsia"/>
          <w:sz w:val="24"/>
          <w:szCs w:val="24"/>
          <w:lang w:val="en-GB" w:eastAsia="zh-CN"/>
        </w:rPr>
        <w:t>9</w:t>
      </w:r>
      <w:r w:rsidRPr="009D1BBF">
        <w:rPr>
          <w:rFonts w:ascii="Book Antiqua" w:hAnsi="Book Antiqua" w:cs="Times New Roman"/>
          <w:sz w:val="24"/>
          <w:szCs w:val="24"/>
          <w:lang w:val="en-GB"/>
        </w:rPr>
        <w:t xml:space="preserve"> </w:t>
      </w:r>
    </w:p>
    <w:p w14:paraId="33005EE7" w14:textId="494C94A0" w:rsidR="009D1BBF" w:rsidRPr="009D1BBF" w:rsidRDefault="009D1BBF" w:rsidP="009D1BBF">
      <w:pPr>
        <w:snapToGrid w:val="0"/>
        <w:spacing w:after="0" w:line="360" w:lineRule="auto"/>
        <w:jc w:val="both"/>
        <w:rPr>
          <w:rFonts w:ascii="Book Antiqua" w:hAnsi="Book Antiqua" w:cs="Times New Roman"/>
          <w:b/>
          <w:sz w:val="24"/>
          <w:szCs w:val="24"/>
          <w:lang w:val="en-GB"/>
        </w:rPr>
      </w:pPr>
      <w:r w:rsidRPr="009D1BBF">
        <w:rPr>
          <w:rFonts w:ascii="Book Antiqua" w:hAnsi="Book Antiqua" w:cs="Times New Roman"/>
          <w:b/>
          <w:sz w:val="24"/>
          <w:szCs w:val="24"/>
          <w:lang w:val="en-GB"/>
        </w:rPr>
        <w:t>Revised:</w:t>
      </w:r>
      <w:r w:rsidRPr="009D1BBF">
        <w:rPr>
          <w:rFonts w:ascii="Book Antiqua" w:hAnsi="Book Antiqua" w:cs="Times New Roman" w:hint="eastAsia"/>
          <w:sz w:val="24"/>
          <w:szCs w:val="24"/>
          <w:lang w:val="en-GB" w:eastAsia="zh-CN"/>
        </w:rPr>
        <w:t xml:space="preserve"> </w:t>
      </w:r>
      <w:bookmarkStart w:id="2" w:name="_Hlk28872471"/>
      <w:r w:rsidRPr="00657D88">
        <w:rPr>
          <w:rFonts w:ascii="Book Antiqua" w:hAnsi="Book Antiqua" w:cs="Times New Roman"/>
          <w:sz w:val="24"/>
          <w:szCs w:val="24"/>
          <w:lang w:val="en-GB"/>
        </w:rPr>
        <w:t>December</w:t>
      </w:r>
      <w:bookmarkEnd w:id="2"/>
      <w:r w:rsidRPr="009D1BBF">
        <w:rPr>
          <w:rFonts w:ascii="Book Antiqua" w:eastAsia="DengXian" w:hAnsi="Book Antiqua" w:cs="Times New Roman"/>
          <w:kern w:val="2"/>
          <w:sz w:val="24"/>
          <w:szCs w:val="24"/>
          <w:lang w:val="en-GB" w:eastAsia="zh-CN"/>
        </w:rPr>
        <w:t xml:space="preserve"> </w:t>
      </w:r>
      <w:r>
        <w:rPr>
          <w:rFonts w:ascii="Book Antiqua" w:eastAsia="DengXian" w:hAnsi="Book Antiqua" w:cs="Times New Roman"/>
          <w:kern w:val="2"/>
          <w:sz w:val="24"/>
          <w:szCs w:val="24"/>
          <w:lang w:val="en-GB" w:eastAsia="zh-CN"/>
        </w:rPr>
        <w:t>26</w:t>
      </w:r>
      <w:r w:rsidRPr="009D1BBF">
        <w:rPr>
          <w:rFonts w:ascii="Book Antiqua" w:hAnsi="Book Antiqua" w:cs="Times New Roman"/>
          <w:sz w:val="24"/>
          <w:szCs w:val="24"/>
          <w:lang w:val="en-GB" w:eastAsia="zh-CN"/>
        </w:rPr>
        <w:t>, 201</w:t>
      </w:r>
      <w:r w:rsidRPr="009D1BBF">
        <w:rPr>
          <w:rFonts w:ascii="Book Antiqua" w:hAnsi="Book Antiqua" w:cs="Times New Roman" w:hint="eastAsia"/>
          <w:sz w:val="24"/>
          <w:szCs w:val="24"/>
          <w:lang w:val="en-GB" w:eastAsia="zh-CN"/>
        </w:rPr>
        <w:t>9</w:t>
      </w:r>
      <w:r w:rsidRPr="009D1BBF">
        <w:rPr>
          <w:rFonts w:ascii="Book Antiqua" w:hAnsi="Book Antiqua" w:cs="Times New Roman"/>
          <w:sz w:val="24"/>
          <w:szCs w:val="24"/>
          <w:lang w:val="en-GB"/>
        </w:rPr>
        <w:t xml:space="preserve"> </w:t>
      </w:r>
    </w:p>
    <w:p w14:paraId="3045A2DA" w14:textId="03A2618D" w:rsidR="009D1BBF" w:rsidRPr="007866F5" w:rsidRDefault="009D1BBF" w:rsidP="009D1BBF">
      <w:pPr>
        <w:snapToGrid w:val="0"/>
        <w:spacing w:after="0" w:line="360" w:lineRule="auto"/>
        <w:jc w:val="both"/>
        <w:rPr>
          <w:rFonts w:ascii="Book Antiqua" w:hAnsi="Book Antiqua" w:cs="Times New Roman"/>
          <w:b/>
          <w:sz w:val="24"/>
          <w:szCs w:val="24"/>
          <w:lang w:val="en-US"/>
        </w:rPr>
      </w:pPr>
      <w:r w:rsidRPr="009D1BBF">
        <w:rPr>
          <w:rFonts w:ascii="Book Antiqua" w:hAnsi="Book Antiqua" w:cs="Times New Roman"/>
          <w:b/>
          <w:sz w:val="24"/>
          <w:szCs w:val="24"/>
          <w:lang w:val="en-GB"/>
        </w:rPr>
        <w:t>Accepted:</w:t>
      </w:r>
      <w:r w:rsidRPr="009D1BBF">
        <w:rPr>
          <w:rFonts w:ascii="Calibri" w:hAnsi="Calibri" w:cs="Times New Roman"/>
          <w:lang w:val="el-GR"/>
        </w:rPr>
        <w:t xml:space="preserve"> </w:t>
      </w:r>
      <w:r w:rsidR="00321680" w:rsidRPr="007866F5">
        <w:rPr>
          <w:rFonts w:ascii="Book Antiqua" w:hAnsi="Book Antiqua" w:cs="Times New Roman"/>
          <w:sz w:val="24"/>
          <w:szCs w:val="24"/>
          <w:lang w:val="en-US"/>
        </w:rPr>
        <w:t>January 14, 2020</w:t>
      </w:r>
    </w:p>
    <w:p w14:paraId="7A85645A" w14:textId="77777777" w:rsidR="009D1BBF" w:rsidRPr="009D1BBF" w:rsidRDefault="009D1BBF" w:rsidP="009D1BBF">
      <w:pPr>
        <w:snapToGrid w:val="0"/>
        <w:spacing w:after="0" w:line="360" w:lineRule="auto"/>
        <w:jc w:val="both"/>
        <w:rPr>
          <w:rFonts w:ascii="Book Antiqua" w:hAnsi="Book Antiqua" w:cs="Times New Roman"/>
          <w:b/>
          <w:sz w:val="24"/>
          <w:szCs w:val="24"/>
          <w:lang w:val="en-GB" w:eastAsia="zh-CN"/>
        </w:rPr>
      </w:pPr>
      <w:r w:rsidRPr="009D1BBF">
        <w:rPr>
          <w:rFonts w:ascii="Book Antiqua" w:hAnsi="Book Antiqua" w:cs="Times New Roman"/>
          <w:b/>
          <w:sz w:val="24"/>
          <w:szCs w:val="24"/>
          <w:lang w:val="en-GB"/>
        </w:rPr>
        <w:t xml:space="preserve">Published online: </w:t>
      </w:r>
    </w:p>
    <w:bookmarkEnd w:id="1"/>
    <w:p w14:paraId="58CB98A7" w14:textId="77777777" w:rsidR="009D1BBF" w:rsidRPr="002575A7" w:rsidRDefault="009D1BBF" w:rsidP="00864BDB">
      <w:pPr>
        <w:snapToGrid w:val="0"/>
        <w:spacing w:after="0" w:line="360" w:lineRule="auto"/>
        <w:jc w:val="both"/>
        <w:rPr>
          <w:rFonts w:ascii="Book Antiqua" w:hAnsi="Book Antiqua" w:cs="Times New Roman"/>
          <w:b/>
          <w:sz w:val="24"/>
          <w:szCs w:val="24"/>
          <w:lang w:val="en-US"/>
        </w:rPr>
      </w:pPr>
    </w:p>
    <w:p w14:paraId="20D5202A" w14:textId="77777777" w:rsidR="00E46E24" w:rsidRPr="002575A7" w:rsidRDefault="00E46E24" w:rsidP="00864BDB">
      <w:pPr>
        <w:snapToGrid w:val="0"/>
        <w:spacing w:after="0" w:line="360" w:lineRule="auto"/>
        <w:jc w:val="both"/>
        <w:rPr>
          <w:rFonts w:ascii="Book Antiqua" w:hAnsi="Book Antiqua" w:cs="Times New Roman"/>
          <w:b/>
          <w:sz w:val="24"/>
          <w:szCs w:val="24"/>
          <w:lang w:val="en-US"/>
        </w:rPr>
      </w:pPr>
      <w:r w:rsidRPr="002575A7">
        <w:rPr>
          <w:rFonts w:ascii="Book Antiqua" w:hAnsi="Book Antiqua" w:cs="Times New Roman"/>
          <w:b/>
          <w:sz w:val="24"/>
          <w:szCs w:val="24"/>
          <w:lang w:val="en-US"/>
        </w:rPr>
        <w:br w:type="page"/>
      </w:r>
    </w:p>
    <w:p w14:paraId="03079E64" w14:textId="77777777" w:rsidR="00D53D4A" w:rsidRPr="002575A7" w:rsidRDefault="00D53D4A" w:rsidP="00864BDB">
      <w:pPr>
        <w:snapToGrid w:val="0"/>
        <w:spacing w:after="0" w:line="360" w:lineRule="auto"/>
        <w:jc w:val="both"/>
        <w:rPr>
          <w:rFonts w:ascii="Book Antiqua" w:eastAsia="等线 Light" w:hAnsi="Book Antiqua"/>
          <w:b/>
          <w:bCs/>
          <w:color w:val="000000"/>
          <w:sz w:val="24"/>
          <w:szCs w:val="24"/>
          <w:lang w:val="en-US"/>
        </w:rPr>
      </w:pPr>
      <w:r w:rsidRPr="002575A7">
        <w:rPr>
          <w:rFonts w:ascii="Book Antiqua" w:hAnsi="Book Antiqua"/>
          <w:b/>
          <w:bCs/>
          <w:color w:val="000000"/>
          <w:sz w:val="24"/>
          <w:szCs w:val="24"/>
          <w:lang w:val="en-US"/>
        </w:rPr>
        <w:lastRenderedPageBreak/>
        <w:t>Abstract</w:t>
      </w:r>
    </w:p>
    <w:p w14:paraId="56541248" w14:textId="77777777" w:rsidR="00D53D4A" w:rsidRPr="00864BDB" w:rsidRDefault="00D53D4A" w:rsidP="00864BDB">
      <w:pPr>
        <w:snapToGrid w:val="0"/>
        <w:spacing w:after="0" w:line="360" w:lineRule="auto"/>
        <w:jc w:val="both"/>
        <w:rPr>
          <w:rFonts w:ascii="Book Antiqua" w:hAnsi="Book Antiqua"/>
          <w:bCs/>
          <w:caps/>
          <w:color w:val="000000"/>
          <w:sz w:val="24"/>
          <w:szCs w:val="24"/>
          <w:lang w:val="en-US"/>
        </w:rPr>
      </w:pPr>
      <w:r w:rsidRPr="00864BDB">
        <w:rPr>
          <w:rFonts w:ascii="Book Antiqua" w:hAnsi="Book Antiqua"/>
          <w:bCs/>
          <w:caps/>
          <w:color w:val="000000"/>
          <w:sz w:val="24"/>
          <w:szCs w:val="24"/>
          <w:lang w:val="en-US"/>
        </w:rPr>
        <w:t>Background</w:t>
      </w:r>
    </w:p>
    <w:p w14:paraId="6AC744B7" w14:textId="379975D5" w:rsidR="00D53D4A" w:rsidRPr="002575A7" w:rsidRDefault="009D0AD7"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FOLFIRINOX regimen is the first-line </w:t>
      </w:r>
      <w:r w:rsidR="00A25A5E" w:rsidRPr="002575A7">
        <w:rPr>
          <w:rFonts w:ascii="Book Antiqua" w:hAnsi="Book Antiqua" w:cs="Times New Roman"/>
          <w:sz w:val="24"/>
          <w:szCs w:val="24"/>
          <w:lang w:val="en-US"/>
        </w:rPr>
        <w:t xml:space="preserve">reference </w:t>
      </w:r>
      <w:r w:rsidRPr="002575A7">
        <w:rPr>
          <w:rFonts w:ascii="Book Antiqua" w:hAnsi="Book Antiqua" w:cs="Times New Roman"/>
          <w:sz w:val="24"/>
          <w:szCs w:val="24"/>
          <w:lang w:val="en-US"/>
        </w:rPr>
        <w:t>chemotherapy (L1)</w:t>
      </w:r>
      <w:r w:rsidR="007E7329" w:rsidRPr="002575A7">
        <w:rPr>
          <w:rFonts w:ascii="Book Antiqua" w:hAnsi="Book Antiqua" w:cs="Times New Roman"/>
          <w:sz w:val="24"/>
          <w:szCs w:val="24"/>
          <w:lang w:val="en-US"/>
        </w:rPr>
        <w:t xml:space="preserve"> in advanced pancreatic ductal adenocarcinoma (aPDAC)</w:t>
      </w:r>
      <w:r w:rsidRPr="002575A7">
        <w:rPr>
          <w:rFonts w:ascii="Book Antiqua" w:hAnsi="Book Antiqua" w:cs="Times New Roman"/>
          <w:sz w:val="24"/>
          <w:szCs w:val="24"/>
          <w:lang w:val="en-US"/>
        </w:rPr>
        <w:t xml:space="preserve">. FOLFOXIRI, a schedule with a lower dose of irinotecan and no bolus 5-fluorouracil, has demonstrated efficacy and </w:t>
      </w:r>
      <w:r w:rsidR="00C3193D" w:rsidRPr="002575A7">
        <w:rPr>
          <w:rFonts w:ascii="Book Antiqua" w:hAnsi="Book Antiqua" w:cs="Times New Roman"/>
          <w:sz w:val="24"/>
          <w:szCs w:val="24"/>
          <w:lang w:val="en-US"/>
        </w:rPr>
        <w:t>feasibility</w:t>
      </w:r>
      <w:r w:rsidRPr="002575A7">
        <w:rPr>
          <w:rFonts w:ascii="Book Antiqua" w:hAnsi="Book Antiqua" w:cs="Times New Roman"/>
          <w:sz w:val="24"/>
          <w:szCs w:val="24"/>
          <w:lang w:val="en-US"/>
        </w:rPr>
        <w:t xml:space="preserve"> in colorectal cancer. </w:t>
      </w:r>
    </w:p>
    <w:p w14:paraId="6737B02E" w14:textId="77777777" w:rsidR="00D53D4A" w:rsidRPr="002575A7" w:rsidRDefault="00D53D4A" w:rsidP="00864BDB">
      <w:pPr>
        <w:snapToGrid w:val="0"/>
        <w:spacing w:after="0" w:line="360" w:lineRule="auto"/>
        <w:jc w:val="both"/>
        <w:rPr>
          <w:rFonts w:ascii="Book Antiqua" w:hAnsi="Book Antiqua" w:cs="Times New Roman"/>
          <w:sz w:val="24"/>
          <w:szCs w:val="24"/>
          <w:lang w:val="en-US"/>
        </w:rPr>
      </w:pPr>
    </w:p>
    <w:p w14:paraId="4D014DB2" w14:textId="77777777" w:rsidR="00D53D4A" w:rsidRPr="00864BDB" w:rsidRDefault="00D53D4A" w:rsidP="00864BDB">
      <w:pPr>
        <w:snapToGrid w:val="0"/>
        <w:spacing w:after="0" w:line="360" w:lineRule="auto"/>
        <w:jc w:val="both"/>
        <w:rPr>
          <w:rFonts w:ascii="Book Antiqua" w:hAnsi="Book Antiqua"/>
          <w:bCs/>
          <w:caps/>
          <w:color w:val="000000"/>
          <w:sz w:val="24"/>
          <w:szCs w:val="24"/>
          <w:lang w:val="en-US"/>
        </w:rPr>
      </w:pPr>
      <w:r w:rsidRPr="00864BDB">
        <w:rPr>
          <w:rFonts w:ascii="Book Antiqua" w:hAnsi="Book Antiqua"/>
          <w:bCs/>
          <w:caps/>
          <w:color w:val="000000"/>
          <w:sz w:val="24"/>
          <w:szCs w:val="24"/>
          <w:lang w:val="en-US"/>
        </w:rPr>
        <w:t>Aim</w:t>
      </w:r>
    </w:p>
    <w:p w14:paraId="0BCFCBD9" w14:textId="34DC6794" w:rsidR="009D0AD7" w:rsidRPr="002575A7" w:rsidRDefault="00A95B90"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T</w:t>
      </w:r>
      <w:r w:rsidR="009D0AD7" w:rsidRPr="002575A7">
        <w:rPr>
          <w:rFonts w:ascii="Book Antiqua" w:hAnsi="Book Antiqua" w:cs="Times New Roman"/>
          <w:sz w:val="24"/>
          <w:szCs w:val="24"/>
          <w:lang w:val="en-US"/>
        </w:rPr>
        <w:t xml:space="preserve">o </w:t>
      </w:r>
      <w:r w:rsidR="006B72C2" w:rsidRPr="002575A7">
        <w:rPr>
          <w:rFonts w:ascii="Book Antiqua" w:hAnsi="Book Antiqua" w:cs="Times New Roman"/>
          <w:sz w:val="24"/>
          <w:szCs w:val="24"/>
          <w:lang w:val="en-US"/>
        </w:rPr>
        <w:t xml:space="preserve">investigate the potential clinical </w:t>
      </w:r>
      <w:r w:rsidR="00B62A29">
        <w:rPr>
          <w:rFonts w:ascii="Book Antiqua" w:hAnsi="Book Antiqua" w:cs="Times New Roman"/>
          <w:sz w:val="24"/>
          <w:szCs w:val="24"/>
          <w:lang w:val="en-US"/>
        </w:rPr>
        <w:t>value</w:t>
      </w:r>
      <w:r w:rsidR="006B72C2" w:rsidRPr="002575A7">
        <w:rPr>
          <w:rFonts w:ascii="Book Antiqua" w:hAnsi="Book Antiqua" w:cs="Times New Roman"/>
          <w:sz w:val="24"/>
          <w:szCs w:val="24"/>
          <w:lang w:val="en-US"/>
        </w:rPr>
        <w:t xml:space="preserve"> of FOLFOXIRI </w:t>
      </w:r>
      <w:r w:rsidR="009D0AD7" w:rsidRPr="002575A7">
        <w:rPr>
          <w:rFonts w:ascii="Book Antiqua" w:hAnsi="Book Antiqua" w:cs="Times New Roman"/>
          <w:sz w:val="24"/>
          <w:szCs w:val="24"/>
          <w:lang w:val="en-US"/>
        </w:rPr>
        <w:t>in patients with aPDAC in routine clinical practice.</w:t>
      </w:r>
    </w:p>
    <w:p w14:paraId="3E3A5B80" w14:textId="77777777" w:rsidR="00D53D4A" w:rsidRPr="002575A7" w:rsidRDefault="00D53D4A" w:rsidP="00864BDB">
      <w:pPr>
        <w:snapToGrid w:val="0"/>
        <w:spacing w:after="0" w:line="360" w:lineRule="auto"/>
        <w:jc w:val="both"/>
        <w:rPr>
          <w:rFonts w:ascii="Book Antiqua" w:hAnsi="Book Antiqua" w:cs="Times New Roman"/>
          <w:b/>
          <w:sz w:val="24"/>
          <w:szCs w:val="24"/>
          <w:lang w:val="en-US"/>
        </w:rPr>
      </w:pPr>
    </w:p>
    <w:p w14:paraId="58D41962" w14:textId="77777777" w:rsidR="00D53D4A" w:rsidRPr="00864BDB" w:rsidRDefault="00D53D4A" w:rsidP="00864BDB">
      <w:pPr>
        <w:snapToGrid w:val="0"/>
        <w:spacing w:after="0" w:line="360" w:lineRule="auto"/>
        <w:jc w:val="both"/>
        <w:rPr>
          <w:rFonts w:ascii="Book Antiqua" w:hAnsi="Book Antiqua"/>
          <w:bCs/>
          <w:caps/>
          <w:color w:val="000000"/>
          <w:sz w:val="24"/>
          <w:szCs w:val="24"/>
          <w:lang w:val="en-US"/>
        </w:rPr>
      </w:pPr>
      <w:r w:rsidRPr="00864BDB">
        <w:rPr>
          <w:rFonts w:ascii="Book Antiqua" w:hAnsi="Book Antiqua"/>
          <w:bCs/>
          <w:caps/>
          <w:color w:val="000000"/>
          <w:sz w:val="24"/>
          <w:szCs w:val="24"/>
          <w:lang w:val="en-US"/>
        </w:rPr>
        <w:t>Methods</w:t>
      </w:r>
    </w:p>
    <w:p w14:paraId="25377482" w14:textId="067E571C" w:rsidR="009D0AD7" w:rsidRPr="002575A7" w:rsidRDefault="009D0AD7"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Analyses were derived from all consecutive aPDAC patients treated in L1</w:t>
      </w:r>
      <w:r w:rsidR="00D24B23" w:rsidRPr="002575A7">
        <w:rPr>
          <w:rFonts w:ascii="Book Antiqua" w:hAnsi="Book Antiqua" w:cs="Times New Roman"/>
          <w:sz w:val="24"/>
          <w:szCs w:val="24"/>
          <w:lang w:val="en-US"/>
        </w:rPr>
        <w:t xml:space="preserve"> between </w:t>
      </w:r>
      <w:r w:rsidR="00530A4E">
        <w:rPr>
          <w:rFonts w:ascii="Book Antiqua" w:hAnsi="Book Antiqua" w:cs="Times New Roman"/>
          <w:sz w:val="24"/>
          <w:szCs w:val="24"/>
          <w:lang w:val="en-US"/>
        </w:rPr>
        <w:t xml:space="preserve">January </w:t>
      </w:r>
      <w:r w:rsidR="00D24B23" w:rsidRPr="002575A7">
        <w:rPr>
          <w:rFonts w:ascii="Book Antiqua" w:hAnsi="Book Antiqua" w:cs="Times New Roman"/>
          <w:sz w:val="24"/>
          <w:szCs w:val="24"/>
          <w:lang w:val="en-US"/>
        </w:rPr>
        <w:t xml:space="preserve">2011 and </w:t>
      </w:r>
      <w:r w:rsidR="00530A4E">
        <w:rPr>
          <w:rFonts w:ascii="Book Antiqua" w:hAnsi="Book Antiqua" w:cs="Times New Roman"/>
          <w:sz w:val="24"/>
          <w:szCs w:val="24"/>
          <w:lang w:val="en-US"/>
        </w:rPr>
        <w:t xml:space="preserve">December </w:t>
      </w:r>
      <w:r w:rsidR="00D24B23" w:rsidRPr="002575A7">
        <w:rPr>
          <w:rFonts w:ascii="Book Antiqua" w:hAnsi="Book Antiqua" w:cs="Times New Roman"/>
          <w:sz w:val="24"/>
          <w:szCs w:val="24"/>
          <w:lang w:val="en-US"/>
        </w:rPr>
        <w:t xml:space="preserve">2017 in two French institutions, </w:t>
      </w:r>
      <w:r w:rsidRPr="002575A7">
        <w:rPr>
          <w:rFonts w:ascii="Book Antiqua" w:hAnsi="Book Antiqua" w:cs="Times New Roman"/>
          <w:sz w:val="24"/>
          <w:szCs w:val="24"/>
          <w:lang w:val="en-US"/>
        </w:rPr>
        <w:t xml:space="preserve">with </w:t>
      </w:r>
      <w:r w:rsidR="006258C4">
        <w:rPr>
          <w:rFonts w:ascii="Book Antiqua" w:hAnsi="Book Antiqua" w:cs="Times New Roman"/>
          <w:sz w:val="24"/>
          <w:szCs w:val="24"/>
          <w:lang w:val="en-US"/>
        </w:rPr>
        <w:t xml:space="preserve">either </w:t>
      </w:r>
      <w:r w:rsidRPr="002575A7">
        <w:rPr>
          <w:rFonts w:ascii="Book Antiqua" w:hAnsi="Book Antiqua" w:cs="Times New Roman"/>
          <w:sz w:val="24"/>
          <w:szCs w:val="24"/>
          <w:lang w:val="en-US"/>
        </w:rPr>
        <w:t>FOLFOXIRI (</w:t>
      </w:r>
      <w:r w:rsidRPr="00864BDB">
        <w:rPr>
          <w:rFonts w:ascii="Book Antiqua" w:hAnsi="Book Antiqua" w:cs="Times New Roman"/>
          <w:i/>
          <w:iCs/>
          <w:sz w:val="24"/>
          <w:szCs w:val="24"/>
          <w:lang w:val="en-US"/>
        </w:rPr>
        <w:t>n</w:t>
      </w:r>
      <w:r w:rsidR="00864BDB">
        <w:rPr>
          <w:rFonts w:ascii="Book Antiqua" w:hAnsi="Book Antiqua" w:cs="Times New Roman"/>
          <w:i/>
          <w:iCs/>
          <w:sz w:val="24"/>
          <w:szCs w:val="24"/>
          <w:lang w:val="en-US"/>
        </w:rPr>
        <w:t xml:space="preserve"> </w:t>
      </w:r>
      <w:r w:rsidRPr="002575A7">
        <w:rPr>
          <w:rFonts w:ascii="Book Antiqua" w:hAnsi="Book Antiqua" w:cs="Times New Roman"/>
          <w:sz w:val="24"/>
          <w:szCs w:val="24"/>
          <w:lang w:val="en-US"/>
        </w:rPr>
        <w:t>=</w:t>
      </w:r>
      <w:r w:rsidR="00864BDB">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165) or </w:t>
      </w:r>
      <w:r w:rsidR="000B53A4" w:rsidRPr="002575A7">
        <w:rPr>
          <w:rFonts w:ascii="Book Antiqua" w:hAnsi="Book Antiqua" w:cs="Times New Roman"/>
          <w:sz w:val="24"/>
          <w:szCs w:val="24"/>
          <w:lang w:val="en-US"/>
        </w:rPr>
        <w:t xml:space="preserve">FOLFIRINOX </w:t>
      </w:r>
      <w:r w:rsidRPr="002575A7">
        <w:rPr>
          <w:rFonts w:ascii="Book Antiqua" w:hAnsi="Book Antiqua" w:cs="Times New Roman"/>
          <w:sz w:val="24"/>
          <w:szCs w:val="24"/>
          <w:lang w:val="en-US"/>
        </w:rPr>
        <w:t>(</w:t>
      </w:r>
      <w:r w:rsidRPr="00864BDB">
        <w:rPr>
          <w:rFonts w:ascii="Book Antiqua" w:hAnsi="Book Antiqua" w:cs="Times New Roman"/>
          <w:i/>
          <w:iCs/>
          <w:sz w:val="24"/>
          <w:szCs w:val="24"/>
          <w:lang w:val="en-US"/>
        </w:rPr>
        <w:t>n</w:t>
      </w:r>
      <w:r w:rsidR="00864BDB">
        <w:rPr>
          <w:rFonts w:ascii="Book Antiqua" w:hAnsi="Book Antiqua" w:cs="Times New Roman"/>
          <w:i/>
          <w:iCs/>
          <w:sz w:val="24"/>
          <w:szCs w:val="24"/>
          <w:lang w:val="en-US"/>
        </w:rPr>
        <w:t xml:space="preserve"> </w:t>
      </w:r>
      <w:r w:rsidRPr="002575A7">
        <w:rPr>
          <w:rFonts w:ascii="Book Antiqua" w:hAnsi="Book Antiqua" w:cs="Times New Roman"/>
          <w:sz w:val="24"/>
          <w:szCs w:val="24"/>
          <w:lang w:val="en-US"/>
        </w:rPr>
        <w:t>=</w:t>
      </w:r>
      <w:r w:rsidR="00864BDB">
        <w:rPr>
          <w:rFonts w:ascii="Book Antiqua" w:hAnsi="Book Antiqua" w:cs="Times New Roman"/>
          <w:sz w:val="24"/>
          <w:szCs w:val="24"/>
          <w:lang w:val="en-US"/>
        </w:rPr>
        <w:t xml:space="preserve"> </w:t>
      </w:r>
      <w:r w:rsidRPr="002575A7">
        <w:rPr>
          <w:rFonts w:ascii="Book Antiqua" w:hAnsi="Book Antiqua" w:cs="Times New Roman"/>
          <w:sz w:val="24"/>
          <w:szCs w:val="24"/>
          <w:lang w:val="en-US"/>
        </w:rPr>
        <w:t>124) regimens</w:t>
      </w:r>
      <w:r w:rsidR="009A4E37" w:rsidRPr="002575A7">
        <w:rPr>
          <w:rFonts w:ascii="Book Antiqua" w:hAnsi="Book Antiqua" w:cs="Times New Roman"/>
          <w:sz w:val="24"/>
          <w:szCs w:val="24"/>
          <w:lang w:val="en-US"/>
        </w:rPr>
        <w:t xml:space="preserve">. </w:t>
      </w:r>
      <w:r w:rsidR="00D24B23" w:rsidRPr="002575A7">
        <w:rPr>
          <w:rFonts w:ascii="Book Antiqua" w:hAnsi="Book Antiqua" w:cs="Times New Roman"/>
          <w:sz w:val="24"/>
          <w:szCs w:val="24"/>
          <w:lang w:val="en-US"/>
        </w:rPr>
        <w:t>FOLFOXIRI consisted of irinotecan (165 mg/m</w:t>
      </w:r>
      <w:r w:rsidR="00D24B23" w:rsidRPr="002575A7">
        <w:rPr>
          <w:rFonts w:ascii="Book Antiqua" w:hAnsi="Book Antiqua" w:cs="Times New Roman"/>
          <w:sz w:val="24"/>
          <w:szCs w:val="24"/>
          <w:vertAlign w:val="superscript"/>
          <w:lang w:val="en-US"/>
        </w:rPr>
        <w:t>2</w:t>
      </w:r>
      <w:r w:rsidR="00D24B23" w:rsidRPr="002575A7">
        <w:rPr>
          <w:rFonts w:ascii="Book Antiqua" w:hAnsi="Book Antiqua" w:cs="Times New Roman"/>
          <w:sz w:val="24"/>
          <w:szCs w:val="24"/>
          <w:lang w:val="en-US"/>
        </w:rPr>
        <w:t>), oxaliplatin (85 mg/m</w:t>
      </w:r>
      <w:r w:rsidR="00D24B23" w:rsidRPr="002575A7">
        <w:rPr>
          <w:rFonts w:ascii="Book Antiqua" w:hAnsi="Book Antiqua" w:cs="Times New Roman"/>
          <w:sz w:val="24"/>
          <w:szCs w:val="24"/>
          <w:vertAlign w:val="superscript"/>
          <w:lang w:val="en-US"/>
        </w:rPr>
        <w:t>2</w:t>
      </w:r>
      <w:r w:rsidR="00D24B23" w:rsidRPr="002575A7">
        <w:rPr>
          <w:rFonts w:ascii="Book Antiqua" w:hAnsi="Book Antiqua" w:cs="Times New Roman"/>
          <w:sz w:val="24"/>
          <w:szCs w:val="24"/>
          <w:lang w:val="en-US"/>
        </w:rPr>
        <w:t>), leucovorin (200 mg/m</w:t>
      </w:r>
      <w:r w:rsidR="00D24B23" w:rsidRPr="002575A7">
        <w:rPr>
          <w:rFonts w:ascii="Book Antiqua" w:hAnsi="Book Antiqua" w:cs="Times New Roman"/>
          <w:sz w:val="24"/>
          <w:szCs w:val="24"/>
          <w:vertAlign w:val="superscript"/>
          <w:lang w:val="en-US"/>
        </w:rPr>
        <w:t>2</w:t>
      </w:r>
      <w:r w:rsidR="00D24B23" w:rsidRPr="002575A7">
        <w:rPr>
          <w:rFonts w:ascii="Book Antiqua" w:hAnsi="Book Antiqua" w:cs="Times New Roman"/>
          <w:sz w:val="24"/>
          <w:szCs w:val="24"/>
          <w:lang w:val="en-US"/>
        </w:rPr>
        <w:t>) and 5-fluorouracil (3200 mg/m</w:t>
      </w:r>
      <w:r w:rsidR="00D24B23" w:rsidRPr="002575A7">
        <w:rPr>
          <w:rFonts w:ascii="Book Antiqua" w:hAnsi="Book Antiqua" w:cs="Times New Roman"/>
          <w:sz w:val="24"/>
          <w:szCs w:val="24"/>
          <w:vertAlign w:val="superscript"/>
          <w:lang w:val="en-US"/>
        </w:rPr>
        <w:t>2</w:t>
      </w:r>
      <w:r w:rsidR="00D24B23" w:rsidRPr="002575A7">
        <w:rPr>
          <w:rFonts w:ascii="Book Antiqua" w:hAnsi="Book Antiqua" w:cs="Times New Roman"/>
          <w:sz w:val="24"/>
          <w:szCs w:val="24"/>
          <w:lang w:val="en-US"/>
        </w:rPr>
        <w:t xml:space="preserve"> as a 48-h continuous infusion) every </w:t>
      </w:r>
      <w:r w:rsidR="00916870">
        <w:rPr>
          <w:rFonts w:ascii="Book Antiqua" w:hAnsi="Book Antiqua" w:cs="Times New Roman"/>
          <w:sz w:val="24"/>
          <w:szCs w:val="24"/>
          <w:lang w:val="en-US"/>
        </w:rPr>
        <w:t>2</w:t>
      </w:r>
      <w:r w:rsidR="00D24B23" w:rsidRPr="002575A7">
        <w:rPr>
          <w:rFonts w:ascii="Book Antiqua" w:hAnsi="Book Antiqua" w:cs="Times New Roman"/>
          <w:sz w:val="24"/>
          <w:szCs w:val="24"/>
          <w:lang w:val="en-US"/>
        </w:rPr>
        <w:t xml:space="preserve"> w</w:t>
      </w:r>
      <w:r w:rsidR="00916870">
        <w:rPr>
          <w:rFonts w:ascii="Book Antiqua" w:hAnsi="Book Antiqua" w:cs="Times New Roman"/>
          <w:sz w:val="24"/>
          <w:szCs w:val="24"/>
          <w:lang w:val="en-US"/>
        </w:rPr>
        <w:t>k</w:t>
      </w:r>
      <w:r w:rsidR="00D24B23" w:rsidRPr="002575A7">
        <w:rPr>
          <w:rFonts w:ascii="Book Antiqua" w:hAnsi="Book Antiqua" w:cs="Times New Roman"/>
          <w:sz w:val="24"/>
          <w:szCs w:val="24"/>
          <w:lang w:val="en-US"/>
        </w:rPr>
        <w:t>. Ninety-six pairs of p</w:t>
      </w:r>
      <w:r w:rsidRPr="002575A7">
        <w:rPr>
          <w:rFonts w:ascii="Book Antiqua" w:hAnsi="Book Antiqua" w:cs="Times New Roman"/>
          <w:sz w:val="24"/>
          <w:szCs w:val="24"/>
          <w:lang w:val="en-US"/>
        </w:rPr>
        <w:t>atients were selected through propensity score matching</w:t>
      </w:r>
      <w:r w:rsidR="00820E89"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and clinical outcomes </w:t>
      </w:r>
      <w:r w:rsidR="00D24B23" w:rsidRPr="002575A7">
        <w:rPr>
          <w:rFonts w:ascii="Book Antiqua" w:hAnsi="Book Antiqua" w:cs="Times New Roman"/>
          <w:sz w:val="24"/>
          <w:szCs w:val="24"/>
          <w:lang w:val="en-US"/>
        </w:rPr>
        <w:t xml:space="preserve">of the two </w:t>
      </w:r>
      <w:r w:rsidR="00B67C7B" w:rsidRPr="002575A7">
        <w:rPr>
          <w:rFonts w:ascii="Book Antiqua" w:hAnsi="Book Antiqua" w:cs="Times New Roman"/>
          <w:sz w:val="24"/>
          <w:szCs w:val="24"/>
          <w:lang w:val="en-US"/>
        </w:rPr>
        <w:t xml:space="preserve">treatment regimens </w:t>
      </w:r>
      <w:r w:rsidRPr="002575A7">
        <w:rPr>
          <w:rFonts w:ascii="Book Antiqua" w:hAnsi="Book Antiqua" w:cs="Times New Roman"/>
          <w:sz w:val="24"/>
          <w:szCs w:val="24"/>
          <w:lang w:val="en-US"/>
        </w:rPr>
        <w:t>were compared.</w:t>
      </w:r>
    </w:p>
    <w:p w14:paraId="27F15BCE" w14:textId="77777777" w:rsidR="00D53D4A" w:rsidRPr="002575A7" w:rsidRDefault="00D53D4A" w:rsidP="00864BDB">
      <w:pPr>
        <w:snapToGrid w:val="0"/>
        <w:spacing w:after="0" w:line="360" w:lineRule="auto"/>
        <w:jc w:val="both"/>
        <w:rPr>
          <w:rFonts w:ascii="Book Antiqua" w:hAnsi="Book Antiqua"/>
          <w:b/>
          <w:i/>
          <w:iCs/>
          <w:caps/>
          <w:color w:val="000000"/>
          <w:sz w:val="24"/>
          <w:szCs w:val="24"/>
          <w:lang w:val="en-US"/>
        </w:rPr>
      </w:pPr>
    </w:p>
    <w:p w14:paraId="715BBE3B" w14:textId="77777777" w:rsidR="00D53D4A" w:rsidRPr="00864BDB" w:rsidRDefault="00D53D4A" w:rsidP="00864BDB">
      <w:pPr>
        <w:snapToGrid w:val="0"/>
        <w:spacing w:after="0" w:line="360" w:lineRule="auto"/>
        <w:jc w:val="both"/>
        <w:rPr>
          <w:rFonts w:ascii="Book Antiqua" w:hAnsi="Book Antiqua"/>
          <w:bCs/>
          <w:caps/>
          <w:color w:val="000000"/>
          <w:sz w:val="24"/>
          <w:szCs w:val="24"/>
          <w:lang w:val="en-US"/>
        </w:rPr>
      </w:pPr>
      <w:r w:rsidRPr="00864BDB">
        <w:rPr>
          <w:rFonts w:ascii="Book Antiqua" w:hAnsi="Book Antiqua"/>
          <w:bCs/>
          <w:caps/>
          <w:color w:val="000000"/>
          <w:sz w:val="24"/>
          <w:szCs w:val="24"/>
          <w:lang w:val="en-US"/>
        </w:rPr>
        <w:t>Results</w:t>
      </w:r>
    </w:p>
    <w:p w14:paraId="021DF535" w14:textId="3B6C29B3" w:rsidR="009E5296" w:rsidRPr="002575A7" w:rsidRDefault="009A4E37"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M</w:t>
      </w:r>
      <w:r w:rsidR="009D0AD7" w:rsidRPr="002575A7">
        <w:rPr>
          <w:rFonts w:ascii="Book Antiqua" w:hAnsi="Book Antiqua" w:cs="Times New Roman"/>
          <w:sz w:val="24"/>
          <w:szCs w:val="24"/>
          <w:lang w:val="en-US"/>
        </w:rPr>
        <w:t xml:space="preserve">edian overall survival was 11.1 mo in </w:t>
      </w:r>
      <w:r w:rsidR="006258C4">
        <w:rPr>
          <w:rFonts w:ascii="Book Antiqua" w:hAnsi="Book Antiqua" w:cs="Times New Roman"/>
          <w:sz w:val="24"/>
          <w:szCs w:val="24"/>
          <w:lang w:val="en-US"/>
        </w:rPr>
        <w:t xml:space="preserve">the </w:t>
      </w:r>
      <w:r w:rsidR="009D0AD7" w:rsidRPr="002575A7">
        <w:rPr>
          <w:rFonts w:ascii="Book Antiqua" w:hAnsi="Book Antiqua" w:cs="Times New Roman"/>
          <w:sz w:val="24"/>
          <w:szCs w:val="24"/>
          <w:lang w:val="en-US"/>
        </w:rPr>
        <w:t>FOLFOXIRI and 11.6 mo in</w:t>
      </w:r>
      <w:r w:rsidR="002823F0" w:rsidRPr="002575A7">
        <w:rPr>
          <w:rFonts w:ascii="Book Antiqua" w:hAnsi="Book Antiqua" w:cs="Times New Roman"/>
          <w:sz w:val="24"/>
          <w:szCs w:val="24"/>
          <w:lang w:val="en-US"/>
        </w:rPr>
        <w:t xml:space="preserve"> </w:t>
      </w:r>
      <w:r w:rsidR="006258C4">
        <w:rPr>
          <w:rFonts w:ascii="Book Antiqua" w:hAnsi="Book Antiqua" w:cs="Times New Roman"/>
          <w:sz w:val="24"/>
          <w:szCs w:val="24"/>
          <w:lang w:val="en-US"/>
        </w:rPr>
        <w:t xml:space="preserve">the </w:t>
      </w:r>
      <w:r w:rsidR="009D0AD7" w:rsidRPr="002575A7">
        <w:rPr>
          <w:rFonts w:ascii="Book Antiqua" w:hAnsi="Book Antiqua" w:cs="Times New Roman"/>
          <w:sz w:val="24"/>
          <w:szCs w:val="24"/>
          <w:lang w:val="en-US"/>
        </w:rPr>
        <w:t xml:space="preserve">FOLFIRINOX </w:t>
      </w:r>
      <w:r w:rsidR="006B72C2" w:rsidRPr="002575A7">
        <w:rPr>
          <w:rFonts w:ascii="Book Antiqua" w:hAnsi="Book Antiqua" w:cs="Times New Roman"/>
          <w:sz w:val="24"/>
          <w:szCs w:val="24"/>
          <w:lang w:val="en-US"/>
        </w:rPr>
        <w:t>cohorts</w:t>
      </w:r>
      <w:r w:rsidR="00B62A29">
        <w:rPr>
          <w:rFonts w:ascii="Book Antiqua" w:hAnsi="Book Antiqua" w:cs="Times New Roman"/>
          <w:sz w:val="24"/>
          <w:szCs w:val="24"/>
          <w:lang w:val="en-US"/>
        </w:rPr>
        <w:t>,</w:t>
      </w:r>
      <w:r w:rsidR="006258C4">
        <w:rPr>
          <w:rFonts w:ascii="Book Antiqua" w:hAnsi="Book Antiqua" w:cs="Times New Roman"/>
          <w:sz w:val="24"/>
          <w:szCs w:val="24"/>
          <w:lang w:val="en-US"/>
        </w:rPr>
        <w:t xml:space="preserve"> respectively</w:t>
      </w:r>
      <w:r w:rsidR="009D0AD7" w:rsidRPr="002575A7">
        <w:rPr>
          <w:rFonts w:ascii="Book Antiqua" w:hAnsi="Book Antiqua" w:cs="Times New Roman"/>
          <w:sz w:val="24"/>
          <w:szCs w:val="24"/>
          <w:lang w:val="en-US"/>
        </w:rPr>
        <w:t xml:space="preserve">. After </w:t>
      </w:r>
      <w:r w:rsidR="00864BDB" w:rsidRPr="002575A7">
        <w:rPr>
          <w:rFonts w:ascii="Book Antiqua" w:hAnsi="Book Antiqua" w:cs="Times New Roman"/>
          <w:sz w:val="24"/>
          <w:szCs w:val="24"/>
          <w:lang w:val="en-US"/>
        </w:rPr>
        <w:t>propensity score matching</w:t>
      </w:r>
      <w:r w:rsidR="009D0AD7" w:rsidRPr="002575A7">
        <w:rPr>
          <w:rFonts w:ascii="Book Antiqua" w:hAnsi="Book Antiqua" w:cs="Times New Roman"/>
          <w:sz w:val="24"/>
          <w:szCs w:val="24"/>
          <w:lang w:val="en-US"/>
        </w:rPr>
        <w:t xml:space="preserve">, survival </w:t>
      </w:r>
      <w:r w:rsidR="00A25A5E" w:rsidRPr="002575A7">
        <w:rPr>
          <w:rFonts w:ascii="Book Antiqua" w:hAnsi="Book Antiqua" w:cs="Times New Roman"/>
          <w:sz w:val="24"/>
          <w:szCs w:val="24"/>
          <w:lang w:val="en-US"/>
        </w:rPr>
        <w:t xml:space="preserve">rates </w:t>
      </w:r>
      <w:r w:rsidR="009D0AD7" w:rsidRPr="002575A7">
        <w:rPr>
          <w:rFonts w:ascii="Book Antiqua" w:hAnsi="Book Antiqua" w:cs="Times New Roman"/>
          <w:sz w:val="24"/>
          <w:szCs w:val="24"/>
          <w:lang w:val="en-US"/>
        </w:rPr>
        <w:t xml:space="preserve">remained similar between the </w:t>
      </w:r>
      <w:r w:rsidR="00A25A5E" w:rsidRPr="002575A7">
        <w:rPr>
          <w:rFonts w:ascii="Book Antiqua" w:hAnsi="Book Antiqua" w:cs="Times New Roman"/>
          <w:sz w:val="24"/>
          <w:szCs w:val="24"/>
          <w:lang w:val="en-US"/>
        </w:rPr>
        <w:t xml:space="preserve">two </w:t>
      </w:r>
      <w:r w:rsidR="009D0AD7" w:rsidRPr="002575A7">
        <w:rPr>
          <w:rFonts w:ascii="Book Antiqua" w:hAnsi="Book Antiqua" w:cs="Times New Roman"/>
          <w:sz w:val="24"/>
          <w:szCs w:val="24"/>
          <w:lang w:val="en-US"/>
        </w:rPr>
        <w:t>regimen</w:t>
      </w:r>
      <w:r w:rsidR="001A02F6" w:rsidRPr="002575A7">
        <w:rPr>
          <w:rFonts w:ascii="Book Antiqua" w:hAnsi="Book Antiqua" w:cs="Times New Roman"/>
          <w:sz w:val="24"/>
          <w:szCs w:val="24"/>
          <w:lang w:val="en-US"/>
        </w:rPr>
        <w:t xml:space="preserve">s in </w:t>
      </w:r>
      <w:r w:rsidR="00A25A5E" w:rsidRPr="002575A7">
        <w:rPr>
          <w:rFonts w:ascii="Book Antiqua" w:hAnsi="Book Antiqua" w:cs="Times New Roman"/>
          <w:sz w:val="24"/>
          <w:szCs w:val="24"/>
          <w:lang w:val="en-US"/>
        </w:rPr>
        <w:t xml:space="preserve">terms of </w:t>
      </w:r>
      <w:r w:rsidR="00864BDB" w:rsidRPr="002575A7">
        <w:rPr>
          <w:rFonts w:ascii="Book Antiqua" w:hAnsi="Book Antiqua" w:cs="Times New Roman"/>
          <w:sz w:val="24"/>
          <w:szCs w:val="24"/>
          <w:lang w:val="en-US"/>
        </w:rPr>
        <w:t xml:space="preserve">overall survival </w:t>
      </w:r>
      <w:r w:rsidR="001A02F6" w:rsidRPr="002575A7">
        <w:rPr>
          <w:rFonts w:ascii="Book Antiqua" w:hAnsi="Book Antiqua" w:cs="Times New Roman"/>
          <w:sz w:val="24"/>
          <w:szCs w:val="24"/>
          <w:lang w:val="en-US"/>
        </w:rPr>
        <w:t>(hazard ratio</w:t>
      </w:r>
      <w:r w:rsidR="00864BDB">
        <w:rPr>
          <w:rFonts w:ascii="Book Antiqua" w:hAnsi="Book Antiqua" w:cs="Times New Roman"/>
          <w:sz w:val="24"/>
          <w:szCs w:val="24"/>
          <w:lang w:val="en-US"/>
        </w:rPr>
        <w:t xml:space="preserve"> </w:t>
      </w:r>
      <w:r w:rsidRPr="002575A7">
        <w:rPr>
          <w:rFonts w:ascii="Book Antiqua" w:hAnsi="Book Antiqua" w:cs="Times New Roman"/>
          <w:sz w:val="24"/>
          <w:szCs w:val="24"/>
          <w:lang w:val="en-US"/>
        </w:rPr>
        <w:t>=</w:t>
      </w:r>
      <w:r w:rsidR="00864BDB">
        <w:rPr>
          <w:rFonts w:ascii="Book Antiqua" w:hAnsi="Book Antiqua" w:cs="Times New Roman"/>
          <w:sz w:val="24"/>
          <w:szCs w:val="24"/>
          <w:lang w:val="en-US"/>
        </w:rPr>
        <w:t xml:space="preserve"> </w:t>
      </w:r>
      <w:r w:rsidR="006D0763" w:rsidRPr="002575A7">
        <w:rPr>
          <w:rFonts w:ascii="Book Antiqua" w:hAnsi="Book Antiqua" w:cs="Times New Roman"/>
          <w:sz w:val="24"/>
          <w:szCs w:val="24"/>
          <w:lang w:val="en-US"/>
        </w:rPr>
        <w:t>1.2</w:t>
      </w:r>
      <w:r w:rsidR="001A02F6" w:rsidRPr="002575A7">
        <w:rPr>
          <w:rFonts w:ascii="Book Antiqua" w:hAnsi="Book Antiqua" w:cs="Times New Roman"/>
          <w:sz w:val="24"/>
          <w:szCs w:val="24"/>
          <w:lang w:val="en-US"/>
        </w:rPr>
        <w:t xml:space="preserve">2; </w:t>
      </w:r>
      <w:r w:rsidR="001A02F6" w:rsidRPr="009D1BBF">
        <w:rPr>
          <w:rFonts w:ascii="Book Antiqua" w:hAnsi="Book Antiqua" w:cs="Times New Roman"/>
          <w:i/>
          <w:iCs/>
          <w:sz w:val="24"/>
          <w:szCs w:val="24"/>
          <w:lang w:val="en-US"/>
        </w:rPr>
        <w:t>P</w:t>
      </w:r>
      <w:r w:rsidR="009D1BBF">
        <w:rPr>
          <w:rFonts w:ascii="Book Antiqua" w:hAnsi="Book Antiqua" w:cs="Times New Roman"/>
          <w:sz w:val="24"/>
          <w:szCs w:val="24"/>
          <w:lang w:val="en-US"/>
        </w:rPr>
        <w:t xml:space="preserve"> </w:t>
      </w:r>
      <w:r w:rsidR="001A02F6" w:rsidRPr="002575A7">
        <w:rPr>
          <w:rFonts w:ascii="Book Antiqua" w:hAnsi="Book Antiqua" w:cs="Times New Roman"/>
          <w:sz w:val="24"/>
          <w:szCs w:val="24"/>
          <w:lang w:val="en-US"/>
        </w:rPr>
        <w:t>=</w:t>
      </w:r>
      <w:r w:rsidR="009D1BBF">
        <w:rPr>
          <w:rFonts w:ascii="Book Antiqua" w:hAnsi="Book Antiqua" w:cs="Times New Roman"/>
          <w:sz w:val="24"/>
          <w:szCs w:val="24"/>
          <w:lang w:val="en-US"/>
        </w:rPr>
        <w:t xml:space="preserve"> </w:t>
      </w:r>
      <w:r w:rsidR="001A02F6" w:rsidRPr="002575A7">
        <w:rPr>
          <w:rFonts w:ascii="Book Antiqua" w:hAnsi="Book Antiqua" w:cs="Times New Roman"/>
          <w:sz w:val="24"/>
          <w:szCs w:val="24"/>
          <w:lang w:val="en-US"/>
        </w:rPr>
        <w:t xml:space="preserve">0.219) and </w:t>
      </w:r>
      <w:r w:rsidR="007E7329" w:rsidRPr="002575A7">
        <w:rPr>
          <w:rFonts w:ascii="Book Antiqua" w:hAnsi="Book Antiqua" w:cs="Times New Roman"/>
          <w:sz w:val="24"/>
          <w:szCs w:val="24"/>
          <w:lang w:val="en-US"/>
        </w:rPr>
        <w:t>progression</w:t>
      </w:r>
      <w:r w:rsidR="004B2FAC">
        <w:rPr>
          <w:rFonts w:ascii="Book Antiqua" w:hAnsi="Book Antiqua" w:cs="Times New Roman"/>
          <w:sz w:val="24"/>
          <w:szCs w:val="24"/>
          <w:lang w:val="en-US"/>
        </w:rPr>
        <w:t>-</w:t>
      </w:r>
      <w:r w:rsidR="007E7329" w:rsidRPr="002575A7">
        <w:rPr>
          <w:rFonts w:ascii="Book Antiqua" w:hAnsi="Book Antiqua" w:cs="Times New Roman"/>
          <w:sz w:val="24"/>
          <w:szCs w:val="24"/>
          <w:lang w:val="en-US"/>
        </w:rPr>
        <w:t xml:space="preserve">free survival </w:t>
      </w:r>
      <w:r w:rsidR="001A02F6" w:rsidRPr="002575A7">
        <w:rPr>
          <w:rFonts w:ascii="Book Antiqua" w:hAnsi="Book Antiqua" w:cs="Times New Roman"/>
          <w:sz w:val="24"/>
          <w:szCs w:val="24"/>
          <w:lang w:val="en-US"/>
        </w:rPr>
        <w:t>(</w:t>
      </w:r>
      <w:r w:rsidR="00CF73C8" w:rsidRPr="002575A7">
        <w:rPr>
          <w:rFonts w:ascii="Book Antiqua" w:hAnsi="Book Antiqua" w:cs="Times New Roman"/>
          <w:sz w:val="24"/>
          <w:szCs w:val="24"/>
          <w:lang w:val="en-US"/>
        </w:rPr>
        <w:t>hazard ratio</w:t>
      </w:r>
      <w:r w:rsidR="009D1BBF">
        <w:rPr>
          <w:rFonts w:ascii="Book Antiqua" w:hAnsi="Book Antiqua" w:cs="Times New Roman"/>
          <w:sz w:val="24"/>
          <w:szCs w:val="24"/>
          <w:lang w:val="en-US"/>
        </w:rPr>
        <w:t xml:space="preserve"> </w:t>
      </w:r>
      <w:r w:rsidRPr="002575A7">
        <w:rPr>
          <w:rFonts w:ascii="Book Antiqua" w:hAnsi="Book Antiqua" w:cs="Times New Roman"/>
          <w:sz w:val="24"/>
          <w:szCs w:val="24"/>
          <w:lang w:val="en-US"/>
        </w:rPr>
        <w:t>=</w:t>
      </w:r>
      <w:r w:rsidR="009D1BBF">
        <w:rPr>
          <w:rFonts w:ascii="Book Antiqua" w:hAnsi="Book Antiqua" w:cs="Times New Roman"/>
          <w:sz w:val="24"/>
          <w:szCs w:val="24"/>
          <w:lang w:val="en-US"/>
        </w:rPr>
        <w:t xml:space="preserve"> </w:t>
      </w:r>
      <w:r w:rsidR="001A02F6" w:rsidRPr="002575A7">
        <w:rPr>
          <w:rFonts w:ascii="Book Antiqua" w:hAnsi="Book Antiqua" w:cs="Times New Roman"/>
          <w:sz w:val="24"/>
          <w:szCs w:val="24"/>
          <w:lang w:val="en-US"/>
        </w:rPr>
        <w:t>1.27</w:t>
      </w:r>
      <w:r w:rsidR="009D0AD7" w:rsidRPr="002575A7">
        <w:rPr>
          <w:rFonts w:ascii="Book Antiqua" w:hAnsi="Book Antiqua" w:cs="Times New Roman"/>
          <w:sz w:val="24"/>
          <w:szCs w:val="24"/>
          <w:lang w:val="en-US"/>
        </w:rPr>
        <w:t xml:space="preserve">; </w:t>
      </w:r>
      <w:r w:rsidR="001A02F6" w:rsidRPr="009D1BBF">
        <w:rPr>
          <w:rFonts w:ascii="Book Antiqua" w:hAnsi="Book Antiqua" w:cs="Times New Roman"/>
          <w:i/>
          <w:iCs/>
          <w:sz w:val="24"/>
          <w:szCs w:val="24"/>
          <w:lang w:val="en-US"/>
        </w:rPr>
        <w:t>P</w:t>
      </w:r>
      <w:r w:rsidR="009D1BBF">
        <w:rPr>
          <w:rFonts w:ascii="Book Antiqua" w:hAnsi="Book Antiqua" w:cs="Times New Roman"/>
          <w:sz w:val="24"/>
          <w:szCs w:val="24"/>
          <w:lang w:val="en-US"/>
        </w:rPr>
        <w:t xml:space="preserve"> </w:t>
      </w:r>
      <w:r w:rsidR="001A02F6" w:rsidRPr="002575A7">
        <w:rPr>
          <w:rFonts w:ascii="Book Antiqua" w:hAnsi="Book Antiqua" w:cs="Times New Roman"/>
          <w:sz w:val="24"/>
          <w:szCs w:val="24"/>
          <w:lang w:val="en-US"/>
        </w:rPr>
        <w:t>=</w:t>
      </w:r>
      <w:r w:rsidR="009D1BBF">
        <w:rPr>
          <w:rFonts w:ascii="Book Antiqua" w:hAnsi="Book Antiqua" w:cs="Times New Roman"/>
          <w:sz w:val="24"/>
          <w:szCs w:val="24"/>
          <w:lang w:val="en-US"/>
        </w:rPr>
        <w:t xml:space="preserve"> </w:t>
      </w:r>
      <w:r w:rsidR="001A02F6" w:rsidRPr="002575A7">
        <w:rPr>
          <w:rFonts w:ascii="Book Antiqua" w:hAnsi="Book Antiqua" w:cs="Times New Roman"/>
          <w:sz w:val="24"/>
          <w:szCs w:val="24"/>
          <w:lang w:val="en-US"/>
        </w:rPr>
        <w:t>0.120</w:t>
      </w:r>
      <w:r w:rsidR="009D0AD7" w:rsidRPr="002575A7">
        <w:rPr>
          <w:rFonts w:ascii="Book Antiqua" w:hAnsi="Book Antiqua" w:cs="Times New Roman"/>
          <w:sz w:val="24"/>
          <w:szCs w:val="24"/>
          <w:lang w:val="en-US"/>
        </w:rPr>
        <w:t xml:space="preserve">). The </w:t>
      </w:r>
      <w:r w:rsidR="001A02F6" w:rsidRPr="002575A7">
        <w:rPr>
          <w:rFonts w:ascii="Book Antiqua" w:hAnsi="Book Antiqua" w:cs="Times New Roman"/>
          <w:sz w:val="24"/>
          <w:szCs w:val="24"/>
          <w:lang w:val="en-US"/>
        </w:rPr>
        <w:t>objective response rate was 37.1</w:t>
      </w:r>
      <w:r w:rsidR="009D0AD7" w:rsidRPr="002575A7">
        <w:rPr>
          <w:rFonts w:ascii="Book Antiqua" w:hAnsi="Book Antiqua" w:cs="Times New Roman"/>
          <w:sz w:val="24"/>
          <w:szCs w:val="24"/>
          <w:lang w:val="en-US"/>
        </w:rPr>
        <w:t>% in</w:t>
      </w:r>
      <w:r w:rsidR="001A02F6" w:rsidRPr="002575A7">
        <w:rPr>
          <w:rFonts w:ascii="Book Antiqua" w:hAnsi="Book Antiqua" w:cs="Times New Roman"/>
          <w:sz w:val="24"/>
          <w:szCs w:val="24"/>
          <w:lang w:val="en-US"/>
        </w:rPr>
        <w:t xml:space="preserve"> </w:t>
      </w:r>
      <w:r w:rsidR="00B62A29">
        <w:rPr>
          <w:rFonts w:ascii="Book Antiqua" w:hAnsi="Book Antiqua" w:cs="Times New Roman"/>
          <w:sz w:val="24"/>
          <w:szCs w:val="24"/>
          <w:lang w:val="en-US"/>
        </w:rPr>
        <w:t xml:space="preserve">the </w:t>
      </w:r>
      <w:r w:rsidR="001A02F6" w:rsidRPr="002575A7">
        <w:rPr>
          <w:rFonts w:ascii="Book Antiqua" w:hAnsi="Book Antiqua" w:cs="Times New Roman"/>
          <w:sz w:val="24"/>
          <w:szCs w:val="24"/>
          <w:lang w:val="en-US"/>
        </w:rPr>
        <w:t>FOLFOXIRI</w:t>
      </w:r>
      <w:r w:rsidR="00B62A29">
        <w:rPr>
          <w:rFonts w:ascii="Book Antiqua" w:hAnsi="Book Antiqua" w:cs="Times New Roman"/>
          <w:sz w:val="24"/>
          <w:szCs w:val="24"/>
          <w:lang w:val="en-US"/>
        </w:rPr>
        <w:t xml:space="preserve"> group</w:t>
      </w:r>
      <w:r w:rsidR="001A02F6" w:rsidRPr="002575A7">
        <w:rPr>
          <w:rFonts w:ascii="Book Antiqua" w:hAnsi="Book Antiqua" w:cs="Times New Roman"/>
          <w:sz w:val="24"/>
          <w:szCs w:val="24"/>
          <w:lang w:val="en-US"/>
        </w:rPr>
        <w:t xml:space="preserve"> </w:t>
      </w:r>
      <w:r w:rsidR="00864BDB" w:rsidRPr="00864BDB">
        <w:rPr>
          <w:rFonts w:ascii="Book Antiqua" w:hAnsi="Book Antiqua" w:cs="Times New Roman"/>
          <w:i/>
          <w:iCs/>
          <w:sz w:val="24"/>
          <w:szCs w:val="24"/>
          <w:lang w:val="en-US"/>
        </w:rPr>
        <w:t>vs</w:t>
      </w:r>
      <w:r w:rsidR="001A02F6" w:rsidRPr="002575A7">
        <w:rPr>
          <w:rFonts w:ascii="Book Antiqua" w:hAnsi="Book Antiqua" w:cs="Times New Roman"/>
          <w:sz w:val="24"/>
          <w:szCs w:val="24"/>
          <w:lang w:val="en-US"/>
        </w:rPr>
        <w:t xml:space="preserve"> 47.8</w:t>
      </w:r>
      <w:r w:rsidR="009D0AD7" w:rsidRPr="002575A7">
        <w:rPr>
          <w:rFonts w:ascii="Book Antiqua" w:hAnsi="Book Antiqua" w:cs="Times New Roman"/>
          <w:sz w:val="24"/>
          <w:szCs w:val="24"/>
          <w:lang w:val="en-US"/>
        </w:rPr>
        <w:t xml:space="preserve">% in </w:t>
      </w:r>
      <w:r w:rsidR="00B62A29">
        <w:rPr>
          <w:rFonts w:ascii="Book Antiqua" w:hAnsi="Book Antiqua" w:cs="Times New Roman"/>
          <w:sz w:val="24"/>
          <w:szCs w:val="24"/>
          <w:lang w:val="en-US"/>
        </w:rPr>
        <w:t xml:space="preserve">the </w:t>
      </w:r>
      <w:r w:rsidR="009D0AD7" w:rsidRPr="002575A7">
        <w:rPr>
          <w:rFonts w:ascii="Book Antiqua" w:hAnsi="Book Antiqua" w:cs="Times New Roman"/>
          <w:sz w:val="24"/>
          <w:szCs w:val="24"/>
          <w:lang w:val="en-US"/>
        </w:rPr>
        <w:t>FOLFIRINOX group</w:t>
      </w:r>
      <w:r w:rsidR="001A02F6" w:rsidRPr="002575A7">
        <w:rPr>
          <w:rFonts w:ascii="Book Antiqua" w:hAnsi="Book Antiqua" w:cs="Times New Roman"/>
          <w:sz w:val="24"/>
          <w:szCs w:val="24"/>
          <w:lang w:val="en-US"/>
        </w:rPr>
        <w:t xml:space="preserve"> (</w:t>
      </w:r>
      <w:r w:rsidR="009D1BBF" w:rsidRPr="009D1BBF">
        <w:rPr>
          <w:rFonts w:ascii="Book Antiqua" w:hAnsi="Book Antiqua" w:cs="Times New Roman"/>
          <w:i/>
          <w:iCs/>
          <w:sz w:val="24"/>
          <w:szCs w:val="24"/>
          <w:lang w:val="en-US"/>
        </w:rPr>
        <w:t>P</w:t>
      </w:r>
      <w:r w:rsidR="009D1BBF">
        <w:rPr>
          <w:rFonts w:ascii="Book Antiqua" w:hAnsi="Book Antiqua" w:cs="Times New Roman"/>
          <w:sz w:val="24"/>
          <w:szCs w:val="24"/>
          <w:lang w:val="en-US"/>
        </w:rPr>
        <w:t xml:space="preserve"> </w:t>
      </w:r>
      <w:r w:rsidR="009D1BBF" w:rsidRPr="002575A7">
        <w:rPr>
          <w:rFonts w:ascii="Book Antiqua" w:hAnsi="Book Antiqua" w:cs="Times New Roman"/>
          <w:sz w:val="24"/>
          <w:szCs w:val="24"/>
          <w:lang w:val="en-US"/>
        </w:rPr>
        <w:t>=</w:t>
      </w:r>
      <w:r w:rsidR="009D1BBF">
        <w:rPr>
          <w:rFonts w:ascii="Book Antiqua" w:hAnsi="Book Antiqua" w:cs="Times New Roman"/>
          <w:sz w:val="24"/>
          <w:szCs w:val="24"/>
          <w:lang w:val="en-US"/>
        </w:rPr>
        <w:t xml:space="preserve"> </w:t>
      </w:r>
      <w:r w:rsidR="001A02F6" w:rsidRPr="002575A7">
        <w:rPr>
          <w:rFonts w:ascii="Book Antiqua" w:hAnsi="Book Antiqua" w:cs="Times New Roman"/>
          <w:sz w:val="24"/>
          <w:szCs w:val="24"/>
          <w:lang w:val="en-US"/>
        </w:rPr>
        <w:t>0.187)</w:t>
      </w:r>
      <w:r w:rsidR="009D0AD7" w:rsidRPr="002575A7">
        <w:rPr>
          <w:rFonts w:ascii="Book Antiqua" w:hAnsi="Book Antiqua" w:cs="Times New Roman"/>
          <w:sz w:val="24"/>
          <w:szCs w:val="24"/>
          <w:lang w:val="en-US"/>
        </w:rPr>
        <w:t xml:space="preserve">. </w:t>
      </w:r>
      <w:r w:rsidR="00CA01A6" w:rsidRPr="002575A7">
        <w:rPr>
          <w:rFonts w:ascii="Book Antiqua" w:hAnsi="Book Antiqua" w:cs="Times New Roman"/>
          <w:sz w:val="24"/>
          <w:szCs w:val="24"/>
          <w:lang w:val="en-US"/>
        </w:rPr>
        <w:t>G</w:t>
      </w:r>
      <w:r w:rsidR="009D0AD7" w:rsidRPr="002575A7">
        <w:rPr>
          <w:rFonts w:ascii="Book Antiqua" w:hAnsi="Book Antiqua" w:cs="Times New Roman"/>
          <w:sz w:val="24"/>
          <w:szCs w:val="24"/>
          <w:lang w:val="en-US"/>
        </w:rPr>
        <w:t>rade 3</w:t>
      </w:r>
      <w:r w:rsidRPr="002575A7">
        <w:rPr>
          <w:rFonts w:ascii="Book Antiqua" w:hAnsi="Book Antiqua" w:cs="Times New Roman"/>
          <w:sz w:val="24"/>
          <w:szCs w:val="24"/>
          <w:lang w:val="en-US"/>
        </w:rPr>
        <w:t>/</w:t>
      </w:r>
      <w:r w:rsidR="009D0AD7" w:rsidRPr="002575A7">
        <w:rPr>
          <w:rFonts w:ascii="Book Antiqua" w:hAnsi="Book Antiqua" w:cs="Times New Roman"/>
          <w:sz w:val="24"/>
          <w:szCs w:val="24"/>
          <w:lang w:val="en-US"/>
        </w:rPr>
        <w:t>4</w:t>
      </w:r>
      <w:r w:rsidR="00E72E06" w:rsidRPr="002575A7">
        <w:rPr>
          <w:rFonts w:ascii="Book Antiqua" w:hAnsi="Book Antiqua" w:cs="Times New Roman"/>
          <w:sz w:val="24"/>
          <w:szCs w:val="24"/>
          <w:lang w:val="en-US"/>
        </w:rPr>
        <w:t xml:space="preserve"> toxicities occurr</w:t>
      </w:r>
      <w:r w:rsidR="00CA01A6" w:rsidRPr="002575A7">
        <w:rPr>
          <w:rFonts w:ascii="Book Antiqua" w:hAnsi="Book Antiqua" w:cs="Times New Roman"/>
          <w:sz w:val="24"/>
          <w:szCs w:val="24"/>
          <w:lang w:val="en-US"/>
        </w:rPr>
        <w:t>ed</w:t>
      </w:r>
      <w:r w:rsidR="00E72E06" w:rsidRPr="002575A7">
        <w:rPr>
          <w:rFonts w:ascii="Book Antiqua" w:hAnsi="Book Antiqua" w:cs="Times New Roman"/>
          <w:sz w:val="24"/>
          <w:szCs w:val="24"/>
          <w:lang w:val="en-US"/>
        </w:rPr>
        <w:t xml:space="preserve"> in 28.7</w:t>
      </w:r>
      <w:r w:rsidR="009D0AD7" w:rsidRPr="002575A7">
        <w:rPr>
          <w:rFonts w:ascii="Book Antiqua" w:hAnsi="Book Antiqua" w:cs="Times New Roman"/>
          <w:sz w:val="24"/>
          <w:szCs w:val="24"/>
          <w:lang w:val="en-US"/>
        </w:rPr>
        <w:t>% of patie</w:t>
      </w:r>
      <w:r w:rsidR="00E72E06" w:rsidRPr="002575A7">
        <w:rPr>
          <w:rFonts w:ascii="Book Antiqua" w:hAnsi="Book Antiqua" w:cs="Times New Roman"/>
          <w:sz w:val="24"/>
          <w:szCs w:val="24"/>
          <w:lang w:val="en-US"/>
        </w:rPr>
        <w:t xml:space="preserve">nts in </w:t>
      </w:r>
      <w:r w:rsidR="00B62A29">
        <w:rPr>
          <w:rFonts w:ascii="Book Antiqua" w:hAnsi="Book Antiqua" w:cs="Times New Roman"/>
          <w:sz w:val="24"/>
          <w:szCs w:val="24"/>
          <w:lang w:val="en-US"/>
        </w:rPr>
        <w:t xml:space="preserve">the </w:t>
      </w:r>
      <w:r w:rsidR="00E72E06" w:rsidRPr="002575A7">
        <w:rPr>
          <w:rFonts w:ascii="Book Antiqua" w:hAnsi="Book Antiqua" w:cs="Times New Roman"/>
          <w:sz w:val="24"/>
          <w:szCs w:val="24"/>
          <w:lang w:val="en-US"/>
        </w:rPr>
        <w:t xml:space="preserve">FOLFOXIRI </w:t>
      </w:r>
      <w:r w:rsidR="00B62A29">
        <w:rPr>
          <w:rFonts w:ascii="Book Antiqua" w:hAnsi="Book Antiqua" w:cs="Times New Roman"/>
          <w:sz w:val="24"/>
          <w:szCs w:val="24"/>
          <w:lang w:val="en-US"/>
        </w:rPr>
        <w:t xml:space="preserve">cohort </w:t>
      </w:r>
      <w:r w:rsidR="00864BDB" w:rsidRPr="00864BDB">
        <w:rPr>
          <w:rFonts w:ascii="Book Antiqua" w:hAnsi="Book Antiqua" w:cs="Times New Roman"/>
          <w:i/>
          <w:iCs/>
          <w:sz w:val="24"/>
          <w:szCs w:val="24"/>
          <w:lang w:val="en-US"/>
        </w:rPr>
        <w:t>vs</w:t>
      </w:r>
      <w:r w:rsidR="00864BDB" w:rsidRPr="002575A7">
        <w:rPr>
          <w:rFonts w:ascii="Book Antiqua" w:hAnsi="Book Antiqua" w:cs="Times New Roman"/>
          <w:sz w:val="24"/>
          <w:szCs w:val="24"/>
          <w:lang w:val="en-US"/>
        </w:rPr>
        <w:t xml:space="preserve"> </w:t>
      </w:r>
      <w:r w:rsidR="00E72E06" w:rsidRPr="002575A7">
        <w:rPr>
          <w:rFonts w:ascii="Book Antiqua" w:hAnsi="Book Antiqua" w:cs="Times New Roman"/>
          <w:sz w:val="24"/>
          <w:szCs w:val="24"/>
          <w:lang w:val="en-US"/>
        </w:rPr>
        <w:t xml:space="preserve">19.5% in </w:t>
      </w:r>
      <w:r w:rsidR="00B62A29">
        <w:rPr>
          <w:rFonts w:ascii="Book Antiqua" w:hAnsi="Book Antiqua" w:cs="Times New Roman"/>
          <w:sz w:val="24"/>
          <w:szCs w:val="24"/>
          <w:lang w:val="en-US"/>
        </w:rPr>
        <w:t xml:space="preserve">the </w:t>
      </w:r>
      <w:r w:rsidR="00E72E06" w:rsidRPr="002575A7">
        <w:rPr>
          <w:rFonts w:ascii="Book Antiqua" w:hAnsi="Book Antiqua" w:cs="Times New Roman"/>
          <w:sz w:val="24"/>
          <w:szCs w:val="24"/>
          <w:lang w:val="en-US"/>
        </w:rPr>
        <w:t xml:space="preserve">FOLFIRINOX </w:t>
      </w:r>
      <w:r w:rsidR="00CF73C8" w:rsidRPr="002575A7">
        <w:rPr>
          <w:rFonts w:ascii="Book Antiqua" w:hAnsi="Book Antiqua" w:cs="Times New Roman"/>
          <w:sz w:val="24"/>
          <w:szCs w:val="24"/>
          <w:lang w:val="en-US"/>
        </w:rPr>
        <w:t xml:space="preserve">cohort </w:t>
      </w:r>
      <w:r w:rsidR="00E72E06" w:rsidRPr="002575A7">
        <w:rPr>
          <w:rFonts w:ascii="Book Antiqua" w:hAnsi="Book Antiqua" w:cs="Times New Roman"/>
          <w:sz w:val="24"/>
          <w:szCs w:val="24"/>
          <w:lang w:val="en-US"/>
        </w:rPr>
        <w:t>(</w:t>
      </w:r>
      <w:r w:rsidR="009D1BBF" w:rsidRPr="009D1BBF">
        <w:rPr>
          <w:rFonts w:ascii="Book Antiqua" w:hAnsi="Book Antiqua" w:cs="Times New Roman"/>
          <w:i/>
          <w:iCs/>
          <w:sz w:val="24"/>
          <w:szCs w:val="24"/>
          <w:lang w:val="en-US"/>
        </w:rPr>
        <w:t>P</w:t>
      </w:r>
      <w:r w:rsidR="009D1BBF">
        <w:rPr>
          <w:rFonts w:ascii="Book Antiqua" w:hAnsi="Book Antiqua" w:cs="Times New Roman"/>
          <w:sz w:val="24"/>
          <w:szCs w:val="24"/>
          <w:lang w:val="en-US"/>
        </w:rPr>
        <w:t xml:space="preserve"> </w:t>
      </w:r>
      <w:r w:rsidR="009D1BBF" w:rsidRPr="002575A7">
        <w:rPr>
          <w:rFonts w:ascii="Book Antiqua" w:hAnsi="Book Antiqua" w:cs="Times New Roman"/>
          <w:sz w:val="24"/>
          <w:szCs w:val="24"/>
          <w:lang w:val="en-US"/>
        </w:rPr>
        <w:t>=</w:t>
      </w:r>
      <w:r w:rsidR="009D1BBF">
        <w:rPr>
          <w:rFonts w:ascii="Book Antiqua" w:hAnsi="Book Antiqua" w:cs="Times New Roman"/>
          <w:sz w:val="24"/>
          <w:szCs w:val="24"/>
          <w:lang w:val="en-US"/>
        </w:rPr>
        <w:t xml:space="preserve"> </w:t>
      </w:r>
      <w:r w:rsidR="00E72E06" w:rsidRPr="002575A7">
        <w:rPr>
          <w:rFonts w:ascii="Book Antiqua" w:hAnsi="Book Antiqua" w:cs="Times New Roman"/>
          <w:sz w:val="24"/>
          <w:szCs w:val="24"/>
          <w:lang w:val="en-US"/>
        </w:rPr>
        <w:t>0.079</w:t>
      </w:r>
      <w:r w:rsidR="009D0AD7" w:rsidRPr="002575A7">
        <w:rPr>
          <w:rFonts w:ascii="Book Antiqua" w:hAnsi="Book Antiqua" w:cs="Times New Roman"/>
          <w:sz w:val="24"/>
          <w:szCs w:val="24"/>
          <w:lang w:val="en-US"/>
        </w:rPr>
        <w:t>). FOLFOXIRI was associated with a higher incidence of grade 3</w:t>
      </w:r>
      <w:r w:rsidRPr="002575A7">
        <w:rPr>
          <w:rFonts w:ascii="Book Antiqua" w:hAnsi="Book Antiqua" w:cs="Times New Roman"/>
          <w:sz w:val="24"/>
          <w:szCs w:val="24"/>
          <w:lang w:val="en-US"/>
        </w:rPr>
        <w:t>/</w:t>
      </w:r>
      <w:r w:rsidR="009D0AD7" w:rsidRPr="002575A7">
        <w:rPr>
          <w:rFonts w:ascii="Book Antiqua" w:hAnsi="Book Antiqua" w:cs="Times New Roman"/>
          <w:sz w:val="24"/>
          <w:szCs w:val="24"/>
          <w:lang w:val="en-US"/>
        </w:rPr>
        <w:t>4 digestive adverse events</w:t>
      </w:r>
      <w:r w:rsidR="009E5296" w:rsidRPr="002575A7">
        <w:rPr>
          <w:rFonts w:ascii="Book Antiqua" w:hAnsi="Book Antiqua" w:cs="Times New Roman"/>
          <w:sz w:val="24"/>
          <w:szCs w:val="24"/>
          <w:lang w:val="en-US"/>
        </w:rPr>
        <w:t xml:space="preserve">. </w:t>
      </w:r>
      <w:r w:rsidR="00530A4E">
        <w:rPr>
          <w:rFonts w:ascii="Book Antiqua" w:hAnsi="Book Antiqua" w:cs="Times New Roman"/>
          <w:sz w:val="24"/>
          <w:szCs w:val="24"/>
          <w:lang w:val="en-US"/>
        </w:rPr>
        <w:t>H</w:t>
      </w:r>
      <w:r w:rsidR="00530A4E" w:rsidRPr="00530A4E">
        <w:rPr>
          <w:rFonts w:ascii="Book Antiqua" w:hAnsi="Book Antiqua" w:cs="Times New Roman"/>
          <w:sz w:val="24"/>
          <w:szCs w:val="24"/>
          <w:lang w:val="en-US"/>
        </w:rPr>
        <w:t>ematopoietic growth factors were used afte</w:t>
      </w:r>
      <w:r w:rsidR="00530A4E">
        <w:rPr>
          <w:rFonts w:ascii="Book Antiqua" w:hAnsi="Book Antiqua" w:cs="Times New Roman"/>
          <w:sz w:val="24"/>
          <w:szCs w:val="24"/>
          <w:lang w:val="en-US"/>
        </w:rPr>
        <w:t>r each chemotherapy cycle and t</w:t>
      </w:r>
      <w:r w:rsidR="00530A4E" w:rsidRPr="00530A4E">
        <w:rPr>
          <w:rFonts w:ascii="Book Antiqua" w:hAnsi="Book Antiqua" w:cs="Times New Roman"/>
          <w:sz w:val="24"/>
          <w:szCs w:val="24"/>
          <w:lang w:val="en-US"/>
        </w:rPr>
        <w:t>he low hematological toxicity rates were below 5% with both regimens.</w:t>
      </w:r>
    </w:p>
    <w:p w14:paraId="2C2823C6" w14:textId="77777777" w:rsidR="00D53D4A" w:rsidRPr="002575A7" w:rsidRDefault="00D53D4A" w:rsidP="00864BDB">
      <w:pPr>
        <w:snapToGrid w:val="0"/>
        <w:spacing w:after="0" w:line="360" w:lineRule="auto"/>
        <w:jc w:val="both"/>
        <w:rPr>
          <w:rFonts w:ascii="Book Antiqua" w:hAnsi="Book Antiqua"/>
          <w:b/>
          <w:i/>
          <w:iCs/>
          <w:caps/>
          <w:color w:val="000000"/>
          <w:sz w:val="24"/>
          <w:szCs w:val="24"/>
          <w:lang w:val="en-US"/>
        </w:rPr>
      </w:pPr>
    </w:p>
    <w:p w14:paraId="1AF13966" w14:textId="77777777" w:rsidR="00D53D4A" w:rsidRPr="00864BDB" w:rsidRDefault="00D53D4A" w:rsidP="00864BDB">
      <w:pPr>
        <w:snapToGrid w:val="0"/>
        <w:spacing w:after="0" w:line="360" w:lineRule="auto"/>
        <w:jc w:val="both"/>
        <w:rPr>
          <w:rFonts w:ascii="Book Antiqua" w:hAnsi="Book Antiqua"/>
          <w:bCs/>
          <w:caps/>
          <w:color w:val="000000"/>
          <w:sz w:val="24"/>
          <w:szCs w:val="24"/>
          <w:lang w:val="en-US"/>
        </w:rPr>
      </w:pPr>
      <w:r w:rsidRPr="00864BDB">
        <w:rPr>
          <w:rFonts w:ascii="Book Antiqua" w:hAnsi="Book Antiqua"/>
          <w:bCs/>
          <w:caps/>
          <w:color w:val="000000"/>
          <w:sz w:val="24"/>
          <w:szCs w:val="24"/>
          <w:lang w:val="en-US"/>
        </w:rPr>
        <w:lastRenderedPageBreak/>
        <w:t>Conclusion</w:t>
      </w:r>
    </w:p>
    <w:p w14:paraId="43C7A24F" w14:textId="75F77BD1" w:rsidR="00827314" w:rsidRPr="002575A7" w:rsidRDefault="009D0AD7"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FOLFOXIRI is feasible in L1 in patients with aPDAC but does not confer any therapeutic bene</w:t>
      </w:r>
      <w:r w:rsidR="00096B8E" w:rsidRPr="002575A7">
        <w:rPr>
          <w:rFonts w:ascii="Book Antiqua" w:hAnsi="Book Antiqua" w:cs="Times New Roman"/>
          <w:sz w:val="24"/>
          <w:szCs w:val="24"/>
          <w:lang w:val="en-US"/>
        </w:rPr>
        <w:t>fit as compared with FOLFIRINOX</w:t>
      </w:r>
      <w:r w:rsidR="00A95B90" w:rsidRPr="002575A7">
        <w:rPr>
          <w:rFonts w:ascii="Book Antiqua" w:hAnsi="Book Antiqua" w:cs="Times New Roman"/>
          <w:sz w:val="24"/>
          <w:szCs w:val="24"/>
          <w:lang w:val="en-US"/>
        </w:rPr>
        <w:t>.</w:t>
      </w:r>
      <w:r w:rsidR="00530A4E">
        <w:rPr>
          <w:rFonts w:ascii="Book Antiqua" w:hAnsi="Book Antiqua" w:cs="Times New Roman"/>
          <w:sz w:val="24"/>
          <w:szCs w:val="24"/>
          <w:lang w:val="en-US"/>
        </w:rPr>
        <w:t xml:space="preserve"> </w:t>
      </w:r>
      <w:r w:rsidR="00530A4E" w:rsidRPr="002575A7">
        <w:rPr>
          <w:rFonts w:ascii="Book Antiqua" w:hAnsi="Book Antiqua" w:cs="Times New Roman"/>
          <w:sz w:val="24"/>
          <w:szCs w:val="24"/>
          <w:lang w:val="en-US"/>
        </w:rPr>
        <w:t>The low hematological</w:t>
      </w:r>
      <w:r w:rsidR="00DB7711">
        <w:rPr>
          <w:rFonts w:ascii="Book Antiqua" w:hAnsi="Book Antiqua" w:cs="Times New Roman"/>
          <w:sz w:val="24"/>
          <w:szCs w:val="24"/>
          <w:lang w:val="en-US"/>
        </w:rPr>
        <w:t xml:space="preserve"> toxicity</w:t>
      </w:r>
      <w:r w:rsidR="00530A4E" w:rsidRPr="002575A7">
        <w:rPr>
          <w:rFonts w:ascii="Book Antiqua" w:hAnsi="Book Antiqua" w:cs="Times New Roman"/>
          <w:sz w:val="24"/>
          <w:szCs w:val="24"/>
          <w:lang w:val="en-US"/>
        </w:rPr>
        <w:t xml:space="preserve"> rates strengthened the </w:t>
      </w:r>
      <w:r w:rsidR="003E3E10">
        <w:rPr>
          <w:rFonts w:ascii="Book Antiqua" w:hAnsi="Book Antiqua" w:cs="Times New Roman"/>
          <w:sz w:val="24"/>
          <w:szCs w:val="24"/>
          <w:lang w:val="en-US"/>
        </w:rPr>
        <w:t>relevance</w:t>
      </w:r>
      <w:r w:rsidR="00530A4E" w:rsidRPr="002575A7">
        <w:rPr>
          <w:rFonts w:ascii="Book Antiqua" w:hAnsi="Book Antiqua" w:cs="Times New Roman"/>
          <w:sz w:val="24"/>
          <w:szCs w:val="24"/>
          <w:lang w:val="en-US"/>
        </w:rPr>
        <w:t xml:space="preserve"> of primary prophylaxis with hematopoietic growth factors.</w:t>
      </w:r>
    </w:p>
    <w:p w14:paraId="574D1A46" w14:textId="77777777" w:rsidR="00230249" w:rsidRPr="002575A7" w:rsidRDefault="00230249" w:rsidP="00864BDB">
      <w:pPr>
        <w:snapToGrid w:val="0"/>
        <w:spacing w:after="0" w:line="360" w:lineRule="auto"/>
        <w:jc w:val="both"/>
        <w:rPr>
          <w:rFonts w:ascii="Book Antiqua" w:hAnsi="Book Antiqua" w:cs="Times New Roman"/>
          <w:b/>
          <w:sz w:val="24"/>
          <w:szCs w:val="24"/>
          <w:lang w:val="en-US"/>
        </w:rPr>
      </w:pPr>
    </w:p>
    <w:p w14:paraId="4725EE84" w14:textId="53E630D3" w:rsidR="00230249" w:rsidRPr="002575A7" w:rsidRDefault="00230249"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Key</w:t>
      </w:r>
      <w:r w:rsidR="00C40278">
        <w:rPr>
          <w:rFonts w:ascii="Book Antiqua" w:hAnsi="Book Antiqua" w:cs="Times New Roman"/>
          <w:b/>
          <w:sz w:val="24"/>
          <w:szCs w:val="24"/>
          <w:lang w:val="en-US"/>
        </w:rPr>
        <w:t xml:space="preserve"> </w:t>
      </w:r>
      <w:r w:rsidRPr="002575A7">
        <w:rPr>
          <w:rFonts w:ascii="Book Antiqua" w:hAnsi="Book Antiqua" w:cs="Times New Roman"/>
          <w:b/>
          <w:sz w:val="24"/>
          <w:szCs w:val="24"/>
          <w:lang w:val="en-US"/>
        </w:rPr>
        <w:t>words:</w:t>
      </w:r>
      <w:r w:rsidRPr="002575A7">
        <w:rPr>
          <w:rFonts w:ascii="Book Antiqua" w:hAnsi="Book Antiqua" w:cs="Times New Roman"/>
          <w:sz w:val="24"/>
          <w:szCs w:val="24"/>
          <w:lang w:val="en-US"/>
        </w:rPr>
        <w:t xml:space="preserve"> </w:t>
      </w:r>
      <w:r w:rsidR="00A95B90" w:rsidRPr="002575A7">
        <w:rPr>
          <w:rFonts w:ascii="Book Antiqua" w:hAnsi="Book Antiqua" w:cs="Times New Roman"/>
          <w:sz w:val="24"/>
          <w:szCs w:val="24"/>
          <w:lang w:val="en-US"/>
        </w:rPr>
        <w:t>A</w:t>
      </w:r>
      <w:r w:rsidRPr="002575A7">
        <w:rPr>
          <w:rFonts w:ascii="Book Antiqua" w:hAnsi="Book Antiqua" w:cs="Times New Roman"/>
          <w:sz w:val="24"/>
          <w:szCs w:val="24"/>
          <w:lang w:val="en-US"/>
        </w:rPr>
        <w:t xml:space="preserve">dvanced pancreatic cancer; </w:t>
      </w:r>
      <w:r w:rsidR="00A95B90" w:rsidRPr="002575A7">
        <w:rPr>
          <w:rFonts w:ascii="Book Antiqua" w:hAnsi="Book Antiqua" w:cs="Times New Roman"/>
          <w:sz w:val="24"/>
          <w:szCs w:val="24"/>
          <w:lang w:val="en-US"/>
        </w:rPr>
        <w:t>F</w:t>
      </w:r>
      <w:r w:rsidRPr="002575A7">
        <w:rPr>
          <w:rFonts w:ascii="Book Antiqua" w:hAnsi="Book Antiqua" w:cs="Times New Roman"/>
          <w:sz w:val="24"/>
          <w:szCs w:val="24"/>
          <w:lang w:val="en-US"/>
        </w:rPr>
        <w:t xml:space="preserve">irst-line chemotherapy; FOLFOXIRI; FOLFIRINOX; </w:t>
      </w:r>
      <w:r w:rsidR="00A95B90" w:rsidRPr="002575A7">
        <w:rPr>
          <w:rFonts w:ascii="Book Antiqua" w:hAnsi="Book Antiqua" w:cs="Times New Roman"/>
          <w:sz w:val="24"/>
          <w:szCs w:val="24"/>
          <w:lang w:val="en-US"/>
        </w:rPr>
        <w:t>P</w:t>
      </w:r>
      <w:r w:rsidRPr="002575A7">
        <w:rPr>
          <w:rFonts w:ascii="Book Antiqua" w:hAnsi="Book Antiqua" w:cs="Times New Roman"/>
          <w:sz w:val="24"/>
          <w:szCs w:val="24"/>
          <w:lang w:val="en-US"/>
        </w:rPr>
        <w:t>ropensity score</w:t>
      </w:r>
      <w:r w:rsidR="009D1BBF">
        <w:rPr>
          <w:rFonts w:ascii="Book Antiqua" w:hAnsi="Book Antiqua" w:cs="Times New Roman"/>
          <w:sz w:val="24"/>
          <w:szCs w:val="24"/>
          <w:lang w:val="en-US"/>
        </w:rPr>
        <w:t>;</w:t>
      </w:r>
      <w:r w:rsidR="00A448D8" w:rsidRPr="002575A7">
        <w:rPr>
          <w:rFonts w:ascii="Book Antiqua" w:hAnsi="Book Antiqua" w:cs="Times New Roman"/>
          <w:sz w:val="24"/>
          <w:szCs w:val="24"/>
          <w:lang w:val="en-US"/>
        </w:rPr>
        <w:t xml:space="preserve"> Cohort study</w:t>
      </w:r>
    </w:p>
    <w:p w14:paraId="52B6AFD1" w14:textId="77777777" w:rsidR="00DC6981" w:rsidRDefault="00DC6981" w:rsidP="00DC6981">
      <w:pPr>
        <w:adjustRightInd w:val="0"/>
        <w:snapToGrid w:val="0"/>
        <w:spacing w:after="0" w:line="360" w:lineRule="auto"/>
        <w:jc w:val="both"/>
        <w:rPr>
          <w:rFonts w:ascii="Book Antiqua" w:hAnsi="Book Antiqua" w:cs="Arial"/>
          <w:bCs/>
          <w:i/>
          <w:iCs/>
          <w:sz w:val="24"/>
          <w:szCs w:val="24"/>
          <w:lang w:val="en-US"/>
        </w:rPr>
      </w:pPr>
    </w:p>
    <w:p w14:paraId="4CB8BCC2" w14:textId="28142C1B" w:rsidR="00DC6981" w:rsidRPr="00DC6981" w:rsidRDefault="00DC6981" w:rsidP="00DC6981">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Vienot</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A, Chevalier</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H, Bolognini</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C, Gherga</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E, Klajer</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E, Meurisse</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A, Jary</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M, Kim</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S, d’Engremont</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C, Nguyen</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T, Calcagno</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F, Almotlak</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H, Fein</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F, Nasri</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M, </w:t>
      </w:r>
      <w:r w:rsidRPr="003369BE">
        <w:rPr>
          <w:rFonts w:ascii="Book Antiqua" w:hAnsi="Book Antiqua" w:cs="Times New Roman"/>
          <w:sz w:val="24"/>
          <w:szCs w:val="24"/>
          <w:lang w:val="en-US"/>
        </w:rPr>
        <w:t>Abdeljaoued</w:t>
      </w:r>
      <w:r w:rsidRPr="00DC6981">
        <w:rPr>
          <w:rFonts w:ascii="Book Antiqua" w:hAnsi="Book Antiqua" w:cs="Times New Roman"/>
          <w:sz w:val="24"/>
          <w:szCs w:val="24"/>
          <w:lang w:val="en-US"/>
        </w:rPr>
        <w:t xml:space="preserve"> </w:t>
      </w:r>
      <w:r w:rsidRPr="003369BE">
        <w:rPr>
          <w:rFonts w:ascii="Book Antiqua" w:hAnsi="Book Antiqua" w:cs="Times New Roman"/>
          <w:sz w:val="24"/>
          <w:szCs w:val="24"/>
          <w:lang w:val="en-US"/>
        </w:rPr>
        <w:t>S</w:t>
      </w:r>
      <w:r>
        <w:rPr>
          <w:rFonts w:ascii="Book Antiqua" w:hAnsi="Book Antiqua" w:cs="Times New Roman"/>
          <w:sz w:val="24"/>
          <w:szCs w:val="24"/>
          <w:lang w:val="en-US"/>
        </w:rPr>
        <w:t>,</w:t>
      </w:r>
      <w:r w:rsidRPr="003369BE">
        <w:rPr>
          <w:rFonts w:ascii="Book Antiqua" w:hAnsi="Book Antiqua" w:cs="Times New Roman"/>
          <w:sz w:val="24"/>
          <w:szCs w:val="24"/>
          <w:lang w:val="en-US"/>
        </w:rPr>
        <w:t xml:space="preserve"> </w:t>
      </w:r>
      <w:r w:rsidRPr="002575A7">
        <w:rPr>
          <w:rFonts w:ascii="Book Antiqua" w:hAnsi="Book Antiqua" w:cs="Times New Roman"/>
          <w:sz w:val="24"/>
          <w:szCs w:val="24"/>
          <w:lang w:val="en-US"/>
        </w:rPr>
        <w:t>Turpin</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A, Borg</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C, Vernerey</w:t>
      </w:r>
      <w:r w:rsidRPr="00DC6981">
        <w:rPr>
          <w:rFonts w:ascii="Book Antiqua" w:hAnsi="Book Antiqua" w:cs="Times New Roman"/>
          <w:sz w:val="24"/>
          <w:szCs w:val="24"/>
          <w:lang w:val="en-US"/>
        </w:rPr>
        <w:t xml:space="preserve"> </w:t>
      </w:r>
      <w:r w:rsidRPr="002575A7">
        <w:rPr>
          <w:rFonts w:ascii="Book Antiqua" w:hAnsi="Book Antiqua" w:cs="Times New Roman"/>
          <w:sz w:val="24"/>
          <w:szCs w:val="24"/>
          <w:lang w:val="en-US"/>
        </w:rPr>
        <w:t>D</w:t>
      </w:r>
      <w:r>
        <w:rPr>
          <w:rFonts w:ascii="Book Antiqua" w:hAnsi="Book Antiqua" w:cs="Times New Roman"/>
          <w:sz w:val="24"/>
          <w:szCs w:val="24"/>
          <w:lang w:val="en-US"/>
        </w:rPr>
        <w:t xml:space="preserve">. </w:t>
      </w:r>
      <w:r w:rsidRPr="00DC6981">
        <w:rPr>
          <w:rFonts w:ascii="Book Antiqua" w:hAnsi="Book Antiqua"/>
          <w:bCs/>
          <w:sz w:val="24"/>
          <w:szCs w:val="24"/>
          <w:lang w:val="en-US"/>
        </w:rPr>
        <w:t xml:space="preserve">FOLFOXIRI </w:t>
      </w:r>
      <w:r w:rsidRPr="00DC6981">
        <w:rPr>
          <w:rFonts w:ascii="Book Antiqua" w:hAnsi="Book Antiqua"/>
          <w:bCs/>
          <w:i/>
          <w:iCs/>
          <w:sz w:val="24"/>
          <w:szCs w:val="24"/>
          <w:lang w:val="en-US"/>
        </w:rPr>
        <w:t>vs</w:t>
      </w:r>
      <w:r w:rsidRPr="00DC6981">
        <w:rPr>
          <w:rFonts w:ascii="Book Antiqua" w:hAnsi="Book Antiqua"/>
          <w:bCs/>
          <w:sz w:val="24"/>
          <w:szCs w:val="24"/>
          <w:lang w:val="en-US"/>
        </w:rPr>
        <w:t xml:space="preserve"> FOLFIRINOX as first-line chemotherapy in patients with advanced pancreatic cancer: A population-based cohort study</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r w:rsidRPr="00DC6981">
        <w:rPr>
          <w:rFonts w:ascii="Book Antiqua" w:hAnsi="Book Antiqua" w:cs="Arial"/>
          <w:bCs/>
          <w:i/>
          <w:iCs/>
          <w:sz w:val="24"/>
          <w:szCs w:val="24"/>
          <w:lang w:val="en-US"/>
        </w:rPr>
        <w:t>World J Gastrointest Oncol</w:t>
      </w:r>
      <w:r w:rsidRPr="00DC6981">
        <w:rPr>
          <w:rFonts w:ascii="Book Antiqua" w:hAnsi="Book Antiqua" w:cs="Arial"/>
          <w:bCs/>
          <w:sz w:val="24"/>
          <w:szCs w:val="24"/>
          <w:lang w:val="en-US"/>
        </w:rPr>
        <w:t xml:space="preserve"> 2020; </w:t>
      </w:r>
      <w:r w:rsidRPr="00DC6981">
        <w:rPr>
          <w:rFonts w:ascii="Book Antiqua" w:hAnsi="Book Antiqua" w:cs="Calibri" w:hint="eastAsia"/>
          <w:sz w:val="24"/>
          <w:szCs w:val="24"/>
          <w:lang w:val="en-US" w:eastAsia="zh-CN"/>
        </w:rPr>
        <w:t>In press</w:t>
      </w:r>
    </w:p>
    <w:p w14:paraId="0CDDD04D" w14:textId="77777777" w:rsidR="00D53D4A" w:rsidRPr="002575A7" w:rsidRDefault="00D53D4A" w:rsidP="00864BDB">
      <w:pPr>
        <w:snapToGrid w:val="0"/>
        <w:spacing w:after="0" w:line="360" w:lineRule="auto"/>
        <w:jc w:val="both"/>
        <w:rPr>
          <w:rFonts w:ascii="Book Antiqua" w:hAnsi="Book Antiqua" w:cs="Times New Roman"/>
          <w:b/>
          <w:sz w:val="24"/>
          <w:szCs w:val="24"/>
          <w:lang w:val="en-US"/>
        </w:rPr>
      </w:pPr>
    </w:p>
    <w:p w14:paraId="42835E6D" w14:textId="523F99FE" w:rsidR="00D53D4A" w:rsidRPr="002575A7" w:rsidRDefault="00D53D4A" w:rsidP="00864BDB">
      <w:pPr>
        <w:snapToGrid w:val="0"/>
        <w:spacing w:after="0" w:line="360" w:lineRule="auto"/>
        <w:jc w:val="both"/>
        <w:rPr>
          <w:rFonts w:ascii="Book Antiqua" w:hAnsi="Book Antiqua"/>
          <w:color w:val="000000"/>
          <w:sz w:val="24"/>
          <w:szCs w:val="24"/>
          <w:lang w:val="en-US"/>
        </w:rPr>
      </w:pPr>
      <w:r w:rsidRPr="002575A7">
        <w:rPr>
          <w:rFonts w:ascii="Book Antiqua" w:hAnsi="Book Antiqua"/>
          <w:b/>
          <w:color w:val="000000"/>
          <w:sz w:val="24"/>
          <w:szCs w:val="24"/>
          <w:lang w:val="en-US"/>
        </w:rPr>
        <w:t xml:space="preserve">Core tip: </w:t>
      </w:r>
      <w:r w:rsidR="00CF1927" w:rsidRPr="002575A7">
        <w:rPr>
          <w:rFonts w:ascii="Book Antiqua" w:hAnsi="Book Antiqua"/>
          <w:color w:val="000000"/>
          <w:sz w:val="24"/>
          <w:szCs w:val="24"/>
          <w:lang w:val="en-US"/>
        </w:rPr>
        <w:t xml:space="preserve">This is the first study to compare FOLFOXIRI and FOLFIRINOX regimens </w:t>
      </w:r>
      <w:r w:rsidR="004B1338" w:rsidRPr="002575A7">
        <w:rPr>
          <w:rFonts w:ascii="Book Antiqua" w:hAnsi="Book Antiqua"/>
          <w:color w:val="000000"/>
          <w:sz w:val="24"/>
          <w:szCs w:val="24"/>
          <w:lang w:val="en-US"/>
        </w:rPr>
        <w:t>head-to-head</w:t>
      </w:r>
      <w:r w:rsidR="004B1338">
        <w:rPr>
          <w:rFonts w:ascii="Book Antiqua" w:hAnsi="Book Antiqua"/>
          <w:color w:val="000000"/>
          <w:sz w:val="24"/>
          <w:szCs w:val="24"/>
          <w:lang w:val="en-US"/>
        </w:rPr>
        <w:t>,</w:t>
      </w:r>
      <w:r w:rsidR="004B1338" w:rsidRPr="002575A7">
        <w:rPr>
          <w:rFonts w:ascii="Book Antiqua" w:hAnsi="Book Antiqua"/>
          <w:color w:val="000000"/>
          <w:sz w:val="24"/>
          <w:szCs w:val="24"/>
          <w:lang w:val="en-US"/>
        </w:rPr>
        <w:t xml:space="preserve"> </w:t>
      </w:r>
      <w:r w:rsidR="00CF1927" w:rsidRPr="002575A7">
        <w:rPr>
          <w:rFonts w:ascii="Book Antiqua" w:hAnsi="Book Antiqua"/>
          <w:color w:val="000000"/>
          <w:sz w:val="24"/>
          <w:szCs w:val="24"/>
          <w:lang w:val="en-US"/>
        </w:rPr>
        <w:t xml:space="preserve">to assess </w:t>
      </w:r>
      <w:r w:rsidR="004B1338">
        <w:rPr>
          <w:rFonts w:ascii="Book Antiqua" w:hAnsi="Book Antiqua"/>
          <w:color w:val="000000"/>
          <w:sz w:val="24"/>
          <w:szCs w:val="24"/>
          <w:lang w:val="en-US"/>
        </w:rPr>
        <w:t>whether</w:t>
      </w:r>
      <w:r w:rsidR="004B1338" w:rsidRPr="002575A7">
        <w:rPr>
          <w:rFonts w:ascii="Book Antiqua" w:hAnsi="Book Antiqua"/>
          <w:color w:val="000000"/>
          <w:sz w:val="24"/>
          <w:szCs w:val="24"/>
          <w:lang w:val="en-US"/>
        </w:rPr>
        <w:t xml:space="preserve"> </w:t>
      </w:r>
      <w:r w:rsidR="00CF1927" w:rsidRPr="002575A7">
        <w:rPr>
          <w:rFonts w:ascii="Book Antiqua" w:hAnsi="Book Antiqua"/>
          <w:color w:val="000000"/>
          <w:sz w:val="24"/>
          <w:szCs w:val="24"/>
          <w:lang w:val="en-US"/>
        </w:rPr>
        <w:t>FOLFOXIRI contribute</w:t>
      </w:r>
      <w:r w:rsidR="004B1338">
        <w:rPr>
          <w:rFonts w:ascii="Book Antiqua" w:hAnsi="Book Antiqua"/>
          <w:color w:val="000000"/>
          <w:sz w:val="24"/>
          <w:szCs w:val="24"/>
          <w:lang w:val="en-US"/>
        </w:rPr>
        <w:t>s</w:t>
      </w:r>
      <w:r w:rsidR="00CF1927" w:rsidRPr="002575A7">
        <w:rPr>
          <w:rFonts w:ascii="Book Antiqua" w:hAnsi="Book Antiqua"/>
          <w:color w:val="000000"/>
          <w:sz w:val="24"/>
          <w:szCs w:val="24"/>
          <w:lang w:val="en-US"/>
        </w:rPr>
        <w:t xml:space="preserve"> to </w:t>
      </w:r>
      <w:r w:rsidR="00B62A29">
        <w:rPr>
          <w:rFonts w:ascii="Book Antiqua" w:hAnsi="Book Antiqua"/>
          <w:color w:val="000000"/>
          <w:sz w:val="24"/>
          <w:szCs w:val="24"/>
          <w:lang w:val="en-US"/>
        </w:rPr>
        <w:t xml:space="preserve">a </w:t>
      </w:r>
      <w:r w:rsidR="00CF1927" w:rsidRPr="002575A7">
        <w:rPr>
          <w:rFonts w:ascii="Book Antiqua" w:hAnsi="Book Antiqua"/>
          <w:color w:val="000000"/>
          <w:sz w:val="24"/>
          <w:szCs w:val="24"/>
          <w:lang w:val="en-US"/>
        </w:rPr>
        <w:t xml:space="preserve">better balance </w:t>
      </w:r>
      <w:r w:rsidR="00B62A29">
        <w:rPr>
          <w:rFonts w:ascii="Book Antiqua" w:hAnsi="Book Antiqua"/>
          <w:color w:val="000000"/>
          <w:sz w:val="24"/>
          <w:szCs w:val="24"/>
          <w:lang w:val="en-US"/>
        </w:rPr>
        <w:t>in</w:t>
      </w:r>
      <w:r w:rsidR="004B1338">
        <w:rPr>
          <w:rFonts w:ascii="Book Antiqua" w:hAnsi="Book Antiqua"/>
          <w:color w:val="000000"/>
          <w:sz w:val="24"/>
          <w:szCs w:val="24"/>
          <w:lang w:val="en-US"/>
        </w:rPr>
        <w:t xml:space="preserve"> </w:t>
      </w:r>
      <w:r w:rsidR="00CF1927" w:rsidRPr="002575A7">
        <w:rPr>
          <w:rFonts w:ascii="Book Antiqua" w:hAnsi="Book Antiqua"/>
          <w:color w:val="000000"/>
          <w:sz w:val="24"/>
          <w:szCs w:val="24"/>
          <w:lang w:val="en-US"/>
        </w:rPr>
        <w:t>the toxicity</w:t>
      </w:r>
      <w:r w:rsidR="004B1338">
        <w:rPr>
          <w:rFonts w:ascii="Book Antiqua" w:hAnsi="Book Antiqua"/>
          <w:color w:val="000000"/>
          <w:sz w:val="24"/>
          <w:szCs w:val="24"/>
          <w:lang w:val="en-US"/>
        </w:rPr>
        <w:t>/</w:t>
      </w:r>
      <w:r w:rsidR="00CF1927" w:rsidRPr="002575A7">
        <w:rPr>
          <w:rFonts w:ascii="Book Antiqua" w:hAnsi="Book Antiqua"/>
          <w:color w:val="000000"/>
          <w:sz w:val="24"/>
          <w:szCs w:val="24"/>
          <w:lang w:val="en-US"/>
        </w:rPr>
        <w:t xml:space="preserve">efficacy ratio in advanced pancreatic ductal adenocarcinoma. These findings </w:t>
      </w:r>
      <w:r w:rsidR="00B40578">
        <w:rPr>
          <w:rFonts w:ascii="Book Antiqua" w:hAnsi="Book Antiqua"/>
          <w:color w:val="000000"/>
          <w:sz w:val="24"/>
          <w:szCs w:val="24"/>
          <w:lang w:val="en-US"/>
        </w:rPr>
        <w:t xml:space="preserve">do not </w:t>
      </w:r>
      <w:r w:rsidR="00CF1927" w:rsidRPr="002575A7">
        <w:rPr>
          <w:rFonts w:ascii="Book Antiqua" w:hAnsi="Book Antiqua"/>
          <w:color w:val="000000"/>
          <w:sz w:val="24"/>
          <w:szCs w:val="24"/>
          <w:lang w:val="en-US"/>
        </w:rPr>
        <w:t xml:space="preserve">suggest </w:t>
      </w:r>
      <w:r w:rsidR="00D16D88" w:rsidRPr="002575A7">
        <w:rPr>
          <w:rFonts w:ascii="Book Antiqua" w:hAnsi="Book Antiqua"/>
          <w:color w:val="000000"/>
          <w:sz w:val="24"/>
          <w:szCs w:val="24"/>
          <w:lang w:val="en-US"/>
        </w:rPr>
        <w:t xml:space="preserve">any </w:t>
      </w:r>
      <w:r w:rsidR="00CF1927" w:rsidRPr="002575A7">
        <w:rPr>
          <w:rFonts w:ascii="Book Antiqua" w:hAnsi="Book Antiqua"/>
          <w:color w:val="000000"/>
          <w:sz w:val="24"/>
          <w:szCs w:val="24"/>
          <w:lang w:val="en-US"/>
        </w:rPr>
        <w:t xml:space="preserve">therapeutic benefit </w:t>
      </w:r>
      <w:r w:rsidR="00D16D88" w:rsidRPr="002575A7">
        <w:rPr>
          <w:rFonts w:ascii="Book Antiqua" w:hAnsi="Book Antiqua"/>
          <w:color w:val="000000"/>
          <w:sz w:val="24"/>
          <w:szCs w:val="24"/>
          <w:lang w:val="en-US"/>
        </w:rPr>
        <w:t xml:space="preserve">of </w:t>
      </w:r>
      <w:r w:rsidR="00CF1927" w:rsidRPr="002575A7">
        <w:rPr>
          <w:rFonts w:ascii="Book Antiqua" w:hAnsi="Book Antiqua"/>
          <w:color w:val="000000"/>
          <w:sz w:val="24"/>
          <w:szCs w:val="24"/>
          <w:lang w:val="en-US"/>
        </w:rPr>
        <w:t xml:space="preserve">FOLFOXIRI </w:t>
      </w:r>
      <w:r w:rsidR="00D16D88" w:rsidRPr="002575A7">
        <w:rPr>
          <w:rFonts w:ascii="Book Antiqua" w:hAnsi="Book Antiqua"/>
          <w:color w:val="000000"/>
          <w:sz w:val="24"/>
          <w:szCs w:val="24"/>
          <w:lang w:val="en-US"/>
        </w:rPr>
        <w:t xml:space="preserve">compared to </w:t>
      </w:r>
      <w:r w:rsidR="00CF1927" w:rsidRPr="002575A7">
        <w:rPr>
          <w:rFonts w:ascii="Book Antiqua" w:hAnsi="Book Antiqua"/>
          <w:color w:val="000000"/>
          <w:sz w:val="24"/>
          <w:szCs w:val="24"/>
          <w:lang w:val="en-US"/>
        </w:rPr>
        <w:t xml:space="preserve">FOLFIRINOX in first-line chemotherapy. These results show that additional evaluation is not </w:t>
      </w:r>
      <w:r w:rsidR="00B40578">
        <w:rPr>
          <w:rFonts w:ascii="Book Antiqua" w:hAnsi="Book Antiqua"/>
          <w:color w:val="000000"/>
          <w:sz w:val="24"/>
          <w:szCs w:val="24"/>
          <w:lang w:val="en-US"/>
        </w:rPr>
        <w:t>warranted</w:t>
      </w:r>
      <w:r w:rsidR="00B40578" w:rsidRPr="002575A7">
        <w:rPr>
          <w:rFonts w:ascii="Book Antiqua" w:hAnsi="Book Antiqua"/>
          <w:color w:val="000000"/>
          <w:sz w:val="24"/>
          <w:szCs w:val="24"/>
          <w:lang w:val="en-US"/>
        </w:rPr>
        <w:t xml:space="preserve"> </w:t>
      </w:r>
      <w:r w:rsidR="00CF1927" w:rsidRPr="002575A7">
        <w:rPr>
          <w:rFonts w:ascii="Book Antiqua" w:hAnsi="Book Antiqua"/>
          <w:color w:val="000000"/>
          <w:sz w:val="24"/>
          <w:szCs w:val="24"/>
          <w:lang w:val="en-US"/>
        </w:rPr>
        <w:t xml:space="preserve">in future clinical trials. FOLFIRINOX chemotherapy remains the standard </w:t>
      </w:r>
      <w:r w:rsidR="004B1338">
        <w:rPr>
          <w:rFonts w:ascii="Book Antiqua" w:hAnsi="Book Antiqua"/>
          <w:color w:val="000000"/>
          <w:sz w:val="24"/>
          <w:szCs w:val="24"/>
          <w:lang w:val="en-US"/>
        </w:rPr>
        <w:t xml:space="preserve">of </w:t>
      </w:r>
      <w:r w:rsidR="00676CAC" w:rsidRPr="002575A7">
        <w:rPr>
          <w:rFonts w:ascii="Book Antiqua" w:hAnsi="Book Antiqua"/>
          <w:color w:val="000000"/>
          <w:sz w:val="24"/>
          <w:szCs w:val="24"/>
          <w:lang w:val="en-US"/>
        </w:rPr>
        <w:t xml:space="preserve">care </w:t>
      </w:r>
      <w:r w:rsidR="00CF1927" w:rsidRPr="002575A7">
        <w:rPr>
          <w:rFonts w:ascii="Book Antiqua" w:hAnsi="Book Antiqua"/>
          <w:color w:val="000000"/>
          <w:sz w:val="24"/>
          <w:szCs w:val="24"/>
          <w:lang w:val="en-US"/>
        </w:rPr>
        <w:t xml:space="preserve">first-line </w:t>
      </w:r>
      <w:r w:rsidR="004B1338">
        <w:rPr>
          <w:rFonts w:ascii="Book Antiqua" w:hAnsi="Book Antiqua"/>
          <w:color w:val="000000"/>
          <w:sz w:val="24"/>
          <w:szCs w:val="24"/>
          <w:lang w:val="en-US"/>
        </w:rPr>
        <w:t xml:space="preserve">therapy </w:t>
      </w:r>
      <w:r w:rsidR="00CF1927" w:rsidRPr="002575A7">
        <w:rPr>
          <w:rFonts w:ascii="Book Antiqua" w:hAnsi="Book Antiqua"/>
          <w:color w:val="000000"/>
          <w:sz w:val="24"/>
          <w:szCs w:val="24"/>
          <w:lang w:val="en-US"/>
        </w:rPr>
        <w:t xml:space="preserve">in metastatic </w:t>
      </w:r>
      <w:r w:rsidR="00DE08CA" w:rsidRPr="002575A7">
        <w:rPr>
          <w:rFonts w:ascii="Book Antiqua" w:hAnsi="Book Antiqua"/>
          <w:color w:val="000000"/>
          <w:sz w:val="24"/>
          <w:szCs w:val="24"/>
          <w:lang w:val="en-US"/>
        </w:rPr>
        <w:t>pancreatic ductal adenocarcinoma</w:t>
      </w:r>
      <w:r w:rsidR="00CF1927" w:rsidRPr="002575A7">
        <w:rPr>
          <w:rFonts w:ascii="Book Antiqua" w:hAnsi="Book Antiqua"/>
          <w:color w:val="000000"/>
          <w:sz w:val="24"/>
          <w:szCs w:val="24"/>
          <w:lang w:val="en-US"/>
        </w:rPr>
        <w:t>. Interestingly, the low hematological toxicit</w:t>
      </w:r>
      <w:r w:rsidR="00A67232">
        <w:rPr>
          <w:rFonts w:ascii="Book Antiqua" w:hAnsi="Book Antiqua"/>
          <w:color w:val="000000"/>
          <w:sz w:val="24"/>
          <w:szCs w:val="24"/>
          <w:lang w:val="en-US"/>
        </w:rPr>
        <w:t>y</w:t>
      </w:r>
      <w:r w:rsidR="00CF1927" w:rsidRPr="002575A7">
        <w:rPr>
          <w:rFonts w:ascii="Book Antiqua" w:hAnsi="Book Antiqua"/>
          <w:color w:val="000000"/>
          <w:sz w:val="24"/>
          <w:szCs w:val="24"/>
          <w:lang w:val="en-US"/>
        </w:rPr>
        <w:t xml:space="preserve"> rates in both regimens </w:t>
      </w:r>
      <w:r w:rsidR="004B1338">
        <w:rPr>
          <w:rFonts w:ascii="Book Antiqua" w:hAnsi="Book Antiqua"/>
          <w:color w:val="000000"/>
          <w:sz w:val="24"/>
          <w:szCs w:val="24"/>
          <w:lang w:val="en-US"/>
        </w:rPr>
        <w:t xml:space="preserve">underscore </w:t>
      </w:r>
      <w:r w:rsidR="00CF1927" w:rsidRPr="002575A7">
        <w:rPr>
          <w:rFonts w:ascii="Book Antiqua" w:hAnsi="Book Antiqua"/>
          <w:color w:val="000000"/>
          <w:sz w:val="24"/>
          <w:szCs w:val="24"/>
          <w:lang w:val="en-US"/>
        </w:rPr>
        <w:t xml:space="preserve">the </w:t>
      </w:r>
      <w:r w:rsidR="003E3E10">
        <w:rPr>
          <w:rFonts w:ascii="Book Antiqua" w:hAnsi="Book Antiqua"/>
          <w:color w:val="000000"/>
          <w:sz w:val="24"/>
          <w:szCs w:val="24"/>
          <w:lang w:val="en-US"/>
        </w:rPr>
        <w:t>relevance</w:t>
      </w:r>
      <w:r w:rsidR="00CF1927" w:rsidRPr="002575A7">
        <w:rPr>
          <w:rFonts w:ascii="Book Antiqua" w:hAnsi="Book Antiqua"/>
          <w:color w:val="000000"/>
          <w:sz w:val="24"/>
          <w:szCs w:val="24"/>
          <w:lang w:val="en-US"/>
        </w:rPr>
        <w:t xml:space="preserve"> of prophylactic administration of hematopoietic growth factors in routine use after each polychemotherapy</w:t>
      </w:r>
      <w:r w:rsidR="001A7943" w:rsidRPr="002575A7">
        <w:rPr>
          <w:rFonts w:ascii="Book Antiqua" w:hAnsi="Book Antiqua"/>
          <w:color w:val="000000"/>
          <w:sz w:val="24"/>
          <w:szCs w:val="24"/>
          <w:lang w:val="en-US"/>
        </w:rPr>
        <w:t xml:space="preserve"> cycle</w:t>
      </w:r>
      <w:r w:rsidR="00CF1927" w:rsidRPr="002575A7">
        <w:rPr>
          <w:rFonts w:ascii="Book Antiqua" w:hAnsi="Book Antiqua"/>
          <w:color w:val="000000"/>
          <w:sz w:val="24"/>
          <w:szCs w:val="24"/>
          <w:lang w:val="en-US"/>
        </w:rPr>
        <w:t>.</w:t>
      </w:r>
    </w:p>
    <w:p w14:paraId="0945DAA9" w14:textId="77777777" w:rsidR="00D53D4A" w:rsidRPr="002575A7" w:rsidRDefault="00D53D4A" w:rsidP="00864BDB">
      <w:pPr>
        <w:snapToGrid w:val="0"/>
        <w:spacing w:after="0" w:line="360" w:lineRule="auto"/>
        <w:jc w:val="both"/>
        <w:rPr>
          <w:rFonts w:ascii="Book Antiqua" w:hAnsi="Book Antiqua"/>
          <w:b/>
          <w:color w:val="000000"/>
          <w:sz w:val="24"/>
          <w:szCs w:val="24"/>
          <w:lang w:val="en-US"/>
        </w:rPr>
      </w:pPr>
    </w:p>
    <w:p w14:paraId="362CA356" w14:textId="44CA4D32" w:rsidR="001658E0" w:rsidRPr="002575A7" w:rsidRDefault="001658E0" w:rsidP="00864BDB">
      <w:pPr>
        <w:snapToGrid w:val="0"/>
        <w:spacing w:after="0" w:line="360" w:lineRule="auto"/>
        <w:jc w:val="both"/>
        <w:rPr>
          <w:rFonts w:ascii="Book Antiqua" w:hAnsi="Book Antiqua" w:cs="Times New Roman"/>
          <w:b/>
          <w:sz w:val="24"/>
          <w:szCs w:val="24"/>
          <w:lang w:val="en-US"/>
        </w:rPr>
      </w:pPr>
      <w:r w:rsidRPr="002575A7">
        <w:rPr>
          <w:rFonts w:ascii="Book Antiqua" w:hAnsi="Book Antiqua" w:cs="Times New Roman"/>
          <w:b/>
          <w:sz w:val="24"/>
          <w:szCs w:val="24"/>
          <w:lang w:val="en-US"/>
        </w:rPr>
        <w:br w:type="page"/>
      </w:r>
    </w:p>
    <w:p w14:paraId="1C51BD6E" w14:textId="77777777" w:rsidR="00B60AE3" w:rsidRPr="00B60AE3" w:rsidRDefault="00B60AE3" w:rsidP="00B60AE3">
      <w:pPr>
        <w:adjustRightInd w:val="0"/>
        <w:snapToGrid w:val="0"/>
        <w:spacing w:after="0" w:line="360" w:lineRule="auto"/>
        <w:jc w:val="both"/>
        <w:rPr>
          <w:rFonts w:ascii="Book Antiqua" w:hAnsi="Book Antiqua" w:cs="Calibri"/>
          <w:b/>
          <w:sz w:val="24"/>
          <w:szCs w:val="24"/>
          <w:u w:val="single"/>
          <w:lang w:val="en-US"/>
        </w:rPr>
      </w:pPr>
      <w:bookmarkStart w:id="3" w:name="_Hlk27562550"/>
      <w:r w:rsidRPr="00B60AE3">
        <w:rPr>
          <w:rFonts w:ascii="Book Antiqua" w:hAnsi="Book Antiqua" w:cs="Calibri"/>
          <w:b/>
          <w:sz w:val="24"/>
          <w:szCs w:val="24"/>
          <w:u w:val="single"/>
          <w:lang w:val="en-US"/>
        </w:rPr>
        <w:lastRenderedPageBreak/>
        <w:t>INTRODUCTION</w:t>
      </w:r>
    </w:p>
    <w:bookmarkEnd w:id="3"/>
    <w:p w14:paraId="67907D99" w14:textId="01A0C202" w:rsidR="0027748E" w:rsidRPr="002575A7" w:rsidRDefault="00AD1011"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Pancreatic ductal adenocarcinoma (PDAC) </w:t>
      </w:r>
      <w:r w:rsidR="0027748E">
        <w:rPr>
          <w:rFonts w:ascii="Book Antiqua" w:hAnsi="Book Antiqua" w:cs="Times New Roman"/>
          <w:sz w:val="24"/>
          <w:szCs w:val="24"/>
          <w:lang w:val="en-US"/>
        </w:rPr>
        <w:t>carries</w:t>
      </w:r>
      <w:r w:rsidR="0027748E"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a poor prognosis, with a 5-year overall survival (OS) rate </w:t>
      </w:r>
      <w:r w:rsidR="0027748E" w:rsidRPr="002575A7">
        <w:rPr>
          <w:rFonts w:ascii="Book Antiqua" w:hAnsi="Book Antiqua" w:cs="Times New Roman"/>
          <w:sz w:val="24"/>
          <w:szCs w:val="24"/>
          <w:lang w:val="en-US"/>
        </w:rPr>
        <w:t>of only 8</w:t>
      </w:r>
      <w:r w:rsidR="009D1BBF" w:rsidRPr="002575A7">
        <w:rPr>
          <w:rFonts w:ascii="Book Antiqua" w:hAnsi="Book Antiqua" w:cs="Times New Roman"/>
          <w:sz w:val="24"/>
          <w:szCs w:val="24"/>
          <w:lang w:val="en-US"/>
        </w:rPr>
        <w:t>%</w:t>
      </w:r>
      <w:r w:rsidR="0027748E" w:rsidRPr="002575A7">
        <w:rPr>
          <w:rFonts w:ascii="Book Antiqua" w:hAnsi="Book Antiqua" w:cs="Times New Roman"/>
          <w:sz w:val="24"/>
          <w:szCs w:val="24"/>
          <w:lang w:val="en-US"/>
        </w:rPr>
        <w:t>-9%</w:t>
      </w:r>
      <w:r w:rsidR="0027748E">
        <w:rPr>
          <w:rFonts w:ascii="Book Antiqua" w:hAnsi="Book Antiqua" w:cs="Times New Roman"/>
          <w:sz w:val="24"/>
          <w:szCs w:val="24"/>
          <w:lang w:val="en-US"/>
        </w:rPr>
        <w:t xml:space="preserve"> </w:t>
      </w:r>
      <w:r w:rsidRPr="002575A7">
        <w:rPr>
          <w:rFonts w:ascii="Book Antiqua" w:hAnsi="Book Antiqua" w:cs="Times New Roman"/>
          <w:sz w:val="24"/>
          <w:szCs w:val="24"/>
          <w:lang w:val="en-US"/>
        </w:rPr>
        <w:t>for all stages taken together</w:t>
      </w:r>
      <w:r w:rsidR="00145FD4" w:rsidRPr="00EB33CD">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{"citationID":"HrLzhQYR","properties":{"formattedCitation":"\\super 1\\nosupersub{}","plainCitation":"1","noteIndex":0},"citationItems":[{"id":1628,"uris":["http://zotero.org/users/2205527/items/5VWH7BWS"],"uri":["http://zotero.org/users/2205527/items/5VWH7BWS"],"itemData":{"id":1628,"type":"article-journal","title":"Cancer statistics, 2019","container-title":"CA: a cancer journal for clinicians","page":"7-34","volume":"69","issue":"1","source":"PubMed","abstract":"Each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cancer.","DOI":"10.3322/caac.21551","ISSN":"1542-4863","note":"PMID: 30620402","journalAbbreviation":"CA Cancer J Clin","language":"eng","author":[{"family":"Siegel","given":"Rebecca L."},{"family":"Miller","given":"Kimberly D."},{"family":"Jemal","given":"Ahmedin"}],"issued":{"date-parts":[["2019",1]]}}}],"schema":"https://github.com/citation-style-language/schema/raw/master/csl-citation.json"}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w:t>
      </w:r>
      <w:r w:rsidR="00561FC3" w:rsidRPr="002575A7">
        <w:rPr>
          <w:rFonts w:ascii="Book Antiqua" w:hAnsi="Book Antiqua" w:cs="Times New Roman"/>
          <w:sz w:val="24"/>
          <w:szCs w:val="24"/>
          <w:lang w:val="en-US"/>
        </w:rPr>
        <w:fldChar w:fldCharType="end"/>
      </w:r>
      <w:r w:rsidR="00145FD4" w:rsidRPr="00EB33CD">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Pancreatic cancer is expected to become the second leading cause of cancer death in the Unit</w:t>
      </w:r>
      <w:r w:rsidR="00607A6E" w:rsidRPr="002575A7">
        <w:rPr>
          <w:rFonts w:ascii="Book Antiqua" w:hAnsi="Book Antiqua" w:cs="Times New Roman"/>
          <w:sz w:val="24"/>
          <w:szCs w:val="24"/>
          <w:lang w:val="en-US"/>
        </w:rPr>
        <w:t xml:space="preserve">ed States and Europe </w:t>
      </w:r>
      <w:r w:rsidR="00811BF0" w:rsidRPr="002575A7">
        <w:rPr>
          <w:rFonts w:ascii="Book Antiqua" w:hAnsi="Book Antiqua" w:cs="Times New Roman"/>
          <w:sz w:val="24"/>
          <w:szCs w:val="24"/>
          <w:lang w:val="en-US"/>
        </w:rPr>
        <w:t xml:space="preserve">by </w:t>
      </w:r>
      <w:r w:rsidR="00607A6E" w:rsidRPr="002575A7">
        <w:rPr>
          <w:rFonts w:ascii="Book Antiqua" w:hAnsi="Book Antiqua" w:cs="Times New Roman"/>
          <w:sz w:val="24"/>
          <w:szCs w:val="24"/>
          <w:lang w:val="en-US"/>
        </w:rPr>
        <w:t>2030</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{"citationID":"DV2VBHWX","properties":{"formattedCitation":"\\super 2,3\\nosupersub{}","plainCitation":"2,3","noteIndex":0},"citationItems":[{"id":766,"uris":["http://zotero.org/users/2205527/items/T2DGIZUM"],"uri":["http://zotero.org/users/2205527/items/T2DGIZUM"],"itemData":{"id":766,"type":"article-journal","title":"Projecting Cancer Incidence and Deaths to 2030: The Unexpected Burden of Thyroid, Liver, and Pancreas Cancers in the United States","container-title":"Cancer Research","page":"2913-2921","volume":"74","issue":"11","source":"CrossRef","DOI":"10.1158/0008-5472.CAN-14-0155","ISSN":"0008-5472, 1538-7445","title-short":"Projecting Cancer Incidence and Deaths to 2030","language":"en","author":[{"family":"Rahib","given":"L."},{"family":"Smith","given":"B. D."},{"family":"Aizenberg","given":"R."},{"family":"Rosenzweig","given":"A. B."},{"family":"Fleshman","given":"J. M."},{"family":"Matrisian","given":"L. M."}],"issued":{"date-parts":[["2014",6,1]]}},"label":"page"},{"id":100,"uris":["http://zotero.org/users/2205527/items/3G5EVGHS"],"uri":["http://zotero.org/users/2205527/items/3G5EVGHS"],"itemData":{"id":100,"type":"article-journal","title":"More deaths from pancreatic cancer than breast cancer in the EU by 2017","container-title":"Acta Oncologica (Stockholm, Sweden)","page":"1158-1160","volume":"55","issue":"9-10","source":"PubMed","abstract":"INTRODUCTION: Pancreatic cancer currently ranks below female breast cancer in terms of the number of deaths in both males and females in the EU. While breast cancer mortality rates have been declining in many higher income EU countries during recent decades, rates of pancreatic cancer in contrast are either stable or moderately increasing; a comparative analysis of the short-term future rates of both is warranted.\nMETHODS: We extracted the annual number of deaths from cancers of the pancreas and breast by gender together with population at risk in each of 28 countries of the EU for the period 2001-2010. We fitted cancer- and gender-specific time-linear regression models and predicted deaths from pancreatic and breast cancer mortality for the years 2011-2025.\nRESULTS: We estimated that by the year 2017 more deaths from pancreatic cancer will occur (91 500 annual deaths) than breast cancer (91</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000) in the EU. By 2025, deaths from cancer of the pancreas are predicted to be 25% higher (111</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500 and 90</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 xml:space="preserve">000, respectively). Pancreatic cancer may become the third leading cause of death from cancer in the EU after lung and colorectal cancers.\nCONCLUSION: Although strategies may emerge in the near future that will enhance the prospects of improving the very poor five-year survival from pancreatic cancer, coordinated efforts are necessary to reduce the foreseeable high mortality burden of disease within the EU.","DOI":"10.1080/0284186X.2016.1197419","ISSN":"1651-226X","note":"PMID: 27551890","journalAbbreviation":"Acta Oncol","language":"eng","author":[{"family":"Ferlay","given":"J."},{"family":"Partensky","given":"C."},{"family":"Bray","given":"F."}],"issued":{"date-parts":[["2016",10]]}},"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2,3</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 xml:space="preserve">. </w:t>
      </w:r>
      <w:r w:rsidR="00607A6E" w:rsidRPr="002575A7">
        <w:rPr>
          <w:rFonts w:ascii="Book Antiqua" w:hAnsi="Book Antiqua" w:cs="Times New Roman"/>
          <w:sz w:val="24"/>
          <w:szCs w:val="24"/>
          <w:lang w:val="en-US"/>
        </w:rPr>
        <w:t xml:space="preserve">This poor prognosis is mainly due to late diagnosis, </w:t>
      </w:r>
      <w:r w:rsidR="00530A4E">
        <w:rPr>
          <w:rFonts w:ascii="Book Antiqua" w:hAnsi="Book Antiqua" w:cs="Times New Roman"/>
          <w:sz w:val="24"/>
          <w:szCs w:val="24"/>
          <w:lang w:val="en-US"/>
        </w:rPr>
        <w:t>with</w:t>
      </w:r>
      <w:r w:rsidR="00530A4E" w:rsidRPr="002575A7">
        <w:rPr>
          <w:rFonts w:ascii="Book Antiqua" w:hAnsi="Book Antiqua" w:cs="Times New Roman"/>
          <w:sz w:val="24"/>
          <w:szCs w:val="24"/>
          <w:lang w:val="en-US"/>
        </w:rPr>
        <w:t xml:space="preserve"> </w:t>
      </w:r>
      <w:r w:rsidR="00607A6E" w:rsidRPr="002575A7">
        <w:rPr>
          <w:rFonts w:ascii="Book Antiqua" w:hAnsi="Book Antiqua" w:cs="Times New Roman"/>
          <w:sz w:val="24"/>
          <w:szCs w:val="24"/>
          <w:lang w:val="en-US"/>
        </w:rPr>
        <w:t xml:space="preserve">only 20% of patients with PDAC </w:t>
      </w:r>
      <w:r w:rsidR="00B62A29">
        <w:rPr>
          <w:rFonts w:ascii="Book Antiqua" w:hAnsi="Book Antiqua" w:cs="Times New Roman"/>
          <w:sz w:val="24"/>
          <w:szCs w:val="24"/>
          <w:lang w:val="en-US"/>
        </w:rPr>
        <w:t>eligible for</w:t>
      </w:r>
      <w:r w:rsidR="004A4743" w:rsidRPr="002575A7">
        <w:rPr>
          <w:rFonts w:ascii="Book Antiqua" w:hAnsi="Book Antiqua" w:cs="Times New Roman"/>
          <w:sz w:val="24"/>
          <w:szCs w:val="24"/>
          <w:lang w:val="en-US"/>
        </w:rPr>
        <w:t xml:space="preserve"> surgery</w:t>
      </w:r>
      <w:r w:rsidR="00607A6E" w:rsidRPr="002575A7">
        <w:rPr>
          <w:rFonts w:ascii="Book Antiqua" w:hAnsi="Book Antiqua" w:cs="Times New Roman"/>
          <w:sz w:val="24"/>
          <w:szCs w:val="24"/>
          <w:lang w:val="en-US"/>
        </w:rPr>
        <w:t xml:space="preserve">. Complete surgical resection </w:t>
      </w:r>
      <w:r w:rsidR="004A4743" w:rsidRPr="002575A7">
        <w:rPr>
          <w:rFonts w:ascii="Book Antiqua" w:hAnsi="Book Antiqua" w:cs="Times New Roman"/>
          <w:sz w:val="24"/>
          <w:szCs w:val="24"/>
          <w:lang w:val="en-US"/>
        </w:rPr>
        <w:t xml:space="preserve">of localized PDAC </w:t>
      </w:r>
      <w:r w:rsidR="00607A6E" w:rsidRPr="002575A7">
        <w:rPr>
          <w:rFonts w:ascii="Book Antiqua" w:hAnsi="Book Antiqua" w:cs="Times New Roman"/>
          <w:sz w:val="24"/>
          <w:szCs w:val="24"/>
          <w:lang w:val="en-US"/>
        </w:rPr>
        <w:t xml:space="preserve">followed by </w:t>
      </w:r>
      <w:r w:rsidR="00864BDB">
        <w:rPr>
          <w:rFonts w:ascii="Book Antiqua" w:hAnsi="Book Antiqua" w:cs="Times New Roman"/>
          <w:sz w:val="24"/>
          <w:szCs w:val="24"/>
          <w:lang w:val="en-US"/>
        </w:rPr>
        <w:t>6</w:t>
      </w:r>
      <w:r w:rsidR="00607A6E" w:rsidRPr="002575A7">
        <w:rPr>
          <w:rFonts w:ascii="Book Antiqua" w:hAnsi="Book Antiqua" w:cs="Times New Roman"/>
          <w:sz w:val="24"/>
          <w:szCs w:val="24"/>
          <w:lang w:val="en-US"/>
        </w:rPr>
        <w:t xml:space="preserve"> mo of adjuvant chemotherapy is the only </w:t>
      </w:r>
      <w:r w:rsidR="00811BF0" w:rsidRPr="002575A7">
        <w:rPr>
          <w:rFonts w:ascii="Book Antiqua" w:hAnsi="Book Antiqua" w:cs="Times New Roman"/>
          <w:sz w:val="24"/>
          <w:szCs w:val="24"/>
          <w:lang w:val="en-US"/>
        </w:rPr>
        <w:t xml:space="preserve">recognized standard </w:t>
      </w:r>
      <w:r w:rsidR="00291366">
        <w:rPr>
          <w:rFonts w:ascii="Book Antiqua" w:hAnsi="Book Antiqua" w:cs="Times New Roman"/>
          <w:sz w:val="24"/>
          <w:szCs w:val="24"/>
          <w:lang w:val="en-US"/>
        </w:rPr>
        <w:t xml:space="preserve">of </w:t>
      </w:r>
      <w:r w:rsidR="00811BF0" w:rsidRPr="002575A7">
        <w:rPr>
          <w:rFonts w:ascii="Book Antiqua" w:hAnsi="Book Antiqua" w:cs="Times New Roman"/>
          <w:sz w:val="24"/>
          <w:szCs w:val="24"/>
          <w:lang w:val="en-US"/>
        </w:rPr>
        <w:t>care</w:t>
      </w:r>
      <w:r w:rsidR="00607A6E" w:rsidRPr="002575A7">
        <w:rPr>
          <w:rFonts w:ascii="Book Antiqua" w:hAnsi="Book Antiqua" w:cs="Times New Roman"/>
          <w:sz w:val="24"/>
          <w:szCs w:val="24"/>
          <w:lang w:val="en-US"/>
        </w:rPr>
        <w:t xml:space="preserve"> that </w:t>
      </w:r>
      <w:r w:rsidR="004B2FAC">
        <w:rPr>
          <w:rFonts w:ascii="Book Antiqua" w:hAnsi="Book Antiqua" w:cs="Times New Roman"/>
          <w:color w:val="2A2A2A"/>
          <w:sz w:val="24"/>
          <w:szCs w:val="24"/>
          <w:shd w:val="clear" w:color="auto" w:fill="FFFFFF"/>
          <w:lang w:val="en-US"/>
        </w:rPr>
        <w:t>has</w:t>
      </w:r>
      <w:r w:rsidR="00811BF0" w:rsidRPr="002575A7">
        <w:rPr>
          <w:rFonts w:ascii="Book Antiqua" w:hAnsi="Book Antiqua" w:cs="Times New Roman"/>
          <w:color w:val="2A2A2A"/>
          <w:sz w:val="24"/>
          <w:szCs w:val="24"/>
          <w:shd w:val="clear" w:color="auto" w:fill="FFFFFF"/>
          <w:lang w:val="en-US"/>
        </w:rPr>
        <w:t xml:space="preserve"> </w:t>
      </w:r>
      <w:r w:rsidR="0027748E">
        <w:rPr>
          <w:rFonts w:ascii="Book Antiqua" w:hAnsi="Book Antiqua" w:cs="Times New Roman"/>
          <w:color w:val="2A2A2A"/>
          <w:sz w:val="24"/>
          <w:szCs w:val="24"/>
          <w:shd w:val="clear" w:color="auto" w:fill="FFFFFF"/>
          <w:lang w:val="en-US"/>
        </w:rPr>
        <w:t xml:space="preserve">been </w:t>
      </w:r>
      <w:r w:rsidR="00811BF0" w:rsidRPr="002575A7">
        <w:rPr>
          <w:rFonts w:ascii="Book Antiqua" w:hAnsi="Book Antiqua" w:cs="Times New Roman"/>
          <w:color w:val="2A2A2A"/>
          <w:sz w:val="24"/>
          <w:szCs w:val="24"/>
          <w:shd w:val="clear" w:color="auto" w:fill="FFFFFF"/>
          <w:lang w:val="en-US"/>
        </w:rPr>
        <w:t>shown to improve patient</w:t>
      </w:r>
      <w:r w:rsidR="004A4743" w:rsidRPr="002575A7">
        <w:rPr>
          <w:rFonts w:ascii="Book Antiqua" w:hAnsi="Book Antiqua" w:cs="Times New Roman"/>
          <w:color w:val="2A2A2A"/>
          <w:sz w:val="24"/>
          <w:szCs w:val="24"/>
          <w:shd w:val="clear" w:color="auto" w:fill="FFFFFF"/>
          <w:lang w:val="en-US"/>
        </w:rPr>
        <w:t xml:space="preserve"> </w:t>
      </w:r>
      <w:r w:rsidR="00607A6E" w:rsidRPr="002575A7">
        <w:rPr>
          <w:rFonts w:ascii="Book Antiqua" w:hAnsi="Book Antiqua" w:cs="Times New Roman"/>
          <w:sz w:val="24"/>
          <w:szCs w:val="24"/>
          <w:lang w:val="en-US"/>
        </w:rPr>
        <w:t xml:space="preserve">survival, </w:t>
      </w:r>
      <w:r w:rsidR="001B67C3" w:rsidRPr="002575A7">
        <w:rPr>
          <w:rFonts w:ascii="Book Antiqua" w:hAnsi="Book Antiqua" w:cs="Times New Roman"/>
          <w:sz w:val="24"/>
          <w:szCs w:val="24"/>
          <w:lang w:val="en-US"/>
        </w:rPr>
        <w:t xml:space="preserve">with a </w:t>
      </w:r>
      <w:r w:rsidR="00F31D64" w:rsidRPr="002575A7">
        <w:rPr>
          <w:rFonts w:ascii="Book Antiqua" w:hAnsi="Book Antiqua" w:cs="Times New Roman"/>
          <w:sz w:val="24"/>
          <w:szCs w:val="24"/>
          <w:lang w:val="en-US"/>
        </w:rPr>
        <w:t xml:space="preserve">median OS up to </w:t>
      </w:r>
      <w:r w:rsidR="00607A6E" w:rsidRPr="002575A7">
        <w:rPr>
          <w:rFonts w:ascii="Book Antiqua" w:hAnsi="Book Antiqua" w:cs="Times New Roman"/>
          <w:sz w:val="24"/>
          <w:szCs w:val="24"/>
          <w:lang w:val="en-US"/>
        </w:rPr>
        <w:t>54</w:t>
      </w:r>
      <w:r w:rsidR="00F31D64" w:rsidRPr="002575A7">
        <w:rPr>
          <w:rFonts w:ascii="Book Antiqua" w:hAnsi="Book Antiqua" w:cs="Times New Roman"/>
          <w:sz w:val="24"/>
          <w:szCs w:val="24"/>
          <w:lang w:val="en-US"/>
        </w:rPr>
        <w:t>.4</w:t>
      </w:r>
      <w:r w:rsidR="00607A6E" w:rsidRPr="002575A7">
        <w:rPr>
          <w:rFonts w:ascii="Book Antiqua" w:hAnsi="Book Antiqua" w:cs="Times New Roman"/>
          <w:sz w:val="24"/>
          <w:szCs w:val="24"/>
          <w:lang w:val="en-US"/>
        </w:rPr>
        <w:t xml:space="preserve"> mo with modified FOLFIRINOX</w:t>
      </w:r>
      <w:r w:rsidR="00F31D64" w:rsidRPr="002575A7">
        <w:rPr>
          <w:rFonts w:ascii="Book Antiqua" w:hAnsi="Book Antiqua" w:cs="Times New Roman"/>
          <w:sz w:val="24"/>
          <w:szCs w:val="24"/>
          <w:lang w:val="en-US"/>
        </w:rPr>
        <w:t xml:space="preserve"> </w:t>
      </w:r>
      <w:r w:rsidR="009D1BBF">
        <w:rPr>
          <w:rFonts w:ascii="Book Antiqua" w:hAnsi="Book Antiqua" w:cs="Times New Roman"/>
          <w:sz w:val="24"/>
          <w:szCs w:val="24"/>
          <w:lang w:val="en-US"/>
        </w:rPr>
        <w:t>[</w:t>
      </w:r>
      <w:r w:rsidR="00F31D64" w:rsidRPr="002575A7">
        <w:rPr>
          <w:rFonts w:ascii="Book Antiqua" w:hAnsi="Book Antiqua" w:cs="Times New Roman"/>
          <w:sz w:val="24"/>
          <w:szCs w:val="24"/>
          <w:lang w:val="en-US"/>
        </w:rPr>
        <w:t xml:space="preserve">5-fluorouracil </w:t>
      </w:r>
      <w:r w:rsidR="009D1BBF">
        <w:rPr>
          <w:rFonts w:ascii="Book Antiqua" w:hAnsi="Book Antiqua" w:cs="Times New Roman"/>
          <w:sz w:val="24"/>
          <w:szCs w:val="24"/>
          <w:lang w:val="en-US"/>
        </w:rPr>
        <w:t>(</w:t>
      </w:r>
      <w:r w:rsidR="00F31D64" w:rsidRPr="002575A7">
        <w:rPr>
          <w:rFonts w:ascii="Book Antiqua" w:hAnsi="Book Antiqua" w:cs="Times New Roman"/>
          <w:sz w:val="24"/>
          <w:szCs w:val="24"/>
          <w:lang w:val="en-US"/>
        </w:rPr>
        <w:t>5-FU</w:t>
      </w:r>
      <w:r w:rsidR="009D1BBF">
        <w:rPr>
          <w:rFonts w:ascii="Book Antiqua" w:hAnsi="Book Antiqua" w:cs="Times New Roman"/>
          <w:sz w:val="24"/>
          <w:szCs w:val="24"/>
          <w:lang w:val="en-US"/>
        </w:rPr>
        <w:t>)</w:t>
      </w:r>
      <w:r w:rsidR="00F31D64" w:rsidRPr="002575A7">
        <w:rPr>
          <w:rFonts w:ascii="Book Antiqua" w:hAnsi="Book Antiqua" w:cs="Times New Roman"/>
          <w:sz w:val="24"/>
          <w:szCs w:val="24"/>
          <w:lang w:val="en-US"/>
        </w:rPr>
        <w:t>, irinotecan, and oxaliplatin</w:t>
      </w:r>
      <w:r w:rsidR="009D1BBF">
        <w:rPr>
          <w:rFonts w:ascii="Book Antiqua" w:hAnsi="Book Antiqua" w:cs="Times New Roman"/>
          <w:sz w:val="24"/>
          <w:szCs w:val="24"/>
          <w:lang w:val="en-US"/>
        </w:rPr>
        <w:t>]</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{"citationID":"c0PfTpkz","properties":{"formattedCitation":"\\super 4\\nosupersub{}","plainCitation":"4","noteIndex":0},"citationItems":[{"id":1616,"uris":["http://zotero.org/users/2205527/items/GNRL3UW7"],"uri":["http://zotero.org/users/2205527/items/GNRL3UW7"],"itemData":{"id":1616,"type":"article-journal","title":"FOLFIRINOX or Gemcitabine as Adjuvant Therapy for Pancreatic Cancer","container-title":"The New England Journal of Medicine","page":"2395-2406","volume":"379","issue":"25","source":"PubMed","abstract":"BACKGROUND: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modified-FOLFIRINOX group and 21.4% in the gemcitabine group. The median overall survival was 54.4 months in the modified-FOLFIRINOX group and 35.0 months in the gemcitabine group (stratified hazard ratio for death, 0.64; 95% CI, 0.48 to 0.86; P=0.003).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 EudraCT number, 2011-002026-52 .).","DOI":"10.1056/NEJMoa1809775","ISSN":"1533-4406","note":"PMID: 30575490","journalAbbreviation":"N. Engl. J. Med.","language":"eng","author":[{"family":"Conroy","given":"Thierry"},{"family":"Hammel","given":"Pascal"},{"family":"Hebbar","given":"Mohamed"},{"family":"Ben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J."},{"family":"Jouffroy-Zeller","given":"Claire"},{"family":"Rat","given":"Patrick"},{"family":"Malka","given":"David"},{"family":"Castan","given":"Florence"},{"family":"Bachet","given":"Jean-Baptiste"},{"literal":"Canadian Cancer Trials Group and the Unicancer-GI–PRODIGE Group"}],"issued":{"date-parts":[["2018"]],"season":"20"}}}],"schema":"https://github.com/citation-style-language/schema/raw/master/csl-citation.json"}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4</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B87937" w:rsidRPr="002575A7">
        <w:rPr>
          <w:rFonts w:ascii="Book Antiqua" w:hAnsi="Book Antiqua" w:cs="Times New Roman"/>
          <w:sz w:val="24"/>
          <w:szCs w:val="24"/>
          <w:lang w:val="en-US"/>
        </w:rPr>
        <w:t xml:space="preserve"> </w:t>
      </w:r>
      <w:r w:rsidR="00530A4E">
        <w:rPr>
          <w:rFonts w:ascii="Book Antiqua" w:hAnsi="Book Antiqua" w:cs="Times New Roman"/>
          <w:sz w:val="24"/>
          <w:szCs w:val="24"/>
          <w:lang w:val="en-US"/>
        </w:rPr>
        <w:t>Fu</w:t>
      </w:r>
      <w:r w:rsidR="0027748E">
        <w:rPr>
          <w:rFonts w:ascii="Book Antiqua" w:hAnsi="Book Antiqua" w:cs="Times New Roman"/>
          <w:sz w:val="24"/>
          <w:szCs w:val="24"/>
          <w:lang w:val="en-US"/>
        </w:rPr>
        <w:t>r</w:t>
      </w:r>
      <w:r w:rsidR="00530A4E">
        <w:rPr>
          <w:rFonts w:ascii="Book Antiqua" w:hAnsi="Book Antiqua" w:cs="Times New Roman"/>
          <w:sz w:val="24"/>
          <w:szCs w:val="24"/>
          <w:lang w:val="en-US"/>
        </w:rPr>
        <w:t>thermore</w:t>
      </w:r>
      <w:r w:rsidR="00607A6E" w:rsidRPr="002575A7">
        <w:rPr>
          <w:rFonts w:ascii="Book Antiqua" w:hAnsi="Book Antiqua" w:cs="Times New Roman"/>
          <w:sz w:val="24"/>
          <w:szCs w:val="24"/>
          <w:lang w:val="en-US"/>
        </w:rPr>
        <w:t xml:space="preserve">, </w:t>
      </w:r>
      <w:r w:rsidR="00811BF0" w:rsidRPr="002575A7">
        <w:rPr>
          <w:rFonts w:ascii="Book Antiqua" w:hAnsi="Book Antiqua" w:cs="Times New Roman"/>
          <w:sz w:val="24"/>
          <w:szCs w:val="24"/>
          <w:lang w:val="en-US"/>
        </w:rPr>
        <w:t>more than 80%</w:t>
      </w:r>
      <w:r w:rsidR="00607A6E" w:rsidRPr="002575A7">
        <w:rPr>
          <w:rFonts w:ascii="Book Antiqua" w:hAnsi="Book Antiqua" w:cs="Times New Roman"/>
          <w:sz w:val="24"/>
          <w:szCs w:val="24"/>
          <w:lang w:val="en-US"/>
        </w:rPr>
        <w:t xml:space="preserve"> of cases are diagnosed at an advanced, unresectable stage, </w:t>
      </w:r>
      <w:r w:rsidR="00811BF0" w:rsidRPr="002575A7">
        <w:rPr>
          <w:rFonts w:ascii="Book Antiqua" w:hAnsi="Book Antiqua" w:cs="Times New Roman"/>
          <w:sz w:val="24"/>
          <w:szCs w:val="24"/>
          <w:lang w:val="en-US"/>
        </w:rPr>
        <w:t>with almost 50% of</w:t>
      </w:r>
      <w:r w:rsidR="00607A6E" w:rsidRPr="002575A7">
        <w:rPr>
          <w:rFonts w:ascii="Book Antiqua" w:hAnsi="Book Antiqua" w:cs="Times New Roman"/>
          <w:sz w:val="24"/>
          <w:szCs w:val="24"/>
          <w:lang w:val="en-US"/>
        </w:rPr>
        <w:t xml:space="preserve"> patients </w:t>
      </w:r>
      <w:r w:rsidR="00811BF0" w:rsidRPr="002575A7">
        <w:rPr>
          <w:rFonts w:ascii="Book Antiqua" w:hAnsi="Book Antiqua" w:cs="Times New Roman"/>
          <w:sz w:val="24"/>
          <w:szCs w:val="24"/>
          <w:lang w:val="en-US"/>
        </w:rPr>
        <w:t xml:space="preserve">presenting </w:t>
      </w:r>
      <w:r w:rsidR="004308EE">
        <w:rPr>
          <w:rFonts w:ascii="Book Antiqua" w:hAnsi="Book Antiqua" w:cs="Times New Roman"/>
          <w:sz w:val="24"/>
          <w:szCs w:val="24"/>
          <w:lang w:val="en-US"/>
        </w:rPr>
        <w:t>with</w:t>
      </w:r>
      <w:r w:rsidR="00811BF0" w:rsidRPr="002575A7">
        <w:rPr>
          <w:rFonts w:ascii="Book Antiqua" w:hAnsi="Book Antiqua" w:cs="Times New Roman"/>
          <w:sz w:val="24"/>
          <w:szCs w:val="24"/>
          <w:lang w:val="en-US"/>
        </w:rPr>
        <w:t xml:space="preserve"> metastatic disease</w:t>
      </w:r>
      <w:r w:rsidR="00607A6E" w:rsidRPr="002575A7">
        <w:rPr>
          <w:rFonts w:ascii="Book Antiqua" w:hAnsi="Book Antiqua" w:cs="Times New Roman"/>
          <w:sz w:val="24"/>
          <w:szCs w:val="24"/>
          <w:lang w:val="en-US"/>
        </w:rPr>
        <w:t xml:space="preserve"> </w:t>
      </w:r>
      <w:r w:rsidR="00530A4E">
        <w:rPr>
          <w:rFonts w:ascii="Book Antiqua" w:hAnsi="Book Antiqua" w:cs="Times New Roman"/>
          <w:sz w:val="24"/>
          <w:szCs w:val="24"/>
          <w:lang w:val="en-US"/>
        </w:rPr>
        <w:t>and almost 30% with</w:t>
      </w:r>
      <w:r w:rsidR="00530A4E" w:rsidRPr="002575A7">
        <w:rPr>
          <w:rFonts w:ascii="Book Antiqua" w:hAnsi="Book Antiqua" w:cs="Times New Roman"/>
          <w:sz w:val="24"/>
          <w:szCs w:val="24"/>
          <w:lang w:val="en-US"/>
        </w:rPr>
        <w:t xml:space="preserve"> </w:t>
      </w:r>
      <w:r w:rsidR="00607A6E" w:rsidRPr="002575A7">
        <w:rPr>
          <w:rFonts w:ascii="Book Antiqua" w:hAnsi="Book Antiqua" w:cs="Times New Roman"/>
          <w:sz w:val="24"/>
          <w:szCs w:val="24"/>
          <w:lang w:val="en-US"/>
        </w:rPr>
        <w:t>loco</w:t>
      </w:r>
      <w:r w:rsidR="00B87937" w:rsidRPr="002575A7">
        <w:rPr>
          <w:rFonts w:ascii="Book Antiqua" w:hAnsi="Book Antiqua" w:cs="Times New Roman"/>
          <w:sz w:val="24"/>
          <w:szCs w:val="24"/>
          <w:lang w:val="en-US"/>
        </w:rPr>
        <w:t>regional extension</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{"citationID":"Ot944aJz","properties":{"formattedCitation":"\\super 1\\nosupersub{}","plainCitation":"1","noteIndex":0},"citationItems":[{"id":1628,"uris":["http://zotero.org/users/2205527/items/5VWH7BWS"],"uri":["http://zotero.org/users/2205527/items/5VWH7BWS"],"itemData":{"id":1628,"type":"article-journal","title":"Cancer statistics, 2019","container-title":"CA: a cancer journal for clinicians","page":"7-34","volume":"69","issue":"1","source":"PubMed","abstract":"Each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cancer.","DOI":"10.3322/caac.21551","ISSN":"1542-4863","note":"PMID: 30620402","journalAbbreviation":"CA Cancer J Clin","language":"eng","author":[{"family":"Siegel","given":"Rebecca L."},{"family":"Miller","given":"Kimberly D."},{"family":"Jemal","given":"Ahmedin"}],"issued":{"date-parts":[["2019",1]]}}}],"schema":"https://github.com/citation-style-language/schema/raw/master/csl-citation.json"}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 xml:space="preserve">. </w:t>
      </w:r>
      <w:r w:rsidR="004308EE">
        <w:rPr>
          <w:rFonts w:ascii="Book Antiqua" w:hAnsi="Book Antiqua" w:cs="Times New Roman"/>
          <w:sz w:val="24"/>
          <w:szCs w:val="24"/>
          <w:lang w:val="en-US"/>
        </w:rPr>
        <w:t>In addition</w:t>
      </w:r>
      <w:r w:rsidR="003A4F94" w:rsidRPr="002575A7">
        <w:rPr>
          <w:rFonts w:ascii="Book Antiqua" w:hAnsi="Book Antiqua" w:cs="Times New Roman"/>
          <w:sz w:val="24"/>
          <w:szCs w:val="24"/>
          <w:lang w:val="en-US"/>
        </w:rPr>
        <w:t xml:space="preserve">, </w:t>
      </w:r>
      <w:r w:rsidR="00530A4E">
        <w:rPr>
          <w:rFonts w:ascii="Book Antiqua" w:hAnsi="Book Antiqua" w:cs="Times New Roman"/>
          <w:sz w:val="24"/>
          <w:szCs w:val="24"/>
          <w:lang w:val="en-US"/>
        </w:rPr>
        <w:t xml:space="preserve">it has been shown that </w:t>
      </w:r>
      <w:r w:rsidR="00607A6E" w:rsidRPr="002575A7">
        <w:rPr>
          <w:rFonts w:ascii="Book Antiqua" w:hAnsi="Book Antiqua" w:cs="Times New Roman"/>
          <w:sz w:val="24"/>
          <w:szCs w:val="24"/>
          <w:lang w:val="en-US"/>
        </w:rPr>
        <w:t>most patients</w:t>
      </w:r>
      <w:r w:rsidR="003A4F94" w:rsidRPr="002575A7">
        <w:rPr>
          <w:rFonts w:ascii="Book Antiqua" w:hAnsi="Book Antiqua" w:cs="Times New Roman"/>
          <w:sz w:val="24"/>
          <w:szCs w:val="24"/>
          <w:lang w:val="en-US"/>
        </w:rPr>
        <w:t xml:space="preserve"> who </w:t>
      </w:r>
      <w:r w:rsidR="006B7DBC" w:rsidRPr="002575A7">
        <w:rPr>
          <w:rFonts w:ascii="Book Antiqua" w:hAnsi="Book Antiqua" w:cs="Times New Roman"/>
          <w:sz w:val="24"/>
          <w:szCs w:val="24"/>
          <w:lang w:val="en-US"/>
        </w:rPr>
        <w:t>under</w:t>
      </w:r>
      <w:r w:rsidR="00530A4E">
        <w:rPr>
          <w:rFonts w:ascii="Book Antiqua" w:hAnsi="Book Antiqua" w:cs="Times New Roman"/>
          <w:sz w:val="24"/>
          <w:szCs w:val="24"/>
          <w:lang w:val="en-US"/>
        </w:rPr>
        <w:t>go</w:t>
      </w:r>
      <w:r w:rsidR="006B7DBC" w:rsidRPr="002575A7">
        <w:rPr>
          <w:rFonts w:ascii="Book Antiqua" w:hAnsi="Book Antiqua" w:cs="Times New Roman"/>
          <w:sz w:val="24"/>
          <w:szCs w:val="24"/>
          <w:lang w:val="en-US"/>
        </w:rPr>
        <w:t xml:space="preserve"> surgery</w:t>
      </w:r>
      <w:r w:rsidR="003A4F94" w:rsidRPr="002575A7">
        <w:rPr>
          <w:rFonts w:ascii="Book Antiqua" w:hAnsi="Book Antiqua" w:cs="Times New Roman"/>
          <w:sz w:val="24"/>
          <w:szCs w:val="24"/>
          <w:lang w:val="en-US"/>
        </w:rPr>
        <w:t xml:space="preserve"> develop </w:t>
      </w:r>
      <w:r w:rsidR="006B7DBC" w:rsidRPr="002575A7">
        <w:rPr>
          <w:rFonts w:ascii="Book Antiqua" w:hAnsi="Book Antiqua" w:cs="Times New Roman"/>
          <w:sz w:val="24"/>
          <w:szCs w:val="24"/>
          <w:lang w:val="en-US"/>
        </w:rPr>
        <w:t xml:space="preserve">further </w:t>
      </w:r>
      <w:r w:rsidR="003A4F94" w:rsidRPr="002575A7">
        <w:rPr>
          <w:rFonts w:ascii="Book Antiqua" w:hAnsi="Book Antiqua" w:cs="Times New Roman"/>
          <w:sz w:val="24"/>
          <w:szCs w:val="24"/>
          <w:lang w:val="en-US"/>
        </w:rPr>
        <w:t xml:space="preserve">tumor </w:t>
      </w:r>
      <w:r w:rsidR="00607A6E" w:rsidRPr="002575A7">
        <w:rPr>
          <w:rFonts w:ascii="Book Antiqua" w:hAnsi="Book Antiqua" w:cs="Times New Roman"/>
          <w:sz w:val="24"/>
          <w:szCs w:val="24"/>
          <w:lang w:val="en-US"/>
        </w:rPr>
        <w:t>recurrence</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{"citationID":"j7c1JgyW","properties":{"formattedCitation":"\\super 4\\nosupersub{}","plainCitation":"4","noteIndex":0},"citationItems":[{"id":1616,"uris":["http://zotero.org/users/2205527/items/GNRL3UW7"],"uri":["http://zotero.org/users/2205527/items/GNRL3UW7"],"itemData":{"id":1616,"type":"article-journal","title":"FOLFIRINOX or Gemcitabine as Adjuvant Therapy for Pancreatic Cancer","container-title":"The New England Journal of Medicine","page":"2395-2406","volume":"379","issue":"25","source":"PubMed","abstract":"BACKGROUND: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modified-FOLFIRINOX group and 21.4% in the gemcitabine group. The median overall survival was 54.4 months in the modified-FOLFIRINOX group and 35.0 months in the gemcitabine group (stratified hazard ratio for death, 0.64; 95% CI, 0.48 to 0.86; P=0.003).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 EudraCT number, 2011-002026-52 .).","DOI":"10.1056/NEJMoa1809775","ISSN":"1533-4406","note":"PMID: 30575490","journalAbbreviation":"N. Engl. J. Med.","language":"eng","author":[{"family":"Conroy","given":"Thierry"},{"family":"Hammel","given":"Pascal"},{"family":"Hebbar","given":"Mohamed"},{"family":"Ben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J."},{"family":"Jouffroy-Zeller","given":"Claire"},{"family":"Rat","given":"Patrick"},{"family":"Malka","given":"David"},{"family":"Castan","given":"Florence"},{"family":"Bachet","given":"Jean-Baptiste"},{"literal":"Canadian Cancer Trials Group and the Unicancer-GI–PRODIGE Group"}],"issued":{"date-parts":[["2018"]],"season":"20"}}}],"schema":"https://github.com/citation-style-language/schema/raw/master/csl-citation.json"}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4</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p>
    <w:p w14:paraId="016FBA49" w14:textId="2621EBC0" w:rsidR="004A4743" w:rsidRPr="002575A7" w:rsidRDefault="003A4F94" w:rsidP="009D1BBF">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Advanced or recurrent </w:t>
      </w:r>
      <w:r w:rsidR="004A4743" w:rsidRPr="002575A7">
        <w:rPr>
          <w:rFonts w:ascii="Book Antiqua" w:hAnsi="Book Antiqua" w:cs="Times New Roman"/>
          <w:sz w:val="24"/>
          <w:szCs w:val="24"/>
          <w:lang w:val="en-US"/>
        </w:rPr>
        <w:t xml:space="preserve">PDAC </w:t>
      </w:r>
      <w:r w:rsidRPr="002575A7">
        <w:rPr>
          <w:rFonts w:ascii="Book Antiqua" w:hAnsi="Book Antiqua" w:cs="Times New Roman"/>
          <w:sz w:val="24"/>
          <w:szCs w:val="24"/>
          <w:lang w:val="en-US"/>
        </w:rPr>
        <w:t xml:space="preserve">remains a challenging, non-curable disease, for which therapeutic options are </w:t>
      </w:r>
      <w:r w:rsidR="00676CAC" w:rsidRPr="002575A7">
        <w:rPr>
          <w:rFonts w:ascii="Book Antiqua" w:hAnsi="Book Antiqua" w:cs="Times New Roman"/>
          <w:sz w:val="24"/>
          <w:szCs w:val="24"/>
          <w:lang w:val="en-US"/>
        </w:rPr>
        <w:t xml:space="preserve">still </w:t>
      </w:r>
      <w:r w:rsidRPr="002575A7">
        <w:rPr>
          <w:rFonts w:ascii="Book Antiqua" w:hAnsi="Book Antiqua" w:cs="Times New Roman"/>
          <w:sz w:val="24"/>
          <w:szCs w:val="24"/>
          <w:lang w:val="en-US"/>
        </w:rPr>
        <w:t xml:space="preserve">limited and mainly rely on supportive care and systemic chemotherapy to improve patient OS and </w:t>
      </w:r>
      <w:r w:rsidR="00D25F2B" w:rsidRPr="002575A7">
        <w:rPr>
          <w:rFonts w:ascii="Book Antiqua" w:hAnsi="Book Antiqua" w:cs="Times New Roman"/>
          <w:sz w:val="24"/>
          <w:szCs w:val="24"/>
          <w:lang w:val="en-US"/>
        </w:rPr>
        <w:t xml:space="preserve">health-related quality of life </w:t>
      </w:r>
      <w:r w:rsidR="007D6DFE" w:rsidRPr="002575A7">
        <w:rPr>
          <w:rFonts w:ascii="Book Antiqua" w:hAnsi="Book Antiqua" w:cs="Times New Roman"/>
          <w:sz w:val="24"/>
          <w:szCs w:val="24"/>
          <w:lang w:val="en-US"/>
        </w:rPr>
        <w:t>(</w:t>
      </w:r>
      <w:r w:rsidR="00D25F2B" w:rsidRPr="002575A7">
        <w:rPr>
          <w:rFonts w:ascii="Book Antiqua" w:hAnsi="Book Antiqua" w:cs="Times New Roman"/>
          <w:sz w:val="24"/>
          <w:szCs w:val="24"/>
          <w:lang w:val="en-US"/>
        </w:rPr>
        <w:t>HR</w:t>
      </w:r>
      <w:r w:rsidR="007D6DFE" w:rsidRPr="002575A7">
        <w:rPr>
          <w:rFonts w:ascii="Book Antiqua" w:hAnsi="Book Antiqua" w:cs="Times New Roman"/>
          <w:sz w:val="24"/>
          <w:szCs w:val="24"/>
          <w:lang w:val="en-US"/>
        </w:rPr>
        <w:t>QoL)</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{"citationID":"vWa8FZEP","properties":{"formattedCitation":"\\super 5\\nosupersub{}","plainCitation":"5","noteIndex":0},"citationItems":[{"id":524,"uris":["http://zotero.org/users/2205527/items/FUWTQV9D"],"uri":["http://zotero.org/users/2205527/items/FUWTQV9D"],"itemData":{"id":524,"type":"article-journal","title":"Cancer of the pancreas: ESMO Clinical Practice Guidelines for diagnosis, treatment and follow-up","container-title":"Annals of Oncology","page":"v56-v68","volume":"26","issue":"suppl 5","source":"CrossRef","DOI":"10.1093/annonc/mdv295","ISSN":"0923-7534, 1569-8041","title-short":"Cancer of the pancreas","language":"en","author":[{"family":"Ducreux","given":"M."},{"family":"Cuhna","given":"A. Sa."},{"family":"Caramella","given":"C."},{"family":"Hollebecque","given":"A."},{"family":"Burtin","given":"P."},{"family":"Goéré","given":"D."},{"family":"Seufferlein","given":"T."},{"family":"Haustermans","given":"K."},{"family":"Van Laethem","given":"J. L."},{"family":"Conroy","given":"T."},{"family":"Arnold","given":"D."}],"issued":{"date-parts":[["2015",9]]}}}],"schema":"https://github.com/citation-style-language/schema/raw/master/csl-citation.json"}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5</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676CAC" w:rsidRPr="002575A7">
        <w:rPr>
          <w:rFonts w:ascii="Book Antiqua" w:hAnsi="Book Antiqua" w:cs="Times New Roman"/>
          <w:sz w:val="24"/>
          <w:szCs w:val="24"/>
          <w:lang w:val="en-US"/>
        </w:rPr>
        <w:t xml:space="preserve">Up to 2010, </w:t>
      </w:r>
      <w:r w:rsidR="0027748E">
        <w:rPr>
          <w:rFonts w:ascii="Book Antiqua" w:hAnsi="Book Antiqua" w:cs="Times New Roman"/>
          <w:sz w:val="24"/>
          <w:szCs w:val="24"/>
          <w:lang w:val="en-US"/>
        </w:rPr>
        <w:t>g</w:t>
      </w:r>
      <w:r w:rsidR="0027748E" w:rsidRPr="002575A7">
        <w:rPr>
          <w:rFonts w:ascii="Book Antiqua" w:hAnsi="Book Antiqua" w:cs="Times New Roman"/>
          <w:sz w:val="24"/>
          <w:szCs w:val="24"/>
          <w:lang w:val="en-US"/>
        </w:rPr>
        <w:t xml:space="preserve">emcitabine </w:t>
      </w:r>
      <w:r w:rsidR="004308EE">
        <w:rPr>
          <w:rFonts w:ascii="Book Antiqua" w:hAnsi="Book Antiqua" w:cs="Times New Roman"/>
          <w:sz w:val="24"/>
          <w:szCs w:val="24"/>
          <w:lang w:val="en-US"/>
        </w:rPr>
        <w:t>wa</w:t>
      </w:r>
      <w:r w:rsidR="004308EE" w:rsidRPr="002575A7">
        <w:rPr>
          <w:rFonts w:ascii="Book Antiqua" w:hAnsi="Book Antiqua" w:cs="Times New Roman"/>
          <w:sz w:val="24"/>
          <w:szCs w:val="24"/>
          <w:lang w:val="en-US"/>
        </w:rPr>
        <w:t xml:space="preserve">s </w:t>
      </w:r>
      <w:r w:rsidR="007A343B" w:rsidRPr="002575A7">
        <w:rPr>
          <w:rFonts w:ascii="Book Antiqua" w:hAnsi="Book Antiqua" w:cs="Times New Roman"/>
          <w:sz w:val="24"/>
          <w:szCs w:val="24"/>
          <w:lang w:val="en-US"/>
        </w:rPr>
        <w:t xml:space="preserve">the only standard of care </w:t>
      </w:r>
      <w:r w:rsidR="004A4743" w:rsidRPr="002575A7">
        <w:rPr>
          <w:rFonts w:ascii="Book Antiqua" w:hAnsi="Book Antiqua" w:cs="Times New Roman"/>
          <w:sz w:val="24"/>
          <w:szCs w:val="24"/>
          <w:lang w:val="en-US"/>
        </w:rPr>
        <w:t xml:space="preserve">as first-line chemotherapy (L1) </w:t>
      </w:r>
      <w:r w:rsidR="004A4743" w:rsidRPr="002575A7">
        <w:rPr>
          <w:rFonts w:ascii="Book Antiqua" w:hAnsi="Book Antiqua" w:cs="Times New Roman"/>
          <w:color w:val="2A2A2A"/>
          <w:sz w:val="24"/>
          <w:szCs w:val="24"/>
          <w:shd w:val="clear" w:color="auto" w:fill="FFFFFF"/>
          <w:lang w:val="en-US"/>
        </w:rPr>
        <w:t>in patients with metastatic PDAC</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{"citationID":"wuZ6tVVA","properties":{"formattedCitation":"\\super 6\\nosupersub{}","plainCitation":"6","noteIndex":0},"citationItems":[{"id":769,"uris":["http://zotero.org/users/2205527/items/GNM7ZKZK"],"uri":["http://zotero.org/users/2205527/items/GNM7ZKZK"],"itemData":{"id":769,"type":"article-journal","title":"Improvements in survival and clinical benefit with gemcitabine as first-line therapy for patients with advanced pancreas cancer: a randomized trial","container-title":"Journal of Clinical Oncology: Official Journal of the American Society of Clinical Oncology","page":"2403-2413","volume":"15","issue":"6","source":"PubMed","abstract":"PURPOSE: 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cancer.\nPATIENTS AND METHODS: 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survival.\nRESULTS: 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tolerated.\nCONCLUSION: This study demonstrates that gemcitabine is more effective than 5-FU in alleviation of some disease-related symptoms in patients with advanced, symptomatic pancreas cancer. Gemcitabine also confers a modest survival advantage over treatment with 5-FU.","ISSN":"0732-183X","note":"PMID: 9196156","title-short":"Improvements in survival and clinical benefit with gemcitabine as first-line therapy for patients with advanced pancreas cancer","journalAbbreviation":"J. Clin. Oncol.","language":"eng","author":[{"family":"Burris","given":"H. A."},{"family":"Moore","given":"M.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6</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0D6325" w:rsidRPr="002575A7">
        <w:rPr>
          <w:rFonts w:ascii="Book Antiqua" w:hAnsi="Book Antiqua" w:cs="Times New Roman"/>
          <w:sz w:val="24"/>
          <w:szCs w:val="24"/>
          <w:lang w:val="en-US"/>
        </w:rPr>
        <w:t xml:space="preserve"> </w:t>
      </w:r>
      <w:r w:rsidR="0027748E">
        <w:rPr>
          <w:rFonts w:ascii="Book Antiqua" w:hAnsi="Book Antiqua" w:cs="Times New Roman"/>
          <w:sz w:val="24"/>
          <w:szCs w:val="24"/>
          <w:lang w:val="en-US"/>
        </w:rPr>
        <w:t>Over</w:t>
      </w:r>
      <w:r w:rsidR="00676CAC" w:rsidRPr="002575A7">
        <w:rPr>
          <w:rFonts w:ascii="Book Antiqua" w:hAnsi="Book Antiqua" w:cs="Times New Roman"/>
          <w:sz w:val="24"/>
          <w:szCs w:val="24"/>
          <w:lang w:val="en-US"/>
        </w:rPr>
        <w:t xml:space="preserve"> the last decade, incremental </w:t>
      </w:r>
      <w:r w:rsidR="000D6325" w:rsidRPr="002575A7">
        <w:rPr>
          <w:rFonts w:ascii="Book Antiqua" w:hAnsi="Book Antiqua" w:cs="Times New Roman"/>
          <w:sz w:val="24"/>
          <w:szCs w:val="24"/>
          <w:lang w:val="en-US"/>
        </w:rPr>
        <w:t>progress has been achieved in the landscape of advanced PDAC</w:t>
      </w:r>
      <w:r w:rsidR="009D1BBF">
        <w:rPr>
          <w:rFonts w:ascii="Book Antiqua" w:hAnsi="Book Antiqua" w:cs="Times New Roman"/>
          <w:sz w:val="24"/>
          <w:szCs w:val="24"/>
          <w:lang w:val="en-US"/>
        </w:rPr>
        <w:t xml:space="preserve"> </w:t>
      </w:r>
      <w:r w:rsidR="009D1BBF" w:rsidRPr="002575A7">
        <w:rPr>
          <w:rFonts w:ascii="Book Antiqua" w:hAnsi="Book Antiqua" w:cs="Times New Roman"/>
          <w:sz w:val="24"/>
          <w:szCs w:val="24"/>
          <w:lang w:val="en-US"/>
        </w:rPr>
        <w:t>(aPDAC)</w:t>
      </w:r>
      <w:r w:rsidR="000D6325" w:rsidRPr="002575A7">
        <w:rPr>
          <w:rFonts w:ascii="Book Antiqua" w:hAnsi="Book Antiqua" w:cs="Times New Roman"/>
          <w:sz w:val="24"/>
          <w:szCs w:val="24"/>
          <w:lang w:val="en-US"/>
        </w:rPr>
        <w:t xml:space="preserve"> management with the approval of two active cytotoxic combinations</w:t>
      </w:r>
      <w:r w:rsidR="0027748E">
        <w:rPr>
          <w:rFonts w:ascii="Book Antiqua" w:hAnsi="Book Antiqua" w:cs="Times New Roman"/>
          <w:sz w:val="24"/>
          <w:szCs w:val="24"/>
          <w:lang w:val="en-US"/>
        </w:rPr>
        <w:t>, namely</w:t>
      </w:r>
      <w:r w:rsidR="000D6325" w:rsidRPr="002575A7">
        <w:rPr>
          <w:rFonts w:ascii="Book Antiqua" w:hAnsi="Book Antiqua" w:cs="Times New Roman"/>
          <w:sz w:val="24"/>
          <w:szCs w:val="24"/>
          <w:lang w:val="en-US"/>
        </w:rPr>
        <w:t xml:space="preserve"> FOLFIRINOX</w:t>
      </w:r>
      <w:r w:rsidR="0027748E">
        <w:rPr>
          <w:rFonts w:ascii="Book Antiqua" w:hAnsi="Book Antiqua" w:cs="Times New Roman"/>
          <w:sz w:val="24"/>
          <w:szCs w:val="24"/>
          <w:lang w:val="en-US"/>
        </w:rPr>
        <w:t>,</w:t>
      </w:r>
      <w:r w:rsidR="000D6325" w:rsidRPr="002575A7">
        <w:rPr>
          <w:rFonts w:ascii="Book Antiqua" w:hAnsi="Book Antiqua" w:cs="Times New Roman"/>
          <w:sz w:val="24"/>
          <w:szCs w:val="24"/>
          <w:lang w:val="en-US"/>
        </w:rPr>
        <w:t xml:space="preserve"> and gemcitabine plus </w:t>
      </w:r>
      <w:r w:rsidR="000D6325" w:rsidRPr="002575A7">
        <w:rPr>
          <w:rFonts w:ascii="Book Antiqua" w:hAnsi="Book Antiqua" w:cs="Times New Roman"/>
          <w:i/>
          <w:sz w:val="24"/>
          <w:szCs w:val="24"/>
          <w:lang w:val="en-US"/>
        </w:rPr>
        <w:t>nab</w:t>
      </w:r>
      <w:r w:rsidR="00CE5B66" w:rsidRPr="002575A7">
        <w:rPr>
          <w:rFonts w:ascii="Book Antiqua" w:hAnsi="Book Antiqua" w:cs="Times New Roman"/>
          <w:sz w:val="24"/>
          <w:szCs w:val="24"/>
          <w:lang w:val="en-US"/>
        </w:rPr>
        <w:t>-paclitax</w:t>
      </w:r>
      <w:r w:rsidR="003171FD" w:rsidRPr="002575A7">
        <w:rPr>
          <w:rFonts w:ascii="Book Antiqua" w:hAnsi="Book Antiqua" w:cs="Times New Roman"/>
          <w:sz w:val="24"/>
          <w:szCs w:val="24"/>
          <w:lang w:val="en-US"/>
        </w:rPr>
        <w:t>el regimens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{"citationID":"QlB6h7sQ","properties":{"formattedCitation":"\\super 7,8\\nosupersub{}","plainCitation":"7,8","noteIndex":0},"citationItems":[{"id":771,"uris":["http://zotero.org/users/2205527/items/KXPTCEBR"],"uri":["http://zotero.org/users/2205527/items/KXPTCEBR"],"itemData":{"id":771,"type":"article-journal","title":"FOLFIRINOX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label":"page"},{"id":770,"uris":["http://zotero.org/users/2205527/items/VC5HJ7JW"],"uri":["http://zotero.org/users/2205527/items/VC5HJ7JW"],"itemData":{"id":770,"type":"article-journal","title":"Increased Survival in Pancreatic Cancer with nab-Paclitaxel plus Gemcitabine","container-title":"New England Journal of Medicine","page":"1691-1703","volume":"369","issue":"18","source":"CrossRef","DOI":"10.1056/NEJMoa1304369","ISSN":"0028-4793, 1533-4406","language":"en","author":[{"family":"Von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7,8</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0D6325" w:rsidRPr="002575A7">
        <w:rPr>
          <w:rFonts w:ascii="Book Antiqua" w:hAnsi="Book Antiqua" w:cs="Times New Roman"/>
          <w:sz w:val="24"/>
          <w:szCs w:val="24"/>
          <w:lang w:val="en-US"/>
        </w:rPr>
        <w:t xml:space="preserve"> </w:t>
      </w:r>
      <w:r w:rsidR="007A343B" w:rsidRPr="002575A7">
        <w:rPr>
          <w:rFonts w:ascii="Book Antiqua" w:hAnsi="Book Antiqua" w:cs="Times New Roman"/>
          <w:sz w:val="24"/>
          <w:szCs w:val="24"/>
          <w:lang w:val="en-US"/>
        </w:rPr>
        <w:t xml:space="preserve">FOLFIRINOX </w:t>
      </w:r>
      <w:r w:rsidRPr="002575A7">
        <w:rPr>
          <w:rFonts w:ascii="Book Antiqua" w:hAnsi="Book Antiqua" w:cs="Times New Roman"/>
          <w:sz w:val="24"/>
          <w:szCs w:val="24"/>
          <w:lang w:val="en-US"/>
        </w:rPr>
        <w:t xml:space="preserve">polychemotherapy </w:t>
      </w:r>
      <w:r w:rsidR="007A343B" w:rsidRPr="002575A7">
        <w:rPr>
          <w:rFonts w:ascii="Book Antiqua" w:hAnsi="Book Antiqua" w:cs="Times New Roman"/>
          <w:sz w:val="24"/>
          <w:szCs w:val="24"/>
          <w:lang w:val="en-US"/>
        </w:rPr>
        <w:t>beca</w:t>
      </w:r>
      <w:r w:rsidR="00D52353" w:rsidRPr="002575A7">
        <w:rPr>
          <w:rFonts w:ascii="Book Antiqua" w:hAnsi="Book Antiqua" w:cs="Times New Roman"/>
          <w:sz w:val="24"/>
          <w:szCs w:val="24"/>
          <w:lang w:val="en-US"/>
        </w:rPr>
        <w:t>me a</w:t>
      </w:r>
      <w:r w:rsidR="007A343B" w:rsidRPr="002575A7">
        <w:rPr>
          <w:rFonts w:ascii="Book Antiqua" w:hAnsi="Book Antiqua" w:cs="Times New Roman"/>
          <w:sz w:val="24"/>
          <w:szCs w:val="24"/>
          <w:lang w:val="en-US"/>
        </w:rPr>
        <w:t xml:space="preserve"> reference regimen </w:t>
      </w:r>
      <w:r w:rsidR="004A4743" w:rsidRPr="002575A7">
        <w:rPr>
          <w:rFonts w:ascii="Book Antiqua" w:hAnsi="Book Antiqua" w:cs="Times New Roman"/>
          <w:sz w:val="24"/>
          <w:szCs w:val="24"/>
          <w:lang w:val="en-US"/>
        </w:rPr>
        <w:t>in this setting</w:t>
      </w:r>
      <w:r w:rsidR="007A343B" w:rsidRPr="002575A7">
        <w:rPr>
          <w:rFonts w:ascii="Book Antiqua" w:hAnsi="Book Antiqua" w:cs="Times New Roman"/>
          <w:sz w:val="24"/>
          <w:szCs w:val="24"/>
          <w:lang w:val="en-US"/>
        </w:rPr>
        <w:t xml:space="preserve">, </w:t>
      </w:r>
      <w:r w:rsidR="003C2DD4" w:rsidRPr="002575A7">
        <w:rPr>
          <w:rFonts w:ascii="Book Antiqua" w:hAnsi="Book Antiqua" w:cs="Times New Roman"/>
          <w:sz w:val="24"/>
          <w:szCs w:val="24"/>
          <w:lang w:val="en-US"/>
        </w:rPr>
        <w:t>based on</w:t>
      </w:r>
      <w:r w:rsidR="002D237D" w:rsidRPr="002575A7">
        <w:rPr>
          <w:rFonts w:ascii="Book Antiqua" w:hAnsi="Book Antiqua" w:cs="Times New Roman"/>
          <w:sz w:val="24"/>
          <w:szCs w:val="24"/>
          <w:lang w:val="en-US"/>
        </w:rPr>
        <w:t xml:space="preserve"> the </w:t>
      </w:r>
      <w:r w:rsidR="00676CAC" w:rsidRPr="002575A7">
        <w:rPr>
          <w:rFonts w:ascii="Book Antiqua" w:hAnsi="Book Antiqua" w:cs="Times New Roman"/>
          <w:sz w:val="24"/>
          <w:szCs w:val="24"/>
          <w:lang w:val="en-US"/>
        </w:rPr>
        <w:t xml:space="preserve">results of </w:t>
      </w:r>
      <w:r w:rsidR="004B2FAC">
        <w:rPr>
          <w:rFonts w:ascii="Book Antiqua" w:hAnsi="Book Antiqua" w:cs="Times New Roman"/>
          <w:sz w:val="24"/>
          <w:szCs w:val="24"/>
          <w:lang w:val="en-US"/>
        </w:rPr>
        <w:t xml:space="preserve">the </w:t>
      </w:r>
      <w:r w:rsidR="002D237D" w:rsidRPr="002575A7">
        <w:rPr>
          <w:rFonts w:ascii="Book Antiqua" w:hAnsi="Book Antiqua" w:cs="Times New Roman"/>
          <w:sz w:val="24"/>
          <w:szCs w:val="24"/>
          <w:lang w:val="en-US"/>
        </w:rPr>
        <w:t>PRODIGE 4/ACCORD 11 phase III trial</w:t>
      </w:r>
      <w:r w:rsidR="00530A4E" w:rsidRPr="002575A7">
        <w:rPr>
          <w:rFonts w:ascii="Book Antiqua" w:hAnsi="Book Antiqua" w:cs="Times New Roman"/>
          <w:sz w:val="24"/>
          <w:szCs w:val="24"/>
          <w:vertAlign w:val="superscript"/>
          <w:lang w:val="en-US"/>
        </w:rPr>
        <w:t>[</w:t>
      </w:r>
      <w:r w:rsidR="00530A4E" w:rsidRPr="002575A7">
        <w:rPr>
          <w:rFonts w:ascii="Book Antiqua" w:hAnsi="Book Antiqua" w:cs="Times New Roman"/>
          <w:sz w:val="24"/>
          <w:szCs w:val="24"/>
          <w:lang w:val="en-US"/>
        </w:rPr>
        <w:fldChar w:fldCharType="begin"/>
      </w:r>
      <w:r w:rsidR="00530A4E" w:rsidRPr="002575A7">
        <w:rPr>
          <w:rFonts w:ascii="Book Antiqua" w:hAnsi="Book Antiqua" w:cs="Times New Roman"/>
          <w:sz w:val="24"/>
          <w:szCs w:val="24"/>
          <w:lang w:val="en-US"/>
        </w:rPr>
        <w:instrText xml:space="preserve"> ADDIN ZOTERO_ITEM CSL_CITATION {"citationID":"IwIytjlV","properties":{"formattedCitation":"\\super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30A4E" w:rsidRPr="002575A7">
        <w:rPr>
          <w:rFonts w:ascii="Book Antiqua" w:hAnsi="Book Antiqua" w:cs="Times New Roman"/>
          <w:sz w:val="24"/>
          <w:szCs w:val="24"/>
          <w:lang w:val="en-US"/>
        </w:rPr>
        <w:fldChar w:fldCharType="separate"/>
      </w:r>
      <w:r w:rsidR="00530A4E" w:rsidRPr="00EB33CD">
        <w:rPr>
          <w:rFonts w:ascii="Book Antiqua" w:hAnsi="Book Antiqua" w:cs="Times New Roman"/>
          <w:sz w:val="24"/>
          <w:szCs w:val="24"/>
          <w:vertAlign w:val="superscript"/>
          <w:lang w:val="en-US"/>
        </w:rPr>
        <w:t>7</w:t>
      </w:r>
      <w:r w:rsidR="00530A4E" w:rsidRPr="002575A7">
        <w:rPr>
          <w:rFonts w:ascii="Book Antiqua" w:hAnsi="Book Antiqua" w:cs="Times New Roman"/>
          <w:sz w:val="24"/>
          <w:szCs w:val="24"/>
          <w:lang w:val="en-US"/>
        </w:rPr>
        <w:fldChar w:fldCharType="end"/>
      </w:r>
      <w:r w:rsidR="00530A4E" w:rsidRPr="002575A7">
        <w:rPr>
          <w:rFonts w:ascii="Book Antiqua" w:hAnsi="Book Antiqua" w:cs="Times New Roman"/>
          <w:sz w:val="24"/>
          <w:szCs w:val="24"/>
          <w:vertAlign w:val="superscript"/>
          <w:lang w:val="en-US"/>
        </w:rPr>
        <w:t>]</w:t>
      </w:r>
      <w:r w:rsidR="003C2DD4" w:rsidRPr="002575A7">
        <w:rPr>
          <w:rFonts w:ascii="Book Antiqua" w:hAnsi="Book Antiqua" w:cs="Times New Roman"/>
          <w:sz w:val="24"/>
          <w:szCs w:val="24"/>
          <w:lang w:val="en-US"/>
        </w:rPr>
        <w:t xml:space="preserve">. This study </w:t>
      </w:r>
      <w:r w:rsidR="0027748E">
        <w:rPr>
          <w:rFonts w:ascii="Book Antiqua" w:hAnsi="Book Antiqua" w:cs="Times New Roman"/>
          <w:sz w:val="24"/>
          <w:szCs w:val="24"/>
          <w:lang w:val="en-US"/>
        </w:rPr>
        <w:t>demonstrated</w:t>
      </w:r>
      <w:r w:rsidR="003C2DD4" w:rsidRPr="002575A7">
        <w:rPr>
          <w:rFonts w:ascii="Book Antiqua" w:hAnsi="Book Antiqua" w:cs="Times New Roman"/>
          <w:sz w:val="24"/>
          <w:szCs w:val="24"/>
          <w:lang w:val="en-US"/>
        </w:rPr>
        <w:t xml:space="preserve"> the superiority of FOLFIRINOX over gemcitabine monotherapy in terms of OS (median</w:t>
      </w:r>
      <w:r w:rsidR="003C2DD4" w:rsidRPr="002575A7">
        <w:rPr>
          <w:rFonts w:ascii="Book Antiqua" w:hAnsi="Book Antiqua" w:cs="Times New Roman"/>
          <w:color w:val="2A2A2A"/>
          <w:sz w:val="24"/>
          <w:szCs w:val="24"/>
          <w:shd w:val="clear" w:color="auto" w:fill="FFFFFF"/>
          <w:lang w:val="en-US"/>
        </w:rPr>
        <w:t xml:space="preserve">: </w:t>
      </w:r>
      <w:r w:rsidR="007A343B" w:rsidRPr="002575A7">
        <w:rPr>
          <w:rFonts w:ascii="Book Antiqua" w:hAnsi="Book Antiqua" w:cs="Times New Roman"/>
          <w:color w:val="2A2A2A"/>
          <w:sz w:val="24"/>
          <w:szCs w:val="24"/>
          <w:shd w:val="clear" w:color="auto" w:fill="FFFFFF"/>
          <w:lang w:val="en-US"/>
        </w:rPr>
        <w:t>11.1</w:t>
      </w:r>
      <w:r w:rsidR="00563FB0" w:rsidRPr="002575A7">
        <w:rPr>
          <w:rFonts w:ascii="Book Antiqua" w:hAnsi="Book Antiqua" w:cs="Times New Roman"/>
          <w:color w:val="2A2A2A"/>
          <w:sz w:val="24"/>
          <w:szCs w:val="24"/>
          <w:shd w:val="clear" w:color="auto" w:fill="FFFFFF"/>
          <w:lang w:val="en-US"/>
        </w:rPr>
        <w:t xml:space="preserve"> </w:t>
      </w:r>
      <w:r w:rsidR="009D1BBF" w:rsidRPr="00864BDB">
        <w:rPr>
          <w:rFonts w:ascii="Book Antiqua" w:hAnsi="Book Antiqua" w:cs="Times New Roman"/>
          <w:i/>
          <w:iCs/>
          <w:sz w:val="24"/>
          <w:szCs w:val="24"/>
          <w:lang w:val="en-US"/>
        </w:rPr>
        <w:t>vs</w:t>
      </w:r>
      <w:r w:rsidR="00563FB0" w:rsidRPr="002575A7">
        <w:rPr>
          <w:rFonts w:ascii="Book Antiqua" w:hAnsi="Book Antiqua" w:cs="Times New Roman"/>
          <w:color w:val="2A2A2A"/>
          <w:sz w:val="24"/>
          <w:szCs w:val="24"/>
          <w:shd w:val="clear" w:color="auto" w:fill="FFFFFF"/>
          <w:lang w:val="en-US"/>
        </w:rPr>
        <w:t xml:space="preserve"> 6.8 mo; </w:t>
      </w:r>
      <w:r w:rsidR="003C2DD4" w:rsidRPr="00916870">
        <w:rPr>
          <w:rFonts w:ascii="Book Antiqua" w:hAnsi="Book Antiqua" w:cs="Times New Roman"/>
          <w:i/>
          <w:iCs/>
          <w:color w:val="2A2A2A"/>
          <w:sz w:val="24"/>
          <w:szCs w:val="24"/>
          <w:shd w:val="clear" w:color="auto" w:fill="FFFFFF"/>
          <w:lang w:val="en-US"/>
        </w:rPr>
        <w:t>P</w:t>
      </w:r>
      <w:r w:rsidR="00916870">
        <w:rPr>
          <w:rFonts w:ascii="Book Antiqua" w:hAnsi="Book Antiqua" w:cs="Times New Roman"/>
          <w:color w:val="2A2A2A"/>
          <w:sz w:val="24"/>
          <w:szCs w:val="24"/>
          <w:shd w:val="clear" w:color="auto" w:fill="FFFFFF"/>
          <w:lang w:val="en-US"/>
        </w:rPr>
        <w:t xml:space="preserve"> </w:t>
      </w:r>
      <w:r w:rsidR="003C2DD4" w:rsidRPr="002575A7">
        <w:rPr>
          <w:rFonts w:ascii="Book Antiqua" w:hAnsi="Book Antiqua" w:cs="Times New Roman"/>
          <w:color w:val="2A2A2A"/>
          <w:sz w:val="24"/>
          <w:szCs w:val="24"/>
          <w:shd w:val="clear" w:color="auto" w:fill="FFFFFF"/>
          <w:lang w:val="en-US"/>
        </w:rPr>
        <w:t>&lt;</w:t>
      </w:r>
      <w:r w:rsidR="00916870">
        <w:rPr>
          <w:rFonts w:ascii="Book Antiqua" w:hAnsi="Book Antiqua" w:cs="Times New Roman"/>
          <w:color w:val="2A2A2A"/>
          <w:sz w:val="24"/>
          <w:szCs w:val="24"/>
          <w:shd w:val="clear" w:color="auto" w:fill="FFFFFF"/>
          <w:lang w:val="en-US"/>
        </w:rPr>
        <w:t xml:space="preserve"> </w:t>
      </w:r>
      <w:r w:rsidR="003C2DD4" w:rsidRPr="002575A7">
        <w:rPr>
          <w:rFonts w:ascii="Book Antiqua" w:hAnsi="Book Antiqua" w:cs="Times New Roman"/>
          <w:color w:val="2A2A2A"/>
          <w:sz w:val="24"/>
          <w:szCs w:val="24"/>
          <w:shd w:val="clear" w:color="auto" w:fill="FFFFFF"/>
          <w:lang w:val="en-US"/>
        </w:rPr>
        <w:t xml:space="preserve">0.001) </w:t>
      </w:r>
      <w:r w:rsidR="003C2DD4" w:rsidRPr="002575A7">
        <w:rPr>
          <w:rFonts w:ascii="Book Antiqua" w:hAnsi="Book Antiqua" w:cs="Times New Roman"/>
          <w:sz w:val="24"/>
          <w:szCs w:val="24"/>
          <w:lang w:val="en-US"/>
        </w:rPr>
        <w:t>and p</w:t>
      </w:r>
      <w:r w:rsidR="00AD4002" w:rsidRPr="002575A7">
        <w:rPr>
          <w:rFonts w:ascii="Book Antiqua" w:hAnsi="Book Antiqua" w:cs="Times New Roman"/>
          <w:sz w:val="24"/>
          <w:szCs w:val="24"/>
          <w:lang w:val="en-US"/>
        </w:rPr>
        <w:t xml:space="preserve">rogression-free survival (PFS; </w:t>
      </w:r>
      <w:r w:rsidR="003C2DD4" w:rsidRPr="002575A7">
        <w:rPr>
          <w:rFonts w:ascii="Book Antiqua" w:hAnsi="Book Antiqua" w:cs="Times New Roman"/>
          <w:sz w:val="24"/>
          <w:szCs w:val="24"/>
          <w:lang w:val="en-US"/>
        </w:rPr>
        <w:t>median: 6.4</w:t>
      </w:r>
      <w:r w:rsidR="00864BDB">
        <w:rPr>
          <w:rFonts w:ascii="Book Antiqua" w:hAnsi="Book Antiqua" w:cs="Times New Roman"/>
          <w:sz w:val="24"/>
          <w:szCs w:val="24"/>
          <w:lang w:val="en-US"/>
        </w:rPr>
        <w:t xml:space="preserve"> </w:t>
      </w:r>
      <w:r w:rsidR="00864BDB">
        <w:rPr>
          <w:rFonts w:ascii="Book Antiqua" w:hAnsi="Book Antiqua" w:cs="Times New Roman" w:hint="eastAsia"/>
          <w:sz w:val="24"/>
          <w:szCs w:val="24"/>
          <w:lang w:val="en-US" w:eastAsia="zh-CN"/>
        </w:rPr>
        <w:t>mo</w:t>
      </w:r>
      <w:r w:rsidR="00E55906" w:rsidRPr="002575A7">
        <w:rPr>
          <w:rFonts w:ascii="Book Antiqua" w:hAnsi="Book Antiqua" w:cs="Times New Roman"/>
          <w:sz w:val="24"/>
          <w:szCs w:val="24"/>
          <w:lang w:val="en-US"/>
        </w:rPr>
        <w:t xml:space="preserve"> </w:t>
      </w:r>
      <w:r w:rsidR="009D1BBF" w:rsidRPr="00864BDB">
        <w:rPr>
          <w:rFonts w:ascii="Book Antiqua" w:hAnsi="Book Antiqua" w:cs="Times New Roman"/>
          <w:i/>
          <w:iCs/>
          <w:sz w:val="24"/>
          <w:szCs w:val="24"/>
          <w:lang w:val="en-US"/>
        </w:rPr>
        <w:t>vs</w:t>
      </w:r>
      <w:r w:rsidR="003C2DD4" w:rsidRPr="002575A7">
        <w:rPr>
          <w:rFonts w:ascii="Book Antiqua" w:hAnsi="Book Antiqua" w:cs="Times New Roman"/>
          <w:sz w:val="24"/>
          <w:szCs w:val="24"/>
          <w:lang w:val="en-US"/>
        </w:rPr>
        <w:t xml:space="preserve"> 3.3 mo</w:t>
      </w:r>
      <w:r w:rsidR="00563FB0" w:rsidRPr="002575A7">
        <w:rPr>
          <w:rFonts w:ascii="Book Antiqua" w:hAnsi="Book Antiqua" w:cs="Times New Roman"/>
          <w:sz w:val="24"/>
          <w:szCs w:val="24"/>
          <w:lang w:val="en-US"/>
        </w:rPr>
        <w:t>;</w:t>
      </w:r>
      <w:r w:rsidR="003C2DD4" w:rsidRPr="002575A7">
        <w:rPr>
          <w:rFonts w:ascii="Book Antiqua" w:hAnsi="Book Antiqua" w:cs="Times New Roman"/>
          <w:sz w:val="24"/>
          <w:szCs w:val="24"/>
          <w:lang w:val="en-US"/>
        </w:rPr>
        <w:t xml:space="preserve"> </w:t>
      </w:r>
      <w:r w:rsidR="003C2DD4" w:rsidRPr="00916870">
        <w:rPr>
          <w:rFonts w:ascii="Book Antiqua" w:hAnsi="Book Antiqua" w:cs="Times New Roman"/>
          <w:i/>
          <w:iCs/>
          <w:sz w:val="24"/>
          <w:szCs w:val="24"/>
          <w:lang w:val="en-US"/>
        </w:rPr>
        <w:t>P</w:t>
      </w:r>
      <w:r w:rsidR="00916870">
        <w:rPr>
          <w:rFonts w:ascii="Book Antiqua" w:hAnsi="Book Antiqua" w:cs="Times New Roman"/>
          <w:sz w:val="24"/>
          <w:szCs w:val="24"/>
          <w:lang w:val="en-US"/>
        </w:rPr>
        <w:t xml:space="preserve"> </w:t>
      </w:r>
      <w:r w:rsidR="003C2DD4" w:rsidRPr="002575A7">
        <w:rPr>
          <w:rFonts w:ascii="Book Antiqua" w:hAnsi="Book Antiqua" w:cs="Times New Roman"/>
          <w:sz w:val="24"/>
          <w:szCs w:val="24"/>
          <w:lang w:val="en-US"/>
        </w:rPr>
        <w:t>&lt;</w:t>
      </w:r>
      <w:r w:rsidR="00916870">
        <w:rPr>
          <w:rFonts w:ascii="Book Antiqua" w:hAnsi="Book Antiqua" w:cs="Times New Roman"/>
          <w:sz w:val="24"/>
          <w:szCs w:val="24"/>
          <w:lang w:val="en-US"/>
        </w:rPr>
        <w:t xml:space="preserve"> </w:t>
      </w:r>
      <w:r w:rsidR="003C2DD4" w:rsidRPr="002575A7">
        <w:rPr>
          <w:rFonts w:ascii="Book Antiqua" w:hAnsi="Book Antiqua" w:cs="Times New Roman"/>
          <w:sz w:val="24"/>
          <w:szCs w:val="24"/>
          <w:lang w:val="en-US"/>
        </w:rPr>
        <w:t>0.001) in 342</w:t>
      </w:r>
      <w:r w:rsidR="004A4743" w:rsidRPr="002575A7">
        <w:rPr>
          <w:rFonts w:ascii="Book Antiqua" w:hAnsi="Book Antiqua" w:cs="Times New Roman"/>
          <w:sz w:val="24"/>
          <w:szCs w:val="24"/>
          <w:lang w:val="en-US"/>
        </w:rPr>
        <w:t xml:space="preserve"> </w:t>
      </w:r>
      <w:r w:rsidR="00250F46" w:rsidRPr="002575A7">
        <w:rPr>
          <w:rFonts w:ascii="Book Antiqua" w:hAnsi="Book Antiqua" w:cs="Times New Roman"/>
          <w:sz w:val="24"/>
          <w:szCs w:val="24"/>
          <w:lang w:val="en-US"/>
        </w:rPr>
        <w:t xml:space="preserve">selected </w:t>
      </w:r>
      <w:r w:rsidR="004A4743" w:rsidRPr="002575A7">
        <w:rPr>
          <w:rFonts w:ascii="Book Antiqua" w:hAnsi="Book Antiqua" w:cs="Times New Roman"/>
          <w:sz w:val="24"/>
          <w:szCs w:val="24"/>
          <w:lang w:val="en-US"/>
        </w:rPr>
        <w:t xml:space="preserve">patients with </w:t>
      </w:r>
      <w:r w:rsidR="003C2DD4" w:rsidRPr="002575A7">
        <w:rPr>
          <w:rFonts w:ascii="Book Antiqua" w:hAnsi="Book Antiqua" w:cs="Times New Roman"/>
          <w:sz w:val="24"/>
          <w:szCs w:val="24"/>
          <w:lang w:val="en-US"/>
        </w:rPr>
        <w:t>metastatic PDAC</w:t>
      </w:r>
      <w:r w:rsidR="006917E0" w:rsidRPr="002575A7">
        <w:rPr>
          <w:rFonts w:ascii="Book Antiqua" w:hAnsi="Book Antiqua" w:cs="Times New Roman"/>
          <w:sz w:val="24"/>
          <w:szCs w:val="24"/>
          <w:lang w:val="en-US"/>
        </w:rPr>
        <w:t>, age &lt;</w:t>
      </w:r>
      <w:r w:rsidR="00916870">
        <w:rPr>
          <w:rFonts w:ascii="Book Antiqua" w:hAnsi="Book Antiqua" w:cs="Times New Roman"/>
          <w:sz w:val="24"/>
          <w:szCs w:val="24"/>
          <w:lang w:val="en-US"/>
        </w:rPr>
        <w:t xml:space="preserve"> </w:t>
      </w:r>
      <w:r w:rsidR="006917E0" w:rsidRPr="002575A7">
        <w:rPr>
          <w:rFonts w:ascii="Book Antiqua" w:hAnsi="Book Antiqua" w:cs="Times New Roman"/>
          <w:sz w:val="24"/>
          <w:szCs w:val="24"/>
          <w:lang w:val="en-US"/>
        </w:rPr>
        <w:t>76 years,</w:t>
      </w:r>
      <w:r w:rsidR="004A4743" w:rsidRPr="002575A7">
        <w:rPr>
          <w:rFonts w:ascii="Book Antiqua" w:hAnsi="Book Antiqua" w:cs="Times New Roman"/>
          <w:sz w:val="24"/>
          <w:szCs w:val="24"/>
          <w:lang w:val="en-US"/>
        </w:rPr>
        <w:t xml:space="preserve"> Eastern Cooperative Onco</w:t>
      </w:r>
      <w:r w:rsidR="000D6325" w:rsidRPr="002575A7">
        <w:rPr>
          <w:rFonts w:ascii="Book Antiqua" w:hAnsi="Book Antiqua" w:cs="Times New Roman"/>
          <w:sz w:val="24"/>
          <w:szCs w:val="24"/>
          <w:lang w:val="en-US"/>
        </w:rPr>
        <w:t>logy Group</w:t>
      </w:r>
      <w:r w:rsidR="004A4743" w:rsidRPr="002575A7">
        <w:rPr>
          <w:rFonts w:ascii="Book Antiqua" w:hAnsi="Book Antiqua" w:cs="Times New Roman"/>
          <w:sz w:val="24"/>
          <w:szCs w:val="24"/>
          <w:lang w:val="en-US"/>
        </w:rPr>
        <w:t xml:space="preserve"> </w:t>
      </w:r>
      <w:r w:rsidR="003C2DD4" w:rsidRPr="002575A7">
        <w:rPr>
          <w:rFonts w:ascii="Book Antiqua" w:hAnsi="Book Antiqua" w:cs="Times New Roman"/>
          <w:sz w:val="24"/>
          <w:szCs w:val="24"/>
          <w:lang w:val="en-US"/>
        </w:rPr>
        <w:t>performance status 0-1</w:t>
      </w:r>
      <w:r w:rsidR="006917E0" w:rsidRPr="002575A7">
        <w:rPr>
          <w:rFonts w:ascii="Book Antiqua" w:hAnsi="Book Antiqua" w:cs="Times New Roman"/>
          <w:sz w:val="24"/>
          <w:szCs w:val="24"/>
          <w:lang w:val="en-US"/>
        </w:rPr>
        <w:t xml:space="preserve">, </w:t>
      </w:r>
      <w:r w:rsidR="009F4C1D" w:rsidRPr="002575A7">
        <w:rPr>
          <w:rFonts w:ascii="Book Antiqua" w:hAnsi="Book Antiqua" w:cs="Times New Roman"/>
          <w:sz w:val="24"/>
          <w:szCs w:val="24"/>
          <w:lang w:val="en-US"/>
        </w:rPr>
        <w:t xml:space="preserve">and </w:t>
      </w:r>
      <w:r w:rsidR="00B976D8" w:rsidRPr="002575A7">
        <w:rPr>
          <w:rFonts w:ascii="Book Antiqua" w:hAnsi="Book Antiqua" w:cs="Times New Roman"/>
          <w:sz w:val="24"/>
          <w:szCs w:val="24"/>
          <w:lang w:val="en-US"/>
        </w:rPr>
        <w:t>normal bilirubin level (&lt;</w:t>
      </w:r>
      <w:r w:rsidR="00916870">
        <w:rPr>
          <w:rFonts w:ascii="Book Antiqua" w:hAnsi="Book Antiqua" w:cs="Times New Roman"/>
          <w:sz w:val="24"/>
          <w:szCs w:val="24"/>
          <w:lang w:val="en-US"/>
        </w:rPr>
        <w:t xml:space="preserve"> </w:t>
      </w:r>
      <w:r w:rsidR="006917E0" w:rsidRPr="002575A7">
        <w:rPr>
          <w:rFonts w:ascii="Book Antiqua" w:hAnsi="Book Antiqua" w:cs="Times New Roman"/>
          <w:sz w:val="24"/>
          <w:szCs w:val="24"/>
          <w:lang w:val="en-US"/>
        </w:rPr>
        <w:t>1.5</w:t>
      </w:r>
      <w:r w:rsidR="009F4C1D" w:rsidRPr="002575A7">
        <w:rPr>
          <w:rFonts w:ascii="Book Antiqua" w:hAnsi="Book Antiqua" w:cs="Times New Roman"/>
          <w:sz w:val="24"/>
          <w:szCs w:val="24"/>
          <w:lang w:val="en-US"/>
        </w:rPr>
        <w:t xml:space="preserve"> </w:t>
      </w:r>
      <w:r w:rsidR="006917E0" w:rsidRPr="002575A7">
        <w:rPr>
          <w:rFonts w:ascii="Book Antiqua" w:hAnsi="Book Antiqua" w:cs="Times New Roman"/>
          <w:sz w:val="24"/>
          <w:szCs w:val="24"/>
          <w:lang w:val="en-US"/>
        </w:rPr>
        <w:t xml:space="preserve">times the upper limit </w:t>
      </w:r>
      <w:r w:rsidR="004308EE">
        <w:rPr>
          <w:rFonts w:ascii="Book Antiqua" w:hAnsi="Book Antiqua" w:cs="Times New Roman"/>
          <w:sz w:val="24"/>
          <w:szCs w:val="24"/>
          <w:lang w:val="en-US"/>
        </w:rPr>
        <w:t>of</w:t>
      </w:r>
      <w:r w:rsidR="006917E0" w:rsidRPr="002575A7">
        <w:rPr>
          <w:rFonts w:ascii="Book Antiqua" w:hAnsi="Book Antiqua" w:cs="Times New Roman"/>
          <w:sz w:val="24"/>
          <w:szCs w:val="24"/>
          <w:lang w:val="en-US"/>
        </w:rPr>
        <w:t xml:space="preserve"> normal)</w:t>
      </w:r>
      <w:r w:rsidR="009F4C1D" w:rsidRPr="002575A7">
        <w:rPr>
          <w:rFonts w:ascii="Book Antiqua" w:hAnsi="Book Antiqua" w:cs="Times New Roman"/>
          <w:sz w:val="24"/>
          <w:szCs w:val="24"/>
          <w:lang w:val="en-US"/>
        </w:rPr>
        <w:t xml:space="preserve">. </w:t>
      </w:r>
      <w:r w:rsidR="007D6DFE" w:rsidRPr="002575A7">
        <w:rPr>
          <w:rFonts w:ascii="Book Antiqua" w:hAnsi="Book Antiqua" w:cs="Times New Roman"/>
          <w:sz w:val="24"/>
          <w:szCs w:val="24"/>
          <w:lang w:val="en-US"/>
        </w:rPr>
        <w:t xml:space="preserve">The objective response rate for FOLFIRINOX was 31.6% </w:t>
      </w:r>
      <w:r w:rsidR="009D1BBF" w:rsidRPr="00864BDB">
        <w:rPr>
          <w:rFonts w:ascii="Book Antiqua" w:hAnsi="Book Antiqua" w:cs="Times New Roman"/>
          <w:i/>
          <w:iCs/>
          <w:sz w:val="24"/>
          <w:szCs w:val="24"/>
          <w:lang w:val="en-US"/>
        </w:rPr>
        <w:t>vs</w:t>
      </w:r>
      <w:r w:rsidR="007D6DFE" w:rsidRPr="002575A7">
        <w:rPr>
          <w:rFonts w:ascii="Book Antiqua" w:hAnsi="Book Antiqua" w:cs="Times New Roman"/>
          <w:sz w:val="24"/>
          <w:szCs w:val="24"/>
          <w:lang w:val="en-US"/>
        </w:rPr>
        <w:t xml:space="preserve"> 9.4% for gemcitabine (</w:t>
      </w:r>
      <w:r w:rsidR="007D6DFE" w:rsidRPr="00916870">
        <w:rPr>
          <w:rFonts w:ascii="Book Antiqua" w:hAnsi="Book Antiqua" w:cs="Times New Roman"/>
          <w:i/>
          <w:iCs/>
          <w:sz w:val="24"/>
          <w:szCs w:val="24"/>
          <w:lang w:val="en-US"/>
        </w:rPr>
        <w:t>P</w:t>
      </w:r>
      <w:r w:rsidR="00916870">
        <w:rPr>
          <w:rFonts w:ascii="Book Antiqua" w:hAnsi="Book Antiqua" w:cs="Times New Roman"/>
          <w:i/>
          <w:iCs/>
          <w:sz w:val="24"/>
          <w:szCs w:val="24"/>
          <w:lang w:val="en-US"/>
        </w:rPr>
        <w:t xml:space="preserve"> </w:t>
      </w:r>
      <w:r w:rsidR="007D6DFE" w:rsidRPr="002575A7">
        <w:rPr>
          <w:rFonts w:ascii="Book Antiqua" w:hAnsi="Book Antiqua" w:cs="Times New Roman"/>
          <w:sz w:val="24"/>
          <w:szCs w:val="24"/>
          <w:lang w:val="en-US"/>
        </w:rPr>
        <w:t>&lt;</w:t>
      </w:r>
      <w:r w:rsidR="00916870">
        <w:rPr>
          <w:rFonts w:ascii="Book Antiqua" w:hAnsi="Book Antiqua" w:cs="Times New Roman"/>
          <w:sz w:val="24"/>
          <w:szCs w:val="24"/>
          <w:lang w:val="en-US"/>
        </w:rPr>
        <w:t xml:space="preserve"> </w:t>
      </w:r>
      <w:r w:rsidR="007D6DFE" w:rsidRPr="002575A7">
        <w:rPr>
          <w:rFonts w:ascii="Book Antiqua" w:hAnsi="Book Antiqua" w:cs="Times New Roman"/>
          <w:sz w:val="24"/>
          <w:szCs w:val="24"/>
          <w:lang w:val="en-US"/>
        </w:rPr>
        <w:t xml:space="preserve">0.001). </w:t>
      </w:r>
      <w:r w:rsidR="00B41F1F" w:rsidRPr="002575A7">
        <w:rPr>
          <w:rFonts w:ascii="Book Antiqua" w:hAnsi="Book Antiqua" w:cs="Times New Roman"/>
          <w:sz w:val="24"/>
          <w:szCs w:val="24"/>
          <w:lang w:val="en-US"/>
        </w:rPr>
        <w:t xml:space="preserve">FOLFIRINOX consisted of oxaliplatin </w:t>
      </w:r>
      <w:r w:rsidR="00C3146E" w:rsidRPr="002575A7">
        <w:rPr>
          <w:rFonts w:ascii="Book Antiqua" w:hAnsi="Book Antiqua" w:cs="Times New Roman"/>
          <w:sz w:val="24"/>
          <w:szCs w:val="24"/>
          <w:lang w:val="en-US"/>
        </w:rPr>
        <w:t>(</w:t>
      </w:r>
      <w:r w:rsidR="00B41F1F" w:rsidRPr="002575A7">
        <w:rPr>
          <w:rFonts w:ascii="Book Antiqua" w:hAnsi="Book Antiqua" w:cs="Times New Roman"/>
          <w:sz w:val="24"/>
          <w:szCs w:val="24"/>
          <w:lang w:val="en-US"/>
        </w:rPr>
        <w:t>85 mg/m</w:t>
      </w:r>
      <w:r w:rsidR="00B41F1F" w:rsidRPr="002575A7">
        <w:rPr>
          <w:rFonts w:ascii="Book Antiqua" w:hAnsi="Book Antiqua" w:cs="Times New Roman"/>
          <w:sz w:val="24"/>
          <w:szCs w:val="24"/>
          <w:vertAlign w:val="superscript"/>
          <w:lang w:val="en-US"/>
        </w:rPr>
        <w:t>2</w:t>
      </w:r>
      <w:r w:rsidR="00C3146E" w:rsidRPr="002575A7">
        <w:rPr>
          <w:rFonts w:ascii="Book Antiqua" w:hAnsi="Book Antiqua" w:cs="Times New Roman"/>
          <w:sz w:val="24"/>
          <w:szCs w:val="24"/>
          <w:lang w:val="en-US"/>
        </w:rPr>
        <w:t>),</w:t>
      </w:r>
      <w:r w:rsidR="00B41F1F" w:rsidRPr="002575A7">
        <w:rPr>
          <w:rFonts w:ascii="Book Antiqua" w:hAnsi="Book Antiqua" w:cs="Times New Roman"/>
          <w:sz w:val="24"/>
          <w:szCs w:val="24"/>
          <w:lang w:val="en-US"/>
        </w:rPr>
        <w:t xml:space="preserve"> </w:t>
      </w:r>
      <w:r w:rsidR="00C3146E" w:rsidRPr="002575A7">
        <w:rPr>
          <w:rFonts w:ascii="Book Antiqua" w:hAnsi="Book Antiqua" w:cs="Times New Roman"/>
          <w:sz w:val="24"/>
          <w:szCs w:val="24"/>
          <w:lang w:val="en-US"/>
        </w:rPr>
        <w:t>irinotecan (180 mg/m</w:t>
      </w:r>
      <w:r w:rsidR="00C3146E" w:rsidRPr="002575A7">
        <w:rPr>
          <w:rFonts w:ascii="Book Antiqua" w:hAnsi="Book Antiqua" w:cs="Times New Roman"/>
          <w:sz w:val="24"/>
          <w:szCs w:val="24"/>
          <w:vertAlign w:val="superscript"/>
          <w:lang w:val="en-US"/>
        </w:rPr>
        <w:t>2</w:t>
      </w:r>
      <w:r w:rsidR="00C3146E" w:rsidRPr="002575A7">
        <w:rPr>
          <w:rFonts w:ascii="Book Antiqua" w:hAnsi="Book Antiqua" w:cs="Times New Roman"/>
          <w:sz w:val="24"/>
          <w:szCs w:val="24"/>
          <w:lang w:val="en-US"/>
        </w:rPr>
        <w:t xml:space="preserve">), </w:t>
      </w:r>
      <w:r w:rsidR="00B41F1F" w:rsidRPr="002575A7">
        <w:rPr>
          <w:rFonts w:ascii="Book Antiqua" w:hAnsi="Book Antiqua" w:cs="Times New Roman"/>
          <w:sz w:val="24"/>
          <w:szCs w:val="24"/>
          <w:lang w:val="en-US"/>
        </w:rPr>
        <w:t xml:space="preserve">leucovorin </w:t>
      </w:r>
      <w:r w:rsidR="00C3146E" w:rsidRPr="002575A7">
        <w:rPr>
          <w:rFonts w:ascii="Book Antiqua" w:hAnsi="Book Antiqua" w:cs="Times New Roman"/>
          <w:sz w:val="24"/>
          <w:szCs w:val="24"/>
          <w:lang w:val="en-US"/>
        </w:rPr>
        <w:t>(</w:t>
      </w:r>
      <w:r w:rsidR="00B41F1F" w:rsidRPr="002575A7">
        <w:rPr>
          <w:rFonts w:ascii="Book Antiqua" w:hAnsi="Book Antiqua" w:cs="Times New Roman"/>
          <w:sz w:val="24"/>
          <w:szCs w:val="24"/>
          <w:lang w:val="en-US"/>
        </w:rPr>
        <w:t>400 mg/m</w:t>
      </w:r>
      <w:r w:rsidR="00B41F1F" w:rsidRPr="002575A7">
        <w:rPr>
          <w:rFonts w:ascii="Book Antiqua" w:hAnsi="Book Antiqua" w:cs="Times New Roman"/>
          <w:sz w:val="24"/>
          <w:szCs w:val="24"/>
          <w:vertAlign w:val="superscript"/>
          <w:lang w:val="en-US"/>
        </w:rPr>
        <w:t>2</w:t>
      </w:r>
      <w:r w:rsidR="00C3146E" w:rsidRPr="002575A7">
        <w:rPr>
          <w:rFonts w:ascii="Book Antiqua" w:hAnsi="Book Antiqua" w:cs="Times New Roman"/>
          <w:sz w:val="24"/>
          <w:szCs w:val="24"/>
          <w:lang w:val="en-US"/>
        </w:rPr>
        <w:t>),</w:t>
      </w:r>
      <w:r w:rsidR="00B41F1F" w:rsidRPr="002575A7">
        <w:rPr>
          <w:rFonts w:ascii="Book Antiqua" w:hAnsi="Book Antiqua" w:cs="Times New Roman"/>
          <w:sz w:val="24"/>
          <w:szCs w:val="24"/>
          <w:lang w:val="en-US"/>
        </w:rPr>
        <w:t xml:space="preserve"> </w:t>
      </w:r>
      <w:r w:rsidR="00C3146E" w:rsidRPr="002575A7">
        <w:rPr>
          <w:rFonts w:ascii="Book Antiqua" w:hAnsi="Book Antiqua" w:cs="Times New Roman"/>
          <w:sz w:val="24"/>
          <w:szCs w:val="24"/>
          <w:lang w:val="en-US"/>
        </w:rPr>
        <w:t>and 5-FU (</w:t>
      </w:r>
      <w:r w:rsidR="00B41F1F" w:rsidRPr="002575A7">
        <w:rPr>
          <w:rFonts w:ascii="Book Antiqua" w:hAnsi="Book Antiqua" w:cs="Times New Roman"/>
          <w:sz w:val="24"/>
          <w:szCs w:val="24"/>
          <w:lang w:val="en-US"/>
        </w:rPr>
        <w:t>400 mg/m</w:t>
      </w:r>
      <w:r w:rsidR="00B41F1F" w:rsidRPr="002575A7">
        <w:rPr>
          <w:rFonts w:ascii="Book Antiqua" w:hAnsi="Book Antiqua" w:cs="Times New Roman"/>
          <w:sz w:val="24"/>
          <w:szCs w:val="24"/>
          <w:vertAlign w:val="superscript"/>
          <w:lang w:val="en-US"/>
        </w:rPr>
        <w:t>2</w:t>
      </w:r>
      <w:r w:rsidR="00C3146E" w:rsidRPr="002575A7">
        <w:rPr>
          <w:rFonts w:ascii="Book Antiqua" w:hAnsi="Book Antiqua" w:cs="Times New Roman"/>
          <w:sz w:val="24"/>
          <w:szCs w:val="24"/>
          <w:lang w:val="en-US"/>
        </w:rPr>
        <w:t xml:space="preserve"> a</w:t>
      </w:r>
      <w:r w:rsidR="00B41F1F" w:rsidRPr="002575A7">
        <w:rPr>
          <w:rFonts w:ascii="Book Antiqua" w:hAnsi="Book Antiqua" w:cs="Times New Roman"/>
          <w:sz w:val="24"/>
          <w:szCs w:val="24"/>
          <w:lang w:val="en-US"/>
        </w:rPr>
        <w:t>dministered by intravenous bolus, followed by 2400 mg/m</w:t>
      </w:r>
      <w:r w:rsidR="00B41F1F" w:rsidRPr="002575A7">
        <w:rPr>
          <w:rFonts w:ascii="Book Antiqua" w:hAnsi="Book Antiqua" w:cs="Times New Roman"/>
          <w:sz w:val="24"/>
          <w:szCs w:val="24"/>
          <w:vertAlign w:val="superscript"/>
          <w:lang w:val="en-US"/>
        </w:rPr>
        <w:t>2</w:t>
      </w:r>
      <w:r w:rsidR="00B41F1F" w:rsidRPr="002575A7">
        <w:rPr>
          <w:rFonts w:ascii="Book Antiqua" w:hAnsi="Book Antiqua" w:cs="Times New Roman"/>
          <w:sz w:val="24"/>
          <w:szCs w:val="24"/>
          <w:lang w:val="en-US"/>
        </w:rPr>
        <w:t xml:space="preserve"> </w:t>
      </w:r>
      <w:r w:rsidR="00C3146E" w:rsidRPr="002575A7">
        <w:rPr>
          <w:rFonts w:ascii="Book Antiqua" w:hAnsi="Book Antiqua" w:cs="Times New Roman"/>
          <w:sz w:val="24"/>
          <w:szCs w:val="24"/>
          <w:lang w:val="en-US"/>
        </w:rPr>
        <w:t xml:space="preserve">given as a 46-h continuous infusion), </w:t>
      </w:r>
      <w:r w:rsidR="002D237D" w:rsidRPr="002575A7">
        <w:rPr>
          <w:rFonts w:ascii="Book Antiqua" w:hAnsi="Book Antiqua" w:cs="Times New Roman"/>
          <w:sz w:val="24"/>
          <w:szCs w:val="24"/>
          <w:lang w:val="en-US"/>
        </w:rPr>
        <w:t xml:space="preserve">every </w:t>
      </w:r>
      <w:r w:rsidR="00916870">
        <w:rPr>
          <w:rFonts w:ascii="Book Antiqua" w:hAnsi="Book Antiqua" w:cs="Times New Roman"/>
          <w:sz w:val="24"/>
          <w:szCs w:val="24"/>
          <w:lang w:val="en-US"/>
        </w:rPr>
        <w:t>2</w:t>
      </w:r>
      <w:r w:rsidR="00B41F1F" w:rsidRPr="002575A7">
        <w:rPr>
          <w:rFonts w:ascii="Book Antiqua" w:hAnsi="Book Antiqua" w:cs="Times New Roman"/>
          <w:sz w:val="24"/>
          <w:szCs w:val="24"/>
          <w:lang w:val="en-US"/>
        </w:rPr>
        <w:t xml:space="preserve"> w</w:t>
      </w:r>
      <w:r w:rsidR="00916870">
        <w:rPr>
          <w:rFonts w:ascii="Book Antiqua" w:hAnsi="Book Antiqua" w:cs="Times New Roman"/>
          <w:sz w:val="24"/>
          <w:szCs w:val="24"/>
          <w:lang w:val="en-US"/>
        </w:rPr>
        <w:t>k</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{"citationID":"IwIytjlV","properties":{"formattedCitation":"\\super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p>
    <w:p w14:paraId="364A3758" w14:textId="4906955D" w:rsidR="007D6DFE" w:rsidRPr="002575A7" w:rsidRDefault="007D6DFE" w:rsidP="00916870">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lastRenderedPageBreak/>
        <w:t xml:space="preserve">The </w:t>
      </w:r>
      <w:r w:rsidR="00D25F2B" w:rsidRPr="002575A7">
        <w:rPr>
          <w:rFonts w:ascii="Book Antiqua" w:hAnsi="Book Antiqua" w:cs="Times New Roman"/>
          <w:sz w:val="24"/>
          <w:szCs w:val="24"/>
          <w:lang w:val="en-US"/>
        </w:rPr>
        <w:t>HR</w:t>
      </w:r>
      <w:r w:rsidRPr="002575A7">
        <w:rPr>
          <w:rFonts w:ascii="Book Antiqua" w:hAnsi="Book Antiqua" w:cs="Times New Roman"/>
          <w:sz w:val="24"/>
          <w:szCs w:val="24"/>
          <w:lang w:val="en-US"/>
        </w:rPr>
        <w:t>QoL of patients was significantly</w:t>
      </w:r>
      <w:r w:rsidR="00163A91" w:rsidRPr="002575A7">
        <w:rPr>
          <w:rFonts w:ascii="Book Antiqua" w:hAnsi="Book Antiqua" w:cs="Times New Roman"/>
          <w:sz w:val="24"/>
          <w:szCs w:val="24"/>
          <w:lang w:val="en-US"/>
        </w:rPr>
        <w:t xml:space="preserve"> better with FOLFIRINOX </w:t>
      </w:r>
      <w:r w:rsidR="007F74F6" w:rsidRPr="002575A7">
        <w:rPr>
          <w:rFonts w:ascii="Book Antiqua" w:hAnsi="Book Antiqua" w:cs="Times New Roman"/>
          <w:sz w:val="24"/>
          <w:szCs w:val="24"/>
          <w:lang w:val="en-US"/>
        </w:rPr>
        <w:t xml:space="preserve">as </w:t>
      </w:r>
      <w:r w:rsidR="00163A91" w:rsidRPr="002575A7">
        <w:rPr>
          <w:rFonts w:ascii="Book Antiqua" w:hAnsi="Book Antiqua" w:cs="Times New Roman"/>
          <w:sz w:val="24"/>
          <w:szCs w:val="24"/>
          <w:lang w:val="en-US"/>
        </w:rPr>
        <w:t xml:space="preserve">compared </w:t>
      </w:r>
      <w:r w:rsidR="007F74F6" w:rsidRPr="002575A7">
        <w:rPr>
          <w:rFonts w:ascii="Book Antiqua" w:hAnsi="Book Antiqua" w:cs="Times New Roman"/>
          <w:sz w:val="24"/>
          <w:szCs w:val="24"/>
          <w:lang w:val="en-US"/>
        </w:rPr>
        <w:t xml:space="preserve">with </w:t>
      </w:r>
      <w:r w:rsidR="00163A91" w:rsidRPr="002575A7">
        <w:rPr>
          <w:rFonts w:ascii="Book Antiqua" w:hAnsi="Book Antiqua" w:cs="Times New Roman"/>
          <w:sz w:val="24"/>
          <w:szCs w:val="24"/>
          <w:lang w:val="en-US"/>
        </w:rPr>
        <w:t>gemcitabine</w:t>
      </w:r>
      <w:r w:rsidR="00170F04" w:rsidRPr="002575A7">
        <w:rPr>
          <w:rFonts w:ascii="Book Antiqua" w:hAnsi="Book Antiqua" w:cs="Times New Roman"/>
          <w:sz w:val="24"/>
          <w:szCs w:val="24"/>
          <w:lang w:val="en-US"/>
        </w:rPr>
        <w:t xml:space="preserve">, except for </w:t>
      </w:r>
      <w:r w:rsidR="00483A5B" w:rsidRPr="002575A7">
        <w:rPr>
          <w:rFonts w:ascii="Book Antiqua" w:hAnsi="Book Antiqua" w:cs="Times New Roman"/>
          <w:sz w:val="24"/>
          <w:szCs w:val="24"/>
          <w:lang w:val="en-US"/>
        </w:rPr>
        <w:t>diarrhea</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{"citationID":"QIPeSdbZ","properties":{"formattedCitation":"\\super 9\\nosupersub{}","plainCitation":"9","noteIndex":0},"citationItems":[{"id":773,"uris":["http://zotero.org/users/2205527/items/MWW8RSDQ"],"uri":["http://zotero.org/users/2205527/items/MWW8RSDQ"],"itemData":{"id":773,"type":"article-journal","title":"Impact of FOLFIRINOX Compared With Gemcitabine on Quality of Life in Patients With Metastatic Pancreatic Cancer: Results From the PRODIGE 4/ACCORD 11 Randomized Trial","container-title":"Journal of Clinical Oncology","page":"23-29","volume":"31","issue":"1","source":"CrossRef","DOI":"10.1200/JCO.2012.44.4869","ISSN":"0732-183X, 1527-7755","title-short":"Impact of FOLFIRINOX Compared With Gemcitabine on Quality of Life in Patients With Metastatic Pancreatic Cancer","language":"en","author":[{"family":"Gourgou-Bourgade","given":"S."},{"family":"Bascoul-Mollevi","given":"C."},{"family":"Desseigne","given":"F."},{"family":"Ychou","given":"M."},{"family":"Bouche","given":"O."},{"family":"Guimbaud","given":"R."},{"family":"Becouarn","given":"Y."},{"family":"Adenis","given":"A."},{"family":"Raoul","given":"J.-L."},{"family":"Boige","given":"V."},{"family":"Berille","given":"J."},{"family":"Conroy","given":"T."}],"issued":{"date-parts":[["2013",1,1]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9</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81348D" w:rsidRPr="002575A7">
        <w:rPr>
          <w:rFonts w:ascii="Book Antiqua" w:hAnsi="Book Antiqua" w:cs="Times New Roman"/>
          <w:sz w:val="24"/>
          <w:szCs w:val="24"/>
          <w:lang w:val="en-US"/>
        </w:rPr>
        <w:t xml:space="preserve"> A higher incidence of adverse events was observed </w:t>
      </w:r>
      <w:r w:rsidR="00C45934" w:rsidRPr="002575A7">
        <w:rPr>
          <w:rFonts w:ascii="Book Antiqua" w:hAnsi="Book Antiqua" w:cs="Times New Roman"/>
          <w:sz w:val="24"/>
          <w:szCs w:val="24"/>
          <w:lang w:val="en-US"/>
        </w:rPr>
        <w:t>with</w:t>
      </w:r>
      <w:r w:rsidR="0081348D" w:rsidRPr="002575A7">
        <w:rPr>
          <w:rFonts w:ascii="Book Antiqua" w:hAnsi="Book Antiqua" w:cs="Times New Roman"/>
          <w:sz w:val="24"/>
          <w:szCs w:val="24"/>
          <w:lang w:val="en-US"/>
        </w:rPr>
        <w:t xml:space="preserve"> </w:t>
      </w:r>
      <w:r w:rsidR="004B2FAC">
        <w:rPr>
          <w:rFonts w:ascii="Book Antiqua" w:hAnsi="Book Antiqua" w:cs="Times New Roman"/>
          <w:sz w:val="24"/>
          <w:szCs w:val="24"/>
          <w:lang w:val="en-US"/>
        </w:rPr>
        <w:t xml:space="preserve">the </w:t>
      </w:r>
      <w:r w:rsidR="0081348D" w:rsidRPr="002575A7">
        <w:rPr>
          <w:rFonts w:ascii="Book Antiqua" w:hAnsi="Book Antiqua" w:cs="Times New Roman"/>
          <w:sz w:val="24"/>
          <w:szCs w:val="24"/>
          <w:lang w:val="en-US"/>
        </w:rPr>
        <w:t>FOLFIRINOX group</w:t>
      </w:r>
      <w:r w:rsidR="00C45934" w:rsidRPr="002575A7">
        <w:rPr>
          <w:rFonts w:ascii="Book Antiqua" w:hAnsi="Book Antiqua" w:cs="Times New Roman"/>
          <w:sz w:val="24"/>
          <w:szCs w:val="24"/>
          <w:lang w:val="en-US"/>
        </w:rPr>
        <w:t xml:space="preserve">, including </w:t>
      </w:r>
      <w:r w:rsidR="00483A5B" w:rsidRPr="002575A7">
        <w:rPr>
          <w:rFonts w:ascii="Book Antiqua" w:hAnsi="Book Antiqua" w:cs="Times New Roman"/>
          <w:sz w:val="24"/>
          <w:szCs w:val="24"/>
          <w:lang w:val="en-US"/>
        </w:rPr>
        <w:t xml:space="preserve">grade 3 or 4 neutropenia (45.7%), </w:t>
      </w:r>
      <w:r w:rsidR="00C45934" w:rsidRPr="002575A7">
        <w:rPr>
          <w:rFonts w:ascii="Book Antiqua" w:hAnsi="Book Antiqua" w:cs="Times New Roman"/>
          <w:sz w:val="24"/>
          <w:szCs w:val="24"/>
          <w:lang w:val="en-US"/>
        </w:rPr>
        <w:t>febrile neutropenia (5.4%) and diarrhea (</w:t>
      </w:r>
      <w:r w:rsidR="00483A5B" w:rsidRPr="002575A7">
        <w:rPr>
          <w:rFonts w:ascii="Book Antiqua" w:hAnsi="Book Antiqua" w:cs="Times New Roman"/>
          <w:sz w:val="24"/>
          <w:szCs w:val="24"/>
          <w:lang w:val="en-US"/>
        </w:rPr>
        <w:t>12.7%)</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{"citationID":"hJJpGHbX","properties":{"formattedCitation":"\\super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483A5B" w:rsidRPr="002575A7">
        <w:rPr>
          <w:rFonts w:ascii="Book Antiqua" w:hAnsi="Book Antiqua" w:cs="Times New Roman"/>
          <w:sz w:val="24"/>
          <w:szCs w:val="24"/>
          <w:lang w:val="en-US"/>
        </w:rPr>
        <w:t xml:space="preserve"> </w:t>
      </w:r>
      <w:r w:rsidR="004B6609" w:rsidRPr="002575A7">
        <w:rPr>
          <w:rFonts w:ascii="Book Antiqua" w:hAnsi="Book Antiqua" w:cs="Times New Roman"/>
          <w:sz w:val="24"/>
          <w:szCs w:val="24"/>
          <w:lang w:val="en-US"/>
        </w:rPr>
        <w:t>A retrospective study evaluated a</w:t>
      </w:r>
      <w:r w:rsidR="00483A5B" w:rsidRPr="002575A7">
        <w:rPr>
          <w:rFonts w:ascii="Book Antiqua" w:hAnsi="Book Antiqua" w:cs="Times New Roman"/>
          <w:sz w:val="24"/>
          <w:szCs w:val="24"/>
          <w:lang w:val="en-US"/>
        </w:rPr>
        <w:t xml:space="preserve"> </w:t>
      </w:r>
      <w:r w:rsidR="00847C8C" w:rsidRPr="002575A7">
        <w:rPr>
          <w:rFonts w:ascii="Book Antiqua" w:hAnsi="Book Antiqua" w:cs="Times New Roman"/>
          <w:sz w:val="24"/>
          <w:szCs w:val="24"/>
          <w:lang w:val="en-US"/>
        </w:rPr>
        <w:t>“</w:t>
      </w:r>
      <w:r w:rsidR="00483A5B" w:rsidRPr="002575A7">
        <w:rPr>
          <w:rFonts w:ascii="Book Antiqua" w:hAnsi="Book Antiqua" w:cs="Times New Roman"/>
          <w:sz w:val="24"/>
          <w:szCs w:val="24"/>
          <w:lang w:val="en-US"/>
        </w:rPr>
        <w:t>modified FOLFIRINOX</w:t>
      </w:r>
      <w:r w:rsidR="00847C8C" w:rsidRPr="002575A7">
        <w:rPr>
          <w:rFonts w:ascii="Book Antiqua" w:hAnsi="Book Antiqua" w:cs="Times New Roman"/>
          <w:sz w:val="24"/>
          <w:szCs w:val="24"/>
          <w:lang w:val="en-US"/>
        </w:rPr>
        <w:t>” regimen</w:t>
      </w:r>
      <w:r w:rsidR="00483A5B" w:rsidRPr="002575A7">
        <w:rPr>
          <w:rFonts w:ascii="Book Antiqua" w:hAnsi="Book Antiqua" w:cs="Times New Roman"/>
          <w:sz w:val="24"/>
          <w:szCs w:val="24"/>
          <w:lang w:val="en-US"/>
        </w:rPr>
        <w:t xml:space="preserve"> without </w:t>
      </w:r>
      <w:r w:rsidR="00114D56">
        <w:rPr>
          <w:rFonts w:ascii="Book Antiqua" w:hAnsi="Book Antiqua" w:cs="Times New Roman"/>
          <w:sz w:val="24"/>
          <w:szCs w:val="24"/>
          <w:lang w:val="en-US"/>
        </w:rPr>
        <w:t xml:space="preserve">the </w:t>
      </w:r>
      <w:r w:rsidR="00483A5B" w:rsidRPr="002575A7">
        <w:rPr>
          <w:rFonts w:ascii="Book Antiqua" w:hAnsi="Book Antiqua" w:cs="Times New Roman"/>
          <w:sz w:val="24"/>
          <w:szCs w:val="24"/>
          <w:lang w:val="en-US"/>
        </w:rPr>
        <w:t xml:space="preserve">bolus </w:t>
      </w:r>
      <w:r w:rsidR="00114D56">
        <w:rPr>
          <w:rFonts w:ascii="Book Antiqua" w:hAnsi="Book Antiqua" w:cs="Times New Roman"/>
          <w:sz w:val="24"/>
          <w:szCs w:val="24"/>
          <w:lang w:val="en-US"/>
        </w:rPr>
        <w:t xml:space="preserve">of </w:t>
      </w:r>
      <w:r w:rsidR="00483A5B" w:rsidRPr="002575A7">
        <w:rPr>
          <w:rFonts w:ascii="Book Antiqua" w:hAnsi="Book Antiqua" w:cs="Times New Roman"/>
          <w:sz w:val="24"/>
          <w:szCs w:val="24"/>
          <w:lang w:val="en-US"/>
        </w:rPr>
        <w:t>5-FU</w:t>
      </w:r>
      <w:r w:rsidR="00114D56">
        <w:rPr>
          <w:rFonts w:ascii="Book Antiqua" w:hAnsi="Book Antiqua" w:cs="Times New Roman"/>
          <w:sz w:val="24"/>
          <w:szCs w:val="24"/>
          <w:lang w:val="en-US"/>
        </w:rPr>
        <w:t>,</w:t>
      </w:r>
      <w:r w:rsidR="00483A5B" w:rsidRPr="002575A7">
        <w:rPr>
          <w:rFonts w:ascii="Book Antiqua" w:hAnsi="Book Antiqua" w:cs="Times New Roman"/>
          <w:sz w:val="24"/>
          <w:szCs w:val="24"/>
          <w:lang w:val="en-US"/>
        </w:rPr>
        <w:t xml:space="preserve"> and administration of </w:t>
      </w:r>
      <w:r w:rsidR="0012026A" w:rsidRPr="002575A7">
        <w:rPr>
          <w:rFonts w:ascii="Book Antiqua" w:hAnsi="Book Antiqua" w:cs="Times New Roman"/>
          <w:sz w:val="24"/>
          <w:szCs w:val="24"/>
          <w:lang w:val="en-US"/>
        </w:rPr>
        <w:t xml:space="preserve">hematopoietic </w:t>
      </w:r>
      <w:r w:rsidR="00483A5B" w:rsidRPr="002575A7">
        <w:rPr>
          <w:rFonts w:ascii="Book Antiqua" w:hAnsi="Book Antiqua" w:cs="Times New Roman"/>
          <w:sz w:val="24"/>
          <w:szCs w:val="24"/>
          <w:lang w:val="en-US"/>
        </w:rPr>
        <w:t xml:space="preserve">growth factors to all patients </w:t>
      </w:r>
      <w:r w:rsidR="001B09D0" w:rsidRPr="002575A7">
        <w:rPr>
          <w:rFonts w:ascii="Book Antiqua" w:hAnsi="Book Antiqua" w:cs="Times New Roman"/>
          <w:sz w:val="24"/>
          <w:szCs w:val="24"/>
          <w:lang w:val="en-US"/>
        </w:rPr>
        <w:t xml:space="preserve">with </w:t>
      </w:r>
      <w:r w:rsidR="009D1BBF" w:rsidRPr="002575A7">
        <w:rPr>
          <w:rFonts w:ascii="Book Antiqua" w:hAnsi="Book Antiqua" w:cs="Times New Roman"/>
          <w:sz w:val="24"/>
          <w:szCs w:val="24"/>
          <w:lang w:val="en-US"/>
        </w:rPr>
        <w:t>aPDAC</w:t>
      </w:r>
      <w:r w:rsidR="00530A4E" w:rsidRPr="002575A7">
        <w:rPr>
          <w:rFonts w:ascii="Book Antiqua" w:hAnsi="Book Antiqua" w:cs="Times New Roman"/>
          <w:sz w:val="24"/>
          <w:szCs w:val="24"/>
          <w:vertAlign w:val="superscript"/>
          <w:lang w:val="en-US"/>
        </w:rPr>
        <w:t>[</w:t>
      </w:r>
      <w:r w:rsidR="00530A4E" w:rsidRPr="002575A7">
        <w:rPr>
          <w:rFonts w:ascii="Book Antiqua" w:hAnsi="Book Antiqua" w:cs="Times New Roman"/>
          <w:sz w:val="24"/>
          <w:szCs w:val="24"/>
          <w:lang w:val="en-US"/>
        </w:rPr>
        <w:fldChar w:fldCharType="begin"/>
      </w:r>
      <w:r w:rsidR="00530A4E" w:rsidRPr="002575A7">
        <w:rPr>
          <w:rFonts w:ascii="Book Antiqua" w:hAnsi="Book Antiqua" w:cs="Times New Roman"/>
          <w:sz w:val="24"/>
          <w:szCs w:val="24"/>
          <w:lang w:val="en-US"/>
        </w:rPr>
        <w:instrText xml:space="preserve"> ADDIN ZOTERO_ITEM CSL_CITATION {"citationID":"s4DFojpr","properties":{"formattedCitation":"\\super 10\\nosupersub{}","plainCitation":"10","noteIndex":0},"citationItems":[{"id":639,"uris":["http://zotero.org/users/2205527/items/5GS88XMS"],"uri":["http://zotero.org/users/2205527/items/5GS88XMS"],"itemData":{"id":639,"type":"article-journal","title":"Modified FOLFIRINOX regimen with improved safety and maintained efficacy in pancreatic adenocarcinoma","container-title":"Pancreas","page":"1311-1315","volume":"42","issue":"8","source":"PubMed","abstract":"OBJECTIVES: FOLFIRINOX (5-fluorouracil [5-FU], oxaliplatin, and irinotecan) as compared with gemcitabine in pancreatic cancer (PC) has superior activity and increased toxicity. The bolus 5-FU contributes to the toxicity. We hypothesized that the elimination of bolus 5-FU and use of hematopoietic growth factor will improve the safety profile without compromising the activity of FOLFIRINOX.\nMETHODS: Sixty patients with PC treated with modified FOLFIRINOX (no bolus 5-FU) were reviewed. Patients were divided into metastatic or nonmetastatic (locally advanced or borderline resectable) disease. Toxicity, response rate, progression-free survival, and overall survival were evaluated.\nRESULTS: Nonmetastatic and metastatic disease were present in 24 (40%) and 36 (60%) patients, respectively. The incidence of grade 4 neutropenia, grade 3/4 diarrhea, and fatigue were 3%, 13%, and 13%, respectively. Response rate was 30%. The median progression-free survival for nonmetastatic disease was 13.7 months (95% confidence interval [CI], 9.6-24.6 months), and that for metastatic disease was 8.5 months (95% CI, 3.7-11.0 months), respectively. The median overall survival for nonmetastatic disease was 17.8 months (95% CI, 9.9 months to not estimable), and that for metastatic disease was and 9.0 months (95% CI, 7.1 months to not estimable), respectively.\nCONCLUSIONS: Modified FOLFIRINOX has an improved safety profile with maintained efficacy in metastatic PC. Modified FOLFIRINOX has promising activity in nonmetastatic disease.","DOI":"10.1097/MPA.0b013e31829e2006","ISSN":"1536-4828","note":"PMID: 24152956","journalAbbreviation":"Pancreas","language":"eng","author":[{"family":"Mahaseth","given":"Hemchandra"},{"family":"Brutcher","given":"Edith"},{"family":"Kauh","given":"John"},{"family":"Hawk","given":"Natalyn"},{"family":"Kim","given":"Sungjin"},{"family":"Chen","given":"Zhengjia"},{"family":"Kooby","given":"David A."},{"family":"Maithel","given":"Shishir K."},{"family":"Landry","given":"Jerome"},{"family":"El-Rayes","given":"Bassel F."}],"issued":{"date-parts":[["2013",11]]}}}],"schema":"https://github.com/citation-style-language/schema/raw/master/csl-citation.json"} </w:instrText>
      </w:r>
      <w:r w:rsidR="00530A4E" w:rsidRPr="002575A7">
        <w:rPr>
          <w:rFonts w:ascii="Book Antiqua" w:hAnsi="Book Antiqua" w:cs="Times New Roman"/>
          <w:sz w:val="24"/>
          <w:szCs w:val="24"/>
          <w:lang w:val="en-US"/>
        </w:rPr>
        <w:fldChar w:fldCharType="separate"/>
      </w:r>
      <w:r w:rsidR="00530A4E" w:rsidRPr="00EB33CD">
        <w:rPr>
          <w:rFonts w:ascii="Book Antiqua" w:hAnsi="Book Antiqua" w:cs="Times New Roman"/>
          <w:sz w:val="24"/>
          <w:szCs w:val="24"/>
          <w:vertAlign w:val="superscript"/>
          <w:lang w:val="en-US"/>
        </w:rPr>
        <w:t>10</w:t>
      </w:r>
      <w:r w:rsidR="00530A4E" w:rsidRPr="002575A7">
        <w:rPr>
          <w:rFonts w:ascii="Book Antiqua" w:hAnsi="Book Antiqua" w:cs="Times New Roman"/>
          <w:sz w:val="24"/>
          <w:szCs w:val="24"/>
          <w:lang w:val="en-US"/>
        </w:rPr>
        <w:fldChar w:fldCharType="end"/>
      </w:r>
      <w:r w:rsidR="00530A4E" w:rsidRPr="002575A7">
        <w:rPr>
          <w:rFonts w:ascii="Book Antiqua" w:hAnsi="Book Antiqua" w:cs="Times New Roman"/>
          <w:sz w:val="24"/>
          <w:szCs w:val="24"/>
          <w:vertAlign w:val="superscript"/>
          <w:lang w:val="en-US"/>
        </w:rPr>
        <w:t>]</w:t>
      </w:r>
      <w:r w:rsidR="004B6609" w:rsidRPr="002575A7">
        <w:rPr>
          <w:rFonts w:ascii="Book Antiqua" w:hAnsi="Book Antiqua" w:cs="Times New Roman"/>
          <w:sz w:val="24"/>
          <w:szCs w:val="24"/>
          <w:lang w:val="en-US"/>
        </w:rPr>
        <w:t xml:space="preserve">. This study </w:t>
      </w:r>
      <w:r w:rsidR="00483A5B" w:rsidRPr="002575A7">
        <w:rPr>
          <w:rFonts w:ascii="Book Antiqua" w:hAnsi="Book Antiqua" w:cs="Times New Roman"/>
          <w:sz w:val="24"/>
          <w:szCs w:val="24"/>
          <w:lang w:val="en-US"/>
        </w:rPr>
        <w:t xml:space="preserve">showed a better safety profile </w:t>
      </w:r>
      <w:r w:rsidR="004B6609" w:rsidRPr="002575A7">
        <w:rPr>
          <w:rFonts w:ascii="Book Antiqua" w:hAnsi="Book Antiqua" w:cs="Times New Roman"/>
          <w:sz w:val="24"/>
          <w:szCs w:val="24"/>
          <w:lang w:val="en-US"/>
        </w:rPr>
        <w:t xml:space="preserve">(grade 3 or 4 neutropenia 3%), </w:t>
      </w:r>
      <w:r w:rsidR="00114D56">
        <w:rPr>
          <w:rFonts w:ascii="Book Antiqua" w:hAnsi="Book Antiqua" w:cs="Times New Roman"/>
          <w:sz w:val="24"/>
          <w:szCs w:val="24"/>
          <w:lang w:val="en-US"/>
        </w:rPr>
        <w:t>and</w:t>
      </w:r>
      <w:r w:rsidR="00114D56" w:rsidRPr="002575A7">
        <w:rPr>
          <w:rFonts w:ascii="Book Antiqua" w:hAnsi="Book Antiqua" w:cs="Times New Roman"/>
          <w:sz w:val="24"/>
          <w:szCs w:val="24"/>
          <w:lang w:val="en-US"/>
        </w:rPr>
        <w:t xml:space="preserve"> </w:t>
      </w:r>
      <w:r w:rsidR="00483A5B" w:rsidRPr="002575A7">
        <w:rPr>
          <w:rFonts w:ascii="Book Antiqua" w:hAnsi="Book Antiqua" w:cs="Times New Roman"/>
          <w:sz w:val="24"/>
          <w:szCs w:val="24"/>
          <w:lang w:val="en-US"/>
        </w:rPr>
        <w:t>maintained efficacy</w:t>
      </w:r>
      <w:r w:rsidR="004B6609" w:rsidRPr="002575A7">
        <w:rPr>
          <w:rFonts w:ascii="Book Antiqua" w:hAnsi="Book Antiqua" w:cs="Times New Roman"/>
          <w:sz w:val="24"/>
          <w:szCs w:val="24"/>
          <w:lang w:val="en-US"/>
        </w:rPr>
        <w:t xml:space="preserve">, </w:t>
      </w:r>
      <w:r w:rsidR="00114D56">
        <w:rPr>
          <w:rFonts w:ascii="Book Antiqua" w:hAnsi="Book Antiqua" w:cs="Times New Roman"/>
          <w:sz w:val="24"/>
          <w:szCs w:val="24"/>
          <w:lang w:val="en-US"/>
        </w:rPr>
        <w:t>with</w:t>
      </w:r>
      <w:r w:rsidR="00114D56" w:rsidRPr="002575A7">
        <w:rPr>
          <w:rFonts w:ascii="Book Antiqua" w:hAnsi="Book Antiqua" w:cs="Times New Roman"/>
          <w:sz w:val="24"/>
          <w:szCs w:val="24"/>
          <w:lang w:val="en-US"/>
        </w:rPr>
        <w:t xml:space="preserve"> </w:t>
      </w:r>
      <w:r w:rsidR="004B6609" w:rsidRPr="002575A7">
        <w:rPr>
          <w:rFonts w:ascii="Book Antiqua" w:hAnsi="Book Antiqua" w:cs="Times New Roman"/>
          <w:sz w:val="24"/>
          <w:szCs w:val="24"/>
          <w:lang w:val="en-US"/>
        </w:rPr>
        <w:t xml:space="preserve">a response rate of 30% and </w:t>
      </w:r>
      <w:r w:rsidR="004B2FAC">
        <w:rPr>
          <w:rFonts w:ascii="Book Antiqua" w:hAnsi="Book Antiqua" w:cs="Times New Roman"/>
          <w:sz w:val="24"/>
          <w:szCs w:val="24"/>
          <w:lang w:val="en-US"/>
        </w:rPr>
        <w:t xml:space="preserve">a </w:t>
      </w:r>
      <w:r w:rsidR="004B6609" w:rsidRPr="002575A7">
        <w:rPr>
          <w:rFonts w:ascii="Book Antiqua" w:hAnsi="Book Antiqua" w:cs="Times New Roman"/>
          <w:sz w:val="24"/>
          <w:szCs w:val="24"/>
          <w:lang w:val="en-US"/>
        </w:rPr>
        <w:t xml:space="preserve">median </w:t>
      </w:r>
      <w:r w:rsidR="001B09D0" w:rsidRPr="002575A7">
        <w:rPr>
          <w:rFonts w:ascii="Book Antiqua" w:hAnsi="Book Antiqua" w:cs="Times New Roman"/>
          <w:sz w:val="24"/>
          <w:szCs w:val="24"/>
          <w:lang w:val="en-US"/>
        </w:rPr>
        <w:t>OS of 16.4 mo (9 mo for metastatic disease)</w:t>
      </w:r>
      <w:r w:rsidR="00483A5B" w:rsidRPr="002575A7">
        <w:rPr>
          <w:rFonts w:ascii="Book Antiqua" w:hAnsi="Book Antiqua" w:cs="Times New Roman"/>
          <w:sz w:val="24"/>
          <w:szCs w:val="24"/>
          <w:lang w:val="en-US"/>
        </w:rPr>
        <w:t>.</w:t>
      </w:r>
      <w:r w:rsidR="00847C8C" w:rsidRPr="002575A7">
        <w:rPr>
          <w:rFonts w:ascii="Book Antiqua" w:hAnsi="Book Antiqua" w:cs="Times New Roman"/>
          <w:sz w:val="24"/>
          <w:szCs w:val="24"/>
          <w:lang w:val="en-US"/>
        </w:rPr>
        <w:t xml:space="preserve"> </w:t>
      </w:r>
      <w:r w:rsidR="00356750" w:rsidRPr="002575A7">
        <w:rPr>
          <w:rFonts w:ascii="Book Antiqua" w:hAnsi="Book Antiqua" w:cs="Times New Roman"/>
          <w:sz w:val="24"/>
          <w:szCs w:val="24"/>
          <w:lang w:val="en-US"/>
        </w:rPr>
        <w:t>However</w:t>
      </w:r>
      <w:r w:rsidR="00AD4002" w:rsidRPr="002575A7">
        <w:rPr>
          <w:rFonts w:ascii="Book Antiqua" w:hAnsi="Book Antiqua" w:cs="Times New Roman"/>
          <w:sz w:val="24"/>
          <w:szCs w:val="24"/>
          <w:lang w:val="en-US"/>
        </w:rPr>
        <w:t>,</w:t>
      </w:r>
      <w:r w:rsidR="00356750" w:rsidRPr="002575A7">
        <w:rPr>
          <w:rFonts w:ascii="Book Antiqua" w:hAnsi="Book Antiqua" w:cs="Times New Roman"/>
          <w:sz w:val="24"/>
          <w:szCs w:val="24"/>
          <w:lang w:val="en-US"/>
        </w:rPr>
        <w:t xml:space="preserve"> the incidence of sev</w:t>
      </w:r>
      <w:r w:rsidR="004E5879" w:rsidRPr="002575A7">
        <w:rPr>
          <w:rFonts w:ascii="Book Antiqua" w:hAnsi="Book Antiqua" w:cs="Times New Roman"/>
          <w:sz w:val="24"/>
          <w:szCs w:val="24"/>
          <w:lang w:val="en-US"/>
        </w:rPr>
        <w:t>e</w:t>
      </w:r>
      <w:r w:rsidR="00356750" w:rsidRPr="002575A7">
        <w:rPr>
          <w:rFonts w:ascii="Book Antiqua" w:hAnsi="Book Antiqua" w:cs="Times New Roman"/>
          <w:sz w:val="24"/>
          <w:szCs w:val="24"/>
          <w:lang w:val="en-US"/>
        </w:rPr>
        <w:t>re diarrhea remained</w:t>
      </w:r>
      <w:r w:rsidR="00114D56">
        <w:rPr>
          <w:rFonts w:ascii="Book Antiqua" w:hAnsi="Book Antiqua" w:cs="Times New Roman"/>
          <w:sz w:val="24"/>
          <w:szCs w:val="24"/>
          <w:lang w:val="en-US"/>
        </w:rPr>
        <w:t xml:space="preserve"> high,</w:t>
      </w:r>
      <w:r w:rsidR="00356750" w:rsidRPr="002575A7">
        <w:rPr>
          <w:rFonts w:ascii="Book Antiqua" w:hAnsi="Book Antiqua" w:cs="Times New Roman"/>
          <w:sz w:val="24"/>
          <w:szCs w:val="24"/>
          <w:lang w:val="en-US"/>
        </w:rPr>
        <w:t xml:space="preserve"> at 13%</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{"citationID":"s4DFojpr","properties":{"formattedCitation":"\\super 10\\nosupersub{}","plainCitation":"10","noteIndex":0},"citationItems":[{"id":639,"uris":["http://zotero.org/users/2205527/items/5GS88XMS"],"uri":["http://zotero.org/users/2205527/items/5GS88XMS"],"itemData":{"id":639,"type":"article-journal","title":"Modified FOLFIRINOX regimen with improved safety and maintained efficacy in pancreatic adenocarcinoma","container-title":"Pancreas","page":"1311-1315","volume":"42","issue":"8","source":"PubMed","abstract":"OBJECTIVES: FOLFIRINOX (5-fluorouracil [5-FU], oxaliplatin, and irinotecan) as compared with gemcitabine in pancreatic cancer (PC) has superior activity and increased toxicity. The bolus 5-FU contributes to the toxicity. We hypothesized that the elimination of bolus 5-FU and use of hematopoietic growth factor will improve the safety profile without compromising the activity of FOLFIRINOX.\nMETHODS: Sixty patients with PC treated with modified FOLFIRINOX (no bolus 5-FU) were reviewed. Patients were divided into metastatic or nonmetastatic (locally advanced or borderline resectable) disease. Toxicity, response rate, progression-free survival, and overall survival were evaluated.\nRESULTS: Nonmetastatic and metastatic disease were present in 24 (40%) and 36 (60%) patients, respectively. The incidence of grade 4 neutropenia, grade 3/4 diarrhea, and fatigue were 3%, 13%, and 13%, respectively. Response rate was 30%. The median progression-free survival for nonmetastatic disease was 13.7 months (95% confidence interval [CI], 9.6-24.6 months), and that for metastatic disease was 8.5 months (95% CI, 3.7-11.0 months), respectively. The median overall survival for nonmetastatic disease was 17.8 months (95% CI, 9.9 months to not estimable), and that for metastatic disease was and 9.0 months (95% CI, 7.1 months to not estimable), respectively.\nCONCLUSIONS: Modified FOLFIRINOX has an improved safety profile with maintained efficacy in metastatic PC. Modified FOLFIRINOX has promising activity in nonmetastatic disease.","DOI":"10.1097/MPA.0b013e31829e2006","ISSN":"1536-4828","note":"PMID: 24152956","journalAbbreviation":"Pancreas","language":"eng","author":[{"family":"Mahaseth","given":"Hemchandra"},{"family":"Brutcher","given":"Edith"},{"family":"Kauh","given":"John"},{"family":"Hawk","given":"Natalyn"},{"family":"Kim","given":"Sungjin"},{"family":"Chen","given":"Zhengjia"},{"family":"Kooby","given":"David A."},{"family":"Maithel","given":"Shishir K."},{"family":"Landry","given":"Jerome"},{"family":"El-Rayes","given":"Bassel F."}],"issued":{"date-parts":[["2013",11]]}}}],"schema":"https://github.com/citation-style-language/schema/raw/master/csl-citation.json"}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10</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p>
    <w:p w14:paraId="452AB296" w14:textId="4857065E" w:rsidR="00DC7492" w:rsidRPr="002575A7" w:rsidRDefault="00356750" w:rsidP="00916870">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FOLFOXIRI, another modified schedule</w:t>
      </w:r>
      <w:r w:rsidR="00C3583B" w:rsidRPr="002575A7">
        <w:rPr>
          <w:rFonts w:ascii="Book Antiqua" w:hAnsi="Book Antiqua" w:cs="Times New Roman"/>
          <w:sz w:val="24"/>
          <w:szCs w:val="24"/>
          <w:lang w:val="en-US"/>
        </w:rPr>
        <w:t xml:space="preserve"> was developed</w:t>
      </w:r>
      <w:r w:rsidRPr="002575A7">
        <w:rPr>
          <w:rFonts w:ascii="Book Antiqua" w:hAnsi="Book Antiqua" w:cs="Times New Roman"/>
          <w:sz w:val="24"/>
          <w:szCs w:val="24"/>
          <w:lang w:val="en-US"/>
        </w:rPr>
        <w:t xml:space="preserve"> based on </w:t>
      </w:r>
      <w:r w:rsidR="00C3583B" w:rsidRPr="002575A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experience of </w:t>
      </w:r>
      <w:r w:rsidR="00114D56">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Gruppo Oncologico Nord Ovest (GONO) in metastatic colorectal cance</w:t>
      </w:r>
      <w:r w:rsidR="007F74F6" w:rsidRPr="002575A7">
        <w:rPr>
          <w:rFonts w:ascii="Book Antiqua" w:hAnsi="Book Antiqua" w:cs="Times New Roman"/>
          <w:sz w:val="24"/>
          <w:szCs w:val="24"/>
          <w:lang w:val="en-US"/>
        </w:rPr>
        <w:t>rs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{"citationID":"b30iAmSs","properties":{"formattedCitation":"\\super 11\\nosupersub{}","plainCitation":"11","noteIndex":0},"citationItems":[{"id":740,"uris":["http://zotero.org/users/2205527/items/5AX864JS"],"uri":["http://zotero.org/users/2205527/items/5AX864JS"],"itemData":{"id":740,"type":"article-journal","title":"Phase III trial of infusional fluorouracil, leucovorin, oxaliplatin, and irinotecan (FOLFOXIRI) compared with infusional fluorouracil, leucovorin, and irinotecan (FOLFIRI) as first-line treatment for metastatic colorectal cancer: the Gruppo Oncologico Nord Ovest","container-title":"Journal of Clinical Oncology: Official Journal of the American Society of Clinical Oncology","page":"1670-1676","volume":"25","issue":"13","source":"PubMed","abstract":"PURPOSE: The Gruppo Oncologico Nord Ovest (GONO) conducted a phase III study comparing fluorouracil, leucovorin, oxaliplatin, and irinotecan (FOLFOXIRI [irinotecan 165 mg/m2 day 1, oxaliplatin 85 mg/m2 day 1, leucovorin 200 mg/m2 day 1, fluorouracil 3,200 mg/m2 48-hour continuous infusion starting on day 1, every 2 weeks]) with infusional fluorouracil, leucovorin, and irinotecan (FOLFIRI).\nMETHODS: Selection criteria included unresectable metastatic colorectal cancer, age 18 to 75 years, and no prior chemotherapy for advanced disease. The primary end point was response rate (RR).\nRESULTS: A total of 244 patients were randomly assigned. An increase of grade 2 to 3 peripheral neurotoxicity (0% v 19%; P &lt; .001), and grade 3 to 4 neutropenia (28% v 50%; P &lt; .001) were observed in the FOLFOXIRI arm. The incidence of febrile neutropenia (3% v 5%) and grade 3 to 4 diarrhea (12% v 20%) were not significantly different. Responses, as assessed by investigators, were, for FOLFIRI and FOLFOXIRI, respectively, complete, 6% and 8%; and partial, 35% and 58%, (RR, 41% v 66%; P = .0002). RR confirmed by an external panel was 34% versus 60% (P &lt; .0001). The R0 secondary resection rate of metastases was greater in the FOLFOXIRI arm (6% v 15%; P = .033, among all 244 patients; and 12% v 36%; P = .017 among patients with liver metastases only). Progression-free survival (PFS) and overall survival (OS) were both significantly improved in the FOLFOXIRI arm (median PFS, 6.9 v 9.8 months; hazard ratio [HR], 0.63; P = .0006; median OS, 16.7 v 22.6 months; HR, 0.70; P = .032).\nCONCLUSION: The FOLFOXIRI regimen improves RR, PFS, and OS compared with FOLFIRI, with an increased, but manageable, toxicity in patients with metastatic colorectal cancer with favorable prognostic characteristics. Further studies of FOLFOXIRI in combination with targeted agents and in the neoadjuvant setting are warranted.","DOI":"10.1200/JCO.2006.09.0928","ISSN":"1527-7755","note":"PMID: 17470860","title-short":"Phase III trial of infusional fluorouracil, leucovorin, oxaliplatin, and irinotecan (FOLFOXIRI) compared with infusional fluorouracil, leucovorin, and irinotecan (FOLFIRI) as first-line treatment for metastatic colorectal cancer","journalAbbreviation":"J. Clin. Oncol.","language":"eng","author":[{"family":"Falcone","given":"Alfredo"},{"family":"Ricci","given":"Sergio"},{"family":"Brunetti","given":"Isa"},{"family":"Pfanner","given":"Elisabetta"},{"family":"Allegrini","given":"Giacomo"},{"family":"Barbara","given":"Cecilia"},{"family":"Crinò","given":"Lucio"},{"family":"Benedetti","given":"Giovanni"},{"family":"Evangelista","given":"Walter"},{"family":"Fanchini","given":"Laura"},{"family":"Cortesi","given":"Enrico"},{"family":"Picone","given":"Vincenzo"},{"family":"Vitello","given":"Stefano"},{"family":"Chiara","given":"Silvana"},{"family":"Granetto","given":"Cristina"},{"family":"Porcile","given":"Gianfranco"},{"family":"Fioretto","given":"Luisa"},{"family":"Orlandini","given":"Cinzia"},{"family":"Andreuccetti","given":"Michele"},{"family":"Masi","given":"Gianluca"},{"literal":"Gruppo Oncologico Nord Ovest"}],"issued":{"date-parts":[["2007",5,1]]}}}],"schema":"https://github.com/citation-style-language/schema/raw/master/csl-citation.json"}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11</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4E5879" w:rsidRPr="002575A7">
        <w:rPr>
          <w:rFonts w:ascii="Book Antiqua" w:hAnsi="Book Antiqua" w:cs="Times New Roman"/>
          <w:sz w:val="24"/>
          <w:szCs w:val="24"/>
          <w:lang w:val="en-US"/>
        </w:rPr>
        <w:t xml:space="preserve"> to limit digestive and </w:t>
      </w:r>
      <w:r w:rsidR="00191822" w:rsidRPr="002575A7">
        <w:rPr>
          <w:rFonts w:ascii="Book Antiqua" w:hAnsi="Book Antiqua" w:cs="Times New Roman"/>
          <w:sz w:val="24"/>
          <w:szCs w:val="24"/>
          <w:lang w:val="en-US"/>
        </w:rPr>
        <w:t>hematological</w:t>
      </w:r>
      <w:r w:rsidR="004E5879" w:rsidRPr="002575A7">
        <w:rPr>
          <w:rFonts w:ascii="Book Antiqua" w:hAnsi="Book Antiqua" w:cs="Times New Roman"/>
          <w:sz w:val="24"/>
          <w:szCs w:val="24"/>
          <w:lang w:val="en-US"/>
        </w:rPr>
        <w:t xml:space="preserve"> toxicities. This regimen consisted of a lower dose of irinotecan (165 mg/m</w:t>
      </w:r>
      <w:r w:rsidR="004E5879" w:rsidRPr="002575A7">
        <w:rPr>
          <w:rFonts w:ascii="Book Antiqua" w:hAnsi="Book Antiqua" w:cs="Times New Roman"/>
          <w:sz w:val="24"/>
          <w:szCs w:val="24"/>
          <w:vertAlign w:val="superscript"/>
          <w:lang w:val="en-US"/>
        </w:rPr>
        <w:t>2</w:t>
      </w:r>
      <w:r w:rsidR="004E5879" w:rsidRPr="002575A7">
        <w:rPr>
          <w:rFonts w:ascii="Book Antiqua" w:hAnsi="Book Antiqua" w:cs="Times New Roman"/>
          <w:sz w:val="24"/>
          <w:szCs w:val="24"/>
          <w:lang w:val="en-US"/>
        </w:rPr>
        <w:t xml:space="preserve">), no bolus </w:t>
      </w:r>
      <w:r w:rsidR="00114D56">
        <w:rPr>
          <w:rFonts w:ascii="Book Antiqua" w:hAnsi="Book Antiqua" w:cs="Times New Roman"/>
          <w:sz w:val="24"/>
          <w:szCs w:val="24"/>
          <w:lang w:val="en-US"/>
        </w:rPr>
        <w:t xml:space="preserve">of </w:t>
      </w:r>
      <w:r w:rsidR="004E5879" w:rsidRPr="002575A7">
        <w:rPr>
          <w:rFonts w:ascii="Book Antiqua" w:hAnsi="Book Antiqua" w:cs="Times New Roman"/>
          <w:sz w:val="24"/>
          <w:szCs w:val="24"/>
          <w:lang w:val="en-US"/>
        </w:rPr>
        <w:t>5-</w:t>
      </w:r>
      <w:r w:rsidR="00AD4002" w:rsidRPr="002575A7">
        <w:rPr>
          <w:rFonts w:ascii="Book Antiqua" w:hAnsi="Book Antiqua" w:cs="Times New Roman"/>
          <w:sz w:val="24"/>
          <w:szCs w:val="24"/>
          <w:lang w:val="en-US"/>
        </w:rPr>
        <w:t>FU</w:t>
      </w:r>
      <w:r w:rsidR="004E5879" w:rsidRPr="002575A7">
        <w:rPr>
          <w:rFonts w:ascii="Book Antiqua" w:hAnsi="Book Antiqua" w:cs="Times New Roman"/>
          <w:sz w:val="24"/>
          <w:szCs w:val="24"/>
          <w:lang w:val="en-US"/>
        </w:rPr>
        <w:t xml:space="preserve">, and an increase </w:t>
      </w:r>
      <w:r w:rsidR="00114D56">
        <w:rPr>
          <w:rFonts w:ascii="Book Antiqua" w:hAnsi="Book Antiqua" w:cs="Times New Roman"/>
          <w:sz w:val="24"/>
          <w:szCs w:val="24"/>
          <w:lang w:val="en-US"/>
        </w:rPr>
        <w:t>in</w:t>
      </w:r>
      <w:r w:rsidR="00114D56" w:rsidRPr="002575A7">
        <w:rPr>
          <w:rFonts w:ascii="Book Antiqua" w:hAnsi="Book Antiqua" w:cs="Times New Roman"/>
          <w:sz w:val="24"/>
          <w:szCs w:val="24"/>
          <w:lang w:val="en-US"/>
        </w:rPr>
        <w:t xml:space="preserve"> </w:t>
      </w:r>
      <w:r w:rsidR="004E5879" w:rsidRPr="002575A7">
        <w:rPr>
          <w:rFonts w:ascii="Book Antiqua" w:hAnsi="Book Antiqua" w:cs="Times New Roman"/>
          <w:sz w:val="24"/>
          <w:szCs w:val="24"/>
          <w:lang w:val="en-US"/>
        </w:rPr>
        <w:t xml:space="preserve">continuous intravenous </w:t>
      </w:r>
      <w:r w:rsidR="007F74F6" w:rsidRPr="002575A7">
        <w:rPr>
          <w:rFonts w:ascii="Book Antiqua" w:hAnsi="Book Antiqua" w:cs="Times New Roman"/>
          <w:sz w:val="24"/>
          <w:szCs w:val="24"/>
          <w:lang w:val="en-US"/>
        </w:rPr>
        <w:t xml:space="preserve">5-FU </w:t>
      </w:r>
      <w:r w:rsidR="004E5879" w:rsidRPr="002575A7">
        <w:rPr>
          <w:rFonts w:ascii="Book Antiqua" w:hAnsi="Book Antiqua" w:cs="Times New Roman"/>
          <w:sz w:val="24"/>
          <w:szCs w:val="24"/>
          <w:lang w:val="en-US"/>
        </w:rPr>
        <w:t>infusion at 3200 mg/m</w:t>
      </w:r>
      <w:r w:rsidR="004E5879" w:rsidRPr="002575A7">
        <w:rPr>
          <w:rFonts w:ascii="Book Antiqua" w:hAnsi="Book Antiqua" w:cs="Times New Roman"/>
          <w:sz w:val="24"/>
          <w:szCs w:val="24"/>
          <w:vertAlign w:val="superscript"/>
          <w:lang w:val="en-US"/>
        </w:rPr>
        <w:t>2</w:t>
      </w:r>
      <w:r w:rsidR="00114D56">
        <w:rPr>
          <w:rFonts w:ascii="Book Antiqua" w:hAnsi="Book Antiqua" w:cs="Times New Roman"/>
          <w:sz w:val="24"/>
          <w:szCs w:val="24"/>
          <w:lang w:val="en-US"/>
        </w:rPr>
        <w:t>,</w:t>
      </w:r>
      <w:r w:rsidR="0077371E" w:rsidRPr="002575A7">
        <w:rPr>
          <w:rFonts w:ascii="Book Antiqua" w:hAnsi="Book Antiqua" w:cs="Times New Roman"/>
          <w:sz w:val="24"/>
          <w:szCs w:val="24"/>
          <w:lang w:val="en-US"/>
        </w:rPr>
        <w:t xml:space="preserve"> </w:t>
      </w:r>
      <w:r w:rsidR="00114D56">
        <w:rPr>
          <w:rFonts w:ascii="Book Antiqua" w:hAnsi="Book Antiqua" w:cs="Times New Roman"/>
          <w:sz w:val="24"/>
          <w:szCs w:val="24"/>
          <w:lang w:val="en-US"/>
        </w:rPr>
        <w:t>while</w:t>
      </w:r>
      <w:r w:rsidR="00C3583B" w:rsidRPr="002575A7">
        <w:rPr>
          <w:rFonts w:ascii="Book Antiqua" w:hAnsi="Book Antiqua" w:cs="Times New Roman"/>
          <w:sz w:val="24"/>
          <w:szCs w:val="24"/>
          <w:lang w:val="en-US"/>
        </w:rPr>
        <w:t xml:space="preserve"> </w:t>
      </w:r>
      <w:r w:rsidR="0077371E" w:rsidRPr="002575A7">
        <w:rPr>
          <w:rFonts w:ascii="Book Antiqua" w:hAnsi="Book Antiqua" w:cs="Times New Roman"/>
          <w:sz w:val="24"/>
          <w:szCs w:val="24"/>
          <w:lang w:val="en-US"/>
        </w:rPr>
        <w:t>o</w:t>
      </w:r>
      <w:r w:rsidR="006F7118" w:rsidRPr="002575A7">
        <w:rPr>
          <w:rFonts w:ascii="Book Antiqua" w:hAnsi="Book Antiqua" w:cs="Times New Roman"/>
          <w:sz w:val="24"/>
          <w:szCs w:val="24"/>
          <w:lang w:val="en-US"/>
        </w:rPr>
        <w:t xml:space="preserve">xaliplatin and leucovorin remained unchanged. </w:t>
      </w:r>
      <w:r w:rsidR="00C3583B" w:rsidRPr="002575A7">
        <w:rPr>
          <w:rFonts w:ascii="Book Antiqua" w:hAnsi="Book Antiqua" w:cs="Times New Roman"/>
          <w:sz w:val="24"/>
          <w:szCs w:val="24"/>
          <w:lang w:val="en-US"/>
        </w:rPr>
        <w:t xml:space="preserve">To the best of our knowledge, to date, </w:t>
      </w:r>
      <w:r w:rsidR="00114D56">
        <w:rPr>
          <w:rFonts w:ascii="Book Antiqua" w:hAnsi="Book Antiqua" w:cs="Times New Roman"/>
          <w:sz w:val="24"/>
          <w:szCs w:val="24"/>
          <w:lang w:val="en-US"/>
        </w:rPr>
        <w:t xml:space="preserve">the </w:t>
      </w:r>
      <w:r w:rsidR="0077371E" w:rsidRPr="002575A7">
        <w:rPr>
          <w:rFonts w:ascii="Book Antiqua" w:hAnsi="Book Antiqua" w:cs="Times New Roman"/>
          <w:sz w:val="24"/>
          <w:szCs w:val="24"/>
          <w:lang w:val="en-US"/>
        </w:rPr>
        <w:t xml:space="preserve">FOLFOXIRI and FOLFIRINOX regimens have </w:t>
      </w:r>
      <w:r w:rsidR="00114D56">
        <w:rPr>
          <w:rFonts w:ascii="Book Antiqua" w:hAnsi="Book Antiqua" w:cs="Times New Roman"/>
          <w:sz w:val="24"/>
          <w:szCs w:val="24"/>
          <w:lang w:val="en-US"/>
        </w:rPr>
        <w:t>never</w:t>
      </w:r>
      <w:r w:rsidR="00114D56" w:rsidRPr="002575A7">
        <w:rPr>
          <w:rFonts w:ascii="Book Antiqua" w:hAnsi="Book Antiqua" w:cs="Times New Roman"/>
          <w:sz w:val="24"/>
          <w:szCs w:val="24"/>
          <w:lang w:val="en-US"/>
        </w:rPr>
        <w:t xml:space="preserve"> </w:t>
      </w:r>
      <w:r w:rsidR="0077371E" w:rsidRPr="002575A7">
        <w:rPr>
          <w:rFonts w:ascii="Book Antiqua" w:hAnsi="Book Antiqua" w:cs="Times New Roman"/>
          <w:sz w:val="24"/>
          <w:szCs w:val="24"/>
          <w:lang w:val="en-US"/>
        </w:rPr>
        <w:t xml:space="preserve">been compared head-to-head. </w:t>
      </w:r>
      <w:r w:rsidR="00DC7492" w:rsidRPr="002575A7">
        <w:rPr>
          <w:rFonts w:ascii="Book Antiqua" w:hAnsi="Book Antiqua" w:cs="Times New Roman"/>
          <w:sz w:val="24"/>
          <w:szCs w:val="24"/>
          <w:lang w:val="en-US"/>
        </w:rPr>
        <w:t xml:space="preserve">In this </w:t>
      </w:r>
      <w:r w:rsidR="00046774" w:rsidRPr="002575A7">
        <w:rPr>
          <w:rFonts w:ascii="Book Antiqua" w:hAnsi="Book Antiqua" w:cs="Times New Roman"/>
          <w:sz w:val="24"/>
          <w:szCs w:val="24"/>
          <w:lang w:val="en-US"/>
        </w:rPr>
        <w:t xml:space="preserve">exploratory </w:t>
      </w:r>
      <w:r w:rsidR="00DC7492" w:rsidRPr="002575A7">
        <w:rPr>
          <w:rFonts w:ascii="Book Antiqua" w:hAnsi="Book Antiqua" w:cs="Times New Roman"/>
          <w:sz w:val="24"/>
          <w:szCs w:val="24"/>
          <w:lang w:val="en-US"/>
        </w:rPr>
        <w:t>population-based cohort study, we aimed to compare clinical outcomes,</w:t>
      </w:r>
      <w:r w:rsidR="00784214" w:rsidRPr="002575A7">
        <w:rPr>
          <w:rFonts w:ascii="Book Antiqua" w:hAnsi="Book Antiqua" w:cs="Times New Roman"/>
          <w:sz w:val="24"/>
          <w:szCs w:val="24"/>
          <w:lang w:val="en-US"/>
        </w:rPr>
        <w:t xml:space="preserve"> in terms of safety and efficacy,</w:t>
      </w:r>
      <w:r w:rsidR="00DC7492" w:rsidRPr="002575A7">
        <w:rPr>
          <w:rFonts w:ascii="Book Antiqua" w:hAnsi="Book Antiqua" w:cs="Times New Roman"/>
          <w:sz w:val="24"/>
          <w:szCs w:val="24"/>
          <w:lang w:val="en-US"/>
        </w:rPr>
        <w:t xml:space="preserve"> between </w:t>
      </w:r>
      <w:r w:rsidR="004308EE">
        <w:rPr>
          <w:rFonts w:ascii="Book Antiqua" w:hAnsi="Book Antiqua" w:cs="Times New Roman"/>
          <w:sz w:val="24"/>
          <w:szCs w:val="24"/>
          <w:lang w:val="en-US"/>
        </w:rPr>
        <w:t xml:space="preserve">the </w:t>
      </w:r>
      <w:r w:rsidR="00DC7492" w:rsidRPr="002575A7">
        <w:rPr>
          <w:rFonts w:ascii="Book Antiqua" w:hAnsi="Book Antiqua" w:cs="Times New Roman"/>
          <w:sz w:val="24"/>
          <w:szCs w:val="24"/>
          <w:lang w:val="en-US"/>
        </w:rPr>
        <w:t>FO</w:t>
      </w:r>
      <w:r w:rsidR="004D16C9" w:rsidRPr="002575A7">
        <w:rPr>
          <w:rFonts w:ascii="Book Antiqua" w:hAnsi="Book Antiqua" w:cs="Times New Roman"/>
          <w:sz w:val="24"/>
          <w:szCs w:val="24"/>
          <w:lang w:val="en-US"/>
        </w:rPr>
        <w:t xml:space="preserve">LFOXIRI and FOLFIRINOX regimens, </w:t>
      </w:r>
      <w:r w:rsidR="00DC7492" w:rsidRPr="002575A7">
        <w:rPr>
          <w:rFonts w:ascii="Book Antiqua" w:hAnsi="Book Antiqua" w:cs="Times New Roman"/>
          <w:sz w:val="24"/>
          <w:szCs w:val="24"/>
          <w:lang w:val="en-US"/>
        </w:rPr>
        <w:t xml:space="preserve">in patients with </w:t>
      </w:r>
      <w:r w:rsidR="009D1BBF" w:rsidRPr="002575A7">
        <w:rPr>
          <w:rFonts w:ascii="Book Antiqua" w:hAnsi="Book Antiqua" w:cs="Times New Roman"/>
          <w:sz w:val="24"/>
          <w:szCs w:val="24"/>
          <w:lang w:val="en-US"/>
        </w:rPr>
        <w:t>aPDAC</w:t>
      </w:r>
      <w:r w:rsidR="00DC7492" w:rsidRPr="002575A7">
        <w:rPr>
          <w:rFonts w:ascii="Book Antiqua" w:hAnsi="Book Antiqua" w:cs="Times New Roman"/>
          <w:sz w:val="24"/>
          <w:szCs w:val="24"/>
          <w:lang w:val="en-US"/>
        </w:rPr>
        <w:t xml:space="preserve"> in routine clinical practice.</w:t>
      </w:r>
    </w:p>
    <w:p w14:paraId="6D7F3CCE" w14:textId="50D15A25" w:rsidR="004B4E99" w:rsidRPr="002575A7" w:rsidRDefault="004B4E99" w:rsidP="00864BDB">
      <w:pPr>
        <w:snapToGrid w:val="0"/>
        <w:spacing w:after="0" w:line="360" w:lineRule="auto"/>
        <w:jc w:val="both"/>
        <w:rPr>
          <w:rFonts w:ascii="Book Antiqua" w:hAnsi="Book Antiqua" w:cs="Times New Roman"/>
          <w:sz w:val="24"/>
          <w:szCs w:val="24"/>
          <w:lang w:val="en-US"/>
        </w:rPr>
      </w:pPr>
    </w:p>
    <w:p w14:paraId="62D5533F" w14:textId="77777777" w:rsidR="00B60AE3" w:rsidRPr="00B60AE3" w:rsidRDefault="00B60AE3" w:rsidP="00B60AE3">
      <w:pPr>
        <w:adjustRightInd w:val="0"/>
        <w:snapToGrid w:val="0"/>
        <w:spacing w:after="0" w:line="360" w:lineRule="auto"/>
        <w:jc w:val="both"/>
        <w:rPr>
          <w:rFonts w:ascii="Book Antiqua" w:hAnsi="Book Antiqua" w:cs="Calibri"/>
          <w:b/>
          <w:sz w:val="24"/>
          <w:szCs w:val="24"/>
          <w:u w:val="single"/>
          <w:lang w:val="en-US"/>
        </w:rPr>
      </w:pPr>
      <w:bookmarkStart w:id="4" w:name="_Hlk27568397"/>
      <w:r w:rsidRPr="00B60AE3">
        <w:rPr>
          <w:rFonts w:ascii="Book Antiqua" w:hAnsi="Book Antiqua" w:cs="Calibri"/>
          <w:b/>
          <w:sz w:val="24"/>
          <w:szCs w:val="24"/>
          <w:u w:val="single"/>
          <w:lang w:val="en-US"/>
        </w:rPr>
        <w:t>MATERIALS AND METHODS</w:t>
      </w:r>
    </w:p>
    <w:bookmarkEnd w:id="4"/>
    <w:p w14:paraId="21D5D96C" w14:textId="786ED559" w:rsidR="008A4B6C" w:rsidRPr="002575A7" w:rsidRDefault="008A4B6C"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Patients</w:t>
      </w:r>
    </w:p>
    <w:p w14:paraId="2402B863" w14:textId="19DE0C5F" w:rsidR="00E324E1" w:rsidRPr="002575A7" w:rsidRDefault="008A4B6C"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All consecutive patients with histologically proven </w:t>
      </w:r>
      <w:r w:rsidR="009D1BBF" w:rsidRPr="002575A7">
        <w:rPr>
          <w:rFonts w:ascii="Book Antiqua" w:hAnsi="Book Antiqua" w:cs="Times New Roman"/>
          <w:sz w:val="24"/>
          <w:szCs w:val="24"/>
          <w:lang w:val="en-US"/>
        </w:rPr>
        <w:t>aPDAC</w:t>
      </w:r>
      <w:r w:rsidR="009F276E"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w:t>
      </w:r>
      <w:r w:rsidR="006227EF" w:rsidRPr="00916870">
        <w:rPr>
          <w:rFonts w:ascii="Book Antiqua" w:hAnsi="Book Antiqua" w:cs="Times New Roman"/>
          <w:i/>
          <w:iCs/>
          <w:sz w:val="24"/>
          <w:szCs w:val="24"/>
          <w:lang w:val="en-US"/>
        </w:rPr>
        <w:t>i.e.</w:t>
      </w:r>
      <w:r w:rsidRPr="002575A7">
        <w:rPr>
          <w:rFonts w:ascii="Book Antiqua" w:hAnsi="Book Antiqua" w:cs="Times New Roman"/>
          <w:sz w:val="24"/>
          <w:szCs w:val="24"/>
          <w:lang w:val="en-US"/>
        </w:rPr>
        <w:t xml:space="preserve">, metastatic, locally advanced, or recurrent after surgery) who were treated in </w:t>
      </w:r>
      <w:r w:rsidR="0012026A" w:rsidRPr="002575A7">
        <w:rPr>
          <w:rFonts w:ascii="Book Antiqua" w:hAnsi="Book Antiqua" w:cs="Times New Roman"/>
          <w:sz w:val="24"/>
          <w:szCs w:val="24"/>
          <w:lang w:val="en-US"/>
        </w:rPr>
        <w:t>L1</w:t>
      </w:r>
      <w:r w:rsidR="006472EE" w:rsidRPr="002575A7">
        <w:rPr>
          <w:rFonts w:ascii="Book Antiqua" w:hAnsi="Book Antiqua" w:cs="Times New Roman"/>
          <w:sz w:val="24"/>
          <w:szCs w:val="24"/>
          <w:lang w:val="en-US"/>
        </w:rPr>
        <w:t xml:space="preserve"> </w:t>
      </w:r>
      <w:r w:rsidR="00D62E40" w:rsidRPr="002575A7">
        <w:rPr>
          <w:rFonts w:ascii="Book Antiqua" w:hAnsi="Book Antiqua" w:cs="Times New Roman"/>
          <w:sz w:val="24"/>
          <w:szCs w:val="24"/>
          <w:lang w:val="en-US"/>
        </w:rPr>
        <w:t>in</w:t>
      </w:r>
      <w:r w:rsidR="006472EE" w:rsidRPr="002575A7">
        <w:rPr>
          <w:rFonts w:ascii="Book Antiqua" w:hAnsi="Book Antiqua" w:cs="Times New Roman"/>
          <w:sz w:val="24"/>
          <w:szCs w:val="24"/>
          <w:lang w:val="en-US"/>
        </w:rPr>
        <w:t xml:space="preserve"> two French institutions</w:t>
      </w:r>
      <w:r w:rsidR="00D62E40" w:rsidRPr="002575A7">
        <w:rPr>
          <w:rFonts w:ascii="Book Antiqua" w:hAnsi="Book Antiqua" w:cs="Times New Roman"/>
          <w:sz w:val="24"/>
          <w:szCs w:val="24"/>
          <w:lang w:val="en-US"/>
        </w:rPr>
        <w:t xml:space="preserve"> were </w:t>
      </w:r>
      <w:r w:rsidR="00F30A51" w:rsidRPr="002575A7">
        <w:rPr>
          <w:rFonts w:ascii="Book Antiqua" w:hAnsi="Book Antiqua" w:cs="Times New Roman"/>
          <w:sz w:val="24"/>
          <w:szCs w:val="24"/>
          <w:lang w:val="en-US"/>
        </w:rPr>
        <w:t>included</w:t>
      </w:r>
      <w:r w:rsidR="00A31DAA" w:rsidRPr="002575A7">
        <w:rPr>
          <w:rFonts w:ascii="Book Antiqua" w:hAnsi="Book Antiqua" w:cs="Times New Roman"/>
          <w:sz w:val="24"/>
          <w:szCs w:val="24"/>
          <w:lang w:val="en-US"/>
        </w:rPr>
        <w:t>.</w:t>
      </w:r>
      <w:r w:rsidR="00961678" w:rsidRPr="002575A7">
        <w:rPr>
          <w:rFonts w:ascii="Book Antiqua" w:hAnsi="Book Antiqua" w:cs="Times New Roman"/>
          <w:sz w:val="24"/>
          <w:szCs w:val="24"/>
          <w:lang w:val="en-US"/>
        </w:rPr>
        <w:t xml:space="preserve"> Patients treated with FOLFOXIRI were enrolled at Besancon University Hospital, between January 2011 and December 2015</w:t>
      </w:r>
      <w:r w:rsidR="00114D56">
        <w:rPr>
          <w:rFonts w:ascii="Book Antiqua" w:hAnsi="Book Antiqua" w:cs="Times New Roman"/>
          <w:sz w:val="24"/>
          <w:szCs w:val="24"/>
          <w:lang w:val="en-US"/>
        </w:rPr>
        <w:t>,</w:t>
      </w:r>
      <w:r w:rsidR="00961678" w:rsidRPr="002575A7">
        <w:rPr>
          <w:rFonts w:ascii="Book Antiqua" w:hAnsi="Book Antiqua" w:cs="Times New Roman"/>
          <w:sz w:val="24"/>
          <w:szCs w:val="24"/>
          <w:lang w:val="en-US"/>
        </w:rPr>
        <w:t xml:space="preserve"> </w:t>
      </w:r>
      <w:r w:rsidR="00114D56">
        <w:rPr>
          <w:rFonts w:ascii="Book Antiqua" w:hAnsi="Book Antiqua" w:cs="Times New Roman"/>
          <w:sz w:val="24"/>
          <w:szCs w:val="24"/>
          <w:lang w:val="en-US"/>
        </w:rPr>
        <w:t>w</w:t>
      </w:r>
      <w:r w:rsidR="00F30A51" w:rsidRPr="002575A7">
        <w:rPr>
          <w:rFonts w:ascii="Book Antiqua" w:hAnsi="Book Antiqua" w:cs="Times New Roman"/>
          <w:sz w:val="24"/>
          <w:szCs w:val="24"/>
          <w:lang w:val="en-US"/>
        </w:rPr>
        <w:t xml:space="preserve">hereas, </w:t>
      </w:r>
      <w:r w:rsidR="00114D56">
        <w:rPr>
          <w:rFonts w:ascii="Book Antiqua" w:hAnsi="Book Antiqua" w:cs="Times New Roman"/>
          <w:sz w:val="24"/>
          <w:szCs w:val="24"/>
          <w:lang w:val="en-US"/>
        </w:rPr>
        <w:t xml:space="preserve">the </w:t>
      </w:r>
      <w:r w:rsidR="00961678" w:rsidRPr="002575A7">
        <w:rPr>
          <w:rFonts w:ascii="Book Antiqua" w:hAnsi="Book Antiqua" w:cs="Times New Roman"/>
          <w:sz w:val="24"/>
          <w:szCs w:val="24"/>
          <w:lang w:val="en-US"/>
        </w:rPr>
        <w:t>FOLFIRINOX group comprised patients who received th</w:t>
      </w:r>
      <w:r w:rsidR="00724507">
        <w:rPr>
          <w:rFonts w:ascii="Book Antiqua" w:hAnsi="Book Antiqua" w:cs="Times New Roman"/>
          <w:sz w:val="24"/>
          <w:szCs w:val="24"/>
          <w:lang w:val="en-US"/>
        </w:rPr>
        <w:t>is</w:t>
      </w:r>
      <w:r w:rsidR="00961678" w:rsidRPr="002575A7">
        <w:rPr>
          <w:rFonts w:ascii="Book Antiqua" w:hAnsi="Book Antiqua" w:cs="Times New Roman"/>
          <w:sz w:val="24"/>
          <w:szCs w:val="24"/>
          <w:lang w:val="en-US"/>
        </w:rPr>
        <w:t xml:space="preserve"> standard regimen </w:t>
      </w:r>
      <w:r w:rsidR="00F30A51" w:rsidRPr="002575A7">
        <w:rPr>
          <w:rFonts w:ascii="Book Antiqua" w:hAnsi="Book Antiqua" w:cs="Times New Roman"/>
          <w:sz w:val="24"/>
          <w:szCs w:val="24"/>
          <w:lang w:val="en-US"/>
        </w:rPr>
        <w:t xml:space="preserve">at </w:t>
      </w:r>
      <w:r w:rsidR="00961678" w:rsidRPr="002575A7">
        <w:rPr>
          <w:rFonts w:ascii="Book Antiqua" w:hAnsi="Book Antiqua" w:cs="Times New Roman"/>
          <w:sz w:val="24"/>
          <w:szCs w:val="24"/>
          <w:lang w:val="en-US"/>
        </w:rPr>
        <w:t xml:space="preserve">Lille University Hospital, between January 2011 and December 2017. </w:t>
      </w:r>
      <w:r w:rsidR="00E324E1" w:rsidRPr="002575A7">
        <w:rPr>
          <w:rFonts w:ascii="Book Antiqua" w:hAnsi="Book Antiqua" w:cs="Times New Roman"/>
          <w:sz w:val="24"/>
          <w:szCs w:val="24"/>
          <w:lang w:val="en-US"/>
        </w:rPr>
        <w:t xml:space="preserve">Patients were prospectively identified through the chemotherapy </w:t>
      </w:r>
      <w:r w:rsidR="003105E8" w:rsidRPr="002575A7">
        <w:rPr>
          <w:rFonts w:ascii="Book Antiqua" w:hAnsi="Book Antiqua" w:cs="Times New Roman"/>
          <w:sz w:val="24"/>
          <w:szCs w:val="24"/>
          <w:lang w:val="en-US"/>
        </w:rPr>
        <w:t xml:space="preserve">prescribing software </w:t>
      </w:r>
      <w:r w:rsidR="00E324E1" w:rsidRPr="002575A7">
        <w:rPr>
          <w:rFonts w:ascii="Book Antiqua" w:hAnsi="Book Antiqua" w:cs="Times New Roman"/>
          <w:sz w:val="24"/>
          <w:szCs w:val="24"/>
          <w:lang w:val="en-US"/>
        </w:rPr>
        <w:t>used at Besancon (Bonnes Pratiques de la Chimiothérapie - BPC</w:t>
      </w:r>
      <w:r w:rsidR="00E324E1" w:rsidRPr="002575A7">
        <w:rPr>
          <w:rFonts w:ascii="Book Antiqua" w:hAnsi="Book Antiqua" w:cs="Times New Roman"/>
          <w:sz w:val="24"/>
          <w:szCs w:val="24"/>
          <w:vertAlign w:val="superscript"/>
          <w:lang w:val="en-US"/>
        </w:rPr>
        <w:t>®</w:t>
      </w:r>
      <w:r w:rsidR="00E324E1" w:rsidRPr="002575A7">
        <w:rPr>
          <w:rFonts w:ascii="Book Antiqua" w:hAnsi="Book Antiqua" w:cs="Times New Roman"/>
          <w:sz w:val="24"/>
          <w:szCs w:val="24"/>
          <w:lang w:val="en-US"/>
        </w:rPr>
        <w:t xml:space="preserve">, SQLI) and </w:t>
      </w:r>
      <w:r w:rsidR="007C7030" w:rsidRPr="002575A7">
        <w:rPr>
          <w:rFonts w:ascii="Book Antiqua" w:hAnsi="Book Antiqua" w:cs="Times New Roman"/>
          <w:sz w:val="24"/>
          <w:szCs w:val="24"/>
          <w:lang w:val="en-US"/>
        </w:rPr>
        <w:t>Lille</w:t>
      </w:r>
      <w:r w:rsidR="00E324E1" w:rsidRPr="002575A7">
        <w:rPr>
          <w:rFonts w:ascii="Book Antiqua" w:hAnsi="Book Antiqua" w:cs="Times New Roman"/>
          <w:sz w:val="24"/>
          <w:szCs w:val="24"/>
          <w:lang w:val="en-US"/>
        </w:rPr>
        <w:t xml:space="preserve"> University Hospitals (CHIMIO</w:t>
      </w:r>
      <w:r w:rsidR="00E324E1" w:rsidRPr="002575A7">
        <w:rPr>
          <w:rFonts w:ascii="Book Antiqua" w:hAnsi="Book Antiqua" w:cs="Times New Roman"/>
          <w:sz w:val="24"/>
          <w:szCs w:val="24"/>
          <w:vertAlign w:val="superscript"/>
          <w:lang w:val="en-US"/>
        </w:rPr>
        <w:t>®</w:t>
      </w:r>
      <w:r w:rsidR="00E324E1" w:rsidRPr="002575A7">
        <w:rPr>
          <w:rFonts w:ascii="Book Antiqua" w:hAnsi="Book Antiqua" w:cs="Times New Roman"/>
          <w:sz w:val="24"/>
          <w:szCs w:val="24"/>
          <w:lang w:val="en-US"/>
        </w:rPr>
        <w:t xml:space="preserve">, Computer Engineering). </w:t>
      </w:r>
      <w:r w:rsidR="006472EE" w:rsidRPr="002575A7">
        <w:rPr>
          <w:rFonts w:ascii="Book Antiqua" w:hAnsi="Book Antiqua" w:cs="Times New Roman"/>
          <w:sz w:val="24"/>
          <w:szCs w:val="24"/>
          <w:lang w:val="en-US"/>
        </w:rPr>
        <w:t>Patients with early postoperative tumor relapse (</w:t>
      </w:r>
      <w:r w:rsidR="006227EF" w:rsidRPr="00916870">
        <w:rPr>
          <w:rFonts w:ascii="Book Antiqua" w:hAnsi="Book Antiqua" w:cs="Times New Roman"/>
          <w:i/>
          <w:iCs/>
          <w:sz w:val="24"/>
          <w:szCs w:val="24"/>
          <w:lang w:val="en-US"/>
        </w:rPr>
        <w:t>i.e.</w:t>
      </w:r>
      <w:r w:rsidR="006472EE" w:rsidRPr="002575A7">
        <w:rPr>
          <w:rFonts w:ascii="Book Antiqua" w:hAnsi="Book Antiqua" w:cs="Times New Roman"/>
          <w:sz w:val="24"/>
          <w:szCs w:val="24"/>
          <w:lang w:val="en-US"/>
        </w:rPr>
        <w:t xml:space="preserve">, within </w:t>
      </w:r>
      <w:r w:rsidR="009D1BBF">
        <w:rPr>
          <w:rFonts w:ascii="Book Antiqua" w:hAnsi="Book Antiqua" w:cs="Times New Roman"/>
          <w:sz w:val="24"/>
          <w:szCs w:val="24"/>
          <w:lang w:val="en-US"/>
        </w:rPr>
        <w:t>6</w:t>
      </w:r>
      <w:r w:rsidR="006472EE" w:rsidRPr="002575A7">
        <w:rPr>
          <w:rFonts w:ascii="Book Antiqua" w:hAnsi="Book Antiqua" w:cs="Times New Roman"/>
          <w:sz w:val="24"/>
          <w:szCs w:val="24"/>
          <w:lang w:val="en-US"/>
        </w:rPr>
        <w:t xml:space="preserve"> mo after the last administration of the adjuvant chemotherapy) were excluded.</w:t>
      </w:r>
      <w:r w:rsidR="00DC5214" w:rsidRPr="002575A7">
        <w:rPr>
          <w:rFonts w:ascii="Book Antiqua" w:hAnsi="Book Antiqua" w:cs="Times New Roman"/>
          <w:sz w:val="24"/>
          <w:szCs w:val="24"/>
          <w:lang w:val="en-US"/>
        </w:rPr>
        <w:t xml:space="preserve"> </w:t>
      </w:r>
      <w:r w:rsidR="00E324E1" w:rsidRPr="002575A7">
        <w:rPr>
          <w:rFonts w:ascii="Book Antiqua" w:hAnsi="Book Antiqua" w:cs="Times New Roman"/>
          <w:sz w:val="24"/>
          <w:szCs w:val="24"/>
          <w:lang w:val="en-US"/>
        </w:rPr>
        <w:t xml:space="preserve">All </w:t>
      </w:r>
      <w:r w:rsidR="00E324E1" w:rsidRPr="002575A7">
        <w:rPr>
          <w:rFonts w:ascii="Book Antiqua" w:hAnsi="Book Antiqua" w:cs="Times New Roman"/>
          <w:sz w:val="24"/>
          <w:szCs w:val="24"/>
          <w:lang w:val="en-US"/>
        </w:rPr>
        <w:lastRenderedPageBreak/>
        <w:t>therapeutic decisions were discussed and validated during digestive oncology-dedicated multidisciplinary meetings.</w:t>
      </w:r>
      <w:r w:rsidR="00DC5214" w:rsidRPr="002575A7">
        <w:rPr>
          <w:rFonts w:ascii="Book Antiqua" w:hAnsi="Book Antiqua" w:cs="Times New Roman"/>
          <w:sz w:val="24"/>
          <w:szCs w:val="24"/>
          <w:lang w:val="en-US"/>
        </w:rPr>
        <w:t xml:space="preserve"> </w:t>
      </w:r>
      <w:r w:rsidR="00916870" w:rsidRPr="00916870">
        <w:rPr>
          <w:rFonts w:ascii="Book Antiqua" w:hAnsi="Book Antiqua" w:cs="Times New Roman"/>
          <w:sz w:val="24"/>
          <w:szCs w:val="24"/>
          <w:lang w:val="en-US"/>
        </w:rPr>
        <w:t>Computed tomography</w:t>
      </w:r>
      <w:r w:rsidR="00DC5214" w:rsidRPr="002575A7">
        <w:rPr>
          <w:rFonts w:ascii="Book Antiqua" w:hAnsi="Book Antiqua" w:cs="Times New Roman"/>
          <w:sz w:val="24"/>
          <w:szCs w:val="24"/>
          <w:lang w:val="en-US"/>
        </w:rPr>
        <w:t xml:space="preserve">-scan assessment was performed every </w:t>
      </w:r>
      <w:r w:rsidR="009D1BBF">
        <w:rPr>
          <w:rFonts w:ascii="Book Antiqua" w:hAnsi="Book Antiqua" w:cs="Times New Roman"/>
          <w:sz w:val="24"/>
          <w:szCs w:val="24"/>
          <w:lang w:val="en-US"/>
        </w:rPr>
        <w:t>3</w:t>
      </w:r>
      <w:r w:rsidR="00DC5214" w:rsidRPr="002575A7">
        <w:rPr>
          <w:rFonts w:ascii="Book Antiqua" w:hAnsi="Book Antiqua" w:cs="Times New Roman"/>
          <w:sz w:val="24"/>
          <w:szCs w:val="24"/>
          <w:lang w:val="en-US"/>
        </w:rPr>
        <w:t xml:space="preserve"> mo.</w:t>
      </w:r>
    </w:p>
    <w:p w14:paraId="176871A1" w14:textId="56C6B905" w:rsidR="00E324E1" w:rsidRPr="002575A7" w:rsidRDefault="008A4B6C" w:rsidP="00916870">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The database was registered and declared to the National French Commission for bioinformatics data and patient liberty (CNIL; No. of CNIL declaration: 1906173 v 0). The study </w:t>
      </w:r>
      <w:r w:rsidR="00114D56">
        <w:rPr>
          <w:rFonts w:ascii="Book Antiqua" w:hAnsi="Book Antiqua" w:cs="Times New Roman"/>
          <w:sz w:val="24"/>
          <w:szCs w:val="24"/>
          <w:lang w:val="en-US"/>
        </w:rPr>
        <w:t>followed</w:t>
      </w:r>
      <w:r w:rsidRPr="002575A7">
        <w:rPr>
          <w:rFonts w:ascii="Book Antiqua" w:hAnsi="Book Antiqua" w:cs="Times New Roman"/>
          <w:sz w:val="24"/>
          <w:szCs w:val="24"/>
          <w:lang w:val="en-US"/>
        </w:rPr>
        <w:t xml:space="preserve"> standard procedures in France, with approval </w:t>
      </w:r>
      <w:r w:rsidR="00B67C7B" w:rsidRPr="002575A7">
        <w:rPr>
          <w:rFonts w:ascii="Book Antiqua" w:hAnsi="Book Antiqua" w:cs="Times New Roman"/>
          <w:sz w:val="24"/>
          <w:szCs w:val="24"/>
          <w:lang w:val="en-US"/>
        </w:rPr>
        <w:t xml:space="preserve">by </w:t>
      </w:r>
      <w:r w:rsidRPr="002575A7">
        <w:rPr>
          <w:rFonts w:ascii="Book Antiqua" w:hAnsi="Book Antiqua" w:cs="Times New Roman"/>
          <w:sz w:val="24"/>
          <w:szCs w:val="24"/>
          <w:lang w:val="en-US"/>
        </w:rPr>
        <w:t xml:space="preserve">the relevant institutional review boards. </w:t>
      </w:r>
      <w:r w:rsidR="000A128F" w:rsidRPr="002575A7">
        <w:rPr>
          <w:rFonts w:ascii="Book Antiqua" w:hAnsi="Book Antiqua" w:cs="Times New Roman"/>
          <w:sz w:val="24"/>
          <w:szCs w:val="24"/>
          <w:lang w:val="en-US"/>
        </w:rPr>
        <w:t xml:space="preserve">All patients with cancer signed </w:t>
      </w:r>
      <w:r w:rsidR="00724507">
        <w:rPr>
          <w:rFonts w:ascii="Book Antiqua" w:hAnsi="Book Antiqua" w:cs="Times New Roman"/>
          <w:sz w:val="24"/>
          <w:szCs w:val="24"/>
          <w:lang w:val="en-US"/>
        </w:rPr>
        <w:t xml:space="preserve">a </w:t>
      </w:r>
      <w:r w:rsidR="000A128F" w:rsidRPr="002575A7">
        <w:rPr>
          <w:rFonts w:ascii="Book Antiqua" w:hAnsi="Book Antiqua" w:cs="Times New Roman"/>
          <w:sz w:val="24"/>
          <w:szCs w:val="24"/>
          <w:lang w:val="en-US"/>
        </w:rPr>
        <w:t>general informed consent</w:t>
      </w:r>
      <w:r w:rsidRPr="002575A7">
        <w:rPr>
          <w:rFonts w:ascii="Book Antiqua" w:hAnsi="Book Antiqua" w:cs="Times New Roman"/>
          <w:sz w:val="24"/>
          <w:szCs w:val="24"/>
          <w:lang w:val="en-US"/>
        </w:rPr>
        <w:t xml:space="preserve"> at the time of their first visit </w:t>
      </w:r>
      <w:r w:rsidR="004B2FAC">
        <w:rPr>
          <w:rFonts w:ascii="Book Antiqua" w:hAnsi="Book Antiqua" w:cs="Times New Roman"/>
          <w:sz w:val="24"/>
          <w:szCs w:val="24"/>
          <w:lang w:val="en-US"/>
        </w:rPr>
        <w:t>to</w:t>
      </w:r>
      <w:r w:rsidRPr="002575A7">
        <w:rPr>
          <w:rFonts w:ascii="Book Antiqua" w:hAnsi="Book Antiqua" w:cs="Times New Roman"/>
          <w:sz w:val="24"/>
          <w:szCs w:val="24"/>
          <w:lang w:val="en-US"/>
        </w:rPr>
        <w:t xml:space="preserve"> </w:t>
      </w:r>
      <w:r w:rsidR="00B67C7B" w:rsidRPr="002575A7">
        <w:rPr>
          <w:rFonts w:ascii="Book Antiqua" w:hAnsi="Book Antiqua" w:cs="Times New Roman"/>
          <w:sz w:val="24"/>
          <w:szCs w:val="24"/>
          <w:lang w:val="en-US"/>
        </w:rPr>
        <w:t xml:space="preserve">both </w:t>
      </w:r>
      <w:r w:rsidRPr="002575A7">
        <w:rPr>
          <w:rFonts w:ascii="Book Antiqua" w:hAnsi="Book Antiqua" w:cs="Times New Roman"/>
          <w:sz w:val="24"/>
          <w:szCs w:val="24"/>
          <w:lang w:val="en-US"/>
        </w:rPr>
        <w:t>Medical Oncology</w:t>
      </w:r>
      <w:r w:rsidR="00B67C7B" w:rsidRPr="002575A7">
        <w:rPr>
          <w:rFonts w:ascii="Book Antiqua" w:hAnsi="Book Antiqua" w:cs="Times New Roman"/>
          <w:sz w:val="24"/>
          <w:szCs w:val="24"/>
          <w:lang w:val="en-US"/>
        </w:rPr>
        <w:t xml:space="preserve"> Departments</w:t>
      </w:r>
      <w:r w:rsidRPr="002575A7">
        <w:rPr>
          <w:rFonts w:ascii="Book Antiqua" w:hAnsi="Book Antiqua" w:cs="Times New Roman"/>
          <w:sz w:val="24"/>
          <w:szCs w:val="24"/>
          <w:lang w:val="en-US"/>
        </w:rPr>
        <w:t xml:space="preserve">. This consent allows </w:t>
      </w:r>
      <w:r w:rsidR="004B2FAC">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use of their clinical and biological data in the cohort study. No additional specific informed consent for this study was </w:t>
      </w:r>
      <w:r w:rsidR="00114D56">
        <w:rPr>
          <w:rFonts w:ascii="Book Antiqua" w:hAnsi="Book Antiqua" w:cs="Times New Roman"/>
          <w:sz w:val="24"/>
          <w:szCs w:val="24"/>
          <w:lang w:val="en-US"/>
        </w:rPr>
        <w:t xml:space="preserve">deemed </w:t>
      </w:r>
      <w:r w:rsidRPr="002575A7">
        <w:rPr>
          <w:rFonts w:ascii="Book Antiqua" w:hAnsi="Book Antiqua" w:cs="Times New Roman"/>
          <w:sz w:val="24"/>
          <w:szCs w:val="24"/>
          <w:lang w:val="en-US"/>
        </w:rPr>
        <w:t>necessary.</w:t>
      </w:r>
      <w:r w:rsidR="007A20CD"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Demographics, cancer history, pathological, clinica</w:t>
      </w:r>
      <w:r w:rsidR="00D62E40" w:rsidRPr="002575A7">
        <w:rPr>
          <w:rFonts w:ascii="Book Antiqua" w:hAnsi="Book Antiqua" w:cs="Times New Roman"/>
          <w:sz w:val="24"/>
          <w:szCs w:val="24"/>
          <w:lang w:val="en-US"/>
        </w:rPr>
        <w:t>l, biological, and radiological</w:t>
      </w:r>
      <w:r w:rsidRPr="002575A7">
        <w:rPr>
          <w:rFonts w:ascii="Book Antiqua" w:hAnsi="Book Antiqua" w:cs="Times New Roman"/>
          <w:sz w:val="24"/>
          <w:szCs w:val="24"/>
          <w:lang w:val="en-US"/>
        </w:rPr>
        <w:t xml:space="preserve"> parameters at </w:t>
      </w:r>
      <w:r w:rsidR="00A90A29" w:rsidRPr="002575A7">
        <w:rPr>
          <w:rFonts w:ascii="Book Antiqua" w:hAnsi="Book Antiqua" w:cs="Times New Roman"/>
          <w:sz w:val="24"/>
          <w:szCs w:val="24"/>
          <w:lang w:val="en-US"/>
        </w:rPr>
        <w:t>chemotherapy initiation</w:t>
      </w:r>
      <w:r w:rsidRPr="002575A7">
        <w:rPr>
          <w:rFonts w:ascii="Book Antiqua" w:hAnsi="Book Antiqua" w:cs="Times New Roman"/>
          <w:sz w:val="24"/>
          <w:szCs w:val="24"/>
          <w:lang w:val="en-US"/>
        </w:rPr>
        <w:t>, as well as treatment outcomes, were retrospectively collected from medical records.</w:t>
      </w:r>
      <w:r w:rsidR="00D62E40" w:rsidRPr="002575A7">
        <w:rPr>
          <w:rFonts w:ascii="Book Antiqua" w:hAnsi="Book Antiqua" w:cs="Times New Roman"/>
          <w:sz w:val="24"/>
          <w:szCs w:val="24"/>
          <w:lang w:val="en-US"/>
        </w:rPr>
        <w:t xml:space="preserve"> </w:t>
      </w:r>
      <w:r w:rsidR="004B2FAC">
        <w:rPr>
          <w:rFonts w:ascii="Book Antiqua" w:hAnsi="Book Antiqua" w:cs="Times New Roman"/>
          <w:sz w:val="24"/>
          <w:szCs w:val="24"/>
          <w:lang w:val="en-US"/>
        </w:rPr>
        <w:t>The d</w:t>
      </w:r>
      <w:r w:rsidR="00E324E1" w:rsidRPr="002575A7">
        <w:rPr>
          <w:rFonts w:ascii="Book Antiqua" w:hAnsi="Book Antiqua" w:cs="Times New Roman"/>
          <w:sz w:val="24"/>
          <w:szCs w:val="24"/>
          <w:lang w:val="en-US"/>
        </w:rPr>
        <w:t>atabase was locked on April 23, 2019.</w:t>
      </w:r>
    </w:p>
    <w:p w14:paraId="1CDBE1CA" w14:textId="77777777" w:rsidR="00E324E1" w:rsidRPr="002575A7" w:rsidRDefault="00E324E1" w:rsidP="00864BDB">
      <w:pPr>
        <w:snapToGrid w:val="0"/>
        <w:spacing w:after="0" w:line="360" w:lineRule="auto"/>
        <w:jc w:val="both"/>
        <w:rPr>
          <w:rFonts w:ascii="Book Antiqua" w:hAnsi="Book Antiqua" w:cs="Times New Roman"/>
          <w:sz w:val="24"/>
          <w:szCs w:val="24"/>
          <w:lang w:val="en-US"/>
        </w:rPr>
      </w:pPr>
    </w:p>
    <w:p w14:paraId="3A71D3FB" w14:textId="20B4DD32" w:rsidR="005A5D37" w:rsidRPr="002575A7" w:rsidRDefault="005A5D37"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Treatment</w:t>
      </w:r>
      <w:r w:rsidR="00B67C7B" w:rsidRPr="002575A7">
        <w:rPr>
          <w:rFonts w:ascii="Book Antiqua" w:hAnsi="Book Antiqua" w:cs="Times New Roman"/>
          <w:b/>
          <w:i/>
          <w:sz w:val="24"/>
          <w:szCs w:val="24"/>
          <w:lang w:val="en-US"/>
        </w:rPr>
        <w:t xml:space="preserve"> regimens</w:t>
      </w:r>
    </w:p>
    <w:p w14:paraId="7B164F63" w14:textId="6A4CA312" w:rsidR="00462A09" w:rsidRPr="002575A7" w:rsidRDefault="00746D62"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FOLFIRINOX </w:t>
      </w:r>
      <w:r w:rsidR="00C02CE6" w:rsidRPr="002575A7">
        <w:rPr>
          <w:rFonts w:ascii="Book Antiqua" w:hAnsi="Book Antiqua" w:cs="Times New Roman"/>
          <w:sz w:val="24"/>
          <w:szCs w:val="24"/>
          <w:lang w:val="en-US"/>
        </w:rPr>
        <w:t>was</w:t>
      </w:r>
      <w:r w:rsidR="00B95C19" w:rsidRPr="002575A7">
        <w:rPr>
          <w:rFonts w:ascii="Book Antiqua" w:hAnsi="Book Antiqua" w:cs="Times New Roman"/>
          <w:sz w:val="24"/>
          <w:szCs w:val="24"/>
          <w:lang w:val="en-US"/>
        </w:rPr>
        <w:t xml:space="preserve"> administered according </w:t>
      </w:r>
      <w:r w:rsidR="004B2FAC">
        <w:rPr>
          <w:rFonts w:ascii="Book Antiqua" w:hAnsi="Book Antiqua" w:cs="Times New Roman"/>
          <w:sz w:val="24"/>
          <w:szCs w:val="24"/>
          <w:lang w:val="en-US"/>
        </w:rPr>
        <w:t xml:space="preserve">to </w:t>
      </w:r>
      <w:r w:rsidR="00B95C19" w:rsidRPr="002575A7">
        <w:rPr>
          <w:rFonts w:ascii="Book Antiqua" w:hAnsi="Book Antiqua" w:cs="Times New Roman"/>
          <w:sz w:val="24"/>
          <w:szCs w:val="24"/>
          <w:lang w:val="en-US"/>
        </w:rPr>
        <w:t xml:space="preserve">the standard schedule validated by the </w:t>
      </w:r>
      <w:r w:rsidR="007A20CD" w:rsidRPr="002575A7">
        <w:rPr>
          <w:rFonts w:ascii="Book Antiqua" w:hAnsi="Book Antiqua" w:cs="Times New Roman"/>
          <w:sz w:val="24"/>
          <w:szCs w:val="24"/>
          <w:lang w:val="en-US"/>
        </w:rPr>
        <w:t xml:space="preserve">PRODIGE 4/ACCORD 11 </w:t>
      </w:r>
      <w:r w:rsidR="00B95C19" w:rsidRPr="002575A7">
        <w:rPr>
          <w:rFonts w:ascii="Book Antiqua" w:hAnsi="Book Antiqua" w:cs="Times New Roman"/>
          <w:sz w:val="24"/>
          <w:szCs w:val="24"/>
          <w:lang w:val="en-US"/>
        </w:rPr>
        <w:t xml:space="preserve">study. </w:t>
      </w:r>
      <w:r w:rsidR="00C02CE6" w:rsidRPr="002575A7">
        <w:rPr>
          <w:rFonts w:ascii="Book Antiqua" w:hAnsi="Book Antiqua" w:cs="Times New Roman"/>
          <w:sz w:val="24"/>
          <w:szCs w:val="24"/>
          <w:lang w:val="en-US"/>
        </w:rPr>
        <w:t xml:space="preserve">This regimen </w:t>
      </w:r>
      <w:r w:rsidR="002F6CD5" w:rsidRPr="002575A7">
        <w:rPr>
          <w:rFonts w:ascii="Book Antiqua" w:hAnsi="Book Antiqua" w:cs="Times New Roman"/>
          <w:sz w:val="24"/>
          <w:szCs w:val="24"/>
          <w:lang w:val="en-US"/>
        </w:rPr>
        <w:t xml:space="preserve">consisted of </w:t>
      </w:r>
      <w:r w:rsidR="00B95C19" w:rsidRPr="002575A7">
        <w:rPr>
          <w:rFonts w:ascii="Book Antiqua" w:hAnsi="Book Antiqua" w:cs="Times New Roman"/>
          <w:sz w:val="24"/>
          <w:szCs w:val="24"/>
          <w:lang w:val="en-US"/>
        </w:rPr>
        <w:t xml:space="preserve">a combination of </w:t>
      </w:r>
      <w:r w:rsidRPr="002575A7">
        <w:rPr>
          <w:rFonts w:ascii="Book Antiqua" w:hAnsi="Book Antiqua" w:cs="Times New Roman"/>
          <w:sz w:val="24"/>
          <w:szCs w:val="24"/>
          <w:lang w:val="en-US"/>
        </w:rPr>
        <w:t xml:space="preserve">oxaliplatin </w:t>
      </w:r>
      <w:r w:rsidR="00B95C19"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85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Pr="002575A7">
        <w:rPr>
          <w:rFonts w:ascii="Book Antiqua" w:hAnsi="Book Antiqua" w:cs="Times New Roman"/>
          <w:sz w:val="24"/>
          <w:szCs w:val="24"/>
          <w:lang w:val="en-US"/>
        </w:rPr>
        <w:t xml:space="preserve">, </w:t>
      </w:r>
      <w:r w:rsidR="00B95C19" w:rsidRPr="002575A7">
        <w:rPr>
          <w:rFonts w:ascii="Book Antiqua" w:hAnsi="Book Antiqua" w:cs="Times New Roman"/>
          <w:sz w:val="24"/>
          <w:szCs w:val="24"/>
          <w:lang w:val="en-US"/>
        </w:rPr>
        <w:t>over</w:t>
      </w:r>
      <w:r w:rsidR="00A2336F" w:rsidRPr="002575A7">
        <w:rPr>
          <w:rFonts w:ascii="Book Antiqua" w:hAnsi="Book Antiqua" w:cs="Times New Roman"/>
          <w:sz w:val="24"/>
          <w:szCs w:val="24"/>
          <w:lang w:val="en-US"/>
        </w:rPr>
        <w:t xml:space="preserve"> </w:t>
      </w:r>
      <w:r w:rsidR="00916870">
        <w:rPr>
          <w:rFonts w:ascii="Book Antiqua" w:hAnsi="Book Antiqua" w:cs="Times New Roman"/>
          <w:sz w:val="24"/>
          <w:szCs w:val="24"/>
          <w:lang w:val="en-US"/>
        </w:rPr>
        <w:t>2</w:t>
      </w:r>
      <w:r w:rsidR="00E37F5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h</w:t>
      </w:r>
      <w:r w:rsidR="00B95C19"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followed by leucovorin </w:t>
      </w:r>
      <w:r w:rsidR="00B95C19"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400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00B95C19" w:rsidRPr="002575A7">
        <w:rPr>
          <w:rFonts w:ascii="Book Antiqua" w:hAnsi="Book Antiqua" w:cs="Times New Roman"/>
          <w:sz w:val="24"/>
          <w:szCs w:val="24"/>
          <w:lang w:val="en-US"/>
        </w:rPr>
        <w:t>, over</w:t>
      </w:r>
      <w:r w:rsidR="00916870" w:rsidRPr="002575A7">
        <w:rPr>
          <w:rFonts w:ascii="Book Antiqua" w:hAnsi="Book Antiqua" w:cs="Times New Roman"/>
          <w:sz w:val="24"/>
          <w:szCs w:val="24"/>
          <w:lang w:val="en-US"/>
        </w:rPr>
        <w:t xml:space="preserve"> </w:t>
      </w:r>
      <w:r w:rsidR="00916870">
        <w:rPr>
          <w:rFonts w:ascii="Book Antiqua" w:hAnsi="Book Antiqua" w:cs="Times New Roman"/>
          <w:sz w:val="24"/>
          <w:szCs w:val="24"/>
          <w:lang w:val="en-US"/>
        </w:rPr>
        <w:t>2</w:t>
      </w:r>
      <w:r w:rsidR="00916870" w:rsidRPr="002575A7">
        <w:rPr>
          <w:rFonts w:ascii="Book Antiqua" w:hAnsi="Book Antiqua" w:cs="Times New Roman"/>
          <w:sz w:val="24"/>
          <w:szCs w:val="24"/>
          <w:lang w:val="en-US"/>
        </w:rPr>
        <w:t xml:space="preserve"> h</w:t>
      </w:r>
      <w:r w:rsidR="00B95C19" w:rsidRPr="002575A7">
        <w:rPr>
          <w:rFonts w:ascii="Book Antiqua" w:hAnsi="Book Antiqua" w:cs="Times New Roman"/>
          <w:sz w:val="24"/>
          <w:szCs w:val="24"/>
          <w:lang w:val="en-US"/>
        </w:rPr>
        <w:t>)</w:t>
      </w:r>
      <w:r w:rsidRPr="002575A7">
        <w:rPr>
          <w:rFonts w:ascii="Book Antiqua" w:hAnsi="Book Antiqua" w:cs="Times New Roman"/>
          <w:sz w:val="24"/>
          <w:szCs w:val="24"/>
          <w:lang w:val="en-US"/>
        </w:rPr>
        <w:t>, with the addition</w:t>
      </w:r>
      <w:r w:rsidR="00E37F53" w:rsidRPr="002575A7">
        <w:rPr>
          <w:rFonts w:ascii="Book Antiqua" w:hAnsi="Book Antiqua" w:cs="Times New Roman"/>
          <w:sz w:val="24"/>
          <w:szCs w:val="24"/>
          <w:lang w:val="en-US"/>
        </w:rPr>
        <w:t xml:space="preserve"> through a Y-connector</w:t>
      </w:r>
      <w:r w:rsidRPr="002575A7">
        <w:rPr>
          <w:rFonts w:ascii="Book Antiqua" w:hAnsi="Book Antiqua" w:cs="Times New Roman"/>
          <w:sz w:val="24"/>
          <w:szCs w:val="24"/>
          <w:lang w:val="en-US"/>
        </w:rPr>
        <w:t xml:space="preserve">, after 30 min, of irinotecan </w:t>
      </w:r>
      <w:r w:rsidR="00B95C19"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180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Pr="002575A7">
        <w:rPr>
          <w:rFonts w:ascii="Book Antiqua" w:hAnsi="Book Antiqua" w:cs="Times New Roman"/>
          <w:sz w:val="24"/>
          <w:szCs w:val="24"/>
          <w:lang w:val="en-US"/>
        </w:rPr>
        <w:t xml:space="preserve">, </w:t>
      </w:r>
      <w:r w:rsidR="00B95C19" w:rsidRPr="002575A7">
        <w:rPr>
          <w:rFonts w:ascii="Book Antiqua" w:hAnsi="Book Antiqua" w:cs="Times New Roman"/>
          <w:sz w:val="24"/>
          <w:szCs w:val="24"/>
          <w:lang w:val="en-US"/>
        </w:rPr>
        <w:t>over</w:t>
      </w:r>
      <w:r w:rsidRPr="002575A7">
        <w:rPr>
          <w:rFonts w:ascii="Book Antiqua" w:hAnsi="Book Antiqua" w:cs="Times New Roman"/>
          <w:sz w:val="24"/>
          <w:szCs w:val="24"/>
          <w:lang w:val="en-US"/>
        </w:rPr>
        <w:t xml:space="preserve"> 90</w:t>
      </w:r>
      <w:r w:rsidR="00E37F5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min</w:t>
      </w:r>
      <w:r w:rsidR="00E37F53" w:rsidRPr="002575A7">
        <w:rPr>
          <w:rFonts w:ascii="Book Antiqua" w:hAnsi="Book Antiqua" w:cs="Times New Roman"/>
          <w:sz w:val="24"/>
          <w:szCs w:val="24"/>
          <w:lang w:val="en-US"/>
        </w:rPr>
        <w:t>), followed by 5-</w:t>
      </w:r>
      <w:r w:rsidR="007A20CD" w:rsidRPr="002575A7">
        <w:rPr>
          <w:rFonts w:ascii="Book Antiqua" w:hAnsi="Book Antiqua" w:cs="Times New Roman"/>
          <w:sz w:val="24"/>
          <w:szCs w:val="24"/>
          <w:lang w:val="en-US"/>
        </w:rPr>
        <w:t>FU (</w:t>
      </w:r>
      <w:r w:rsidR="00E37F53" w:rsidRPr="002575A7">
        <w:rPr>
          <w:rFonts w:ascii="Book Antiqua" w:hAnsi="Book Antiqua" w:cs="Times New Roman"/>
          <w:sz w:val="24"/>
          <w:szCs w:val="24"/>
          <w:lang w:val="en-US"/>
        </w:rPr>
        <w:t xml:space="preserve">400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00E37F5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by intravenous bolus</w:t>
      </w:r>
      <w:r w:rsidR="00E37F53" w:rsidRPr="002575A7">
        <w:rPr>
          <w:rFonts w:ascii="Book Antiqua" w:hAnsi="Book Antiqua" w:cs="Times New Roman"/>
          <w:sz w:val="24"/>
          <w:szCs w:val="24"/>
          <w:lang w:val="en-US"/>
        </w:rPr>
        <w:t xml:space="preserve">, on Day 1. Then, </w:t>
      </w:r>
      <w:r w:rsidRPr="002575A7">
        <w:rPr>
          <w:rFonts w:ascii="Book Antiqua" w:hAnsi="Book Antiqua" w:cs="Times New Roman"/>
          <w:sz w:val="24"/>
          <w:szCs w:val="24"/>
          <w:lang w:val="en-US"/>
        </w:rPr>
        <w:t xml:space="preserve">a continuous intravenous infusion of </w:t>
      </w:r>
      <w:r w:rsidR="00E37F53" w:rsidRPr="002575A7">
        <w:rPr>
          <w:rFonts w:ascii="Book Antiqua" w:hAnsi="Book Antiqua" w:cs="Times New Roman"/>
          <w:sz w:val="24"/>
          <w:szCs w:val="24"/>
          <w:lang w:val="en-US"/>
        </w:rPr>
        <w:t>5-FU (</w:t>
      </w:r>
      <w:r w:rsidRPr="002575A7">
        <w:rPr>
          <w:rFonts w:ascii="Book Antiqua" w:hAnsi="Book Antiqua" w:cs="Times New Roman"/>
          <w:sz w:val="24"/>
          <w:szCs w:val="24"/>
          <w:lang w:val="en-US"/>
        </w:rPr>
        <w:t xml:space="preserve">2400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00E37F53" w:rsidRPr="002575A7">
        <w:rPr>
          <w:rFonts w:ascii="Book Antiqua" w:hAnsi="Book Antiqua" w:cs="Times New Roman"/>
          <w:sz w:val="24"/>
          <w:szCs w:val="24"/>
          <w:lang w:val="en-US"/>
        </w:rPr>
        <w:t>) was administered</w:t>
      </w:r>
      <w:r w:rsidRPr="002575A7">
        <w:rPr>
          <w:rFonts w:ascii="Book Antiqua" w:hAnsi="Book Antiqua" w:cs="Times New Roman"/>
          <w:sz w:val="24"/>
          <w:szCs w:val="24"/>
          <w:lang w:val="en-US"/>
        </w:rPr>
        <w:t xml:space="preserve"> over 46</w:t>
      </w:r>
      <w:r w:rsidR="004B2FAC">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h </w:t>
      </w:r>
      <w:r w:rsidR="00E37F53" w:rsidRPr="002575A7">
        <w:rPr>
          <w:rFonts w:ascii="Book Antiqua" w:hAnsi="Book Antiqua" w:cs="Times New Roman"/>
          <w:sz w:val="24"/>
          <w:szCs w:val="24"/>
          <w:lang w:val="en-US"/>
        </w:rPr>
        <w:t>starting on Day 1</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{"citationID":"C913EaDR","properties":{"formattedCitation":"\\super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E73B0A" w:rsidRPr="002575A7">
        <w:rPr>
          <w:rFonts w:ascii="Book Antiqua" w:hAnsi="Book Antiqua" w:cs="Times New Roman"/>
          <w:sz w:val="24"/>
          <w:szCs w:val="24"/>
          <w:lang w:val="en-US"/>
        </w:rPr>
        <w:t xml:space="preserve"> </w:t>
      </w:r>
      <w:r w:rsidR="00E37F53" w:rsidRPr="002575A7">
        <w:rPr>
          <w:rFonts w:ascii="Book Antiqua" w:hAnsi="Book Antiqua" w:cs="Times New Roman"/>
          <w:sz w:val="24"/>
          <w:szCs w:val="24"/>
          <w:lang w:val="en-US"/>
        </w:rPr>
        <w:t xml:space="preserve">FOLFOXIRI consisted of the same molecules </w:t>
      </w:r>
      <w:r w:rsidR="00A2336F" w:rsidRPr="002575A7">
        <w:rPr>
          <w:rFonts w:ascii="Book Antiqua" w:hAnsi="Book Antiqua" w:cs="Times New Roman"/>
          <w:sz w:val="24"/>
          <w:szCs w:val="24"/>
          <w:lang w:val="en-US"/>
        </w:rPr>
        <w:t xml:space="preserve">with a </w:t>
      </w:r>
      <w:r w:rsidR="002F6CD5" w:rsidRPr="002575A7">
        <w:rPr>
          <w:rFonts w:ascii="Book Antiqua" w:hAnsi="Book Antiqua" w:cs="Times New Roman"/>
          <w:sz w:val="24"/>
          <w:szCs w:val="24"/>
          <w:lang w:val="en-US"/>
        </w:rPr>
        <w:t xml:space="preserve">reduced </w:t>
      </w:r>
      <w:r w:rsidR="00A2336F" w:rsidRPr="002575A7">
        <w:rPr>
          <w:rFonts w:ascii="Book Antiqua" w:hAnsi="Book Antiqua" w:cs="Times New Roman"/>
          <w:sz w:val="24"/>
          <w:szCs w:val="24"/>
          <w:lang w:val="en-US"/>
        </w:rPr>
        <w:t xml:space="preserve">dose of irinotecan and no bolus 5-FU, according to </w:t>
      </w:r>
      <w:r w:rsidR="007E5D60" w:rsidRPr="002575A7">
        <w:rPr>
          <w:rFonts w:ascii="Book Antiqua" w:hAnsi="Book Antiqua" w:cs="Times New Roman"/>
          <w:sz w:val="24"/>
          <w:szCs w:val="24"/>
          <w:lang w:val="en-US"/>
        </w:rPr>
        <w:t>the GONO</w:t>
      </w:r>
      <w:r w:rsidR="00A2336F" w:rsidRPr="002575A7">
        <w:rPr>
          <w:rFonts w:ascii="Book Antiqua" w:hAnsi="Book Antiqua" w:cs="Times New Roman"/>
          <w:sz w:val="24"/>
          <w:szCs w:val="24"/>
          <w:lang w:val="en-US"/>
        </w:rPr>
        <w:t xml:space="preserve"> regimen us</w:t>
      </w:r>
      <w:r w:rsidR="001A7943" w:rsidRPr="002575A7">
        <w:rPr>
          <w:rFonts w:ascii="Book Antiqua" w:hAnsi="Book Antiqua" w:cs="Times New Roman"/>
          <w:sz w:val="24"/>
          <w:szCs w:val="24"/>
          <w:lang w:val="en-US"/>
        </w:rPr>
        <w:t>ed</w:t>
      </w:r>
      <w:r w:rsidR="00A2336F" w:rsidRPr="002575A7">
        <w:rPr>
          <w:rFonts w:ascii="Book Antiqua" w:hAnsi="Book Antiqua" w:cs="Times New Roman"/>
          <w:sz w:val="24"/>
          <w:szCs w:val="24"/>
          <w:lang w:val="en-US"/>
        </w:rPr>
        <w:t xml:space="preserve"> in metastatic colorectal cancer: </w:t>
      </w:r>
      <w:r w:rsidR="00E37F53" w:rsidRPr="002575A7">
        <w:rPr>
          <w:rFonts w:ascii="Book Antiqua" w:hAnsi="Book Antiqua" w:cs="Times New Roman"/>
          <w:sz w:val="24"/>
          <w:szCs w:val="24"/>
          <w:lang w:val="en-US"/>
        </w:rPr>
        <w:t xml:space="preserve">irinotecan (165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00A2336F" w:rsidRPr="002575A7">
        <w:rPr>
          <w:rFonts w:ascii="Book Antiqua" w:hAnsi="Book Antiqua" w:cs="Times New Roman"/>
          <w:sz w:val="24"/>
          <w:szCs w:val="24"/>
          <w:lang w:val="en-US"/>
        </w:rPr>
        <w:t xml:space="preserve">, over </w:t>
      </w:r>
      <w:r w:rsidR="00916870">
        <w:rPr>
          <w:rFonts w:ascii="Book Antiqua" w:hAnsi="Book Antiqua" w:cs="Times New Roman"/>
          <w:sz w:val="24"/>
          <w:szCs w:val="24"/>
          <w:lang w:val="en-US"/>
        </w:rPr>
        <w:t>1 h</w:t>
      </w:r>
      <w:r w:rsidR="00E37F53" w:rsidRPr="002575A7">
        <w:rPr>
          <w:rFonts w:ascii="Book Antiqua" w:hAnsi="Book Antiqua" w:cs="Times New Roman"/>
          <w:sz w:val="24"/>
          <w:szCs w:val="24"/>
          <w:lang w:val="en-US"/>
        </w:rPr>
        <w:t xml:space="preserve">), </w:t>
      </w:r>
      <w:r w:rsidR="00A2336F" w:rsidRPr="002575A7">
        <w:rPr>
          <w:rFonts w:ascii="Book Antiqua" w:hAnsi="Book Antiqua" w:cs="Times New Roman"/>
          <w:sz w:val="24"/>
          <w:szCs w:val="24"/>
          <w:lang w:val="en-US"/>
        </w:rPr>
        <w:t>followed by oxaliplatin (85 mg/m</w:t>
      </w:r>
      <w:r w:rsidR="00A2336F" w:rsidRPr="002575A7">
        <w:rPr>
          <w:rFonts w:ascii="Book Antiqua" w:hAnsi="Book Antiqua" w:cs="Times New Roman"/>
          <w:sz w:val="24"/>
          <w:szCs w:val="24"/>
          <w:vertAlign w:val="superscript"/>
          <w:lang w:val="en-US"/>
        </w:rPr>
        <w:t>2</w:t>
      </w:r>
      <w:r w:rsidR="00A2336F" w:rsidRPr="002575A7">
        <w:rPr>
          <w:rFonts w:ascii="Book Antiqua" w:hAnsi="Book Antiqua" w:cs="Times New Roman"/>
          <w:sz w:val="24"/>
          <w:szCs w:val="24"/>
          <w:lang w:val="en-US"/>
        </w:rPr>
        <w:t xml:space="preserve">) and </w:t>
      </w:r>
      <w:r w:rsidR="00E37F53" w:rsidRPr="002575A7">
        <w:rPr>
          <w:rFonts w:ascii="Book Antiqua" w:hAnsi="Book Antiqua" w:cs="Times New Roman"/>
          <w:sz w:val="24"/>
          <w:szCs w:val="24"/>
          <w:lang w:val="en-US"/>
        </w:rPr>
        <w:t xml:space="preserve">leucovorin (200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00E37F53" w:rsidRPr="002575A7">
        <w:rPr>
          <w:rFonts w:ascii="Book Antiqua" w:hAnsi="Book Antiqua" w:cs="Times New Roman"/>
          <w:sz w:val="24"/>
          <w:szCs w:val="24"/>
          <w:lang w:val="en-US"/>
        </w:rPr>
        <w:t xml:space="preserve">) </w:t>
      </w:r>
      <w:r w:rsidR="00A2336F" w:rsidRPr="002575A7">
        <w:rPr>
          <w:rFonts w:ascii="Book Antiqua" w:hAnsi="Book Antiqua" w:cs="Times New Roman"/>
          <w:sz w:val="24"/>
          <w:szCs w:val="24"/>
          <w:lang w:val="en-US"/>
        </w:rPr>
        <w:t xml:space="preserve">concomitantly over </w:t>
      </w:r>
      <w:r w:rsidR="00916870">
        <w:rPr>
          <w:rFonts w:ascii="Book Antiqua" w:hAnsi="Book Antiqua" w:cs="Times New Roman"/>
          <w:sz w:val="24"/>
          <w:szCs w:val="24"/>
          <w:lang w:val="en-US"/>
        </w:rPr>
        <w:t>2</w:t>
      </w:r>
      <w:r w:rsidR="00916870" w:rsidRPr="002575A7">
        <w:rPr>
          <w:rFonts w:ascii="Book Antiqua" w:hAnsi="Book Antiqua" w:cs="Times New Roman"/>
          <w:sz w:val="24"/>
          <w:szCs w:val="24"/>
          <w:lang w:val="en-US"/>
        </w:rPr>
        <w:t xml:space="preserve"> h</w:t>
      </w:r>
      <w:r w:rsidR="00A2336F" w:rsidRPr="002575A7">
        <w:rPr>
          <w:rFonts w:ascii="Book Antiqua" w:hAnsi="Book Antiqua" w:cs="Times New Roman"/>
          <w:sz w:val="24"/>
          <w:szCs w:val="24"/>
          <w:lang w:val="en-US"/>
        </w:rPr>
        <w:t xml:space="preserve"> through a Y</w:t>
      </w:r>
      <w:r w:rsidR="00A2336F" w:rsidRPr="002575A7">
        <w:rPr>
          <w:rFonts w:ascii="Times New Roman" w:hAnsi="Times New Roman" w:cs="Times New Roman"/>
          <w:sz w:val="24"/>
          <w:szCs w:val="24"/>
          <w:lang w:val="en-US"/>
        </w:rPr>
        <w:t>‐</w:t>
      </w:r>
      <w:r w:rsidR="00A2336F" w:rsidRPr="002575A7">
        <w:rPr>
          <w:rFonts w:ascii="Book Antiqua" w:hAnsi="Book Antiqua" w:cs="Times New Roman"/>
          <w:sz w:val="24"/>
          <w:szCs w:val="24"/>
          <w:lang w:val="en-US"/>
        </w:rPr>
        <w:t xml:space="preserve">connector, on Day 1; </w:t>
      </w:r>
      <w:r w:rsidR="00E37F53" w:rsidRPr="002575A7">
        <w:rPr>
          <w:rFonts w:ascii="Book Antiqua" w:hAnsi="Book Antiqua" w:cs="Times New Roman"/>
          <w:sz w:val="24"/>
          <w:szCs w:val="24"/>
          <w:lang w:val="en-US"/>
        </w:rPr>
        <w:t xml:space="preserve">and </w:t>
      </w:r>
      <w:r w:rsidR="00A2336F" w:rsidRPr="002575A7">
        <w:rPr>
          <w:rFonts w:ascii="Book Antiqua" w:hAnsi="Book Antiqua" w:cs="Times New Roman"/>
          <w:sz w:val="24"/>
          <w:szCs w:val="24"/>
          <w:lang w:val="en-US"/>
        </w:rPr>
        <w:t xml:space="preserve">followed by a continuous intravenous infusion of </w:t>
      </w:r>
      <w:r w:rsidR="00E37F53" w:rsidRPr="002575A7">
        <w:rPr>
          <w:rFonts w:ascii="Book Antiqua" w:hAnsi="Book Antiqua" w:cs="Times New Roman"/>
          <w:sz w:val="24"/>
          <w:szCs w:val="24"/>
          <w:lang w:val="en-US"/>
        </w:rPr>
        <w:t>5-</w:t>
      </w:r>
      <w:r w:rsidR="00A2336F" w:rsidRPr="002575A7">
        <w:rPr>
          <w:rFonts w:ascii="Book Antiqua" w:hAnsi="Book Antiqua" w:cs="Times New Roman"/>
          <w:sz w:val="24"/>
          <w:szCs w:val="24"/>
          <w:lang w:val="en-US"/>
        </w:rPr>
        <w:t>FU</w:t>
      </w:r>
      <w:r w:rsidR="00E37F53" w:rsidRPr="002575A7">
        <w:rPr>
          <w:rFonts w:ascii="Book Antiqua" w:hAnsi="Book Antiqua" w:cs="Times New Roman"/>
          <w:sz w:val="24"/>
          <w:szCs w:val="24"/>
          <w:lang w:val="en-US"/>
        </w:rPr>
        <w:t xml:space="preserve"> (3200 </w:t>
      </w:r>
      <w:r w:rsidR="00A2336F" w:rsidRPr="002575A7">
        <w:rPr>
          <w:rFonts w:ascii="Book Antiqua" w:hAnsi="Book Antiqua" w:cs="Times New Roman"/>
          <w:sz w:val="24"/>
          <w:szCs w:val="24"/>
          <w:lang w:val="en-US"/>
        </w:rPr>
        <w:t>mg/m</w:t>
      </w:r>
      <w:r w:rsidR="00A2336F" w:rsidRPr="002575A7">
        <w:rPr>
          <w:rFonts w:ascii="Book Antiqua" w:hAnsi="Book Antiqua" w:cs="Times New Roman"/>
          <w:sz w:val="24"/>
          <w:szCs w:val="24"/>
          <w:vertAlign w:val="superscript"/>
          <w:lang w:val="en-US"/>
        </w:rPr>
        <w:t>2</w:t>
      </w:r>
      <w:r w:rsidR="00A2336F" w:rsidRPr="002575A7">
        <w:rPr>
          <w:rFonts w:ascii="Book Antiqua" w:hAnsi="Book Antiqua" w:cs="Times New Roman"/>
          <w:sz w:val="24"/>
          <w:szCs w:val="24"/>
          <w:lang w:val="en-US"/>
        </w:rPr>
        <w:t>) over 48</w:t>
      </w:r>
      <w:r w:rsidR="004B2FAC">
        <w:rPr>
          <w:rFonts w:ascii="Book Antiqua" w:hAnsi="Book Antiqua" w:cs="Times New Roman"/>
          <w:sz w:val="24"/>
          <w:szCs w:val="24"/>
          <w:lang w:val="en-US"/>
        </w:rPr>
        <w:t xml:space="preserve"> </w:t>
      </w:r>
      <w:r w:rsidR="00A2336F" w:rsidRPr="002575A7">
        <w:rPr>
          <w:rFonts w:ascii="Book Antiqua" w:hAnsi="Book Antiqua" w:cs="Times New Roman"/>
          <w:sz w:val="24"/>
          <w:szCs w:val="24"/>
          <w:lang w:val="en-US"/>
        </w:rPr>
        <w:t>h starting on Day 1</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{"citationID":"CtoxID3f","properties":{"formattedCitation":"\\super 11\\nosupersub{}","plainCitation":"11","noteIndex":0},"citationItems":[{"id":740,"uris":["http://zotero.org/users/2205527/items/5AX864JS"],"uri":["http://zotero.org/users/2205527/items/5AX864JS"],"itemData":{"id":740,"type":"article-journal","title":"Phase III trial of infusional fluorouracil, leucovorin, oxaliplatin, and irinotecan (FOLFOXIRI) compared with infusional fluorouracil, leucovorin, and irinotecan (FOLFIRI) as first-line treatment for metastatic colorectal cancer: the Gruppo Oncologico Nord Ovest","container-title":"Journal of Clinical Oncology: Official Journal of the American Society of Clinical Oncology","page":"1670-1676","volume":"25","issue":"13","source":"PubMed","abstract":"PURPOSE: The Gruppo Oncologico Nord Ovest (GONO) conducted a phase III study comparing fluorouracil, leucovorin, oxaliplatin, and irinotecan (FOLFOXIRI [irinotecan 165 mg/m2 day 1, oxaliplatin 85 mg/m2 day 1, leucovorin 200 mg/m2 day 1, fluorouracil 3,200 mg/m2 48-hour continuous infusion starting on day 1, every 2 weeks]) with infusional fluorouracil, leucovorin, and irinotecan (FOLFIRI).\nMETHODS: Selection criteria included unresectable metastatic colorectal cancer, age 18 to 75 years, and no prior chemotherapy for advanced disease. The primary end point was response rate (RR).\nRESULTS: A total of 244 patients were randomly assigned. An increase of grade 2 to 3 peripheral neurotoxicity (0% v 19%; P &lt; .001), and grade 3 to 4 neutropenia (28% v 50%; P &lt; .001) were observed in the FOLFOXIRI arm. The incidence of febrile neutropenia (3% v 5%) and grade 3 to 4 diarrhea (12% v 20%) were not significantly different. Responses, as assessed by investigators, were, for FOLFIRI and FOLFOXIRI, respectively, complete, 6% and 8%; and partial, 35% and 58%, (RR, 41% v 66%; P = .0002). RR confirmed by an external panel was 34% versus 60% (P &lt; .0001). The R0 secondary resection rate of metastases was greater in the FOLFOXIRI arm (6% v 15%; P = .033, among all 244 patients; and 12% v 36%; P = .017 among patients with liver metastases only). Progression-free survival (PFS) and overall survival (OS) were both significantly improved in the FOLFOXIRI arm (median PFS, 6.9 v 9.8 months; hazard ratio [HR], 0.63; P = .0006; median OS, 16.7 v 22.6 months; HR, 0.70; P = .032).\nCONCLUSION: The FOLFOXIRI regimen improves RR, PFS, and OS compared with FOLFIRI, with an increased, but manageable, toxicity in patients with metastatic colorectal cancer with favorable prognostic characteristics. Further studies of FOLFOXIRI in combination with targeted agents and in the neoadjuvant setting are warranted.","DOI":"10.1200/JCO.2006.09.0928","ISSN":"1527-7755","note":"PMID: 17470860","title-short":"Phase III trial of infusional fluorouracil, leucovorin, oxaliplatin, and irinotecan (FOLFOXIRI) compared with infusional fluorouracil, leucovorin, and irinotecan (FOLFIRI) as first-line treatment for metastatic colorectal cancer","journalAbbreviation":"J. Clin. Oncol.","language":"eng","author":[{"family":"Falcone","given":"Alfredo"},{"family":"Ricci","given":"Sergio"},{"family":"Brunetti","given":"Isa"},{"family":"Pfanner","given":"Elisabetta"},{"family":"Allegrini","given":"Giacomo"},{"family":"Barbara","given":"Cecilia"},{"family":"Crinò","given":"Lucio"},{"family":"Benedetti","given":"Giovanni"},{"family":"Evangelista","given":"Walter"},{"family":"Fanchini","given":"Laura"},{"family":"Cortesi","given":"Enrico"},{"family":"Picone","given":"Vincenzo"},{"family":"Vitello","given":"Stefano"},{"family":"Chiara","given":"Silvana"},{"family":"Granetto","given":"Cristina"},{"family":"Porcile","given":"Gianfranco"},{"family":"Fioretto","given":"Luisa"},{"family":"Orlandini","given":"Cinzia"},{"family":"Andreuccetti","given":"Michele"},{"family":"Masi","given":"Gianluca"},{"literal":"Gruppo Oncologico Nord Ovest"}],"issued":{"date-parts":[["2007",5,1]]}}}],"schema":"https://github.com/citation-style-language/schema/raw/master/csl-citation.json"}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11</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E37F53" w:rsidRPr="002575A7">
        <w:rPr>
          <w:rFonts w:ascii="Book Antiqua" w:hAnsi="Book Antiqua" w:cs="Times New Roman"/>
          <w:sz w:val="24"/>
          <w:szCs w:val="24"/>
          <w:lang w:val="en-US"/>
        </w:rPr>
        <w:t xml:space="preserve"> </w:t>
      </w:r>
      <w:r w:rsidR="00A2336F" w:rsidRPr="002575A7">
        <w:rPr>
          <w:rFonts w:ascii="Book Antiqua" w:hAnsi="Book Antiqua" w:cs="Times New Roman"/>
          <w:sz w:val="24"/>
          <w:szCs w:val="24"/>
          <w:lang w:val="en-US"/>
        </w:rPr>
        <w:t>These two t</w:t>
      </w:r>
      <w:r w:rsidR="00DC3E46" w:rsidRPr="002575A7">
        <w:rPr>
          <w:rFonts w:ascii="Book Antiqua" w:hAnsi="Book Antiqua" w:cs="Times New Roman"/>
          <w:sz w:val="24"/>
          <w:szCs w:val="24"/>
          <w:lang w:val="en-US"/>
        </w:rPr>
        <w:t>reatment</w:t>
      </w:r>
      <w:r w:rsidR="00A2336F" w:rsidRPr="002575A7">
        <w:rPr>
          <w:rFonts w:ascii="Book Antiqua" w:hAnsi="Book Antiqua" w:cs="Times New Roman"/>
          <w:sz w:val="24"/>
          <w:szCs w:val="24"/>
          <w:lang w:val="en-US"/>
        </w:rPr>
        <w:t>s</w:t>
      </w:r>
      <w:r w:rsidR="00DC3E46" w:rsidRPr="002575A7">
        <w:rPr>
          <w:rFonts w:ascii="Book Antiqua" w:hAnsi="Book Antiqua" w:cs="Times New Roman"/>
          <w:sz w:val="24"/>
          <w:szCs w:val="24"/>
          <w:lang w:val="en-US"/>
        </w:rPr>
        <w:t xml:space="preserve"> </w:t>
      </w:r>
      <w:r w:rsidR="00A2336F" w:rsidRPr="002575A7">
        <w:rPr>
          <w:rFonts w:ascii="Book Antiqua" w:hAnsi="Book Antiqua" w:cs="Times New Roman"/>
          <w:sz w:val="24"/>
          <w:szCs w:val="24"/>
          <w:lang w:val="en-US"/>
        </w:rPr>
        <w:t>were</w:t>
      </w:r>
      <w:r w:rsidR="00563FB0" w:rsidRPr="002575A7">
        <w:rPr>
          <w:rFonts w:ascii="Book Antiqua" w:hAnsi="Book Antiqua" w:cs="Times New Roman"/>
          <w:sz w:val="24"/>
          <w:szCs w:val="24"/>
          <w:lang w:val="en-US"/>
        </w:rPr>
        <w:t xml:space="preserve"> administered every </w:t>
      </w:r>
      <w:r w:rsidR="00916870">
        <w:rPr>
          <w:rFonts w:ascii="Book Antiqua" w:hAnsi="Book Antiqua" w:cs="Times New Roman"/>
          <w:sz w:val="24"/>
          <w:szCs w:val="24"/>
          <w:lang w:val="en-US"/>
        </w:rPr>
        <w:t>2</w:t>
      </w:r>
      <w:r w:rsidR="00DC3E46" w:rsidRPr="002575A7">
        <w:rPr>
          <w:rFonts w:ascii="Book Antiqua" w:hAnsi="Book Antiqua" w:cs="Times New Roman"/>
          <w:sz w:val="24"/>
          <w:szCs w:val="24"/>
          <w:lang w:val="en-US"/>
        </w:rPr>
        <w:t xml:space="preserve"> w</w:t>
      </w:r>
      <w:r w:rsidR="00916870">
        <w:rPr>
          <w:rFonts w:ascii="Book Antiqua" w:hAnsi="Book Antiqua" w:cs="Times New Roman"/>
          <w:sz w:val="24"/>
          <w:szCs w:val="24"/>
          <w:lang w:val="en-US"/>
        </w:rPr>
        <w:t>k</w:t>
      </w:r>
      <w:r w:rsidR="00A2336F" w:rsidRPr="002575A7">
        <w:rPr>
          <w:rFonts w:ascii="Book Antiqua" w:hAnsi="Book Antiqua" w:cs="Times New Roman"/>
          <w:sz w:val="24"/>
          <w:szCs w:val="24"/>
          <w:lang w:val="en-US"/>
        </w:rPr>
        <w:t xml:space="preserve"> until disease progression or </w:t>
      </w:r>
      <w:r w:rsidR="00DC3E46" w:rsidRPr="002575A7">
        <w:rPr>
          <w:rFonts w:ascii="Book Antiqua" w:hAnsi="Book Antiqua" w:cs="Times New Roman"/>
          <w:sz w:val="24"/>
          <w:szCs w:val="24"/>
          <w:lang w:val="en-US"/>
        </w:rPr>
        <w:t>unacceptable toxicity.</w:t>
      </w:r>
      <w:r w:rsidR="0081348D" w:rsidRPr="002575A7">
        <w:rPr>
          <w:rFonts w:ascii="Book Antiqua" w:hAnsi="Book Antiqua" w:cs="Times New Roman"/>
          <w:sz w:val="24"/>
          <w:szCs w:val="24"/>
          <w:lang w:val="en-US"/>
        </w:rPr>
        <w:t xml:space="preserve"> </w:t>
      </w:r>
      <w:r w:rsidR="00462A09" w:rsidRPr="002575A7">
        <w:rPr>
          <w:rFonts w:ascii="Book Antiqua" w:hAnsi="Book Antiqua" w:cs="Times New Roman"/>
          <w:sz w:val="24"/>
          <w:szCs w:val="24"/>
          <w:lang w:val="en-US"/>
        </w:rPr>
        <w:t>Hematopoietic growth factors were systematically use</w:t>
      </w:r>
      <w:r w:rsidR="001C3505" w:rsidRPr="002575A7">
        <w:rPr>
          <w:rFonts w:ascii="Book Antiqua" w:hAnsi="Book Antiqua" w:cs="Times New Roman"/>
          <w:sz w:val="24"/>
          <w:szCs w:val="24"/>
          <w:lang w:val="en-US"/>
        </w:rPr>
        <w:t>d</w:t>
      </w:r>
      <w:r w:rsidR="00462A09" w:rsidRPr="002575A7">
        <w:rPr>
          <w:rFonts w:ascii="Book Antiqua" w:hAnsi="Book Antiqua" w:cs="Times New Roman"/>
          <w:sz w:val="24"/>
          <w:szCs w:val="24"/>
          <w:lang w:val="en-US"/>
        </w:rPr>
        <w:t xml:space="preserve"> after each chemotherapy </w:t>
      </w:r>
      <w:r w:rsidR="001A7943" w:rsidRPr="002575A7">
        <w:rPr>
          <w:rFonts w:ascii="Book Antiqua" w:hAnsi="Book Antiqua" w:cs="Times New Roman"/>
          <w:sz w:val="24"/>
          <w:szCs w:val="24"/>
          <w:lang w:val="en-US"/>
        </w:rPr>
        <w:t xml:space="preserve">cycle </w:t>
      </w:r>
      <w:r w:rsidR="00C66221" w:rsidRPr="002575A7">
        <w:rPr>
          <w:rFonts w:ascii="Book Antiqua" w:hAnsi="Book Antiqua" w:cs="Times New Roman"/>
          <w:sz w:val="24"/>
          <w:szCs w:val="24"/>
          <w:lang w:val="en-US"/>
        </w:rPr>
        <w:t>in at least 80% of cases</w:t>
      </w:r>
      <w:r w:rsidR="00462A09" w:rsidRPr="002575A7">
        <w:rPr>
          <w:rFonts w:ascii="Book Antiqua" w:hAnsi="Book Antiqua" w:cs="Times New Roman"/>
          <w:sz w:val="24"/>
          <w:szCs w:val="24"/>
          <w:lang w:val="en-US"/>
        </w:rPr>
        <w:t xml:space="preserve"> in the FOLFIRINOX group and for all patients </w:t>
      </w:r>
      <w:r w:rsidR="001A7943" w:rsidRPr="002575A7">
        <w:rPr>
          <w:rFonts w:ascii="Book Antiqua" w:hAnsi="Book Antiqua" w:cs="Times New Roman"/>
          <w:sz w:val="24"/>
          <w:szCs w:val="24"/>
          <w:lang w:val="en-US"/>
        </w:rPr>
        <w:t xml:space="preserve">enrolled </w:t>
      </w:r>
      <w:r w:rsidR="00462A09" w:rsidRPr="002575A7">
        <w:rPr>
          <w:rFonts w:ascii="Book Antiqua" w:hAnsi="Book Antiqua" w:cs="Times New Roman"/>
          <w:sz w:val="24"/>
          <w:szCs w:val="24"/>
          <w:lang w:val="en-US"/>
        </w:rPr>
        <w:t>in the FOLFOXIRI group.</w:t>
      </w:r>
    </w:p>
    <w:p w14:paraId="49677DA5" w14:textId="77777777" w:rsidR="005A5D37" w:rsidRPr="002575A7" w:rsidRDefault="005A5D37" w:rsidP="00864BDB">
      <w:pPr>
        <w:snapToGrid w:val="0"/>
        <w:spacing w:after="0" w:line="360" w:lineRule="auto"/>
        <w:jc w:val="both"/>
        <w:rPr>
          <w:rFonts w:ascii="Book Antiqua" w:hAnsi="Book Antiqua" w:cs="Times New Roman"/>
          <w:sz w:val="24"/>
          <w:szCs w:val="24"/>
          <w:lang w:val="en-US"/>
        </w:rPr>
      </w:pPr>
    </w:p>
    <w:p w14:paraId="224BF211" w14:textId="40DCEBFB" w:rsidR="008A4B6C" w:rsidRPr="002575A7" w:rsidRDefault="008A4B6C"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 xml:space="preserve">Statistical </w:t>
      </w:r>
      <w:r w:rsidR="009E33C2" w:rsidRPr="002575A7">
        <w:rPr>
          <w:rFonts w:ascii="Book Antiqua" w:hAnsi="Book Antiqua" w:cs="Times New Roman"/>
          <w:b/>
          <w:i/>
          <w:sz w:val="24"/>
          <w:szCs w:val="24"/>
          <w:lang w:val="en-US"/>
        </w:rPr>
        <w:t>a</w:t>
      </w:r>
      <w:r w:rsidRPr="002575A7">
        <w:rPr>
          <w:rFonts w:ascii="Book Antiqua" w:hAnsi="Book Antiqua" w:cs="Times New Roman"/>
          <w:b/>
          <w:i/>
          <w:sz w:val="24"/>
          <w:szCs w:val="24"/>
          <w:lang w:val="en-US"/>
        </w:rPr>
        <w:t>nalysis</w:t>
      </w:r>
    </w:p>
    <w:p w14:paraId="4500878A" w14:textId="4CF8353B" w:rsidR="003F0126" w:rsidRPr="002575A7" w:rsidRDefault="008A4B6C"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lastRenderedPageBreak/>
        <w:t xml:space="preserve">Median value (interquartile range) and frequency (percentage) were provided for the description of continuous and categorical variables, respectively. Medians and proportions were compared </w:t>
      </w:r>
      <w:r w:rsidR="00AA7D65" w:rsidRPr="002575A7">
        <w:rPr>
          <w:rFonts w:ascii="Book Antiqua" w:hAnsi="Book Antiqua" w:cs="Times New Roman"/>
          <w:sz w:val="24"/>
          <w:szCs w:val="24"/>
          <w:lang w:val="en-US"/>
        </w:rPr>
        <w:t xml:space="preserve">between </w:t>
      </w:r>
      <w:r w:rsidR="0010356E">
        <w:rPr>
          <w:rFonts w:ascii="Book Antiqua" w:hAnsi="Book Antiqua" w:cs="Times New Roman"/>
          <w:sz w:val="24"/>
          <w:szCs w:val="24"/>
          <w:lang w:val="en-US"/>
        </w:rPr>
        <w:t xml:space="preserve">the </w:t>
      </w:r>
      <w:r w:rsidR="00AA7D65" w:rsidRPr="002575A7">
        <w:rPr>
          <w:rFonts w:ascii="Book Antiqua" w:hAnsi="Book Antiqua" w:cs="Times New Roman"/>
          <w:sz w:val="24"/>
          <w:szCs w:val="24"/>
          <w:lang w:val="en-US"/>
        </w:rPr>
        <w:t xml:space="preserve">FOLFIRINOX and FOLFOXIRI groups </w:t>
      </w:r>
      <w:r w:rsidRPr="002575A7">
        <w:rPr>
          <w:rFonts w:ascii="Book Antiqua" w:hAnsi="Book Antiqua" w:cs="Times New Roman"/>
          <w:sz w:val="24"/>
          <w:szCs w:val="24"/>
          <w:lang w:val="en-US"/>
        </w:rPr>
        <w:t xml:space="preserve">using </w:t>
      </w:r>
      <w:r w:rsidR="00AA7D65" w:rsidRPr="002575A7">
        <w:rPr>
          <w:rFonts w:ascii="Book Antiqua" w:hAnsi="Book Antiqua" w:cs="Times New Roman"/>
          <w:sz w:val="24"/>
          <w:szCs w:val="24"/>
          <w:lang w:val="en-US"/>
        </w:rPr>
        <w:t xml:space="preserve">Wilcoxon–Mann–Whitney </w:t>
      </w:r>
      <w:r w:rsidRPr="002575A7">
        <w:rPr>
          <w:rFonts w:ascii="Book Antiqua" w:hAnsi="Book Antiqua" w:cs="Times New Roman"/>
          <w:sz w:val="24"/>
          <w:szCs w:val="24"/>
          <w:lang w:val="en-US"/>
        </w:rPr>
        <w:t>and chi-square test</w:t>
      </w:r>
      <w:r w:rsidR="00AA7D65" w:rsidRPr="002575A7">
        <w:rPr>
          <w:rFonts w:ascii="Book Antiqua" w:hAnsi="Book Antiqua" w:cs="Times New Roman"/>
          <w:sz w:val="24"/>
          <w:szCs w:val="24"/>
          <w:lang w:val="en-US"/>
        </w:rPr>
        <w:t>s</w:t>
      </w:r>
      <w:r w:rsidRPr="002575A7">
        <w:rPr>
          <w:rFonts w:ascii="Book Antiqua" w:hAnsi="Book Antiqua" w:cs="Times New Roman"/>
          <w:sz w:val="24"/>
          <w:szCs w:val="24"/>
          <w:lang w:val="en-US"/>
        </w:rPr>
        <w:t xml:space="preserve"> (or Fisher’s exact test, if appropriate), respectively.</w:t>
      </w:r>
      <w:r w:rsidR="00E73B0A" w:rsidRPr="002575A7">
        <w:rPr>
          <w:rFonts w:ascii="Book Antiqua" w:hAnsi="Book Antiqua" w:cs="Times New Roman"/>
          <w:sz w:val="24"/>
          <w:szCs w:val="24"/>
          <w:lang w:val="en-US"/>
        </w:rPr>
        <w:t xml:space="preserve"> </w:t>
      </w:r>
      <w:r w:rsidR="00F161A9" w:rsidRPr="002575A7">
        <w:rPr>
          <w:rFonts w:ascii="Book Antiqua" w:hAnsi="Book Antiqua" w:cs="Times New Roman"/>
          <w:sz w:val="24"/>
          <w:szCs w:val="24"/>
          <w:lang w:val="en-US"/>
        </w:rPr>
        <w:t>O</w:t>
      </w:r>
      <w:r w:rsidR="007A20CD" w:rsidRPr="002575A7">
        <w:rPr>
          <w:rFonts w:ascii="Book Antiqua" w:hAnsi="Book Antiqua" w:cs="Times New Roman"/>
          <w:sz w:val="24"/>
          <w:szCs w:val="24"/>
          <w:lang w:val="en-US"/>
        </w:rPr>
        <w:t>S</w:t>
      </w:r>
      <w:r w:rsidRPr="002575A7">
        <w:rPr>
          <w:rFonts w:ascii="Book Antiqua" w:hAnsi="Book Antiqua" w:cs="Times New Roman"/>
          <w:sz w:val="24"/>
          <w:szCs w:val="24"/>
          <w:lang w:val="en-US"/>
        </w:rPr>
        <w:t xml:space="preserve"> was calculated from the da</w:t>
      </w:r>
      <w:r w:rsidR="00F161A9" w:rsidRPr="002575A7">
        <w:rPr>
          <w:rFonts w:ascii="Book Antiqua" w:hAnsi="Book Antiqua" w:cs="Times New Roman"/>
          <w:sz w:val="24"/>
          <w:szCs w:val="24"/>
          <w:lang w:val="en-US"/>
        </w:rPr>
        <w:t xml:space="preserve">te of </w:t>
      </w:r>
      <w:r w:rsidR="004B2FAC">
        <w:rPr>
          <w:rFonts w:ascii="Book Antiqua" w:hAnsi="Book Antiqua" w:cs="Times New Roman"/>
          <w:sz w:val="24"/>
          <w:szCs w:val="24"/>
          <w:lang w:val="en-US"/>
        </w:rPr>
        <w:t xml:space="preserve">the </w:t>
      </w:r>
      <w:r w:rsidR="00F161A9" w:rsidRPr="002575A7">
        <w:rPr>
          <w:rFonts w:ascii="Book Antiqua" w:hAnsi="Book Antiqua" w:cs="Times New Roman"/>
          <w:sz w:val="24"/>
          <w:szCs w:val="24"/>
          <w:lang w:val="en-US"/>
        </w:rPr>
        <w:t xml:space="preserve">first administration of </w:t>
      </w:r>
      <w:r w:rsidR="004D16C9" w:rsidRPr="002575A7">
        <w:rPr>
          <w:rFonts w:ascii="Book Antiqua" w:hAnsi="Book Antiqua" w:cs="Times New Roman"/>
          <w:sz w:val="24"/>
          <w:szCs w:val="24"/>
          <w:lang w:val="en-US"/>
        </w:rPr>
        <w:t>L1</w:t>
      </w:r>
      <w:r w:rsidRPr="002575A7">
        <w:rPr>
          <w:rFonts w:ascii="Book Antiqua" w:hAnsi="Book Antiqua" w:cs="Times New Roman"/>
          <w:sz w:val="24"/>
          <w:szCs w:val="24"/>
          <w:lang w:val="en-US"/>
        </w:rPr>
        <w:t xml:space="preserve"> to the date of death from any cause. Survival data were censored at the last follow</w:t>
      </w:r>
      <w:r w:rsidR="004D16C9" w:rsidRPr="002575A7">
        <w:rPr>
          <w:rFonts w:ascii="Book Antiqua" w:hAnsi="Book Antiqua" w:cs="Times New Roman"/>
          <w:sz w:val="24"/>
          <w:szCs w:val="24"/>
          <w:lang w:val="en-US"/>
        </w:rPr>
        <w:t xml:space="preserve">-up. </w:t>
      </w:r>
      <w:r w:rsidRPr="002575A7">
        <w:rPr>
          <w:rFonts w:ascii="Book Antiqua" w:hAnsi="Book Antiqua" w:cs="Times New Roman"/>
          <w:sz w:val="24"/>
          <w:szCs w:val="24"/>
          <w:lang w:val="en-US"/>
        </w:rPr>
        <w:t>PFS was calculated from the da</w:t>
      </w:r>
      <w:r w:rsidR="00F161A9" w:rsidRPr="002575A7">
        <w:rPr>
          <w:rFonts w:ascii="Book Antiqua" w:hAnsi="Book Antiqua" w:cs="Times New Roman"/>
          <w:sz w:val="24"/>
          <w:szCs w:val="24"/>
          <w:lang w:val="en-US"/>
        </w:rPr>
        <w:t xml:space="preserve">te of </w:t>
      </w:r>
      <w:r w:rsidR="004B2FAC">
        <w:rPr>
          <w:rFonts w:ascii="Book Antiqua" w:hAnsi="Book Antiqua" w:cs="Times New Roman"/>
          <w:sz w:val="24"/>
          <w:szCs w:val="24"/>
          <w:lang w:val="en-US"/>
        </w:rPr>
        <w:t xml:space="preserve">the </w:t>
      </w:r>
      <w:r w:rsidR="00F161A9" w:rsidRPr="002575A7">
        <w:rPr>
          <w:rFonts w:ascii="Book Antiqua" w:hAnsi="Book Antiqua" w:cs="Times New Roman"/>
          <w:sz w:val="24"/>
          <w:szCs w:val="24"/>
          <w:lang w:val="en-US"/>
        </w:rPr>
        <w:t>first administration of L1</w:t>
      </w:r>
      <w:r w:rsidRPr="002575A7">
        <w:rPr>
          <w:rFonts w:ascii="Book Antiqua" w:hAnsi="Book Antiqua" w:cs="Times New Roman"/>
          <w:sz w:val="24"/>
          <w:szCs w:val="24"/>
          <w:lang w:val="en-US"/>
        </w:rPr>
        <w:t xml:space="preserve"> to the date of progression or death from any cause, or the date of the last follow-up, at which point data were censored. OS and PFS were estimated using the Kaplan-Meier method and described using median or rate at specific time point</w:t>
      </w:r>
      <w:r w:rsidR="00AA7D65" w:rsidRPr="002575A7">
        <w:rPr>
          <w:rFonts w:ascii="Book Antiqua" w:hAnsi="Book Antiqua" w:cs="Times New Roman"/>
          <w:sz w:val="24"/>
          <w:szCs w:val="24"/>
          <w:lang w:val="en-US"/>
        </w:rPr>
        <w:t>s with 95% confidence intervals</w:t>
      </w:r>
      <w:r w:rsidR="004A35C3" w:rsidRPr="002575A7">
        <w:rPr>
          <w:rFonts w:ascii="Book Antiqua" w:hAnsi="Book Antiqua" w:cs="Times New Roman"/>
          <w:sz w:val="24"/>
          <w:szCs w:val="24"/>
          <w:lang w:val="en-US"/>
        </w:rPr>
        <w:t xml:space="preserve"> (CI</w:t>
      </w:r>
      <w:r w:rsidR="0010356E">
        <w:rPr>
          <w:rFonts w:ascii="Book Antiqua" w:hAnsi="Book Antiqua" w:cs="Times New Roman"/>
          <w:sz w:val="24"/>
          <w:szCs w:val="24"/>
          <w:lang w:val="en-US"/>
        </w:rPr>
        <w:t>s</w:t>
      </w:r>
      <w:r w:rsidR="004A35C3" w:rsidRPr="002575A7">
        <w:rPr>
          <w:rFonts w:ascii="Book Antiqua" w:hAnsi="Book Antiqua" w:cs="Times New Roman"/>
          <w:sz w:val="24"/>
          <w:szCs w:val="24"/>
          <w:lang w:val="en-US"/>
        </w:rPr>
        <w:t>)</w:t>
      </w:r>
      <w:r w:rsidR="00AA7D65" w:rsidRPr="002575A7">
        <w:rPr>
          <w:rFonts w:ascii="Book Antiqua" w:hAnsi="Book Antiqua" w:cs="Times New Roman"/>
          <w:sz w:val="24"/>
          <w:szCs w:val="24"/>
          <w:lang w:val="en-US"/>
        </w:rPr>
        <w:t>, and compared using the log</w:t>
      </w:r>
      <w:r w:rsidR="004B2FAC">
        <w:rPr>
          <w:rFonts w:ascii="Book Antiqua" w:hAnsi="Book Antiqua" w:cs="Times New Roman"/>
          <w:sz w:val="24"/>
          <w:szCs w:val="24"/>
          <w:lang w:val="en-US"/>
        </w:rPr>
        <w:t>-</w:t>
      </w:r>
      <w:r w:rsidR="00AA7D65" w:rsidRPr="002575A7">
        <w:rPr>
          <w:rFonts w:ascii="Book Antiqua" w:hAnsi="Book Antiqua" w:cs="Times New Roman"/>
          <w:sz w:val="24"/>
          <w:szCs w:val="24"/>
          <w:lang w:val="en-US"/>
        </w:rPr>
        <w:t>rank test.</w:t>
      </w:r>
      <w:r w:rsidRPr="002575A7">
        <w:rPr>
          <w:rFonts w:ascii="Book Antiqua" w:hAnsi="Book Antiqua" w:cs="Times New Roman"/>
          <w:sz w:val="24"/>
          <w:szCs w:val="24"/>
          <w:lang w:val="en-US"/>
        </w:rPr>
        <w:t xml:space="preserve"> Follow-up </w:t>
      </w:r>
      <w:r w:rsidR="00AA7D65" w:rsidRPr="002575A7">
        <w:rPr>
          <w:rFonts w:ascii="Book Antiqua" w:hAnsi="Book Antiqua" w:cs="Times New Roman"/>
          <w:sz w:val="24"/>
          <w:szCs w:val="24"/>
          <w:lang w:val="en-US"/>
        </w:rPr>
        <w:t>time</w:t>
      </w:r>
      <w:r w:rsidRPr="002575A7">
        <w:rPr>
          <w:rFonts w:ascii="Book Antiqua" w:hAnsi="Book Antiqua" w:cs="Times New Roman"/>
          <w:sz w:val="24"/>
          <w:szCs w:val="24"/>
          <w:lang w:val="en-US"/>
        </w:rPr>
        <w:t xml:space="preserve"> was calculated using a reverse Kaplan-Meier estimat</w:t>
      </w:r>
      <w:r w:rsidR="00F161A9" w:rsidRPr="002575A7">
        <w:rPr>
          <w:rFonts w:ascii="Book Antiqua" w:hAnsi="Book Antiqua" w:cs="Times New Roman"/>
          <w:sz w:val="24"/>
          <w:szCs w:val="24"/>
          <w:lang w:val="en-US"/>
        </w:rPr>
        <w:t>ion when feasible</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{"citationID":"O0BXkHQz","properties":{"formattedCitation":"\\super 12\\nosupersub{}","plainCitation":"12","noteIndex":0},"citationItems":[{"id":540,"uris":["http://zotero.org/users/2205527/items/B5KVE3E6"],"uri":["http://zotero.org/users/2205527/items/B5KVE3E6"],"itemData":{"id":540,"type":"article-journal","title":"A note on quantifying follow-up in studies of failure time","container-title":"Controlled Clinical Trials","page":"343-346","volume":"17","issue":"4","source":"PubMed","ISSN":"0197-2456","note":"PMID: 8889347","journalAbbreviation":"Control Clin Trials","language":"eng","author":[{"family":"Schemper","given":"M."},{"family":"Smith","given":"T. L."}],"issued":{"date-parts":[["1996",8]]}}}],"schema":"https://github.com/citation-style-language/schema/raw/master/csl-citation.json"}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12</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4D16C9" w:rsidRPr="002575A7">
        <w:rPr>
          <w:rFonts w:ascii="Book Antiqua" w:hAnsi="Book Antiqua" w:cs="Times New Roman"/>
          <w:sz w:val="24"/>
          <w:szCs w:val="24"/>
          <w:lang w:val="en-US"/>
        </w:rPr>
        <w:t xml:space="preserve"> </w:t>
      </w:r>
      <w:r w:rsidR="00BA2FE3" w:rsidRPr="002575A7">
        <w:rPr>
          <w:rFonts w:ascii="Book Antiqua" w:hAnsi="Book Antiqua" w:cs="Times New Roman"/>
          <w:sz w:val="24"/>
          <w:szCs w:val="24"/>
          <w:lang w:val="en-US"/>
        </w:rPr>
        <w:t>Objective t</w:t>
      </w:r>
      <w:r w:rsidR="003F0126" w:rsidRPr="002575A7">
        <w:rPr>
          <w:rFonts w:ascii="Book Antiqua" w:hAnsi="Book Antiqua" w:cs="Times New Roman"/>
          <w:sz w:val="24"/>
          <w:szCs w:val="24"/>
          <w:lang w:val="en-US"/>
        </w:rPr>
        <w:t>umor response was determined according to Response Evaluation Criteria in Solid Tumors (RECIST) v1.1 criteria</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{"citationID":"hJK2ahrL","properties":{"formattedCitation":"\\super 13\\nosupersub{}","plainCitation":"13","noteIndex":0},"citationItems":[{"id":502,"uris":["http://zotero.org/users/2205527/items/HVITJH5A"],"uri":["http://zotero.org/users/2205527/items/HVITJH5A"],"itemData":{"id":502,"type":"article-journal","title":"New response evaluation criteria in solid tumours: Revised RECIST guideline (version 1.1)","container-title":"European Journal of Cancer","page":"228-247","volume":"45","issue":"2","source":"CrossRef","DOI":"10.1016/j.ejca.2008.10.026","ISSN":"09598049","title-short":"New response evaluation criteria in solid tumours","language":"en","author":[{"family":"Eisenhauer","given":"E.A."},{"family":"Therasse","given":"P."},{"family":"Bogaerts","given":"J."},{"family":"Schwartz","given":"L.H."},{"family":"Sargent","given":"D."},{"family":"Ford","given":"R."},{"family":"Dancey","given":"J."},{"family":"Arbuck","given":"S."},{"family":"Gwyther","given":"S."},{"family":"Mooney","given":"M."},{"family":"Rubinstein","given":"L."},{"family":"Shankar","given":"L."},{"family":"Dodd","given":"L."},{"family":"Kaplan","given":"R."},{"family":"Lacombe","given":"D."},{"family":"Verweij","given":"J."}],"issued":{"date-parts":[["2009",1]]}}}],"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13</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3F0126" w:rsidRPr="002575A7">
        <w:rPr>
          <w:rFonts w:ascii="Book Antiqua" w:hAnsi="Book Antiqua" w:cs="Times New Roman"/>
          <w:sz w:val="24"/>
          <w:szCs w:val="24"/>
          <w:lang w:val="en-US"/>
        </w:rPr>
        <w:t xml:space="preserve"> Toxicity was evaluated according to </w:t>
      </w:r>
      <w:r w:rsidR="004B2FAC">
        <w:rPr>
          <w:rFonts w:ascii="Book Antiqua" w:hAnsi="Book Antiqua" w:cs="Times New Roman"/>
          <w:sz w:val="24"/>
          <w:szCs w:val="24"/>
          <w:lang w:val="en-US"/>
        </w:rPr>
        <w:t xml:space="preserve">the </w:t>
      </w:r>
      <w:r w:rsidR="003F0126" w:rsidRPr="002575A7">
        <w:rPr>
          <w:rFonts w:ascii="Book Antiqua" w:hAnsi="Book Antiqua" w:cs="Times New Roman"/>
          <w:sz w:val="24"/>
          <w:szCs w:val="24"/>
          <w:lang w:val="en-US"/>
        </w:rPr>
        <w:t>National Cancer Institute Common Terminology Criteria</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{"citationID":"dG8FqM5h","properties":{"formattedCitation":"\\super 14\\nosupersub{}","plainCitation":"14","noteIndex":0},"citationItems":[{"id":1618,"uris":["http://zotero.org/users/2205527/items/HFVJ7FNH"],"uri":["http://zotero.org/users/2205527/items/HFVJ7FNH"],"itemData":{"id":1618,"type":"webpage","title":"National Cancer Institute Common Terminology Criteria. https://ctep.cancer.gov/protocolDevelopment/electronic_applications/ctc.htm. Accessed June 03, 2019."}}],"schema":"https://github.com/citation-style-language/schema/raw/master/csl-citation.json"}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14</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p>
    <w:p w14:paraId="3C39D837" w14:textId="7E5DF97E" w:rsidR="00F161A9" w:rsidRPr="002575A7" w:rsidRDefault="00AA7D65" w:rsidP="00916870">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The primary analysis was </w:t>
      </w:r>
      <w:r w:rsidR="001A7943" w:rsidRPr="002575A7">
        <w:rPr>
          <w:rFonts w:ascii="Book Antiqua" w:hAnsi="Book Antiqua" w:cs="Times New Roman"/>
          <w:sz w:val="24"/>
          <w:szCs w:val="24"/>
          <w:lang w:val="en-US"/>
        </w:rPr>
        <w:t xml:space="preserve">conducted </w:t>
      </w:r>
      <w:r w:rsidRPr="002575A7">
        <w:rPr>
          <w:rFonts w:ascii="Book Antiqua" w:hAnsi="Book Antiqua" w:cs="Times New Roman"/>
          <w:sz w:val="24"/>
          <w:szCs w:val="24"/>
          <w:lang w:val="en-US"/>
        </w:rPr>
        <w:t xml:space="preserve">using data from the total population, </w:t>
      </w:r>
      <w:r w:rsidR="008A6BD2">
        <w:rPr>
          <w:rFonts w:ascii="Book Antiqua" w:hAnsi="Book Antiqua" w:cs="Times New Roman"/>
          <w:sz w:val="24"/>
          <w:szCs w:val="24"/>
          <w:lang w:val="en-US"/>
        </w:rPr>
        <w:t xml:space="preserve">and compared </w:t>
      </w:r>
      <w:r w:rsidRPr="002575A7">
        <w:rPr>
          <w:rFonts w:ascii="Book Antiqua" w:hAnsi="Book Antiqua" w:cs="Times New Roman"/>
          <w:sz w:val="24"/>
          <w:szCs w:val="24"/>
          <w:lang w:val="en-US"/>
        </w:rPr>
        <w:t xml:space="preserve">characteristics and outcomes between </w:t>
      </w:r>
      <w:r w:rsidR="0010356E">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FOLFIRINOX and FOLFOXIRI groups. A propensity score approach was </w:t>
      </w:r>
      <w:r w:rsidR="008A6BD2">
        <w:rPr>
          <w:rFonts w:ascii="Book Antiqua" w:hAnsi="Book Antiqua" w:cs="Times New Roman"/>
          <w:sz w:val="24"/>
          <w:szCs w:val="24"/>
          <w:lang w:val="en-US"/>
        </w:rPr>
        <w:t xml:space="preserve">then </w:t>
      </w:r>
      <w:r w:rsidRPr="002575A7">
        <w:rPr>
          <w:rFonts w:ascii="Book Antiqua" w:hAnsi="Book Antiqua" w:cs="Times New Roman"/>
          <w:sz w:val="24"/>
          <w:szCs w:val="24"/>
          <w:lang w:val="en-US"/>
        </w:rPr>
        <w:t xml:space="preserve">applied to deal with potential heterogeneity in baseline characteristics between </w:t>
      </w:r>
      <w:r w:rsidR="006075F8" w:rsidRPr="002575A7">
        <w:rPr>
          <w:rFonts w:ascii="Book Antiqua" w:hAnsi="Book Antiqua" w:cs="Times New Roman"/>
          <w:sz w:val="24"/>
          <w:szCs w:val="24"/>
          <w:lang w:val="en-US"/>
        </w:rPr>
        <w:t xml:space="preserve">the two </w:t>
      </w:r>
      <w:r w:rsidR="001A7943" w:rsidRPr="002575A7">
        <w:rPr>
          <w:rFonts w:ascii="Book Antiqua" w:hAnsi="Book Antiqua" w:cs="Times New Roman"/>
          <w:sz w:val="24"/>
          <w:szCs w:val="24"/>
          <w:lang w:val="en-US"/>
        </w:rPr>
        <w:t xml:space="preserve">administered </w:t>
      </w:r>
      <w:r w:rsidR="006075F8" w:rsidRPr="002575A7">
        <w:rPr>
          <w:rFonts w:ascii="Book Antiqua" w:hAnsi="Book Antiqua" w:cs="Times New Roman"/>
          <w:sz w:val="24"/>
          <w:szCs w:val="24"/>
          <w:lang w:val="en-US"/>
        </w:rPr>
        <w:t>regimens in L1</w:t>
      </w:r>
      <w:r w:rsidRPr="002575A7">
        <w:rPr>
          <w:rFonts w:ascii="Book Antiqua" w:hAnsi="Book Antiqua" w:cs="Times New Roman"/>
          <w:sz w:val="24"/>
          <w:szCs w:val="24"/>
          <w:lang w:val="en-US"/>
        </w:rPr>
        <w:t xml:space="preserve">. Two methods were used to address the potential confounding effect of the unbalanced factors: </w:t>
      </w:r>
      <w:r w:rsidR="008A6BD2">
        <w:rPr>
          <w:rFonts w:ascii="Book Antiqua" w:hAnsi="Book Antiqua" w:cs="Times New Roman"/>
          <w:sz w:val="24"/>
          <w:szCs w:val="24"/>
          <w:lang w:val="en-US"/>
        </w:rPr>
        <w:t xml:space="preserve">first, </w:t>
      </w:r>
      <w:r w:rsidR="004B2FAC">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inverse probability of treatment weighting (IPTW)</w:t>
      </w:r>
      <w:r w:rsidR="0020556D" w:rsidRPr="002575A7">
        <w:rPr>
          <w:rFonts w:ascii="Book Antiqua" w:hAnsi="Book Antiqua" w:cs="Times New Roman"/>
          <w:sz w:val="24"/>
          <w:szCs w:val="24"/>
          <w:lang w:val="en-US"/>
        </w:rPr>
        <w:t xml:space="preserve"> and </w:t>
      </w:r>
      <w:r w:rsidR="008A6BD2">
        <w:rPr>
          <w:rFonts w:ascii="Book Antiqua" w:hAnsi="Book Antiqua" w:cs="Times New Roman"/>
          <w:sz w:val="24"/>
          <w:szCs w:val="24"/>
          <w:lang w:val="en-US"/>
        </w:rPr>
        <w:t xml:space="preserve">second, </w:t>
      </w:r>
      <w:r w:rsidR="0020556D" w:rsidRPr="002575A7">
        <w:rPr>
          <w:rFonts w:ascii="Book Antiqua" w:hAnsi="Book Antiqua" w:cs="Times New Roman"/>
          <w:sz w:val="24"/>
          <w:szCs w:val="24"/>
          <w:lang w:val="en-US"/>
        </w:rPr>
        <w:t>propensity score matching</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{"citationID":"IE4jyVKo","properties":{"formattedCitation":"\\super 15\\nosupersub{}","plainCitation":"15","noteIndex":0},"citationItems":[{"id":1613,"uris":["http://zotero.org/users/2205527/items/XIZ85Z7V"],"uri":["http://zotero.org/users/2205527/items/XIZ85Z7V"],"itemData":{"id":1613,"type":"article-journal","title":"The performance of different propensity score methods for estimating absolute effects of treatments on survival outcomes: A simulation study","container-title":"Statistical Methods in Medical Research","page":"2214-2237","volume":"25","issue":"5","source":"PubMed","abstract":"Observational studies are increasingly being used to estimate the effect of treatments, interventions and exposures on outcomes that can occur over time. Historically, the hazard ratio, which is a relative measure of effect, has been reported. However, medical decision making is best informed when both relative and absolute measures of effect are reported. When outcomes are time-to-event in nature, the effect of treatment can also be quantified as the change in mean or median survival time due to treatment and the absolute reduction in the probability of the occurrence of an event within a specified duration of follow-up. We describe how three different propensity score methods, propensity score matching, stratification on the propensity score and inverse probability of treatment weighting using the propensity score, can be used to estimate absolute measures of treatment effect on survival outcomes. These methods are all based on estimating marginal survival functions under treatment and lack of treatment. We then conducted an extensive series of Monte Carlo simulations to compare the relative performance of these methods for estimating the absolute effects of treatment on survival outcomes. We found that stratification on the propensity score resulted in the greatest bias. Caliper matching on the propensity score and a method based on earlier work by Cole and Hernán tended to have the best performance for estimating absolute effects of treatment on survival outcomes. When the prevalence of treatment was less extreme, then inverse probability of treatment weighting-based methods tended to perform better than matching-based methods.","DOI":"10.1177/0962280213519716","ISSN":"1477-0334","note":"PMID: 24463885\nPMCID: PMC5051602","title-short":"The performance of different propensity score methods for estimating absolute effects of treatments on survival outcomes","journalAbbreviation":"Stat Methods Med Res","language":"eng","author":[{"family":"Austin","given":"Peter C."},{"family":"Schuster","given":"Tibor"}],"issued":{"date-parts":[["2016"]]}}}],"schema":"https://github.com/citation-style-language/schema/raw/master/csl-citation.json"}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15</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CC111A" w:rsidRPr="002575A7">
        <w:rPr>
          <w:rFonts w:ascii="Book Antiqua" w:hAnsi="Book Antiqua" w:cs="Times New Roman"/>
          <w:sz w:val="24"/>
          <w:szCs w:val="24"/>
          <w:lang w:val="en-US"/>
        </w:rPr>
        <w:t xml:space="preserve"> </w:t>
      </w:r>
      <w:r w:rsidR="0020556D" w:rsidRPr="002575A7">
        <w:rPr>
          <w:rFonts w:ascii="Book Antiqua" w:hAnsi="Book Antiqua" w:cs="Times New Roman"/>
          <w:sz w:val="24"/>
          <w:szCs w:val="24"/>
          <w:lang w:val="en-US"/>
        </w:rPr>
        <w:t>Propensity score construction was based on probability estimation with a non</w:t>
      </w:r>
      <w:r w:rsidR="0020556D" w:rsidRPr="002575A7">
        <w:rPr>
          <w:rFonts w:ascii="Times New Roman" w:hAnsi="Times New Roman" w:cs="Times New Roman"/>
          <w:sz w:val="24"/>
          <w:szCs w:val="24"/>
          <w:lang w:val="en-US"/>
        </w:rPr>
        <w:t>‐</w:t>
      </w:r>
      <w:r w:rsidR="0020556D" w:rsidRPr="002575A7">
        <w:rPr>
          <w:rFonts w:ascii="Book Antiqua" w:hAnsi="Book Antiqua" w:cs="Times New Roman"/>
          <w:sz w:val="24"/>
          <w:szCs w:val="24"/>
          <w:lang w:val="en-US"/>
        </w:rPr>
        <w:t xml:space="preserve">parsimonious multivariable logistic regression model including </w:t>
      </w:r>
      <w:r w:rsidR="0010356E">
        <w:rPr>
          <w:rFonts w:ascii="Book Antiqua" w:hAnsi="Book Antiqua" w:cs="Times New Roman"/>
          <w:sz w:val="24"/>
          <w:szCs w:val="24"/>
          <w:lang w:val="en-US"/>
        </w:rPr>
        <w:t xml:space="preserve">the </w:t>
      </w:r>
      <w:r w:rsidR="0020556D" w:rsidRPr="002575A7">
        <w:rPr>
          <w:rFonts w:ascii="Book Antiqua" w:hAnsi="Book Antiqua" w:cs="Times New Roman"/>
          <w:sz w:val="24"/>
          <w:szCs w:val="24"/>
          <w:lang w:val="en-US"/>
        </w:rPr>
        <w:t xml:space="preserve">main parameters distributed unequally between </w:t>
      </w:r>
      <w:r w:rsidR="0010356E">
        <w:rPr>
          <w:rFonts w:ascii="Book Antiqua" w:hAnsi="Book Antiqua" w:cs="Times New Roman"/>
          <w:sz w:val="24"/>
          <w:szCs w:val="24"/>
          <w:lang w:val="en-US"/>
        </w:rPr>
        <w:t xml:space="preserve">the </w:t>
      </w:r>
      <w:r w:rsidR="0020556D" w:rsidRPr="002575A7">
        <w:rPr>
          <w:rFonts w:ascii="Book Antiqua" w:hAnsi="Book Antiqua" w:cs="Times New Roman"/>
          <w:sz w:val="24"/>
          <w:szCs w:val="24"/>
          <w:lang w:val="en-US"/>
        </w:rPr>
        <w:t>FOLFIRINOX and FOLFOXIRI groups. Hazard ratio</w:t>
      </w:r>
      <w:r w:rsidR="008A6BD2">
        <w:rPr>
          <w:rFonts w:ascii="Book Antiqua" w:hAnsi="Book Antiqua" w:cs="Times New Roman"/>
          <w:sz w:val="24"/>
          <w:szCs w:val="24"/>
          <w:lang w:val="en-US"/>
        </w:rPr>
        <w:t>s</w:t>
      </w:r>
      <w:r w:rsidR="0020556D" w:rsidRPr="002575A7">
        <w:rPr>
          <w:rFonts w:ascii="Book Antiqua" w:hAnsi="Book Antiqua" w:cs="Times New Roman"/>
          <w:sz w:val="24"/>
          <w:szCs w:val="24"/>
          <w:lang w:val="en-US"/>
        </w:rPr>
        <w:t xml:space="preserve"> (HR</w:t>
      </w:r>
      <w:r w:rsidR="0010356E">
        <w:rPr>
          <w:rFonts w:ascii="Book Antiqua" w:hAnsi="Book Antiqua" w:cs="Times New Roman"/>
          <w:sz w:val="24"/>
          <w:szCs w:val="24"/>
          <w:lang w:val="en-US"/>
        </w:rPr>
        <w:t>s</w:t>
      </w:r>
      <w:r w:rsidR="0020556D" w:rsidRPr="002575A7">
        <w:rPr>
          <w:rFonts w:ascii="Book Antiqua" w:hAnsi="Book Antiqua" w:cs="Times New Roman"/>
          <w:sz w:val="24"/>
          <w:szCs w:val="24"/>
          <w:lang w:val="en-US"/>
        </w:rPr>
        <w:t xml:space="preserve">) and </w:t>
      </w:r>
      <w:r w:rsidR="009D1BBF">
        <w:rPr>
          <w:rFonts w:ascii="Book Antiqua" w:hAnsi="Book Antiqua" w:cs="Times New Roman"/>
          <w:sz w:val="24"/>
          <w:szCs w:val="24"/>
          <w:lang w:val="en-US"/>
        </w:rPr>
        <w:t>95%CI</w:t>
      </w:r>
      <w:r w:rsidR="0010356E">
        <w:rPr>
          <w:rFonts w:ascii="Book Antiqua" w:hAnsi="Book Antiqua" w:cs="Times New Roman"/>
          <w:sz w:val="24"/>
          <w:szCs w:val="24"/>
          <w:lang w:val="en-US"/>
        </w:rPr>
        <w:t>s</w:t>
      </w:r>
      <w:r w:rsidR="0020556D" w:rsidRPr="002575A7">
        <w:rPr>
          <w:rFonts w:ascii="Book Antiqua" w:hAnsi="Book Antiqua" w:cs="Times New Roman"/>
          <w:sz w:val="24"/>
          <w:szCs w:val="24"/>
          <w:lang w:val="en-US"/>
        </w:rPr>
        <w:t xml:space="preserve"> were estimated </w:t>
      </w:r>
      <w:r w:rsidR="004B2FAC">
        <w:rPr>
          <w:rFonts w:ascii="Book Antiqua" w:hAnsi="Book Antiqua" w:cs="Times New Roman"/>
          <w:sz w:val="24"/>
          <w:szCs w:val="24"/>
          <w:lang w:val="en-US"/>
        </w:rPr>
        <w:t>using</w:t>
      </w:r>
      <w:r w:rsidR="0020556D" w:rsidRPr="002575A7">
        <w:rPr>
          <w:rFonts w:ascii="Book Antiqua" w:hAnsi="Book Antiqua" w:cs="Times New Roman"/>
          <w:sz w:val="24"/>
          <w:szCs w:val="24"/>
          <w:lang w:val="en-US"/>
        </w:rPr>
        <w:t xml:space="preserve"> the IPTW Cox proportional hazard</w:t>
      </w:r>
      <w:r w:rsidR="008A6BD2">
        <w:rPr>
          <w:rFonts w:ascii="Book Antiqua" w:hAnsi="Book Antiqua" w:cs="Times New Roman"/>
          <w:sz w:val="24"/>
          <w:szCs w:val="24"/>
          <w:lang w:val="en-US"/>
        </w:rPr>
        <w:t>s</w:t>
      </w:r>
      <w:r w:rsidR="0020556D" w:rsidRPr="002575A7">
        <w:rPr>
          <w:rFonts w:ascii="Book Antiqua" w:hAnsi="Book Antiqua" w:cs="Times New Roman"/>
          <w:sz w:val="24"/>
          <w:szCs w:val="24"/>
          <w:lang w:val="en-US"/>
        </w:rPr>
        <w:t xml:space="preserve"> model. </w:t>
      </w:r>
      <w:r w:rsidR="00CD5CCD" w:rsidRPr="00224A3B">
        <w:rPr>
          <w:rFonts w:ascii="Book Antiqua" w:hAnsi="Book Antiqua" w:cs="Times New Roman"/>
          <w:sz w:val="24"/>
          <w:szCs w:val="24"/>
          <w:lang w:val="en-US"/>
        </w:rPr>
        <w:t xml:space="preserve">Accuracy of the model was verified </w:t>
      </w:r>
      <w:r w:rsidR="00CD5CCD">
        <w:rPr>
          <w:rFonts w:ascii="Book Antiqua" w:hAnsi="Book Antiqua" w:cs="Times New Roman"/>
          <w:sz w:val="24"/>
          <w:szCs w:val="24"/>
          <w:lang w:val="en-US"/>
        </w:rPr>
        <w:t xml:space="preserve">by testing </w:t>
      </w:r>
      <w:r w:rsidR="00CD5CCD" w:rsidRPr="00224A3B">
        <w:rPr>
          <w:rFonts w:ascii="Book Antiqua" w:hAnsi="Book Antiqua" w:cs="Times New Roman"/>
          <w:sz w:val="24"/>
          <w:szCs w:val="24"/>
          <w:lang w:val="en-US"/>
        </w:rPr>
        <w:t>discrimination and calibration.</w:t>
      </w:r>
      <w:r w:rsidR="00CD5CCD">
        <w:rPr>
          <w:rFonts w:ascii="Book Antiqua" w:hAnsi="Book Antiqua" w:cs="Times New Roman"/>
          <w:sz w:val="24"/>
          <w:szCs w:val="24"/>
          <w:lang w:val="en-US"/>
        </w:rPr>
        <w:t xml:space="preserve"> D</w:t>
      </w:r>
      <w:r w:rsidR="00CD5CCD" w:rsidRPr="00224A3B">
        <w:rPr>
          <w:rFonts w:ascii="Book Antiqua" w:hAnsi="Book Antiqua" w:cs="Times New Roman"/>
          <w:sz w:val="24"/>
          <w:szCs w:val="24"/>
          <w:lang w:val="en-US"/>
        </w:rPr>
        <w:t xml:space="preserve">iscrimination of the </w:t>
      </w:r>
      <w:r w:rsidR="00CD5CCD">
        <w:rPr>
          <w:rFonts w:ascii="Book Antiqua" w:hAnsi="Book Antiqua" w:cs="Times New Roman"/>
          <w:sz w:val="24"/>
          <w:szCs w:val="24"/>
          <w:lang w:val="en-US"/>
        </w:rPr>
        <w:t>IPTW Cox</w:t>
      </w:r>
      <w:r w:rsidR="00CD5CCD" w:rsidRPr="00224A3B">
        <w:rPr>
          <w:rFonts w:ascii="Book Antiqua" w:hAnsi="Book Antiqua" w:cs="Times New Roman"/>
          <w:sz w:val="24"/>
          <w:szCs w:val="24"/>
          <w:lang w:val="en-US"/>
        </w:rPr>
        <w:t xml:space="preserve"> model </w:t>
      </w:r>
      <w:r w:rsidR="00CD5CCD">
        <w:rPr>
          <w:rFonts w:ascii="Book Antiqua" w:hAnsi="Book Antiqua" w:cs="Times New Roman"/>
          <w:sz w:val="24"/>
          <w:szCs w:val="24"/>
          <w:lang w:val="en-US"/>
        </w:rPr>
        <w:t xml:space="preserve">was </w:t>
      </w:r>
      <w:r w:rsidR="00CD5CCD" w:rsidRPr="00224A3B">
        <w:rPr>
          <w:rFonts w:ascii="Book Antiqua" w:hAnsi="Book Antiqua" w:cs="Times New Roman"/>
          <w:sz w:val="24"/>
          <w:szCs w:val="24"/>
          <w:lang w:val="en-US"/>
        </w:rPr>
        <w:t xml:space="preserve">assessed </w:t>
      </w:r>
      <w:r w:rsidR="00CD5CCD">
        <w:rPr>
          <w:rFonts w:ascii="Book Antiqua" w:hAnsi="Book Antiqua" w:cs="Times New Roman"/>
          <w:sz w:val="24"/>
          <w:szCs w:val="24"/>
          <w:lang w:val="en-US"/>
        </w:rPr>
        <w:t xml:space="preserve">by </w:t>
      </w:r>
      <w:r w:rsidR="00CD5CCD" w:rsidRPr="00224A3B">
        <w:rPr>
          <w:rFonts w:ascii="Book Antiqua" w:hAnsi="Book Antiqua" w:cs="Times New Roman"/>
          <w:sz w:val="24"/>
          <w:szCs w:val="24"/>
          <w:lang w:val="en-US"/>
        </w:rPr>
        <w:t>the area under the curve</w:t>
      </w:r>
      <w:r w:rsidR="00CD5CCD">
        <w:rPr>
          <w:rFonts w:ascii="Book Antiqua" w:hAnsi="Book Antiqua" w:cs="Times New Roman"/>
          <w:sz w:val="24"/>
          <w:szCs w:val="24"/>
          <w:lang w:val="en-US"/>
        </w:rPr>
        <w:t xml:space="preserve">, and calibration </w:t>
      </w:r>
      <w:r w:rsidR="00CD5CCD" w:rsidRPr="00224A3B">
        <w:rPr>
          <w:rFonts w:ascii="Book Antiqua" w:hAnsi="Book Antiqua" w:cs="Times New Roman"/>
          <w:sz w:val="24"/>
          <w:szCs w:val="24"/>
          <w:lang w:val="en-US"/>
        </w:rPr>
        <w:t xml:space="preserve">by </w:t>
      </w:r>
      <w:r w:rsidR="00CD5CCD">
        <w:rPr>
          <w:rFonts w:ascii="Book Antiqua" w:hAnsi="Book Antiqua" w:cs="Times New Roman"/>
          <w:sz w:val="24"/>
          <w:szCs w:val="24"/>
          <w:lang w:val="en-US"/>
        </w:rPr>
        <w:t xml:space="preserve">the </w:t>
      </w:r>
      <w:r w:rsidR="00CD5CCD" w:rsidRPr="00224A3B">
        <w:rPr>
          <w:rFonts w:ascii="Book Antiqua" w:hAnsi="Book Antiqua" w:cs="Times New Roman"/>
          <w:sz w:val="24"/>
          <w:szCs w:val="24"/>
          <w:lang w:val="en-US"/>
        </w:rPr>
        <w:t>Hosmer–Lemeshow goodness</w:t>
      </w:r>
      <w:r w:rsidR="00CD5CCD">
        <w:rPr>
          <w:rFonts w:ascii="Times New Roman" w:hAnsi="Times New Roman" w:cs="Times New Roman"/>
          <w:sz w:val="24"/>
          <w:szCs w:val="24"/>
          <w:lang w:val="en-US"/>
        </w:rPr>
        <w:t>-</w:t>
      </w:r>
      <w:r w:rsidR="00CD5CCD" w:rsidRPr="00224A3B">
        <w:rPr>
          <w:rFonts w:ascii="Book Antiqua" w:hAnsi="Book Antiqua" w:cs="Times New Roman"/>
          <w:sz w:val="24"/>
          <w:szCs w:val="24"/>
          <w:lang w:val="en-US"/>
        </w:rPr>
        <w:t>of</w:t>
      </w:r>
      <w:r w:rsidR="00CD5CCD">
        <w:rPr>
          <w:rFonts w:ascii="Times New Roman" w:hAnsi="Times New Roman" w:cs="Times New Roman"/>
          <w:sz w:val="24"/>
          <w:szCs w:val="24"/>
          <w:lang w:val="en-US"/>
        </w:rPr>
        <w:t>-</w:t>
      </w:r>
      <w:r w:rsidR="00CD5CCD" w:rsidRPr="00224A3B">
        <w:rPr>
          <w:rFonts w:ascii="Book Antiqua" w:hAnsi="Book Antiqua" w:cs="Times New Roman"/>
          <w:sz w:val="24"/>
          <w:szCs w:val="24"/>
          <w:lang w:val="en-US"/>
        </w:rPr>
        <w:t>fit test.</w:t>
      </w:r>
      <w:r w:rsidR="00CD5CCD">
        <w:rPr>
          <w:rFonts w:ascii="Book Antiqua" w:hAnsi="Book Antiqua" w:cs="Times New Roman"/>
          <w:sz w:val="24"/>
          <w:szCs w:val="24"/>
          <w:lang w:val="en-US"/>
        </w:rPr>
        <w:t xml:space="preserve"> P</w:t>
      </w:r>
      <w:r w:rsidR="00914E19" w:rsidRPr="002575A7">
        <w:rPr>
          <w:rFonts w:ascii="Book Antiqua" w:hAnsi="Book Antiqua" w:cs="Times New Roman"/>
          <w:sz w:val="24"/>
          <w:szCs w:val="24"/>
          <w:lang w:val="en-US"/>
        </w:rPr>
        <w:t>ropensity score matching</w:t>
      </w:r>
      <w:r w:rsidR="0020556D" w:rsidRPr="002575A7">
        <w:rPr>
          <w:rFonts w:ascii="Book Antiqua" w:hAnsi="Book Antiqua" w:cs="Times New Roman"/>
          <w:sz w:val="24"/>
          <w:szCs w:val="24"/>
          <w:lang w:val="en-US"/>
        </w:rPr>
        <w:t>, based on the ca</w:t>
      </w:r>
      <w:r w:rsidRPr="002575A7">
        <w:rPr>
          <w:rFonts w:ascii="Book Antiqua" w:hAnsi="Book Antiqua" w:cs="Times New Roman"/>
          <w:sz w:val="24"/>
          <w:szCs w:val="24"/>
          <w:lang w:val="en-US"/>
        </w:rPr>
        <w:t xml:space="preserve">liper method with a ratio of </w:t>
      </w:r>
      <w:r w:rsidR="0020556D" w:rsidRPr="002575A7">
        <w:rPr>
          <w:rFonts w:ascii="Book Antiqua" w:hAnsi="Book Antiqua" w:cs="Times New Roman"/>
          <w:sz w:val="24"/>
          <w:szCs w:val="24"/>
          <w:lang w:val="en-US"/>
        </w:rPr>
        <w:t>1</w:t>
      </w:r>
      <w:r w:rsidRPr="002575A7">
        <w:rPr>
          <w:rFonts w:ascii="Book Antiqua" w:hAnsi="Book Antiqua" w:cs="Times New Roman"/>
          <w:sz w:val="24"/>
          <w:szCs w:val="24"/>
          <w:lang w:val="en-US"/>
        </w:rPr>
        <w:t xml:space="preserve">:1, was </w:t>
      </w:r>
      <w:r w:rsidR="0020556D" w:rsidRPr="002575A7">
        <w:rPr>
          <w:rFonts w:ascii="Book Antiqua" w:hAnsi="Book Antiqua" w:cs="Times New Roman"/>
          <w:sz w:val="24"/>
          <w:szCs w:val="24"/>
          <w:lang w:val="en-US"/>
        </w:rPr>
        <w:t xml:space="preserve">performed </w:t>
      </w:r>
      <w:r w:rsidRPr="002575A7">
        <w:rPr>
          <w:rFonts w:ascii="Book Antiqua" w:hAnsi="Book Antiqua" w:cs="Times New Roman"/>
          <w:sz w:val="24"/>
          <w:szCs w:val="24"/>
          <w:lang w:val="en-US"/>
        </w:rPr>
        <w:t xml:space="preserve">to </w:t>
      </w:r>
      <w:r w:rsidR="008A6BD2">
        <w:rPr>
          <w:rFonts w:ascii="Book Antiqua" w:hAnsi="Book Antiqua" w:cs="Times New Roman"/>
          <w:sz w:val="24"/>
          <w:szCs w:val="24"/>
          <w:lang w:val="en-US"/>
        </w:rPr>
        <w:t>generate</w:t>
      </w:r>
      <w:r w:rsidR="008A6BD2"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two samples with </w:t>
      </w:r>
      <w:r w:rsidR="00961678" w:rsidRPr="002575A7">
        <w:rPr>
          <w:rFonts w:ascii="Book Antiqua" w:hAnsi="Book Antiqua" w:cs="Times New Roman"/>
          <w:sz w:val="24"/>
          <w:szCs w:val="24"/>
          <w:lang w:val="en-US"/>
        </w:rPr>
        <w:t>well-balanced</w:t>
      </w:r>
      <w:r w:rsidRPr="002575A7">
        <w:rPr>
          <w:rFonts w:ascii="Book Antiqua" w:hAnsi="Book Antiqua" w:cs="Times New Roman"/>
          <w:sz w:val="24"/>
          <w:szCs w:val="24"/>
          <w:lang w:val="en-US"/>
        </w:rPr>
        <w:t xml:space="preserve"> characteristics.</w:t>
      </w:r>
      <w:r w:rsidR="00E73B0A" w:rsidRPr="002575A7">
        <w:rPr>
          <w:rFonts w:ascii="Book Antiqua" w:hAnsi="Book Antiqua" w:cs="Times New Roman"/>
          <w:sz w:val="24"/>
          <w:szCs w:val="24"/>
          <w:lang w:val="en-US"/>
        </w:rPr>
        <w:t xml:space="preserve"> </w:t>
      </w:r>
      <w:r w:rsidR="00CD5CCD" w:rsidRPr="00CD5CCD">
        <w:rPr>
          <w:rFonts w:ascii="Book Antiqua" w:hAnsi="Book Antiqua" w:cs="Times New Roman"/>
          <w:sz w:val="24"/>
          <w:szCs w:val="24"/>
          <w:lang w:val="en-US"/>
        </w:rPr>
        <w:t xml:space="preserve">Sensitivity analysis to </w:t>
      </w:r>
      <w:r w:rsidR="0010356E">
        <w:rPr>
          <w:rFonts w:ascii="Book Antiqua" w:hAnsi="Book Antiqua" w:cs="Times New Roman"/>
          <w:sz w:val="24"/>
          <w:szCs w:val="24"/>
          <w:lang w:val="en-US"/>
        </w:rPr>
        <w:t>determine</w:t>
      </w:r>
      <w:r w:rsidR="00CD5CCD" w:rsidRPr="00CD5CCD">
        <w:rPr>
          <w:rFonts w:ascii="Book Antiqua" w:hAnsi="Book Antiqua" w:cs="Times New Roman"/>
          <w:sz w:val="24"/>
          <w:szCs w:val="24"/>
          <w:lang w:val="en-US"/>
        </w:rPr>
        <w:t xml:space="preserve"> the reliability and the robustness of the primary analysis was performed in the subgroup of patients with metastatic disease.</w:t>
      </w:r>
      <w:r w:rsidR="00CD5CCD">
        <w:rPr>
          <w:rFonts w:ascii="Book Antiqua" w:hAnsi="Book Antiqua" w:cs="Times New Roman"/>
          <w:sz w:val="24"/>
          <w:szCs w:val="24"/>
          <w:lang w:val="en-US"/>
        </w:rPr>
        <w:t xml:space="preserve"> </w:t>
      </w:r>
      <w:r w:rsidR="008A4B6C" w:rsidRPr="002575A7">
        <w:rPr>
          <w:rFonts w:ascii="Book Antiqua" w:hAnsi="Book Antiqua" w:cs="Times New Roman"/>
          <w:sz w:val="24"/>
          <w:szCs w:val="24"/>
          <w:lang w:val="en-US"/>
        </w:rPr>
        <w:t xml:space="preserve">All analyses were </w:t>
      </w:r>
      <w:r w:rsidR="008A4B6C" w:rsidRPr="002575A7">
        <w:rPr>
          <w:rFonts w:ascii="Book Antiqua" w:hAnsi="Book Antiqua" w:cs="Times New Roman"/>
          <w:sz w:val="24"/>
          <w:szCs w:val="24"/>
          <w:lang w:val="en-US"/>
        </w:rPr>
        <w:lastRenderedPageBreak/>
        <w:t xml:space="preserve">performed using SAS </w:t>
      </w:r>
      <w:r w:rsidR="001A7943" w:rsidRPr="002575A7">
        <w:rPr>
          <w:rFonts w:ascii="Book Antiqua" w:hAnsi="Book Antiqua" w:cs="Times New Roman"/>
          <w:sz w:val="24"/>
          <w:szCs w:val="24"/>
          <w:lang w:val="en-US"/>
        </w:rPr>
        <w:t xml:space="preserve">software </w:t>
      </w:r>
      <w:r w:rsidR="008A4B6C" w:rsidRPr="002575A7">
        <w:rPr>
          <w:rFonts w:ascii="Book Antiqua" w:hAnsi="Book Antiqua" w:cs="Times New Roman"/>
          <w:sz w:val="24"/>
          <w:szCs w:val="24"/>
          <w:lang w:val="en-US"/>
        </w:rPr>
        <w:t>versi</w:t>
      </w:r>
      <w:r w:rsidRPr="002575A7">
        <w:rPr>
          <w:rFonts w:ascii="Book Antiqua" w:hAnsi="Book Antiqua" w:cs="Times New Roman"/>
          <w:sz w:val="24"/>
          <w:szCs w:val="24"/>
          <w:lang w:val="en-US"/>
        </w:rPr>
        <w:t>on 9.4 (SAS Institute, Cary NC</w:t>
      </w:r>
      <w:r w:rsidR="0010356E">
        <w:rPr>
          <w:rFonts w:ascii="Book Antiqua" w:hAnsi="Book Antiqua" w:cs="Times New Roman"/>
          <w:sz w:val="24"/>
          <w:szCs w:val="24"/>
          <w:lang w:val="en-US"/>
        </w:rPr>
        <w:t>, USA</w:t>
      </w:r>
      <w:r w:rsidRPr="002575A7">
        <w:rPr>
          <w:rFonts w:ascii="Book Antiqua" w:hAnsi="Book Antiqua" w:cs="Times New Roman"/>
          <w:sz w:val="24"/>
          <w:szCs w:val="24"/>
          <w:lang w:val="en-US"/>
        </w:rPr>
        <w:t xml:space="preserve">). </w:t>
      </w:r>
      <w:r w:rsidR="008A4B6C" w:rsidRPr="00916870">
        <w:rPr>
          <w:rFonts w:ascii="Book Antiqua" w:hAnsi="Book Antiqua" w:cs="Times New Roman"/>
          <w:i/>
          <w:iCs/>
          <w:sz w:val="24"/>
          <w:szCs w:val="24"/>
          <w:lang w:val="en-US"/>
        </w:rPr>
        <w:t>P</w:t>
      </w:r>
      <w:r w:rsidR="00916870">
        <w:rPr>
          <w:rFonts w:ascii="Book Antiqua" w:hAnsi="Book Antiqua" w:cs="Times New Roman"/>
          <w:i/>
          <w:iCs/>
          <w:sz w:val="24"/>
          <w:szCs w:val="24"/>
          <w:lang w:val="en-US"/>
        </w:rPr>
        <w:t xml:space="preserve"> </w:t>
      </w:r>
      <w:r w:rsidR="00916870">
        <w:rPr>
          <w:rFonts w:ascii="Book Antiqua" w:hAnsi="Book Antiqua" w:cs="Times New Roman"/>
          <w:sz w:val="24"/>
          <w:szCs w:val="24"/>
          <w:lang w:val="en-US"/>
        </w:rPr>
        <w:t>&lt;</w:t>
      </w:r>
      <w:r w:rsidR="008A4B6C" w:rsidRPr="002575A7">
        <w:rPr>
          <w:rFonts w:ascii="Book Antiqua" w:hAnsi="Book Antiqua" w:cs="Times New Roman"/>
          <w:sz w:val="24"/>
          <w:szCs w:val="24"/>
          <w:lang w:val="en-US"/>
        </w:rPr>
        <w:t xml:space="preserve"> </w:t>
      </w:r>
      <w:r w:rsidR="00F161A9" w:rsidRPr="002575A7">
        <w:rPr>
          <w:rFonts w:ascii="Book Antiqua" w:hAnsi="Book Antiqua" w:cs="Times New Roman"/>
          <w:sz w:val="24"/>
          <w:szCs w:val="24"/>
          <w:lang w:val="en-US"/>
        </w:rPr>
        <w:t>0</w:t>
      </w:r>
      <w:r w:rsidR="008A4B6C" w:rsidRPr="002575A7">
        <w:rPr>
          <w:rFonts w:ascii="Book Antiqua" w:hAnsi="Book Antiqua" w:cs="Times New Roman"/>
          <w:sz w:val="24"/>
          <w:szCs w:val="24"/>
          <w:lang w:val="en-US"/>
        </w:rPr>
        <w:t xml:space="preserve">.05 were considered statistically significant, and all tests were two-sided. </w:t>
      </w:r>
    </w:p>
    <w:p w14:paraId="397E6573" w14:textId="77777777" w:rsidR="004B4E99" w:rsidRPr="002575A7" w:rsidRDefault="004B4E99" w:rsidP="00864BDB">
      <w:pPr>
        <w:snapToGrid w:val="0"/>
        <w:spacing w:after="0" w:line="360" w:lineRule="auto"/>
        <w:jc w:val="both"/>
        <w:rPr>
          <w:rFonts w:ascii="Book Antiqua" w:hAnsi="Book Antiqua" w:cs="Times New Roman"/>
          <w:sz w:val="24"/>
          <w:szCs w:val="24"/>
          <w:lang w:val="en-US"/>
        </w:rPr>
      </w:pPr>
    </w:p>
    <w:p w14:paraId="41CABE85" w14:textId="77777777" w:rsidR="00B60AE3" w:rsidRPr="00B60AE3" w:rsidRDefault="00B60AE3" w:rsidP="00B60AE3">
      <w:pPr>
        <w:adjustRightInd w:val="0"/>
        <w:snapToGrid w:val="0"/>
        <w:spacing w:after="0" w:line="360" w:lineRule="auto"/>
        <w:jc w:val="both"/>
        <w:rPr>
          <w:rFonts w:ascii="Book Antiqua" w:hAnsi="Book Antiqua" w:cs="Arial"/>
          <w:b/>
          <w:sz w:val="24"/>
          <w:szCs w:val="24"/>
          <w:u w:val="single"/>
          <w:lang w:val="en-US"/>
        </w:rPr>
      </w:pPr>
      <w:bookmarkStart w:id="5" w:name="_Hlk27141703"/>
      <w:r w:rsidRPr="00B60AE3">
        <w:rPr>
          <w:rFonts w:ascii="Book Antiqua" w:hAnsi="Book Antiqua" w:cs="Arial"/>
          <w:b/>
          <w:sz w:val="24"/>
          <w:szCs w:val="24"/>
          <w:u w:val="single"/>
          <w:lang w:val="en-US"/>
        </w:rPr>
        <w:t>RESULTS</w:t>
      </w:r>
    </w:p>
    <w:bookmarkEnd w:id="5"/>
    <w:p w14:paraId="1B6C09D0" w14:textId="444272EF" w:rsidR="00230401" w:rsidRPr="002575A7" w:rsidRDefault="00C52E40"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Patient c</w:t>
      </w:r>
      <w:r w:rsidR="00230401" w:rsidRPr="002575A7">
        <w:rPr>
          <w:rFonts w:ascii="Book Antiqua" w:hAnsi="Book Antiqua" w:cs="Times New Roman"/>
          <w:b/>
          <w:i/>
          <w:sz w:val="24"/>
          <w:szCs w:val="24"/>
          <w:lang w:val="en-US"/>
        </w:rPr>
        <w:t>haracteristics</w:t>
      </w:r>
    </w:p>
    <w:p w14:paraId="1AC1211E" w14:textId="471E9E94" w:rsidR="00E940B4" w:rsidRPr="002575A7" w:rsidRDefault="00E7350C"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A total of 289 patients with </w:t>
      </w:r>
      <w:r w:rsidR="009D1BBF" w:rsidRPr="002575A7">
        <w:rPr>
          <w:rFonts w:ascii="Book Antiqua" w:hAnsi="Book Antiqua" w:cs="Times New Roman"/>
          <w:sz w:val="24"/>
          <w:szCs w:val="24"/>
          <w:lang w:val="en-US"/>
        </w:rPr>
        <w:t>aPDAC</w:t>
      </w:r>
      <w:r w:rsidRPr="002575A7">
        <w:rPr>
          <w:rFonts w:ascii="Book Antiqua" w:hAnsi="Book Antiqua" w:cs="Times New Roman"/>
          <w:sz w:val="24"/>
          <w:szCs w:val="24"/>
          <w:lang w:val="en-US"/>
        </w:rPr>
        <w:t xml:space="preserve"> treated in L1 were included in this </w:t>
      </w:r>
      <w:r w:rsidR="00982088" w:rsidRPr="002575A7">
        <w:rPr>
          <w:rFonts w:ascii="Book Antiqua" w:hAnsi="Book Antiqua" w:cs="Times New Roman"/>
          <w:sz w:val="24"/>
          <w:szCs w:val="24"/>
          <w:lang w:val="en-US"/>
        </w:rPr>
        <w:t>study</w:t>
      </w:r>
      <w:r w:rsidRPr="002575A7">
        <w:rPr>
          <w:rFonts w:ascii="Book Antiqua" w:hAnsi="Book Antiqua" w:cs="Times New Roman"/>
          <w:sz w:val="24"/>
          <w:szCs w:val="24"/>
          <w:lang w:val="en-US"/>
        </w:rPr>
        <w:t>. Of th</w:t>
      </w:r>
      <w:r w:rsidR="0010356E">
        <w:rPr>
          <w:rFonts w:ascii="Book Antiqua" w:hAnsi="Book Antiqua" w:cs="Times New Roman"/>
          <w:sz w:val="24"/>
          <w:szCs w:val="24"/>
          <w:lang w:val="en-US"/>
        </w:rPr>
        <w:t>ese patients</w:t>
      </w:r>
      <w:r w:rsidRPr="002575A7">
        <w:rPr>
          <w:rFonts w:ascii="Book Antiqua" w:hAnsi="Book Antiqua" w:cs="Times New Roman"/>
          <w:sz w:val="24"/>
          <w:szCs w:val="24"/>
          <w:lang w:val="en-US"/>
        </w:rPr>
        <w:t xml:space="preserve">, 124 received </w:t>
      </w:r>
      <w:r w:rsidR="0010356E">
        <w:rPr>
          <w:rFonts w:ascii="Book Antiqua" w:hAnsi="Book Antiqua" w:cs="Times New Roman"/>
          <w:sz w:val="24"/>
          <w:szCs w:val="24"/>
          <w:lang w:val="en-US"/>
        </w:rPr>
        <w:t xml:space="preserve">the </w:t>
      </w:r>
      <w:r w:rsidR="00E940B4" w:rsidRPr="002575A7">
        <w:rPr>
          <w:rFonts w:ascii="Book Antiqua" w:hAnsi="Book Antiqua" w:cs="Times New Roman"/>
          <w:sz w:val="24"/>
          <w:szCs w:val="24"/>
          <w:lang w:val="en-US"/>
        </w:rPr>
        <w:t xml:space="preserve">FOLFIRINOX regimen </w:t>
      </w:r>
      <w:r w:rsidRPr="002575A7">
        <w:rPr>
          <w:rFonts w:ascii="Book Antiqua" w:hAnsi="Book Antiqua" w:cs="Times New Roman"/>
          <w:sz w:val="24"/>
          <w:szCs w:val="24"/>
          <w:lang w:val="en-US"/>
        </w:rPr>
        <w:t>and</w:t>
      </w:r>
      <w:r w:rsidR="00E940B4" w:rsidRPr="002575A7">
        <w:rPr>
          <w:rFonts w:ascii="Book Antiqua" w:hAnsi="Book Antiqua" w:cs="Times New Roman"/>
          <w:sz w:val="24"/>
          <w:szCs w:val="24"/>
          <w:lang w:val="en-US"/>
        </w:rPr>
        <w:t xml:space="preserve"> 165 received FOLFOXIRI chemotherapy. </w:t>
      </w:r>
      <w:r w:rsidR="00867C4D" w:rsidRPr="002575A7">
        <w:rPr>
          <w:rFonts w:ascii="Book Antiqua" w:hAnsi="Book Antiqua" w:cs="Times New Roman"/>
          <w:sz w:val="24"/>
          <w:szCs w:val="24"/>
          <w:lang w:val="en-US"/>
        </w:rPr>
        <w:t xml:space="preserve">Patient characteristics </w:t>
      </w:r>
      <w:r w:rsidRPr="002575A7">
        <w:rPr>
          <w:rFonts w:ascii="Book Antiqua" w:hAnsi="Book Antiqua" w:cs="Times New Roman"/>
          <w:sz w:val="24"/>
          <w:szCs w:val="24"/>
          <w:lang w:val="en-US"/>
        </w:rPr>
        <w:t>of the two treatment</w:t>
      </w:r>
      <w:r w:rsidR="00867C4D" w:rsidRPr="002575A7">
        <w:rPr>
          <w:rFonts w:ascii="Book Antiqua" w:hAnsi="Book Antiqua" w:cs="Times New Roman"/>
          <w:sz w:val="24"/>
          <w:szCs w:val="24"/>
          <w:lang w:val="en-US"/>
        </w:rPr>
        <w:t xml:space="preserve"> group</w:t>
      </w:r>
      <w:r w:rsidRPr="002575A7">
        <w:rPr>
          <w:rFonts w:ascii="Book Antiqua" w:hAnsi="Book Antiqua" w:cs="Times New Roman"/>
          <w:sz w:val="24"/>
          <w:szCs w:val="24"/>
          <w:lang w:val="en-US"/>
        </w:rPr>
        <w:t>s</w:t>
      </w:r>
      <w:r w:rsidR="00867C4D" w:rsidRPr="002575A7">
        <w:rPr>
          <w:rFonts w:ascii="Book Antiqua" w:hAnsi="Book Antiqua" w:cs="Times New Roman"/>
          <w:sz w:val="24"/>
          <w:szCs w:val="24"/>
          <w:lang w:val="en-US"/>
        </w:rPr>
        <w:t xml:space="preserve"> are described</w:t>
      </w:r>
      <w:r w:rsidR="000A128F" w:rsidRPr="002575A7">
        <w:rPr>
          <w:rFonts w:ascii="Book Antiqua" w:hAnsi="Book Antiqua" w:cs="Times New Roman"/>
          <w:sz w:val="24"/>
          <w:szCs w:val="24"/>
          <w:lang w:val="en-US"/>
        </w:rPr>
        <w:t xml:space="preserve"> and compared</w:t>
      </w:r>
      <w:r w:rsidR="004D16C9" w:rsidRPr="002575A7">
        <w:rPr>
          <w:rFonts w:ascii="Book Antiqua" w:hAnsi="Book Antiqua" w:cs="Times New Roman"/>
          <w:sz w:val="24"/>
          <w:szCs w:val="24"/>
          <w:lang w:val="en-US"/>
        </w:rPr>
        <w:t xml:space="preserve"> in</w:t>
      </w:r>
      <w:r w:rsidR="00867C4D" w:rsidRPr="002575A7">
        <w:rPr>
          <w:rFonts w:ascii="Book Antiqua" w:hAnsi="Book Antiqua" w:cs="Times New Roman"/>
          <w:sz w:val="24"/>
          <w:szCs w:val="24"/>
          <w:lang w:val="en-US"/>
        </w:rPr>
        <w:t xml:space="preserve"> Table </w:t>
      </w:r>
      <w:r w:rsidR="0090799D" w:rsidRPr="002575A7">
        <w:rPr>
          <w:rFonts w:ascii="Book Antiqua" w:hAnsi="Book Antiqua" w:cs="Times New Roman"/>
          <w:sz w:val="24"/>
          <w:szCs w:val="24"/>
          <w:lang w:val="en-US"/>
        </w:rPr>
        <w:t>1</w:t>
      </w:r>
      <w:r w:rsidR="00867C4D" w:rsidRPr="002575A7">
        <w:rPr>
          <w:rFonts w:ascii="Book Antiqua" w:hAnsi="Book Antiqua" w:cs="Times New Roman"/>
          <w:sz w:val="24"/>
          <w:szCs w:val="24"/>
          <w:lang w:val="en-US"/>
        </w:rPr>
        <w:t xml:space="preserve">. </w:t>
      </w:r>
      <w:r w:rsidR="00E940B4" w:rsidRPr="002575A7">
        <w:rPr>
          <w:rFonts w:ascii="Book Antiqua" w:hAnsi="Book Antiqua" w:cs="Times New Roman"/>
          <w:sz w:val="24"/>
          <w:szCs w:val="24"/>
          <w:lang w:val="en-US"/>
        </w:rPr>
        <w:t>The two cohorts displayed similar characteristics, except for primary tumor site</w:t>
      </w:r>
      <w:r w:rsidR="000712BE" w:rsidRPr="002575A7">
        <w:rPr>
          <w:rFonts w:ascii="Book Antiqua" w:hAnsi="Book Antiqua" w:cs="Times New Roman"/>
          <w:sz w:val="24"/>
          <w:szCs w:val="24"/>
          <w:lang w:val="en-US"/>
        </w:rPr>
        <w:t xml:space="preserve"> </w:t>
      </w:r>
      <w:r w:rsidR="00DA49AF" w:rsidRPr="002575A7">
        <w:rPr>
          <w:rFonts w:ascii="Book Antiqua" w:hAnsi="Book Antiqua" w:cs="Times New Roman"/>
          <w:sz w:val="24"/>
          <w:szCs w:val="24"/>
          <w:lang w:val="en-US"/>
        </w:rPr>
        <w:t>(</w:t>
      </w:r>
      <w:r w:rsidR="008F7D65" w:rsidRPr="002575A7">
        <w:rPr>
          <w:rFonts w:ascii="Book Antiqua" w:hAnsi="Book Antiqua" w:cs="Times New Roman"/>
          <w:sz w:val="24"/>
          <w:szCs w:val="24"/>
          <w:lang w:val="en-US"/>
        </w:rPr>
        <w:t xml:space="preserve">located in </w:t>
      </w:r>
      <w:r w:rsidR="00C8067B">
        <w:rPr>
          <w:rFonts w:ascii="Book Antiqua" w:hAnsi="Book Antiqua" w:cs="Times New Roman"/>
          <w:sz w:val="24"/>
          <w:szCs w:val="24"/>
          <w:lang w:val="en-US"/>
        </w:rPr>
        <w:t xml:space="preserve">the </w:t>
      </w:r>
      <w:r w:rsidR="008F7D65" w:rsidRPr="002575A7">
        <w:rPr>
          <w:rFonts w:ascii="Book Antiqua" w:hAnsi="Book Antiqua" w:cs="Times New Roman"/>
          <w:sz w:val="24"/>
          <w:szCs w:val="24"/>
          <w:lang w:val="en-US"/>
        </w:rPr>
        <w:t xml:space="preserve">pancreatic head </w:t>
      </w:r>
      <w:r w:rsidR="00DA49AF" w:rsidRPr="002575A7">
        <w:rPr>
          <w:rFonts w:ascii="Book Antiqua" w:hAnsi="Book Antiqua" w:cs="Times New Roman"/>
          <w:sz w:val="24"/>
          <w:szCs w:val="24"/>
          <w:lang w:val="en-US"/>
        </w:rPr>
        <w:t xml:space="preserve">in </w:t>
      </w:r>
      <w:r w:rsidR="00C8067B" w:rsidRPr="002575A7">
        <w:rPr>
          <w:rFonts w:ascii="Book Antiqua" w:hAnsi="Book Antiqua" w:cs="Times New Roman"/>
          <w:sz w:val="24"/>
          <w:szCs w:val="24"/>
          <w:lang w:val="en-US"/>
        </w:rPr>
        <w:t>43.1%</w:t>
      </w:r>
      <w:r w:rsidR="00C8067B">
        <w:rPr>
          <w:rFonts w:ascii="Book Antiqua" w:hAnsi="Book Antiqua" w:cs="Times New Roman"/>
          <w:sz w:val="24"/>
          <w:szCs w:val="24"/>
          <w:lang w:val="en-US"/>
        </w:rPr>
        <w:t xml:space="preserve"> in </w:t>
      </w:r>
      <w:r w:rsidR="00DA49AF" w:rsidRPr="002575A7">
        <w:rPr>
          <w:rFonts w:ascii="Book Antiqua" w:hAnsi="Book Antiqua" w:cs="Times New Roman"/>
          <w:sz w:val="24"/>
          <w:szCs w:val="24"/>
          <w:lang w:val="en-US"/>
        </w:rPr>
        <w:t xml:space="preserve">the FOLFIRINOX group </w:t>
      </w:r>
      <w:r w:rsidR="009D1BBF" w:rsidRPr="00864BDB">
        <w:rPr>
          <w:rFonts w:ascii="Book Antiqua" w:hAnsi="Book Antiqua" w:cs="Times New Roman"/>
          <w:i/>
          <w:iCs/>
          <w:sz w:val="24"/>
          <w:szCs w:val="24"/>
          <w:lang w:val="en-US"/>
        </w:rPr>
        <w:t>vs</w:t>
      </w:r>
      <w:r w:rsidR="00DA49AF" w:rsidRPr="002575A7">
        <w:rPr>
          <w:rFonts w:ascii="Book Antiqua" w:hAnsi="Book Antiqua" w:cs="Times New Roman"/>
          <w:sz w:val="24"/>
          <w:szCs w:val="24"/>
          <w:lang w:val="en-US"/>
        </w:rPr>
        <w:t xml:space="preserve"> </w:t>
      </w:r>
      <w:r w:rsidR="00A1595B" w:rsidRPr="002575A7">
        <w:rPr>
          <w:rFonts w:ascii="Book Antiqua" w:hAnsi="Book Antiqua" w:cs="Times New Roman"/>
          <w:sz w:val="24"/>
          <w:szCs w:val="24"/>
          <w:lang w:val="en-US"/>
        </w:rPr>
        <w:t xml:space="preserve">56.7% in the FOLFOXIRI group; </w:t>
      </w:r>
      <w:r w:rsidR="00A1595B"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A1595B" w:rsidRPr="002575A7">
        <w:rPr>
          <w:rFonts w:ascii="Book Antiqua" w:hAnsi="Book Antiqua" w:cs="Times New Roman"/>
          <w:sz w:val="24"/>
          <w:szCs w:val="24"/>
          <w:lang w:val="en-US"/>
        </w:rPr>
        <w:t>= 0.022</w:t>
      </w:r>
      <w:r w:rsidR="00DA49AF" w:rsidRPr="002575A7">
        <w:rPr>
          <w:rFonts w:ascii="Book Antiqua" w:hAnsi="Book Antiqua" w:cs="Times New Roman"/>
          <w:sz w:val="24"/>
          <w:szCs w:val="24"/>
          <w:lang w:val="en-US"/>
        </w:rPr>
        <w:t>)</w:t>
      </w:r>
      <w:r w:rsidR="00E940B4" w:rsidRPr="002575A7">
        <w:rPr>
          <w:rFonts w:ascii="Book Antiqua" w:hAnsi="Book Antiqua" w:cs="Times New Roman"/>
          <w:sz w:val="24"/>
          <w:szCs w:val="24"/>
          <w:lang w:val="en-US"/>
        </w:rPr>
        <w:t xml:space="preserve">, histological grade, stage at </w:t>
      </w:r>
      <w:r w:rsidR="00ED16CB" w:rsidRPr="002575A7">
        <w:rPr>
          <w:rFonts w:ascii="Book Antiqua" w:hAnsi="Book Antiqua" w:cs="Times New Roman"/>
          <w:sz w:val="24"/>
          <w:szCs w:val="24"/>
          <w:lang w:val="en-US"/>
        </w:rPr>
        <w:t>chemotherapy initiation</w:t>
      </w:r>
      <w:r w:rsidR="00C52E40" w:rsidRPr="002575A7">
        <w:rPr>
          <w:rFonts w:ascii="Book Antiqua" w:hAnsi="Book Antiqua" w:cs="Times New Roman"/>
          <w:sz w:val="24"/>
          <w:szCs w:val="24"/>
          <w:lang w:val="en-US"/>
        </w:rPr>
        <w:t xml:space="preserve"> (88.7% had metastatic stage in </w:t>
      </w:r>
      <w:r w:rsidR="002C1EDE" w:rsidRPr="002575A7">
        <w:rPr>
          <w:rFonts w:ascii="Book Antiqua" w:hAnsi="Book Antiqua" w:cs="Times New Roman"/>
          <w:sz w:val="24"/>
          <w:szCs w:val="24"/>
          <w:lang w:val="en-US"/>
        </w:rPr>
        <w:t xml:space="preserve">the </w:t>
      </w:r>
      <w:r w:rsidR="00C52E40" w:rsidRPr="002575A7">
        <w:rPr>
          <w:rFonts w:ascii="Book Antiqua" w:hAnsi="Book Antiqua" w:cs="Times New Roman"/>
          <w:sz w:val="24"/>
          <w:szCs w:val="24"/>
          <w:lang w:val="en-US"/>
        </w:rPr>
        <w:t xml:space="preserve">FOLFIRINOX group </w:t>
      </w:r>
      <w:r w:rsidR="009D1BBF" w:rsidRPr="00864BDB">
        <w:rPr>
          <w:rFonts w:ascii="Book Antiqua" w:hAnsi="Book Antiqua" w:cs="Times New Roman"/>
          <w:i/>
          <w:iCs/>
          <w:sz w:val="24"/>
          <w:szCs w:val="24"/>
          <w:lang w:val="en-US"/>
        </w:rPr>
        <w:t>vs</w:t>
      </w:r>
      <w:r w:rsidR="00C52E40" w:rsidRPr="002575A7">
        <w:rPr>
          <w:rFonts w:ascii="Book Antiqua" w:hAnsi="Book Antiqua" w:cs="Times New Roman"/>
          <w:sz w:val="24"/>
          <w:szCs w:val="24"/>
          <w:lang w:val="en-US"/>
        </w:rPr>
        <w:t xml:space="preserve"> </w:t>
      </w:r>
      <w:r w:rsidR="00407256" w:rsidRPr="002575A7">
        <w:rPr>
          <w:rFonts w:ascii="Book Antiqua" w:hAnsi="Book Antiqua" w:cs="Times New Roman"/>
          <w:sz w:val="24"/>
          <w:szCs w:val="24"/>
          <w:lang w:val="en-US"/>
        </w:rPr>
        <w:t xml:space="preserve">63.6% in </w:t>
      </w:r>
      <w:r w:rsidR="002C1EDE" w:rsidRPr="002575A7">
        <w:rPr>
          <w:rFonts w:ascii="Book Antiqua" w:hAnsi="Book Antiqua" w:cs="Times New Roman"/>
          <w:sz w:val="24"/>
          <w:szCs w:val="24"/>
          <w:lang w:val="en-US"/>
        </w:rPr>
        <w:t xml:space="preserve">the </w:t>
      </w:r>
      <w:r w:rsidR="00407256" w:rsidRPr="002575A7">
        <w:rPr>
          <w:rFonts w:ascii="Book Antiqua" w:hAnsi="Book Antiqua" w:cs="Times New Roman"/>
          <w:sz w:val="24"/>
          <w:szCs w:val="24"/>
          <w:lang w:val="en-US"/>
        </w:rPr>
        <w:t>FOLFOXIRI group</w:t>
      </w:r>
      <w:r w:rsidR="00DA49AF" w:rsidRPr="002575A7">
        <w:rPr>
          <w:rFonts w:ascii="Book Antiqua" w:hAnsi="Book Antiqua" w:cs="Times New Roman"/>
          <w:sz w:val="24"/>
          <w:szCs w:val="24"/>
          <w:lang w:val="en-US"/>
        </w:rPr>
        <w:t xml:space="preserve">; </w:t>
      </w:r>
      <w:r w:rsidR="00B60AE3"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DA49AF" w:rsidRPr="002575A7">
        <w:rPr>
          <w:rFonts w:ascii="Book Antiqua" w:hAnsi="Book Antiqua" w:cs="Times New Roman"/>
          <w:sz w:val="24"/>
          <w:szCs w:val="24"/>
          <w:lang w:val="en-US"/>
        </w:rPr>
        <w:t>&lt;</w:t>
      </w:r>
      <w:r w:rsidR="00B60AE3">
        <w:rPr>
          <w:rFonts w:ascii="Book Antiqua" w:hAnsi="Book Antiqua" w:cs="Times New Roman"/>
          <w:sz w:val="24"/>
          <w:szCs w:val="24"/>
          <w:lang w:val="en-US"/>
        </w:rPr>
        <w:t xml:space="preserve"> </w:t>
      </w:r>
      <w:r w:rsidR="00DA49AF" w:rsidRPr="002575A7">
        <w:rPr>
          <w:rFonts w:ascii="Book Antiqua" w:hAnsi="Book Antiqua" w:cs="Times New Roman"/>
          <w:sz w:val="24"/>
          <w:szCs w:val="24"/>
          <w:lang w:val="en-US"/>
        </w:rPr>
        <w:t>0.001</w:t>
      </w:r>
      <w:r w:rsidR="00407256" w:rsidRPr="002575A7">
        <w:rPr>
          <w:rFonts w:ascii="Book Antiqua" w:hAnsi="Book Antiqua" w:cs="Times New Roman"/>
          <w:sz w:val="24"/>
          <w:szCs w:val="24"/>
          <w:lang w:val="en-US"/>
        </w:rPr>
        <w:t>)</w:t>
      </w:r>
      <w:r w:rsidR="00E940B4" w:rsidRPr="002575A7">
        <w:rPr>
          <w:rFonts w:ascii="Book Antiqua" w:hAnsi="Book Antiqua" w:cs="Times New Roman"/>
          <w:sz w:val="24"/>
          <w:szCs w:val="24"/>
          <w:lang w:val="en-US"/>
        </w:rPr>
        <w:t xml:space="preserve">, </w:t>
      </w:r>
      <w:r w:rsidR="006058CA" w:rsidRPr="002575A7">
        <w:rPr>
          <w:rFonts w:ascii="Book Antiqua" w:hAnsi="Book Antiqua" w:cs="Times New Roman"/>
          <w:sz w:val="24"/>
          <w:szCs w:val="24"/>
          <w:lang w:val="en-US"/>
        </w:rPr>
        <w:t xml:space="preserve">and </w:t>
      </w:r>
      <w:r w:rsidR="00E940B4" w:rsidRPr="002575A7">
        <w:rPr>
          <w:rFonts w:ascii="Book Antiqua" w:hAnsi="Book Antiqua" w:cs="Times New Roman"/>
          <w:sz w:val="24"/>
          <w:szCs w:val="24"/>
          <w:lang w:val="en-US"/>
        </w:rPr>
        <w:t xml:space="preserve">pain (corresponding to </w:t>
      </w:r>
      <w:r w:rsidR="0010356E">
        <w:rPr>
          <w:rFonts w:ascii="Book Antiqua" w:hAnsi="Book Antiqua" w:cs="Times New Roman"/>
          <w:sz w:val="24"/>
          <w:szCs w:val="24"/>
          <w:lang w:val="en-US"/>
        </w:rPr>
        <w:t xml:space="preserve">the </w:t>
      </w:r>
      <w:r w:rsidR="00E940B4" w:rsidRPr="002575A7">
        <w:rPr>
          <w:rFonts w:ascii="Book Antiqua" w:hAnsi="Book Antiqua" w:cs="Times New Roman"/>
          <w:sz w:val="24"/>
          <w:szCs w:val="24"/>
          <w:lang w:val="en-US"/>
        </w:rPr>
        <w:t>prescription of morphine)</w:t>
      </w:r>
      <w:r w:rsidR="00867C4D" w:rsidRPr="002575A7">
        <w:rPr>
          <w:rFonts w:ascii="Book Antiqua" w:hAnsi="Book Antiqua" w:cs="Times New Roman"/>
          <w:sz w:val="24"/>
          <w:szCs w:val="24"/>
          <w:lang w:val="en-US"/>
        </w:rPr>
        <w:t xml:space="preserve">. </w:t>
      </w:r>
      <w:r w:rsidR="00185E71" w:rsidRPr="002575A7">
        <w:rPr>
          <w:rFonts w:ascii="Book Antiqua" w:hAnsi="Book Antiqua" w:cs="Times New Roman"/>
          <w:sz w:val="24"/>
          <w:szCs w:val="24"/>
          <w:lang w:val="en-US"/>
        </w:rPr>
        <w:t>Of note, p</w:t>
      </w:r>
      <w:r w:rsidR="00867C4D" w:rsidRPr="002575A7">
        <w:rPr>
          <w:rFonts w:ascii="Book Antiqua" w:hAnsi="Book Antiqua" w:cs="Times New Roman"/>
          <w:sz w:val="24"/>
          <w:szCs w:val="24"/>
          <w:lang w:val="en-US"/>
        </w:rPr>
        <w:t xml:space="preserve">atients in </w:t>
      </w:r>
      <w:r w:rsidR="002C1EDE" w:rsidRPr="002575A7">
        <w:rPr>
          <w:rFonts w:ascii="Book Antiqua" w:hAnsi="Book Antiqua" w:cs="Times New Roman"/>
          <w:sz w:val="24"/>
          <w:szCs w:val="24"/>
          <w:lang w:val="en-US"/>
        </w:rPr>
        <w:t xml:space="preserve">the </w:t>
      </w:r>
      <w:r w:rsidR="00867C4D" w:rsidRPr="002575A7">
        <w:rPr>
          <w:rFonts w:ascii="Book Antiqua" w:hAnsi="Book Antiqua" w:cs="Times New Roman"/>
          <w:sz w:val="24"/>
          <w:szCs w:val="24"/>
          <w:lang w:val="en-US"/>
        </w:rPr>
        <w:t xml:space="preserve">FOLFIRINOX group </w:t>
      </w:r>
      <w:r w:rsidR="002C1EDE" w:rsidRPr="002575A7">
        <w:rPr>
          <w:rFonts w:ascii="Book Antiqua" w:hAnsi="Book Antiqua" w:cs="Times New Roman"/>
          <w:sz w:val="24"/>
          <w:szCs w:val="24"/>
          <w:lang w:val="en-US"/>
        </w:rPr>
        <w:t>had</w:t>
      </w:r>
      <w:r w:rsidR="00867C4D" w:rsidRPr="002575A7">
        <w:rPr>
          <w:rFonts w:ascii="Book Antiqua" w:hAnsi="Book Antiqua" w:cs="Times New Roman"/>
          <w:sz w:val="24"/>
          <w:szCs w:val="24"/>
          <w:lang w:val="en-US"/>
        </w:rPr>
        <w:t xml:space="preserve"> </w:t>
      </w:r>
      <w:r w:rsidR="00ED16CB" w:rsidRPr="002575A7">
        <w:rPr>
          <w:rFonts w:ascii="Book Antiqua" w:hAnsi="Book Antiqua" w:cs="Times New Roman"/>
          <w:sz w:val="24"/>
          <w:szCs w:val="24"/>
          <w:lang w:val="en-US"/>
        </w:rPr>
        <w:t xml:space="preserve">a </w:t>
      </w:r>
      <w:r w:rsidR="00867C4D" w:rsidRPr="002575A7">
        <w:rPr>
          <w:rFonts w:ascii="Book Antiqua" w:hAnsi="Book Antiqua" w:cs="Times New Roman"/>
          <w:sz w:val="24"/>
          <w:szCs w:val="24"/>
          <w:lang w:val="en-US"/>
        </w:rPr>
        <w:t xml:space="preserve">significantly </w:t>
      </w:r>
      <w:r w:rsidR="00CF639C" w:rsidRPr="002575A7">
        <w:rPr>
          <w:rFonts w:ascii="Book Antiqua" w:hAnsi="Book Antiqua" w:cs="Times New Roman"/>
          <w:sz w:val="24"/>
          <w:szCs w:val="24"/>
          <w:lang w:val="en-US"/>
        </w:rPr>
        <w:t xml:space="preserve">higher albumin level (39.1 g/L </w:t>
      </w:r>
      <w:r w:rsidR="009D1BBF" w:rsidRPr="00864BDB">
        <w:rPr>
          <w:rFonts w:ascii="Book Antiqua" w:hAnsi="Book Antiqua" w:cs="Times New Roman"/>
          <w:i/>
          <w:iCs/>
          <w:sz w:val="24"/>
          <w:szCs w:val="24"/>
          <w:lang w:val="en-US"/>
        </w:rPr>
        <w:t>vs</w:t>
      </w:r>
      <w:r w:rsidR="00CF639C" w:rsidRPr="002575A7">
        <w:rPr>
          <w:rFonts w:ascii="Book Antiqua" w:hAnsi="Book Antiqua" w:cs="Times New Roman"/>
          <w:sz w:val="24"/>
          <w:szCs w:val="24"/>
          <w:lang w:val="en-US"/>
        </w:rPr>
        <w:t xml:space="preserve"> 35.0 g/L; </w:t>
      </w:r>
      <w:r w:rsidR="00B60AE3"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B60AE3" w:rsidRPr="002575A7">
        <w:rPr>
          <w:rFonts w:ascii="Book Antiqua" w:hAnsi="Book Antiqua" w:cs="Times New Roman"/>
          <w:sz w:val="24"/>
          <w:szCs w:val="24"/>
          <w:lang w:val="en-US"/>
        </w:rPr>
        <w:t>&lt;</w:t>
      </w:r>
      <w:r w:rsidR="00B60AE3">
        <w:rPr>
          <w:rFonts w:ascii="Book Antiqua" w:hAnsi="Book Antiqua" w:cs="Times New Roman"/>
          <w:sz w:val="24"/>
          <w:szCs w:val="24"/>
          <w:lang w:val="en-US"/>
        </w:rPr>
        <w:t xml:space="preserve"> </w:t>
      </w:r>
      <w:r w:rsidR="00CF639C" w:rsidRPr="002575A7">
        <w:rPr>
          <w:rFonts w:ascii="Book Antiqua" w:hAnsi="Book Antiqua" w:cs="Times New Roman"/>
          <w:sz w:val="24"/>
          <w:szCs w:val="24"/>
          <w:lang w:val="en-US"/>
        </w:rPr>
        <w:t xml:space="preserve">0.001), and </w:t>
      </w:r>
      <w:r w:rsidR="001878D1" w:rsidRPr="002575A7">
        <w:rPr>
          <w:rFonts w:ascii="Book Antiqua" w:hAnsi="Book Antiqua" w:cs="Times New Roman"/>
          <w:sz w:val="24"/>
          <w:szCs w:val="24"/>
          <w:lang w:val="en-US"/>
        </w:rPr>
        <w:t xml:space="preserve">an </w:t>
      </w:r>
      <w:r w:rsidR="00ED16CB" w:rsidRPr="002575A7">
        <w:rPr>
          <w:rFonts w:ascii="Book Antiqua" w:hAnsi="Book Antiqua" w:cs="Times New Roman"/>
          <w:sz w:val="24"/>
          <w:szCs w:val="24"/>
          <w:lang w:val="en-US"/>
        </w:rPr>
        <w:t xml:space="preserve">increased </w:t>
      </w:r>
      <w:r w:rsidR="00185E71" w:rsidRPr="002575A7">
        <w:rPr>
          <w:rFonts w:ascii="Book Antiqua" w:hAnsi="Book Antiqua" w:cs="Times New Roman"/>
          <w:sz w:val="24"/>
          <w:szCs w:val="24"/>
          <w:lang w:val="en-US"/>
        </w:rPr>
        <w:t xml:space="preserve">number of </w:t>
      </w:r>
      <w:r w:rsidR="00ED16CB" w:rsidRPr="002575A7">
        <w:rPr>
          <w:rFonts w:ascii="Book Antiqua" w:hAnsi="Book Antiqua" w:cs="Times New Roman"/>
          <w:sz w:val="24"/>
          <w:szCs w:val="24"/>
          <w:lang w:val="en-US"/>
        </w:rPr>
        <w:t xml:space="preserve">metastatic </w:t>
      </w:r>
      <w:r w:rsidR="00185E71" w:rsidRPr="002575A7">
        <w:rPr>
          <w:rFonts w:ascii="Book Antiqua" w:hAnsi="Book Antiqua" w:cs="Times New Roman"/>
          <w:sz w:val="24"/>
          <w:szCs w:val="24"/>
          <w:lang w:val="en-US"/>
        </w:rPr>
        <w:t>sites (</w:t>
      </w:r>
      <w:r w:rsidR="00B60AE3"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B60AE3" w:rsidRPr="002575A7">
        <w:rPr>
          <w:rFonts w:ascii="Book Antiqua" w:hAnsi="Book Antiqua" w:cs="Times New Roman"/>
          <w:sz w:val="24"/>
          <w:szCs w:val="24"/>
          <w:lang w:val="en-US"/>
        </w:rPr>
        <w:t>&lt;</w:t>
      </w:r>
      <w:r w:rsidR="00B60AE3">
        <w:rPr>
          <w:rFonts w:ascii="Book Antiqua" w:hAnsi="Book Antiqua" w:cs="Times New Roman"/>
          <w:sz w:val="24"/>
          <w:szCs w:val="24"/>
          <w:lang w:val="en-US"/>
        </w:rPr>
        <w:t xml:space="preserve"> </w:t>
      </w:r>
      <w:r w:rsidR="00054691" w:rsidRPr="002575A7">
        <w:rPr>
          <w:rFonts w:ascii="Book Antiqua" w:hAnsi="Book Antiqua" w:cs="Times New Roman"/>
          <w:sz w:val="24"/>
          <w:szCs w:val="24"/>
          <w:lang w:val="en-US"/>
        </w:rPr>
        <w:t>0.00</w:t>
      </w:r>
      <w:r w:rsidR="00185E71" w:rsidRPr="002575A7">
        <w:rPr>
          <w:rFonts w:ascii="Book Antiqua" w:hAnsi="Book Antiqua" w:cs="Times New Roman"/>
          <w:sz w:val="24"/>
          <w:szCs w:val="24"/>
          <w:lang w:val="en-US"/>
        </w:rPr>
        <w:t>1) than</w:t>
      </w:r>
      <w:r w:rsidR="00867C4D" w:rsidRPr="002575A7">
        <w:rPr>
          <w:rFonts w:ascii="Book Antiqua" w:hAnsi="Book Antiqua" w:cs="Times New Roman"/>
          <w:sz w:val="24"/>
          <w:szCs w:val="24"/>
          <w:lang w:val="en-US"/>
        </w:rPr>
        <w:t xml:space="preserve"> those in the FOLFOXIRI group </w:t>
      </w:r>
      <w:r w:rsidR="00E940B4" w:rsidRPr="002575A7">
        <w:rPr>
          <w:rFonts w:ascii="Book Antiqua" w:hAnsi="Book Antiqua" w:cs="Times New Roman"/>
          <w:sz w:val="24"/>
          <w:szCs w:val="24"/>
          <w:lang w:val="en-US"/>
        </w:rPr>
        <w:t>(Table</w:t>
      </w:r>
      <w:r w:rsidR="0090799D" w:rsidRPr="002575A7">
        <w:rPr>
          <w:rFonts w:ascii="Book Antiqua" w:hAnsi="Book Antiqua" w:cs="Times New Roman"/>
          <w:sz w:val="24"/>
          <w:szCs w:val="24"/>
          <w:lang w:val="en-US"/>
        </w:rPr>
        <w:t xml:space="preserve"> 1</w:t>
      </w:r>
      <w:r w:rsidR="00E940B4" w:rsidRPr="002575A7">
        <w:rPr>
          <w:rFonts w:ascii="Book Antiqua" w:hAnsi="Book Antiqua" w:cs="Times New Roman"/>
          <w:sz w:val="24"/>
          <w:szCs w:val="24"/>
          <w:lang w:val="en-US"/>
        </w:rPr>
        <w:t xml:space="preserve">). </w:t>
      </w:r>
    </w:p>
    <w:p w14:paraId="7E204A58" w14:textId="77777777" w:rsidR="00CF639C" w:rsidRPr="002575A7" w:rsidRDefault="00CF639C" w:rsidP="00864BDB">
      <w:pPr>
        <w:snapToGrid w:val="0"/>
        <w:spacing w:after="0" w:line="360" w:lineRule="auto"/>
        <w:jc w:val="both"/>
        <w:rPr>
          <w:rFonts w:ascii="Book Antiqua" w:hAnsi="Book Antiqua" w:cs="Times New Roman"/>
          <w:sz w:val="24"/>
          <w:szCs w:val="24"/>
          <w:lang w:val="en-US"/>
        </w:rPr>
      </w:pPr>
    </w:p>
    <w:p w14:paraId="37D118FE" w14:textId="3BA5AAA6" w:rsidR="007108DE" w:rsidRPr="002575A7" w:rsidRDefault="007108DE"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 xml:space="preserve">Outcomes of the </w:t>
      </w:r>
      <w:r w:rsidR="00C8067B">
        <w:rPr>
          <w:rFonts w:ascii="Book Antiqua" w:hAnsi="Book Antiqua" w:cs="Times New Roman"/>
          <w:b/>
          <w:i/>
          <w:sz w:val="24"/>
          <w:szCs w:val="24"/>
          <w:lang w:val="en-US"/>
        </w:rPr>
        <w:t>overall</w:t>
      </w:r>
      <w:r w:rsidR="00C8067B" w:rsidRPr="002575A7">
        <w:rPr>
          <w:rFonts w:ascii="Book Antiqua" w:hAnsi="Book Antiqua" w:cs="Times New Roman"/>
          <w:b/>
          <w:i/>
          <w:sz w:val="24"/>
          <w:szCs w:val="24"/>
          <w:lang w:val="en-US"/>
        </w:rPr>
        <w:t xml:space="preserve"> </w:t>
      </w:r>
      <w:r w:rsidRPr="002575A7">
        <w:rPr>
          <w:rFonts w:ascii="Book Antiqua" w:hAnsi="Book Antiqua" w:cs="Times New Roman"/>
          <w:b/>
          <w:i/>
          <w:sz w:val="24"/>
          <w:szCs w:val="24"/>
          <w:lang w:val="en-US"/>
        </w:rPr>
        <w:t>population</w:t>
      </w:r>
    </w:p>
    <w:p w14:paraId="6BB88809" w14:textId="7CB66788" w:rsidR="00B57FE9" w:rsidRPr="002575A7" w:rsidRDefault="00230401"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After a median follow</w:t>
      </w:r>
      <w:r w:rsidR="0010356E">
        <w:rPr>
          <w:rFonts w:ascii="Book Antiqua" w:hAnsi="Book Antiqua" w:cs="Times New Roman"/>
          <w:sz w:val="24"/>
          <w:szCs w:val="24"/>
          <w:lang w:val="en-US"/>
        </w:rPr>
        <w:t>-</w:t>
      </w:r>
      <w:r w:rsidRPr="002575A7">
        <w:rPr>
          <w:rFonts w:ascii="Book Antiqua" w:hAnsi="Book Antiqua" w:cs="Times New Roman"/>
          <w:sz w:val="24"/>
          <w:szCs w:val="24"/>
          <w:lang w:val="en-US"/>
        </w:rPr>
        <w:t xml:space="preserve">up of </w:t>
      </w:r>
      <w:r w:rsidR="00C52E40" w:rsidRPr="002575A7">
        <w:rPr>
          <w:rFonts w:ascii="Book Antiqua" w:hAnsi="Book Antiqua" w:cs="Times New Roman"/>
          <w:sz w:val="24"/>
          <w:szCs w:val="24"/>
          <w:lang w:val="en-US"/>
        </w:rPr>
        <w:t>30.8 mo (95%CI</w:t>
      </w:r>
      <w:r w:rsidR="00B60AE3">
        <w:rPr>
          <w:rFonts w:ascii="Book Antiqua" w:hAnsi="Book Antiqua" w:cs="Times New Roman"/>
          <w:sz w:val="24"/>
          <w:szCs w:val="24"/>
          <w:lang w:val="en-US"/>
        </w:rPr>
        <w:t>:</w:t>
      </w:r>
      <w:r w:rsidR="00C52E40" w:rsidRPr="002575A7">
        <w:rPr>
          <w:rFonts w:ascii="Book Antiqua" w:hAnsi="Book Antiqua" w:cs="Times New Roman"/>
          <w:sz w:val="24"/>
          <w:szCs w:val="24"/>
          <w:lang w:val="en-US"/>
        </w:rPr>
        <w:t xml:space="preserve"> 23.0</w:t>
      </w:r>
      <w:r w:rsidR="00B60AE3">
        <w:rPr>
          <w:rFonts w:ascii="Book Antiqua" w:hAnsi="Book Antiqua" w:cs="Times New Roman"/>
          <w:sz w:val="24"/>
          <w:szCs w:val="24"/>
          <w:lang w:val="en-US"/>
        </w:rPr>
        <w:t>-</w:t>
      </w:r>
      <w:r w:rsidR="005525BB" w:rsidRPr="002575A7">
        <w:rPr>
          <w:rFonts w:ascii="Book Antiqua" w:hAnsi="Book Antiqua" w:cs="Times New Roman"/>
          <w:sz w:val="24"/>
          <w:szCs w:val="24"/>
          <w:lang w:val="en-US"/>
        </w:rPr>
        <w:t>NA</w:t>
      </w:r>
      <w:r w:rsidR="00C52E40" w:rsidRPr="002575A7">
        <w:rPr>
          <w:rFonts w:ascii="Book Antiqua" w:hAnsi="Book Antiqua" w:cs="Times New Roman"/>
          <w:sz w:val="24"/>
          <w:szCs w:val="24"/>
          <w:lang w:val="en-US"/>
        </w:rPr>
        <w:t>) and 61.4 mo (</w:t>
      </w:r>
      <w:r w:rsidR="00B60AE3">
        <w:rPr>
          <w:rFonts w:ascii="Book Antiqua" w:hAnsi="Book Antiqua" w:cs="Times New Roman"/>
          <w:sz w:val="24"/>
          <w:szCs w:val="24"/>
          <w:lang w:val="en-US"/>
        </w:rPr>
        <w:t>95%CI:</w:t>
      </w:r>
      <w:r w:rsidR="00C52E40" w:rsidRPr="002575A7">
        <w:rPr>
          <w:rFonts w:ascii="Book Antiqua" w:hAnsi="Book Antiqua" w:cs="Times New Roman"/>
          <w:sz w:val="24"/>
          <w:szCs w:val="24"/>
          <w:lang w:val="en-US"/>
        </w:rPr>
        <w:t xml:space="preserve"> 43.2</w:t>
      </w:r>
      <w:r w:rsidR="00B60AE3">
        <w:rPr>
          <w:rFonts w:ascii="Book Antiqua" w:hAnsi="Book Antiqua" w:cs="Times New Roman"/>
          <w:sz w:val="24"/>
          <w:szCs w:val="24"/>
          <w:lang w:val="en-US"/>
        </w:rPr>
        <w:t>-</w:t>
      </w:r>
      <w:r w:rsidR="00C52E40" w:rsidRPr="002575A7">
        <w:rPr>
          <w:rFonts w:ascii="Book Antiqua" w:hAnsi="Book Antiqua" w:cs="Times New Roman"/>
          <w:sz w:val="24"/>
          <w:szCs w:val="24"/>
          <w:lang w:val="en-US"/>
        </w:rPr>
        <w:t>87.9)</w:t>
      </w:r>
      <w:r w:rsidR="00407256" w:rsidRPr="002575A7">
        <w:rPr>
          <w:rFonts w:ascii="Book Antiqua" w:hAnsi="Book Antiqua" w:cs="Times New Roman"/>
          <w:sz w:val="24"/>
          <w:szCs w:val="24"/>
          <w:lang w:val="en-US"/>
        </w:rPr>
        <w:t>, m</w:t>
      </w:r>
      <w:r w:rsidR="00867C4D" w:rsidRPr="002575A7">
        <w:rPr>
          <w:rFonts w:ascii="Book Antiqua" w:hAnsi="Book Antiqua" w:cs="Times New Roman"/>
          <w:sz w:val="24"/>
          <w:szCs w:val="24"/>
          <w:lang w:val="en-US"/>
        </w:rPr>
        <w:t xml:space="preserve">edian </w:t>
      </w:r>
      <w:r w:rsidRPr="002575A7">
        <w:rPr>
          <w:rFonts w:ascii="Book Antiqua" w:hAnsi="Book Antiqua" w:cs="Times New Roman"/>
          <w:sz w:val="24"/>
          <w:szCs w:val="24"/>
          <w:lang w:val="en-US"/>
        </w:rPr>
        <w:t xml:space="preserve">OS was </w:t>
      </w:r>
      <w:r w:rsidR="00185E71" w:rsidRPr="002575A7">
        <w:rPr>
          <w:rFonts w:ascii="Book Antiqua" w:hAnsi="Book Antiqua" w:cs="Times New Roman"/>
          <w:sz w:val="24"/>
          <w:szCs w:val="24"/>
          <w:lang w:val="en-US"/>
        </w:rPr>
        <w:t>11.6 mo (</w:t>
      </w:r>
      <w:r w:rsidR="00B60AE3">
        <w:rPr>
          <w:rFonts w:ascii="Book Antiqua" w:hAnsi="Book Antiqua" w:cs="Times New Roman"/>
          <w:sz w:val="24"/>
          <w:szCs w:val="24"/>
          <w:lang w:val="en-US"/>
        </w:rPr>
        <w:t>95%CI:</w:t>
      </w:r>
      <w:r w:rsidR="00185E71" w:rsidRPr="002575A7">
        <w:rPr>
          <w:rFonts w:ascii="Book Antiqua" w:hAnsi="Book Antiqua" w:cs="Times New Roman"/>
          <w:sz w:val="24"/>
          <w:szCs w:val="24"/>
          <w:lang w:val="en-US"/>
        </w:rPr>
        <w:t xml:space="preserve"> 10.8</w:t>
      </w:r>
      <w:r w:rsidR="00B60AE3">
        <w:rPr>
          <w:rFonts w:ascii="Book Antiqua" w:hAnsi="Book Antiqua" w:cs="Times New Roman"/>
          <w:sz w:val="24"/>
          <w:szCs w:val="24"/>
          <w:lang w:val="en-US"/>
        </w:rPr>
        <w:t>-</w:t>
      </w:r>
      <w:r w:rsidR="00185E71" w:rsidRPr="002575A7">
        <w:rPr>
          <w:rFonts w:ascii="Book Antiqua" w:hAnsi="Book Antiqua" w:cs="Times New Roman"/>
          <w:sz w:val="24"/>
          <w:szCs w:val="24"/>
          <w:lang w:val="en-US"/>
        </w:rPr>
        <w:t xml:space="preserve">15.5) and </w:t>
      </w:r>
      <w:r w:rsidRPr="002575A7">
        <w:rPr>
          <w:rFonts w:ascii="Book Antiqua" w:hAnsi="Book Antiqua" w:cs="Times New Roman"/>
          <w:sz w:val="24"/>
          <w:szCs w:val="24"/>
          <w:lang w:val="en-US"/>
        </w:rPr>
        <w:t>11.1 mo</w:t>
      </w:r>
      <w:r w:rsidR="00867C4D"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6A40F9" w:rsidRPr="002575A7">
        <w:rPr>
          <w:rFonts w:ascii="Book Antiqua" w:hAnsi="Book Antiqua" w:cs="Times New Roman"/>
          <w:sz w:val="24"/>
          <w:szCs w:val="24"/>
          <w:lang w:val="en-US"/>
        </w:rPr>
        <w:t xml:space="preserve"> 9.8</w:t>
      </w:r>
      <w:r w:rsidR="00B60AE3">
        <w:rPr>
          <w:rFonts w:ascii="Book Antiqua" w:hAnsi="Book Antiqua" w:cs="Times New Roman"/>
          <w:sz w:val="24"/>
          <w:szCs w:val="24"/>
          <w:lang w:val="en-US"/>
        </w:rPr>
        <w:t>-</w:t>
      </w:r>
      <w:r w:rsidRPr="002575A7">
        <w:rPr>
          <w:rFonts w:ascii="Book Antiqua" w:hAnsi="Book Antiqua" w:cs="Times New Roman"/>
          <w:sz w:val="24"/>
          <w:szCs w:val="24"/>
          <w:lang w:val="en-US"/>
        </w:rPr>
        <w:t xml:space="preserve">13.1) in the FOLFIRINOX </w:t>
      </w:r>
      <w:r w:rsidR="00185E71" w:rsidRPr="002575A7">
        <w:rPr>
          <w:rFonts w:ascii="Book Antiqua" w:hAnsi="Book Antiqua" w:cs="Times New Roman"/>
          <w:sz w:val="24"/>
          <w:szCs w:val="24"/>
          <w:lang w:val="en-US"/>
        </w:rPr>
        <w:t xml:space="preserve">and FOLFOXIRI </w:t>
      </w:r>
      <w:r w:rsidRPr="002575A7">
        <w:rPr>
          <w:rFonts w:ascii="Book Antiqua" w:hAnsi="Book Antiqua" w:cs="Times New Roman"/>
          <w:sz w:val="24"/>
          <w:szCs w:val="24"/>
          <w:lang w:val="en-US"/>
        </w:rPr>
        <w:t>group</w:t>
      </w:r>
      <w:r w:rsidR="00867C4D" w:rsidRPr="002575A7">
        <w:rPr>
          <w:rFonts w:ascii="Book Antiqua" w:hAnsi="Book Antiqua" w:cs="Times New Roman"/>
          <w:sz w:val="24"/>
          <w:szCs w:val="24"/>
          <w:lang w:val="en-US"/>
        </w:rPr>
        <w:t>s, respectively (HR</w:t>
      </w:r>
      <w:r w:rsidR="00B60AE3">
        <w:rPr>
          <w:rFonts w:ascii="Book Antiqua" w:hAnsi="Book Antiqua" w:cs="Times New Roman"/>
          <w:sz w:val="24"/>
          <w:szCs w:val="24"/>
          <w:lang w:val="en-US"/>
        </w:rPr>
        <w:t xml:space="preserve"> </w:t>
      </w:r>
      <w:r w:rsidR="00867C4D" w:rsidRPr="002575A7">
        <w:rPr>
          <w:rFonts w:ascii="Book Antiqua" w:hAnsi="Book Antiqua" w:cs="Times New Roman"/>
          <w:sz w:val="24"/>
          <w:szCs w:val="24"/>
          <w:lang w:val="en-US"/>
        </w:rPr>
        <w:t xml:space="preserve">= </w:t>
      </w:r>
      <w:r w:rsidR="006D7301" w:rsidRPr="002575A7">
        <w:rPr>
          <w:rFonts w:ascii="Book Antiqua" w:hAnsi="Book Antiqua" w:cs="Times New Roman"/>
          <w:sz w:val="24"/>
          <w:szCs w:val="24"/>
          <w:lang w:val="en-US"/>
        </w:rPr>
        <w:t>1.12</w:t>
      </w:r>
      <w:r w:rsidR="00867C4D"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867C4D" w:rsidRPr="002575A7">
        <w:rPr>
          <w:rFonts w:ascii="Book Antiqua" w:hAnsi="Book Antiqua" w:cs="Times New Roman"/>
          <w:sz w:val="24"/>
          <w:szCs w:val="24"/>
          <w:lang w:val="en-US"/>
        </w:rPr>
        <w:t xml:space="preserve"> </w:t>
      </w:r>
      <w:r w:rsidR="006D7301" w:rsidRPr="002575A7">
        <w:rPr>
          <w:rFonts w:ascii="Book Antiqua" w:hAnsi="Book Antiqua" w:cs="Times New Roman"/>
          <w:sz w:val="24"/>
          <w:szCs w:val="24"/>
          <w:lang w:val="en-US"/>
        </w:rPr>
        <w:t>0.</w:t>
      </w:r>
      <w:r w:rsidR="00867C4D" w:rsidRPr="002575A7">
        <w:rPr>
          <w:rFonts w:ascii="Book Antiqua" w:hAnsi="Book Antiqua" w:cs="Times New Roman"/>
          <w:sz w:val="24"/>
          <w:szCs w:val="24"/>
          <w:lang w:val="en-US"/>
        </w:rPr>
        <w:t>8</w:t>
      </w:r>
      <w:r w:rsidR="006D7301" w:rsidRPr="002575A7">
        <w:rPr>
          <w:rFonts w:ascii="Book Antiqua" w:hAnsi="Book Antiqua" w:cs="Times New Roman"/>
          <w:sz w:val="24"/>
          <w:szCs w:val="24"/>
          <w:lang w:val="en-US"/>
        </w:rPr>
        <w:t>6</w:t>
      </w:r>
      <w:r w:rsidR="00B60AE3">
        <w:rPr>
          <w:rFonts w:ascii="Book Antiqua" w:hAnsi="Book Antiqua" w:cs="Times New Roman"/>
          <w:sz w:val="24"/>
          <w:szCs w:val="24"/>
          <w:lang w:val="en-US"/>
        </w:rPr>
        <w:t>-</w:t>
      </w:r>
      <w:r w:rsidR="00867C4D" w:rsidRPr="002575A7">
        <w:rPr>
          <w:rFonts w:ascii="Book Antiqua" w:hAnsi="Book Antiqua" w:cs="Times New Roman"/>
          <w:sz w:val="24"/>
          <w:szCs w:val="24"/>
          <w:lang w:val="en-US"/>
        </w:rPr>
        <w:t>1.</w:t>
      </w:r>
      <w:r w:rsidR="006D7301" w:rsidRPr="002575A7">
        <w:rPr>
          <w:rFonts w:ascii="Book Antiqua" w:hAnsi="Book Antiqua" w:cs="Times New Roman"/>
          <w:sz w:val="24"/>
          <w:szCs w:val="24"/>
          <w:lang w:val="en-US"/>
        </w:rPr>
        <w:t>4</w:t>
      </w:r>
      <w:r w:rsidR="00867C4D" w:rsidRPr="002575A7">
        <w:rPr>
          <w:rFonts w:ascii="Book Antiqua" w:hAnsi="Book Antiqua" w:cs="Times New Roman"/>
          <w:sz w:val="24"/>
          <w:szCs w:val="24"/>
          <w:lang w:val="en-US"/>
        </w:rPr>
        <w:t xml:space="preserve">6; </w:t>
      </w:r>
      <w:r w:rsidR="00867C4D"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867C4D" w:rsidRPr="002575A7">
        <w:rPr>
          <w:rFonts w:ascii="Book Antiqua" w:hAnsi="Book Antiqua" w:cs="Times New Roman"/>
          <w:sz w:val="24"/>
          <w:szCs w:val="24"/>
          <w:lang w:val="en-US"/>
        </w:rPr>
        <w:t>= 0.391</w:t>
      </w:r>
      <w:r w:rsidR="006D7301" w:rsidRPr="002575A7">
        <w:rPr>
          <w:rFonts w:ascii="Book Antiqua" w:hAnsi="Book Antiqua" w:cs="Times New Roman"/>
          <w:sz w:val="24"/>
          <w:szCs w:val="24"/>
          <w:lang w:val="en-US"/>
        </w:rPr>
        <w:t xml:space="preserve">; </w:t>
      </w:r>
      <w:r w:rsidR="00867C4D" w:rsidRPr="002575A7">
        <w:rPr>
          <w:rFonts w:ascii="Book Antiqua" w:hAnsi="Book Antiqua" w:cs="Times New Roman"/>
          <w:sz w:val="24"/>
          <w:szCs w:val="24"/>
          <w:lang w:val="en-US"/>
        </w:rPr>
        <w:t xml:space="preserve">Figure </w:t>
      </w:r>
      <w:r w:rsidR="000D3B70" w:rsidRPr="002575A7">
        <w:rPr>
          <w:rFonts w:ascii="Book Antiqua" w:hAnsi="Book Antiqua" w:cs="Times New Roman"/>
          <w:sz w:val="24"/>
          <w:szCs w:val="24"/>
          <w:lang w:val="en-US"/>
        </w:rPr>
        <w:t>1</w:t>
      </w:r>
      <w:r w:rsidR="006D7301" w:rsidRPr="002575A7">
        <w:rPr>
          <w:rFonts w:ascii="Book Antiqua" w:hAnsi="Book Antiqua" w:cs="Times New Roman"/>
          <w:sz w:val="24"/>
          <w:szCs w:val="24"/>
          <w:lang w:val="en-US"/>
        </w:rPr>
        <w:t>A</w:t>
      </w:r>
      <w:r w:rsidR="00867C4D" w:rsidRPr="002575A7">
        <w:rPr>
          <w:rFonts w:ascii="Book Antiqua" w:hAnsi="Book Antiqua" w:cs="Times New Roman"/>
          <w:sz w:val="24"/>
          <w:szCs w:val="24"/>
          <w:lang w:val="en-US"/>
        </w:rPr>
        <w:t>).</w:t>
      </w:r>
      <w:r w:rsidR="00407256"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Median</w:t>
      </w:r>
      <w:r w:rsidR="00867C4D" w:rsidRPr="002575A7">
        <w:rPr>
          <w:rFonts w:ascii="Book Antiqua" w:hAnsi="Book Antiqua" w:cs="Times New Roman"/>
          <w:sz w:val="24"/>
          <w:szCs w:val="24"/>
          <w:lang w:val="en-US"/>
        </w:rPr>
        <w:t xml:space="preserve"> PFS</w:t>
      </w:r>
      <w:r w:rsidRPr="002575A7">
        <w:rPr>
          <w:rFonts w:ascii="Book Antiqua" w:hAnsi="Book Antiqua" w:cs="Times New Roman"/>
          <w:sz w:val="24"/>
          <w:szCs w:val="24"/>
          <w:lang w:val="en-US"/>
        </w:rPr>
        <w:t xml:space="preserve"> was 5.8 mo (</w:t>
      </w:r>
      <w:r w:rsidR="00B60AE3">
        <w:rPr>
          <w:rFonts w:ascii="Book Antiqua" w:hAnsi="Book Antiqua" w:cs="Times New Roman"/>
          <w:sz w:val="24"/>
          <w:szCs w:val="24"/>
          <w:lang w:val="en-US"/>
        </w:rPr>
        <w:t>95%CI:</w:t>
      </w:r>
      <w:r w:rsidRPr="002575A7">
        <w:rPr>
          <w:rFonts w:ascii="Book Antiqua" w:hAnsi="Book Antiqua" w:cs="Times New Roman"/>
          <w:sz w:val="24"/>
          <w:szCs w:val="24"/>
          <w:lang w:val="en-US"/>
        </w:rPr>
        <w:t xml:space="preserve"> 3.9</w:t>
      </w:r>
      <w:r w:rsidR="00B60AE3">
        <w:rPr>
          <w:rFonts w:ascii="Book Antiqua" w:hAnsi="Book Antiqua" w:cs="Times New Roman"/>
          <w:sz w:val="24"/>
          <w:szCs w:val="24"/>
          <w:lang w:val="en-US"/>
        </w:rPr>
        <w:t>-</w:t>
      </w:r>
      <w:r w:rsidRPr="002575A7">
        <w:rPr>
          <w:rFonts w:ascii="Book Antiqua" w:hAnsi="Book Antiqua" w:cs="Times New Roman"/>
          <w:sz w:val="24"/>
          <w:szCs w:val="24"/>
          <w:lang w:val="en-US"/>
        </w:rPr>
        <w:t>6.9) in the FOLFOXIRI group an</w:t>
      </w:r>
      <w:r w:rsidR="006A40F9" w:rsidRPr="002575A7">
        <w:rPr>
          <w:rFonts w:ascii="Book Antiqua" w:hAnsi="Book Antiqua" w:cs="Times New Roman"/>
          <w:sz w:val="24"/>
          <w:szCs w:val="24"/>
          <w:lang w:val="en-US"/>
        </w:rPr>
        <w:t>d 6.7 mo (</w:t>
      </w:r>
      <w:r w:rsidR="00B60AE3">
        <w:rPr>
          <w:rFonts w:ascii="Book Antiqua" w:hAnsi="Book Antiqua" w:cs="Times New Roman"/>
          <w:sz w:val="24"/>
          <w:szCs w:val="24"/>
          <w:lang w:val="en-US"/>
        </w:rPr>
        <w:t>95%CI:</w:t>
      </w:r>
      <w:r w:rsidR="006A40F9" w:rsidRPr="002575A7">
        <w:rPr>
          <w:rFonts w:ascii="Book Antiqua" w:hAnsi="Book Antiqua" w:cs="Times New Roman"/>
          <w:sz w:val="24"/>
          <w:szCs w:val="24"/>
          <w:lang w:val="en-US"/>
        </w:rPr>
        <w:t xml:space="preserve"> 6.0</w:t>
      </w:r>
      <w:r w:rsidR="00B60AE3">
        <w:rPr>
          <w:rFonts w:ascii="Book Antiqua" w:hAnsi="Book Antiqua" w:cs="Times New Roman"/>
          <w:sz w:val="24"/>
          <w:szCs w:val="24"/>
          <w:lang w:val="en-US"/>
        </w:rPr>
        <w:t>-</w:t>
      </w:r>
      <w:r w:rsidR="006A40F9" w:rsidRPr="002575A7">
        <w:rPr>
          <w:rFonts w:ascii="Book Antiqua" w:hAnsi="Book Antiqua" w:cs="Times New Roman"/>
          <w:sz w:val="24"/>
          <w:szCs w:val="24"/>
          <w:lang w:val="en-US"/>
        </w:rPr>
        <w:t>7.8</w:t>
      </w:r>
      <w:r w:rsidRPr="002575A7">
        <w:rPr>
          <w:rFonts w:ascii="Book Antiqua" w:hAnsi="Book Antiqua" w:cs="Times New Roman"/>
          <w:sz w:val="24"/>
          <w:szCs w:val="24"/>
          <w:lang w:val="en-US"/>
        </w:rPr>
        <w:t>) in the FOLFIRINOX group</w:t>
      </w:r>
      <w:r w:rsidR="006D7301" w:rsidRPr="002575A7">
        <w:rPr>
          <w:rFonts w:ascii="Book Antiqua" w:hAnsi="Book Antiqua" w:cs="Times New Roman"/>
          <w:sz w:val="24"/>
          <w:szCs w:val="24"/>
          <w:lang w:val="en-US"/>
        </w:rPr>
        <w:t xml:space="preserve"> (HR</w:t>
      </w:r>
      <w:r w:rsidR="00B60AE3">
        <w:rPr>
          <w:rFonts w:ascii="Book Antiqua" w:hAnsi="Book Antiqua" w:cs="Times New Roman"/>
          <w:sz w:val="24"/>
          <w:szCs w:val="24"/>
          <w:lang w:val="en-US"/>
        </w:rPr>
        <w:t xml:space="preserve"> </w:t>
      </w:r>
      <w:r w:rsidR="006D7301" w:rsidRPr="002575A7">
        <w:rPr>
          <w:rFonts w:ascii="Book Antiqua" w:hAnsi="Book Antiqua" w:cs="Times New Roman"/>
          <w:sz w:val="24"/>
          <w:szCs w:val="24"/>
          <w:lang w:val="en-US"/>
        </w:rPr>
        <w:t xml:space="preserve">= 1.14; </w:t>
      </w:r>
      <w:r w:rsidR="00B60AE3">
        <w:rPr>
          <w:rFonts w:ascii="Book Antiqua" w:hAnsi="Book Antiqua" w:cs="Times New Roman"/>
          <w:sz w:val="24"/>
          <w:szCs w:val="24"/>
          <w:lang w:val="en-US"/>
        </w:rPr>
        <w:t>95%CI:</w:t>
      </w:r>
      <w:r w:rsidR="006D7301" w:rsidRPr="002575A7">
        <w:rPr>
          <w:rFonts w:ascii="Book Antiqua" w:hAnsi="Book Antiqua" w:cs="Times New Roman"/>
          <w:sz w:val="24"/>
          <w:szCs w:val="24"/>
          <w:lang w:val="en-US"/>
        </w:rPr>
        <w:t xml:space="preserve"> 0.89 to 1.46; </w:t>
      </w:r>
      <w:r w:rsidR="006D7301"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6D7301" w:rsidRPr="002575A7">
        <w:rPr>
          <w:rFonts w:ascii="Book Antiqua" w:hAnsi="Book Antiqua" w:cs="Times New Roman"/>
          <w:sz w:val="24"/>
          <w:szCs w:val="24"/>
          <w:lang w:val="en-US"/>
        </w:rPr>
        <w:t>= 0.298; Figure 1B)</w:t>
      </w:r>
      <w:r w:rsidRPr="002575A7">
        <w:rPr>
          <w:rFonts w:ascii="Book Antiqua" w:hAnsi="Book Antiqua" w:cs="Times New Roman"/>
          <w:sz w:val="24"/>
          <w:szCs w:val="24"/>
          <w:lang w:val="en-US"/>
        </w:rPr>
        <w:t xml:space="preserve">. </w:t>
      </w:r>
      <w:r w:rsidR="0006198E" w:rsidRPr="002575A7">
        <w:rPr>
          <w:rFonts w:ascii="Book Antiqua" w:hAnsi="Book Antiqua" w:cs="Times New Roman"/>
          <w:sz w:val="24"/>
          <w:szCs w:val="24"/>
          <w:lang w:val="en-US"/>
        </w:rPr>
        <w:t>OS rates at 12, 18, and 24 mo were 49.6%, 36.4%, and 28.3%, respectively, in the FOLFIRINOX group as compared with 45.1%, 30.9%, and 21.2%, respectively, in the FOLFOXIRI group.</w:t>
      </w:r>
    </w:p>
    <w:p w14:paraId="2147B137" w14:textId="20950772" w:rsidR="00B976D8" w:rsidRPr="002575A7" w:rsidRDefault="002575A7" w:rsidP="00B60AE3">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Detailed</w:t>
      </w:r>
      <w:r w:rsidR="00BC6E35" w:rsidRPr="002575A7">
        <w:rPr>
          <w:rFonts w:ascii="Book Antiqua" w:hAnsi="Book Antiqua" w:cs="Times New Roman"/>
          <w:sz w:val="24"/>
          <w:szCs w:val="24"/>
          <w:lang w:val="en-US"/>
        </w:rPr>
        <w:t xml:space="preserve"> outcome</w:t>
      </w:r>
      <w:r w:rsidR="00C8067B">
        <w:rPr>
          <w:rFonts w:ascii="Book Antiqua" w:hAnsi="Book Antiqua" w:cs="Times New Roman"/>
          <w:sz w:val="24"/>
          <w:szCs w:val="24"/>
          <w:lang w:val="en-US"/>
        </w:rPr>
        <w:t>s</w:t>
      </w:r>
      <w:r w:rsidR="00E7350C" w:rsidRPr="002575A7">
        <w:rPr>
          <w:rFonts w:ascii="Book Antiqua" w:hAnsi="Book Antiqua" w:cs="Times New Roman"/>
          <w:sz w:val="24"/>
          <w:szCs w:val="24"/>
          <w:lang w:val="en-US"/>
        </w:rPr>
        <w:t xml:space="preserve"> data</w:t>
      </w:r>
      <w:r w:rsidR="00BC6E35" w:rsidRPr="002575A7">
        <w:rPr>
          <w:rFonts w:ascii="Book Antiqua" w:hAnsi="Book Antiqua" w:cs="Times New Roman"/>
          <w:sz w:val="24"/>
          <w:szCs w:val="24"/>
          <w:lang w:val="en-US"/>
        </w:rPr>
        <w:t xml:space="preserve"> are summarized in Table 2. </w:t>
      </w:r>
      <w:r w:rsidR="004A6515">
        <w:rPr>
          <w:rFonts w:ascii="Book Antiqua" w:hAnsi="Book Antiqua" w:cs="Times New Roman"/>
          <w:sz w:val="24"/>
          <w:szCs w:val="24"/>
          <w:lang w:val="en-US"/>
        </w:rPr>
        <w:t>The o</w:t>
      </w:r>
      <w:r w:rsidR="00BC6E35" w:rsidRPr="002575A7">
        <w:rPr>
          <w:rFonts w:ascii="Book Antiqua" w:hAnsi="Book Antiqua" w:cs="Times New Roman"/>
          <w:sz w:val="24"/>
          <w:szCs w:val="24"/>
          <w:lang w:val="en-US"/>
        </w:rPr>
        <w:t>bjective response rate w</w:t>
      </w:r>
      <w:r w:rsidR="004A6515">
        <w:rPr>
          <w:rFonts w:ascii="Book Antiqua" w:hAnsi="Book Antiqua" w:cs="Times New Roman"/>
          <w:sz w:val="24"/>
          <w:szCs w:val="24"/>
          <w:lang w:val="en-US"/>
        </w:rPr>
        <w:t>as</w:t>
      </w:r>
      <w:r w:rsidR="00BC6E35" w:rsidRPr="002575A7">
        <w:rPr>
          <w:rFonts w:ascii="Book Antiqua" w:hAnsi="Book Antiqua" w:cs="Times New Roman"/>
          <w:sz w:val="24"/>
          <w:szCs w:val="24"/>
          <w:lang w:val="en-US"/>
        </w:rPr>
        <w:t xml:space="preserve"> 47.8% in the FOLFIRINOX group</w:t>
      </w:r>
      <w:r w:rsidR="00C8067B">
        <w:rPr>
          <w:rFonts w:ascii="Book Antiqua" w:hAnsi="Book Antiqua" w:cs="Times New Roman"/>
          <w:sz w:val="24"/>
          <w:szCs w:val="24"/>
          <w:lang w:val="en-US"/>
        </w:rPr>
        <w:t>,</w:t>
      </w:r>
      <w:r w:rsidR="00BC6E35" w:rsidRPr="002575A7">
        <w:rPr>
          <w:rFonts w:ascii="Book Antiqua" w:hAnsi="Book Antiqua" w:cs="Times New Roman"/>
          <w:sz w:val="24"/>
          <w:szCs w:val="24"/>
          <w:lang w:val="en-US"/>
        </w:rPr>
        <w:t xml:space="preserve"> </w:t>
      </w:r>
      <w:r w:rsidR="00E7350C" w:rsidRPr="002575A7">
        <w:rPr>
          <w:rFonts w:ascii="Book Antiqua" w:hAnsi="Book Antiqua" w:cs="Times New Roman"/>
          <w:sz w:val="24"/>
          <w:szCs w:val="24"/>
          <w:lang w:val="en-US"/>
        </w:rPr>
        <w:t xml:space="preserve">compared </w:t>
      </w:r>
      <w:r w:rsidR="00C8067B">
        <w:rPr>
          <w:rFonts w:ascii="Book Antiqua" w:hAnsi="Book Antiqua" w:cs="Times New Roman"/>
          <w:sz w:val="24"/>
          <w:szCs w:val="24"/>
          <w:lang w:val="en-US"/>
        </w:rPr>
        <w:t>to</w:t>
      </w:r>
      <w:r w:rsidR="00E7350C" w:rsidRPr="002575A7">
        <w:rPr>
          <w:rFonts w:ascii="Book Antiqua" w:hAnsi="Book Antiqua" w:cs="Times New Roman"/>
          <w:sz w:val="24"/>
          <w:szCs w:val="24"/>
          <w:lang w:val="en-US"/>
        </w:rPr>
        <w:t xml:space="preserve"> </w:t>
      </w:r>
      <w:r w:rsidR="00BC6E35" w:rsidRPr="002575A7">
        <w:rPr>
          <w:rFonts w:ascii="Book Antiqua" w:hAnsi="Book Antiqua" w:cs="Times New Roman"/>
          <w:sz w:val="24"/>
          <w:szCs w:val="24"/>
          <w:lang w:val="en-US"/>
        </w:rPr>
        <w:t xml:space="preserve">37.1% in the </w:t>
      </w:r>
      <w:r w:rsidR="007108DE" w:rsidRPr="002575A7">
        <w:rPr>
          <w:rFonts w:ascii="Book Antiqua" w:hAnsi="Book Antiqua" w:cs="Times New Roman"/>
          <w:sz w:val="24"/>
          <w:szCs w:val="24"/>
          <w:lang w:val="en-US"/>
        </w:rPr>
        <w:t>FOLFOXIRI</w:t>
      </w:r>
      <w:r w:rsidR="00054691" w:rsidRPr="002575A7">
        <w:rPr>
          <w:rFonts w:ascii="Book Antiqua" w:hAnsi="Book Antiqua" w:cs="Times New Roman"/>
          <w:sz w:val="24"/>
          <w:szCs w:val="24"/>
          <w:lang w:val="en-US"/>
        </w:rPr>
        <w:t xml:space="preserve"> group (</w:t>
      </w:r>
      <w:r w:rsidR="00054691"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054691" w:rsidRPr="002575A7">
        <w:rPr>
          <w:rFonts w:ascii="Book Antiqua" w:hAnsi="Book Antiqua" w:cs="Times New Roman"/>
          <w:sz w:val="24"/>
          <w:szCs w:val="24"/>
          <w:lang w:val="en-US"/>
        </w:rPr>
        <w:t>= 0.187</w:t>
      </w:r>
      <w:r w:rsidR="00BC6E35" w:rsidRPr="002575A7">
        <w:rPr>
          <w:rFonts w:ascii="Book Antiqua" w:hAnsi="Book Antiqua" w:cs="Times New Roman"/>
          <w:sz w:val="24"/>
          <w:szCs w:val="24"/>
          <w:lang w:val="en-US"/>
        </w:rPr>
        <w:t>)</w:t>
      </w:r>
      <w:r w:rsidR="00A5576F" w:rsidRPr="002575A7">
        <w:rPr>
          <w:rFonts w:ascii="Book Antiqua" w:hAnsi="Book Antiqua" w:cs="Times New Roman"/>
          <w:sz w:val="24"/>
          <w:szCs w:val="24"/>
          <w:lang w:val="en-US"/>
        </w:rPr>
        <w:t>, while disease-control rates were 75.7% and 66.7%, respectively (</w:t>
      </w:r>
      <w:r w:rsidR="00A5576F"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A5576F" w:rsidRPr="002575A7">
        <w:rPr>
          <w:rFonts w:ascii="Book Antiqua" w:hAnsi="Book Antiqua" w:cs="Times New Roman"/>
          <w:sz w:val="24"/>
          <w:szCs w:val="24"/>
          <w:lang w:val="en-US"/>
        </w:rPr>
        <w:t>=</w:t>
      </w:r>
      <w:r w:rsidR="000876E3" w:rsidRPr="002575A7">
        <w:rPr>
          <w:rFonts w:ascii="Book Antiqua" w:hAnsi="Book Antiqua" w:cs="Times New Roman"/>
          <w:sz w:val="24"/>
          <w:szCs w:val="24"/>
          <w:lang w:val="en-US"/>
        </w:rPr>
        <w:t xml:space="preserve"> </w:t>
      </w:r>
      <w:r w:rsidR="00A5576F" w:rsidRPr="002575A7">
        <w:rPr>
          <w:rFonts w:ascii="Book Antiqua" w:hAnsi="Book Antiqua" w:cs="Times New Roman"/>
          <w:sz w:val="24"/>
          <w:szCs w:val="24"/>
          <w:lang w:val="en-US"/>
        </w:rPr>
        <w:t>0.124)</w:t>
      </w:r>
      <w:r w:rsidR="00BC6E35" w:rsidRPr="002575A7">
        <w:rPr>
          <w:rFonts w:ascii="Book Antiqua" w:hAnsi="Book Antiqua" w:cs="Times New Roman"/>
          <w:sz w:val="24"/>
          <w:szCs w:val="24"/>
          <w:lang w:val="en-US"/>
        </w:rPr>
        <w:t>.</w:t>
      </w:r>
      <w:r w:rsidR="007108DE" w:rsidRPr="002575A7">
        <w:rPr>
          <w:rFonts w:ascii="Book Antiqua" w:hAnsi="Book Antiqua" w:cs="Times New Roman"/>
          <w:sz w:val="24"/>
          <w:szCs w:val="24"/>
          <w:lang w:val="en-US"/>
        </w:rPr>
        <w:t xml:space="preserve"> The number of </w:t>
      </w:r>
      <w:r w:rsidR="00CD5CCD">
        <w:rPr>
          <w:rFonts w:ascii="Book Antiqua" w:hAnsi="Book Antiqua" w:cs="Times New Roman"/>
          <w:sz w:val="24"/>
          <w:szCs w:val="24"/>
          <w:lang w:val="en-US"/>
        </w:rPr>
        <w:t>cycles</w:t>
      </w:r>
      <w:r w:rsidR="00CD5CCD" w:rsidRPr="002575A7">
        <w:rPr>
          <w:rFonts w:ascii="Book Antiqua" w:hAnsi="Book Antiqua" w:cs="Times New Roman"/>
          <w:sz w:val="24"/>
          <w:szCs w:val="24"/>
          <w:lang w:val="en-US"/>
        </w:rPr>
        <w:t xml:space="preserve"> </w:t>
      </w:r>
      <w:r w:rsidR="007108DE" w:rsidRPr="002575A7">
        <w:rPr>
          <w:rFonts w:ascii="Book Antiqua" w:hAnsi="Book Antiqua" w:cs="Times New Roman"/>
          <w:sz w:val="24"/>
          <w:szCs w:val="24"/>
          <w:lang w:val="en-US"/>
        </w:rPr>
        <w:t xml:space="preserve">was </w:t>
      </w:r>
      <w:r w:rsidR="00AC7A92" w:rsidRPr="002575A7">
        <w:rPr>
          <w:rFonts w:ascii="Book Antiqua" w:hAnsi="Book Antiqua" w:cs="Times New Roman"/>
          <w:sz w:val="24"/>
          <w:szCs w:val="24"/>
          <w:lang w:val="en-US"/>
        </w:rPr>
        <w:t xml:space="preserve">significantly </w:t>
      </w:r>
      <w:r w:rsidR="007108DE" w:rsidRPr="002575A7">
        <w:rPr>
          <w:rFonts w:ascii="Book Antiqua" w:hAnsi="Book Antiqua" w:cs="Times New Roman"/>
          <w:sz w:val="24"/>
          <w:szCs w:val="24"/>
          <w:lang w:val="en-US"/>
        </w:rPr>
        <w:t xml:space="preserve">higher in the FOLFIRINOX group (11.0 </w:t>
      </w:r>
      <w:r w:rsidR="009D1BBF" w:rsidRPr="00864BDB">
        <w:rPr>
          <w:rFonts w:ascii="Book Antiqua" w:hAnsi="Book Antiqua" w:cs="Times New Roman"/>
          <w:i/>
          <w:iCs/>
          <w:sz w:val="24"/>
          <w:szCs w:val="24"/>
          <w:lang w:val="en-US"/>
        </w:rPr>
        <w:t>vs</w:t>
      </w:r>
      <w:r w:rsidR="007108DE" w:rsidRPr="002575A7">
        <w:rPr>
          <w:rFonts w:ascii="Book Antiqua" w:hAnsi="Book Antiqua" w:cs="Times New Roman"/>
          <w:sz w:val="24"/>
          <w:szCs w:val="24"/>
          <w:lang w:val="en-US"/>
        </w:rPr>
        <w:t xml:space="preserve"> 7.0 </w:t>
      </w:r>
      <w:r w:rsidR="00CD5CCD">
        <w:rPr>
          <w:rFonts w:ascii="Book Antiqua" w:hAnsi="Book Antiqua" w:cs="Times New Roman"/>
          <w:sz w:val="24"/>
          <w:szCs w:val="24"/>
          <w:lang w:val="en-US"/>
        </w:rPr>
        <w:t>cycles</w:t>
      </w:r>
      <w:r w:rsidR="007108DE" w:rsidRPr="002575A7">
        <w:rPr>
          <w:rFonts w:ascii="Book Antiqua" w:hAnsi="Book Antiqua" w:cs="Times New Roman"/>
          <w:sz w:val="24"/>
          <w:szCs w:val="24"/>
          <w:lang w:val="en-US"/>
        </w:rPr>
        <w:t xml:space="preserve">; </w:t>
      </w:r>
      <w:r w:rsidR="007108DE"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7108DE" w:rsidRPr="002575A7">
        <w:rPr>
          <w:rFonts w:ascii="Book Antiqua" w:hAnsi="Book Antiqua" w:cs="Times New Roman"/>
          <w:sz w:val="24"/>
          <w:szCs w:val="24"/>
          <w:lang w:val="en-US"/>
        </w:rPr>
        <w:t>= 0.</w:t>
      </w:r>
      <w:r w:rsidR="00054691" w:rsidRPr="002575A7">
        <w:rPr>
          <w:rFonts w:ascii="Book Antiqua" w:hAnsi="Book Antiqua" w:cs="Times New Roman"/>
          <w:sz w:val="24"/>
          <w:szCs w:val="24"/>
          <w:lang w:val="en-US"/>
        </w:rPr>
        <w:t>027</w:t>
      </w:r>
      <w:r w:rsidR="007108DE" w:rsidRPr="002575A7">
        <w:rPr>
          <w:rFonts w:ascii="Book Antiqua" w:hAnsi="Book Antiqua" w:cs="Times New Roman"/>
          <w:sz w:val="24"/>
          <w:szCs w:val="24"/>
          <w:lang w:val="en-US"/>
        </w:rPr>
        <w:t xml:space="preserve">). </w:t>
      </w:r>
      <w:r w:rsidR="004B2FAC">
        <w:rPr>
          <w:rFonts w:ascii="Book Antiqua" w:hAnsi="Book Antiqua" w:cs="Times New Roman"/>
          <w:sz w:val="24"/>
          <w:szCs w:val="24"/>
          <w:lang w:val="en-US"/>
        </w:rPr>
        <w:t>M</w:t>
      </w:r>
      <w:r w:rsidR="007108DE" w:rsidRPr="002575A7">
        <w:rPr>
          <w:rFonts w:ascii="Book Antiqua" w:hAnsi="Book Antiqua" w:cs="Times New Roman"/>
          <w:sz w:val="24"/>
          <w:szCs w:val="24"/>
          <w:lang w:val="en-US"/>
        </w:rPr>
        <w:t xml:space="preserve">aintenance chemotherapy was </w:t>
      </w:r>
      <w:r w:rsidR="004A6515">
        <w:rPr>
          <w:rFonts w:ascii="Book Antiqua" w:hAnsi="Book Antiqua" w:cs="Times New Roman"/>
          <w:sz w:val="24"/>
          <w:szCs w:val="24"/>
          <w:lang w:val="en-US"/>
        </w:rPr>
        <w:t>administered in</w:t>
      </w:r>
      <w:r w:rsidR="00E7350C" w:rsidRPr="002575A7">
        <w:rPr>
          <w:rFonts w:ascii="Book Antiqua" w:hAnsi="Book Antiqua" w:cs="Times New Roman"/>
          <w:sz w:val="24"/>
          <w:szCs w:val="24"/>
          <w:lang w:val="en-US"/>
        </w:rPr>
        <w:t xml:space="preserve"> </w:t>
      </w:r>
      <w:r w:rsidR="007108DE" w:rsidRPr="002575A7">
        <w:rPr>
          <w:rFonts w:ascii="Book Antiqua" w:hAnsi="Book Antiqua" w:cs="Times New Roman"/>
          <w:sz w:val="24"/>
          <w:szCs w:val="24"/>
          <w:lang w:val="en-US"/>
        </w:rPr>
        <w:t xml:space="preserve">45.2% of patients in the FOLFIRINOX group and </w:t>
      </w:r>
      <w:r w:rsidR="004A6515">
        <w:rPr>
          <w:rFonts w:ascii="Book Antiqua" w:hAnsi="Book Antiqua" w:cs="Times New Roman"/>
          <w:sz w:val="24"/>
          <w:szCs w:val="24"/>
          <w:lang w:val="en-US"/>
        </w:rPr>
        <w:t xml:space="preserve">in </w:t>
      </w:r>
      <w:r w:rsidR="007108DE" w:rsidRPr="002575A7">
        <w:rPr>
          <w:rFonts w:ascii="Book Antiqua" w:hAnsi="Book Antiqua" w:cs="Times New Roman"/>
          <w:sz w:val="24"/>
          <w:szCs w:val="24"/>
          <w:lang w:val="en-US"/>
        </w:rPr>
        <w:t>37.6% of those in the FOLFOXIRI group</w:t>
      </w:r>
      <w:r w:rsidR="000F74AE" w:rsidRPr="002575A7">
        <w:rPr>
          <w:rFonts w:ascii="Book Antiqua" w:hAnsi="Book Antiqua" w:cs="Times New Roman"/>
          <w:sz w:val="24"/>
          <w:szCs w:val="24"/>
          <w:lang w:val="en-US"/>
        </w:rPr>
        <w:t xml:space="preserve"> (</w:t>
      </w:r>
      <w:r w:rsidR="000F74AE"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0F74AE" w:rsidRPr="002575A7">
        <w:rPr>
          <w:rFonts w:ascii="Book Antiqua" w:hAnsi="Book Antiqua" w:cs="Times New Roman"/>
          <w:sz w:val="24"/>
          <w:szCs w:val="24"/>
          <w:lang w:val="en-US"/>
        </w:rPr>
        <w:t>= 0.194)</w:t>
      </w:r>
      <w:r w:rsidR="007108DE" w:rsidRPr="002575A7">
        <w:rPr>
          <w:rFonts w:ascii="Book Antiqua" w:hAnsi="Book Antiqua" w:cs="Times New Roman"/>
          <w:sz w:val="24"/>
          <w:szCs w:val="24"/>
          <w:lang w:val="en-US"/>
        </w:rPr>
        <w:t xml:space="preserve">. </w:t>
      </w:r>
      <w:r w:rsidR="0005133F" w:rsidRPr="002575A7">
        <w:rPr>
          <w:rFonts w:ascii="Book Antiqua" w:hAnsi="Book Antiqua" w:cs="Times New Roman"/>
          <w:sz w:val="24"/>
          <w:szCs w:val="24"/>
          <w:lang w:val="en-US"/>
        </w:rPr>
        <w:t xml:space="preserve">The </w:t>
      </w:r>
      <w:r w:rsidR="0005133F" w:rsidRPr="002575A7">
        <w:rPr>
          <w:rFonts w:ascii="Book Antiqua" w:hAnsi="Book Antiqua" w:cs="Times New Roman"/>
          <w:sz w:val="24"/>
          <w:szCs w:val="24"/>
          <w:lang w:val="en-US"/>
        </w:rPr>
        <w:lastRenderedPageBreak/>
        <w:t>m</w:t>
      </w:r>
      <w:r w:rsidR="000F74AE" w:rsidRPr="002575A7">
        <w:rPr>
          <w:rFonts w:ascii="Book Antiqua" w:hAnsi="Book Antiqua" w:cs="Times New Roman"/>
          <w:sz w:val="24"/>
          <w:szCs w:val="24"/>
          <w:lang w:val="en-US"/>
        </w:rPr>
        <w:t xml:space="preserve">edian </w:t>
      </w:r>
      <w:r w:rsidR="008F3836" w:rsidRPr="002575A7">
        <w:rPr>
          <w:rFonts w:ascii="Book Antiqua" w:hAnsi="Book Antiqua" w:cs="Times New Roman"/>
          <w:sz w:val="24"/>
          <w:szCs w:val="24"/>
          <w:lang w:val="en-US"/>
        </w:rPr>
        <w:t>maintenance time was 2.8 mo (</w:t>
      </w:r>
      <w:r w:rsidR="00B60AE3">
        <w:rPr>
          <w:rFonts w:ascii="Book Antiqua" w:hAnsi="Book Antiqua" w:cs="Times New Roman"/>
          <w:sz w:val="24"/>
          <w:szCs w:val="24"/>
          <w:lang w:val="en-US"/>
        </w:rPr>
        <w:t>95%CI:</w:t>
      </w:r>
      <w:r w:rsidR="008F3836" w:rsidRPr="002575A7">
        <w:rPr>
          <w:rFonts w:ascii="Book Antiqua" w:hAnsi="Book Antiqua" w:cs="Times New Roman"/>
          <w:sz w:val="24"/>
          <w:szCs w:val="24"/>
          <w:lang w:val="en-US"/>
        </w:rPr>
        <w:t xml:space="preserve"> 1.0</w:t>
      </w:r>
      <w:r w:rsidR="00B60AE3">
        <w:rPr>
          <w:rFonts w:ascii="Book Antiqua" w:hAnsi="Book Antiqua" w:cs="Times New Roman"/>
          <w:sz w:val="24"/>
          <w:szCs w:val="24"/>
          <w:lang w:val="en-US"/>
        </w:rPr>
        <w:t>-</w:t>
      </w:r>
      <w:r w:rsidR="008F3836" w:rsidRPr="002575A7">
        <w:rPr>
          <w:rFonts w:ascii="Book Antiqua" w:hAnsi="Book Antiqua" w:cs="Times New Roman"/>
          <w:sz w:val="24"/>
          <w:szCs w:val="24"/>
          <w:lang w:val="en-US"/>
        </w:rPr>
        <w:t xml:space="preserve">4.4) in the FOLFIRINOX group </w:t>
      </w:r>
      <w:r w:rsidR="009D1BBF" w:rsidRPr="00864BDB">
        <w:rPr>
          <w:rFonts w:ascii="Book Antiqua" w:hAnsi="Book Antiqua" w:cs="Times New Roman"/>
          <w:i/>
          <w:iCs/>
          <w:sz w:val="24"/>
          <w:szCs w:val="24"/>
          <w:lang w:val="en-US"/>
        </w:rPr>
        <w:t>vs</w:t>
      </w:r>
      <w:r w:rsidR="008F3836" w:rsidRPr="002575A7">
        <w:rPr>
          <w:rFonts w:ascii="Book Antiqua" w:hAnsi="Book Antiqua" w:cs="Times New Roman"/>
          <w:sz w:val="24"/>
          <w:szCs w:val="24"/>
          <w:lang w:val="en-US"/>
        </w:rPr>
        <w:t xml:space="preserve"> 2.7 mo (</w:t>
      </w:r>
      <w:r w:rsidR="00B60AE3">
        <w:rPr>
          <w:rFonts w:ascii="Book Antiqua" w:hAnsi="Book Antiqua" w:cs="Times New Roman"/>
          <w:sz w:val="24"/>
          <w:szCs w:val="24"/>
          <w:lang w:val="en-US"/>
        </w:rPr>
        <w:t>95%CI:</w:t>
      </w:r>
      <w:r w:rsidR="008F3836" w:rsidRPr="002575A7">
        <w:rPr>
          <w:rFonts w:ascii="Book Antiqua" w:hAnsi="Book Antiqua" w:cs="Times New Roman"/>
          <w:sz w:val="24"/>
          <w:szCs w:val="24"/>
          <w:lang w:val="en-US"/>
        </w:rPr>
        <w:t xml:space="preserve"> 1.9</w:t>
      </w:r>
      <w:r w:rsidR="00B60AE3">
        <w:rPr>
          <w:rFonts w:ascii="Book Antiqua" w:hAnsi="Book Antiqua" w:cs="Times New Roman"/>
          <w:sz w:val="24"/>
          <w:szCs w:val="24"/>
          <w:lang w:val="en-US"/>
        </w:rPr>
        <w:t>-</w:t>
      </w:r>
      <w:r w:rsidR="008F3836" w:rsidRPr="002575A7">
        <w:rPr>
          <w:rFonts w:ascii="Book Antiqua" w:hAnsi="Book Antiqua" w:cs="Times New Roman"/>
          <w:sz w:val="24"/>
          <w:szCs w:val="24"/>
          <w:lang w:val="en-US"/>
        </w:rPr>
        <w:t xml:space="preserve">5.8) </w:t>
      </w:r>
      <w:r w:rsidR="004A6515" w:rsidRPr="002575A7">
        <w:rPr>
          <w:rFonts w:ascii="Book Antiqua" w:hAnsi="Book Antiqua" w:cs="Times New Roman"/>
          <w:sz w:val="24"/>
          <w:szCs w:val="24"/>
          <w:lang w:val="en-US"/>
        </w:rPr>
        <w:t xml:space="preserve">in the FOLFOXIRI group </w:t>
      </w:r>
      <w:r w:rsidR="008F3836" w:rsidRPr="002575A7">
        <w:rPr>
          <w:rFonts w:ascii="Book Antiqua" w:hAnsi="Book Antiqua" w:cs="Times New Roman"/>
          <w:sz w:val="24"/>
          <w:szCs w:val="24"/>
          <w:lang w:val="en-US"/>
        </w:rPr>
        <w:t>(</w:t>
      </w:r>
      <w:r w:rsidR="008F3836"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8F3836" w:rsidRPr="002575A7">
        <w:rPr>
          <w:rFonts w:ascii="Book Antiqua" w:hAnsi="Book Antiqua" w:cs="Times New Roman"/>
          <w:sz w:val="24"/>
          <w:szCs w:val="24"/>
          <w:lang w:val="en-US"/>
        </w:rPr>
        <w:t xml:space="preserve">= 0.421). </w:t>
      </w:r>
      <w:r w:rsidR="007108DE" w:rsidRPr="002575A7">
        <w:rPr>
          <w:rFonts w:ascii="Book Antiqua" w:hAnsi="Book Antiqua" w:cs="Times New Roman"/>
          <w:sz w:val="24"/>
          <w:szCs w:val="24"/>
          <w:lang w:val="en-US"/>
        </w:rPr>
        <w:t xml:space="preserve">Second-line chemotherapy was administered </w:t>
      </w:r>
      <w:r w:rsidR="00E7350C" w:rsidRPr="002575A7">
        <w:rPr>
          <w:rFonts w:ascii="Book Antiqua" w:hAnsi="Book Antiqua" w:cs="Times New Roman"/>
          <w:sz w:val="24"/>
          <w:szCs w:val="24"/>
          <w:lang w:val="en-US"/>
        </w:rPr>
        <w:t xml:space="preserve">to </w:t>
      </w:r>
      <w:r w:rsidR="007108DE" w:rsidRPr="002575A7">
        <w:rPr>
          <w:rFonts w:ascii="Book Antiqua" w:hAnsi="Book Antiqua" w:cs="Times New Roman"/>
          <w:sz w:val="24"/>
          <w:szCs w:val="24"/>
          <w:lang w:val="en-US"/>
        </w:rPr>
        <w:t>91 (73.4%) patients in the FOLFIRINOX group and 117 (70.9%) patients in the FOLFOXIRI group (</w:t>
      </w:r>
      <w:r w:rsidR="007108DE"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7108DE" w:rsidRPr="002575A7">
        <w:rPr>
          <w:rFonts w:ascii="Book Antiqua" w:hAnsi="Book Antiqua" w:cs="Times New Roman"/>
          <w:sz w:val="24"/>
          <w:szCs w:val="24"/>
          <w:lang w:val="en-US"/>
        </w:rPr>
        <w:t>=</w:t>
      </w:r>
      <w:r w:rsidR="00054691" w:rsidRPr="002575A7">
        <w:rPr>
          <w:rFonts w:ascii="Book Antiqua" w:hAnsi="Book Antiqua" w:cs="Times New Roman"/>
          <w:sz w:val="24"/>
          <w:szCs w:val="24"/>
          <w:lang w:val="en-US"/>
        </w:rPr>
        <w:t xml:space="preserve"> 0.643</w:t>
      </w:r>
      <w:r w:rsidR="007108DE" w:rsidRPr="002575A7">
        <w:rPr>
          <w:rFonts w:ascii="Book Antiqua" w:hAnsi="Book Antiqua" w:cs="Times New Roman"/>
          <w:sz w:val="24"/>
          <w:szCs w:val="24"/>
          <w:lang w:val="en-US"/>
        </w:rPr>
        <w:t>).</w:t>
      </w:r>
      <w:r w:rsidR="00AC7A92" w:rsidRPr="002575A7">
        <w:rPr>
          <w:rFonts w:ascii="Book Antiqua" w:hAnsi="Book Antiqua" w:cs="Times New Roman"/>
          <w:sz w:val="24"/>
          <w:szCs w:val="24"/>
          <w:lang w:val="en-US"/>
        </w:rPr>
        <w:t xml:space="preserve"> </w:t>
      </w:r>
      <w:r w:rsidR="008F7D65" w:rsidRPr="002575A7">
        <w:rPr>
          <w:rFonts w:ascii="Book Antiqua" w:hAnsi="Book Antiqua" w:cs="Times New Roman"/>
          <w:sz w:val="24"/>
          <w:szCs w:val="24"/>
          <w:lang w:val="en-US"/>
        </w:rPr>
        <w:t xml:space="preserve">No treatment-related deaths were observed. </w:t>
      </w:r>
      <w:r w:rsidR="007D2B3A" w:rsidRPr="002575A7">
        <w:rPr>
          <w:rFonts w:ascii="Book Antiqua" w:hAnsi="Book Antiqua" w:cs="Times New Roman"/>
          <w:sz w:val="24"/>
          <w:szCs w:val="24"/>
          <w:lang w:val="en-US"/>
        </w:rPr>
        <w:t>G</w:t>
      </w:r>
      <w:r w:rsidR="007108DE" w:rsidRPr="002575A7">
        <w:rPr>
          <w:rFonts w:ascii="Book Antiqua" w:hAnsi="Book Antiqua" w:cs="Times New Roman"/>
          <w:sz w:val="24"/>
          <w:szCs w:val="24"/>
          <w:lang w:val="en-US"/>
        </w:rPr>
        <w:t xml:space="preserve">rade 3 or 4 toxicities </w:t>
      </w:r>
      <w:r w:rsidR="00E7350C" w:rsidRPr="002575A7">
        <w:rPr>
          <w:rFonts w:ascii="Book Antiqua" w:hAnsi="Book Antiqua" w:cs="Times New Roman"/>
          <w:sz w:val="24"/>
          <w:szCs w:val="24"/>
          <w:lang w:val="en-US"/>
        </w:rPr>
        <w:t>occurred</w:t>
      </w:r>
      <w:r w:rsidR="004511A0" w:rsidRPr="002575A7">
        <w:rPr>
          <w:rFonts w:ascii="Book Antiqua" w:hAnsi="Book Antiqua" w:cs="Times New Roman"/>
          <w:sz w:val="24"/>
          <w:szCs w:val="24"/>
          <w:lang w:val="en-US"/>
        </w:rPr>
        <w:t xml:space="preserve"> </w:t>
      </w:r>
      <w:r w:rsidR="00AC7A92" w:rsidRPr="002575A7">
        <w:rPr>
          <w:rFonts w:ascii="Book Antiqua" w:hAnsi="Book Antiqua" w:cs="Times New Roman"/>
          <w:sz w:val="24"/>
          <w:szCs w:val="24"/>
          <w:lang w:val="en-US"/>
        </w:rPr>
        <w:t>in 19.5</w:t>
      </w:r>
      <w:r w:rsidR="007108DE" w:rsidRPr="002575A7">
        <w:rPr>
          <w:rFonts w:ascii="Book Antiqua" w:hAnsi="Book Antiqua" w:cs="Times New Roman"/>
          <w:sz w:val="24"/>
          <w:szCs w:val="24"/>
          <w:lang w:val="en-US"/>
        </w:rPr>
        <w:t>% of patient</w:t>
      </w:r>
      <w:r w:rsidR="00AC7A92" w:rsidRPr="002575A7">
        <w:rPr>
          <w:rFonts w:ascii="Book Antiqua" w:hAnsi="Book Antiqua" w:cs="Times New Roman"/>
          <w:sz w:val="24"/>
          <w:szCs w:val="24"/>
          <w:lang w:val="en-US"/>
        </w:rPr>
        <w:t xml:space="preserve">s in </w:t>
      </w:r>
      <w:r w:rsidR="002C1EDE" w:rsidRPr="002575A7">
        <w:rPr>
          <w:rFonts w:ascii="Book Antiqua" w:hAnsi="Book Antiqua" w:cs="Times New Roman"/>
          <w:sz w:val="24"/>
          <w:szCs w:val="24"/>
          <w:lang w:val="en-US"/>
        </w:rPr>
        <w:t xml:space="preserve">the </w:t>
      </w:r>
      <w:r w:rsidR="00AC7A92" w:rsidRPr="002575A7">
        <w:rPr>
          <w:rFonts w:ascii="Book Antiqua" w:hAnsi="Book Antiqua" w:cs="Times New Roman"/>
          <w:sz w:val="24"/>
          <w:szCs w:val="24"/>
          <w:lang w:val="en-US"/>
        </w:rPr>
        <w:t xml:space="preserve">FOLFIRINOX group </w:t>
      </w:r>
      <w:r w:rsidR="00E7350C" w:rsidRPr="002575A7">
        <w:rPr>
          <w:rFonts w:ascii="Book Antiqua" w:hAnsi="Book Antiqua" w:cs="Times New Roman"/>
          <w:sz w:val="24"/>
          <w:szCs w:val="24"/>
          <w:lang w:val="en-US"/>
        </w:rPr>
        <w:t xml:space="preserve">as compared with </w:t>
      </w:r>
      <w:r w:rsidR="00AC7A92" w:rsidRPr="002575A7">
        <w:rPr>
          <w:rFonts w:ascii="Book Antiqua" w:hAnsi="Book Antiqua" w:cs="Times New Roman"/>
          <w:sz w:val="24"/>
          <w:szCs w:val="24"/>
          <w:lang w:val="en-US"/>
        </w:rPr>
        <w:t>28.7</w:t>
      </w:r>
      <w:r w:rsidR="007108DE" w:rsidRPr="002575A7">
        <w:rPr>
          <w:rFonts w:ascii="Book Antiqua" w:hAnsi="Book Antiqua" w:cs="Times New Roman"/>
          <w:sz w:val="24"/>
          <w:szCs w:val="24"/>
          <w:lang w:val="en-US"/>
        </w:rPr>
        <w:t xml:space="preserve">% in </w:t>
      </w:r>
      <w:r w:rsidR="004B2FAC">
        <w:rPr>
          <w:rFonts w:ascii="Book Antiqua" w:hAnsi="Book Antiqua" w:cs="Times New Roman"/>
          <w:sz w:val="24"/>
          <w:szCs w:val="24"/>
          <w:lang w:val="en-US"/>
        </w:rPr>
        <w:t xml:space="preserve">the </w:t>
      </w:r>
      <w:r w:rsidR="00AC7A92" w:rsidRPr="002575A7">
        <w:rPr>
          <w:rFonts w:ascii="Book Antiqua" w:hAnsi="Book Antiqua" w:cs="Times New Roman"/>
          <w:sz w:val="24"/>
          <w:szCs w:val="24"/>
          <w:lang w:val="en-US"/>
        </w:rPr>
        <w:t>FOLFOXIRI</w:t>
      </w:r>
      <w:r w:rsidR="007108DE" w:rsidRPr="002575A7">
        <w:rPr>
          <w:rFonts w:ascii="Book Antiqua" w:hAnsi="Book Antiqua" w:cs="Times New Roman"/>
          <w:sz w:val="24"/>
          <w:szCs w:val="24"/>
          <w:lang w:val="en-US"/>
        </w:rPr>
        <w:t xml:space="preserve"> group</w:t>
      </w:r>
      <w:r w:rsidR="00E7350C" w:rsidRPr="002575A7">
        <w:rPr>
          <w:rFonts w:ascii="Book Antiqua" w:hAnsi="Book Antiqua" w:cs="Times New Roman"/>
          <w:sz w:val="24"/>
          <w:szCs w:val="24"/>
          <w:lang w:val="en-US"/>
        </w:rPr>
        <w:t xml:space="preserve">, </w:t>
      </w:r>
      <w:r w:rsidR="00E7350C" w:rsidRPr="002575A7">
        <w:rPr>
          <w:rStyle w:val="Aucun"/>
          <w:rFonts w:ascii="Book Antiqua" w:hAnsi="Book Antiqua"/>
          <w:sz w:val="24"/>
          <w:szCs w:val="24"/>
          <w:lang w:val="en-US"/>
        </w:rPr>
        <w:t>but this difference did</w:t>
      </w:r>
      <w:r w:rsidR="00C8067B">
        <w:rPr>
          <w:rStyle w:val="Aucun"/>
          <w:rFonts w:ascii="Book Antiqua" w:hAnsi="Book Antiqua"/>
          <w:sz w:val="24"/>
          <w:szCs w:val="24"/>
          <w:lang w:val="en-US"/>
        </w:rPr>
        <w:t xml:space="preserve"> </w:t>
      </w:r>
      <w:r w:rsidR="00E7350C" w:rsidRPr="002575A7">
        <w:rPr>
          <w:rStyle w:val="Aucun"/>
          <w:rFonts w:ascii="Book Antiqua" w:hAnsi="Book Antiqua"/>
          <w:sz w:val="24"/>
          <w:szCs w:val="24"/>
          <w:lang w:val="en-US"/>
        </w:rPr>
        <w:t>n</w:t>
      </w:r>
      <w:r w:rsidR="00C8067B">
        <w:rPr>
          <w:rStyle w:val="Aucun"/>
          <w:rFonts w:ascii="Book Antiqua" w:hAnsi="Book Antiqua"/>
          <w:sz w:val="24"/>
          <w:szCs w:val="24"/>
          <w:lang w:val="en-US"/>
        </w:rPr>
        <w:t>o</w:t>
      </w:r>
      <w:r w:rsidR="00E7350C" w:rsidRPr="002575A7">
        <w:rPr>
          <w:rStyle w:val="Aucun"/>
          <w:rFonts w:ascii="Book Antiqua" w:hAnsi="Book Antiqua"/>
          <w:sz w:val="24"/>
          <w:szCs w:val="24"/>
          <w:lang w:val="en-US"/>
        </w:rPr>
        <w:t xml:space="preserve">t reach </w:t>
      </w:r>
      <w:r w:rsidR="004A6515">
        <w:rPr>
          <w:rStyle w:val="Aucun"/>
          <w:rFonts w:ascii="Book Antiqua" w:hAnsi="Book Antiqua"/>
          <w:sz w:val="24"/>
          <w:szCs w:val="24"/>
          <w:lang w:val="en-US"/>
        </w:rPr>
        <w:t xml:space="preserve">statistical </w:t>
      </w:r>
      <w:r w:rsidR="00E7350C" w:rsidRPr="002575A7">
        <w:rPr>
          <w:rStyle w:val="Aucun"/>
          <w:rFonts w:ascii="Book Antiqua" w:hAnsi="Book Antiqua"/>
          <w:sz w:val="24"/>
          <w:szCs w:val="24"/>
          <w:lang w:val="en-US"/>
        </w:rPr>
        <w:t>significance</w:t>
      </w:r>
      <w:r w:rsidR="007108DE" w:rsidRPr="002575A7">
        <w:rPr>
          <w:rFonts w:ascii="Book Antiqua" w:hAnsi="Book Antiqua" w:cs="Times New Roman"/>
          <w:sz w:val="24"/>
          <w:szCs w:val="24"/>
          <w:lang w:val="en-US"/>
        </w:rPr>
        <w:t xml:space="preserve"> (</w:t>
      </w:r>
      <w:r w:rsidR="007108DE"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7108DE" w:rsidRPr="002575A7">
        <w:rPr>
          <w:rFonts w:ascii="Book Antiqua" w:hAnsi="Book Antiqua" w:cs="Times New Roman"/>
          <w:sz w:val="24"/>
          <w:szCs w:val="24"/>
          <w:lang w:val="en-US"/>
        </w:rPr>
        <w:t>=</w:t>
      </w:r>
      <w:r w:rsidR="00AC7A92" w:rsidRPr="002575A7">
        <w:rPr>
          <w:rFonts w:ascii="Book Antiqua" w:hAnsi="Book Antiqua" w:cs="Times New Roman"/>
          <w:sz w:val="24"/>
          <w:szCs w:val="24"/>
          <w:lang w:val="en-US"/>
        </w:rPr>
        <w:t xml:space="preserve"> 0.07</w:t>
      </w:r>
      <w:r w:rsidR="00054691" w:rsidRPr="002575A7">
        <w:rPr>
          <w:rFonts w:ascii="Book Antiqua" w:hAnsi="Book Antiqua" w:cs="Times New Roman"/>
          <w:sz w:val="24"/>
          <w:szCs w:val="24"/>
          <w:lang w:val="en-US"/>
        </w:rPr>
        <w:t>9</w:t>
      </w:r>
      <w:r w:rsidR="007108DE" w:rsidRPr="002575A7">
        <w:rPr>
          <w:rFonts w:ascii="Book Antiqua" w:hAnsi="Book Antiqua" w:cs="Times New Roman"/>
          <w:sz w:val="24"/>
          <w:szCs w:val="24"/>
          <w:lang w:val="en-US"/>
        </w:rPr>
        <w:t>)</w:t>
      </w:r>
      <w:r w:rsidR="00AC7A92" w:rsidRPr="002575A7">
        <w:rPr>
          <w:rFonts w:ascii="Book Antiqua" w:hAnsi="Book Antiqua" w:cs="Times New Roman"/>
          <w:sz w:val="24"/>
          <w:szCs w:val="24"/>
          <w:lang w:val="en-US"/>
        </w:rPr>
        <w:t>.</w:t>
      </w:r>
      <w:r w:rsidR="00440112" w:rsidRPr="002575A7">
        <w:rPr>
          <w:rFonts w:ascii="Book Antiqua" w:hAnsi="Book Antiqua" w:cs="Times New Roman"/>
          <w:sz w:val="24"/>
          <w:szCs w:val="24"/>
          <w:lang w:val="en-US"/>
        </w:rPr>
        <w:t xml:space="preserve"> </w:t>
      </w:r>
      <w:r w:rsidR="00B976D8" w:rsidRPr="002575A7">
        <w:rPr>
          <w:rFonts w:ascii="Book Antiqua" w:hAnsi="Book Antiqua" w:cs="Times New Roman"/>
          <w:sz w:val="24"/>
          <w:szCs w:val="24"/>
          <w:lang w:val="en-US"/>
        </w:rPr>
        <w:t xml:space="preserve">In </w:t>
      </w:r>
      <w:r w:rsidR="00E7350C" w:rsidRPr="002575A7">
        <w:rPr>
          <w:rFonts w:ascii="Book Antiqua" w:hAnsi="Book Antiqua" w:cs="Times New Roman"/>
          <w:sz w:val="24"/>
          <w:szCs w:val="24"/>
          <w:lang w:val="en-US"/>
        </w:rPr>
        <w:t xml:space="preserve">the </w:t>
      </w:r>
      <w:r w:rsidR="00B976D8" w:rsidRPr="002575A7">
        <w:rPr>
          <w:rFonts w:ascii="Book Antiqua" w:hAnsi="Book Antiqua" w:cs="Times New Roman"/>
          <w:sz w:val="24"/>
          <w:szCs w:val="24"/>
          <w:lang w:val="en-US"/>
        </w:rPr>
        <w:t xml:space="preserve">FOLFOXIRI group, grade 3 or 4 </w:t>
      </w:r>
      <w:r w:rsidR="00191822" w:rsidRPr="002575A7">
        <w:rPr>
          <w:rFonts w:ascii="Book Antiqua" w:hAnsi="Book Antiqua" w:cs="Times New Roman"/>
          <w:sz w:val="24"/>
          <w:szCs w:val="24"/>
          <w:lang w:val="en-US"/>
        </w:rPr>
        <w:t>hematological</w:t>
      </w:r>
      <w:r w:rsidR="00B976D8" w:rsidRPr="002575A7">
        <w:rPr>
          <w:rFonts w:ascii="Book Antiqua" w:hAnsi="Book Antiqua" w:cs="Times New Roman"/>
          <w:sz w:val="24"/>
          <w:szCs w:val="24"/>
          <w:lang w:val="en-US"/>
        </w:rPr>
        <w:t xml:space="preserve"> adverse events </w:t>
      </w:r>
      <w:r w:rsidR="00C8067B">
        <w:rPr>
          <w:rFonts w:ascii="Book Antiqua" w:hAnsi="Book Antiqua" w:cs="Times New Roman"/>
          <w:sz w:val="24"/>
          <w:szCs w:val="24"/>
          <w:lang w:val="en-US"/>
        </w:rPr>
        <w:t>of</w:t>
      </w:r>
      <w:r w:rsidR="00C8067B" w:rsidRPr="002575A7">
        <w:rPr>
          <w:rFonts w:ascii="Book Antiqua" w:hAnsi="Book Antiqua" w:cs="Times New Roman"/>
          <w:sz w:val="24"/>
          <w:szCs w:val="24"/>
          <w:lang w:val="en-US"/>
        </w:rPr>
        <w:t xml:space="preserve"> </w:t>
      </w:r>
      <w:r w:rsidR="00B976D8" w:rsidRPr="002575A7">
        <w:rPr>
          <w:rFonts w:ascii="Book Antiqua" w:hAnsi="Book Antiqua" w:cs="Times New Roman"/>
          <w:sz w:val="24"/>
          <w:szCs w:val="24"/>
          <w:lang w:val="en-US"/>
        </w:rPr>
        <w:t>any type</w:t>
      </w:r>
      <w:r w:rsidR="004511A0" w:rsidRPr="002575A7">
        <w:rPr>
          <w:rFonts w:ascii="Book Antiqua" w:hAnsi="Book Antiqua" w:cs="Times New Roman"/>
          <w:sz w:val="24"/>
          <w:szCs w:val="24"/>
          <w:lang w:val="en-US"/>
        </w:rPr>
        <w:t xml:space="preserve"> were observed</w:t>
      </w:r>
      <w:r w:rsidR="00C8067B">
        <w:rPr>
          <w:rFonts w:ascii="Book Antiqua" w:hAnsi="Book Antiqua" w:cs="Times New Roman"/>
          <w:sz w:val="24"/>
          <w:szCs w:val="24"/>
          <w:lang w:val="en-US"/>
        </w:rPr>
        <w:t xml:space="preserve"> in 3.1%</w:t>
      </w:r>
      <w:r w:rsidR="004A6515">
        <w:rPr>
          <w:rFonts w:ascii="Book Antiqua" w:hAnsi="Book Antiqua" w:cs="Times New Roman"/>
          <w:sz w:val="24"/>
          <w:szCs w:val="24"/>
          <w:lang w:val="en-US"/>
        </w:rPr>
        <w:t xml:space="preserve"> of patients</w:t>
      </w:r>
      <w:r w:rsidR="00B976D8" w:rsidRPr="002575A7">
        <w:rPr>
          <w:rFonts w:ascii="Book Antiqua" w:hAnsi="Book Antiqua" w:cs="Times New Roman"/>
          <w:sz w:val="24"/>
          <w:szCs w:val="24"/>
          <w:lang w:val="en-US"/>
        </w:rPr>
        <w:t xml:space="preserve">. </w:t>
      </w:r>
      <w:r w:rsidR="00440112" w:rsidRPr="002575A7">
        <w:rPr>
          <w:rFonts w:ascii="Book Antiqua" w:hAnsi="Book Antiqua" w:cs="Times New Roman"/>
          <w:sz w:val="24"/>
          <w:szCs w:val="24"/>
          <w:lang w:val="en-US"/>
        </w:rPr>
        <w:t>FOLFOXIRI was associated with a higher incidence of grade 3 or 4 digestive adverse events</w:t>
      </w:r>
      <w:r w:rsidR="004511A0" w:rsidRPr="002575A7">
        <w:rPr>
          <w:rFonts w:ascii="Book Antiqua" w:hAnsi="Book Antiqua" w:cs="Times New Roman"/>
          <w:sz w:val="24"/>
          <w:szCs w:val="24"/>
          <w:lang w:val="en-US"/>
        </w:rPr>
        <w:t xml:space="preserve"> as</w:t>
      </w:r>
      <w:r w:rsidR="00440112" w:rsidRPr="002575A7">
        <w:rPr>
          <w:rFonts w:ascii="Book Antiqua" w:hAnsi="Book Antiqua" w:cs="Times New Roman"/>
          <w:sz w:val="24"/>
          <w:szCs w:val="24"/>
          <w:lang w:val="en-US"/>
        </w:rPr>
        <w:t xml:space="preserve"> compared to </w:t>
      </w:r>
      <w:r w:rsidR="004B2FAC">
        <w:rPr>
          <w:rFonts w:ascii="Book Antiqua" w:hAnsi="Book Antiqua" w:cs="Times New Roman"/>
          <w:sz w:val="24"/>
          <w:szCs w:val="24"/>
          <w:lang w:val="en-US"/>
        </w:rPr>
        <w:t xml:space="preserve">the </w:t>
      </w:r>
      <w:r w:rsidR="00440112" w:rsidRPr="002575A7">
        <w:rPr>
          <w:rFonts w:ascii="Book Antiqua" w:hAnsi="Book Antiqua" w:cs="Times New Roman"/>
          <w:sz w:val="24"/>
          <w:szCs w:val="24"/>
          <w:lang w:val="en-US"/>
        </w:rPr>
        <w:t xml:space="preserve">FOLFIRINOX group (12.8% </w:t>
      </w:r>
      <w:r w:rsidR="009D1BBF" w:rsidRPr="00864BDB">
        <w:rPr>
          <w:rFonts w:ascii="Book Antiqua" w:hAnsi="Book Antiqua" w:cs="Times New Roman"/>
          <w:i/>
          <w:iCs/>
          <w:sz w:val="24"/>
          <w:szCs w:val="24"/>
          <w:lang w:val="en-US"/>
        </w:rPr>
        <w:t>vs</w:t>
      </w:r>
      <w:r w:rsidR="00440112" w:rsidRPr="002575A7">
        <w:rPr>
          <w:rFonts w:ascii="Book Antiqua" w:hAnsi="Book Antiqua" w:cs="Times New Roman"/>
          <w:sz w:val="24"/>
          <w:szCs w:val="24"/>
          <w:lang w:val="en-US"/>
        </w:rPr>
        <w:t xml:space="preserve"> 4.2%, respectively).</w:t>
      </w:r>
      <w:r w:rsidR="00B976D8" w:rsidRPr="002575A7">
        <w:rPr>
          <w:rFonts w:ascii="Book Antiqua" w:hAnsi="Book Antiqua" w:cs="Times New Roman"/>
          <w:sz w:val="24"/>
          <w:szCs w:val="24"/>
          <w:lang w:val="en-US"/>
        </w:rPr>
        <w:t xml:space="preserve"> </w:t>
      </w:r>
    </w:p>
    <w:p w14:paraId="56664CD7" w14:textId="77777777" w:rsidR="00EC33E7" w:rsidRPr="002575A7" w:rsidRDefault="00EC33E7" w:rsidP="00864BDB">
      <w:pPr>
        <w:snapToGrid w:val="0"/>
        <w:spacing w:after="0" w:line="360" w:lineRule="auto"/>
        <w:jc w:val="both"/>
        <w:rPr>
          <w:rFonts w:ascii="Book Antiqua" w:eastAsia="Times New Roman" w:hAnsi="Book Antiqua" w:cs="Times New Roman"/>
          <w:b/>
          <w:bCs/>
          <w:color w:val="000000"/>
          <w:sz w:val="24"/>
          <w:szCs w:val="24"/>
          <w:lang w:val="en-US" w:eastAsia="fr-FR"/>
        </w:rPr>
      </w:pPr>
    </w:p>
    <w:p w14:paraId="2D9EC759" w14:textId="46E4E2A9" w:rsidR="00230401" w:rsidRPr="002575A7" w:rsidRDefault="00230401"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Propensity score approach</w:t>
      </w:r>
    </w:p>
    <w:p w14:paraId="56A302D1" w14:textId="104B63A1" w:rsidR="00230401" w:rsidRPr="002575A7" w:rsidRDefault="00FE4FD4"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P</w:t>
      </w:r>
      <w:r w:rsidR="00230401" w:rsidRPr="002575A7">
        <w:rPr>
          <w:rFonts w:ascii="Book Antiqua" w:hAnsi="Book Antiqua" w:cs="Times New Roman"/>
          <w:sz w:val="24"/>
          <w:szCs w:val="24"/>
          <w:lang w:val="en-US"/>
        </w:rPr>
        <w:t xml:space="preserve">otential biases identified during </w:t>
      </w:r>
      <w:r w:rsidR="004B2FAC">
        <w:rPr>
          <w:rFonts w:ascii="Book Antiqua" w:hAnsi="Book Antiqua" w:cs="Times New Roman"/>
          <w:sz w:val="24"/>
          <w:szCs w:val="24"/>
          <w:lang w:val="en-US"/>
        </w:rPr>
        <w:t xml:space="preserve">the </w:t>
      </w:r>
      <w:r w:rsidR="00230401" w:rsidRPr="002575A7">
        <w:rPr>
          <w:rFonts w:ascii="Book Antiqua" w:hAnsi="Book Antiqua" w:cs="Times New Roman"/>
          <w:sz w:val="24"/>
          <w:szCs w:val="24"/>
          <w:lang w:val="en-US"/>
        </w:rPr>
        <w:t xml:space="preserve">description of the total cohort were minimized by </w:t>
      </w:r>
      <w:r w:rsidR="00CA30C2" w:rsidRPr="002575A7">
        <w:rPr>
          <w:rFonts w:ascii="Book Antiqua" w:hAnsi="Book Antiqua" w:cs="Times New Roman"/>
          <w:sz w:val="24"/>
          <w:szCs w:val="24"/>
          <w:lang w:val="en-US"/>
        </w:rPr>
        <w:t xml:space="preserve">the use of </w:t>
      </w:r>
      <w:r w:rsidR="00230401" w:rsidRPr="002575A7">
        <w:rPr>
          <w:rFonts w:ascii="Book Antiqua" w:hAnsi="Book Antiqua" w:cs="Times New Roman"/>
          <w:sz w:val="24"/>
          <w:szCs w:val="24"/>
          <w:lang w:val="en-US"/>
        </w:rPr>
        <w:t>a propensity score estimated by an unconditional multivariable logistic regression model</w:t>
      </w:r>
      <w:r w:rsidR="0080500A" w:rsidRPr="002575A7">
        <w:rPr>
          <w:rFonts w:ascii="Book Antiqua" w:hAnsi="Book Antiqua" w:cs="Times New Roman"/>
          <w:sz w:val="24"/>
          <w:szCs w:val="24"/>
          <w:lang w:val="en-US"/>
        </w:rPr>
        <w:t xml:space="preserve">. </w:t>
      </w:r>
      <w:r w:rsidR="00CA30C2" w:rsidRPr="002575A7">
        <w:rPr>
          <w:rFonts w:ascii="Book Antiqua" w:hAnsi="Book Antiqua" w:cs="Times New Roman"/>
          <w:sz w:val="24"/>
          <w:szCs w:val="24"/>
          <w:lang w:val="en-US"/>
        </w:rPr>
        <w:t>H</w:t>
      </w:r>
      <w:r w:rsidR="0080500A" w:rsidRPr="002575A7">
        <w:rPr>
          <w:rFonts w:ascii="Book Antiqua" w:hAnsi="Book Antiqua" w:cs="Times New Roman"/>
          <w:sz w:val="24"/>
          <w:szCs w:val="24"/>
          <w:lang w:val="en-US"/>
        </w:rPr>
        <w:t xml:space="preserve">istological grade and albumin level were not selected in the propensity score process </w:t>
      </w:r>
      <w:r w:rsidR="004A6515">
        <w:rPr>
          <w:rFonts w:ascii="Book Antiqua" w:hAnsi="Book Antiqua" w:cs="Times New Roman"/>
          <w:sz w:val="24"/>
          <w:szCs w:val="24"/>
          <w:lang w:val="en-US"/>
        </w:rPr>
        <w:t>due to</w:t>
      </w:r>
      <w:r w:rsidR="0080500A" w:rsidRPr="002575A7">
        <w:rPr>
          <w:rFonts w:ascii="Book Antiqua" w:hAnsi="Book Antiqua" w:cs="Times New Roman"/>
          <w:sz w:val="24"/>
          <w:szCs w:val="24"/>
          <w:lang w:val="en-US"/>
        </w:rPr>
        <w:t xml:space="preserve"> </w:t>
      </w:r>
      <w:r w:rsidR="00CA30C2" w:rsidRPr="002575A7">
        <w:rPr>
          <w:rFonts w:ascii="Book Antiqua" w:hAnsi="Book Antiqua" w:cs="Times New Roman"/>
          <w:sz w:val="24"/>
          <w:szCs w:val="24"/>
          <w:lang w:val="en-US"/>
        </w:rPr>
        <w:t>the</w:t>
      </w:r>
      <w:r w:rsidR="0080500A" w:rsidRPr="002575A7">
        <w:rPr>
          <w:rFonts w:ascii="Book Antiqua" w:hAnsi="Book Antiqua" w:cs="Times New Roman"/>
          <w:sz w:val="24"/>
          <w:szCs w:val="24"/>
          <w:lang w:val="en-US"/>
        </w:rPr>
        <w:t xml:space="preserve"> high rate of missing data (</w:t>
      </w:r>
      <w:r w:rsidR="001D3996" w:rsidRPr="002575A7">
        <w:rPr>
          <w:rFonts w:ascii="Book Antiqua" w:hAnsi="Book Antiqua" w:cs="Times New Roman"/>
          <w:sz w:val="24"/>
          <w:szCs w:val="24"/>
          <w:lang w:val="en-US"/>
        </w:rPr>
        <w:t xml:space="preserve">Supplementary </w:t>
      </w:r>
      <w:r w:rsidR="0080500A" w:rsidRPr="002575A7">
        <w:rPr>
          <w:rFonts w:ascii="Book Antiqua" w:hAnsi="Book Antiqua" w:cs="Times New Roman"/>
          <w:sz w:val="24"/>
          <w:szCs w:val="24"/>
          <w:lang w:val="en-US"/>
        </w:rPr>
        <w:t xml:space="preserve">Table </w:t>
      </w:r>
      <w:r w:rsidR="001D3996" w:rsidRPr="002575A7">
        <w:rPr>
          <w:rFonts w:ascii="Book Antiqua" w:hAnsi="Book Antiqua" w:cs="Times New Roman"/>
          <w:sz w:val="24"/>
          <w:szCs w:val="24"/>
          <w:lang w:val="en-US"/>
        </w:rPr>
        <w:t>1</w:t>
      </w:r>
      <w:r w:rsidR="0080500A" w:rsidRPr="002575A7">
        <w:rPr>
          <w:rFonts w:ascii="Book Antiqua" w:hAnsi="Book Antiqua" w:cs="Times New Roman"/>
          <w:sz w:val="24"/>
          <w:szCs w:val="24"/>
          <w:lang w:val="en-US"/>
        </w:rPr>
        <w:t xml:space="preserve">). </w:t>
      </w:r>
      <w:r w:rsidR="00F3719B" w:rsidRPr="002575A7">
        <w:rPr>
          <w:rFonts w:ascii="Book Antiqua" w:hAnsi="Book Antiqua" w:cs="Times New Roman"/>
          <w:sz w:val="24"/>
          <w:szCs w:val="24"/>
          <w:lang w:val="en-US"/>
        </w:rPr>
        <w:t xml:space="preserve">Thus, </w:t>
      </w:r>
      <w:r w:rsidRPr="002575A7">
        <w:rPr>
          <w:rFonts w:ascii="Book Antiqua" w:hAnsi="Book Antiqua" w:cs="Times New Roman"/>
          <w:sz w:val="24"/>
          <w:szCs w:val="24"/>
          <w:lang w:val="en-US"/>
        </w:rPr>
        <w:t xml:space="preserve">primary tumor site, </w:t>
      </w:r>
      <w:r w:rsidR="005C0F5A" w:rsidRPr="002575A7">
        <w:rPr>
          <w:rFonts w:ascii="Book Antiqua" w:hAnsi="Book Antiqua" w:cs="Times New Roman"/>
          <w:sz w:val="24"/>
          <w:szCs w:val="24"/>
          <w:lang w:val="en-US"/>
        </w:rPr>
        <w:t xml:space="preserve">stage at diagnosis, </w:t>
      </w:r>
      <w:r w:rsidRPr="002575A7">
        <w:rPr>
          <w:rFonts w:ascii="Book Antiqua" w:hAnsi="Book Antiqua" w:cs="Times New Roman"/>
          <w:sz w:val="24"/>
          <w:szCs w:val="24"/>
          <w:lang w:val="en-US"/>
        </w:rPr>
        <w:t xml:space="preserve">stage at </w:t>
      </w:r>
      <w:r w:rsidR="007D2B3A" w:rsidRPr="002575A7">
        <w:rPr>
          <w:rFonts w:ascii="Book Antiqua" w:hAnsi="Book Antiqua" w:cs="Times New Roman"/>
          <w:sz w:val="24"/>
          <w:szCs w:val="24"/>
          <w:lang w:val="en-US"/>
        </w:rPr>
        <w:t>chemotherapy initiation</w:t>
      </w:r>
      <w:r w:rsidRPr="002575A7">
        <w:rPr>
          <w:rFonts w:ascii="Book Antiqua" w:hAnsi="Book Antiqua" w:cs="Times New Roman"/>
          <w:sz w:val="24"/>
          <w:szCs w:val="24"/>
          <w:lang w:val="en-US"/>
        </w:rPr>
        <w:t xml:space="preserve">, number of metastatic sites, lymph node and liver metastases, and pain </w:t>
      </w:r>
      <w:r w:rsidR="00CA30C2" w:rsidRPr="002575A7">
        <w:rPr>
          <w:rFonts w:ascii="Book Antiqua" w:hAnsi="Book Antiqua" w:cs="Times New Roman"/>
          <w:sz w:val="24"/>
          <w:szCs w:val="24"/>
          <w:lang w:val="en-US"/>
        </w:rPr>
        <w:t xml:space="preserve">were included in the propensity score </w:t>
      </w:r>
      <w:r w:rsidRPr="002575A7">
        <w:rPr>
          <w:rFonts w:ascii="Book Antiqua" w:hAnsi="Book Antiqua" w:cs="Times New Roman"/>
          <w:sz w:val="24"/>
          <w:szCs w:val="24"/>
          <w:lang w:val="en-US"/>
        </w:rPr>
        <w:t>(</w:t>
      </w:r>
      <w:r w:rsidR="001D3996" w:rsidRPr="002575A7">
        <w:rPr>
          <w:rFonts w:ascii="Book Antiqua" w:hAnsi="Book Antiqua" w:cs="Times New Roman"/>
          <w:sz w:val="24"/>
          <w:szCs w:val="24"/>
          <w:lang w:val="en-US"/>
        </w:rPr>
        <w:t xml:space="preserve">Supplementary </w:t>
      </w:r>
      <w:r w:rsidR="005C0F5A" w:rsidRPr="002575A7">
        <w:rPr>
          <w:rFonts w:ascii="Book Antiqua" w:hAnsi="Book Antiqua" w:cs="Times New Roman"/>
          <w:sz w:val="24"/>
          <w:szCs w:val="24"/>
          <w:lang w:val="en-US"/>
        </w:rPr>
        <w:t xml:space="preserve">Table </w:t>
      </w:r>
      <w:r w:rsidR="001D3996" w:rsidRPr="002575A7">
        <w:rPr>
          <w:rFonts w:ascii="Book Antiqua" w:hAnsi="Book Antiqua" w:cs="Times New Roman"/>
          <w:sz w:val="24"/>
          <w:szCs w:val="24"/>
          <w:lang w:val="en-US"/>
        </w:rPr>
        <w:t>2</w:t>
      </w:r>
      <w:r w:rsidR="00230401" w:rsidRPr="002575A7">
        <w:rPr>
          <w:rFonts w:ascii="Book Antiqua" w:hAnsi="Book Antiqua" w:cs="Times New Roman"/>
          <w:sz w:val="24"/>
          <w:szCs w:val="24"/>
          <w:lang w:val="en-US"/>
        </w:rPr>
        <w:t xml:space="preserve">). The model exhibited </w:t>
      </w:r>
      <w:r w:rsidR="00221F08" w:rsidRPr="002575A7">
        <w:rPr>
          <w:rFonts w:ascii="Book Antiqua" w:hAnsi="Book Antiqua" w:cs="Times New Roman"/>
          <w:sz w:val="24"/>
          <w:szCs w:val="24"/>
          <w:lang w:val="en-US"/>
        </w:rPr>
        <w:t>excellent</w:t>
      </w:r>
      <w:r w:rsidR="00230401" w:rsidRPr="002575A7">
        <w:rPr>
          <w:rFonts w:ascii="Book Antiqua" w:hAnsi="Book Antiqua" w:cs="Times New Roman"/>
          <w:sz w:val="24"/>
          <w:szCs w:val="24"/>
          <w:lang w:val="en-US"/>
        </w:rPr>
        <w:t xml:space="preserve"> discrimination wi</w:t>
      </w:r>
      <w:r w:rsidRPr="002575A7">
        <w:rPr>
          <w:rFonts w:ascii="Book Antiqua" w:hAnsi="Book Antiqua" w:cs="Times New Roman"/>
          <w:sz w:val="24"/>
          <w:szCs w:val="24"/>
          <w:lang w:val="en-US"/>
        </w:rPr>
        <w:t>th an area under the curve of 0.</w:t>
      </w:r>
      <w:r w:rsidR="009E2874" w:rsidRPr="002575A7">
        <w:rPr>
          <w:rFonts w:ascii="Book Antiqua" w:hAnsi="Book Antiqua" w:cs="Times New Roman"/>
          <w:sz w:val="24"/>
          <w:szCs w:val="24"/>
          <w:lang w:val="en-US"/>
        </w:rPr>
        <w:t>73</w:t>
      </w:r>
      <w:r w:rsidRPr="002575A7">
        <w:rPr>
          <w:rFonts w:ascii="Book Antiqua" w:hAnsi="Book Antiqua" w:cs="Times New Roman"/>
          <w:sz w:val="24"/>
          <w:szCs w:val="24"/>
          <w:lang w:val="en-US"/>
        </w:rPr>
        <w:t xml:space="preserve"> (</w:t>
      </w:r>
      <w:r w:rsidR="001D3996" w:rsidRPr="002575A7">
        <w:rPr>
          <w:rFonts w:ascii="Book Antiqua" w:hAnsi="Book Antiqua" w:cs="Times New Roman"/>
          <w:sz w:val="24"/>
          <w:szCs w:val="24"/>
          <w:lang w:val="en-US"/>
        </w:rPr>
        <w:t xml:space="preserve">Supplementary </w:t>
      </w:r>
      <w:r w:rsidRPr="002575A7">
        <w:rPr>
          <w:rFonts w:ascii="Book Antiqua" w:hAnsi="Book Antiqua" w:cs="Times New Roman"/>
          <w:sz w:val="24"/>
          <w:szCs w:val="24"/>
          <w:lang w:val="en-US"/>
        </w:rPr>
        <w:t>Figure</w:t>
      </w:r>
      <w:r w:rsidR="005C0F5A" w:rsidRPr="002575A7">
        <w:rPr>
          <w:rFonts w:ascii="Book Antiqua" w:hAnsi="Book Antiqua" w:cs="Times New Roman"/>
          <w:sz w:val="24"/>
          <w:szCs w:val="24"/>
          <w:lang w:val="en-US"/>
        </w:rPr>
        <w:t xml:space="preserve"> </w:t>
      </w:r>
      <w:r w:rsidR="001D3996" w:rsidRPr="002575A7">
        <w:rPr>
          <w:rFonts w:ascii="Book Antiqua" w:hAnsi="Book Antiqua" w:cs="Times New Roman"/>
          <w:sz w:val="24"/>
          <w:szCs w:val="24"/>
          <w:lang w:val="en-US"/>
        </w:rPr>
        <w:t>1</w:t>
      </w:r>
      <w:r w:rsidR="00DA360E" w:rsidRPr="002575A7">
        <w:rPr>
          <w:rFonts w:ascii="Book Antiqua" w:hAnsi="Book Antiqua" w:cs="Times New Roman"/>
          <w:sz w:val="24"/>
          <w:szCs w:val="24"/>
          <w:lang w:val="en-US"/>
        </w:rPr>
        <w:t xml:space="preserve">) and </w:t>
      </w:r>
      <w:r w:rsidR="00CA30C2" w:rsidRPr="002575A7">
        <w:rPr>
          <w:rFonts w:ascii="Book Antiqua" w:hAnsi="Book Antiqua" w:cs="Times New Roman"/>
          <w:sz w:val="24"/>
          <w:szCs w:val="24"/>
          <w:lang w:val="en-US"/>
        </w:rPr>
        <w:t xml:space="preserve">a </w:t>
      </w:r>
      <w:r w:rsidR="00DA360E" w:rsidRPr="002575A7">
        <w:rPr>
          <w:rFonts w:ascii="Book Antiqua" w:hAnsi="Book Antiqua" w:cs="Times New Roman"/>
          <w:sz w:val="24"/>
          <w:szCs w:val="24"/>
          <w:lang w:val="en-US"/>
        </w:rPr>
        <w:t>good calibration (</w:t>
      </w:r>
      <w:r w:rsidR="00DA360E"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00DA360E" w:rsidRPr="002575A7">
        <w:rPr>
          <w:rFonts w:ascii="Book Antiqua" w:hAnsi="Book Antiqua" w:cs="Times New Roman"/>
          <w:sz w:val="24"/>
          <w:szCs w:val="24"/>
          <w:lang w:val="en-US"/>
        </w:rPr>
        <w:t xml:space="preserve">= </w:t>
      </w:r>
      <w:r w:rsidR="00F3719B" w:rsidRPr="002575A7">
        <w:rPr>
          <w:rFonts w:ascii="Book Antiqua" w:hAnsi="Book Antiqua" w:cs="Times New Roman"/>
          <w:sz w:val="24"/>
          <w:szCs w:val="24"/>
          <w:lang w:val="en-US"/>
        </w:rPr>
        <w:t>0.840</w:t>
      </w:r>
      <w:r w:rsidR="00230401" w:rsidRPr="002575A7">
        <w:rPr>
          <w:rFonts w:ascii="Book Antiqua" w:hAnsi="Book Antiqua" w:cs="Times New Roman"/>
          <w:sz w:val="24"/>
          <w:szCs w:val="24"/>
          <w:lang w:val="en-US"/>
        </w:rPr>
        <w:t>, Hosmer–Lemeshow goodness</w:t>
      </w:r>
      <w:r w:rsidR="00230401" w:rsidRPr="002575A7">
        <w:rPr>
          <w:rFonts w:ascii="Times New Roman" w:hAnsi="Times New Roman" w:cs="Times New Roman"/>
          <w:sz w:val="24"/>
          <w:szCs w:val="24"/>
          <w:lang w:val="en-US"/>
        </w:rPr>
        <w:t>‐</w:t>
      </w:r>
      <w:r w:rsidR="00230401" w:rsidRPr="002575A7">
        <w:rPr>
          <w:rFonts w:ascii="Book Antiqua" w:hAnsi="Book Antiqua" w:cs="Times New Roman"/>
          <w:sz w:val="24"/>
          <w:szCs w:val="24"/>
          <w:lang w:val="en-US"/>
        </w:rPr>
        <w:t>of</w:t>
      </w:r>
      <w:r w:rsidR="00230401" w:rsidRPr="002575A7">
        <w:rPr>
          <w:rFonts w:ascii="Times New Roman" w:hAnsi="Times New Roman" w:cs="Times New Roman"/>
          <w:sz w:val="24"/>
          <w:szCs w:val="24"/>
          <w:lang w:val="en-US"/>
        </w:rPr>
        <w:t>‐</w:t>
      </w:r>
      <w:r w:rsidR="00230401" w:rsidRPr="002575A7">
        <w:rPr>
          <w:rFonts w:ascii="Book Antiqua" w:hAnsi="Book Antiqua" w:cs="Times New Roman"/>
          <w:sz w:val="24"/>
          <w:szCs w:val="24"/>
          <w:lang w:val="en-US"/>
        </w:rPr>
        <w:t xml:space="preserve">fit test). </w:t>
      </w:r>
      <w:r w:rsidR="00CA30C2" w:rsidRPr="002575A7">
        <w:rPr>
          <w:rFonts w:ascii="Book Antiqua" w:hAnsi="Book Antiqua" w:cs="Times New Roman"/>
          <w:sz w:val="24"/>
          <w:szCs w:val="24"/>
          <w:lang w:val="en-US"/>
        </w:rPr>
        <w:t>For each patient, a</w:t>
      </w:r>
      <w:r w:rsidR="00230401" w:rsidRPr="002575A7">
        <w:rPr>
          <w:rFonts w:ascii="Book Antiqua" w:hAnsi="Book Antiqua" w:cs="Times New Roman"/>
          <w:sz w:val="24"/>
          <w:szCs w:val="24"/>
          <w:lang w:val="en-US"/>
        </w:rPr>
        <w:t xml:space="preserve"> propensity score value was then calculated based on </w:t>
      </w:r>
      <w:r w:rsidRPr="002575A7">
        <w:rPr>
          <w:rFonts w:ascii="Book Antiqua" w:hAnsi="Book Antiqua" w:cs="Times New Roman"/>
          <w:sz w:val="24"/>
          <w:szCs w:val="24"/>
          <w:lang w:val="en-US"/>
        </w:rPr>
        <w:t>the multivariable model (</w:t>
      </w:r>
      <w:r w:rsidR="001D3996" w:rsidRPr="002575A7">
        <w:rPr>
          <w:rFonts w:ascii="Book Antiqua" w:hAnsi="Book Antiqua" w:cs="Times New Roman"/>
          <w:sz w:val="24"/>
          <w:szCs w:val="24"/>
          <w:lang w:val="en-US"/>
        </w:rPr>
        <w:t xml:space="preserve">Supplementary </w:t>
      </w:r>
      <w:r w:rsidRPr="002575A7">
        <w:rPr>
          <w:rFonts w:ascii="Book Antiqua" w:hAnsi="Book Antiqua" w:cs="Times New Roman"/>
          <w:sz w:val="24"/>
          <w:szCs w:val="24"/>
          <w:lang w:val="en-US"/>
        </w:rPr>
        <w:t>Figure</w:t>
      </w:r>
      <w:r w:rsidR="005C0F5A" w:rsidRPr="002575A7">
        <w:rPr>
          <w:rFonts w:ascii="Book Antiqua" w:hAnsi="Book Antiqua" w:cs="Times New Roman"/>
          <w:sz w:val="24"/>
          <w:szCs w:val="24"/>
          <w:lang w:val="en-US"/>
        </w:rPr>
        <w:t xml:space="preserve"> </w:t>
      </w:r>
      <w:r w:rsidR="001D3996" w:rsidRPr="002575A7">
        <w:rPr>
          <w:rFonts w:ascii="Book Antiqua" w:hAnsi="Book Antiqua" w:cs="Times New Roman"/>
          <w:sz w:val="24"/>
          <w:szCs w:val="24"/>
          <w:lang w:val="en-US"/>
        </w:rPr>
        <w:t>2</w:t>
      </w:r>
      <w:r w:rsidRPr="002575A7">
        <w:rPr>
          <w:rFonts w:ascii="Book Antiqua" w:hAnsi="Book Antiqua" w:cs="Times New Roman"/>
          <w:sz w:val="24"/>
          <w:szCs w:val="24"/>
          <w:lang w:val="en-US"/>
        </w:rPr>
        <w:t>)</w:t>
      </w:r>
      <w:r w:rsidR="00230401" w:rsidRPr="002575A7">
        <w:rPr>
          <w:rFonts w:ascii="Book Antiqua" w:hAnsi="Book Antiqua" w:cs="Times New Roman"/>
          <w:sz w:val="24"/>
          <w:szCs w:val="24"/>
          <w:lang w:val="en-US"/>
        </w:rPr>
        <w:t xml:space="preserve">. </w:t>
      </w:r>
      <w:r w:rsidR="008C1FCC" w:rsidRPr="002575A7">
        <w:rPr>
          <w:rFonts w:ascii="Book Antiqua" w:hAnsi="Book Antiqua" w:cs="Times New Roman"/>
          <w:sz w:val="24"/>
          <w:szCs w:val="24"/>
          <w:lang w:val="en-US"/>
        </w:rPr>
        <w:t xml:space="preserve">In </w:t>
      </w:r>
      <w:r w:rsidR="004A6515">
        <w:rPr>
          <w:rFonts w:ascii="Book Antiqua" w:hAnsi="Book Antiqua" w:cs="Times New Roman"/>
          <w:sz w:val="24"/>
          <w:szCs w:val="24"/>
          <w:lang w:val="en-US"/>
        </w:rPr>
        <w:t xml:space="preserve">the </w:t>
      </w:r>
      <w:r w:rsidR="008C1FCC" w:rsidRPr="002575A7">
        <w:rPr>
          <w:rFonts w:ascii="Book Antiqua" w:hAnsi="Book Antiqua" w:cs="Times New Roman"/>
          <w:sz w:val="24"/>
          <w:szCs w:val="24"/>
          <w:lang w:val="en-US"/>
        </w:rPr>
        <w:t xml:space="preserve">IPTW analysis, </w:t>
      </w:r>
      <w:r w:rsidR="00C8067B">
        <w:rPr>
          <w:rFonts w:ascii="Book Antiqua" w:hAnsi="Book Antiqua" w:cs="Times New Roman"/>
          <w:sz w:val="24"/>
          <w:szCs w:val="24"/>
          <w:lang w:val="en-US"/>
        </w:rPr>
        <w:t xml:space="preserve">the </w:t>
      </w:r>
      <w:r w:rsidR="008C1FCC" w:rsidRPr="002575A7">
        <w:rPr>
          <w:rFonts w:ascii="Book Antiqua" w:hAnsi="Book Antiqua" w:cs="Times New Roman"/>
          <w:sz w:val="24"/>
          <w:szCs w:val="24"/>
          <w:lang w:val="en-US"/>
        </w:rPr>
        <w:t xml:space="preserve">L1 regimen was </w:t>
      </w:r>
      <w:r w:rsidR="00C8067B">
        <w:rPr>
          <w:rFonts w:ascii="Book Antiqua" w:hAnsi="Book Antiqua" w:cs="Times New Roman"/>
          <w:sz w:val="24"/>
          <w:szCs w:val="24"/>
          <w:lang w:val="en-US"/>
        </w:rPr>
        <w:t>not</w:t>
      </w:r>
      <w:r w:rsidR="00CA30C2" w:rsidRPr="002575A7">
        <w:rPr>
          <w:rFonts w:ascii="Book Antiqua" w:hAnsi="Book Antiqua" w:cs="Times New Roman"/>
          <w:sz w:val="24"/>
          <w:szCs w:val="24"/>
          <w:lang w:val="en-US"/>
        </w:rPr>
        <w:t xml:space="preserve"> </w:t>
      </w:r>
      <w:r w:rsidR="008C1FCC" w:rsidRPr="002575A7">
        <w:rPr>
          <w:rFonts w:ascii="Book Antiqua" w:hAnsi="Book Antiqua" w:cs="Times New Roman"/>
          <w:sz w:val="24"/>
          <w:szCs w:val="24"/>
          <w:lang w:val="en-US"/>
        </w:rPr>
        <w:t xml:space="preserve">significantly associated with </w:t>
      </w:r>
      <w:r w:rsidR="00C8067B">
        <w:rPr>
          <w:rFonts w:ascii="Book Antiqua" w:hAnsi="Book Antiqua" w:cs="Times New Roman"/>
          <w:sz w:val="24"/>
          <w:szCs w:val="24"/>
          <w:lang w:val="en-US"/>
        </w:rPr>
        <w:t xml:space="preserve">either </w:t>
      </w:r>
      <w:r w:rsidR="008C1FCC" w:rsidRPr="002575A7">
        <w:rPr>
          <w:rFonts w:ascii="Book Antiqua" w:hAnsi="Book Antiqua" w:cs="Times New Roman"/>
          <w:sz w:val="24"/>
          <w:szCs w:val="24"/>
          <w:lang w:val="en-US"/>
        </w:rPr>
        <w:t>OS (282 patients, 236 events; HR</w:t>
      </w:r>
      <w:r w:rsidR="00B60AE3">
        <w:rPr>
          <w:rFonts w:ascii="Book Antiqua" w:hAnsi="Book Antiqua" w:cs="Times New Roman"/>
          <w:sz w:val="24"/>
          <w:szCs w:val="24"/>
          <w:lang w:val="en-US"/>
        </w:rPr>
        <w:t xml:space="preserve"> </w:t>
      </w:r>
      <w:r w:rsidR="008C1FCC" w:rsidRPr="002575A7">
        <w:rPr>
          <w:rFonts w:ascii="Book Antiqua" w:hAnsi="Book Antiqua" w:cs="Times New Roman"/>
          <w:sz w:val="24"/>
          <w:szCs w:val="24"/>
          <w:lang w:val="en-US"/>
        </w:rPr>
        <w:t xml:space="preserve">= 1.19; </w:t>
      </w:r>
      <w:r w:rsidR="00B60AE3">
        <w:rPr>
          <w:rFonts w:ascii="Book Antiqua" w:hAnsi="Book Antiqua" w:cs="Times New Roman"/>
          <w:sz w:val="24"/>
          <w:szCs w:val="24"/>
          <w:lang w:val="en-US"/>
        </w:rPr>
        <w:t>95%CI:</w:t>
      </w:r>
      <w:r w:rsidR="008C1FCC" w:rsidRPr="002575A7">
        <w:rPr>
          <w:rFonts w:ascii="Book Antiqua" w:hAnsi="Book Antiqua" w:cs="Times New Roman"/>
          <w:sz w:val="24"/>
          <w:szCs w:val="24"/>
          <w:lang w:val="en-US"/>
        </w:rPr>
        <w:t xml:space="preserve"> 0.91</w:t>
      </w:r>
      <w:r w:rsidR="00B60AE3">
        <w:rPr>
          <w:rFonts w:ascii="Book Antiqua" w:hAnsi="Book Antiqua" w:cs="Times New Roman"/>
          <w:sz w:val="24"/>
          <w:szCs w:val="24"/>
          <w:lang w:val="en-US"/>
        </w:rPr>
        <w:t>-</w:t>
      </w:r>
      <w:r w:rsidR="008C1FCC" w:rsidRPr="002575A7">
        <w:rPr>
          <w:rFonts w:ascii="Book Antiqua" w:hAnsi="Book Antiqua" w:cs="Times New Roman"/>
          <w:sz w:val="24"/>
          <w:szCs w:val="24"/>
          <w:lang w:val="en-US"/>
        </w:rPr>
        <w:t xml:space="preserve">1.54; </w:t>
      </w:r>
      <w:r w:rsidR="008C1FCC" w:rsidRPr="00B60AE3">
        <w:rPr>
          <w:rFonts w:ascii="Book Antiqua" w:hAnsi="Book Antiqua" w:cs="Times New Roman"/>
          <w:i/>
          <w:iCs/>
          <w:sz w:val="24"/>
          <w:szCs w:val="24"/>
          <w:lang w:val="en-US"/>
        </w:rPr>
        <w:t>P</w:t>
      </w:r>
      <w:r w:rsidR="008C1FCC" w:rsidRPr="002575A7">
        <w:rPr>
          <w:rFonts w:ascii="Times New Roman" w:hAnsi="Times New Roman" w:cs="Times New Roman"/>
          <w:sz w:val="24"/>
          <w:szCs w:val="24"/>
          <w:lang w:val="en-US"/>
        </w:rPr>
        <w:t> </w:t>
      </w:r>
      <w:r w:rsidR="008C1FCC" w:rsidRPr="002575A7">
        <w:rPr>
          <w:rFonts w:ascii="Book Antiqua" w:hAnsi="Book Antiqua" w:cs="Times New Roman"/>
          <w:sz w:val="24"/>
          <w:szCs w:val="24"/>
          <w:lang w:val="en-US"/>
        </w:rPr>
        <w:t xml:space="preserve">= 0.202) </w:t>
      </w:r>
      <w:r w:rsidR="00CA30C2" w:rsidRPr="002575A7">
        <w:rPr>
          <w:rFonts w:ascii="Book Antiqua" w:hAnsi="Book Antiqua" w:cs="Times New Roman"/>
          <w:sz w:val="24"/>
          <w:szCs w:val="24"/>
          <w:lang w:val="en-US"/>
        </w:rPr>
        <w:t xml:space="preserve">or </w:t>
      </w:r>
      <w:r w:rsidR="008C1FCC" w:rsidRPr="002575A7">
        <w:rPr>
          <w:rFonts w:ascii="Book Antiqua" w:hAnsi="Book Antiqua" w:cs="Times New Roman"/>
          <w:sz w:val="24"/>
          <w:szCs w:val="24"/>
          <w:lang w:val="en-US"/>
        </w:rPr>
        <w:t>PFS (281 patients, 256 events; HR</w:t>
      </w:r>
      <w:r w:rsidR="00B60AE3">
        <w:rPr>
          <w:rFonts w:ascii="Book Antiqua" w:hAnsi="Book Antiqua" w:cs="Times New Roman"/>
          <w:sz w:val="24"/>
          <w:szCs w:val="24"/>
          <w:lang w:val="en-US"/>
        </w:rPr>
        <w:t xml:space="preserve"> </w:t>
      </w:r>
      <w:r w:rsidR="008C1FCC" w:rsidRPr="002575A7">
        <w:rPr>
          <w:rFonts w:ascii="Book Antiqua" w:hAnsi="Book Antiqua" w:cs="Times New Roman"/>
          <w:sz w:val="24"/>
          <w:szCs w:val="24"/>
          <w:lang w:val="en-US"/>
        </w:rPr>
        <w:t xml:space="preserve">= 1.25; </w:t>
      </w:r>
      <w:r w:rsidR="00B60AE3">
        <w:rPr>
          <w:rFonts w:ascii="Book Antiqua" w:hAnsi="Book Antiqua" w:cs="Times New Roman"/>
          <w:sz w:val="24"/>
          <w:szCs w:val="24"/>
          <w:lang w:val="en-US"/>
        </w:rPr>
        <w:t>95%CI:</w:t>
      </w:r>
      <w:r w:rsidR="008C1FCC" w:rsidRPr="002575A7">
        <w:rPr>
          <w:rFonts w:ascii="Book Antiqua" w:hAnsi="Book Antiqua" w:cs="Times New Roman"/>
          <w:sz w:val="24"/>
          <w:szCs w:val="24"/>
          <w:lang w:val="en-US"/>
        </w:rPr>
        <w:t xml:space="preserve"> 0.98</w:t>
      </w:r>
      <w:r w:rsidR="00B60AE3">
        <w:rPr>
          <w:rFonts w:ascii="Book Antiqua" w:hAnsi="Book Antiqua" w:cs="Times New Roman"/>
          <w:sz w:val="24"/>
          <w:szCs w:val="24"/>
          <w:lang w:val="en-US"/>
        </w:rPr>
        <w:t>-</w:t>
      </w:r>
      <w:r w:rsidR="008C1FCC" w:rsidRPr="002575A7">
        <w:rPr>
          <w:rFonts w:ascii="Book Antiqua" w:hAnsi="Book Antiqua" w:cs="Times New Roman"/>
          <w:sz w:val="24"/>
          <w:szCs w:val="24"/>
          <w:lang w:val="en-US"/>
        </w:rPr>
        <w:t xml:space="preserve">1.60; </w:t>
      </w:r>
      <w:r w:rsidR="008C1FCC" w:rsidRPr="00B60AE3">
        <w:rPr>
          <w:rFonts w:ascii="Book Antiqua" w:hAnsi="Book Antiqua" w:cs="Times New Roman"/>
          <w:i/>
          <w:iCs/>
          <w:sz w:val="24"/>
          <w:szCs w:val="24"/>
          <w:lang w:val="en-US"/>
        </w:rPr>
        <w:t>P</w:t>
      </w:r>
      <w:r w:rsidR="008C1FCC" w:rsidRPr="002575A7">
        <w:rPr>
          <w:rFonts w:ascii="Times New Roman" w:hAnsi="Times New Roman" w:cs="Times New Roman"/>
          <w:sz w:val="24"/>
          <w:szCs w:val="24"/>
          <w:lang w:val="en-US"/>
        </w:rPr>
        <w:t> </w:t>
      </w:r>
      <w:r w:rsidR="008C1FCC" w:rsidRPr="002575A7">
        <w:rPr>
          <w:rFonts w:ascii="Book Antiqua" w:hAnsi="Book Antiqua" w:cs="Times New Roman"/>
          <w:sz w:val="24"/>
          <w:szCs w:val="24"/>
          <w:lang w:val="en-US"/>
        </w:rPr>
        <w:t>= 0.077).</w:t>
      </w:r>
      <w:r w:rsidR="0080500A" w:rsidRPr="002575A7">
        <w:rPr>
          <w:rFonts w:ascii="Book Antiqua" w:hAnsi="Book Antiqua" w:cs="Times New Roman"/>
          <w:sz w:val="24"/>
          <w:szCs w:val="24"/>
          <w:lang w:val="en-US"/>
        </w:rPr>
        <w:t xml:space="preserve"> </w:t>
      </w:r>
      <w:r w:rsidR="00CA30C2" w:rsidRPr="002575A7">
        <w:rPr>
          <w:rFonts w:ascii="Book Antiqua" w:hAnsi="Book Antiqua" w:cs="Times New Roman"/>
          <w:sz w:val="24"/>
          <w:szCs w:val="24"/>
          <w:lang w:val="en-US"/>
        </w:rPr>
        <w:t>P</w:t>
      </w:r>
      <w:r w:rsidR="00230401" w:rsidRPr="002575A7">
        <w:rPr>
          <w:rFonts w:ascii="Book Antiqua" w:hAnsi="Book Antiqua" w:cs="Times New Roman"/>
          <w:sz w:val="24"/>
          <w:szCs w:val="24"/>
          <w:lang w:val="en-US"/>
        </w:rPr>
        <w:t xml:space="preserve">atients </w:t>
      </w:r>
      <w:r w:rsidRPr="002575A7">
        <w:rPr>
          <w:rFonts w:ascii="Book Antiqua" w:hAnsi="Book Antiqua" w:cs="Times New Roman"/>
          <w:sz w:val="24"/>
          <w:szCs w:val="24"/>
          <w:lang w:val="en-US"/>
        </w:rPr>
        <w:t xml:space="preserve">treated with </w:t>
      </w:r>
      <w:r w:rsidR="0072450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FOLFOXIRI regimen</w:t>
      </w:r>
      <w:r w:rsidR="00230401" w:rsidRPr="002575A7">
        <w:rPr>
          <w:rFonts w:ascii="Book Antiqua" w:hAnsi="Book Antiqua" w:cs="Times New Roman"/>
          <w:sz w:val="24"/>
          <w:szCs w:val="24"/>
          <w:lang w:val="en-US"/>
        </w:rPr>
        <w:t xml:space="preserve"> were </w:t>
      </w:r>
      <w:r w:rsidR="00CA30C2" w:rsidRPr="002575A7">
        <w:rPr>
          <w:rFonts w:ascii="Book Antiqua" w:hAnsi="Book Antiqua" w:cs="Times New Roman"/>
          <w:sz w:val="24"/>
          <w:szCs w:val="24"/>
          <w:lang w:val="en-US"/>
        </w:rPr>
        <w:t xml:space="preserve">then </w:t>
      </w:r>
      <w:r w:rsidR="00230401" w:rsidRPr="002575A7">
        <w:rPr>
          <w:rFonts w:ascii="Book Antiqua" w:hAnsi="Book Antiqua" w:cs="Times New Roman"/>
          <w:sz w:val="24"/>
          <w:szCs w:val="24"/>
          <w:lang w:val="en-US"/>
        </w:rPr>
        <w:t>matched considering the</w:t>
      </w:r>
      <w:r w:rsidRPr="002575A7">
        <w:rPr>
          <w:rFonts w:ascii="Book Antiqua" w:hAnsi="Book Antiqua" w:cs="Times New Roman"/>
          <w:sz w:val="24"/>
          <w:szCs w:val="24"/>
          <w:lang w:val="en-US"/>
        </w:rPr>
        <w:t xml:space="preserve">ir nearest </w:t>
      </w:r>
      <w:r w:rsidR="00191822" w:rsidRPr="002575A7">
        <w:rPr>
          <w:rFonts w:ascii="Book Antiqua" w:hAnsi="Book Antiqua" w:cs="Times New Roman"/>
          <w:sz w:val="24"/>
          <w:szCs w:val="24"/>
          <w:lang w:val="en-US"/>
        </w:rPr>
        <w:t>neighbor</w:t>
      </w:r>
      <w:r w:rsidRPr="002575A7">
        <w:rPr>
          <w:rFonts w:ascii="Book Antiqua" w:hAnsi="Book Antiqua" w:cs="Times New Roman"/>
          <w:sz w:val="24"/>
          <w:szCs w:val="24"/>
          <w:lang w:val="en-US"/>
        </w:rPr>
        <w:t>, with a ca</w:t>
      </w:r>
      <w:r w:rsidR="00230401" w:rsidRPr="002575A7">
        <w:rPr>
          <w:rFonts w:ascii="Book Antiqua" w:hAnsi="Book Antiqua" w:cs="Times New Roman"/>
          <w:sz w:val="24"/>
          <w:szCs w:val="24"/>
          <w:lang w:val="en-US"/>
        </w:rPr>
        <w:t>liper of 0</w:t>
      </w:r>
      <w:r w:rsidRPr="002575A7">
        <w:rPr>
          <w:rFonts w:ascii="Book Antiqua" w:hAnsi="Book Antiqua" w:cs="Times New Roman"/>
          <w:sz w:val="24"/>
          <w:szCs w:val="24"/>
          <w:lang w:val="en-US"/>
        </w:rPr>
        <w:t xml:space="preserve">.10 and </w:t>
      </w:r>
      <w:r w:rsidR="004B2FAC">
        <w:rPr>
          <w:rFonts w:ascii="Book Antiqua" w:hAnsi="Book Antiqua" w:cs="Times New Roman"/>
          <w:sz w:val="24"/>
          <w:szCs w:val="24"/>
          <w:lang w:val="en-US"/>
        </w:rPr>
        <w:t xml:space="preserve">a </w:t>
      </w:r>
      <w:r w:rsidRPr="002575A7">
        <w:rPr>
          <w:rFonts w:ascii="Book Antiqua" w:hAnsi="Book Antiqua" w:cs="Times New Roman"/>
          <w:sz w:val="24"/>
          <w:szCs w:val="24"/>
          <w:lang w:val="en-US"/>
        </w:rPr>
        <w:t>ratio of 1:</w:t>
      </w:r>
      <w:r w:rsidR="00230401" w:rsidRPr="002575A7">
        <w:rPr>
          <w:rFonts w:ascii="Book Antiqua" w:hAnsi="Book Antiqua" w:cs="Times New Roman"/>
          <w:sz w:val="24"/>
          <w:szCs w:val="24"/>
          <w:lang w:val="en-US"/>
        </w:rPr>
        <w:t>1, with patients</w:t>
      </w:r>
      <w:r w:rsidRPr="002575A7">
        <w:rPr>
          <w:rFonts w:ascii="Book Antiqua" w:hAnsi="Book Antiqua" w:cs="Times New Roman"/>
          <w:sz w:val="24"/>
          <w:szCs w:val="24"/>
          <w:lang w:val="en-US"/>
        </w:rPr>
        <w:t xml:space="preserve"> in the FOLFIRINOX group</w:t>
      </w:r>
      <w:r w:rsidR="00230401" w:rsidRPr="002575A7">
        <w:rPr>
          <w:rFonts w:ascii="Book Antiqua" w:hAnsi="Book Antiqua" w:cs="Times New Roman"/>
          <w:sz w:val="24"/>
          <w:szCs w:val="24"/>
          <w:lang w:val="en-US"/>
        </w:rPr>
        <w:t>.</w:t>
      </w:r>
    </w:p>
    <w:p w14:paraId="6519E15B" w14:textId="77777777" w:rsidR="00230401" w:rsidRPr="002575A7" w:rsidRDefault="00230401" w:rsidP="00864BDB">
      <w:pPr>
        <w:snapToGrid w:val="0"/>
        <w:spacing w:after="0" w:line="360" w:lineRule="auto"/>
        <w:jc w:val="both"/>
        <w:rPr>
          <w:rFonts w:ascii="Book Antiqua" w:hAnsi="Book Antiqua" w:cs="Times New Roman"/>
          <w:sz w:val="24"/>
          <w:szCs w:val="24"/>
          <w:lang w:val="en-US"/>
        </w:rPr>
      </w:pPr>
    </w:p>
    <w:p w14:paraId="2CE74F54" w14:textId="2AF2335B" w:rsidR="00230401" w:rsidRPr="002575A7" w:rsidRDefault="00440112"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Patient characteristics and o</w:t>
      </w:r>
      <w:r w:rsidR="00C95BE9" w:rsidRPr="002575A7">
        <w:rPr>
          <w:rFonts w:ascii="Book Antiqua" w:hAnsi="Book Antiqua" w:cs="Times New Roman"/>
          <w:b/>
          <w:i/>
          <w:sz w:val="24"/>
          <w:szCs w:val="24"/>
          <w:lang w:val="en-US"/>
        </w:rPr>
        <w:t xml:space="preserve">utcomes </w:t>
      </w:r>
      <w:r w:rsidR="00C8067B">
        <w:rPr>
          <w:rFonts w:ascii="Book Antiqua" w:hAnsi="Book Antiqua" w:cs="Times New Roman"/>
          <w:b/>
          <w:i/>
          <w:sz w:val="24"/>
          <w:szCs w:val="24"/>
          <w:lang w:val="en-US"/>
        </w:rPr>
        <w:t>in</w:t>
      </w:r>
      <w:r w:rsidR="00C8067B" w:rsidRPr="002575A7">
        <w:rPr>
          <w:rFonts w:ascii="Book Antiqua" w:hAnsi="Book Antiqua" w:cs="Times New Roman"/>
          <w:b/>
          <w:i/>
          <w:sz w:val="24"/>
          <w:szCs w:val="24"/>
          <w:lang w:val="en-US"/>
        </w:rPr>
        <w:t xml:space="preserve"> </w:t>
      </w:r>
      <w:r w:rsidR="00230401" w:rsidRPr="002575A7">
        <w:rPr>
          <w:rFonts w:ascii="Book Antiqua" w:hAnsi="Book Antiqua" w:cs="Times New Roman"/>
          <w:b/>
          <w:i/>
          <w:sz w:val="24"/>
          <w:szCs w:val="24"/>
          <w:lang w:val="en-US"/>
        </w:rPr>
        <w:t xml:space="preserve">the </w:t>
      </w:r>
      <w:r w:rsidR="00C95BE9" w:rsidRPr="002575A7">
        <w:rPr>
          <w:rFonts w:ascii="Book Antiqua" w:hAnsi="Book Antiqua" w:cs="Times New Roman"/>
          <w:b/>
          <w:i/>
          <w:sz w:val="24"/>
          <w:szCs w:val="24"/>
          <w:lang w:val="en-US"/>
        </w:rPr>
        <w:t>propensity score</w:t>
      </w:r>
      <w:r w:rsidR="00C95BE9" w:rsidRPr="002575A7">
        <w:rPr>
          <w:rFonts w:ascii="Times New Roman" w:hAnsi="Times New Roman" w:cs="Times New Roman"/>
          <w:b/>
          <w:i/>
          <w:sz w:val="24"/>
          <w:szCs w:val="24"/>
          <w:lang w:val="en-US"/>
        </w:rPr>
        <w:t>‐</w:t>
      </w:r>
      <w:r w:rsidR="00C95BE9" w:rsidRPr="002575A7">
        <w:rPr>
          <w:rFonts w:ascii="Book Antiqua" w:hAnsi="Book Antiqua" w:cs="Times New Roman"/>
          <w:b/>
          <w:i/>
          <w:sz w:val="24"/>
          <w:szCs w:val="24"/>
          <w:lang w:val="en-US"/>
        </w:rPr>
        <w:t>matched population</w:t>
      </w:r>
    </w:p>
    <w:p w14:paraId="30641D31" w14:textId="2D650DBC" w:rsidR="00440112" w:rsidRPr="002575A7" w:rsidRDefault="00440112"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After propensity score matching, 96 patients </w:t>
      </w:r>
      <w:r w:rsidR="00294CC0" w:rsidRPr="002575A7">
        <w:rPr>
          <w:rFonts w:ascii="Book Antiqua" w:hAnsi="Book Antiqua" w:cs="Times New Roman"/>
          <w:sz w:val="24"/>
          <w:szCs w:val="24"/>
          <w:lang w:val="en-US"/>
        </w:rPr>
        <w:t xml:space="preserve">in </w:t>
      </w:r>
      <w:r w:rsidRPr="002575A7">
        <w:rPr>
          <w:rFonts w:ascii="Book Antiqua" w:hAnsi="Book Antiqua" w:cs="Times New Roman"/>
          <w:sz w:val="24"/>
          <w:szCs w:val="24"/>
          <w:lang w:val="en-US"/>
        </w:rPr>
        <w:t xml:space="preserve">each group (79.0% and 59.3% in </w:t>
      </w:r>
      <w:r w:rsidR="002C1EDE" w:rsidRPr="002575A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FOLFIRINOX and FOLFOXIRI groups, respectively) </w:t>
      </w:r>
      <w:r w:rsidR="00C8067B">
        <w:rPr>
          <w:rFonts w:ascii="Book Antiqua" w:hAnsi="Book Antiqua" w:cs="Times New Roman"/>
          <w:sz w:val="24"/>
          <w:szCs w:val="24"/>
          <w:lang w:val="en-US"/>
        </w:rPr>
        <w:t>were</w:t>
      </w:r>
      <w:r w:rsidRPr="002575A7">
        <w:rPr>
          <w:rFonts w:ascii="Book Antiqua" w:hAnsi="Book Antiqua" w:cs="Times New Roman"/>
          <w:sz w:val="24"/>
          <w:szCs w:val="24"/>
          <w:lang w:val="en-US"/>
        </w:rPr>
        <w:t xml:space="preserve"> </w:t>
      </w:r>
      <w:r w:rsidR="003F1868" w:rsidRPr="002575A7">
        <w:rPr>
          <w:rFonts w:ascii="Book Antiqua" w:hAnsi="Book Antiqua" w:cs="Times New Roman"/>
          <w:sz w:val="24"/>
          <w:szCs w:val="24"/>
          <w:lang w:val="en-US"/>
        </w:rPr>
        <w:t xml:space="preserve">successfully </w:t>
      </w:r>
      <w:r w:rsidRPr="002575A7">
        <w:rPr>
          <w:rFonts w:ascii="Book Antiqua" w:hAnsi="Book Antiqua" w:cs="Times New Roman"/>
          <w:sz w:val="24"/>
          <w:szCs w:val="24"/>
          <w:lang w:val="en-US"/>
        </w:rPr>
        <w:t xml:space="preserve">matched. There </w:t>
      </w:r>
      <w:r w:rsidRPr="002575A7">
        <w:rPr>
          <w:rFonts w:ascii="Book Antiqua" w:hAnsi="Book Antiqua" w:cs="Times New Roman"/>
          <w:sz w:val="24"/>
          <w:szCs w:val="24"/>
          <w:lang w:val="en-US"/>
        </w:rPr>
        <w:lastRenderedPageBreak/>
        <w:t>were no statistically significant differences between the two matched groups in baseline characteristics: primary tumor site (</w:t>
      </w:r>
      <w:r w:rsidRPr="00B60AE3">
        <w:rPr>
          <w:rFonts w:ascii="Book Antiqua" w:hAnsi="Book Antiqua" w:cs="Times New Roman"/>
          <w:i/>
          <w:iCs/>
          <w:sz w:val="24"/>
          <w:szCs w:val="24"/>
          <w:lang w:val="en-US"/>
        </w:rPr>
        <w:t>P</w:t>
      </w:r>
      <w:r w:rsidR="00B60AE3">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 </w:t>
      </w:r>
      <w:r w:rsidR="00054691" w:rsidRPr="002575A7">
        <w:rPr>
          <w:rFonts w:ascii="Book Antiqua" w:hAnsi="Book Antiqua" w:cs="Times New Roman"/>
          <w:sz w:val="24"/>
          <w:szCs w:val="24"/>
          <w:lang w:val="en-US"/>
        </w:rPr>
        <w:t>0.385</w:t>
      </w:r>
      <w:r w:rsidRPr="002575A7">
        <w:rPr>
          <w:rFonts w:ascii="Book Antiqua" w:hAnsi="Book Antiqua" w:cs="Times New Roman"/>
          <w:sz w:val="24"/>
          <w:szCs w:val="24"/>
          <w:lang w:val="en-US"/>
        </w:rPr>
        <w:t xml:space="preserve">), stage at </w:t>
      </w:r>
      <w:r w:rsidR="007D2B3A" w:rsidRPr="002575A7">
        <w:rPr>
          <w:rFonts w:ascii="Book Antiqua" w:hAnsi="Book Antiqua" w:cs="Times New Roman"/>
          <w:sz w:val="24"/>
          <w:szCs w:val="24"/>
          <w:lang w:val="en-US"/>
        </w:rPr>
        <w:t xml:space="preserve">chemotherapy initiation </w:t>
      </w:r>
      <w:r w:rsidRPr="002575A7">
        <w:rPr>
          <w:rFonts w:ascii="Book Antiqua" w:hAnsi="Book Antiqua" w:cs="Times New Roman"/>
          <w:sz w:val="24"/>
          <w:szCs w:val="24"/>
          <w:lang w:val="en-US"/>
        </w:rPr>
        <w:t>(</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 </w:t>
      </w:r>
      <w:r w:rsidR="002B5FA2" w:rsidRPr="002575A7">
        <w:rPr>
          <w:rFonts w:ascii="Book Antiqua" w:hAnsi="Book Antiqua" w:cs="Times New Roman"/>
          <w:sz w:val="24"/>
          <w:szCs w:val="24"/>
          <w:lang w:val="en-US"/>
        </w:rPr>
        <w:t>0.439</w:t>
      </w:r>
      <w:r w:rsidRPr="002575A7">
        <w:rPr>
          <w:rFonts w:ascii="Book Antiqua" w:hAnsi="Book Antiqua" w:cs="Times New Roman"/>
          <w:sz w:val="24"/>
          <w:szCs w:val="24"/>
          <w:lang w:val="en-US"/>
        </w:rPr>
        <w:t>), number of metastatic sites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0.724), lymph node metastases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0.817), liver metastases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 </w:t>
      </w:r>
      <w:r w:rsidR="00DA360E" w:rsidRPr="002575A7">
        <w:rPr>
          <w:rFonts w:ascii="Book Antiqua" w:hAnsi="Book Antiqua" w:cs="Times New Roman"/>
          <w:sz w:val="24"/>
          <w:szCs w:val="24"/>
          <w:lang w:val="en-US"/>
        </w:rPr>
        <w:t>0.385</w:t>
      </w:r>
      <w:r w:rsidRPr="002575A7">
        <w:rPr>
          <w:rFonts w:ascii="Book Antiqua" w:hAnsi="Book Antiqua" w:cs="Times New Roman"/>
          <w:sz w:val="24"/>
          <w:szCs w:val="24"/>
          <w:lang w:val="en-US"/>
        </w:rPr>
        <w:t>), and pain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 </w:t>
      </w:r>
      <w:r w:rsidR="00054691" w:rsidRPr="002575A7">
        <w:rPr>
          <w:rFonts w:ascii="Book Antiqua" w:hAnsi="Book Antiqua" w:cs="Times New Roman"/>
          <w:sz w:val="24"/>
          <w:szCs w:val="24"/>
          <w:lang w:val="en-US"/>
        </w:rPr>
        <w:t>0.877</w:t>
      </w:r>
      <w:r w:rsidRPr="002575A7">
        <w:rPr>
          <w:rFonts w:ascii="Book Antiqua" w:hAnsi="Book Antiqua" w:cs="Times New Roman"/>
          <w:sz w:val="24"/>
          <w:szCs w:val="24"/>
          <w:lang w:val="en-US"/>
        </w:rPr>
        <w:t xml:space="preserve">). Patients in the FOLFIRINOX group </w:t>
      </w:r>
      <w:r w:rsidR="00743746" w:rsidRPr="002575A7">
        <w:rPr>
          <w:rFonts w:ascii="Book Antiqua" w:hAnsi="Book Antiqua" w:cs="Times New Roman"/>
          <w:sz w:val="24"/>
          <w:szCs w:val="24"/>
          <w:lang w:val="en-US"/>
        </w:rPr>
        <w:t xml:space="preserve">were characterized by </w:t>
      </w:r>
      <w:r w:rsidRPr="002575A7">
        <w:rPr>
          <w:rFonts w:ascii="Book Antiqua" w:hAnsi="Book Antiqua" w:cs="Times New Roman"/>
          <w:sz w:val="24"/>
          <w:szCs w:val="24"/>
          <w:lang w:val="en-US"/>
        </w:rPr>
        <w:t xml:space="preserve">tumors with a </w:t>
      </w:r>
      <w:r w:rsidR="00743746" w:rsidRPr="002575A7">
        <w:rPr>
          <w:rFonts w:ascii="Book Antiqua" w:hAnsi="Book Antiqua" w:cs="Times New Roman"/>
          <w:sz w:val="24"/>
          <w:szCs w:val="24"/>
          <w:lang w:val="en-US"/>
        </w:rPr>
        <w:t xml:space="preserve">more differentiated </w:t>
      </w:r>
      <w:r w:rsidRPr="002575A7">
        <w:rPr>
          <w:rFonts w:ascii="Book Antiqua" w:hAnsi="Book Antiqua" w:cs="Times New Roman"/>
          <w:sz w:val="24"/>
          <w:szCs w:val="24"/>
          <w:lang w:val="en-US"/>
        </w:rPr>
        <w:t>histological grade (</w:t>
      </w:r>
      <w:r w:rsidRPr="00444C86">
        <w:rPr>
          <w:rFonts w:ascii="Book Antiqua" w:hAnsi="Book Antiqua" w:cs="Times New Roman"/>
          <w:i/>
          <w:sz w:val="24"/>
          <w:szCs w:val="24"/>
          <w:lang w:val="en-US"/>
        </w:rPr>
        <w:t>P</w:t>
      </w:r>
      <w:r w:rsidRPr="002575A7">
        <w:rPr>
          <w:rFonts w:ascii="Times New Roman" w:hAnsi="Times New Roman" w:cs="Times New Roman"/>
          <w:sz w:val="24"/>
          <w:szCs w:val="24"/>
          <w:lang w:val="en-US"/>
        </w:rPr>
        <w:t> </w:t>
      </w:r>
      <w:r w:rsidR="00191822" w:rsidRPr="002575A7">
        <w:rPr>
          <w:rFonts w:ascii="Book Antiqua" w:hAnsi="Book Antiqua" w:cs="Times New Roman"/>
          <w:sz w:val="24"/>
          <w:szCs w:val="24"/>
          <w:lang w:val="en-US"/>
        </w:rPr>
        <w:t>= 0.011</w:t>
      </w:r>
      <w:r w:rsidRPr="002575A7">
        <w:rPr>
          <w:rFonts w:ascii="Book Antiqua" w:hAnsi="Book Antiqua" w:cs="Times New Roman"/>
          <w:sz w:val="24"/>
          <w:szCs w:val="24"/>
          <w:lang w:val="en-US"/>
        </w:rPr>
        <w:t>) and a highe</w:t>
      </w:r>
      <w:r w:rsidR="00743746" w:rsidRPr="002575A7">
        <w:rPr>
          <w:rFonts w:ascii="Book Antiqua" w:hAnsi="Book Antiqua" w:cs="Times New Roman"/>
          <w:sz w:val="24"/>
          <w:szCs w:val="24"/>
          <w:lang w:val="en-US"/>
        </w:rPr>
        <w:t>r</w:t>
      </w:r>
      <w:r w:rsidRPr="002575A7">
        <w:rPr>
          <w:rFonts w:ascii="Book Antiqua" w:hAnsi="Book Antiqua" w:cs="Times New Roman"/>
          <w:sz w:val="24"/>
          <w:szCs w:val="24"/>
          <w:lang w:val="en-US"/>
        </w:rPr>
        <w:t xml:space="preserve"> albumin level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w:t>
      </w:r>
      <w:r w:rsidR="008F7E8E"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0.001) (Table </w:t>
      </w:r>
      <w:r w:rsidR="001D3996" w:rsidRPr="002575A7">
        <w:rPr>
          <w:rFonts w:ascii="Book Antiqua" w:hAnsi="Book Antiqua" w:cs="Times New Roman"/>
          <w:sz w:val="24"/>
          <w:szCs w:val="24"/>
          <w:lang w:val="en-US"/>
        </w:rPr>
        <w:t>3</w:t>
      </w:r>
      <w:r w:rsidRPr="002575A7">
        <w:rPr>
          <w:rFonts w:ascii="Book Antiqua" w:hAnsi="Book Antiqua" w:cs="Times New Roman"/>
          <w:sz w:val="24"/>
          <w:szCs w:val="24"/>
          <w:lang w:val="en-US"/>
        </w:rPr>
        <w:t>).</w:t>
      </w:r>
      <w:r w:rsidR="00E73B0A" w:rsidRPr="002575A7">
        <w:rPr>
          <w:rFonts w:ascii="Book Antiqua" w:hAnsi="Book Antiqua" w:cs="Times New Roman"/>
          <w:sz w:val="24"/>
          <w:szCs w:val="24"/>
          <w:lang w:val="en-US"/>
        </w:rPr>
        <w:t xml:space="preserve"> </w:t>
      </w:r>
      <w:r w:rsidR="008341A9" w:rsidRPr="002575A7">
        <w:rPr>
          <w:rFonts w:ascii="Book Antiqua" w:hAnsi="Book Antiqua" w:cs="Times New Roman"/>
          <w:sz w:val="24"/>
          <w:szCs w:val="24"/>
          <w:lang w:val="en-US"/>
        </w:rPr>
        <w:t xml:space="preserve">After </w:t>
      </w:r>
      <w:r w:rsidR="00E22B16" w:rsidRPr="002575A7">
        <w:rPr>
          <w:rFonts w:ascii="Book Antiqua" w:hAnsi="Book Antiqua" w:cs="Times New Roman"/>
          <w:sz w:val="24"/>
          <w:szCs w:val="24"/>
          <w:lang w:val="en-US"/>
        </w:rPr>
        <w:t>a median follow-up of 43.2 mo (</w:t>
      </w:r>
      <w:r w:rsidR="00B60AE3">
        <w:rPr>
          <w:rFonts w:ascii="Book Antiqua" w:hAnsi="Book Antiqua" w:cs="Times New Roman"/>
          <w:sz w:val="24"/>
          <w:szCs w:val="24"/>
          <w:lang w:val="en-US"/>
        </w:rPr>
        <w:t>95%CI:</w:t>
      </w:r>
      <w:r w:rsidR="00E22B16" w:rsidRPr="002575A7">
        <w:rPr>
          <w:rFonts w:ascii="Book Antiqua" w:hAnsi="Book Antiqua" w:cs="Times New Roman"/>
          <w:sz w:val="24"/>
          <w:szCs w:val="24"/>
          <w:lang w:val="en-US"/>
        </w:rPr>
        <w:t xml:space="preserve"> 31.0</w:t>
      </w:r>
      <w:r w:rsidR="00B60AE3">
        <w:rPr>
          <w:rFonts w:ascii="Book Antiqua" w:hAnsi="Book Antiqua" w:cs="Times New Roman"/>
          <w:sz w:val="24"/>
          <w:szCs w:val="24"/>
          <w:lang w:val="en-US"/>
        </w:rPr>
        <w:t>-</w:t>
      </w:r>
      <w:r w:rsidR="00E22B16" w:rsidRPr="002575A7">
        <w:rPr>
          <w:rFonts w:ascii="Book Antiqua" w:hAnsi="Book Antiqua" w:cs="Times New Roman"/>
          <w:sz w:val="24"/>
          <w:szCs w:val="24"/>
          <w:lang w:val="en-US"/>
        </w:rPr>
        <w:t>61.4)</w:t>
      </w:r>
      <w:r w:rsidR="00A5576F" w:rsidRPr="002575A7">
        <w:rPr>
          <w:rFonts w:ascii="Book Antiqua" w:hAnsi="Book Antiqua" w:cs="Times New Roman"/>
          <w:sz w:val="24"/>
          <w:szCs w:val="24"/>
          <w:lang w:val="en-US"/>
        </w:rPr>
        <w:t xml:space="preserve"> in the matched groups</w:t>
      </w:r>
      <w:r w:rsidR="00E22B16" w:rsidRPr="002575A7">
        <w:rPr>
          <w:rFonts w:ascii="Book Antiqua" w:hAnsi="Book Antiqua" w:cs="Times New Roman"/>
          <w:sz w:val="24"/>
          <w:szCs w:val="24"/>
          <w:lang w:val="en-US"/>
        </w:rPr>
        <w:t xml:space="preserve">, </w:t>
      </w:r>
      <w:r w:rsidR="008341A9" w:rsidRPr="002575A7">
        <w:rPr>
          <w:rFonts w:ascii="Book Antiqua" w:hAnsi="Book Antiqua" w:cs="Times New Roman"/>
          <w:sz w:val="24"/>
          <w:szCs w:val="24"/>
          <w:lang w:val="en-US"/>
        </w:rPr>
        <w:t xml:space="preserve">survival </w:t>
      </w:r>
      <w:r w:rsidR="00B7253F" w:rsidRPr="002575A7">
        <w:rPr>
          <w:rFonts w:ascii="Book Antiqua" w:hAnsi="Book Antiqua" w:cs="Times New Roman"/>
          <w:sz w:val="24"/>
          <w:szCs w:val="24"/>
          <w:lang w:val="en-US"/>
        </w:rPr>
        <w:t>rates for</w:t>
      </w:r>
      <w:r w:rsidR="008341A9" w:rsidRPr="002575A7">
        <w:rPr>
          <w:rFonts w:ascii="Book Antiqua" w:hAnsi="Book Antiqua" w:cs="Times New Roman"/>
          <w:sz w:val="24"/>
          <w:szCs w:val="24"/>
          <w:lang w:val="en-US"/>
        </w:rPr>
        <w:t xml:space="preserve"> patients remained similar between the two regimens in </w:t>
      </w:r>
      <w:r w:rsidR="00743746" w:rsidRPr="002575A7">
        <w:rPr>
          <w:rFonts w:ascii="Book Antiqua" w:hAnsi="Book Antiqua" w:cs="Times New Roman"/>
          <w:sz w:val="24"/>
          <w:szCs w:val="24"/>
          <w:lang w:val="en-US"/>
        </w:rPr>
        <w:t xml:space="preserve">terms of </w:t>
      </w:r>
      <w:r w:rsidR="008341A9" w:rsidRPr="002575A7">
        <w:rPr>
          <w:rFonts w:ascii="Book Antiqua" w:hAnsi="Book Antiqua" w:cs="Times New Roman"/>
          <w:sz w:val="24"/>
          <w:szCs w:val="24"/>
          <w:lang w:val="en-US"/>
        </w:rPr>
        <w:t>OS</w:t>
      </w:r>
      <w:r w:rsidR="00E22B16" w:rsidRPr="002575A7">
        <w:rPr>
          <w:rFonts w:ascii="Book Antiqua" w:hAnsi="Book Antiqua" w:cs="Times New Roman"/>
          <w:sz w:val="24"/>
          <w:szCs w:val="24"/>
          <w:lang w:val="en-US"/>
        </w:rPr>
        <w:t xml:space="preserve"> (HR= 1.22; </w:t>
      </w:r>
      <w:r w:rsidR="00B60AE3">
        <w:rPr>
          <w:rFonts w:ascii="Book Antiqua" w:hAnsi="Book Antiqua" w:cs="Times New Roman"/>
          <w:sz w:val="24"/>
          <w:szCs w:val="24"/>
          <w:lang w:val="en-US"/>
        </w:rPr>
        <w:t>95%CI:</w:t>
      </w:r>
      <w:r w:rsidR="00E22B16" w:rsidRPr="002575A7">
        <w:rPr>
          <w:rFonts w:ascii="Book Antiqua" w:hAnsi="Book Antiqua" w:cs="Times New Roman"/>
          <w:sz w:val="24"/>
          <w:szCs w:val="24"/>
          <w:lang w:val="en-US"/>
        </w:rPr>
        <w:t xml:space="preserve"> 0.89</w:t>
      </w:r>
      <w:r w:rsidR="00B60AE3">
        <w:rPr>
          <w:rFonts w:ascii="Book Antiqua" w:hAnsi="Book Antiqua" w:cs="Times New Roman"/>
          <w:sz w:val="24"/>
          <w:szCs w:val="24"/>
          <w:lang w:val="en-US"/>
        </w:rPr>
        <w:t>-</w:t>
      </w:r>
      <w:r w:rsidR="00E22B16" w:rsidRPr="002575A7">
        <w:rPr>
          <w:rFonts w:ascii="Book Antiqua" w:hAnsi="Book Antiqua" w:cs="Times New Roman"/>
          <w:sz w:val="24"/>
          <w:szCs w:val="24"/>
          <w:lang w:val="en-US"/>
        </w:rPr>
        <w:t xml:space="preserve">1.67;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E22B16" w:rsidRPr="002575A7">
        <w:rPr>
          <w:rFonts w:ascii="Book Antiqua" w:hAnsi="Book Antiqua" w:cs="Times New Roman"/>
          <w:sz w:val="24"/>
          <w:szCs w:val="24"/>
          <w:lang w:val="en-US"/>
        </w:rPr>
        <w:t xml:space="preserve">= 0.219; Figure </w:t>
      </w:r>
      <w:r w:rsidR="00DF2E6E" w:rsidRPr="002575A7">
        <w:rPr>
          <w:rFonts w:ascii="Book Antiqua" w:hAnsi="Book Antiqua" w:cs="Times New Roman"/>
          <w:sz w:val="24"/>
          <w:szCs w:val="24"/>
          <w:lang w:val="en-US"/>
        </w:rPr>
        <w:t>1C</w:t>
      </w:r>
      <w:r w:rsidR="00E22B16" w:rsidRPr="002575A7">
        <w:rPr>
          <w:rFonts w:ascii="Book Antiqua" w:hAnsi="Book Antiqua" w:cs="Times New Roman"/>
          <w:sz w:val="24"/>
          <w:szCs w:val="24"/>
          <w:lang w:val="en-US"/>
        </w:rPr>
        <w:t>)</w:t>
      </w:r>
      <w:r w:rsidR="008341A9" w:rsidRPr="002575A7">
        <w:rPr>
          <w:rFonts w:ascii="Book Antiqua" w:hAnsi="Book Antiqua" w:cs="Times New Roman"/>
          <w:sz w:val="24"/>
          <w:szCs w:val="24"/>
          <w:lang w:val="en-US"/>
        </w:rPr>
        <w:t xml:space="preserve"> and PFS </w:t>
      </w:r>
      <w:r w:rsidR="00E22B16" w:rsidRPr="002575A7">
        <w:rPr>
          <w:rFonts w:ascii="Book Antiqua" w:hAnsi="Book Antiqua" w:cs="Times New Roman"/>
          <w:sz w:val="24"/>
          <w:szCs w:val="24"/>
          <w:lang w:val="en-US"/>
        </w:rPr>
        <w:t>(HR</w:t>
      </w:r>
      <w:r w:rsidR="00B60AE3">
        <w:rPr>
          <w:rFonts w:ascii="Book Antiqua" w:hAnsi="Book Antiqua" w:cs="Times New Roman"/>
          <w:sz w:val="24"/>
          <w:szCs w:val="24"/>
          <w:lang w:val="en-US"/>
        </w:rPr>
        <w:t xml:space="preserve"> </w:t>
      </w:r>
      <w:r w:rsidR="00E22B16" w:rsidRPr="002575A7">
        <w:rPr>
          <w:rFonts w:ascii="Book Antiqua" w:hAnsi="Book Antiqua" w:cs="Times New Roman"/>
          <w:sz w:val="24"/>
          <w:szCs w:val="24"/>
          <w:lang w:val="en-US"/>
        </w:rPr>
        <w:t xml:space="preserve">= 1.27; </w:t>
      </w:r>
      <w:r w:rsidR="00B60AE3">
        <w:rPr>
          <w:rFonts w:ascii="Book Antiqua" w:hAnsi="Book Antiqua" w:cs="Times New Roman"/>
          <w:sz w:val="24"/>
          <w:szCs w:val="24"/>
          <w:lang w:val="en-US"/>
        </w:rPr>
        <w:t>95%CI:</w:t>
      </w:r>
      <w:r w:rsidR="00E22B16" w:rsidRPr="002575A7">
        <w:rPr>
          <w:rFonts w:ascii="Book Antiqua" w:hAnsi="Book Antiqua" w:cs="Times New Roman"/>
          <w:sz w:val="24"/>
          <w:szCs w:val="24"/>
          <w:lang w:val="en-US"/>
        </w:rPr>
        <w:t xml:space="preserve"> 0.94</w:t>
      </w:r>
      <w:r w:rsidR="00B60AE3">
        <w:rPr>
          <w:rFonts w:ascii="Book Antiqua" w:hAnsi="Book Antiqua" w:cs="Times New Roman"/>
          <w:sz w:val="24"/>
          <w:szCs w:val="24"/>
          <w:lang w:val="en-US"/>
        </w:rPr>
        <w:t>-</w:t>
      </w:r>
      <w:r w:rsidR="00E22B16" w:rsidRPr="002575A7">
        <w:rPr>
          <w:rFonts w:ascii="Book Antiqua" w:hAnsi="Book Antiqua" w:cs="Times New Roman"/>
          <w:sz w:val="24"/>
          <w:szCs w:val="24"/>
          <w:lang w:val="en-US"/>
        </w:rPr>
        <w:t xml:space="preserve">1.71;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E22B16" w:rsidRPr="002575A7">
        <w:rPr>
          <w:rFonts w:ascii="Book Antiqua" w:hAnsi="Book Antiqua" w:cs="Times New Roman"/>
          <w:sz w:val="24"/>
          <w:szCs w:val="24"/>
          <w:lang w:val="en-US"/>
        </w:rPr>
        <w:t xml:space="preserve">= 0.120; Figure </w:t>
      </w:r>
      <w:r w:rsidR="00DF2E6E" w:rsidRPr="002575A7">
        <w:rPr>
          <w:rFonts w:ascii="Book Antiqua" w:hAnsi="Book Antiqua" w:cs="Times New Roman"/>
          <w:sz w:val="24"/>
          <w:szCs w:val="24"/>
          <w:lang w:val="en-US"/>
        </w:rPr>
        <w:t>1D</w:t>
      </w:r>
      <w:r w:rsidR="00E22B16" w:rsidRPr="002575A7">
        <w:rPr>
          <w:rFonts w:ascii="Book Antiqua" w:hAnsi="Book Antiqua" w:cs="Times New Roman"/>
          <w:sz w:val="24"/>
          <w:szCs w:val="24"/>
          <w:lang w:val="en-US"/>
        </w:rPr>
        <w:t>).</w:t>
      </w:r>
      <w:r w:rsidR="00A5576F" w:rsidRPr="002575A7">
        <w:rPr>
          <w:rFonts w:ascii="Book Antiqua" w:hAnsi="Book Antiqua" w:cs="Times New Roman"/>
          <w:sz w:val="24"/>
          <w:szCs w:val="24"/>
          <w:lang w:val="en-US"/>
        </w:rPr>
        <w:t xml:space="preserve"> There was no</w:t>
      </w:r>
      <w:r w:rsidR="00294CC0" w:rsidRPr="002575A7">
        <w:rPr>
          <w:rFonts w:ascii="Book Antiqua" w:hAnsi="Book Antiqua" w:cs="Times New Roman"/>
          <w:sz w:val="24"/>
          <w:szCs w:val="24"/>
          <w:lang w:val="en-US"/>
        </w:rPr>
        <w:t xml:space="preserve"> statistical</w:t>
      </w:r>
      <w:r w:rsidR="00E03E3C">
        <w:rPr>
          <w:rFonts w:ascii="Book Antiqua" w:hAnsi="Book Antiqua" w:cs="Times New Roman"/>
          <w:sz w:val="24"/>
          <w:szCs w:val="24"/>
          <w:lang w:val="en-US"/>
        </w:rPr>
        <w:t>ly significant</w:t>
      </w:r>
      <w:r w:rsidR="00A5576F" w:rsidRPr="002575A7">
        <w:rPr>
          <w:rFonts w:ascii="Book Antiqua" w:hAnsi="Book Antiqua" w:cs="Times New Roman"/>
          <w:sz w:val="24"/>
          <w:szCs w:val="24"/>
          <w:lang w:val="en-US"/>
        </w:rPr>
        <w:t xml:space="preserve"> difference </w:t>
      </w:r>
      <w:r w:rsidR="0061548B">
        <w:rPr>
          <w:rFonts w:ascii="Book Antiqua" w:hAnsi="Book Antiqua" w:cs="Times New Roman"/>
          <w:sz w:val="24"/>
          <w:szCs w:val="24"/>
          <w:lang w:val="en-US"/>
        </w:rPr>
        <w:t>in</w:t>
      </w:r>
      <w:r w:rsidR="00743746" w:rsidRPr="002575A7">
        <w:rPr>
          <w:rFonts w:ascii="Book Antiqua" w:hAnsi="Book Antiqua" w:cs="Times New Roman"/>
          <w:sz w:val="24"/>
          <w:szCs w:val="24"/>
          <w:lang w:val="en-US"/>
        </w:rPr>
        <w:t xml:space="preserve"> </w:t>
      </w:r>
      <w:r w:rsidR="00A5576F" w:rsidRPr="002575A7">
        <w:rPr>
          <w:rFonts w:ascii="Book Antiqua" w:hAnsi="Book Antiqua" w:cs="Times New Roman"/>
          <w:sz w:val="24"/>
          <w:szCs w:val="24"/>
          <w:lang w:val="en-US"/>
        </w:rPr>
        <w:t>objective response (</w:t>
      </w:r>
      <w:r w:rsidR="00B60AE3" w:rsidRPr="00B60AE3">
        <w:rPr>
          <w:rFonts w:ascii="Book Antiqua" w:hAnsi="Book Antiqua" w:cs="Times New Roman"/>
          <w:i/>
          <w:iCs/>
          <w:sz w:val="24"/>
          <w:szCs w:val="24"/>
          <w:lang w:val="en-US"/>
        </w:rPr>
        <w:t>P</w:t>
      </w:r>
      <w:r w:rsidR="00B60AE3" w:rsidRPr="002575A7">
        <w:rPr>
          <w:rFonts w:ascii="Times New Roman" w:hAnsi="Times New Roman" w:cs="Times New Roman"/>
          <w:sz w:val="24"/>
          <w:szCs w:val="24"/>
          <w:lang w:val="en-US"/>
        </w:rPr>
        <w:t xml:space="preserve"> </w:t>
      </w:r>
      <w:r w:rsidR="00A5576F" w:rsidRPr="002575A7">
        <w:rPr>
          <w:rFonts w:ascii="Book Antiqua" w:hAnsi="Book Antiqua" w:cs="Times New Roman"/>
          <w:sz w:val="24"/>
          <w:szCs w:val="24"/>
          <w:lang w:val="en-US"/>
        </w:rPr>
        <w:t>= 0.</w:t>
      </w:r>
      <w:r w:rsidR="00054691" w:rsidRPr="002575A7">
        <w:rPr>
          <w:rFonts w:ascii="Book Antiqua" w:hAnsi="Book Antiqua" w:cs="Times New Roman"/>
          <w:sz w:val="24"/>
          <w:szCs w:val="24"/>
          <w:lang w:val="en-US"/>
        </w:rPr>
        <w:t>079</w:t>
      </w:r>
      <w:r w:rsidR="00A5576F" w:rsidRPr="002575A7">
        <w:rPr>
          <w:rFonts w:ascii="Book Antiqua" w:hAnsi="Book Antiqua" w:cs="Times New Roman"/>
          <w:sz w:val="24"/>
          <w:szCs w:val="24"/>
          <w:lang w:val="en-US"/>
        </w:rPr>
        <w:t>), maintenance chemotherapy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A5576F" w:rsidRPr="002575A7">
        <w:rPr>
          <w:rFonts w:ascii="Book Antiqua" w:hAnsi="Book Antiqua" w:cs="Times New Roman"/>
          <w:sz w:val="24"/>
          <w:szCs w:val="24"/>
          <w:lang w:val="en-US"/>
        </w:rPr>
        <w:t xml:space="preserve">= </w:t>
      </w:r>
      <w:r w:rsidR="00054691" w:rsidRPr="002575A7">
        <w:rPr>
          <w:rFonts w:ascii="Book Antiqua" w:hAnsi="Book Antiqua" w:cs="Times New Roman"/>
          <w:sz w:val="24"/>
          <w:szCs w:val="24"/>
          <w:lang w:val="en-US"/>
        </w:rPr>
        <w:t>0.553</w:t>
      </w:r>
      <w:r w:rsidR="00A5576F" w:rsidRPr="002575A7">
        <w:rPr>
          <w:rFonts w:ascii="Book Antiqua" w:hAnsi="Book Antiqua" w:cs="Times New Roman"/>
          <w:sz w:val="24"/>
          <w:szCs w:val="24"/>
          <w:lang w:val="en-US"/>
        </w:rPr>
        <w:t>)</w:t>
      </w:r>
      <w:r w:rsidR="00B86D0C" w:rsidRPr="002575A7">
        <w:rPr>
          <w:rFonts w:ascii="Book Antiqua" w:hAnsi="Book Antiqua" w:cs="Times New Roman"/>
          <w:sz w:val="24"/>
          <w:szCs w:val="24"/>
          <w:lang w:val="en-US"/>
        </w:rPr>
        <w:t>,</w:t>
      </w:r>
      <w:r w:rsidR="00A5576F" w:rsidRPr="002575A7">
        <w:rPr>
          <w:rFonts w:ascii="Book Antiqua" w:hAnsi="Book Antiqua" w:cs="Times New Roman"/>
          <w:sz w:val="24"/>
          <w:szCs w:val="24"/>
          <w:lang w:val="en-US"/>
        </w:rPr>
        <w:t xml:space="preserve"> </w:t>
      </w:r>
      <w:r w:rsidR="0061548B">
        <w:rPr>
          <w:rFonts w:ascii="Book Antiqua" w:hAnsi="Book Antiqua" w:cs="Times New Roman"/>
          <w:sz w:val="24"/>
          <w:szCs w:val="24"/>
          <w:lang w:val="en-US"/>
        </w:rPr>
        <w:t>or</w:t>
      </w:r>
      <w:r w:rsidR="0061548B" w:rsidRPr="002575A7">
        <w:rPr>
          <w:rFonts w:ascii="Book Antiqua" w:hAnsi="Book Antiqua" w:cs="Times New Roman"/>
          <w:sz w:val="24"/>
          <w:szCs w:val="24"/>
          <w:lang w:val="en-US"/>
        </w:rPr>
        <w:t xml:space="preserve"> </w:t>
      </w:r>
      <w:r w:rsidR="00A5576F" w:rsidRPr="002575A7">
        <w:rPr>
          <w:rFonts w:ascii="Book Antiqua" w:hAnsi="Book Antiqua" w:cs="Times New Roman"/>
          <w:sz w:val="24"/>
          <w:szCs w:val="24"/>
          <w:lang w:val="en-US"/>
        </w:rPr>
        <w:t>second-line administration rates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A5576F" w:rsidRPr="002575A7">
        <w:rPr>
          <w:rFonts w:ascii="Book Antiqua" w:hAnsi="Book Antiqua" w:cs="Times New Roman"/>
          <w:sz w:val="24"/>
          <w:szCs w:val="24"/>
          <w:lang w:val="en-US"/>
        </w:rPr>
        <w:t xml:space="preserve">= </w:t>
      </w:r>
      <w:r w:rsidR="006238FC" w:rsidRPr="002575A7">
        <w:rPr>
          <w:rFonts w:ascii="Book Antiqua" w:hAnsi="Book Antiqua" w:cs="Times New Roman"/>
          <w:sz w:val="24"/>
          <w:szCs w:val="24"/>
          <w:lang w:val="en-US"/>
        </w:rPr>
        <w:t>0.636).</w:t>
      </w:r>
      <w:r w:rsidR="00D1047E" w:rsidRPr="002575A7">
        <w:rPr>
          <w:rFonts w:ascii="Book Antiqua" w:hAnsi="Book Antiqua" w:cs="Times New Roman"/>
          <w:sz w:val="24"/>
          <w:szCs w:val="24"/>
          <w:lang w:val="en-US"/>
        </w:rPr>
        <w:t xml:space="preserve"> </w:t>
      </w:r>
      <w:r w:rsidR="004D0BF1" w:rsidRPr="002575A7">
        <w:rPr>
          <w:rFonts w:ascii="Book Antiqua" w:hAnsi="Book Antiqua" w:cs="Times New Roman"/>
          <w:sz w:val="24"/>
          <w:szCs w:val="24"/>
          <w:lang w:val="en-US"/>
        </w:rPr>
        <w:t>G</w:t>
      </w:r>
      <w:r w:rsidR="008341A9" w:rsidRPr="002575A7">
        <w:rPr>
          <w:rFonts w:ascii="Book Antiqua" w:hAnsi="Book Antiqua" w:cs="Times New Roman"/>
          <w:sz w:val="24"/>
          <w:szCs w:val="24"/>
          <w:lang w:val="en-US"/>
        </w:rPr>
        <w:t xml:space="preserve">rade 3 or 4 toxicities </w:t>
      </w:r>
      <w:r w:rsidR="002575A7" w:rsidRPr="002575A7">
        <w:rPr>
          <w:rFonts w:ascii="Book Antiqua" w:hAnsi="Book Antiqua" w:cs="Times New Roman"/>
          <w:sz w:val="24"/>
          <w:szCs w:val="24"/>
          <w:lang w:val="en-US"/>
        </w:rPr>
        <w:t>remained</w:t>
      </w:r>
      <w:r w:rsidR="00743746" w:rsidRPr="002575A7">
        <w:rPr>
          <w:rFonts w:ascii="Book Antiqua" w:hAnsi="Book Antiqua" w:cs="Times New Roman"/>
          <w:sz w:val="24"/>
          <w:szCs w:val="24"/>
          <w:lang w:val="en-US"/>
        </w:rPr>
        <w:t xml:space="preserve"> </w:t>
      </w:r>
      <w:r w:rsidR="006238FC" w:rsidRPr="002575A7">
        <w:rPr>
          <w:rFonts w:ascii="Book Antiqua" w:hAnsi="Book Antiqua" w:cs="Times New Roman"/>
          <w:sz w:val="24"/>
          <w:szCs w:val="24"/>
          <w:lang w:val="en-US"/>
        </w:rPr>
        <w:t xml:space="preserve">unchanged </w:t>
      </w:r>
      <w:r w:rsidR="00A5576F" w:rsidRPr="002575A7">
        <w:rPr>
          <w:rFonts w:ascii="Book Antiqua" w:hAnsi="Book Antiqua" w:cs="Times New Roman"/>
          <w:sz w:val="24"/>
          <w:szCs w:val="24"/>
          <w:lang w:val="en-US"/>
        </w:rPr>
        <w:t xml:space="preserve">between the two </w:t>
      </w:r>
      <w:r w:rsidR="006238FC" w:rsidRPr="002575A7">
        <w:rPr>
          <w:rFonts w:ascii="Book Antiqua" w:hAnsi="Book Antiqua" w:cs="Times New Roman"/>
          <w:sz w:val="24"/>
          <w:szCs w:val="24"/>
          <w:lang w:val="en-US"/>
        </w:rPr>
        <w:t>treatments</w:t>
      </w:r>
      <w:r w:rsidR="008341A9" w:rsidRPr="002575A7">
        <w:rPr>
          <w:rFonts w:ascii="Book Antiqua" w:hAnsi="Book Antiqua" w:cs="Times New Roman"/>
          <w:sz w:val="24"/>
          <w:szCs w:val="24"/>
          <w:lang w:val="en-US"/>
        </w:rPr>
        <w:t xml:space="preserve"> </w:t>
      </w:r>
      <w:r w:rsidR="006238FC" w:rsidRPr="002575A7">
        <w:rPr>
          <w:rFonts w:ascii="Book Antiqua" w:hAnsi="Book Antiqua" w:cs="Times New Roman"/>
          <w:sz w:val="24"/>
          <w:szCs w:val="24"/>
          <w:lang w:val="en-US"/>
        </w:rPr>
        <w:t xml:space="preserve">(20% in </w:t>
      </w:r>
      <w:r w:rsidR="002C1EDE" w:rsidRPr="002575A7">
        <w:rPr>
          <w:rFonts w:ascii="Book Antiqua" w:hAnsi="Book Antiqua" w:cs="Times New Roman"/>
          <w:sz w:val="24"/>
          <w:szCs w:val="24"/>
          <w:lang w:val="en-US"/>
        </w:rPr>
        <w:t xml:space="preserve">the </w:t>
      </w:r>
      <w:r w:rsidR="006238FC" w:rsidRPr="002575A7">
        <w:rPr>
          <w:rFonts w:ascii="Book Antiqua" w:hAnsi="Book Antiqua" w:cs="Times New Roman"/>
          <w:sz w:val="24"/>
          <w:szCs w:val="24"/>
          <w:lang w:val="en-US"/>
        </w:rPr>
        <w:t xml:space="preserve">FOLFIRINOX group </w:t>
      </w:r>
      <w:r w:rsidR="009D1BBF" w:rsidRPr="00864BDB">
        <w:rPr>
          <w:rFonts w:ascii="Book Antiqua" w:hAnsi="Book Antiqua" w:cs="Times New Roman"/>
          <w:i/>
          <w:iCs/>
          <w:sz w:val="24"/>
          <w:szCs w:val="24"/>
          <w:lang w:val="en-US"/>
        </w:rPr>
        <w:t>vs</w:t>
      </w:r>
      <w:r w:rsidR="006238FC" w:rsidRPr="002575A7">
        <w:rPr>
          <w:rFonts w:ascii="Book Antiqua" w:hAnsi="Book Antiqua" w:cs="Times New Roman"/>
          <w:sz w:val="24"/>
          <w:szCs w:val="24"/>
          <w:lang w:val="en-US"/>
        </w:rPr>
        <w:t xml:space="preserve"> 29.2% in </w:t>
      </w:r>
      <w:r w:rsidR="002C1EDE" w:rsidRPr="002575A7">
        <w:rPr>
          <w:rFonts w:ascii="Book Antiqua" w:hAnsi="Book Antiqua" w:cs="Times New Roman"/>
          <w:sz w:val="24"/>
          <w:szCs w:val="24"/>
          <w:lang w:val="en-US"/>
        </w:rPr>
        <w:t xml:space="preserve">the </w:t>
      </w:r>
      <w:r w:rsidR="006238FC" w:rsidRPr="002575A7">
        <w:rPr>
          <w:rFonts w:ascii="Book Antiqua" w:hAnsi="Book Antiqua" w:cs="Times New Roman"/>
          <w:sz w:val="24"/>
          <w:szCs w:val="24"/>
          <w:lang w:val="en-US"/>
        </w:rPr>
        <w:t xml:space="preserve">FOLFOXIRI group,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6238FC" w:rsidRPr="002575A7">
        <w:rPr>
          <w:rFonts w:ascii="Book Antiqua" w:hAnsi="Book Antiqua" w:cs="Times New Roman"/>
          <w:sz w:val="24"/>
          <w:szCs w:val="24"/>
          <w:lang w:val="en-US"/>
        </w:rPr>
        <w:t>= 0</w:t>
      </w:r>
      <w:r w:rsidR="00402022" w:rsidRPr="002575A7">
        <w:rPr>
          <w:rFonts w:ascii="Book Antiqua" w:hAnsi="Book Antiqua" w:cs="Times New Roman"/>
          <w:sz w:val="24"/>
          <w:szCs w:val="24"/>
          <w:lang w:val="en-US"/>
        </w:rPr>
        <w:t>.</w:t>
      </w:r>
      <w:r w:rsidR="00054691" w:rsidRPr="002575A7">
        <w:rPr>
          <w:rFonts w:ascii="Book Antiqua" w:hAnsi="Book Antiqua" w:cs="Times New Roman"/>
          <w:sz w:val="24"/>
          <w:szCs w:val="24"/>
          <w:lang w:val="en-US"/>
        </w:rPr>
        <w:t>148</w:t>
      </w:r>
      <w:r w:rsidR="006238FC"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434702">
        <w:rPr>
          <w:rFonts w:ascii="Book Antiqua" w:hAnsi="Book Antiqua" w:cs="Times New Roman"/>
          <w:sz w:val="24"/>
          <w:szCs w:val="24"/>
          <w:lang w:val="en-US"/>
        </w:rPr>
        <w:t>The i</w:t>
      </w:r>
      <w:r w:rsidRPr="002575A7">
        <w:rPr>
          <w:rFonts w:ascii="Book Antiqua" w:hAnsi="Book Antiqua" w:cs="Times New Roman"/>
          <w:sz w:val="24"/>
          <w:szCs w:val="24"/>
          <w:lang w:val="en-US"/>
        </w:rPr>
        <w:t xml:space="preserve">ncidence of grade 3 or 4 </w:t>
      </w:r>
      <w:r w:rsidR="00147152" w:rsidRPr="002575A7">
        <w:rPr>
          <w:rFonts w:ascii="Book Antiqua" w:hAnsi="Book Antiqua" w:cs="Times New Roman"/>
          <w:sz w:val="24"/>
          <w:szCs w:val="24"/>
          <w:lang w:val="en-US"/>
        </w:rPr>
        <w:t>digestive adverse events</w:t>
      </w:r>
      <w:r w:rsidRPr="002575A7">
        <w:rPr>
          <w:rFonts w:ascii="Book Antiqua" w:hAnsi="Book Antiqua" w:cs="Times New Roman"/>
          <w:sz w:val="24"/>
          <w:szCs w:val="24"/>
          <w:lang w:val="en-US"/>
        </w:rPr>
        <w:t xml:space="preserve"> remained higher in the FOLFOXIRI group (9.4% </w:t>
      </w:r>
      <w:r w:rsidR="009D1BBF" w:rsidRPr="00864BDB">
        <w:rPr>
          <w:rFonts w:ascii="Book Antiqua" w:hAnsi="Book Antiqua" w:cs="Times New Roman"/>
          <w:i/>
          <w:iCs/>
          <w:sz w:val="24"/>
          <w:szCs w:val="24"/>
          <w:lang w:val="en-US"/>
        </w:rPr>
        <w:t>vs</w:t>
      </w:r>
      <w:r w:rsidRPr="002575A7">
        <w:rPr>
          <w:rFonts w:ascii="Book Antiqua" w:hAnsi="Book Antiqua" w:cs="Times New Roman"/>
          <w:sz w:val="24"/>
          <w:szCs w:val="24"/>
          <w:lang w:val="en-US"/>
        </w:rPr>
        <w:t xml:space="preserve"> 5.6%</w:t>
      </w:r>
      <w:r w:rsidR="00D1047E" w:rsidRPr="002575A7">
        <w:rPr>
          <w:rFonts w:ascii="Book Antiqua" w:hAnsi="Book Antiqua" w:cs="Times New Roman"/>
          <w:sz w:val="24"/>
          <w:szCs w:val="24"/>
          <w:lang w:val="en-US"/>
        </w:rPr>
        <w:t xml:space="preserve">) (Table </w:t>
      </w:r>
      <w:r w:rsidR="009C2DDF" w:rsidRPr="002575A7">
        <w:rPr>
          <w:rFonts w:ascii="Book Antiqua" w:hAnsi="Book Antiqua" w:cs="Times New Roman"/>
          <w:sz w:val="24"/>
          <w:szCs w:val="24"/>
          <w:lang w:val="en-US"/>
        </w:rPr>
        <w:t>2</w:t>
      </w:r>
      <w:r w:rsidR="00D1047E" w:rsidRPr="002575A7">
        <w:rPr>
          <w:rFonts w:ascii="Book Antiqua" w:hAnsi="Book Antiqua" w:cs="Times New Roman"/>
          <w:sz w:val="24"/>
          <w:szCs w:val="24"/>
          <w:lang w:val="en-US"/>
        </w:rPr>
        <w:t>).</w:t>
      </w:r>
    </w:p>
    <w:p w14:paraId="0BC0A716" w14:textId="77777777" w:rsidR="00B976D8" w:rsidRPr="002575A7" w:rsidRDefault="00B976D8" w:rsidP="00864BDB">
      <w:pPr>
        <w:snapToGrid w:val="0"/>
        <w:spacing w:after="0" w:line="360" w:lineRule="auto"/>
        <w:jc w:val="both"/>
        <w:rPr>
          <w:rFonts w:ascii="Book Antiqua" w:hAnsi="Book Antiqua" w:cs="Times New Roman"/>
          <w:sz w:val="24"/>
          <w:szCs w:val="24"/>
          <w:lang w:val="en-US"/>
        </w:rPr>
      </w:pPr>
    </w:p>
    <w:p w14:paraId="15868498" w14:textId="5C142B17" w:rsidR="00CF3788" w:rsidRPr="002575A7" w:rsidRDefault="00230401" w:rsidP="00864BDB">
      <w:pPr>
        <w:snapToGrid w:val="0"/>
        <w:spacing w:after="0" w:line="360" w:lineRule="auto"/>
        <w:jc w:val="both"/>
        <w:rPr>
          <w:rFonts w:ascii="Book Antiqua" w:hAnsi="Book Antiqua" w:cs="Times New Roman"/>
          <w:b/>
          <w:i/>
          <w:sz w:val="24"/>
          <w:szCs w:val="24"/>
          <w:lang w:val="en-US"/>
        </w:rPr>
      </w:pPr>
      <w:r w:rsidRPr="002575A7">
        <w:rPr>
          <w:rFonts w:ascii="Book Antiqua" w:hAnsi="Book Antiqua" w:cs="Times New Roman"/>
          <w:b/>
          <w:i/>
          <w:sz w:val="24"/>
          <w:szCs w:val="24"/>
          <w:lang w:val="en-US"/>
        </w:rPr>
        <w:t xml:space="preserve">Sensitivity analyses in </w:t>
      </w:r>
      <w:r w:rsidR="00C95BE9" w:rsidRPr="002575A7">
        <w:rPr>
          <w:rFonts w:ascii="Book Antiqua" w:hAnsi="Book Antiqua" w:cs="Times New Roman"/>
          <w:b/>
          <w:i/>
          <w:sz w:val="24"/>
          <w:szCs w:val="24"/>
          <w:lang w:val="en-US"/>
        </w:rPr>
        <w:t xml:space="preserve">the </w:t>
      </w:r>
      <w:r w:rsidR="00CF3788" w:rsidRPr="002575A7">
        <w:rPr>
          <w:rFonts w:ascii="Book Antiqua" w:hAnsi="Book Antiqua" w:cs="Times New Roman"/>
          <w:b/>
          <w:i/>
          <w:sz w:val="24"/>
          <w:szCs w:val="24"/>
          <w:lang w:val="en-US"/>
        </w:rPr>
        <w:t>subgroup of patients with metastatic disease</w:t>
      </w:r>
    </w:p>
    <w:p w14:paraId="6084362D" w14:textId="54DBA03D" w:rsidR="002C1EDE" w:rsidRPr="002575A7" w:rsidRDefault="00472B50" w:rsidP="00864BDB">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S</w:t>
      </w:r>
      <w:r w:rsidR="00D25F2B" w:rsidRPr="002575A7">
        <w:rPr>
          <w:rFonts w:ascii="Book Antiqua" w:hAnsi="Book Antiqua" w:cs="Times New Roman"/>
          <w:sz w:val="24"/>
          <w:szCs w:val="24"/>
          <w:lang w:val="en-US"/>
        </w:rPr>
        <w:t>ensitivity analysis</w:t>
      </w:r>
      <w:r w:rsidR="00B2343B" w:rsidRPr="002575A7">
        <w:rPr>
          <w:rFonts w:ascii="Book Antiqua" w:hAnsi="Book Antiqua" w:cs="Times New Roman"/>
          <w:sz w:val="24"/>
          <w:szCs w:val="24"/>
          <w:lang w:val="en-US"/>
        </w:rPr>
        <w:t xml:space="preserve"> was performed </w:t>
      </w:r>
      <w:r w:rsidR="00743746" w:rsidRPr="002575A7">
        <w:rPr>
          <w:rFonts w:ascii="Book Antiqua" w:hAnsi="Book Antiqua" w:cs="Times New Roman"/>
          <w:sz w:val="24"/>
          <w:szCs w:val="24"/>
          <w:lang w:val="en-US"/>
        </w:rPr>
        <w:t xml:space="preserve">exclusively </w:t>
      </w:r>
      <w:r w:rsidR="00B2343B" w:rsidRPr="002575A7">
        <w:rPr>
          <w:rFonts w:ascii="Book Antiqua" w:hAnsi="Book Antiqua" w:cs="Times New Roman"/>
          <w:sz w:val="24"/>
          <w:szCs w:val="24"/>
          <w:lang w:val="en-US"/>
        </w:rPr>
        <w:t xml:space="preserve">including </w:t>
      </w:r>
      <w:r w:rsidR="00CF3788" w:rsidRPr="002575A7">
        <w:rPr>
          <w:rFonts w:ascii="Book Antiqua" w:hAnsi="Book Antiqua" w:cs="Times New Roman"/>
          <w:sz w:val="24"/>
          <w:szCs w:val="24"/>
          <w:lang w:val="en-US"/>
        </w:rPr>
        <w:t xml:space="preserve">the metastatic population from the </w:t>
      </w:r>
      <w:r w:rsidR="00CD5CCD">
        <w:rPr>
          <w:rFonts w:ascii="Book Antiqua" w:hAnsi="Book Antiqua" w:cs="Times New Roman"/>
          <w:sz w:val="24"/>
          <w:szCs w:val="24"/>
          <w:lang w:val="en-US"/>
        </w:rPr>
        <w:t>two treatment groups</w:t>
      </w:r>
      <w:r w:rsidR="001D6988" w:rsidRPr="002575A7">
        <w:rPr>
          <w:rFonts w:ascii="Book Antiqua" w:hAnsi="Book Antiqua" w:cs="Times New Roman"/>
          <w:sz w:val="24"/>
          <w:szCs w:val="24"/>
          <w:lang w:val="en-US"/>
        </w:rPr>
        <w:t xml:space="preserve">, corresponding to </w:t>
      </w:r>
      <w:r w:rsidR="00B2343B" w:rsidRPr="002575A7">
        <w:rPr>
          <w:rFonts w:ascii="Book Antiqua" w:hAnsi="Book Antiqua" w:cs="Times New Roman"/>
          <w:sz w:val="24"/>
          <w:szCs w:val="24"/>
          <w:lang w:val="en-US"/>
        </w:rPr>
        <w:t>110 patients in</w:t>
      </w:r>
      <w:r w:rsidR="002C1EDE" w:rsidRPr="002575A7">
        <w:rPr>
          <w:rFonts w:ascii="Book Antiqua" w:hAnsi="Book Antiqua" w:cs="Times New Roman"/>
          <w:sz w:val="24"/>
          <w:szCs w:val="24"/>
          <w:lang w:val="en-US"/>
        </w:rPr>
        <w:t xml:space="preserve"> the</w:t>
      </w:r>
      <w:r w:rsidR="00B2343B" w:rsidRPr="002575A7">
        <w:rPr>
          <w:rFonts w:ascii="Book Antiqua" w:hAnsi="Book Antiqua" w:cs="Times New Roman"/>
          <w:sz w:val="24"/>
          <w:szCs w:val="24"/>
          <w:lang w:val="en-US"/>
        </w:rPr>
        <w:t xml:space="preserve"> FOLFIRINOX group and 105 patients in </w:t>
      </w:r>
      <w:r w:rsidR="002C1EDE" w:rsidRPr="002575A7">
        <w:rPr>
          <w:rFonts w:ascii="Book Antiqua" w:hAnsi="Book Antiqua" w:cs="Times New Roman"/>
          <w:sz w:val="24"/>
          <w:szCs w:val="24"/>
          <w:lang w:val="en-US"/>
        </w:rPr>
        <w:t xml:space="preserve">the </w:t>
      </w:r>
      <w:r w:rsidR="00B2343B" w:rsidRPr="002575A7">
        <w:rPr>
          <w:rFonts w:ascii="Book Antiqua" w:hAnsi="Book Antiqua" w:cs="Times New Roman"/>
          <w:sz w:val="24"/>
          <w:szCs w:val="24"/>
          <w:lang w:val="en-US"/>
        </w:rPr>
        <w:t>FOLFOXIRI</w:t>
      </w:r>
      <w:r w:rsidR="00E97C72" w:rsidRPr="002575A7">
        <w:rPr>
          <w:rFonts w:ascii="Book Antiqua" w:hAnsi="Book Antiqua" w:cs="Times New Roman"/>
          <w:sz w:val="24"/>
          <w:szCs w:val="24"/>
          <w:lang w:val="en-US"/>
        </w:rPr>
        <w:t xml:space="preserve"> group</w:t>
      </w:r>
      <w:r w:rsidR="001D6988" w:rsidRPr="002575A7">
        <w:rPr>
          <w:rFonts w:ascii="Book Antiqua" w:hAnsi="Book Antiqua" w:cs="Times New Roman"/>
          <w:sz w:val="24"/>
          <w:szCs w:val="24"/>
          <w:lang w:val="en-US"/>
        </w:rPr>
        <w:t>. Patient characteristics</w:t>
      </w:r>
      <w:r w:rsidR="00B2343B" w:rsidRPr="002575A7">
        <w:rPr>
          <w:rFonts w:ascii="Book Antiqua" w:hAnsi="Book Antiqua" w:cs="Times New Roman"/>
          <w:sz w:val="24"/>
          <w:szCs w:val="24"/>
          <w:lang w:val="en-US"/>
        </w:rPr>
        <w:t xml:space="preserve"> are detailed in </w:t>
      </w:r>
      <w:r w:rsidR="00245F85" w:rsidRPr="002575A7">
        <w:rPr>
          <w:rFonts w:ascii="Book Antiqua" w:hAnsi="Book Antiqua" w:cs="Times New Roman"/>
          <w:sz w:val="24"/>
          <w:szCs w:val="24"/>
          <w:lang w:val="en-US"/>
        </w:rPr>
        <w:t xml:space="preserve">Supplementary </w:t>
      </w:r>
      <w:r w:rsidR="00B2343B" w:rsidRPr="002575A7">
        <w:rPr>
          <w:rFonts w:ascii="Book Antiqua" w:hAnsi="Book Antiqua" w:cs="Times New Roman"/>
          <w:sz w:val="24"/>
          <w:szCs w:val="24"/>
          <w:lang w:val="en-US"/>
        </w:rPr>
        <w:t xml:space="preserve">Table </w:t>
      </w:r>
      <w:r w:rsidR="00245F85" w:rsidRPr="002575A7">
        <w:rPr>
          <w:rFonts w:ascii="Book Antiqua" w:hAnsi="Book Antiqua" w:cs="Times New Roman"/>
          <w:sz w:val="24"/>
          <w:szCs w:val="24"/>
          <w:lang w:val="en-US"/>
        </w:rPr>
        <w:t>3</w:t>
      </w:r>
      <w:r w:rsidR="00B2343B" w:rsidRPr="002575A7">
        <w:rPr>
          <w:rFonts w:ascii="Book Antiqua" w:hAnsi="Book Antiqua" w:cs="Times New Roman"/>
          <w:sz w:val="24"/>
          <w:szCs w:val="24"/>
          <w:lang w:val="en-US"/>
        </w:rPr>
        <w:t>.</w:t>
      </w:r>
      <w:r w:rsidR="001D6988" w:rsidRPr="002575A7">
        <w:rPr>
          <w:rFonts w:ascii="Book Antiqua" w:hAnsi="Book Antiqua" w:cs="Times New Roman"/>
          <w:sz w:val="24"/>
          <w:szCs w:val="24"/>
          <w:lang w:val="en-US"/>
        </w:rPr>
        <w:t xml:space="preserve"> As </w:t>
      </w:r>
      <w:r>
        <w:rPr>
          <w:rFonts w:ascii="Book Antiqua" w:hAnsi="Book Antiqua" w:cs="Times New Roman"/>
          <w:sz w:val="24"/>
          <w:szCs w:val="24"/>
          <w:lang w:val="en-US"/>
        </w:rPr>
        <w:t xml:space="preserve">observed </w:t>
      </w:r>
      <w:r w:rsidR="00743746" w:rsidRPr="002575A7">
        <w:rPr>
          <w:rFonts w:ascii="Book Antiqua" w:hAnsi="Book Antiqua" w:cs="Times New Roman"/>
          <w:sz w:val="24"/>
          <w:szCs w:val="24"/>
          <w:lang w:val="en-US"/>
        </w:rPr>
        <w:t xml:space="preserve">for </w:t>
      </w:r>
      <w:r w:rsidR="001D6988" w:rsidRPr="002575A7">
        <w:rPr>
          <w:rFonts w:ascii="Book Antiqua" w:hAnsi="Book Antiqua" w:cs="Times New Roman"/>
          <w:sz w:val="24"/>
          <w:szCs w:val="24"/>
          <w:lang w:val="en-US"/>
        </w:rPr>
        <w:t xml:space="preserve">the </w:t>
      </w:r>
      <w:r>
        <w:rPr>
          <w:rFonts w:ascii="Book Antiqua" w:hAnsi="Book Antiqua" w:cs="Times New Roman"/>
          <w:sz w:val="24"/>
          <w:szCs w:val="24"/>
          <w:lang w:val="en-US"/>
        </w:rPr>
        <w:t>overall</w:t>
      </w:r>
      <w:r w:rsidRPr="002575A7">
        <w:rPr>
          <w:rFonts w:ascii="Book Antiqua" w:hAnsi="Book Antiqua" w:cs="Times New Roman"/>
          <w:sz w:val="24"/>
          <w:szCs w:val="24"/>
          <w:lang w:val="en-US"/>
        </w:rPr>
        <w:t xml:space="preserve"> </w:t>
      </w:r>
      <w:r w:rsidR="001D6988" w:rsidRPr="002575A7">
        <w:rPr>
          <w:rFonts w:ascii="Book Antiqua" w:hAnsi="Book Antiqua" w:cs="Times New Roman"/>
          <w:sz w:val="24"/>
          <w:szCs w:val="24"/>
          <w:lang w:val="en-US"/>
        </w:rPr>
        <w:t xml:space="preserve">population, </w:t>
      </w:r>
      <w:r w:rsidR="00B2343B" w:rsidRPr="002575A7">
        <w:rPr>
          <w:rFonts w:ascii="Book Antiqua" w:hAnsi="Book Antiqua" w:cs="Times New Roman"/>
          <w:sz w:val="24"/>
          <w:szCs w:val="24"/>
          <w:lang w:val="en-US"/>
        </w:rPr>
        <w:t>characteristics</w:t>
      </w:r>
      <w:r w:rsidR="00743746" w:rsidRPr="002575A7">
        <w:rPr>
          <w:rFonts w:ascii="Book Antiqua" w:hAnsi="Book Antiqua" w:cs="Times New Roman"/>
          <w:sz w:val="24"/>
          <w:szCs w:val="24"/>
          <w:lang w:val="en-US"/>
        </w:rPr>
        <w:t xml:space="preserve"> were </w:t>
      </w:r>
      <w:r w:rsidRPr="002575A7">
        <w:rPr>
          <w:rFonts w:ascii="Book Antiqua" w:hAnsi="Book Antiqua" w:cs="Times New Roman"/>
          <w:sz w:val="24"/>
          <w:szCs w:val="24"/>
          <w:lang w:val="en-US"/>
        </w:rPr>
        <w:t>similar</w:t>
      </w:r>
      <w:r w:rsidR="00B2343B" w:rsidRPr="002575A7">
        <w:rPr>
          <w:rFonts w:ascii="Book Antiqua" w:hAnsi="Book Antiqua" w:cs="Times New Roman"/>
          <w:sz w:val="24"/>
          <w:szCs w:val="24"/>
          <w:lang w:val="en-US"/>
        </w:rPr>
        <w:t xml:space="preserve">, except for histological grade, </w:t>
      </w:r>
      <w:r w:rsidR="001D6988" w:rsidRPr="002575A7">
        <w:rPr>
          <w:rFonts w:ascii="Book Antiqua" w:hAnsi="Book Antiqua" w:cs="Times New Roman"/>
          <w:sz w:val="24"/>
          <w:szCs w:val="24"/>
          <w:lang w:val="en-US"/>
        </w:rPr>
        <w:t>lymph node metastases, pain</w:t>
      </w:r>
      <w:r w:rsidR="004959F4" w:rsidRPr="002575A7">
        <w:rPr>
          <w:rFonts w:ascii="Book Antiqua" w:hAnsi="Book Antiqua" w:cs="Times New Roman"/>
          <w:sz w:val="24"/>
          <w:szCs w:val="24"/>
          <w:lang w:val="en-US"/>
        </w:rPr>
        <w:t>,</w:t>
      </w:r>
      <w:r w:rsidR="001D6988" w:rsidRPr="002575A7">
        <w:rPr>
          <w:rFonts w:ascii="Book Antiqua" w:hAnsi="Book Antiqua" w:cs="Times New Roman"/>
          <w:sz w:val="24"/>
          <w:szCs w:val="24"/>
          <w:lang w:val="en-US"/>
        </w:rPr>
        <w:t xml:space="preserve"> and albumin level (</w:t>
      </w:r>
      <w:r w:rsidR="00804F21" w:rsidRPr="002575A7">
        <w:rPr>
          <w:rFonts w:ascii="Book Antiqua" w:hAnsi="Book Antiqua" w:cs="Times New Roman"/>
          <w:sz w:val="24"/>
          <w:szCs w:val="24"/>
          <w:lang w:val="en-US"/>
        </w:rPr>
        <w:t xml:space="preserve">39 </w:t>
      </w:r>
      <w:r w:rsidR="002C1EDE" w:rsidRPr="002575A7">
        <w:rPr>
          <w:rFonts w:ascii="Book Antiqua" w:hAnsi="Book Antiqua" w:cs="Times New Roman"/>
          <w:sz w:val="24"/>
          <w:szCs w:val="24"/>
          <w:lang w:val="en-US"/>
        </w:rPr>
        <w:t xml:space="preserve">g/L in the FOLFIRINOX group </w:t>
      </w:r>
      <w:r w:rsidR="009D1BBF" w:rsidRPr="00864BDB">
        <w:rPr>
          <w:rFonts w:ascii="Book Antiqua" w:hAnsi="Book Antiqua" w:cs="Times New Roman"/>
          <w:i/>
          <w:iCs/>
          <w:sz w:val="24"/>
          <w:szCs w:val="24"/>
          <w:lang w:val="en-US"/>
        </w:rPr>
        <w:t>vs</w:t>
      </w:r>
      <w:r w:rsidR="00804F21" w:rsidRPr="002575A7">
        <w:rPr>
          <w:rFonts w:ascii="Book Antiqua" w:hAnsi="Book Antiqua" w:cs="Times New Roman"/>
          <w:sz w:val="24"/>
          <w:szCs w:val="24"/>
          <w:lang w:val="en-US"/>
        </w:rPr>
        <w:t xml:space="preserve"> 34.6 g/L</w:t>
      </w:r>
      <w:r w:rsidR="002C1EDE" w:rsidRPr="002575A7">
        <w:rPr>
          <w:rFonts w:ascii="Book Antiqua" w:hAnsi="Book Antiqua" w:cs="Times New Roman"/>
          <w:sz w:val="24"/>
          <w:szCs w:val="24"/>
          <w:lang w:val="en-US"/>
        </w:rPr>
        <w:t xml:space="preserve"> in the FOLFOXIRI group</w:t>
      </w:r>
      <w:r w:rsidR="00804F21" w:rsidRPr="002575A7">
        <w:rPr>
          <w:rFonts w:ascii="Book Antiqua" w:hAnsi="Book Antiqua" w:cs="Times New Roman"/>
          <w:sz w:val="24"/>
          <w:szCs w:val="24"/>
          <w:lang w:val="en-US"/>
        </w:rPr>
        <w:t xml:space="preserve">,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804F21" w:rsidRPr="002575A7">
        <w:rPr>
          <w:rFonts w:ascii="Book Antiqua" w:hAnsi="Book Antiqua" w:cs="Times New Roman"/>
          <w:sz w:val="24"/>
          <w:szCs w:val="24"/>
          <w:lang w:val="en-US"/>
        </w:rPr>
        <w:t>&lt;</w:t>
      </w:r>
      <w:r w:rsidR="00B60AE3">
        <w:rPr>
          <w:rFonts w:ascii="Book Antiqua" w:hAnsi="Book Antiqua" w:cs="Times New Roman"/>
          <w:sz w:val="24"/>
          <w:szCs w:val="24"/>
          <w:lang w:val="en-US"/>
        </w:rPr>
        <w:t xml:space="preserve"> </w:t>
      </w:r>
      <w:r w:rsidR="00804F21" w:rsidRPr="002575A7">
        <w:rPr>
          <w:rFonts w:ascii="Book Antiqua" w:hAnsi="Book Antiqua" w:cs="Times New Roman"/>
          <w:sz w:val="24"/>
          <w:szCs w:val="24"/>
          <w:lang w:val="en-US"/>
        </w:rPr>
        <w:t>0.001).</w:t>
      </w:r>
      <w:r w:rsidR="002C1EDE" w:rsidRPr="002575A7">
        <w:rPr>
          <w:rFonts w:ascii="Book Antiqua" w:hAnsi="Book Antiqua" w:cs="Times New Roman"/>
          <w:sz w:val="24"/>
          <w:szCs w:val="24"/>
          <w:lang w:val="en-US"/>
        </w:rPr>
        <w:t xml:space="preserve"> Patients in the FOLFIRINOX group displayed </w:t>
      </w:r>
      <w:r w:rsidR="00743746" w:rsidRPr="002575A7">
        <w:rPr>
          <w:rFonts w:ascii="Book Antiqua" w:hAnsi="Book Antiqua" w:cs="Times New Roman"/>
          <w:sz w:val="24"/>
          <w:szCs w:val="24"/>
          <w:lang w:val="en-US"/>
        </w:rPr>
        <w:t xml:space="preserve">significantly </w:t>
      </w:r>
      <w:r w:rsidR="002C1EDE" w:rsidRPr="002575A7">
        <w:rPr>
          <w:rFonts w:ascii="Book Antiqua" w:hAnsi="Book Antiqua" w:cs="Times New Roman"/>
          <w:sz w:val="24"/>
          <w:szCs w:val="24"/>
          <w:lang w:val="en-US"/>
        </w:rPr>
        <w:t xml:space="preserve">more peritoneal metastases (86.4% </w:t>
      </w:r>
      <w:r w:rsidR="009D1BBF" w:rsidRPr="00864BDB">
        <w:rPr>
          <w:rFonts w:ascii="Book Antiqua" w:hAnsi="Book Antiqua" w:cs="Times New Roman"/>
          <w:i/>
          <w:iCs/>
          <w:sz w:val="24"/>
          <w:szCs w:val="24"/>
          <w:lang w:val="en-US"/>
        </w:rPr>
        <w:t>vs</w:t>
      </w:r>
      <w:r w:rsidR="002C1EDE" w:rsidRPr="002575A7">
        <w:rPr>
          <w:rFonts w:ascii="Book Antiqua" w:hAnsi="Book Antiqua" w:cs="Times New Roman"/>
          <w:sz w:val="24"/>
          <w:szCs w:val="24"/>
          <w:lang w:val="en-US"/>
        </w:rPr>
        <w:t xml:space="preserve"> 70.5%,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2C1EDE" w:rsidRPr="002575A7">
        <w:rPr>
          <w:rFonts w:ascii="Book Antiqua" w:hAnsi="Book Antiqua" w:cs="Times New Roman"/>
          <w:sz w:val="24"/>
          <w:szCs w:val="24"/>
          <w:lang w:val="en-US"/>
        </w:rPr>
        <w:t>= 0.005) and a lower neutrophil-to-lymphocyte ratio</w:t>
      </w:r>
      <w:r w:rsidR="00F13D5C" w:rsidRPr="002575A7">
        <w:rPr>
          <w:rFonts w:ascii="Book Antiqua" w:hAnsi="Book Antiqua" w:cs="Times New Roman"/>
          <w:sz w:val="24"/>
          <w:szCs w:val="24"/>
          <w:lang w:val="en-US"/>
        </w:rPr>
        <w:t xml:space="preserve">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w:t>
      </w:r>
      <w:r w:rsidR="00B60AE3">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0.010</w:t>
      </w:r>
      <w:r w:rsidR="002C1EDE" w:rsidRPr="002575A7">
        <w:rPr>
          <w:rFonts w:ascii="Book Antiqua" w:hAnsi="Book Antiqua" w:cs="Times New Roman"/>
          <w:sz w:val="24"/>
          <w:szCs w:val="24"/>
          <w:lang w:val="en-US"/>
        </w:rPr>
        <w:t xml:space="preserve">), </w:t>
      </w:r>
      <w:r w:rsidR="00743746" w:rsidRPr="002575A7">
        <w:rPr>
          <w:rFonts w:ascii="Book Antiqua" w:hAnsi="Book Antiqua" w:cs="Times New Roman"/>
          <w:sz w:val="24"/>
          <w:szCs w:val="24"/>
          <w:lang w:val="en-US"/>
        </w:rPr>
        <w:t xml:space="preserve">compared to </w:t>
      </w:r>
      <w:r w:rsidR="002C1EDE" w:rsidRPr="002575A7">
        <w:rPr>
          <w:rFonts w:ascii="Book Antiqua" w:hAnsi="Book Antiqua" w:cs="Times New Roman"/>
          <w:sz w:val="24"/>
          <w:szCs w:val="24"/>
          <w:lang w:val="en-US"/>
        </w:rPr>
        <w:t>those in the FOLFOXIRI group (</w:t>
      </w:r>
      <w:r w:rsidR="00245F85" w:rsidRPr="002575A7">
        <w:rPr>
          <w:rFonts w:ascii="Book Antiqua" w:hAnsi="Book Antiqua" w:cs="Times New Roman"/>
          <w:sz w:val="24"/>
          <w:szCs w:val="24"/>
          <w:lang w:val="en-US"/>
        </w:rPr>
        <w:t>Supplementary Table 3</w:t>
      </w:r>
      <w:r w:rsidR="002C1EDE" w:rsidRPr="002575A7">
        <w:rPr>
          <w:rFonts w:ascii="Book Antiqua" w:hAnsi="Book Antiqua" w:cs="Times New Roman"/>
          <w:sz w:val="24"/>
          <w:szCs w:val="24"/>
          <w:lang w:val="en-US"/>
        </w:rPr>
        <w:t xml:space="preserve">). </w:t>
      </w:r>
    </w:p>
    <w:p w14:paraId="4B1F3BE2" w14:textId="114828CF" w:rsidR="008F5D75" w:rsidRPr="002575A7" w:rsidRDefault="009B7385" w:rsidP="00864BDB">
      <w:pPr>
        <w:snapToGrid w:val="0"/>
        <w:spacing w:after="0" w:line="360" w:lineRule="auto"/>
        <w:ind w:firstLine="708"/>
        <w:jc w:val="both"/>
        <w:rPr>
          <w:rFonts w:ascii="Book Antiqua" w:hAnsi="Book Antiqua" w:cs="Times New Roman"/>
          <w:sz w:val="24"/>
          <w:szCs w:val="24"/>
          <w:lang w:val="en-US"/>
        </w:rPr>
      </w:pPr>
      <w:r w:rsidRPr="002575A7">
        <w:rPr>
          <w:rFonts w:ascii="Book Antiqua" w:hAnsi="Book Antiqua" w:cs="Times New Roman"/>
          <w:sz w:val="24"/>
          <w:szCs w:val="24"/>
          <w:lang w:val="en-US"/>
        </w:rPr>
        <w:t>The median duration of follow-up was 26.7 mo (</w:t>
      </w:r>
      <w:r w:rsidR="00B60AE3">
        <w:rPr>
          <w:rFonts w:ascii="Book Antiqua" w:hAnsi="Book Antiqua" w:cs="Times New Roman"/>
          <w:sz w:val="24"/>
          <w:szCs w:val="24"/>
          <w:lang w:val="en-US"/>
        </w:rPr>
        <w:t>95%CI:</w:t>
      </w:r>
      <w:r w:rsidRPr="002575A7">
        <w:rPr>
          <w:rFonts w:ascii="Book Antiqua" w:hAnsi="Book Antiqua" w:cs="Times New Roman"/>
          <w:sz w:val="24"/>
          <w:szCs w:val="24"/>
          <w:lang w:val="en-US"/>
        </w:rPr>
        <w:t xml:space="preserve"> 23.0</w:t>
      </w:r>
      <w:r w:rsidR="00B60AE3">
        <w:rPr>
          <w:rFonts w:ascii="Book Antiqua" w:hAnsi="Book Antiqua" w:cs="Times New Roman"/>
          <w:sz w:val="24"/>
          <w:szCs w:val="24"/>
          <w:lang w:val="en-US"/>
        </w:rPr>
        <w:t>-</w:t>
      </w:r>
      <w:r w:rsidRPr="002575A7">
        <w:rPr>
          <w:rFonts w:ascii="Book Antiqua" w:hAnsi="Book Antiqua" w:cs="Times New Roman"/>
          <w:sz w:val="24"/>
          <w:szCs w:val="24"/>
          <w:lang w:val="en-US"/>
        </w:rPr>
        <w:t xml:space="preserve">31.1) in the FOLFIRINOX group </w:t>
      </w:r>
      <w:r w:rsidR="00743746" w:rsidRPr="002575A7">
        <w:rPr>
          <w:rFonts w:ascii="Book Antiqua" w:hAnsi="Book Antiqua" w:cs="Times New Roman"/>
          <w:sz w:val="24"/>
          <w:szCs w:val="24"/>
          <w:lang w:val="en-US"/>
        </w:rPr>
        <w:t xml:space="preserve">compared to </w:t>
      </w:r>
      <w:r w:rsidRPr="002575A7">
        <w:rPr>
          <w:rFonts w:ascii="Book Antiqua" w:hAnsi="Book Antiqua" w:cs="Times New Roman"/>
          <w:sz w:val="24"/>
          <w:szCs w:val="24"/>
          <w:lang w:val="en-US"/>
        </w:rPr>
        <w:t>44.2 mo (</w:t>
      </w:r>
      <w:r w:rsidR="00B60AE3">
        <w:rPr>
          <w:rFonts w:ascii="Book Antiqua" w:hAnsi="Book Antiqua" w:cs="Times New Roman"/>
          <w:sz w:val="24"/>
          <w:szCs w:val="24"/>
          <w:lang w:val="en-US"/>
        </w:rPr>
        <w:t>95%CI:</w:t>
      </w:r>
      <w:r w:rsidRPr="002575A7">
        <w:rPr>
          <w:rFonts w:ascii="Book Antiqua" w:hAnsi="Book Antiqua" w:cs="Times New Roman"/>
          <w:sz w:val="24"/>
          <w:szCs w:val="24"/>
          <w:lang w:val="en-US"/>
        </w:rPr>
        <w:t xml:space="preserve"> 36.7</w:t>
      </w:r>
      <w:r w:rsidR="00B60AE3">
        <w:rPr>
          <w:rFonts w:ascii="Book Antiqua" w:hAnsi="Book Antiqua" w:cs="Times New Roman"/>
          <w:sz w:val="24"/>
          <w:szCs w:val="24"/>
          <w:lang w:val="en-US"/>
        </w:rPr>
        <w:t>-</w:t>
      </w:r>
      <w:r w:rsidRPr="002575A7">
        <w:rPr>
          <w:rFonts w:ascii="Book Antiqua" w:hAnsi="Book Antiqua" w:cs="Times New Roman"/>
          <w:sz w:val="24"/>
          <w:szCs w:val="24"/>
          <w:lang w:val="en-US"/>
        </w:rPr>
        <w:t xml:space="preserve">71.5) in the FOLFOXIRI group. </w:t>
      </w:r>
      <w:r w:rsidR="00590198" w:rsidRPr="002575A7">
        <w:rPr>
          <w:rFonts w:ascii="Book Antiqua" w:hAnsi="Book Antiqua" w:cs="Times New Roman"/>
          <w:sz w:val="24"/>
          <w:szCs w:val="24"/>
          <w:lang w:val="en-US"/>
        </w:rPr>
        <w:t xml:space="preserve">Median </w:t>
      </w:r>
      <w:r w:rsidR="002C1EDE" w:rsidRPr="002575A7">
        <w:rPr>
          <w:rFonts w:ascii="Book Antiqua" w:hAnsi="Book Antiqua" w:cs="Times New Roman"/>
          <w:sz w:val="24"/>
          <w:szCs w:val="24"/>
          <w:lang w:val="en-US"/>
        </w:rPr>
        <w:t>OS was significantly longer in the FOLFIRINOX group (13.3 mo</w:t>
      </w:r>
      <w:r w:rsidR="000876E3" w:rsidRPr="002575A7">
        <w:rPr>
          <w:rFonts w:ascii="Book Antiqua" w:hAnsi="Book Antiqua" w:cs="Times New Roman"/>
          <w:sz w:val="24"/>
          <w:szCs w:val="24"/>
          <w:lang w:val="en-US"/>
        </w:rPr>
        <w:t>;</w:t>
      </w:r>
      <w:r w:rsidR="002C1EDE"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2C1EDE" w:rsidRPr="002575A7">
        <w:rPr>
          <w:rFonts w:ascii="Book Antiqua" w:hAnsi="Book Antiqua" w:cs="Times New Roman"/>
          <w:sz w:val="24"/>
          <w:szCs w:val="24"/>
          <w:lang w:val="en-US"/>
        </w:rPr>
        <w:t xml:space="preserve"> 10.7</w:t>
      </w:r>
      <w:r w:rsidR="00B60AE3">
        <w:rPr>
          <w:rFonts w:ascii="Book Antiqua" w:hAnsi="Book Antiqua" w:cs="Times New Roman"/>
          <w:sz w:val="24"/>
          <w:szCs w:val="24"/>
          <w:lang w:val="en-US"/>
        </w:rPr>
        <w:t>-</w:t>
      </w:r>
      <w:r w:rsidR="002C1EDE" w:rsidRPr="002575A7">
        <w:rPr>
          <w:rFonts w:ascii="Book Antiqua" w:hAnsi="Book Antiqua" w:cs="Times New Roman"/>
          <w:sz w:val="24"/>
          <w:szCs w:val="24"/>
          <w:lang w:val="en-US"/>
        </w:rPr>
        <w:t>15.5) compared to the FOLFOXIRI group (8.5 mo</w:t>
      </w:r>
      <w:r w:rsidR="000876E3" w:rsidRPr="002575A7">
        <w:rPr>
          <w:rFonts w:ascii="Book Antiqua" w:hAnsi="Book Antiqua" w:cs="Times New Roman"/>
          <w:sz w:val="24"/>
          <w:szCs w:val="24"/>
          <w:lang w:val="en-US"/>
        </w:rPr>
        <w:t>;</w:t>
      </w:r>
      <w:r w:rsidR="002C1EDE"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2C1EDE" w:rsidRPr="002575A7">
        <w:rPr>
          <w:rFonts w:ascii="Book Antiqua" w:hAnsi="Book Antiqua" w:cs="Times New Roman"/>
          <w:sz w:val="24"/>
          <w:szCs w:val="24"/>
          <w:lang w:val="en-US"/>
        </w:rPr>
        <w:t xml:space="preserve"> 6.7</w:t>
      </w:r>
      <w:r w:rsidR="00B60AE3">
        <w:rPr>
          <w:rFonts w:ascii="Book Antiqua" w:hAnsi="Book Antiqua" w:cs="Times New Roman"/>
          <w:sz w:val="24"/>
          <w:szCs w:val="24"/>
          <w:lang w:val="en-US"/>
        </w:rPr>
        <w:t>-</w:t>
      </w:r>
      <w:r w:rsidR="002C1EDE" w:rsidRPr="002575A7">
        <w:rPr>
          <w:rFonts w:ascii="Book Antiqua" w:hAnsi="Book Antiqua" w:cs="Times New Roman"/>
          <w:sz w:val="24"/>
          <w:szCs w:val="24"/>
          <w:lang w:val="en-US"/>
        </w:rPr>
        <w:t xml:space="preserve">10.2) (HR= 1.44; </w:t>
      </w:r>
      <w:r w:rsidR="009D1BBF">
        <w:rPr>
          <w:rFonts w:ascii="Book Antiqua" w:hAnsi="Book Antiqua" w:cs="Times New Roman"/>
          <w:sz w:val="24"/>
          <w:szCs w:val="24"/>
          <w:lang w:val="en-US"/>
        </w:rPr>
        <w:t>95%CI</w:t>
      </w:r>
      <w:r w:rsidR="002C1EDE" w:rsidRPr="002575A7">
        <w:rPr>
          <w:rFonts w:ascii="Book Antiqua" w:hAnsi="Book Antiqua" w:cs="Times New Roman"/>
          <w:sz w:val="24"/>
          <w:szCs w:val="24"/>
          <w:lang w:val="en-US"/>
        </w:rPr>
        <w:t xml:space="preserve"> 1.07</w:t>
      </w:r>
      <w:r w:rsidR="00B60AE3">
        <w:rPr>
          <w:rFonts w:ascii="Book Antiqua" w:hAnsi="Book Antiqua" w:cs="Times New Roman"/>
          <w:sz w:val="24"/>
          <w:szCs w:val="24"/>
          <w:lang w:val="en-US"/>
        </w:rPr>
        <w:t>-</w:t>
      </w:r>
      <w:r w:rsidR="002C1EDE" w:rsidRPr="002575A7">
        <w:rPr>
          <w:rFonts w:ascii="Book Antiqua" w:hAnsi="Book Antiqua" w:cs="Times New Roman"/>
          <w:sz w:val="24"/>
          <w:szCs w:val="24"/>
          <w:lang w:val="en-US"/>
        </w:rPr>
        <w:t xml:space="preserve">1.94;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8F5D75" w:rsidRPr="002575A7">
        <w:rPr>
          <w:rFonts w:ascii="Book Antiqua" w:hAnsi="Book Antiqua" w:cs="Times New Roman"/>
          <w:sz w:val="24"/>
          <w:szCs w:val="24"/>
          <w:lang w:val="en-US"/>
        </w:rPr>
        <w:t>=</w:t>
      </w:r>
      <w:r w:rsidR="000876E3" w:rsidRPr="002575A7">
        <w:rPr>
          <w:rFonts w:ascii="Book Antiqua" w:hAnsi="Book Antiqua" w:cs="Times New Roman"/>
          <w:sz w:val="24"/>
          <w:szCs w:val="24"/>
          <w:lang w:val="en-US"/>
        </w:rPr>
        <w:t xml:space="preserve"> </w:t>
      </w:r>
      <w:r w:rsidR="008F5D75" w:rsidRPr="002575A7">
        <w:rPr>
          <w:rFonts w:ascii="Book Antiqua" w:hAnsi="Book Antiqua" w:cs="Times New Roman"/>
          <w:sz w:val="24"/>
          <w:szCs w:val="24"/>
          <w:lang w:val="en-US"/>
        </w:rPr>
        <w:t xml:space="preserve">0.017; </w:t>
      </w:r>
      <w:r w:rsidR="00245F85" w:rsidRPr="002575A7">
        <w:rPr>
          <w:rFonts w:ascii="Book Antiqua" w:hAnsi="Book Antiqua" w:cs="Times New Roman"/>
          <w:sz w:val="24"/>
          <w:szCs w:val="24"/>
          <w:lang w:val="en-US"/>
        </w:rPr>
        <w:t xml:space="preserve">Supplementary </w:t>
      </w:r>
      <w:r w:rsidR="008F5D75" w:rsidRPr="002575A7">
        <w:rPr>
          <w:rFonts w:ascii="Book Antiqua" w:hAnsi="Book Antiqua" w:cs="Times New Roman"/>
          <w:sz w:val="24"/>
          <w:szCs w:val="24"/>
          <w:lang w:val="en-US"/>
        </w:rPr>
        <w:t xml:space="preserve">Figure </w:t>
      </w:r>
      <w:r w:rsidR="00245F85" w:rsidRPr="002575A7">
        <w:rPr>
          <w:rFonts w:ascii="Book Antiqua" w:hAnsi="Book Antiqua" w:cs="Times New Roman"/>
          <w:sz w:val="24"/>
          <w:szCs w:val="24"/>
          <w:lang w:val="en-US"/>
        </w:rPr>
        <w:t>3</w:t>
      </w:r>
      <w:r w:rsidR="008F5D75" w:rsidRPr="002575A7">
        <w:rPr>
          <w:rFonts w:ascii="Book Antiqua" w:hAnsi="Book Antiqua" w:cs="Times New Roman"/>
          <w:sz w:val="24"/>
          <w:szCs w:val="24"/>
          <w:lang w:val="en-US"/>
        </w:rPr>
        <w:t xml:space="preserve">A). </w:t>
      </w:r>
      <w:r w:rsidR="00F50C93" w:rsidRPr="002575A7">
        <w:rPr>
          <w:rFonts w:ascii="Book Antiqua" w:hAnsi="Book Antiqua" w:cs="Times New Roman"/>
          <w:sz w:val="24"/>
          <w:szCs w:val="24"/>
          <w:lang w:val="en-US"/>
        </w:rPr>
        <w:t>Similarly</w:t>
      </w:r>
      <w:r w:rsidR="008F5D75" w:rsidRPr="002575A7">
        <w:rPr>
          <w:rFonts w:ascii="Book Antiqua" w:hAnsi="Book Antiqua" w:cs="Times New Roman"/>
          <w:sz w:val="24"/>
          <w:szCs w:val="24"/>
          <w:lang w:val="en-US"/>
        </w:rPr>
        <w:t xml:space="preserve">, patients treated with </w:t>
      </w:r>
      <w:r w:rsidR="00472B50">
        <w:rPr>
          <w:rFonts w:ascii="Book Antiqua" w:hAnsi="Book Antiqua" w:cs="Times New Roman"/>
          <w:sz w:val="24"/>
          <w:szCs w:val="24"/>
          <w:lang w:val="en-US"/>
        </w:rPr>
        <w:t xml:space="preserve">the </w:t>
      </w:r>
      <w:r w:rsidR="008F5D75" w:rsidRPr="002575A7">
        <w:rPr>
          <w:rFonts w:ascii="Book Antiqua" w:hAnsi="Book Antiqua" w:cs="Times New Roman"/>
          <w:sz w:val="24"/>
          <w:szCs w:val="24"/>
          <w:lang w:val="en-US"/>
        </w:rPr>
        <w:t xml:space="preserve">FOLFIRINOX regimen </w:t>
      </w:r>
      <w:r w:rsidR="00472B50">
        <w:rPr>
          <w:rFonts w:ascii="Book Antiqua" w:hAnsi="Book Antiqua" w:cs="Times New Roman"/>
          <w:sz w:val="24"/>
          <w:szCs w:val="24"/>
          <w:lang w:val="en-US"/>
        </w:rPr>
        <w:t>had</w:t>
      </w:r>
      <w:r w:rsidR="008F5D75" w:rsidRPr="002575A7">
        <w:rPr>
          <w:rFonts w:ascii="Book Antiqua" w:hAnsi="Book Antiqua" w:cs="Times New Roman"/>
          <w:sz w:val="24"/>
          <w:szCs w:val="24"/>
          <w:lang w:val="en-US"/>
        </w:rPr>
        <w:t xml:space="preserve"> more </w:t>
      </w:r>
      <w:r w:rsidR="00191822" w:rsidRPr="002575A7">
        <w:rPr>
          <w:rFonts w:ascii="Book Antiqua" w:hAnsi="Book Antiqua" w:cs="Times New Roman"/>
          <w:sz w:val="24"/>
          <w:szCs w:val="24"/>
          <w:lang w:val="en-US"/>
        </w:rPr>
        <w:t>favorable</w:t>
      </w:r>
      <w:r w:rsidR="008F5D75" w:rsidRPr="002575A7">
        <w:rPr>
          <w:rFonts w:ascii="Book Antiqua" w:hAnsi="Book Antiqua" w:cs="Times New Roman"/>
          <w:sz w:val="24"/>
          <w:szCs w:val="24"/>
          <w:lang w:val="en-US"/>
        </w:rPr>
        <w:t xml:space="preserve"> PFS (6.7 mo</w:t>
      </w:r>
      <w:r w:rsidR="000876E3" w:rsidRPr="002575A7">
        <w:rPr>
          <w:rFonts w:ascii="Book Antiqua" w:hAnsi="Book Antiqua" w:cs="Times New Roman"/>
          <w:sz w:val="24"/>
          <w:szCs w:val="24"/>
          <w:lang w:val="en-US"/>
        </w:rPr>
        <w:t>;</w:t>
      </w:r>
      <w:r w:rsidR="008F5D75"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8F5D75" w:rsidRPr="002575A7">
        <w:rPr>
          <w:rFonts w:ascii="Book Antiqua" w:hAnsi="Book Antiqua" w:cs="Times New Roman"/>
          <w:sz w:val="24"/>
          <w:szCs w:val="24"/>
          <w:lang w:val="en-US"/>
        </w:rPr>
        <w:t xml:space="preserve"> 5.7</w:t>
      </w:r>
      <w:r w:rsidR="00B60AE3">
        <w:rPr>
          <w:rFonts w:ascii="Book Antiqua" w:hAnsi="Book Antiqua" w:cs="Times New Roman"/>
          <w:sz w:val="24"/>
          <w:szCs w:val="24"/>
          <w:lang w:val="en-US"/>
        </w:rPr>
        <w:t>-</w:t>
      </w:r>
      <w:r w:rsidR="008F5D75" w:rsidRPr="002575A7">
        <w:rPr>
          <w:rFonts w:ascii="Book Antiqua" w:hAnsi="Book Antiqua" w:cs="Times New Roman"/>
          <w:sz w:val="24"/>
          <w:szCs w:val="24"/>
          <w:lang w:val="en-US"/>
        </w:rPr>
        <w:t>7.8</w:t>
      </w:r>
      <w:r w:rsidR="000876E3" w:rsidRPr="002575A7">
        <w:rPr>
          <w:rFonts w:ascii="Book Antiqua" w:hAnsi="Book Antiqua" w:cs="Times New Roman"/>
          <w:sz w:val="24"/>
          <w:szCs w:val="24"/>
          <w:lang w:val="en-US"/>
        </w:rPr>
        <w:t>;</w:t>
      </w:r>
      <w:r w:rsidR="008F5D75" w:rsidRPr="002575A7">
        <w:rPr>
          <w:rFonts w:ascii="Book Antiqua" w:hAnsi="Book Antiqua" w:cs="Times New Roman"/>
          <w:sz w:val="24"/>
          <w:szCs w:val="24"/>
          <w:lang w:val="en-US"/>
        </w:rPr>
        <w:t xml:space="preserve"> </w:t>
      </w:r>
      <w:r w:rsidR="009D1BBF" w:rsidRPr="00864BDB">
        <w:rPr>
          <w:rFonts w:ascii="Book Antiqua" w:hAnsi="Book Antiqua" w:cs="Times New Roman"/>
          <w:i/>
          <w:iCs/>
          <w:sz w:val="24"/>
          <w:szCs w:val="24"/>
          <w:lang w:val="en-US"/>
        </w:rPr>
        <w:t>vs</w:t>
      </w:r>
      <w:r w:rsidR="008F5D75" w:rsidRPr="002575A7">
        <w:rPr>
          <w:rFonts w:ascii="Book Antiqua" w:hAnsi="Book Antiqua" w:cs="Times New Roman"/>
          <w:sz w:val="24"/>
          <w:szCs w:val="24"/>
          <w:lang w:val="en-US"/>
        </w:rPr>
        <w:t xml:space="preserve"> 3.9 mo</w:t>
      </w:r>
      <w:r w:rsidR="000876E3" w:rsidRPr="002575A7">
        <w:rPr>
          <w:rFonts w:ascii="Book Antiqua" w:hAnsi="Book Antiqua" w:cs="Times New Roman"/>
          <w:sz w:val="24"/>
          <w:szCs w:val="24"/>
          <w:lang w:val="en-US"/>
        </w:rPr>
        <w:t>;</w:t>
      </w:r>
      <w:r w:rsidR="008F5D75"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lastRenderedPageBreak/>
        <w:t>95%CI:</w:t>
      </w:r>
      <w:r w:rsidR="008F5D75" w:rsidRPr="002575A7">
        <w:rPr>
          <w:rFonts w:ascii="Book Antiqua" w:hAnsi="Book Antiqua" w:cs="Times New Roman"/>
          <w:sz w:val="24"/>
          <w:szCs w:val="24"/>
          <w:lang w:val="en-US"/>
        </w:rPr>
        <w:t xml:space="preserve"> 2.9</w:t>
      </w:r>
      <w:r w:rsidR="00B60AE3">
        <w:rPr>
          <w:rFonts w:ascii="Book Antiqua" w:hAnsi="Book Antiqua" w:cs="Times New Roman"/>
          <w:sz w:val="24"/>
          <w:szCs w:val="24"/>
          <w:lang w:val="en-US"/>
        </w:rPr>
        <w:t>-</w:t>
      </w:r>
      <w:r w:rsidR="008F5D75" w:rsidRPr="002575A7">
        <w:rPr>
          <w:rFonts w:ascii="Book Antiqua" w:hAnsi="Book Antiqua" w:cs="Times New Roman"/>
          <w:sz w:val="24"/>
          <w:szCs w:val="24"/>
          <w:lang w:val="en-US"/>
        </w:rPr>
        <w:t xml:space="preserve">6.1, respectively), but </w:t>
      </w:r>
      <w:r w:rsidR="00472B50">
        <w:rPr>
          <w:rFonts w:ascii="Book Antiqua" w:hAnsi="Book Antiqua" w:cs="Times New Roman"/>
          <w:sz w:val="24"/>
          <w:szCs w:val="24"/>
          <w:lang w:val="en-US"/>
        </w:rPr>
        <w:t xml:space="preserve">the difference was </w:t>
      </w:r>
      <w:r w:rsidR="008F5D75" w:rsidRPr="002575A7">
        <w:rPr>
          <w:rFonts w:ascii="Book Antiqua" w:hAnsi="Book Antiqua" w:cs="Times New Roman"/>
          <w:sz w:val="24"/>
          <w:szCs w:val="24"/>
          <w:lang w:val="en-US"/>
        </w:rPr>
        <w:t xml:space="preserve">not </w:t>
      </w:r>
      <w:r w:rsidR="00472B50">
        <w:rPr>
          <w:rFonts w:ascii="Book Antiqua" w:hAnsi="Book Antiqua" w:cs="Times New Roman"/>
          <w:sz w:val="24"/>
          <w:szCs w:val="24"/>
          <w:lang w:val="en-US"/>
        </w:rPr>
        <w:t xml:space="preserve">statistically </w:t>
      </w:r>
      <w:r w:rsidR="008F5D75" w:rsidRPr="002575A7">
        <w:rPr>
          <w:rFonts w:ascii="Book Antiqua" w:hAnsi="Book Antiqua" w:cs="Times New Roman"/>
          <w:sz w:val="24"/>
          <w:szCs w:val="24"/>
          <w:lang w:val="en-US"/>
        </w:rPr>
        <w:t>significant (HR= 1.30</w:t>
      </w:r>
      <w:r w:rsidR="000876E3" w:rsidRPr="002575A7">
        <w:rPr>
          <w:rFonts w:ascii="Book Antiqua" w:hAnsi="Book Antiqua" w:cs="Times New Roman"/>
          <w:sz w:val="24"/>
          <w:szCs w:val="24"/>
          <w:lang w:val="en-US"/>
        </w:rPr>
        <w:t>;</w:t>
      </w:r>
      <w:r w:rsidR="008F5D75"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8F5D75" w:rsidRPr="002575A7">
        <w:rPr>
          <w:rFonts w:ascii="Book Antiqua" w:hAnsi="Book Antiqua" w:cs="Times New Roman"/>
          <w:sz w:val="24"/>
          <w:szCs w:val="24"/>
          <w:lang w:val="en-US"/>
        </w:rPr>
        <w:t xml:space="preserve"> 0.97</w:t>
      </w:r>
      <w:r w:rsidR="00B60AE3">
        <w:rPr>
          <w:rFonts w:ascii="Book Antiqua" w:hAnsi="Book Antiqua" w:cs="Times New Roman"/>
          <w:sz w:val="24"/>
          <w:szCs w:val="24"/>
          <w:lang w:val="en-US"/>
        </w:rPr>
        <w:t>-</w:t>
      </w:r>
      <w:r w:rsidR="008F5D75" w:rsidRPr="002575A7">
        <w:rPr>
          <w:rFonts w:ascii="Book Antiqua" w:hAnsi="Book Antiqua" w:cs="Times New Roman"/>
          <w:sz w:val="24"/>
          <w:szCs w:val="24"/>
          <w:lang w:val="en-US"/>
        </w:rPr>
        <w:t xml:space="preserve">1.72; </w:t>
      </w:r>
      <w:r w:rsidR="00B60AE3" w:rsidRPr="00B60AE3">
        <w:rPr>
          <w:rFonts w:ascii="Book Antiqua" w:hAnsi="Book Antiqua" w:cs="Times New Roman"/>
          <w:i/>
          <w:iCs/>
          <w:sz w:val="24"/>
          <w:szCs w:val="24"/>
          <w:lang w:val="en-US"/>
        </w:rPr>
        <w:t>P</w:t>
      </w:r>
      <w:r w:rsidR="00B60AE3" w:rsidRPr="002575A7">
        <w:rPr>
          <w:rFonts w:ascii="Book Antiqua" w:hAnsi="Book Antiqua" w:cs="Times New Roman"/>
          <w:sz w:val="24"/>
          <w:szCs w:val="24"/>
          <w:lang w:val="en-US"/>
        </w:rPr>
        <w:t xml:space="preserve"> </w:t>
      </w:r>
      <w:r w:rsidR="008F5D75" w:rsidRPr="002575A7">
        <w:rPr>
          <w:rFonts w:ascii="Book Antiqua" w:hAnsi="Book Antiqua" w:cs="Times New Roman"/>
          <w:sz w:val="24"/>
          <w:szCs w:val="24"/>
          <w:lang w:val="en-US"/>
        </w:rPr>
        <w:t xml:space="preserve">= 0.073; </w:t>
      </w:r>
      <w:r w:rsidR="00245F85" w:rsidRPr="002575A7">
        <w:rPr>
          <w:rFonts w:ascii="Book Antiqua" w:hAnsi="Book Antiqua" w:cs="Times New Roman"/>
          <w:sz w:val="24"/>
          <w:szCs w:val="24"/>
          <w:lang w:val="en-US"/>
        </w:rPr>
        <w:t xml:space="preserve">Supplementary </w:t>
      </w:r>
      <w:r w:rsidR="008F5D75" w:rsidRPr="002575A7">
        <w:rPr>
          <w:rFonts w:ascii="Book Antiqua" w:hAnsi="Book Antiqua" w:cs="Times New Roman"/>
          <w:sz w:val="24"/>
          <w:szCs w:val="24"/>
          <w:lang w:val="en-US"/>
        </w:rPr>
        <w:t xml:space="preserve">Figure </w:t>
      </w:r>
      <w:r w:rsidR="00245F85" w:rsidRPr="002575A7">
        <w:rPr>
          <w:rFonts w:ascii="Book Antiqua" w:hAnsi="Book Antiqua" w:cs="Times New Roman"/>
          <w:sz w:val="24"/>
          <w:szCs w:val="24"/>
          <w:lang w:val="en-US"/>
        </w:rPr>
        <w:t>3</w:t>
      </w:r>
      <w:r w:rsidR="008F5D75" w:rsidRPr="002575A7">
        <w:rPr>
          <w:rFonts w:ascii="Book Antiqua" w:hAnsi="Book Antiqua" w:cs="Times New Roman"/>
          <w:sz w:val="24"/>
          <w:szCs w:val="24"/>
          <w:lang w:val="en-US"/>
        </w:rPr>
        <w:t xml:space="preserve">B). </w:t>
      </w:r>
      <w:r w:rsidR="00743746" w:rsidRPr="002575A7">
        <w:rPr>
          <w:rFonts w:ascii="Book Antiqua" w:hAnsi="Book Antiqua" w:cs="Times New Roman"/>
          <w:sz w:val="24"/>
          <w:szCs w:val="24"/>
          <w:lang w:val="en-US"/>
        </w:rPr>
        <w:t>Both cohorts exhibited o</w:t>
      </w:r>
      <w:r w:rsidR="008F5D75" w:rsidRPr="002575A7">
        <w:rPr>
          <w:rFonts w:ascii="Book Antiqua" w:hAnsi="Book Antiqua" w:cs="Times New Roman"/>
          <w:sz w:val="24"/>
          <w:szCs w:val="24"/>
          <w:lang w:val="en-US"/>
        </w:rPr>
        <w:t xml:space="preserve">ther </w:t>
      </w:r>
      <w:r w:rsidR="00743746" w:rsidRPr="002575A7">
        <w:rPr>
          <w:rFonts w:ascii="Book Antiqua" w:hAnsi="Book Antiqua" w:cs="Times New Roman"/>
          <w:sz w:val="24"/>
          <w:szCs w:val="24"/>
          <w:lang w:val="en-US"/>
        </w:rPr>
        <w:t xml:space="preserve">similarities </w:t>
      </w:r>
      <w:r w:rsidR="00472B50">
        <w:rPr>
          <w:rFonts w:ascii="Book Antiqua" w:hAnsi="Book Antiqua" w:cs="Times New Roman"/>
          <w:sz w:val="24"/>
          <w:szCs w:val="24"/>
          <w:lang w:val="en-US"/>
        </w:rPr>
        <w:t>in</w:t>
      </w:r>
      <w:r w:rsidR="00434702">
        <w:rPr>
          <w:rFonts w:ascii="Book Antiqua" w:hAnsi="Book Antiqua" w:cs="Times New Roman"/>
          <w:sz w:val="24"/>
          <w:szCs w:val="24"/>
          <w:lang w:val="en-US"/>
        </w:rPr>
        <w:t xml:space="preserve"> </w:t>
      </w:r>
      <w:r w:rsidR="008F5D75" w:rsidRPr="002575A7">
        <w:rPr>
          <w:rFonts w:ascii="Book Antiqua" w:hAnsi="Book Antiqua" w:cs="Times New Roman"/>
          <w:sz w:val="24"/>
          <w:szCs w:val="24"/>
          <w:lang w:val="en-US"/>
        </w:rPr>
        <w:t>outcome</w:t>
      </w:r>
      <w:r w:rsidR="00472B50">
        <w:rPr>
          <w:rFonts w:ascii="Book Antiqua" w:hAnsi="Book Antiqua" w:cs="Times New Roman"/>
          <w:sz w:val="24"/>
          <w:szCs w:val="24"/>
          <w:lang w:val="en-US"/>
        </w:rPr>
        <w:t>s</w:t>
      </w:r>
      <w:r w:rsidR="00B7253F" w:rsidRPr="002575A7">
        <w:rPr>
          <w:rFonts w:ascii="Book Antiqua" w:hAnsi="Book Antiqua" w:cs="Times New Roman"/>
          <w:sz w:val="24"/>
          <w:szCs w:val="24"/>
          <w:lang w:val="en-US"/>
        </w:rPr>
        <w:t xml:space="preserve">, </w:t>
      </w:r>
      <w:r w:rsidR="00472B50">
        <w:rPr>
          <w:rFonts w:ascii="Book Antiqua" w:hAnsi="Book Antiqua" w:cs="Times New Roman"/>
          <w:sz w:val="24"/>
          <w:szCs w:val="24"/>
          <w:lang w:val="en-US"/>
        </w:rPr>
        <w:t>which</w:t>
      </w:r>
      <w:r w:rsidR="008F5D75" w:rsidRPr="002575A7">
        <w:rPr>
          <w:rFonts w:ascii="Book Antiqua" w:hAnsi="Book Antiqua" w:cs="Times New Roman"/>
          <w:sz w:val="24"/>
          <w:szCs w:val="24"/>
          <w:lang w:val="en-US"/>
        </w:rPr>
        <w:t xml:space="preserve"> </w:t>
      </w:r>
      <w:r w:rsidR="00CA2ED5" w:rsidRPr="002575A7">
        <w:rPr>
          <w:rFonts w:ascii="Book Antiqua" w:hAnsi="Book Antiqua" w:cs="Times New Roman"/>
          <w:sz w:val="24"/>
          <w:szCs w:val="24"/>
          <w:lang w:val="en-US"/>
        </w:rPr>
        <w:t xml:space="preserve">are </w:t>
      </w:r>
      <w:r w:rsidR="008F5D75" w:rsidRPr="002575A7">
        <w:rPr>
          <w:rFonts w:ascii="Book Antiqua" w:hAnsi="Book Antiqua" w:cs="Times New Roman"/>
          <w:sz w:val="24"/>
          <w:szCs w:val="24"/>
          <w:lang w:val="en-US"/>
        </w:rPr>
        <w:t xml:space="preserve">summarized in </w:t>
      </w:r>
      <w:r w:rsidR="00245F85" w:rsidRPr="002575A7">
        <w:rPr>
          <w:rFonts w:ascii="Book Antiqua" w:hAnsi="Book Antiqua" w:cs="Times New Roman"/>
          <w:sz w:val="24"/>
          <w:szCs w:val="24"/>
          <w:lang w:val="en-US"/>
        </w:rPr>
        <w:t xml:space="preserve">Supplementary </w:t>
      </w:r>
      <w:r w:rsidR="008F5D75" w:rsidRPr="002575A7">
        <w:rPr>
          <w:rFonts w:ascii="Book Antiqua" w:hAnsi="Book Antiqua" w:cs="Times New Roman"/>
          <w:sz w:val="24"/>
          <w:szCs w:val="24"/>
          <w:lang w:val="en-US"/>
        </w:rPr>
        <w:t xml:space="preserve">Table </w:t>
      </w:r>
      <w:r w:rsidR="00245F85" w:rsidRPr="002575A7">
        <w:rPr>
          <w:rFonts w:ascii="Book Antiqua" w:hAnsi="Book Antiqua" w:cs="Times New Roman"/>
          <w:sz w:val="24"/>
          <w:szCs w:val="24"/>
          <w:lang w:val="en-US"/>
        </w:rPr>
        <w:t>4</w:t>
      </w:r>
      <w:r w:rsidR="008F5D75" w:rsidRPr="002575A7">
        <w:rPr>
          <w:rFonts w:ascii="Book Antiqua" w:hAnsi="Book Antiqua" w:cs="Times New Roman"/>
          <w:sz w:val="24"/>
          <w:szCs w:val="24"/>
          <w:lang w:val="en-US"/>
        </w:rPr>
        <w:t>.</w:t>
      </w:r>
    </w:p>
    <w:p w14:paraId="770EF840" w14:textId="180C2D51" w:rsidR="00C45934" w:rsidRPr="002575A7" w:rsidRDefault="00B7253F" w:rsidP="00A32065">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Furth</w:t>
      </w:r>
      <w:r w:rsidR="00472B50">
        <w:rPr>
          <w:rFonts w:ascii="Book Antiqua" w:hAnsi="Book Antiqua" w:cs="Times New Roman"/>
          <w:sz w:val="24"/>
          <w:szCs w:val="24"/>
          <w:lang w:val="en-US"/>
        </w:rPr>
        <w:t>ermore,</w:t>
      </w:r>
      <w:r w:rsidR="0069134B" w:rsidRPr="002575A7">
        <w:rPr>
          <w:rFonts w:ascii="Book Antiqua" w:hAnsi="Book Antiqua" w:cs="Times New Roman"/>
          <w:sz w:val="24"/>
          <w:szCs w:val="24"/>
          <w:lang w:val="en-US"/>
        </w:rPr>
        <w:t xml:space="preserve"> propensity score </w:t>
      </w:r>
      <w:r w:rsidR="00472B50">
        <w:rPr>
          <w:rFonts w:ascii="Book Antiqua" w:hAnsi="Book Antiqua" w:cs="Times New Roman"/>
          <w:sz w:val="24"/>
          <w:szCs w:val="24"/>
          <w:lang w:val="en-US"/>
        </w:rPr>
        <w:t xml:space="preserve">analysis </w:t>
      </w:r>
      <w:r w:rsidR="0069134B" w:rsidRPr="002575A7">
        <w:rPr>
          <w:rFonts w:ascii="Book Antiqua" w:hAnsi="Book Antiqua" w:cs="Times New Roman"/>
          <w:sz w:val="24"/>
          <w:szCs w:val="24"/>
          <w:lang w:val="en-US"/>
        </w:rPr>
        <w:t xml:space="preserve">was performed </w:t>
      </w:r>
      <w:r w:rsidR="00472B50">
        <w:rPr>
          <w:rFonts w:ascii="Book Antiqua" w:hAnsi="Book Antiqua" w:cs="Times New Roman"/>
          <w:sz w:val="24"/>
          <w:szCs w:val="24"/>
          <w:lang w:val="en-US"/>
        </w:rPr>
        <w:t xml:space="preserve">in metastatic patients </w:t>
      </w:r>
      <w:r w:rsidR="0069134B" w:rsidRPr="002575A7">
        <w:rPr>
          <w:rFonts w:ascii="Book Antiqua" w:hAnsi="Book Antiqua" w:cs="Times New Roman"/>
          <w:sz w:val="24"/>
          <w:szCs w:val="24"/>
          <w:lang w:val="en-US"/>
        </w:rPr>
        <w:t xml:space="preserve">(Supplementary Tables 5 and 6, Supplementary Figures 4 and 5). </w:t>
      </w:r>
      <w:r w:rsidR="00F13D5C" w:rsidRPr="002575A7">
        <w:rPr>
          <w:rFonts w:ascii="Book Antiqua" w:hAnsi="Book Antiqua" w:cs="Times New Roman"/>
          <w:sz w:val="24"/>
          <w:szCs w:val="24"/>
          <w:lang w:val="en-US"/>
        </w:rPr>
        <w:t xml:space="preserve">In </w:t>
      </w:r>
      <w:r w:rsidR="004A6515">
        <w:rPr>
          <w:rFonts w:ascii="Book Antiqua" w:hAnsi="Book Antiqua" w:cs="Times New Roman"/>
          <w:sz w:val="24"/>
          <w:szCs w:val="24"/>
          <w:lang w:val="en-US"/>
        </w:rPr>
        <w:t xml:space="preserve">the </w:t>
      </w:r>
      <w:r w:rsidR="00F13D5C" w:rsidRPr="002575A7">
        <w:rPr>
          <w:rFonts w:ascii="Book Antiqua" w:hAnsi="Book Antiqua" w:cs="Times New Roman"/>
          <w:sz w:val="24"/>
          <w:szCs w:val="24"/>
          <w:lang w:val="en-US"/>
        </w:rPr>
        <w:t xml:space="preserve">IPTW analysis, </w:t>
      </w:r>
      <w:r w:rsidR="00472B50">
        <w:rPr>
          <w:rFonts w:ascii="Book Antiqua" w:hAnsi="Book Antiqua" w:cs="Times New Roman"/>
          <w:sz w:val="24"/>
          <w:szCs w:val="24"/>
          <w:lang w:val="en-US"/>
        </w:rPr>
        <w:t xml:space="preserve">the </w:t>
      </w:r>
      <w:r w:rsidR="00F13D5C" w:rsidRPr="002575A7">
        <w:rPr>
          <w:rFonts w:ascii="Book Antiqua" w:hAnsi="Book Antiqua" w:cs="Times New Roman"/>
          <w:sz w:val="24"/>
          <w:szCs w:val="24"/>
          <w:lang w:val="en-US"/>
        </w:rPr>
        <w:t xml:space="preserve">L1 regimen was not significantly associated with </w:t>
      </w:r>
      <w:r w:rsidRPr="002575A7">
        <w:rPr>
          <w:rFonts w:ascii="Book Antiqua" w:hAnsi="Book Antiqua" w:cs="Times New Roman"/>
          <w:sz w:val="24"/>
          <w:szCs w:val="24"/>
          <w:lang w:val="en-US"/>
        </w:rPr>
        <w:t xml:space="preserve">either </w:t>
      </w:r>
      <w:r w:rsidR="00F13D5C" w:rsidRPr="002575A7">
        <w:rPr>
          <w:rFonts w:ascii="Book Antiqua" w:hAnsi="Book Antiqua" w:cs="Times New Roman"/>
          <w:sz w:val="24"/>
          <w:szCs w:val="24"/>
          <w:lang w:val="en-US"/>
        </w:rPr>
        <w:t>OS (</w:t>
      </w:r>
      <w:r w:rsidR="00CC68A3" w:rsidRPr="002575A7">
        <w:rPr>
          <w:rFonts w:ascii="Book Antiqua" w:hAnsi="Book Antiqua" w:cs="Times New Roman"/>
          <w:sz w:val="24"/>
          <w:szCs w:val="24"/>
          <w:lang w:val="en-US"/>
        </w:rPr>
        <w:t>122 patients, 100</w:t>
      </w:r>
      <w:r w:rsidR="00F13D5C" w:rsidRPr="002575A7">
        <w:rPr>
          <w:rFonts w:ascii="Book Antiqua" w:hAnsi="Book Antiqua" w:cs="Times New Roman"/>
          <w:sz w:val="24"/>
          <w:szCs w:val="24"/>
          <w:lang w:val="en-US"/>
        </w:rPr>
        <w:t xml:space="preserve"> ev</w:t>
      </w:r>
      <w:r w:rsidR="00CC68A3" w:rsidRPr="002575A7">
        <w:rPr>
          <w:rFonts w:ascii="Book Antiqua" w:hAnsi="Book Antiqua" w:cs="Times New Roman"/>
          <w:sz w:val="24"/>
          <w:szCs w:val="24"/>
          <w:lang w:val="en-US"/>
        </w:rPr>
        <w:t>ents; HR</w:t>
      </w:r>
      <w:r w:rsidR="00B60AE3">
        <w:rPr>
          <w:rFonts w:ascii="Book Antiqua" w:hAnsi="Book Antiqua" w:cs="Times New Roman"/>
          <w:sz w:val="24"/>
          <w:szCs w:val="24"/>
          <w:lang w:val="en-US"/>
        </w:rPr>
        <w:t xml:space="preserve"> </w:t>
      </w:r>
      <w:r w:rsidR="00CC68A3" w:rsidRPr="002575A7">
        <w:rPr>
          <w:rFonts w:ascii="Book Antiqua" w:hAnsi="Book Antiqua" w:cs="Times New Roman"/>
          <w:sz w:val="24"/>
          <w:szCs w:val="24"/>
          <w:lang w:val="en-US"/>
        </w:rPr>
        <w:t>= 1.08</w:t>
      </w:r>
      <w:r w:rsidR="00F13D5C" w:rsidRPr="002575A7">
        <w:rPr>
          <w:rFonts w:ascii="Book Antiqua" w:hAnsi="Book Antiqua" w:cs="Times New Roman"/>
          <w:sz w:val="24"/>
          <w:szCs w:val="24"/>
          <w:lang w:val="en-US"/>
        </w:rPr>
        <w:t>; 95%C</w:t>
      </w:r>
      <w:r w:rsidR="00A32065">
        <w:rPr>
          <w:rFonts w:ascii="Book Antiqua" w:hAnsi="Book Antiqua" w:cs="Times New Roman"/>
          <w:sz w:val="24"/>
          <w:szCs w:val="24"/>
          <w:lang w:val="en-US"/>
        </w:rPr>
        <w:t>I:</w:t>
      </w:r>
      <w:r w:rsidR="00F13D5C" w:rsidRPr="002575A7">
        <w:rPr>
          <w:rFonts w:ascii="Book Antiqua" w:hAnsi="Book Antiqua" w:cs="Times New Roman"/>
          <w:sz w:val="24"/>
          <w:szCs w:val="24"/>
          <w:lang w:val="en-US"/>
        </w:rPr>
        <w:t xml:space="preserve"> 0.</w:t>
      </w:r>
      <w:r w:rsidR="00CC68A3" w:rsidRPr="002575A7">
        <w:rPr>
          <w:rFonts w:ascii="Book Antiqua" w:hAnsi="Book Antiqua" w:cs="Times New Roman"/>
          <w:sz w:val="24"/>
          <w:szCs w:val="24"/>
          <w:lang w:val="en-US"/>
        </w:rPr>
        <w:t>73</w:t>
      </w:r>
      <w:r w:rsidR="00A32065">
        <w:rPr>
          <w:rFonts w:ascii="Book Antiqua" w:hAnsi="Book Antiqua" w:cs="Times New Roman"/>
          <w:sz w:val="24"/>
          <w:szCs w:val="24"/>
          <w:lang w:val="en-US"/>
        </w:rPr>
        <w:t>-</w:t>
      </w:r>
      <w:r w:rsidR="00F13D5C" w:rsidRPr="002575A7">
        <w:rPr>
          <w:rFonts w:ascii="Book Antiqua" w:hAnsi="Book Antiqua" w:cs="Times New Roman"/>
          <w:sz w:val="24"/>
          <w:szCs w:val="24"/>
          <w:lang w:val="en-US"/>
        </w:rPr>
        <w:t>1.</w:t>
      </w:r>
      <w:r w:rsidR="00CC68A3" w:rsidRPr="002575A7">
        <w:rPr>
          <w:rFonts w:ascii="Book Antiqua" w:hAnsi="Book Antiqua" w:cs="Times New Roman"/>
          <w:sz w:val="24"/>
          <w:szCs w:val="24"/>
          <w:lang w:val="en-US"/>
        </w:rPr>
        <w:t xml:space="preserve">60; </w:t>
      </w:r>
      <w:r w:rsidR="00B60AE3" w:rsidRPr="00B60AE3">
        <w:rPr>
          <w:rFonts w:ascii="Book Antiqua" w:hAnsi="Book Antiqua" w:cs="Times New Roman"/>
          <w:i/>
          <w:iCs/>
          <w:sz w:val="24"/>
          <w:szCs w:val="24"/>
          <w:lang w:val="en-US"/>
        </w:rPr>
        <w:t>P</w:t>
      </w:r>
      <w:r w:rsidR="00B60AE3" w:rsidRPr="002575A7">
        <w:rPr>
          <w:rFonts w:ascii="Times New Roman" w:hAnsi="Times New Roman" w:cs="Times New Roman"/>
          <w:sz w:val="24"/>
          <w:szCs w:val="24"/>
          <w:lang w:val="en-US"/>
        </w:rPr>
        <w:t xml:space="preserve"> </w:t>
      </w:r>
      <w:r w:rsidR="00CC68A3" w:rsidRPr="002575A7">
        <w:rPr>
          <w:rFonts w:ascii="Book Antiqua" w:hAnsi="Book Antiqua" w:cs="Times New Roman"/>
          <w:sz w:val="24"/>
          <w:szCs w:val="24"/>
          <w:lang w:val="en-US"/>
        </w:rPr>
        <w:t>= 0.703</w:t>
      </w:r>
      <w:r w:rsidR="00F13D5C"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or </w:t>
      </w:r>
      <w:r w:rsidR="00F13D5C" w:rsidRPr="002575A7">
        <w:rPr>
          <w:rFonts w:ascii="Book Antiqua" w:hAnsi="Book Antiqua" w:cs="Times New Roman"/>
          <w:sz w:val="24"/>
          <w:szCs w:val="24"/>
          <w:lang w:val="en-US"/>
        </w:rPr>
        <w:t>PFS (</w:t>
      </w:r>
      <w:r w:rsidR="00CC68A3" w:rsidRPr="002575A7">
        <w:rPr>
          <w:rFonts w:ascii="Book Antiqua" w:hAnsi="Book Antiqua" w:cs="Times New Roman"/>
          <w:sz w:val="24"/>
          <w:szCs w:val="24"/>
          <w:lang w:val="en-US"/>
        </w:rPr>
        <w:t>122</w:t>
      </w:r>
      <w:r w:rsidR="00F13D5C" w:rsidRPr="002575A7">
        <w:rPr>
          <w:rFonts w:ascii="Book Antiqua" w:hAnsi="Book Antiqua" w:cs="Times New Roman"/>
          <w:sz w:val="24"/>
          <w:szCs w:val="24"/>
          <w:lang w:val="en-US"/>
        </w:rPr>
        <w:t xml:space="preserve"> patients, </w:t>
      </w:r>
      <w:r w:rsidR="00CC68A3" w:rsidRPr="002575A7">
        <w:rPr>
          <w:rFonts w:ascii="Book Antiqua" w:hAnsi="Book Antiqua" w:cs="Times New Roman"/>
          <w:sz w:val="24"/>
          <w:szCs w:val="24"/>
          <w:lang w:val="en-US"/>
        </w:rPr>
        <w:t xml:space="preserve">113 </w:t>
      </w:r>
      <w:r w:rsidR="00F13D5C" w:rsidRPr="002575A7">
        <w:rPr>
          <w:rFonts w:ascii="Book Antiqua" w:hAnsi="Book Antiqua" w:cs="Times New Roman"/>
          <w:sz w:val="24"/>
          <w:szCs w:val="24"/>
          <w:lang w:val="en-US"/>
        </w:rPr>
        <w:t>events; HR</w:t>
      </w:r>
      <w:r w:rsidR="00A32065">
        <w:rPr>
          <w:rFonts w:ascii="Book Antiqua" w:hAnsi="Book Antiqua" w:cs="Times New Roman"/>
          <w:sz w:val="24"/>
          <w:szCs w:val="24"/>
          <w:lang w:val="en-US"/>
        </w:rPr>
        <w:t xml:space="preserve"> </w:t>
      </w:r>
      <w:r w:rsidR="00F13D5C" w:rsidRPr="002575A7">
        <w:rPr>
          <w:rFonts w:ascii="Book Antiqua" w:hAnsi="Book Antiqua" w:cs="Times New Roman"/>
          <w:sz w:val="24"/>
          <w:szCs w:val="24"/>
          <w:lang w:val="en-US"/>
        </w:rPr>
        <w:t>=</w:t>
      </w:r>
      <w:r w:rsidR="00CC68A3" w:rsidRPr="002575A7">
        <w:rPr>
          <w:rFonts w:ascii="Book Antiqua" w:hAnsi="Book Antiqua" w:cs="Times New Roman"/>
          <w:sz w:val="24"/>
          <w:szCs w:val="24"/>
          <w:lang w:val="en-US"/>
        </w:rPr>
        <w:t xml:space="preserve"> 1.06</w:t>
      </w:r>
      <w:r w:rsidR="00F13D5C"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F13D5C" w:rsidRPr="002575A7">
        <w:rPr>
          <w:rFonts w:ascii="Book Antiqua" w:hAnsi="Book Antiqua" w:cs="Times New Roman"/>
          <w:sz w:val="24"/>
          <w:szCs w:val="24"/>
          <w:lang w:val="en-US"/>
        </w:rPr>
        <w:t xml:space="preserve"> 0.</w:t>
      </w:r>
      <w:r w:rsidR="00CC68A3" w:rsidRPr="002575A7">
        <w:rPr>
          <w:rFonts w:ascii="Book Antiqua" w:hAnsi="Book Antiqua" w:cs="Times New Roman"/>
          <w:sz w:val="24"/>
          <w:szCs w:val="24"/>
          <w:lang w:val="en-US"/>
        </w:rPr>
        <w:t>73</w:t>
      </w:r>
      <w:r w:rsidR="00A32065">
        <w:rPr>
          <w:rFonts w:ascii="Book Antiqua" w:hAnsi="Book Antiqua" w:cs="Times New Roman"/>
          <w:sz w:val="24"/>
          <w:szCs w:val="24"/>
          <w:lang w:val="en-US"/>
        </w:rPr>
        <w:t>-</w:t>
      </w:r>
      <w:r w:rsidR="00CC68A3" w:rsidRPr="002575A7">
        <w:rPr>
          <w:rFonts w:ascii="Book Antiqua" w:hAnsi="Book Antiqua" w:cs="Times New Roman"/>
          <w:sz w:val="24"/>
          <w:szCs w:val="24"/>
          <w:lang w:val="en-US"/>
        </w:rPr>
        <w:t xml:space="preserve">1.55;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CC68A3" w:rsidRPr="002575A7">
        <w:rPr>
          <w:rFonts w:ascii="Book Antiqua" w:hAnsi="Book Antiqua" w:cs="Times New Roman"/>
          <w:sz w:val="24"/>
          <w:szCs w:val="24"/>
          <w:lang w:val="en-US"/>
        </w:rPr>
        <w:t>= 0.746</w:t>
      </w:r>
      <w:r w:rsidR="00F13D5C" w:rsidRPr="002575A7">
        <w:rPr>
          <w:rFonts w:ascii="Book Antiqua" w:hAnsi="Book Antiqua" w:cs="Times New Roman"/>
          <w:sz w:val="24"/>
          <w:szCs w:val="24"/>
          <w:lang w:val="en-US"/>
        </w:rPr>
        <w:t>).</w:t>
      </w:r>
      <w:r w:rsidR="0069134B" w:rsidRPr="002575A7">
        <w:rPr>
          <w:rFonts w:ascii="Book Antiqua" w:hAnsi="Book Antiqua" w:cs="Times New Roman"/>
          <w:sz w:val="24"/>
          <w:szCs w:val="24"/>
          <w:lang w:val="en-US"/>
        </w:rPr>
        <w:t xml:space="preserve"> </w:t>
      </w:r>
      <w:r w:rsidR="006A411C" w:rsidRPr="002575A7">
        <w:rPr>
          <w:rFonts w:ascii="Book Antiqua" w:hAnsi="Book Antiqua" w:cs="Times New Roman"/>
          <w:sz w:val="24"/>
          <w:szCs w:val="24"/>
          <w:lang w:val="en-US"/>
        </w:rPr>
        <w:t xml:space="preserve">After </w:t>
      </w:r>
      <w:r w:rsidR="00914E19" w:rsidRPr="002575A7">
        <w:rPr>
          <w:rFonts w:ascii="Book Antiqua" w:hAnsi="Book Antiqua" w:cs="Times New Roman"/>
          <w:sz w:val="24"/>
          <w:szCs w:val="24"/>
          <w:lang w:val="en-US"/>
        </w:rPr>
        <w:t>propensity score matching</w:t>
      </w:r>
      <w:r w:rsidR="00123C6D">
        <w:rPr>
          <w:rFonts w:ascii="Book Antiqua" w:hAnsi="Book Antiqua" w:cs="Times New Roman"/>
          <w:sz w:val="24"/>
          <w:szCs w:val="24"/>
          <w:lang w:val="en-US"/>
        </w:rPr>
        <w:t xml:space="preserve"> </w:t>
      </w:r>
      <w:r w:rsidR="00123C6D" w:rsidRPr="002575A7">
        <w:rPr>
          <w:rFonts w:ascii="Book Antiqua" w:hAnsi="Book Antiqua" w:cs="Times New Roman"/>
          <w:sz w:val="24"/>
          <w:szCs w:val="24"/>
          <w:lang w:val="en-US"/>
        </w:rPr>
        <w:t xml:space="preserve">(Supplementary Table </w:t>
      </w:r>
      <w:r w:rsidR="00123C6D">
        <w:rPr>
          <w:rFonts w:ascii="Book Antiqua" w:hAnsi="Book Antiqua" w:cs="Times New Roman"/>
          <w:sz w:val="24"/>
          <w:szCs w:val="24"/>
          <w:lang w:val="en-US"/>
        </w:rPr>
        <w:t>7)</w:t>
      </w:r>
      <w:r w:rsidR="006A411C"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survival </w:t>
      </w:r>
      <w:r w:rsidRPr="002575A7">
        <w:rPr>
          <w:rFonts w:ascii="Book Antiqua" w:hAnsi="Book Antiqua" w:cs="Times New Roman"/>
          <w:sz w:val="24"/>
          <w:szCs w:val="24"/>
          <w:lang w:val="en-US"/>
        </w:rPr>
        <w:t>rates for</w:t>
      </w:r>
      <w:r w:rsidR="00AB5087" w:rsidRPr="002575A7">
        <w:rPr>
          <w:rFonts w:ascii="Book Antiqua" w:hAnsi="Book Antiqua" w:cs="Times New Roman"/>
          <w:sz w:val="24"/>
          <w:szCs w:val="24"/>
          <w:lang w:val="en-US"/>
        </w:rPr>
        <w:t xml:space="preserve"> patients </w:t>
      </w:r>
      <w:r w:rsidR="00472B50">
        <w:rPr>
          <w:rFonts w:ascii="Book Antiqua" w:hAnsi="Book Antiqua" w:cs="Times New Roman"/>
          <w:sz w:val="24"/>
          <w:szCs w:val="24"/>
          <w:lang w:val="en-US"/>
        </w:rPr>
        <w:t>were</w:t>
      </w:r>
      <w:r w:rsidR="00472B50"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similar between the two regimens in </w:t>
      </w:r>
      <w:r w:rsidRPr="002575A7">
        <w:rPr>
          <w:rFonts w:ascii="Book Antiqua" w:hAnsi="Book Antiqua" w:cs="Times New Roman"/>
          <w:sz w:val="24"/>
          <w:szCs w:val="24"/>
          <w:lang w:val="en-US"/>
        </w:rPr>
        <w:t xml:space="preserve">terms of </w:t>
      </w:r>
      <w:r w:rsidR="00AB5087" w:rsidRPr="002575A7">
        <w:rPr>
          <w:rFonts w:ascii="Book Antiqua" w:hAnsi="Book Antiqua" w:cs="Times New Roman"/>
          <w:sz w:val="24"/>
          <w:szCs w:val="24"/>
          <w:lang w:val="en-US"/>
        </w:rPr>
        <w:t>OS (HR</w:t>
      </w:r>
      <w:r w:rsidR="00A32065">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 </w:t>
      </w:r>
      <w:r w:rsidR="009B7385" w:rsidRPr="002575A7">
        <w:rPr>
          <w:rFonts w:ascii="Book Antiqua" w:hAnsi="Book Antiqua" w:cs="Times New Roman"/>
          <w:sz w:val="24"/>
          <w:szCs w:val="24"/>
          <w:lang w:val="en-US"/>
        </w:rPr>
        <w:t>0.94</w:t>
      </w:r>
      <w:r w:rsidR="000876E3" w:rsidRPr="002575A7">
        <w:rPr>
          <w:rFonts w:ascii="Book Antiqua" w:hAnsi="Book Antiqua" w:cs="Times New Roman"/>
          <w:sz w:val="24"/>
          <w:szCs w:val="24"/>
          <w:lang w:val="en-US"/>
        </w:rPr>
        <w:t>;</w:t>
      </w:r>
      <w:r w:rsidR="009B7385"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9B7385" w:rsidRPr="002575A7">
        <w:rPr>
          <w:rFonts w:ascii="Book Antiqua" w:hAnsi="Book Antiqua" w:cs="Times New Roman"/>
          <w:sz w:val="24"/>
          <w:szCs w:val="24"/>
          <w:lang w:val="en-US"/>
        </w:rPr>
        <w:t xml:space="preserve"> 0.54</w:t>
      </w:r>
      <w:r w:rsidR="00A32065">
        <w:rPr>
          <w:rFonts w:ascii="Book Antiqua" w:hAnsi="Book Antiqua" w:cs="Times New Roman"/>
          <w:sz w:val="24"/>
          <w:szCs w:val="24"/>
          <w:lang w:val="en-US"/>
        </w:rPr>
        <w:t>-</w:t>
      </w:r>
      <w:r w:rsidR="009B7385" w:rsidRPr="002575A7">
        <w:rPr>
          <w:rFonts w:ascii="Book Antiqua" w:hAnsi="Book Antiqua" w:cs="Times New Roman"/>
          <w:sz w:val="24"/>
          <w:szCs w:val="24"/>
          <w:lang w:val="en-US"/>
        </w:rPr>
        <w:t>1.61</w:t>
      </w:r>
      <w:r w:rsidR="00AB5087" w:rsidRPr="002575A7">
        <w:rPr>
          <w:rFonts w:ascii="Book Antiqua" w:hAnsi="Book Antiqua" w:cs="Times New Roman"/>
          <w:sz w:val="24"/>
          <w:szCs w:val="24"/>
          <w:lang w:val="en-US"/>
        </w:rPr>
        <w:t xml:space="preserve">;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0.</w:t>
      </w:r>
      <w:r w:rsidR="009B7385" w:rsidRPr="002575A7">
        <w:rPr>
          <w:rFonts w:ascii="Book Antiqua" w:hAnsi="Book Antiqua" w:cs="Times New Roman"/>
          <w:sz w:val="24"/>
          <w:szCs w:val="24"/>
          <w:lang w:val="en-US"/>
        </w:rPr>
        <w:t>810</w:t>
      </w:r>
      <w:r w:rsidR="00AB5087" w:rsidRPr="002575A7">
        <w:rPr>
          <w:rFonts w:ascii="Book Antiqua" w:hAnsi="Book Antiqua" w:cs="Times New Roman"/>
          <w:sz w:val="24"/>
          <w:szCs w:val="24"/>
          <w:lang w:val="en-US"/>
        </w:rPr>
        <w:t xml:space="preserve">; </w:t>
      </w:r>
      <w:r w:rsidR="00245F85" w:rsidRPr="002575A7">
        <w:rPr>
          <w:rFonts w:ascii="Book Antiqua" w:hAnsi="Book Antiqua" w:cs="Times New Roman"/>
          <w:sz w:val="24"/>
          <w:szCs w:val="24"/>
          <w:lang w:val="en-US"/>
        </w:rPr>
        <w:t xml:space="preserve">Supplementary </w:t>
      </w:r>
      <w:r w:rsidR="00AB5087" w:rsidRPr="002575A7">
        <w:rPr>
          <w:rFonts w:ascii="Book Antiqua" w:hAnsi="Book Antiqua" w:cs="Times New Roman"/>
          <w:sz w:val="24"/>
          <w:szCs w:val="24"/>
          <w:lang w:val="en-US"/>
        </w:rPr>
        <w:t xml:space="preserve">Figure </w:t>
      </w:r>
      <w:r w:rsidR="00245F85" w:rsidRPr="002575A7">
        <w:rPr>
          <w:rFonts w:ascii="Book Antiqua" w:hAnsi="Book Antiqua" w:cs="Times New Roman"/>
          <w:sz w:val="24"/>
          <w:szCs w:val="24"/>
          <w:lang w:val="en-US"/>
        </w:rPr>
        <w:t>6</w:t>
      </w:r>
      <w:r w:rsidR="00AB5087" w:rsidRPr="002575A7">
        <w:rPr>
          <w:rFonts w:ascii="Book Antiqua" w:hAnsi="Book Antiqua" w:cs="Times New Roman"/>
          <w:sz w:val="24"/>
          <w:szCs w:val="24"/>
          <w:lang w:val="en-US"/>
        </w:rPr>
        <w:t>A) and PFS (HR</w:t>
      </w:r>
      <w:r w:rsidR="00A32065">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 </w:t>
      </w:r>
      <w:r w:rsidR="009B7385" w:rsidRPr="002575A7">
        <w:rPr>
          <w:rFonts w:ascii="Book Antiqua" w:hAnsi="Book Antiqua" w:cs="Times New Roman"/>
          <w:sz w:val="24"/>
          <w:szCs w:val="24"/>
          <w:lang w:val="en-US"/>
        </w:rPr>
        <w:t>0.94</w:t>
      </w:r>
      <w:r w:rsidR="000876E3" w:rsidRPr="002575A7">
        <w:rPr>
          <w:rFonts w:ascii="Book Antiqua" w:hAnsi="Book Antiqua" w:cs="Times New Roman"/>
          <w:sz w:val="24"/>
          <w:szCs w:val="24"/>
          <w:lang w:val="en-US"/>
        </w:rPr>
        <w:t>;</w:t>
      </w:r>
      <w:r w:rsidR="009B7385" w:rsidRPr="002575A7">
        <w:rPr>
          <w:rFonts w:ascii="Book Antiqua" w:hAnsi="Book Antiqua" w:cs="Times New Roman"/>
          <w:sz w:val="24"/>
          <w:szCs w:val="24"/>
          <w:lang w:val="en-US"/>
        </w:rPr>
        <w:t xml:space="preserve"> </w:t>
      </w:r>
      <w:r w:rsidR="00B60AE3">
        <w:rPr>
          <w:rFonts w:ascii="Book Antiqua" w:hAnsi="Book Antiqua" w:cs="Times New Roman"/>
          <w:sz w:val="24"/>
          <w:szCs w:val="24"/>
          <w:lang w:val="en-US"/>
        </w:rPr>
        <w:t>95%CI:</w:t>
      </w:r>
      <w:r w:rsidR="009B7385" w:rsidRPr="002575A7">
        <w:rPr>
          <w:rFonts w:ascii="Book Antiqua" w:hAnsi="Book Antiqua" w:cs="Times New Roman"/>
          <w:sz w:val="24"/>
          <w:szCs w:val="24"/>
          <w:lang w:val="en-US"/>
        </w:rPr>
        <w:t xml:space="preserve"> 0.55</w:t>
      </w:r>
      <w:r w:rsidR="00A32065">
        <w:rPr>
          <w:rFonts w:ascii="Book Antiqua" w:hAnsi="Book Antiqua" w:cs="Times New Roman"/>
          <w:sz w:val="24"/>
          <w:szCs w:val="24"/>
          <w:lang w:val="en-US"/>
        </w:rPr>
        <w:t>-</w:t>
      </w:r>
      <w:r w:rsidR="009B7385" w:rsidRPr="002575A7">
        <w:rPr>
          <w:rFonts w:ascii="Book Antiqua" w:hAnsi="Book Antiqua" w:cs="Times New Roman"/>
          <w:sz w:val="24"/>
          <w:szCs w:val="24"/>
          <w:lang w:val="en-US"/>
        </w:rPr>
        <w:t>1.61</w:t>
      </w:r>
      <w:r w:rsidR="00AB5087" w:rsidRPr="002575A7">
        <w:rPr>
          <w:rFonts w:ascii="Book Antiqua" w:hAnsi="Book Antiqua" w:cs="Times New Roman"/>
          <w:sz w:val="24"/>
          <w:szCs w:val="24"/>
          <w:lang w:val="en-US"/>
        </w:rPr>
        <w:t xml:space="preserve">;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0.</w:t>
      </w:r>
      <w:r w:rsidR="009B7385" w:rsidRPr="002575A7">
        <w:rPr>
          <w:rFonts w:ascii="Book Antiqua" w:hAnsi="Book Antiqua" w:cs="Times New Roman"/>
          <w:sz w:val="24"/>
          <w:szCs w:val="24"/>
          <w:lang w:val="en-US"/>
        </w:rPr>
        <w:t>827</w:t>
      </w:r>
      <w:r w:rsidR="00AB5087" w:rsidRPr="002575A7">
        <w:rPr>
          <w:rFonts w:ascii="Book Antiqua" w:hAnsi="Book Antiqua" w:cs="Times New Roman"/>
          <w:sz w:val="24"/>
          <w:szCs w:val="24"/>
          <w:lang w:val="en-US"/>
        </w:rPr>
        <w:t xml:space="preserve">; </w:t>
      </w:r>
      <w:r w:rsidR="00245F85" w:rsidRPr="002575A7">
        <w:rPr>
          <w:rFonts w:ascii="Book Antiqua" w:hAnsi="Book Antiqua" w:cs="Times New Roman"/>
          <w:sz w:val="24"/>
          <w:szCs w:val="24"/>
          <w:lang w:val="en-US"/>
        </w:rPr>
        <w:t xml:space="preserve">Supplementary </w:t>
      </w:r>
      <w:r w:rsidR="00AB5087" w:rsidRPr="002575A7">
        <w:rPr>
          <w:rFonts w:ascii="Book Antiqua" w:hAnsi="Book Antiqua" w:cs="Times New Roman"/>
          <w:sz w:val="24"/>
          <w:szCs w:val="24"/>
          <w:lang w:val="en-US"/>
        </w:rPr>
        <w:t xml:space="preserve">Figure </w:t>
      </w:r>
      <w:r w:rsidR="00245F85" w:rsidRPr="002575A7">
        <w:rPr>
          <w:rFonts w:ascii="Book Antiqua" w:hAnsi="Book Antiqua" w:cs="Times New Roman"/>
          <w:sz w:val="24"/>
          <w:szCs w:val="24"/>
          <w:lang w:val="en-US"/>
        </w:rPr>
        <w:t>6</w:t>
      </w:r>
      <w:r w:rsidR="00AB5087" w:rsidRPr="002575A7">
        <w:rPr>
          <w:rFonts w:ascii="Book Antiqua" w:hAnsi="Book Antiqua" w:cs="Times New Roman"/>
          <w:sz w:val="24"/>
          <w:szCs w:val="24"/>
          <w:lang w:val="en-US"/>
        </w:rPr>
        <w:t xml:space="preserve">B). </w:t>
      </w:r>
      <w:r w:rsidR="009B7385" w:rsidRPr="002575A7">
        <w:rPr>
          <w:rFonts w:ascii="Book Antiqua" w:hAnsi="Book Antiqua" w:cs="Times New Roman"/>
          <w:sz w:val="24"/>
          <w:szCs w:val="24"/>
          <w:lang w:val="en-US"/>
        </w:rPr>
        <w:t xml:space="preserve">Moreover, </w:t>
      </w:r>
      <w:r w:rsidR="00AB5087" w:rsidRPr="002575A7">
        <w:rPr>
          <w:rFonts w:ascii="Book Antiqua" w:hAnsi="Book Antiqua" w:cs="Times New Roman"/>
          <w:sz w:val="24"/>
          <w:szCs w:val="24"/>
          <w:lang w:val="en-US"/>
        </w:rPr>
        <w:t>no difference in objective response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 </w:t>
      </w:r>
      <w:r w:rsidR="009B7385" w:rsidRPr="002575A7">
        <w:rPr>
          <w:rFonts w:ascii="Book Antiqua" w:hAnsi="Book Antiqua" w:cs="Times New Roman"/>
          <w:sz w:val="24"/>
          <w:szCs w:val="24"/>
          <w:lang w:val="en-US"/>
        </w:rPr>
        <w:t>0.317</w:t>
      </w:r>
      <w:r w:rsidR="00AB5087" w:rsidRPr="002575A7">
        <w:rPr>
          <w:rFonts w:ascii="Book Antiqua" w:hAnsi="Book Antiqua" w:cs="Times New Roman"/>
          <w:sz w:val="24"/>
          <w:szCs w:val="24"/>
          <w:lang w:val="en-US"/>
        </w:rPr>
        <w:t>), maintenance chemotherapy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 </w:t>
      </w:r>
      <w:r w:rsidR="009B7385" w:rsidRPr="002575A7">
        <w:rPr>
          <w:rFonts w:ascii="Book Antiqua" w:hAnsi="Book Antiqua" w:cs="Times New Roman"/>
          <w:sz w:val="24"/>
          <w:szCs w:val="24"/>
          <w:lang w:val="en-US"/>
        </w:rPr>
        <w:t>1.000</w:t>
      </w:r>
      <w:r w:rsidR="00AB5087" w:rsidRPr="002575A7">
        <w:rPr>
          <w:rFonts w:ascii="Book Antiqua" w:hAnsi="Book Antiqua" w:cs="Times New Roman"/>
          <w:sz w:val="24"/>
          <w:szCs w:val="24"/>
          <w:lang w:val="en-US"/>
        </w:rPr>
        <w:t>)</w:t>
      </w:r>
      <w:r w:rsidR="00BC45C3" w:rsidRPr="002575A7">
        <w:rPr>
          <w:rFonts w:ascii="Book Antiqua" w:hAnsi="Book Antiqua" w:cs="Times New Roman"/>
          <w:sz w:val="24"/>
          <w:szCs w:val="24"/>
          <w:lang w:val="en-US"/>
        </w:rPr>
        <w:t>,</w:t>
      </w:r>
      <w:r w:rsidR="00AB5087"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or </w:t>
      </w:r>
      <w:r w:rsidR="00AB5087" w:rsidRPr="002575A7">
        <w:rPr>
          <w:rFonts w:ascii="Book Antiqua" w:hAnsi="Book Antiqua" w:cs="Times New Roman"/>
          <w:sz w:val="24"/>
          <w:szCs w:val="24"/>
          <w:lang w:val="en-US"/>
        </w:rPr>
        <w:t>second-line administration rates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AB5087" w:rsidRPr="002575A7">
        <w:rPr>
          <w:rFonts w:ascii="Book Antiqua" w:hAnsi="Book Antiqua" w:cs="Times New Roman"/>
          <w:sz w:val="24"/>
          <w:szCs w:val="24"/>
          <w:lang w:val="en-US"/>
        </w:rPr>
        <w:t xml:space="preserve">= </w:t>
      </w:r>
      <w:r w:rsidR="009B7385" w:rsidRPr="002575A7">
        <w:rPr>
          <w:rFonts w:ascii="Book Antiqua" w:hAnsi="Book Antiqua" w:cs="Times New Roman"/>
          <w:sz w:val="24"/>
          <w:szCs w:val="24"/>
          <w:lang w:val="en-US"/>
        </w:rPr>
        <w:t>1.000</w:t>
      </w:r>
      <w:r w:rsidR="00D1047E"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was observed</w:t>
      </w:r>
      <w:r w:rsidR="00D1047E" w:rsidRPr="002575A7">
        <w:rPr>
          <w:rFonts w:ascii="Book Antiqua" w:hAnsi="Book Antiqua" w:cs="Times New Roman"/>
          <w:sz w:val="24"/>
          <w:szCs w:val="24"/>
          <w:lang w:val="en-US"/>
        </w:rPr>
        <w:t xml:space="preserve">. Treatment-related grade 3 or 4 adverse events, including </w:t>
      </w:r>
      <w:r w:rsidR="00935631" w:rsidRPr="002575A7">
        <w:rPr>
          <w:rFonts w:ascii="Book Antiqua" w:hAnsi="Book Antiqua" w:cs="Times New Roman"/>
          <w:sz w:val="24"/>
          <w:szCs w:val="24"/>
          <w:lang w:val="en-US"/>
        </w:rPr>
        <w:t>digestive</w:t>
      </w:r>
      <w:r w:rsidR="0004425C" w:rsidRPr="002575A7">
        <w:rPr>
          <w:rFonts w:ascii="Book Antiqua" w:hAnsi="Book Antiqua" w:cs="Times New Roman"/>
          <w:sz w:val="24"/>
          <w:szCs w:val="24"/>
          <w:lang w:val="en-US"/>
        </w:rPr>
        <w:t xml:space="preserve"> and </w:t>
      </w:r>
      <w:r w:rsidR="00191822" w:rsidRPr="002575A7">
        <w:rPr>
          <w:rFonts w:ascii="Book Antiqua" w:hAnsi="Book Antiqua" w:cs="Times New Roman"/>
          <w:sz w:val="24"/>
          <w:szCs w:val="24"/>
          <w:lang w:val="en-US"/>
        </w:rPr>
        <w:t>hematological</w:t>
      </w:r>
      <w:r w:rsidR="0004425C" w:rsidRPr="002575A7">
        <w:rPr>
          <w:rFonts w:ascii="Book Antiqua" w:hAnsi="Book Antiqua" w:cs="Times New Roman"/>
          <w:sz w:val="24"/>
          <w:szCs w:val="24"/>
          <w:lang w:val="en-US"/>
        </w:rPr>
        <w:t xml:space="preserve"> adverse events</w:t>
      </w:r>
      <w:r w:rsidR="00D1047E" w:rsidRPr="002575A7">
        <w:rPr>
          <w:rFonts w:ascii="Book Antiqua" w:hAnsi="Book Antiqua" w:cs="Times New Roman"/>
          <w:sz w:val="24"/>
          <w:szCs w:val="24"/>
          <w:lang w:val="en-US"/>
        </w:rPr>
        <w:t>, were</w:t>
      </w:r>
      <w:r w:rsidR="00402022" w:rsidRPr="002575A7">
        <w:rPr>
          <w:rFonts w:ascii="Book Antiqua" w:hAnsi="Book Antiqua" w:cs="Times New Roman"/>
          <w:sz w:val="24"/>
          <w:szCs w:val="24"/>
          <w:lang w:val="en-US"/>
        </w:rPr>
        <w:t xml:space="preserve"> similar between the two </w:t>
      </w:r>
      <w:r w:rsidR="00CD5CCD" w:rsidRPr="0012509D">
        <w:rPr>
          <w:rFonts w:ascii="Book Antiqua" w:hAnsi="Book Antiqua" w:cs="Times New Roman"/>
          <w:sz w:val="24"/>
          <w:szCs w:val="24"/>
          <w:lang w:val="en-US"/>
        </w:rPr>
        <w:t xml:space="preserve">propensity score-matched </w:t>
      </w:r>
      <w:r w:rsidR="00402022" w:rsidRPr="002575A7">
        <w:rPr>
          <w:rFonts w:ascii="Book Antiqua" w:hAnsi="Book Antiqua" w:cs="Times New Roman"/>
          <w:sz w:val="24"/>
          <w:szCs w:val="24"/>
          <w:lang w:val="en-US"/>
        </w:rPr>
        <w:t>treatment</w:t>
      </w:r>
      <w:r w:rsidRPr="002575A7">
        <w:rPr>
          <w:rFonts w:ascii="Book Antiqua" w:hAnsi="Book Antiqua" w:cs="Times New Roman"/>
          <w:sz w:val="24"/>
          <w:szCs w:val="24"/>
          <w:lang w:val="en-US"/>
        </w:rPr>
        <w:t xml:space="preserve"> group</w:t>
      </w:r>
      <w:r w:rsidR="00402022" w:rsidRPr="002575A7">
        <w:rPr>
          <w:rFonts w:ascii="Book Antiqua" w:hAnsi="Book Antiqua" w:cs="Times New Roman"/>
          <w:sz w:val="24"/>
          <w:szCs w:val="24"/>
          <w:lang w:val="en-US"/>
        </w:rPr>
        <w:t>s (</w:t>
      </w:r>
      <w:r w:rsidR="00A32065" w:rsidRPr="00B60AE3">
        <w:rPr>
          <w:rFonts w:ascii="Book Antiqua" w:hAnsi="Book Antiqua" w:cs="Times New Roman"/>
          <w:i/>
          <w:iCs/>
          <w:sz w:val="24"/>
          <w:szCs w:val="24"/>
          <w:lang w:val="en-US"/>
        </w:rPr>
        <w:t>P</w:t>
      </w:r>
      <w:r w:rsidR="00A32065" w:rsidRPr="002575A7">
        <w:rPr>
          <w:rFonts w:ascii="Book Antiqua" w:hAnsi="Book Antiqua" w:cs="Times New Roman"/>
          <w:sz w:val="24"/>
          <w:szCs w:val="24"/>
          <w:lang w:val="en-US"/>
        </w:rPr>
        <w:t xml:space="preserve"> </w:t>
      </w:r>
      <w:r w:rsidR="00402022" w:rsidRPr="002575A7">
        <w:rPr>
          <w:rFonts w:ascii="Book Antiqua" w:hAnsi="Book Antiqua" w:cs="Times New Roman"/>
          <w:sz w:val="24"/>
          <w:szCs w:val="24"/>
          <w:lang w:val="en-US"/>
        </w:rPr>
        <w:t>= 0.362</w:t>
      </w:r>
      <w:r w:rsidR="00D1047E" w:rsidRPr="002575A7">
        <w:rPr>
          <w:rFonts w:ascii="Book Antiqua" w:hAnsi="Book Antiqua" w:cs="Times New Roman"/>
          <w:sz w:val="24"/>
          <w:szCs w:val="24"/>
          <w:lang w:val="en-US"/>
        </w:rPr>
        <w:t>) (</w:t>
      </w:r>
      <w:r w:rsidR="00245F85" w:rsidRPr="002575A7">
        <w:rPr>
          <w:rFonts w:ascii="Book Antiqua" w:hAnsi="Book Antiqua" w:cs="Times New Roman"/>
          <w:sz w:val="24"/>
          <w:szCs w:val="24"/>
          <w:lang w:val="en-US"/>
        </w:rPr>
        <w:t xml:space="preserve">Supplementary </w:t>
      </w:r>
      <w:r w:rsidR="00D1047E" w:rsidRPr="002575A7">
        <w:rPr>
          <w:rFonts w:ascii="Book Antiqua" w:hAnsi="Book Antiqua" w:cs="Times New Roman"/>
          <w:sz w:val="24"/>
          <w:szCs w:val="24"/>
          <w:lang w:val="en-US"/>
        </w:rPr>
        <w:t xml:space="preserve">Table </w:t>
      </w:r>
      <w:r w:rsidR="00245F85" w:rsidRPr="002575A7">
        <w:rPr>
          <w:rFonts w:ascii="Book Antiqua" w:hAnsi="Book Antiqua" w:cs="Times New Roman"/>
          <w:sz w:val="24"/>
          <w:szCs w:val="24"/>
          <w:lang w:val="en-US"/>
        </w:rPr>
        <w:t>8</w:t>
      </w:r>
      <w:r w:rsidR="00D1047E" w:rsidRPr="002575A7">
        <w:rPr>
          <w:rFonts w:ascii="Book Antiqua" w:hAnsi="Book Antiqua" w:cs="Times New Roman"/>
          <w:sz w:val="24"/>
          <w:szCs w:val="24"/>
          <w:lang w:val="en-US"/>
        </w:rPr>
        <w:t>).</w:t>
      </w:r>
    </w:p>
    <w:p w14:paraId="7090779E" w14:textId="77777777" w:rsidR="004B4E99" w:rsidRPr="002575A7" w:rsidRDefault="004B4E99" w:rsidP="00864BDB">
      <w:pPr>
        <w:snapToGrid w:val="0"/>
        <w:spacing w:after="0" w:line="360" w:lineRule="auto"/>
        <w:jc w:val="both"/>
        <w:rPr>
          <w:rFonts w:ascii="Book Antiqua" w:hAnsi="Book Antiqua" w:cs="Times New Roman"/>
          <w:sz w:val="24"/>
          <w:szCs w:val="24"/>
          <w:lang w:val="en-US"/>
        </w:rPr>
      </w:pPr>
    </w:p>
    <w:p w14:paraId="77C0246B" w14:textId="77777777" w:rsidR="0044750C" w:rsidRPr="0044750C" w:rsidRDefault="0044750C" w:rsidP="0085398F">
      <w:pPr>
        <w:adjustRightInd w:val="0"/>
        <w:snapToGrid w:val="0"/>
        <w:spacing w:after="0" w:line="360" w:lineRule="auto"/>
        <w:jc w:val="both"/>
        <w:rPr>
          <w:rFonts w:ascii="Book Antiqua" w:hAnsi="Book Antiqua" w:cs="Calibri"/>
          <w:b/>
          <w:sz w:val="24"/>
          <w:szCs w:val="24"/>
          <w:u w:val="single"/>
          <w:lang w:val="en-US"/>
        </w:rPr>
      </w:pPr>
      <w:bookmarkStart w:id="6" w:name="_Hlk27141721"/>
      <w:r w:rsidRPr="0044750C">
        <w:rPr>
          <w:rFonts w:ascii="Book Antiqua" w:hAnsi="Book Antiqua" w:cs="Arial"/>
          <w:b/>
          <w:sz w:val="24"/>
          <w:szCs w:val="24"/>
          <w:u w:val="single"/>
          <w:lang w:val="en-US"/>
        </w:rPr>
        <w:t>DISCUSSION</w:t>
      </w:r>
    </w:p>
    <w:bookmarkEnd w:id="6"/>
    <w:p w14:paraId="6D1E8426" w14:textId="1D5EE47C" w:rsidR="00140EBF" w:rsidRPr="002575A7" w:rsidRDefault="00301BC3" w:rsidP="00864BDB">
      <w:pPr>
        <w:snapToGrid w:val="0"/>
        <w:spacing w:after="0" w:line="360" w:lineRule="auto"/>
        <w:jc w:val="both"/>
        <w:rPr>
          <w:rFonts w:ascii="Book Antiqua" w:hAnsi="Book Antiqua" w:cs="Times New Roman"/>
          <w:sz w:val="24"/>
          <w:szCs w:val="24"/>
          <w:lang w:val="en-US"/>
        </w:rPr>
      </w:pPr>
      <w:r w:rsidRPr="00301BC3">
        <w:rPr>
          <w:rFonts w:ascii="Book Antiqua" w:hAnsi="Book Antiqua" w:cs="Times New Roman"/>
          <w:sz w:val="24"/>
          <w:szCs w:val="24"/>
          <w:lang w:val="en-US"/>
        </w:rPr>
        <w:t>This is the first study to show, in a head-to-head comparison, that FOLFOXIRI is feasible as L1 in patients with aPDAC but does not confer any therapeutic benefit as compared with FOLFIRINOX</w:t>
      </w:r>
      <w:r>
        <w:rPr>
          <w:rFonts w:ascii="Book Antiqua" w:hAnsi="Book Antiqua" w:cs="Times New Roman"/>
          <w:sz w:val="24"/>
          <w:szCs w:val="24"/>
          <w:lang w:val="en-US"/>
        </w:rPr>
        <w:t xml:space="preserve">. </w:t>
      </w:r>
      <w:r w:rsidR="00D349BB" w:rsidRPr="002575A7">
        <w:rPr>
          <w:rFonts w:ascii="Book Antiqua" w:hAnsi="Book Antiqua" w:cs="Times New Roman"/>
          <w:sz w:val="24"/>
          <w:szCs w:val="24"/>
          <w:lang w:val="en-US"/>
        </w:rPr>
        <w:t xml:space="preserve">PDAC is a highly aggressive cancer, and chemotherapy remains the cornerstone of advanced disease therapy. </w:t>
      </w:r>
      <w:r w:rsidR="001002E9" w:rsidRPr="002575A7">
        <w:rPr>
          <w:rFonts w:ascii="Book Antiqua" w:hAnsi="Book Antiqua" w:cs="Times New Roman"/>
          <w:sz w:val="24"/>
          <w:szCs w:val="24"/>
          <w:lang w:val="en-US"/>
        </w:rPr>
        <w:t>Preclinical studies showed synergistic activity between oxaliplatin, irinotecan and 5-FU</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{"citationID":"aGHSX2Xa","properties":{"formattedCitation":"\\super 16\\uc0\\u8211{}18\\nosupersub{}","plainCitation":"16–18","noteIndex":0},"citationItems":[{"id":1723,"uris":["http://zotero.org/users/2205527/items/ZL4VT4MH"],"uri":["http://zotero.org/users/2205527/items/ZL4VT4MH"],"itemData":{"id":1723,"type":"article-journal","title":"Combination of irinotecan (CPT11) and 5-fluorouracil with an analysis of cellular determinants of drug activity","container-title":"Biochemical Pharmacology","page":"1315-1322","volume":"56","issue":"10","source":"PubMed","abstract":"We evaluated the combination SN38 (7-ethyl-10-hydroxycamptothecin) -5fluorouracil (5FU) +/- folinic acid (FA) on six human colon cancer cell lines expressing spontaneous sensitivity to both drugs. Tumoral parameters potentially related to drug sensitivity were investigated: topoisomerase I (topo I) cleavable complexes formed with SN38, thymidylate synthase (TS) activity, folylpolyglutamate synthetase activity and dihydropyrimidine dehydrogenase activity. Drugs (SN38 and/or 5FU +/- FA) were applied for 72 hr, either sequentially or together. The concentration ratio between SN38 and 5FU was 100. Cytotoxicity (MTT [3-(4,5-dimethylthiazol-2-yl)-2,5 diphenyltetrazolium bromide] test), DNA flow cytometry and isobologram analysis (Chou and Talatay) were performed. Based on 5FU IC50 values and isobologram analyses, the most cytotoxic schedule was SN38 followed by 5FU - FA, with high synergistic effects. Flow cytometry indicated that SN38 induced a more or less marked S-G2 block in all cell lines. Sensitivity to SN38, 5FU +/- FA, or combinations were not linked to the potential above-cited tumoral parameters. Interestingly, an inverse correlation was demonstrated between TS activity and topo I cleavable complexes (r2 = 0.78, P = 0.019). These data emphasize the critical importance of the irinotecan-5FU schedule and strongly support this association for the treatment of potentially 5FU-sensitive tumors.","ISSN":"0006-2952","note":"PMID: 9825730","journalAbbreviation":"Biochem. Pharmacol.","language":"eng","author":[{"family":"Pavillard","given":"V."},{"family":"Formento","given":"P."},{"family":"Rostagno","given":"P."},{"family":"Formento","given":"J. L."},{"family":"Fischel","given":"J. L."},{"family":"Francoual","given":"M."},{"family":"Etienne","given":"M. C."},{"family":"Milano","given":"G."}],"issued":{"date-parts":[["1998",11,15]]}},"label":"page"},{"id":1725,"uris":["http://zotero.org/users/2205527/items/ZWLHIVX4"],"uri":["http://zotero.org/users/2205527/items/ZWLHIVX4"],"itemData":{"id":1725,"type":"article-journal","title":"Randomized phase II study evaluating oxaliplatin alone, oxaliplatin combined with infusional 5-FU, and infusional 5-FU alone in advanced pancreatic carcinoma patients","container-title":"Annals of Oncology: Official Journal of the European Society for Medical Oncology","page":"467-473","volume":"15","issue":"3","source":"PubMed","abstract":"BACKGROUND: A randomized phase II, open-label multicenter study evaluating oxaliplatin alone (OXA), infusional 5-fluorouracil alone (5-FU) and an oxaliplatin/infusional 5-FU combination (OXFU) in untreated, advanced pancreatic carcinoma (APC).\nPATIENTS AND METHODS: Chemotherapy-naïve patients with advanced or metastatic, histologically/cytologically proven pancreatic carcinoma with measurable disease, received OXA [130 mg/m2, 2-h intravenous (i.v.) infusion] alone, OXA combined with 5-FU (1000 mg/m2/day, continuous i.v., days 1-4), or 5-FU alone, every 3 weeks.\nRESULTS: Sixty-three patients (42 males/21 females) were treated: 17 patients/52 cycles OXA, 31 patients/ 175 cycles OXFU, 15 patients/41 cycles 5-FU, with a median of three, six and two cycles/patient, respectively. Patient characteristics were similar in all arms. Median age was 57 years (range 21-75), and 83% of patients had PS 0-1. Most patients (62%) had moderate to well-differentiated tumors, 90% had metastatic disease, 81% with liver metastases. All responses (three partial responses; WHO) occurred in the OXFU arm (10% response rate). Five of 32 patients evaluable for clinical benefit were responders (OXA, 14%; OXFU, 21%). Median time to progression and overall survival were higher in the combination arm (4.2 and 9.0 months, respectively) than either single-agent arm (OXA, 2.0 and 3.4 months; 5-FU, 1.5 and 2.4 months, respectively). Moderate hematotoxicity without morbidity was seen in all arms. Two OXFU patients had grade 3 oxaliplatin neurosensory toxicity.\nCONCLUSIONS: With a 10% response rate, median overall survival of 9 months and an encouraging safety profile, the OXFU combination is effective, appears superior to infusional 5-FU and warrants further studies in APC patients.","DOI":"10.1093/annonc/mdh098","ISSN":"0923-7534","note":"PMID: 14998850","journalAbbreviation":"Ann. Oncol.","language":"eng","author":[{"family":"Ducreux","given":"M."},{"family":"Mitry","given":"E."},{"family":"Ould-Kaci","given":"M."},{"family":"Boige","given":"V."},{"family":"Seitz","given":"J. F."},{"family":"Bugat","given":"R."},{"family":"Breau","given":"J. L."},{"family":"Bouché","given":"O."},{"family":"Etienne","given":"P. L."},{"family":"Tigaud","given":"J. M."},{"family":"Morvan","given":"F."},{"family":"Cvitkovic","given":"E."},{"family":"Rougier","given":"P."}],"issued":{"date-parts":[["2004",3]]}},"label":"page"},{"id":1728,"uris":["http://zotero.org/users/2205527/items/IBTTRWZP"],"uri":["http://zotero.org/users/2205527/items/IBTTRWZP"],"itemData":{"id":1728,"type":"article-journal","title":"Cellular pharmacology of the combination of the DNA topoisomerase I inhibitor SN-38 and the diaminocyclohexane platinum derivative oxaliplatin","container-title":"Clinical Cancer Research: An Official Journal of the American Association for Cancer Research","page":"1189-1196","volume":"5","issue":"5","source":"PubMed","abstract":"CPT-11, a DNA topoisomerase I inhibitor, and oxaliplatin, a diaminocyclohexane platinum derivative, are cytotoxic agents that have demonstrated clinical antitumor activity in colorectal cancer. Given the therapeutic potential of their combination, we studied the cellular pharmacology of SN-38, the active metabolite of CPT-11, and oxaliplatin in the human colon cancer HT29 cell line. Growth inhibition was studied after a 1- or 24-h exposure to SN-38 or oxaliplatin, given alone or in combination. The cytotoxicity analysis by the isobolograms method elicited synergy. SN-38 delayed the reversion of oxaliplatin-induced DNA interstrand cross-links (ISCs), measured in cells by alkaline elution. The amount of detectable ISCs 15 h after a 1-h exposure to 10 microm oxaliplatin was 27% of the ISC peak levels and increased to 68% in the presence of 0.1 microM SN-38. The presence of oxaliplatin DNA adducts led to a 3.3-fold increase in the SN-38-induced DNA elongation inhibition, as measured by pulse-labeling alkaline elution. Inhibition of DNA and RNA synthesis was longer after exposure to the combination of oxaliplatin and SN-38 than after exposure to each agent alone. Consistently, flow cytometry analyses revealed that preexposure to oxaliplatin enhanced SN-38-induced S-phase arrest. Filter binding assays indicated that the cells arrested in S-phase at 48 h were undergoing apoptosis. Hence, supra-additive cytotoxicity appears related to major modifications in the cellular response to DNA damage rather than to changes in DNA damage formation. The combination of CPT-11 and oxaliplatin induced a 2-fold higher tumor growth reduction in vivo than did oxaliplatin alone at feasible nonlethal doses. This study provides a rationale for the optimal use of CPT-11 and oxaliplatin in combination.","ISSN":"1078-0432","note":"PMID: 10353756","journalAbbreviation":"Clin. Cancer Res.","language":"eng","author":[{"family":"Zeghari-Squalli","given":"N."},{"family":"Raymond","given":"E."},{"family":"Cvitkovic","given":"E."},{"family":"Goldwasser","given":"F."}],"issued":{"date-parts":[["1999",5]]}},"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16–18</w:t>
      </w:r>
      <w:r w:rsidR="00561FC3" w:rsidRPr="002575A7">
        <w:rPr>
          <w:rFonts w:ascii="Book Antiqua" w:hAnsi="Book Antiqua" w:cs="Times New Roman"/>
          <w:sz w:val="24"/>
          <w:szCs w:val="24"/>
          <w:lang w:val="en-US"/>
        </w:rPr>
        <w:fldChar w:fldCharType="end"/>
      </w:r>
      <w:r w:rsidR="00145FD4"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 xml:space="preserve">, </w:t>
      </w:r>
      <w:r w:rsidR="001002E9" w:rsidRPr="002575A7">
        <w:rPr>
          <w:rFonts w:ascii="Book Antiqua" w:hAnsi="Book Antiqua" w:cs="Times New Roman"/>
          <w:sz w:val="24"/>
          <w:szCs w:val="24"/>
          <w:lang w:val="en-US"/>
        </w:rPr>
        <w:t>and phase II</w:t>
      </w:r>
      <w:r w:rsidR="002F342C" w:rsidRPr="002575A7">
        <w:rPr>
          <w:rFonts w:ascii="Book Antiqua" w:hAnsi="Book Antiqua" w:cs="Times New Roman"/>
          <w:sz w:val="24"/>
          <w:szCs w:val="24"/>
          <w:lang w:val="en-US"/>
        </w:rPr>
        <w:t>/</w:t>
      </w:r>
      <w:r w:rsidR="001002E9" w:rsidRPr="002575A7">
        <w:rPr>
          <w:rFonts w:ascii="Book Antiqua" w:hAnsi="Book Antiqua" w:cs="Times New Roman"/>
          <w:sz w:val="24"/>
          <w:szCs w:val="24"/>
          <w:lang w:val="en-US"/>
        </w:rPr>
        <w:t>II</w:t>
      </w:r>
      <w:r w:rsidR="00B06D34" w:rsidRPr="002575A7">
        <w:rPr>
          <w:rFonts w:ascii="Book Antiqua" w:hAnsi="Book Antiqua" w:cs="Times New Roman"/>
          <w:sz w:val="24"/>
          <w:szCs w:val="24"/>
          <w:lang w:val="en-US"/>
        </w:rPr>
        <w:t>I</w:t>
      </w:r>
      <w:r w:rsidR="001002E9" w:rsidRPr="002575A7">
        <w:rPr>
          <w:rFonts w:ascii="Book Antiqua" w:hAnsi="Book Antiqua" w:cs="Times New Roman"/>
          <w:sz w:val="24"/>
          <w:szCs w:val="24"/>
          <w:lang w:val="en-US"/>
        </w:rPr>
        <w:t xml:space="preserve"> trial</w:t>
      </w:r>
      <w:r w:rsidR="00D349BB" w:rsidRPr="002575A7">
        <w:rPr>
          <w:rFonts w:ascii="Book Antiqua" w:hAnsi="Book Antiqua" w:cs="Times New Roman"/>
          <w:sz w:val="24"/>
          <w:szCs w:val="24"/>
          <w:lang w:val="en-US"/>
        </w:rPr>
        <w:t>s</w:t>
      </w:r>
      <w:r w:rsidR="001002E9" w:rsidRPr="002575A7">
        <w:rPr>
          <w:rFonts w:ascii="Book Antiqua" w:hAnsi="Book Antiqua" w:cs="Times New Roman"/>
          <w:sz w:val="24"/>
          <w:szCs w:val="24"/>
          <w:lang w:val="en-US"/>
        </w:rPr>
        <w:t xml:space="preserve"> confirmed the antitumor activity of the FOLFIRINOX combination </w:t>
      </w:r>
      <w:r w:rsidR="002F342C" w:rsidRPr="002575A7">
        <w:rPr>
          <w:rFonts w:ascii="Book Antiqua" w:hAnsi="Book Antiqua" w:cs="Times New Roman"/>
          <w:sz w:val="24"/>
          <w:szCs w:val="24"/>
          <w:lang w:val="en-US"/>
        </w:rPr>
        <w:t xml:space="preserve">in </w:t>
      </w:r>
      <w:r w:rsidR="001002E9" w:rsidRPr="002575A7">
        <w:rPr>
          <w:rFonts w:ascii="Book Antiqua" w:hAnsi="Book Antiqua" w:cs="Times New Roman"/>
          <w:sz w:val="24"/>
          <w:szCs w:val="24"/>
          <w:lang w:val="en-US"/>
        </w:rPr>
        <w:t>metastatic pancreatic cancer</w:t>
      </w:r>
      <w:r w:rsidR="002F342C" w:rsidRPr="002575A7">
        <w:rPr>
          <w:rFonts w:ascii="Book Antiqua" w:hAnsi="Book Antiqua" w:cs="Times New Roman"/>
          <w:sz w:val="24"/>
          <w:szCs w:val="24"/>
          <w:lang w:val="en-US"/>
        </w:rPr>
        <w:t>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{"citationID":"Tel28iUC","properties":{"formattedCitation":"\\super 7,19\\nosupersub{}","plainCitation":"7,19","noteIndex":0},"citationItems":[{"id":771,"uris":["http://zotero.org/users/2205527/items/KXPTCEBR"],"uri":["http://zotero.org/users/2205527/items/KXPTCEBR"],"itemData":{"id":771,"type":"article-journal","title":"FOLFIRINOX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label":"page"},{"id":1649,"uris":["http://zotero.org/users/2205527/items/DRNM25ZT"],"uri":["http://zotero.org/users/2205527/items/DRNM25ZT"],"itemData":{"id":1649,"type":"article-journal","title":"Irinotecan plus oxaliplatin and leucovorin-modulated fluorouracil in advanced pancreatic cancer--a Groupe Tumeurs Digestives of the Federation Nationale des Centres de Lutte Contre le Cancer study","container-title":"Journal of Clinical Oncology: Official Journal of the American Society of Clinical Oncology","page":"1228-1236","volume":"23","issue":"6","source":"PubMed","abstract":"PURPOSE: To evaluate response rate and toxicity of irinotecan and oxaliplatin plus fluorouracil (FU) and leucovorin (Folfirinox) in advanced pancreatic adenocarcinoma (APA).\nPATIENTS AND METHODS: Chemotherapy-naive patients with histologically proven APA and bidimensionally measurable disease were treated with Folfirinox therapy every 2 weeks, which comprised oxaliplatin 85 mg/m(2) and irinotecan 180 mg/m(2) plus leucovorin 400 mg/m(2) followed by bolus FU 400 mg/m(2) on day 1, then FU 2,400 mg/m(2) as a 46-hour continuous infusion. Quality of life (QOL) was assessed using European Organisation for Research and Treatment of Cancer Quality of Life Questionnaire C30 (EORTC QLQ-C30).\nRESULTS: Forty-seven patients were entered, and 46 received treatment. Thirty-five patients (76%) had metastatic disease. A total of 356 cycles were delivered, with a median of eight cycles per patient (range, one to 24 cycles). All patients were assessable for safety. No toxic death occurred. Grade 3 to 4 neutropenia occurred in 52% of patients, including two patients with febrile neutropenia. Other relevant toxicities included grade 3 to 4 nausea (20%), vomiting (17%), and diarrhea (17%) and grade 3 neuropathy (15%; Levi's scale). The confirmed response rate was 26% (95% CI, 13% to 39%), including 4% complete responses. Median time to progression was 8.2 months (95% CI, 5.3 to 11.6 months), and median overall survival was 10.2 months (95% CI, 8.1 to 14.4 months). Between baseline and end of treatment, patients had improvement in all functional scales of the EORTC QLQ-C30, except cognitive functioning. Responders had major improvement in global QOL.\nCONCLUSION: With a good safety profile, a promising response rate, and an improvement in QOL, Folfirinox will be further assessed in a phase III trial.","DOI":"10.1200/JCO.2005.06.050","ISSN":"0732-183X","note":"PMID: 15718320","journalAbbreviation":"J. Clin. Oncol.","language":"eng","author":[{"family":"Conroy","given":"Thierry"},{"family":"Paillot","given":"Bernard"},{"family":"François","given":"Eric"},{"family":"Bugat","given":"Roland"},{"family":"Jacob","given":"Jacques-Henri"},{"family":"Stein","given":"Ulrich"},{"family":"Nasca","given":"Salvador"},{"family":"Metges","given":"Jean-Philippe"},{"family":"Rixe","given":"Olivier"},{"family":"Michel","given":"Pierre"},{"family":"Magherini","given":"Emmanuelle"},{"family":"Hua","given":"Aliette"},{"family":"Deplanque","given":"Gael"}],"issued":{"date-parts":[["2005",2,20]]}},"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7,19</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1002E9" w:rsidRPr="002575A7">
        <w:rPr>
          <w:rFonts w:ascii="Book Antiqua" w:hAnsi="Book Antiqua" w:cs="Times New Roman"/>
          <w:sz w:val="24"/>
          <w:szCs w:val="24"/>
          <w:lang w:val="en-US"/>
        </w:rPr>
        <w:t xml:space="preserve"> </w:t>
      </w:r>
      <w:r w:rsidR="00D349BB" w:rsidRPr="002575A7">
        <w:rPr>
          <w:rFonts w:ascii="Book Antiqua" w:hAnsi="Book Antiqua" w:cs="Times New Roman"/>
          <w:sz w:val="24"/>
          <w:szCs w:val="24"/>
          <w:lang w:val="en-US"/>
        </w:rPr>
        <w:t>Although FOLFIRINOX is a first-line option for patients with metastatic PDAC, the significant adverse event</w:t>
      </w:r>
      <w:r w:rsidR="008A4BED" w:rsidRPr="002575A7">
        <w:rPr>
          <w:rFonts w:ascii="Book Antiqua" w:hAnsi="Book Antiqua" w:cs="Times New Roman"/>
          <w:sz w:val="24"/>
          <w:szCs w:val="24"/>
          <w:lang w:val="en-US"/>
        </w:rPr>
        <w:t xml:space="preserve"> rate</w:t>
      </w:r>
      <w:r w:rsidR="00D349BB" w:rsidRPr="002575A7">
        <w:rPr>
          <w:rFonts w:ascii="Book Antiqua" w:hAnsi="Book Antiqua" w:cs="Times New Roman"/>
          <w:sz w:val="24"/>
          <w:szCs w:val="24"/>
          <w:lang w:val="en-US"/>
        </w:rPr>
        <w:t xml:space="preserve"> limit</w:t>
      </w:r>
      <w:r w:rsidR="008A4BED" w:rsidRPr="002575A7">
        <w:rPr>
          <w:rFonts w:ascii="Book Antiqua" w:hAnsi="Book Antiqua" w:cs="Times New Roman"/>
          <w:sz w:val="24"/>
          <w:szCs w:val="24"/>
          <w:lang w:val="en-US"/>
        </w:rPr>
        <w:t>s</w:t>
      </w:r>
      <w:r w:rsidR="00D349BB" w:rsidRPr="002575A7">
        <w:rPr>
          <w:rFonts w:ascii="Book Antiqua" w:hAnsi="Book Antiqua" w:cs="Times New Roman"/>
          <w:sz w:val="24"/>
          <w:szCs w:val="24"/>
          <w:lang w:val="en-US"/>
        </w:rPr>
        <w:t xml:space="preserve"> its administration in full doses.</w:t>
      </w:r>
      <w:r w:rsidR="00140EBF" w:rsidRPr="002575A7">
        <w:rPr>
          <w:rFonts w:ascii="Book Antiqua" w:hAnsi="Book Antiqua" w:cs="Times New Roman"/>
          <w:sz w:val="24"/>
          <w:szCs w:val="24"/>
          <w:lang w:val="en-US"/>
        </w:rPr>
        <w:t xml:space="preserve"> </w:t>
      </w:r>
      <w:r w:rsidR="00530526" w:rsidRPr="002575A7">
        <w:rPr>
          <w:rFonts w:ascii="Book Antiqua" w:hAnsi="Book Antiqua" w:cs="Times New Roman"/>
          <w:sz w:val="24"/>
          <w:szCs w:val="24"/>
          <w:lang w:val="en-US"/>
        </w:rPr>
        <w:t>However, i</w:t>
      </w:r>
      <w:r w:rsidR="00486DF1" w:rsidRPr="002575A7">
        <w:rPr>
          <w:rFonts w:ascii="Book Antiqua" w:hAnsi="Book Antiqua" w:cs="Times New Roman"/>
          <w:sz w:val="24"/>
          <w:szCs w:val="24"/>
          <w:lang w:val="en-US"/>
        </w:rPr>
        <w:t>ts</w:t>
      </w:r>
      <w:r w:rsidR="00140EBF" w:rsidRPr="002575A7">
        <w:rPr>
          <w:rFonts w:ascii="Book Antiqua" w:hAnsi="Book Antiqua" w:cs="Times New Roman"/>
          <w:sz w:val="24"/>
          <w:szCs w:val="24"/>
          <w:lang w:val="en-US"/>
        </w:rPr>
        <w:t xml:space="preserve"> </w:t>
      </w:r>
      <w:r w:rsidR="0062652F">
        <w:rPr>
          <w:rFonts w:ascii="Book Antiqua" w:hAnsi="Book Antiqua" w:cs="Times New Roman"/>
          <w:sz w:val="24"/>
          <w:szCs w:val="24"/>
          <w:lang w:val="en-US"/>
        </w:rPr>
        <w:t>substantial</w:t>
      </w:r>
      <w:r w:rsidRPr="002575A7">
        <w:rPr>
          <w:rFonts w:ascii="Book Antiqua" w:hAnsi="Book Antiqua" w:cs="Times New Roman"/>
          <w:sz w:val="24"/>
          <w:szCs w:val="24"/>
          <w:lang w:val="en-US"/>
        </w:rPr>
        <w:t xml:space="preserve"> </w:t>
      </w:r>
      <w:r w:rsidR="00140EBF" w:rsidRPr="002575A7">
        <w:rPr>
          <w:rFonts w:ascii="Book Antiqua" w:hAnsi="Book Antiqua" w:cs="Times New Roman"/>
          <w:sz w:val="24"/>
          <w:szCs w:val="24"/>
          <w:lang w:val="en-US"/>
        </w:rPr>
        <w:t xml:space="preserve">benefit in terms of survival </w:t>
      </w:r>
      <w:r w:rsidR="00530526" w:rsidRPr="002575A7">
        <w:rPr>
          <w:rFonts w:ascii="Book Antiqua" w:hAnsi="Book Antiqua" w:cs="Times New Roman"/>
          <w:sz w:val="24"/>
          <w:szCs w:val="24"/>
          <w:lang w:val="en-US"/>
        </w:rPr>
        <w:t xml:space="preserve">rates </w:t>
      </w:r>
      <w:r w:rsidR="00140EBF" w:rsidRPr="002575A7">
        <w:rPr>
          <w:rFonts w:ascii="Book Antiqua" w:hAnsi="Book Antiqua" w:cs="Times New Roman"/>
          <w:sz w:val="24"/>
          <w:szCs w:val="24"/>
          <w:lang w:val="en-US"/>
        </w:rPr>
        <w:t xml:space="preserve">and </w:t>
      </w:r>
      <w:r w:rsidR="00BE093D" w:rsidRPr="002575A7">
        <w:rPr>
          <w:rFonts w:ascii="Book Antiqua" w:hAnsi="Book Antiqua" w:cs="Times New Roman"/>
          <w:sz w:val="24"/>
          <w:szCs w:val="24"/>
          <w:lang w:val="en-US"/>
        </w:rPr>
        <w:t>HRQoL</w:t>
      </w:r>
      <w:r w:rsidR="00140EBF" w:rsidRPr="002575A7">
        <w:rPr>
          <w:rFonts w:ascii="Book Antiqua" w:hAnsi="Book Antiqua" w:cs="Times New Roman"/>
          <w:sz w:val="24"/>
          <w:szCs w:val="24"/>
          <w:lang w:val="en-US"/>
        </w:rPr>
        <w:t xml:space="preserve"> encourages </w:t>
      </w:r>
      <w:r w:rsidR="00530526" w:rsidRPr="002575A7">
        <w:rPr>
          <w:rFonts w:ascii="Book Antiqua" w:hAnsi="Book Antiqua" w:cs="Times New Roman"/>
          <w:sz w:val="24"/>
          <w:szCs w:val="24"/>
          <w:lang w:val="en-US"/>
        </w:rPr>
        <w:t>the assessment of</w:t>
      </w:r>
      <w:r w:rsidR="00140EBF" w:rsidRPr="002575A7">
        <w:rPr>
          <w:rFonts w:ascii="Book Antiqua" w:hAnsi="Book Antiqua" w:cs="Times New Roman"/>
          <w:sz w:val="24"/>
          <w:szCs w:val="24"/>
          <w:lang w:val="en-US"/>
        </w:rPr>
        <w:t xml:space="preserve"> </w:t>
      </w:r>
      <w:r w:rsidR="00C242F8" w:rsidRPr="002575A7">
        <w:rPr>
          <w:rFonts w:ascii="Book Antiqua" w:hAnsi="Book Antiqua" w:cs="Times New Roman"/>
          <w:sz w:val="24"/>
          <w:szCs w:val="24"/>
          <w:lang w:val="en-US"/>
        </w:rPr>
        <w:t>a modified schedule</w:t>
      </w:r>
      <w:r w:rsidR="00140EBF" w:rsidRPr="002575A7">
        <w:rPr>
          <w:rFonts w:ascii="Book Antiqua" w:hAnsi="Book Antiqua" w:cs="Times New Roman"/>
          <w:sz w:val="24"/>
          <w:szCs w:val="24"/>
          <w:lang w:val="en-US"/>
        </w:rPr>
        <w:t xml:space="preserve"> </w:t>
      </w:r>
      <w:r w:rsidR="00530526" w:rsidRPr="002575A7">
        <w:rPr>
          <w:rFonts w:ascii="Book Antiqua" w:hAnsi="Book Antiqua" w:cs="Times New Roman"/>
          <w:sz w:val="24"/>
          <w:szCs w:val="24"/>
          <w:lang w:val="en-US"/>
        </w:rPr>
        <w:t>that will likely yield</w:t>
      </w:r>
      <w:r w:rsidR="00530526" w:rsidRPr="002575A7" w:rsidDel="00530526">
        <w:rPr>
          <w:rFonts w:ascii="Book Antiqua" w:hAnsi="Book Antiqua" w:cs="Times New Roman"/>
          <w:sz w:val="24"/>
          <w:szCs w:val="24"/>
          <w:lang w:val="en-US"/>
        </w:rPr>
        <w:t xml:space="preserve"> </w:t>
      </w:r>
      <w:r>
        <w:rPr>
          <w:rFonts w:ascii="Book Antiqua" w:hAnsi="Book Antiqua" w:cs="Times New Roman"/>
          <w:sz w:val="24"/>
          <w:szCs w:val="24"/>
          <w:lang w:val="en-US"/>
        </w:rPr>
        <w:t>a much-needed improvement in the balance of</w:t>
      </w:r>
      <w:r w:rsidR="00140EBF" w:rsidRPr="002575A7">
        <w:rPr>
          <w:rFonts w:ascii="Book Antiqua" w:hAnsi="Book Antiqua" w:cs="Times New Roman"/>
          <w:sz w:val="24"/>
          <w:szCs w:val="24"/>
          <w:lang w:val="en-US"/>
        </w:rPr>
        <w:t xml:space="preserve"> toxicity </w:t>
      </w:r>
      <w:r w:rsidR="009D1BBF" w:rsidRPr="00864BDB">
        <w:rPr>
          <w:rFonts w:ascii="Book Antiqua" w:hAnsi="Book Antiqua" w:cs="Times New Roman"/>
          <w:i/>
          <w:iCs/>
          <w:sz w:val="24"/>
          <w:szCs w:val="24"/>
          <w:lang w:val="en-US"/>
        </w:rPr>
        <w:t>vs</w:t>
      </w:r>
      <w:r w:rsidRPr="002575A7">
        <w:rPr>
          <w:rFonts w:ascii="Book Antiqua" w:hAnsi="Book Antiqua" w:cs="Times New Roman"/>
          <w:sz w:val="24"/>
          <w:szCs w:val="24"/>
          <w:lang w:val="en-US"/>
        </w:rPr>
        <w:t xml:space="preserve"> </w:t>
      </w:r>
      <w:r w:rsidR="00140EBF" w:rsidRPr="002575A7">
        <w:rPr>
          <w:rFonts w:ascii="Book Antiqua" w:hAnsi="Book Antiqua" w:cs="Times New Roman"/>
          <w:sz w:val="24"/>
          <w:szCs w:val="24"/>
          <w:lang w:val="en-US"/>
        </w:rPr>
        <w:t xml:space="preserve">efficacy in </w:t>
      </w:r>
      <w:r>
        <w:rPr>
          <w:rFonts w:ascii="Book Antiqua" w:hAnsi="Book Antiqua" w:cs="Times New Roman"/>
          <w:sz w:val="24"/>
          <w:szCs w:val="24"/>
          <w:lang w:val="en-US"/>
        </w:rPr>
        <w:t>this setting</w:t>
      </w:r>
      <w:r w:rsidR="00140EBF" w:rsidRPr="002575A7">
        <w:rPr>
          <w:rFonts w:ascii="Book Antiqua" w:hAnsi="Book Antiqua" w:cs="Times New Roman"/>
          <w:sz w:val="24"/>
          <w:szCs w:val="24"/>
          <w:lang w:val="en-US"/>
        </w:rPr>
        <w:t xml:space="preserve">. </w:t>
      </w:r>
    </w:p>
    <w:p w14:paraId="24D35A6A" w14:textId="63F7B997" w:rsidR="00140EBF" w:rsidRPr="002575A7" w:rsidRDefault="009A7981" w:rsidP="00A32065">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FOLFOXIRI, a triplet-chemotherapy </w:t>
      </w:r>
      <w:r w:rsidR="005968ED">
        <w:rPr>
          <w:rFonts w:ascii="Book Antiqua" w:hAnsi="Book Antiqua" w:cs="Times New Roman"/>
          <w:sz w:val="24"/>
          <w:szCs w:val="24"/>
          <w:lang w:val="en-US"/>
        </w:rPr>
        <w:t xml:space="preserve">regimen </w:t>
      </w:r>
      <w:r w:rsidRPr="002575A7">
        <w:rPr>
          <w:rFonts w:ascii="Book Antiqua" w:hAnsi="Book Antiqua" w:cs="Times New Roman"/>
          <w:sz w:val="24"/>
          <w:szCs w:val="24"/>
          <w:lang w:val="en-US"/>
        </w:rPr>
        <w:t xml:space="preserve">with a lower dose of irinotecan and no bolus </w:t>
      </w:r>
      <w:r w:rsidR="00301BC3">
        <w:rPr>
          <w:rFonts w:ascii="Book Antiqua" w:hAnsi="Book Antiqua" w:cs="Times New Roman"/>
          <w:sz w:val="24"/>
          <w:szCs w:val="24"/>
          <w:lang w:val="en-US"/>
        </w:rPr>
        <w:t xml:space="preserve">of </w:t>
      </w:r>
      <w:r w:rsidRPr="002575A7">
        <w:rPr>
          <w:rFonts w:ascii="Book Antiqua" w:hAnsi="Book Antiqua" w:cs="Times New Roman"/>
          <w:sz w:val="24"/>
          <w:szCs w:val="24"/>
          <w:lang w:val="en-US"/>
        </w:rPr>
        <w:t xml:space="preserve">5-FU, has </w:t>
      </w:r>
      <w:r w:rsidR="00507472" w:rsidRPr="002575A7">
        <w:rPr>
          <w:rFonts w:ascii="Book Antiqua" w:hAnsi="Book Antiqua" w:cs="Times New Roman"/>
          <w:sz w:val="24"/>
          <w:szCs w:val="24"/>
          <w:lang w:val="en-US"/>
        </w:rPr>
        <w:t xml:space="preserve">already </w:t>
      </w:r>
      <w:r w:rsidRPr="002575A7">
        <w:rPr>
          <w:rFonts w:ascii="Book Antiqua" w:hAnsi="Book Antiqua" w:cs="Times New Roman"/>
          <w:sz w:val="24"/>
          <w:szCs w:val="24"/>
          <w:lang w:val="en-US"/>
        </w:rPr>
        <w:t xml:space="preserve">demonstrated </w:t>
      </w:r>
      <w:r w:rsidR="00301BC3">
        <w:rPr>
          <w:rFonts w:ascii="Book Antiqua" w:hAnsi="Book Antiqua" w:cs="Times New Roman"/>
          <w:sz w:val="24"/>
          <w:szCs w:val="24"/>
          <w:lang w:val="en-US"/>
        </w:rPr>
        <w:t xml:space="preserve">its </w:t>
      </w:r>
      <w:r w:rsidRPr="002575A7">
        <w:rPr>
          <w:rFonts w:ascii="Book Antiqua" w:hAnsi="Book Antiqua" w:cs="Times New Roman"/>
          <w:sz w:val="24"/>
          <w:szCs w:val="24"/>
          <w:lang w:val="en-US"/>
        </w:rPr>
        <w:t>efficacy and good tolerance and</w:t>
      </w:r>
      <w:r w:rsidR="00301BC3">
        <w:rPr>
          <w:rFonts w:ascii="Book Antiqua" w:hAnsi="Book Antiqua" w:cs="Times New Roman"/>
          <w:sz w:val="24"/>
          <w:szCs w:val="24"/>
          <w:lang w:val="en-US"/>
        </w:rPr>
        <w:t xml:space="preserve"> </w:t>
      </w:r>
      <w:r w:rsidRPr="002575A7">
        <w:rPr>
          <w:rFonts w:ascii="Book Antiqua" w:hAnsi="Book Antiqua" w:cs="Times New Roman"/>
          <w:sz w:val="24"/>
          <w:szCs w:val="24"/>
          <w:lang w:val="en-US"/>
        </w:rPr>
        <w:t>is validated in metastatic colorectal cancer</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{"citationID":"f7nl7Yx3","properties":{"formattedCitation":"\\super 11,20\\nosupersub{}","plainCitation":"11,20","noteIndex":0},"citationItems":[{"id":740,"uris":["http://zotero.org/users/2205527/items/5AX864JS"],"uri":["http://zotero.org/users/2205527/items/5AX864JS"],"itemData":{"id":740,"type":"article-journal","title":"Phase III trial of infusional fluorouracil, leucovorin, oxaliplatin, and irinotecan (FOLFOXIRI) compared with infusional fluorouracil, leucovorin, and irinotecan (FOLFIRI) as first-line treatment for metastatic colorectal cancer: the Gruppo Oncologico Nord Ovest","container-title":"Journal of Clinical Oncology: Official Journal of the American Society of Clinical Oncology","page":"1670-1676","volume":"25","issue":"13","source":"PubMed","abstract":"PURPOSE: The Gruppo Oncologico Nord Ovest (GONO) conducted a phase III study comparing fluorouracil, leucovorin, oxaliplatin, and irinotecan (FOLFOXIRI [irinotecan 165 mg/m2 day 1, oxaliplatin 85 mg/m2 day 1, leucovorin 200 mg/m2 day 1, fluorouracil 3,200 mg/m2 48-hour continuous infusion starting on day 1, every 2 weeks]) with infusional fluorouracil, leucovorin, and irinotecan (FOLFIRI).\nMETHODS: Selection criteria included unresectable metastatic colorectal cancer, age 18 to 75 years, and no prior chemotherapy for advanced disease. The primary end point was response rate (RR).\nRESULTS: A total of 244 patients were randomly assigned. An increase of grade 2 to 3 peripheral neurotoxicity (0% v 19%; P &lt; .001), and grade 3 to 4 neutropenia (28% v 50%; P &lt; .001) were observed in the FOLFOXIRI arm. The incidence of febrile neutropenia (3% v 5%) and grade 3 to 4 diarrhea (12% v 20%) were not significantly different. Responses, as assessed by investigators, were, for FOLFIRI and FOLFOXIRI, respectively, complete, 6% and 8%; and partial, 35% and 58%, (RR, 41% v 66%; P = .0002). RR confirmed by an external panel was 34% versus 60% (P &lt; .0001). The R0 secondary resection rate of metastases was greater in the FOLFOXIRI arm (6% v 15%; P = .033, among all 244 patients; and 12% v 36%; P = .017 among patients with liver metastases only). Progression-free survival (PFS) and overall survival (OS) were both significantly improved in the FOLFOXIRI arm (median PFS, 6.9 v 9.8 months; hazard ratio [HR], 0.63; P = .0006; median OS, 16.7 v 22.6 months; HR, 0.70; P = .032).\nCONCLUSION: The FOLFOXIRI regimen improves RR, PFS, and OS compared with FOLFIRI, with an increased, but manageable, toxicity in patients with metastatic colorectal cancer with favorable prognostic characteristics. Further studies of FOLFOXIRI in combination with targeted agents and in the neoadjuvant setting are warranted.","DOI":"10.1200/JCO.2006.09.0928","ISSN":"1527-7755","note":"PMID: 17470860","title-short":"Phase III trial of infusional fluorouracil, leucovorin, oxaliplatin, and irinotecan (FOLFOXIRI) compared with infusional fluorouracil, leucovorin, and irinotecan (FOLFIRI) as first-line treatment for metastatic colorectal cancer","journalAbbreviation":"J. Clin. Oncol.","language":"eng","author":[{"family":"Falcone","given":"Alfredo"},{"family":"Ricci","given":"Sergio"},{"family":"Brunetti","given":"Isa"},{"family":"Pfanner","given":"Elisabetta"},{"family":"Allegrini","given":"Giacomo"},{"family":"Barbara","given":"Cecilia"},{"family":"Crinò","given":"Lucio"},{"family":"Benedetti","given":"Giovanni"},{"family":"Evangelista","given":"Walter"},{"family":"Fanchini","given":"Laura"},{"family":"Cortesi","given":"Enrico"},{"family":"Picone","given":"Vincenzo"},{"family":"Vitello","given":"Stefano"},{"family":"Chiara","given":"Silvana"},{"family":"Granetto","given":"Cristina"},{"family":"Porcile","given":"Gianfranco"},{"family":"Fioretto","given":"Luisa"},{"family":"Orlandini","given":"Cinzia"},{"family":"Andreuccetti","given":"Michele"},{"family":"Masi","given":"Gianluca"},{"literal":"Gruppo Oncologico Nord Ovest"}],"issued":{"date-parts":[["2007",5,1]]}},"label":"page"},{"id":1720,"uris":["http://zotero.org/users/2205527/items/5V7EX786"],"uri":["http://zotero.org/users/2205527/items/5V7EX786"],"itemData":{"id":1720,"type":"article-journal","title":"FOLFOXIRI (folinic acid, 5-fluorouracil, oxaliplatin and irinotecan) vs FOLFIRI (folinic acid, 5-fluorouracil and irinotecan) as first-line treatment in metastatic colorectal cancer (MCC): a multicentre randomised phase III trial from the Hellenic Oncology Research Group (HORG)","container-title":"British Journal of Cancer","page":"798-805","volume":"94","issue":"6","source":"PubMed","abstract":"To compare the efficacy and toxicity of oxaliplatin (L-OHP) in combination with irinotecan (CPT-11), 5-fluorouracil (5-FU) and leucovorin (LV) (FOLFOXIRI) vs irinotecan and 5-FU/LV (FOLFIRI) as first-line treatment of patients with metastatic colorectal cancer (MCC). A total of 283 chemotherapy-naïve patients with MCC were enrolled (FOLFIRI arm: n=146; FOLFOXIRI arm: n=137). In the FOLFOXIRI arm, CPT-11 (150 mg m(-2)) was given on d1, L-OHP (65 mg m(-2)) on d2, LV (200 mg m(-2)) on days 2 and 3 and 5-FU (400 mg m(-2) as i.v. bolus and 600 mg m(-2) as 22 h i.v. continuous infusion) on days 2 and 3. In the FOLFIRI arm, CPT-11 (180 mg m(-2)) was given on d1 whereas LV and 5-FU were administered in the same way as in the FOLFOXIRI regimen. Both regimens were administered every 2 weeks. There was no difference in terms of overall survival (median OS: 19.5 and 21.5 months, for FOLFIRI and FOLFOXIRI, respectively; P=0.337), median time to disease progression (FOLFIRI: 6.9 and FOLFOXIRI: 8.4 months; P=0.17), response rates (33.6 and 43% for FOLFIRI and FOLFOXIRI, respectively; P=0.168). Patients treated with FOLFOXIRI had a significantly higher incidence of alopecia (P=0.0001), diarrhoea (P=0.0001) and neurosensory toxicity (P=0.001) compared with patients treated with FOLFIRI. The present study failed to demonstrate any superiority of the FOLFOXIRI combination compared with the FOLFIRI regimen, although the observed median OS is one of the best ever reported in the literature.","DOI":"10.1038/sj.bjc.6603011","ISSN":"0007-0920","note":"PMID: 16508637\nPMCID: PMC2361370","title-short":"FOLFOXIRI (folinic acid, 5-fluorouracil, oxaliplatin and irinotecan) vs FOLFIRI (folinic acid, 5-fluorouracil and irinotecan) as first-line treatment in metastatic colorectal cancer (MCC)","journalAbbreviation":"Br. J. Cancer","language":"eng","author":[{"family":"Souglakos","given":"J."},{"family":"Androulakis","given":"N."},{"family":"Syrigos","given":"K."},{"family":"Polyzos","given":"A."},{"family":"Ziras","given":"N."},{"family":"Athanasiadis","given":"A."},{"family":"Kakolyris","given":"S."},{"family":"Tsousis","given":"S."},{"family":"Kouroussis","given":"Ch"},{"family":"Vamvakas","given":"L."},{"family":"Kalykaki","given":"A."},{"family":"Samonis","given":"G."},{"family":"Mavroudis","given":"D."},{"family":"Georgoulias","given":"V."}],"issued":{"date-parts":[["2006",3,27]]}},"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11,20</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Vivaldi </w:t>
      </w:r>
      <w:r w:rsidRPr="002575A7">
        <w:rPr>
          <w:rFonts w:ascii="Book Antiqua" w:hAnsi="Book Antiqua" w:cs="Times New Roman"/>
          <w:i/>
          <w:sz w:val="24"/>
          <w:szCs w:val="24"/>
          <w:lang w:val="en-US"/>
        </w:rPr>
        <w:t>et al</w:t>
      </w:r>
      <w:r w:rsidR="00A32065" w:rsidRPr="002575A7">
        <w:rPr>
          <w:rFonts w:ascii="Book Antiqua" w:hAnsi="Book Antiqua" w:cs="Times New Roman"/>
          <w:sz w:val="24"/>
          <w:szCs w:val="24"/>
          <w:vertAlign w:val="superscript"/>
          <w:lang w:val="en-US"/>
        </w:rPr>
        <w:t>[</w:t>
      </w:r>
      <w:r w:rsidR="00A32065" w:rsidRPr="002575A7">
        <w:rPr>
          <w:rFonts w:ascii="Book Antiqua" w:hAnsi="Book Antiqua" w:cs="Times New Roman"/>
          <w:sz w:val="24"/>
          <w:szCs w:val="24"/>
          <w:lang w:val="en-US"/>
        </w:rPr>
        <w:fldChar w:fldCharType="begin"/>
      </w:r>
      <w:r w:rsidR="00A32065" w:rsidRPr="002575A7">
        <w:rPr>
          <w:rFonts w:ascii="Book Antiqua" w:hAnsi="Book Antiqua" w:cs="Times New Roman"/>
          <w:sz w:val="24"/>
          <w:szCs w:val="24"/>
          <w:lang w:val="en-US"/>
        </w:rPr>
        <w:instrText xml:space="preserve"> ADDIN ZOTERO_ITEM CSL_CITATION {"citationID":"hQFZldG0","properties":{"formattedCitation":"\\super 21\\nosupersub{}","plainCitation":"21","noteIndex":0},"citationItems":[{"id":1636,"uris":["http://zotero.org/users/2205527/items/4XLASH2N"],"uri":["http://zotero.org/users/2205527/items/4XLASH2N"],"itemData":{"id":1636,"type":"article-journal","title":"First-line treatment with FOLFOXIRI for advanced pancreatic cancer in clinical practice: Patients' outcome and analysis of prognostic factors","container-title":"International Journal of Cancer","page":"938-945","volume":"139","issue":"4","source":"PubMed","abstract":"FOLFIRINOX is a standard first-line treatment for advanced pancreatic cancer (aPC). The Gruppo Oncologico Nord Ovest (GONO) FOLFOXIRI regimen demonstrated efficacy in metastatic colorectal cancer. We aimed to evaluate activity and tolerability of FOLFOXIRI regimen in patients with aPC and to explore putative prognostic factors. One hundred thirty-seven consecutive aPC patients were treated with FOLFOXIRI in our institution between 2008 and 2014. Clinical, laboratory and pathological data were collected and their association with activity, progression free survival (PFS) and overall survival (OS) was investigated. After a median follow up of 30 months, median PFS and OS were 8.0 months (95% CI 6.19-9.81) and 12 months (95% CI 9.75-14.25), respectively. Response rate was 38.6%, while disease-control rate 72.2%. At multivariate analysis liver metastases (p</w:instrText>
      </w:r>
      <w:r w:rsidR="00A32065" w:rsidRPr="002575A7">
        <w:rPr>
          <w:rFonts w:ascii="Times New Roman" w:hAnsi="Times New Roman" w:cs="Times New Roman"/>
          <w:sz w:val="24"/>
          <w:szCs w:val="24"/>
          <w:lang w:val="en-US"/>
        </w:rPr>
        <w:instrText> </w:instrText>
      </w:r>
      <w:r w:rsidR="00A32065" w:rsidRPr="002575A7">
        <w:rPr>
          <w:rFonts w:ascii="Book Antiqua" w:hAnsi="Book Antiqua" w:cs="Times New Roman"/>
          <w:sz w:val="24"/>
          <w:szCs w:val="24"/>
          <w:lang w:val="en-US"/>
        </w:rPr>
        <w:instrText>=</w:instrText>
      </w:r>
      <w:r w:rsidR="00A32065" w:rsidRPr="002575A7">
        <w:rPr>
          <w:rFonts w:ascii="Times New Roman" w:hAnsi="Times New Roman" w:cs="Times New Roman"/>
          <w:sz w:val="24"/>
          <w:szCs w:val="24"/>
          <w:lang w:val="en-US"/>
        </w:rPr>
        <w:instrText> </w:instrText>
      </w:r>
      <w:r w:rsidR="00A32065" w:rsidRPr="002575A7">
        <w:rPr>
          <w:rFonts w:ascii="Book Antiqua" w:hAnsi="Book Antiqua" w:cs="Times New Roman"/>
          <w:sz w:val="24"/>
          <w:szCs w:val="24"/>
          <w:lang w:val="en-US"/>
        </w:rPr>
        <w:instrText>0.019; Hazard Ratio, HR, 0.59, 95% Confidence Interval, CI, 0.380.96), Eastern Cooperative Oncology Group (ECOG) performance status (PS) 1 (p</w:instrText>
      </w:r>
      <w:r w:rsidR="00A32065" w:rsidRPr="002575A7">
        <w:rPr>
          <w:rFonts w:ascii="Times New Roman" w:hAnsi="Times New Roman" w:cs="Times New Roman"/>
          <w:sz w:val="24"/>
          <w:szCs w:val="24"/>
          <w:lang w:val="en-US"/>
        </w:rPr>
        <w:instrText> </w:instrText>
      </w:r>
      <w:r w:rsidR="00A32065" w:rsidRPr="002575A7">
        <w:rPr>
          <w:rFonts w:ascii="Book Antiqua" w:hAnsi="Book Antiqua" w:cs="Times New Roman"/>
          <w:sz w:val="24"/>
          <w:szCs w:val="24"/>
          <w:lang w:val="en-US"/>
        </w:rPr>
        <w:instrText>=</w:instrText>
      </w:r>
      <w:r w:rsidR="00A32065" w:rsidRPr="002575A7">
        <w:rPr>
          <w:rFonts w:ascii="Times New Roman" w:hAnsi="Times New Roman" w:cs="Times New Roman"/>
          <w:sz w:val="24"/>
          <w:szCs w:val="24"/>
          <w:lang w:val="en-US"/>
        </w:rPr>
        <w:instrText> </w:instrText>
      </w:r>
      <w:r w:rsidR="00A32065" w:rsidRPr="002575A7">
        <w:rPr>
          <w:rFonts w:ascii="Book Antiqua" w:hAnsi="Book Antiqua" w:cs="Times New Roman"/>
          <w:sz w:val="24"/>
          <w:szCs w:val="24"/>
          <w:lang w:val="en-US"/>
        </w:rPr>
        <w:instrText>0.001; HR 2.26, 95%CI 1.42-3.59) and neutrophil-lymphocyte ratio (NLR)&gt; 4 (p= 0.002; HR: 2.42; 95% CI 1.38-4.25) were associated with poorer OS. We categorized 119 pts with complete available data as good-risk (0 factors, 38 pts), intermediate-risk (1 factor, 49 pts) and poor-risk (≥2 factors, 32 pts). Median OS for these three groups were 17.6, 11.1 and 7.4 months, respectively (p</w:instrText>
      </w:r>
      <w:r w:rsidR="00A32065" w:rsidRPr="002575A7">
        <w:rPr>
          <w:rFonts w:ascii="Times New Roman" w:hAnsi="Times New Roman" w:cs="Times New Roman"/>
          <w:sz w:val="24"/>
          <w:szCs w:val="24"/>
          <w:lang w:val="en-US"/>
        </w:rPr>
        <w:instrText> </w:instrText>
      </w:r>
      <w:r w:rsidR="00A32065" w:rsidRPr="002575A7">
        <w:rPr>
          <w:rFonts w:ascii="Book Antiqua" w:hAnsi="Book Antiqua" w:cs="Times New Roman"/>
          <w:sz w:val="24"/>
          <w:szCs w:val="24"/>
          <w:lang w:val="en-US"/>
        </w:rPr>
        <w:instrText>&lt;</w:instrText>
      </w:r>
      <w:r w:rsidR="00A32065" w:rsidRPr="002575A7">
        <w:rPr>
          <w:rFonts w:ascii="Times New Roman" w:hAnsi="Times New Roman" w:cs="Times New Roman"/>
          <w:sz w:val="24"/>
          <w:szCs w:val="24"/>
          <w:lang w:val="en-US"/>
        </w:rPr>
        <w:instrText> </w:instrText>
      </w:r>
      <w:r w:rsidR="00A32065" w:rsidRPr="002575A7">
        <w:rPr>
          <w:rFonts w:ascii="Book Antiqua" w:hAnsi="Book Antiqua" w:cs="Times New Roman"/>
          <w:sz w:val="24"/>
          <w:szCs w:val="24"/>
          <w:lang w:val="en-US"/>
        </w:rPr>
        <w:instrText xml:space="preserve">0.001). FOLFOXIRI is active and feasible in aPC. Prognosis of aPC pts treated with FOLFOXIRI is influenced by easily available factors: our analysis revealed ECOG PS, liver metastases and NLR as the most important predictors of survival. These factors could be helpful for treatment decision and clinical trial design.","DOI":"10.1002/ijc.30125","ISSN":"1097-0215","note":"PMID: 27038273","title-short":"First-line treatment with FOLFOXIRI for advanced pancreatic cancer in clinical practice","journalAbbreviation":"Int. J. Cancer","language":"eng","author":[{"family":"Vivaldi","given":"Caterina"},{"family":"Caparello","given":"Chiara"},{"family":"Musettini","given":"Gianna"},{"family":"Pasquini","given":"Giulia"},{"family":"Catanese","given":"Silvia"},{"family":"Fornaro","given":"Lorenzo"},{"family":"Lencioni","given":"Monica"},{"family":"Falcone","given":"Alfredo"},{"family":"Vasile","given":"Enrico"}],"issued":{"date-parts":[["2016",8,15]]}}}],"schema":"https://github.com/citation-style-language/schema/raw/master/csl-citation.json"} </w:instrText>
      </w:r>
      <w:r w:rsidR="00A32065" w:rsidRPr="002575A7">
        <w:rPr>
          <w:rFonts w:ascii="Book Antiqua" w:hAnsi="Book Antiqua" w:cs="Times New Roman"/>
          <w:sz w:val="24"/>
          <w:szCs w:val="24"/>
          <w:lang w:val="en-US"/>
        </w:rPr>
        <w:fldChar w:fldCharType="separate"/>
      </w:r>
      <w:r w:rsidR="00A32065" w:rsidRPr="00EB33CD">
        <w:rPr>
          <w:rFonts w:ascii="Book Antiqua" w:hAnsi="Book Antiqua" w:cs="Times New Roman"/>
          <w:sz w:val="24"/>
          <w:szCs w:val="24"/>
          <w:vertAlign w:val="superscript"/>
          <w:lang w:val="en-US"/>
        </w:rPr>
        <w:t>21</w:t>
      </w:r>
      <w:r w:rsidR="00A32065" w:rsidRPr="002575A7">
        <w:rPr>
          <w:rFonts w:ascii="Book Antiqua" w:hAnsi="Book Antiqua" w:cs="Times New Roman"/>
          <w:sz w:val="24"/>
          <w:szCs w:val="24"/>
          <w:lang w:val="en-US"/>
        </w:rPr>
        <w:fldChar w:fldCharType="end"/>
      </w:r>
      <w:r w:rsidR="00A32065" w:rsidRPr="002575A7">
        <w:rPr>
          <w:rFonts w:ascii="Book Antiqua" w:hAnsi="Book Antiqua" w:cs="Times New Roman"/>
          <w:sz w:val="24"/>
          <w:szCs w:val="24"/>
          <w:vertAlign w:val="superscript"/>
          <w:lang w:val="en-US"/>
        </w:rPr>
        <w:t>]</w:t>
      </w:r>
      <w:r w:rsidRPr="002575A7">
        <w:rPr>
          <w:rFonts w:ascii="Book Antiqua" w:hAnsi="Book Antiqua" w:cs="Times New Roman"/>
          <w:sz w:val="24"/>
          <w:szCs w:val="24"/>
          <w:lang w:val="en-US"/>
        </w:rPr>
        <w:t xml:space="preserve"> evaluated FOLFOXIRI in </w:t>
      </w:r>
      <w:r w:rsidRPr="002575A7">
        <w:rPr>
          <w:rFonts w:ascii="Book Antiqua" w:hAnsi="Book Antiqua" w:cs="Times New Roman"/>
          <w:sz w:val="24"/>
          <w:szCs w:val="24"/>
          <w:lang w:val="en-US"/>
        </w:rPr>
        <w:lastRenderedPageBreak/>
        <w:t xml:space="preserve">pancreatic cancer in an observational cohort study </w:t>
      </w:r>
      <w:r w:rsidR="00507472" w:rsidRPr="002575A7">
        <w:rPr>
          <w:rFonts w:ascii="Book Antiqua" w:hAnsi="Book Antiqua" w:cs="Times New Roman"/>
          <w:sz w:val="24"/>
          <w:szCs w:val="24"/>
          <w:lang w:val="en-US"/>
        </w:rPr>
        <w:t xml:space="preserve">of </w:t>
      </w:r>
      <w:r w:rsidRPr="002575A7">
        <w:rPr>
          <w:rFonts w:ascii="Book Antiqua" w:hAnsi="Book Antiqua" w:cs="Times New Roman"/>
          <w:sz w:val="24"/>
          <w:szCs w:val="24"/>
          <w:lang w:val="en-US"/>
        </w:rPr>
        <w:t>137 patients</w:t>
      </w:r>
      <w:r w:rsidR="00301BC3">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507472" w:rsidRPr="002575A7">
        <w:rPr>
          <w:rFonts w:ascii="Book Antiqua" w:hAnsi="Book Antiqua" w:cs="Times New Roman"/>
          <w:sz w:val="24"/>
          <w:szCs w:val="24"/>
          <w:lang w:val="en-US"/>
        </w:rPr>
        <w:t xml:space="preserve">of </w:t>
      </w:r>
      <w:r w:rsidR="00301BC3">
        <w:rPr>
          <w:rFonts w:ascii="Book Antiqua" w:hAnsi="Book Antiqua" w:cs="Times New Roman"/>
          <w:sz w:val="24"/>
          <w:szCs w:val="24"/>
          <w:lang w:val="en-US"/>
        </w:rPr>
        <w:t>whom</w:t>
      </w:r>
      <w:r w:rsidR="00507472"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59.1% </w:t>
      </w:r>
      <w:r w:rsidR="00301BC3">
        <w:rPr>
          <w:rFonts w:ascii="Book Antiqua" w:hAnsi="Book Antiqua" w:cs="Times New Roman"/>
          <w:sz w:val="24"/>
          <w:szCs w:val="24"/>
          <w:lang w:val="en-US"/>
        </w:rPr>
        <w:t>had</w:t>
      </w:r>
      <w:r w:rsidRPr="002575A7">
        <w:rPr>
          <w:rFonts w:ascii="Book Antiqua" w:hAnsi="Book Antiqua" w:cs="Times New Roman"/>
          <w:sz w:val="24"/>
          <w:szCs w:val="24"/>
          <w:lang w:val="en-US"/>
        </w:rPr>
        <w:t xml:space="preserve"> metastatic disease. </w:t>
      </w:r>
      <w:r w:rsidR="00507472" w:rsidRPr="002575A7">
        <w:rPr>
          <w:rFonts w:ascii="Book Antiqua" w:hAnsi="Book Antiqua" w:cs="Times New Roman"/>
          <w:sz w:val="24"/>
          <w:szCs w:val="24"/>
          <w:lang w:val="en-US"/>
        </w:rPr>
        <w:t xml:space="preserve">They </w:t>
      </w:r>
      <w:r w:rsidR="00C86752" w:rsidRPr="002575A7">
        <w:rPr>
          <w:rFonts w:ascii="Book Antiqua" w:hAnsi="Book Antiqua" w:cs="Times New Roman"/>
          <w:sz w:val="24"/>
          <w:szCs w:val="24"/>
          <w:lang w:val="en-US"/>
        </w:rPr>
        <w:t>reported</w:t>
      </w:r>
      <w:r w:rsidR="00507472" w:rsidRPr="002575A7">
        <w:rPr>
          <w:rFonts w:ascii="Book Antiqua" w:hAnsi="Book Antiqua" w:cs="Times New Roman"/>
          <w:sz w:val="24"/>
          <w:szCs w:val="24"/>
          <w:lang w:val="en-US"/>
        </w:rPr>
        <w:t xml:space="preserve"> that </w:t>
      </w:r>
      <w:r w:rsidR="00FD2C2C" w:rsidRPr="002575A7">
        <w:rPr>
          <w:rFonts w:ascii="Book Antiqua" w:hAnsi="Book Antiqua" w:cs="Times New Roman"/>
          <w:sz w:val="24"/>
          <w:szCs w:val="24"/>
          <w:lang w:val="en-US"/>
        </w:rPr>
        <w:t xml:space="preserve">FOLFOXIRI </w:t>
      </w:r>
      <w:r w:rsidR="00507472" w:rsidRPr="002575A7">
        <w:rPr>
          <w:rFonts w:ascii="Book Antiqua" w:hAnsi="Book Antiqua" w:cs="Times New Roman"/>
          <w:sz w:val="24"/>
          <w:szCs w:val="24"/>
          <w:lang w:val="en-US"/>
        </w:rPr>
        <w:t>improved patient</w:t>
      </w:r>
      <w:r w:rsidR="00FD2C2C" w:rsidRPr="002575A7">
        <w:rPr>
          <w:rFonts w:ascii="Book Antiqua" w:hAnsi="Book Antiqua" w:cs="Times New Roman"/>
          <w:sz w:val="24"/>
          <w:szCs w:val="24"/>
          <w:lang w:val="en-US"/>
        </w:rPr>
        <w:t xml:space="preserve"> survival </w:t>
      </w:r>
      <w:r w:rsidR="00507472" w:rsidRPr="002575A7">
        <w:rPr>
          <w:rFonts w:ascii="Book Antiqua" w:hAnsi="Book Antiqua" w:cs="Times New Roman"/>
          <w:sz w:val="24"/>
          <w:szCs w:val="24"/>
          <w:lang w:val="en-US"/>
        </w:rPr>
        <w:t xml:space="preserve">rates with a </w:t>
      </w:r>
      <w:r w:rsidR="00FD2C2C" w:rsidRPr="002575A7">
        <w:rPr>
          <w:rFonts w:ascii="Book Antiqua" w:hAnsi="Book Antiqua" w:cs="Times New Roman"/>
          <w:sz w:val="24"/>
          <w:szCs w:val="24"/>
          <w:lang w:val="en-US"/>
        </w:rPr>
        <w:t>m</w:t>
      </w:r>
      <w:r w:rsidRPr="002575A7">
        <w:rPr>
          <w:rFonts w:ascii="Book Antiqua" w:hAnsi="Book Antiqua" w:cs="Times New Roman"/>
          <w:sz w:val="24"/>
          <w:szCs w:val="24"/>
          <w:lang w:val="en-US"/>
        </w:rPr>
        <w:t xml:space="preserve">edian OS </w:t>
      </w:r>
      <w:r w:rsidR="00FD2C2C" w:rsidRPr="002575A7">
        <w:rPr>
          <w:rFonts w:ascii="Book Antiqua" w:hAnsi="Book Antiqua" w:cs="Times New Roman"/>
          <w:sz w:val="24"/>
          <w:szCs w:val="24"/>
          <w:lang w:val="en-US"/>
        </w:rPr>
        <w:t>of 1</w:t>
      </w:r>
      <w:r w:rsidRPr="002575A7">
        <w:rPr>
          <w:rFonts w:ascii="Book Antiqua" w:hAnsi="Book Antiqua" w:cs="Times New Roman"/>
          <w:sz w:val="24"/>
          <w:szCs w:val="24"/>
          <w:lang w:val="en-US"/>
        </w:rPr>
        <w:t xml:space="preserve">2 mo </w:t>
      </w:r>
      <w:r w:rsidR="00507472" w:rsidRPr="002575A7">
        <w:rPr>
          <w:rFonts w:ascii="Book Antiqua" w:hAnsi="Book Antiqua" w:cs="Times New Roman"/>
          <w:sz w:val="24"/>
          <w:szCs w:val="24"/>
          <w:lang w:val="en-US"/>
        </w:rPr>
        <w:t xml:space="preserve">for the </w:t>
      </w:r>
      <w:r w:rsidR="00A67232">
        <w:rPr>
          <w:rFonts w:ascii="Book Antiqua" w:hAnsi="Book Antiqua" w:cs="Times New Roman"/>
          <w:sz w:val="24"/>
          <w:szCs w:val="24"/>
          <w:lang w:val="en-US"/>
        </w:rPr>
        <w:t>overall</w:t>
      </w:r>
      <w:r w:rsidR="00507472" w:rsidRPr="002575A7">
        <w:rPr>
          <w:rFonts w:ascii="Book Antiqua" w:hAnsi="Book Antiqua" w:cs="Times New Roman"/>
          <w:sz w:val="24"/>
          <w:szCs w:val="24"/>
          <w:lang w:val="en-US"/>
        </w:rPr>
        <w:t xml:space="preserve"> population </w:t>
      </w:r>
      <w:r w:rsidRPr="002575A7">
        <w:rPr>
          <w:rFonts w:ascii="Book Antiqua" w:hAnsi="Book Antiqua" w:cs="Times New Roman"/>
          <w:sz w:val="24"/>
          <w:szCs w:val="24"/>
          <w:lang w:val="en-US"/>
        </w:rPr>
        <w:t xml:space="preserve">and 10.8 mo </w:t>
      </w:r>
      <w:r w:rsidR="00507472" w:rsidRPr="002575A7">
        <w:rPr>
          <w:rFonts w:ascii="Book Antiqua" w:hAnsi="Book Antiqua" w:cs="Times New Roman"/>
          <w:sz w:val="24"/>
          <w:szCs w:val="24"/>
          <w:lang w:val="en-US"/>
        </w:rPr>
        <w:t xml:space="preserve">for the </w:t>
      </w:r>
      <w:r w:rsidRPr="002575A7">
        <w:rPr>
          <w:rFonts w:ascii="Book Antiqua" w:hAnsi="Book Antiqua" w:cs="Times New Roman"/>
          <w:sz w:val="24"/>
          <w:szCs w:val="24"/>
          <w:lang w:val="en-US"/>
        </w:rPr>
        <w:t>metastatic</w:t>
      </w:r>
      <w:r w:rsidR="00507472" w:rsidRPr="002575A7">
        <w:rPr>
          <w:rFonts w:ascii="Book Antiqua" w:hAnsi="Book Antiqua" w:cs="Times New Roman"/>
          <w:sz w:val="24"/>
          <w:szCs w:val="24"/>
          <w:lang w:val="en-US"/>
        </w:rPr>
        <w:t xml:space="preserve"> </w:t>
      </w:r>
      <w:r w:rsidR="00301BC3">
        <w:rPr>
          <w:rFonts w:ascii="Book Antiqua" w:hAnsi="Book Antiqua" w:cs="Times New Roman"/>
          <w:sz w:val="24"/>
          <w:szCs w:val="24"/>
          <w:lang w:val="en-US"/>
        </w:rPr>
        <w:t>patients</w:t>
      </w:r>
      <w:r w:rsidRPr="002575A7">
        <w:rPr>
          <w:rFonts w:ascii="Book Antiqua" w:hAnsi="Book Antiqua" w:cs="Times New Roman"/>
          <w:sz w:val="24"/>
          <w:szCs w:val="24"/>
          <w:lang w:val="en-US"/>
        </w:rPr>
        <w:t>. The ob</w:t>
      </w:r>
      <w:r w:rsidR="000612EB" w:rsidRPr="002575A7">
        <w:rPr>
          <w:rFonts w:ascii="Book Antiqua" w:hAnsi="Book Antiqua" w:cs="Times New Roman"/>
          <w:sz w:val="24"/>
          <w:szCs w:val="24"/>
          <w:lang w:val="en-US"/>
        </w:rPr>
        <w:t xml:space="preserve">jective response rate </w:t>
      </w:r>
      <w:r w:rsidR="00507472" w:rsidRPr="002575A7">
        <w:rPr>
          <w:rFonts w:ascii="Book Antiqua" w:hAnsi="Book Antiqua" w:cs="Times New Roman"/>
          <w:sz w:val="24"/>
          <w:szCs w:val="24"/>
          <w:lang w:val="en-US"/>
        </w:rPr>
        <w:t xml:space="preserve">was </w:t>
      </w:r>
      <w:r w:rsidR="000612EB" w:rsidRPr="002575A7">
        <w:rPr>
          <w:rFonts w:ascii="Book Antiqua" w:hAnsi="Book Antiqua" w:cs="Times New Roman"/>
          <w:sz w:val="24"/>
          <w:szCs w:val="24"/>
          <w:lang w:val="en-US"/>
        </w:rPr>
        <w:t>38.6</w:t>
      </w:r>
      <w:r w:rsidRPr="002575A7">
        <w:rPr>
          <w:rFonts w:ascii="Book Antiqua" w:hAnsi="Book Antiqua" w:cs="Times New Roman"/>
          <w:sz w:val="24"/>
          <w:szCs w:val="24"/>
          <w:lang w:val="en-US"/>
        </w:rPr>
        <w:t xml:space="preserve">% in the whole population and 35.8% </w:t>
      </w:r>
      <w:r w:rsidR="00301BC3">
        <w:rPr>
          <w:rFonts w:ascii="Book Antiqua" w:hAnsi="Book Antiqua" w:cs="Times New Roman"/>
          <w:sz w:val="24"/>
          <w:szCs w:val="24"/>
          <w:lang w:val="en-US"/>
        </w:rPr>
        <w:t>in</w:t>
      </w:r>
      <w:r w:rsidR="00507472"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patients with metastatic PDAC. Moreover, the schedule showe</w:t>
      </w:r>
      <w:r w:rsidR="00486DF1" w:rsidRPr="002575A7">
        <w:rPr>
          <w:rFonts w:ascii="Book Antiqua" w:hAnsi="Book Antiqua" w:cs="Times New Roman"/>
          <w:sz w:val="24"/>
          <w:szCs w:val="24"/>
          <w:lang w:val="en-US"/>
        </w:rPr>
        <w:t xml:space="preserve">d a good tolerance </w:t>
      </w:r>
      <w:r w:rsidR="00C86752" w:rsidRPr="002575A7">
        <w:rPr>
          <w:rFonts w:ascii="Book Antiqua" w:hAnsi="Book Antiqua" w:cs="Times New Roman"/>
          <w:sz w:val="24"/>
          <w:szCs w:val="24"/>
          <w:lang w:val="en-US"/>
        </w:rPr>
        <w:t xml:space="preserve">profile </w:t>
      </w:r>
      <w:r w:rsidR="00486DF1" w:rsidRPr="002575A7">
        <w:rPr>
          <w:rFonts w:ascii="Book Antiqua" w:hAnsi="Book Antiqua" w:cs="Times New Roman"/>
          <w:sz w:val="24"/>
          <w:szCs w:val="24"/>
          <w:lang w:val="en-US"/>
        </w:rPr>
        <w:t xml:space="preserve">with </w:t>
      </w:r>
      <w:r w:rsidR="00C86752" w:rsidRPr="002575A7">
        <w:rPr>
          <w:rFonts w:ascii="Book Antiqua" w:hAnsi="Book Antiqua" w:cs="Times New Roman"/>
          <w:sz w:val="24"/>
          <w:szCs w:val="24"/>
          <w:lang w:val="en-US"/>
        </w:rPr>
        <w:t xml:space="preserve">the occurrence of </w:t>
      </w:r>
      <w:r w:rsidRPr="002575A7">
        <w:rPr>
          <w:rFonts w:ascii="Book Antiqua" w:hAnsi="Book Antiqua" w:cs="Times New Roman"/>
          <w:sz w:val="24"/>
          <w:szCs w:val="24"/>
          <w:lang w:val="en-US"/>
        </w:rPr>
        <w:t xml:space="preserve">grade 3 diarrhea </w:t>
      </w:r>
      <w:r w:rsidR="00301BC3">
        <w:rPr>
          <w:rFonts w:ascii="Book Antiqua" w:hAnsi="Book Antiqua" w:cs="Times New Roman"/>
          <w:sz w:val="24"/>
          <w:szCs w:val="24"/>
          <w:lang w:val="en-US"/>
        </w:rPr>
        <w:t xml:space="preserve">in </w:t>
      </w:r>
      <w:r w:rsidR="00301BC3" w:rsidRPr="002575A7">
        <w:rPr>
          <w:rFonts w:ascii="Book Antiqua" w:hAnsi="Book Antiqua" w:cs="Times New Roman"/>
          <w:sz w:val="24"/>
          <w:szCs w:val="24"/>
          <w:lang w:val="en-US"/>
        </w:rPr>
        <w:t>only 8%</w:t>
      </w:r>
      <w:r w:rsidR="00301BC3">
        <w:rPr>
          <w:rFonts w:ascii="Book Antiqua" w:hAnsi="Book Antiqua" w:cs="Times New Roman"/>
          <w:sz w:val="24"/>
          <w:szCs w:val="24"/>
          <w:lang w:val="en-US"/>
        </w:rPr>
        <w:t>,</w:t>
      </w:r>
      <w:r w:rsidR="00301BC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and febrile neutropenia (grade 3 or 4 neutropenia 35.7%)</w:t>
      </w:r>
      <w:r w:rsidR="00CD5CCD">
        <w:rPr>
          <w:rFonts w:ascii="Book Antiqua" w:hAnsi="Book Antiqua" w:cs="Times New Roman"/>
          <w:sz w:val="24"/>
          <w:szCs w:val="24"/>
          <w:lang w:val="en-US"/>
        </w:rPr>
        <w:t xml:space="preserve"> in &lt;</w:t>
      </w:r>
      <w:r w:rsidR="00A32065">
        <w:rPr>
          <w:rFonts w:ascii="Book Antiqua" w:hAnsi="Book Antiqua" w:cs="Times New Roman"/>
          <w:sz w:val="24"/>
          <w:szCs w:val="24"/>
          <w:lang w:val="en-US"/>
        </w:rPr>
        <w:t xml:space="preserve"> </w:t>
      </w:r>
      <w:r w:rsidR="00CD5CCD">
        <w:rPr>
          <w:rFonts w:ascii="Book Antiqua" w:hAnsi="Book Antiqua" w:cs="Times New Roman"/>
          <w:sz w:val="24"/>
          <w:szCs w:val="24"/>
          <w:lang w:val="en-US"/>
        </w:rPr>
        <w:t>1%</w:t>
      </w:r>
      <w:r w:rsidR="003171FD" w:rsidRPr="002575A7">
        <w:rPr>
          <w:rFonts w:ascii="Book Antiqua" w:hAnsi="Book Antiqua" w:cs="Times New Roman"/>
          <w:sz w:val="24"/>
          <w:szCs w:val="24"/>
          <w:lang w:val="en-US"/>
        </w:rPr>
        <w:t>.</w:t>
      </w:r>
      <w:r w:rsidR="00BC291B" w:rsidRPr="002575A7">
        <w:rPr>
          <w:rFonts w:ascii="Book Antiqua" w:hAnsi="Book Antiqua" w:cs="Times New Roman"/>
          <w:sz w:val="24"/>
          <w:szCs w:val="24"/>
          <w:lang w:val="en-US"/>
        </w:rPr>
        <w:t xml:space="preserve"> </w:t>
      </w:r>
      <w:r w:rsidR="00C86752" w:rsidRPr="002575A7">
        <w:rPr>
          <w:rFonts w:ascii="Book Antiqua" w:hAnsi="Book Antiqua" w:cs="Times New Roman"/>
          <w:sz w:val="24"/>
          <w:szCs w:val="24"/>
          <w:lang w:val="en-US"/>
        </w:rPr>
        <w:t>These results are i</w:t>
      </w:r>
      <w:r w:rsidR="00507472" w:rsidRPr="002575A7">
        <w:rPr>
          <w:rFonts w:ascii="Book Antiqua" w:hAnsi="Book Antiqua" w:cs="Times New Roman"/>
          <w:sz w:val="24"/>
          <w:szCs w:val="24"/>
          <w:lang w:val="en-US"/>
        </w:rPr>
        <w:t xml:space="preserve">n line with </w:t>
      </w:r>
      <w:r w:rsidR="00C86752" w:rsidRPr="002575A7">
        <w:rPr>
          <w:rFonts w:ascii="Book Antiqua" w:hAnsi="Book Antiqua" w:cs="Times New Roman"/>
          <w:sz w:val="24"/>
          <w:szCs w:val="24"/>
          <w:lang w:val="en-US"/>
        </w:rPr>
        <w:t>those</w:t>
      </w:r>
      <w:r w:rsidR="00507472" w:rsidRPr="002575A7">
        <w:rPr>
          <w:rFonts w:ascii="Book Antiqua" w:hAnsi="Book Antiqua" w:cs="Times New Roman"/>
          <w:sz w:val="24"/>
          <w:szCs w:val="24"/>
          <w:lang w:val="en-US"/>
        </w:rPr>
        <w:t xml:space="preserve"> </w:t>
      </w:r>
      <w:r w:rsidR="00C86752" w:rsidRPr="002575A7">
        <w:rPr>
          <w:rFonts w:ascii="Book Antiqua" w:hAnsi="Book Antiqua" w:cs="Times New Roman"/>
          <w:sz w:val="24"/>
          <w:szCs w:val="24"/>
          <w:lang w:val="en-US"/>
        </w:rPr>
        <w:t>observed</w:t>
      </w:r>
      <w:r w:rsidR="00507472" w:rsidRPr="002575A7">
        <w:rPr>
          <w:rFonts w:ascii="Book Antiqua" w:hAnsi="Book Antiqua" w:cs="Times New Roman"/>
          <w:sz w:val="24"/>
          <w:szCs w:val="24"/>
          <w:lang w:val="en-US"/>
        </w:rPr>
        <w:t xml:space="preserve"> in our study</w:t>
      </w:r>
      <w:r w:rsidR="00434702">
        <w:rPr>
          <w:rFonts w:ascii="Book Antiqua" w:hAnsi="Book Antiqua" w:cs="Times New Roman"/>
          <w:sz w:val="24"/>
          <w:szCs w:val="24"/>
          <w:lang w:val="en-US"/>
        </w:rPr>
        <w:t>.</w:t>
      </w:r>
      <w:r w:rsidR="00507472" w:rsidRPr="002575A7">
        <w:rPr>
          <w:rFonts w:ascii="Book Antiqua" w:hAnsi="Book Antiqua" w:cs="Times New Roman"/>
          <w:sz w:val="24"/>
          <w:szCs w:val="24"/>
          <w:lang w:val="en-US"/>
        </w:rPr>
        <w:t xml:space="preserve"> </w:t>
      </w:r>
      <w:r w:rsidR="00140EBF" w:rsidRPr="002575A7">
        <w:rPr>
          <w:rFonts w:ascii="Book Antiqua" w:hAnsi="Book Antiqua" w:cs="Times New Roman"/>
          <w:sz w:val="24"/>
          <w:szCs w:val="24"/>
          <w:lang w:val="en-US"/>
        </w:rPr>
        <w:t>Nevertheless, FOLFOXIRI w</w:t>
      </w:r>
      <w:r w:rsidR="000612EB" w:rsidRPr="002575A7">
        <w:rPr>
          <w:rFonts w:ascii="Book Antiqua" w:hAnsi="Book Antiqua" w:cs="Times New Roman"/>
          <w:sz w:val="24"/>
          <w:szCs w:val="24"/>
          <w:lang w:val="en-US"/>
        </w:rPr>
        <w:t>as</w:t>
      </w:r>
      <w:r w:rsidR="00140EBF" w:rsidRPr="002575A7">
        <w:rPr>
          <w:rFonts w:ascii="Book Antiqua" w:hAnsi="Book Antiqua" w:cs="Times New Roman"/>
          <w:sz w:val="24"/>
          <w:szCs w:val="24"/>
          <w:lang w:val="en-US"/>
        </w:rPr>
        <w:t xml:space="preserve"> never compared head-to-head</w:t>
      </w:r>
      <w:r w:rsidR="00486DF1" w:rsidRPr="002575A7">
        <w:rPr>
          <w:rFonts w:ascii="Book Antiqua" w:hAnsi="Book Antiqua" w:cs="Times New Roman"/>
          <w:sz w:val="24"/>
          <w:szCs w:val="24"/>
          <w:lang w:val="en-US"/>
        </w:rPr>
        <w:t xml:space="preserve"> </w:t>
      </w:r>
      <w:r w:rsidR="000612EB" w:rsidRPr="002575A7">
        <w:rPr>
          <w:rFonts w:ascii="Book Antiqua" w:hAnsi="Book Antiqua" w:cs="Times New Roman"/>
          <w:sz w:val="24"/>
          <w:szCs w:val="24"/>
          <w:lang w:val="en-US"/>
        </w:rPr>
        <w:t xml:space="preserve">to the standard FOLFIRINOX </w:t>
      </w:r>
      <w:r w:rsidR="00486DF1" w:rsidRPr="002575A7">
        <w:rPr>
          <w:rFonts w:ascii="Book Antiqua" w:hAnsi="Book Antiqua" w:cs="Times New Roman"/>
          <w:sz w:val="24"/>
          <w:szCs w:val="24"/>
          <w:lang w:val="en-US"/>
        </w:rPr>
        <w:t>in this setting.</w:t>
      </w:r>
    </w:p>
    <w:p w14:paraId="4ABC2659" w14:textId="3EC79BEE" w:rsidR="00BC291B" w:rsidRPr="002575A7" w:rsidRDefault="009A7981" w:rsidP="0044750C">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In our study, </w:t>
      </w:r>
      <w:r w:rsidR="00140EBF" w:rsidRPr="002575A7">
        <w:rPr>
          <w:rFonts w:ascii="Book Antiqua" w:hAnsi="Book Antiqua" w:cs="Times New Roman"/>
          <w:sz w:val="24"/>
          <w:szCs w:val="24"/>
          <w:lang w:val="en-US"/>
        </w:rPr>
        <w:t>the two regimens</w:t>
      </w:r>
      <w:r w:rsidR="00140EBF" w:rsidRPr="002575A7" w:rsidDel="00140EBF">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were </w:t>
      </w:r>
      <w:r w:rsidR="00140EBF" w:rsidRPr="002575A7">
        <w:rPr>
          <w:rFonts w:ascii="Book Antiqua" w:hAnsi="Book Antiqua" w:cs="Times New Roman"/>
          <w:sz w:val="24"/>
          <w:szCs w:val="24"/>
          <w:lang w:val="en-US"/>
        </w:rPr>
        <w:t>co</w:t>
      </w:r>
      <w:r w:rsidR="005968ED">
        <w:rPr>
          <w:rFonts w:ascii="Book Antiqua" w:hAnsi="Book Antiqua" w:cs="Times New Roman"/>
          <w:sz w:val="24"/>
          <w:szCs w:val="24"/>
          <w:lang w:val="en-US"/>
        </w:rPr>
        <w:t>mpared</w:t>
      </w:r>
      <w:r w:rsidRPr="002575A7">
        <w:rPr>
          <w:rFonts w:ascii="Book Antiqua" w:hAnsi="Book Antiqua" w:cs="Times New Roman"/>
          <w:sz w:val="24"/>
          <w:szCs w:val="24"/>
          <w:lang w:val="en-US"/>
        </w:rPr>
        <w:t xml:space="preserve"> for the first time in routine clinical practice</w:t>
      </w:r>
      <w:r w:rsidR="00CD5CCD" w:rsidRPr="00CD5CCD">
        <w:rPr>
          <w:rFonts w:ascii="Book Antiqua" w:hAnsi="Book Antiqua" w:cs="Times New Roman"/>
          <w:sz w:val="24"/>
          <w:szCs w:val="24"/>
          <w:lang w:val="en-US"/>
        </w:rPr>
        <w:t>, taking into account a large number of variables</w:t>
      </w:r>
      <w:r w:rsidRPr="002575A7">
        <w:rPr>
          <w:rFonts w:ascii="Book Antiqua" w:hAnsi="Book Antiqua" w:cs="Times New Roman"/>
          <w:sz w:val="24"/>
          <w:szCs w:val="24"/>
          <w:lang w:val="en-US"/>
        </w:rPr>
        <w:t xml:space="preserve">. </w:t>
      </w:r>
      <w:r w:rsidR="009572B6" w:rsidRPr="002575A7">
        <w:rPr>
          <w:rFonts w:ascii="Book Antiqua" w:hAnsi="Book Antiqua" w:cs="Times New Roman"/>
          <w:sz w:val="24"/>
          <w:szCs w:val="24"/>
          <w:lang w:val="en-US"/>
        </w:rPr>
        <w:t>Due to the design of this exploratory study</w:t>
      </w:r>
      <w:r w:rsidR="001A748C" w:rsidRPr="002575A7">
        <w:rPr>
          <w:rFonts w:ascii="Book Antiqua" w:hAnsi="Book Antiqua" w:cs="Times New Roman"/>
          <w:sz w:val="24"/>
          <w:szCs w:val="24"/>
          <w:lang w:val="en-US"/>
        </w:rPr>
        <w:t xml:space="preserve">, patients were included in an observational cohort and </w:t>
      </w:r>
      <w:r w:rsidR="005968ED">
        <w:rPr>
          <w:rFonts w:ascii="Book Antiqua" w:hAnsi="Book Antiqua" w:cs="Times New Roman"/>
          <w:sz w:val="24"/>
          <w:szCs w:val="24"/>
          <w:lang w:val="en-US"/>
        </w:rPr>
        <w:t xml:space="preserve">the </w:t>
      </w:r>
      <w:r w:rsidR="001A748C" w:rsidRPr="002575A7">
        <w:rPr>
          <w:rFonts w:ascii="Book Antiqua" w:hAnsi="Book Antiqua" w:cs="Times New Roman"/>
          <w:sz w:val="24"/>
          <w:szCs w:val="24"/>
          <w:lang w:val="en-US"/>
        </w:rPr>
        <w:t>treatment</w:t>
      </w:r>
      <w:r w:rsidR="004972D1" w:rsidRPr="002575A7">
        <w:rPr>
          <w:rFonts w:ascii="Book Antiqua" w:hAnsi="Book Antiqua" w:cs="Times New Roman"/>
          <w:sz w:val="24"/>
          <w:szCs w:val="24"/>
          <w:lang w:val="en-US"/>
        </w:rPr>
        <w:t xml:space="preserve"> regimens</w:t>
      </w:r>
      <w:r w:rsidR="001A748C" w:rsidRPr="002575A7">
        <w:rPr>
          <w:rFonts w:ascii="Book Antiqua" w:hAnsi="Book Antiqua" w:cs="Times New Roman"/>
          <w:sz w:val="24"/>
          <w:szCs w:val="24"/>
          <w:lang w:val="en-US"/>
        </w:rPr>
        <w:t xml:space="preserve"> </w:t>
      </w:r>
      <w:r w:rsidR="005F73AB">
        <w:rPr>
          <w:rFonts w:ascii="Book Antiqua" w:hAnsi="Book Antiqua" w:cs="Times New Roman"/>
          <w:sz w:val="24"/>
          <w:szCs w:val="24"/>
          <w:lang w:val="en-US"/>
        </w:rPr>
        <w:t>were</w:t>
      </w:r>
      <w:r w:rsidR="001A748C" w:rsidRPr="002575A7">
        <w:rPr>
          <w:rFonts w:ascii="Book Antiqua" w:hAnsi="Book Antiqua" w:cs="Times New Roman"/>
          <w:sz w:val="24"/>
          <w:szCs w:val="24"/>
          <w:lang w:val="en-US"/>
        </w:rPr>
        <w:t xml:space="preserve"> not randomized. </w:t>
      </w:r>
      <w:r w:rsidR="00BC291B" w:rsidRPr="002575A7">
        <w:rPr>
          <w:rFonts w:ascii="Book Antiqua" w:hAnsi="Book Antiqua" w:cs="Times New Roman"/>
          <w:sz w:val="24"/>
          <w:szCs w:val="24"/>
          <w:lang w:val="en-US"/>
        </w:rPr>
        <w:t xml:space="preserve">In addition to its retrospective nature, </w:t>
      </w:r>
      <w:r w:rsidR="005F73AB">
        <w:rPr>
          <w:rFonts w:ascii="Book Antiqua" w:hAnsi="Book Antiqua" w:cs="Times New Roman"/>
          <w:sz w:val="24"/>
          <w:szCs w:val="24"/>
          <w:lang w:val="en-US"/>
        </w:rPr>
        <w:t xml:space="preserve">further </w:t>
      </w:r>
      <w:r w:rsidR="00BC291B" w:rsidRPr="002575A7">
        <w:rPr>
          <w:rFonts w:ascii="Book Antiqua" w:hAnsi="Book Antiqua" w:cs="Times New Roman"/>
          <w:sz w:val="24"/>
          <w:szCs w:val="24"/>
          <w:lang w:val="en-US"/>
        </w:rPr>
        <w:t xml:space="preserve">limitations of the present study warrant discussion. Patients were treated in two </w:t>
      </w:r>
      <w:r w:rsidR="00191822" w:rsidRPr="002575A7">
        <w:rPr>
          <w:rFonts w:ascii="Book Antiqua" w:hAnsi="Book Antiqua" w:cs="Times New Roman"/>
          <w:sz w:val="24"/>
          <w:szCs w:val="24"/>
          <w:lang w:val="en-US"/>
        </w:rPr>
        <w:t>centers</w:t>
      </w:r>
      <w:r w:rsidR="00BE093D" w:rsidRPr="002575A7">
        <w:rPr>
          <w:rFonts w:ascii="Book Antiqua" w:hAnsi="Book Antiqua" w:cs="Times New Roman"/>
          <w:sz w:val="24"/>
          <w:szCs w:val="24"/>
          <w:lang w:val="en-US"/>
        </w:rPr>
        <w:t xml:space="preserve">, </w:t>
      </w:r>
      <w:r w:rsidR="005F73AB">
        <w:rPr>
          <w:rFonts w:ascii="Book Antiqua" w:hAnsi="Book Antiqua" w:cs="Times New Roman"/>
          <w:sz w:val="24"/>
          <w:szCs w:val="24"/>
          <w:lang w:val="en-US"/>
        </w:rPr>
        <w:t>although both</w:t>
      </w:r>
      <w:r w:rsidR="00BE093D" w:rsidRPr="002575A7">
        <w:rPr>
          <w:rFonts w:ascii="Book Antiqua" w:hAnsi="Book Antiqua" w:cs="Times New Roman"/>
          <w:sz w:val="24"/>
          <w:szCs w:val="24"/>
          <w:lang w:val="en-US"/>
        </w:rPr>
        <w:t xml:space="preserve"> were high</w:t>
      </w:r>
      <w:r w:rsidR="00CB07E9" w:rsidRPr="002575A7">
        <w:rPr>
          <w:rFonts w:ascii="Book Antiqua" w:hAnsi="Book Antiqua" w:cs="Times New Roman"/>
          <w:sz w:val="24"/>
          <w:szCs w:val="24"/>
          <w:lang w:val="en-US"/>
        </w:rPr>
        <w:t>-</w:t>
      </w:r>
      <w:r w:rsidR="00BC291B" w:rsidRPr="002575A7">
        <w:rPr>
          <w:rFonts w:ascii="Book Antiqua" w:hAnsi="Book Antiqua" w:cs="Times New Roman"/>
          <w:sz w:val="24"/>
          <w:szCs w:val="24"/>
          <w:lang w:val="en-US"/>
        </w:rPr>
        <w:t xml:space="preserve">volume units </w:t>
      </w:r>
      <w:r w:rsidR="004972D1" w:rsidRPr="002575A7">
        <w:rPr>
          <w:rFonts w:ascii="Book Antiqua" w:hAnsi="Book Antiqua" w:cs="Times New Roman"/>
          <w:sz w:val="24"/>
          <w:szCs w:val="24"/>
          <w:lang w:val="en-US"/>
        </w:rPr>
        <w:t xml:space="preserve">with similar </w:t>
      </w:r>
      <w:r w:rsidR="00BC291B" w:rsidRPr="002575A7">
        <w:rPr>
          <w:rFonts w:ascii="Book Antiqua" w:hAnsi="Book Antiqua" w:cs="Times New Roman"/>
          <w:sz w:val="24"/>
          <w:szCs w:val="24"/>
          <w:lang w:val="en-US"/>
        </w:rPr>
        <w:t xml:space="preserve">clinical practices. </w:t>
      </w:r>
      <w:r w:rsidR="002C52A1" w:rsidRPr="002575A7">
        <w:rPr>
          <w:rFonts w:ascii="Book Antiqua" w:hAnsi="Book Antiqua" w:cs="Times New Roman"/>
          <w:sz w:val="24"/>
          <w:szCs w:val="24"/>
          <w:lang w:val="en-US"/>
        </w:rPr>
        <w:t xml:space="preserve">Of note, patients with a different tumor extension were </w:t>
      </w:r>
      <w:r w:rsidR="00705C07">
        <w:rPr>
          <w:rFonts w:ascii="Book Antiqua" w:hAnsi="Book Antiqua" w:cs="Times New Roman"/>
          <w:sz w:val="24"/>
          <w:szCs w:val="24"/>
          <w:lang w:val="en-US"/>
        </w:rPr>
        <w:t>included</w:t>
      </w:r>
      <w:r w:rsidR="002C52A1" w:rsidRPr="002575A7">
        <w:rPr>
          <w:rFonts w:ascii="Book Antiqua" w:hAnsi="Book Antiqua" w:cs="Times New Roman"/>
          <w:sz w:val="24"/>
          <w:szCs w:val="24"/>
          <w:lang w:val="en-US"/>
        </w:rPr>
        <w:t xml:space="preserve">, </w:t>
      </w:r>
      <w:r w:rsidR="00705C07">
        <w:rPr>
          <w:rFonts w:ascii="Book Antiqua" w:hAnsi="Book Antiqua" w:cs="Times New Roman"/>
          <w:sz w:val="24"/>
          <w:szCs w:val="24"/>
          <w:lang w:val="en-US"/>
        </w:rPr>
        <w:t>with</w:t>
      </w:r>
      <w:r w:rsidR="002C52A1" w:rsidRPr="002575A7">
        <w:rPr>
          <w:rFonts w:ascii="Book Antiqua" w:hAnsi="Book Antiqua" w:cs="Times New Roman"/>
          <w:sz w:val="24"/>
          <w:szCs w:val="24"/>
          <w:lang w:val="en-US"/>
        </w:rPr>
        <w:t xml:space="preserve"> locally advanced </w:t>
      </w:r>
      <w:r w:rsidR="00705C07">
        <w:rPr>
          <w:rFonts w:ascii="Book Antiqua" w:hAnsi="Book Antiqua" w:cs="Times New Roman"/>
          <w:sz w:val="24"/>
          <w:szCs w:val="24"/>
          <w:lang w:val="en-US"/>
        </w:rPr>
        <w:t>and</w:t>
      </w:r>
      <w:r w:rsidR="002C52A1" w:rsidRPr="002575A7">
        <w:rPr>
          <w:rFonts w:ascii="Book Antiqua" w:hAnsi="Book Antiqua" w:cs="Times New Roman"/>
          <w:sz w:val="24"/>
          <w:szCs w:val="24"/>
          <w:lang w:val="en-US"/>
        </w:rPr>
        <w:t xml:space="preserve"> metastatic stages. Thus, </w:t>
      </w:r>
      <w:r w:rsidR="00017DFC" w:rsidRPr="002575A7">
        <w:rPr>
          <w:rFonts w:ascii="Book Antiqua" w:hAnsi="Book Antiqua" w:cs="Times New Roman"/>
          <w:sz w:val="24"/>
          <w:szCs w:val="24"/>
          <w:lang w:val="en-US"/>
        </w:rPr>
        <w:t>sensitivity analys</w:t>
      </w:r>
      <w:r w:rsidR="002C52A1" w:rsidRPr="002575A7">
        <w:rPr>
          <w:rFonts w:ascii="Book Antiqua" w:hAnsi="Book Antiqua" w:cs="Times New Roman"/>
          <w:sz w:val="24"/>
          <w:szCs w:val="24"/>
          <w:lang w:val="en-US"/>
        </w:rPr>
        <w:t xml:space="preserve">es were performed </w:t>
      </w:r>
      <w:r w:rsidR="004972D1" w:rsidRPr="002575A7">
        <w:rPr>
          <w:rFonts w:ascii="Book Antiqua" w:hAnsi="Book Antiqua" w:cs="Times New Roman"/>
          <w:sz w:val="24"/>
          <w:szCs w:val="24"/>
          <w:lang w:val="en-US"/>
        </w:rPr>
        <w:t>exclusively</w:t>
      </w:r>
      <w:r w:rsidR="002C52A1" w:rsidRPr="002575A7">
        <w:rPr>
          <w:rFonts w:ascii="Book Antiqua" w:hAnsi="Book Antiqua" w:cs="Times New Roman"/>
          <w:sz w:val="24"/>
          <w:szCs w:val="24"/>
          <w:lang w:val="en-US"/>
        </w:rPr>
        <w:t xml:space="preserve"> in the metastatic population. </w:t>
      </w:r>
      <w:r w:rsidR="00916870" w:rsidRPr="00916870">
        <w:rPr>
          <w:rFonts w:ascii="Book Antiqua" w:hAnsi="Book Antiqua" w:cs="Times New Roman"/>
          <w:sz w:val="24"/>
          <w:szCs w:val="24"/>
          <w:lang w:val="en-US"/>
        </w:rPr>
        <w:t>Computed tomography</w:t>
      </w:r>
      <w:r w:rsidR="00BC291B" w:rsidRPr="002575A7">
        <w:rPr>
          <w:rFonts w:ascii="Book Antiqua" w:hAnsi="Book Antiqua" w:cs="Times New Roman"/>
          <w:sz w:val="24"/>
          <w:szCs w:val="24"/>
          <w:lang w:val="en-US"/>
        </w:rPr>
        <w:t>-scan assessment of tumor response according to RECIST criteria was not performed centrally. This bias could explain a trend to</w:t>
      </w:r>
      <w:r w:rsidR="00F8304D">
        <w:rPr>
          <w:rFonts w:ascii="Book Antiqua" w:hAnsi="Book Antiqua" w:cs="Times New Roman"/>
          <w:sz w:val="24"/>
          <w:szCs w:val="24"/>
          <w:lang w:val="en-US"/>
        </w:rPr>
        <w:t>wards</w:t>
      </w:r>
      <w:r w:rsidR="00BC291B" w:rsidRPr="002575A7">
        <w:rPr>
          <w:rFonts w:ascii="Book Antiqua" w:hAnsi="Book Antiqua" w:cs="Times New Roman"/>
          <w:sz w:val="24"/>
          <w:szCs w:val="24"/>
          <w:lang w:val="en-US"/>
        </w:rPr>
        <w:t xml:space="preserve"> better tumor response in the FOLFIRINOX group. Additional variables, particularly febrile neutropenia, biological or </w:t>
      </w:r>
      <w:r w:rsidR="00D25F2B" w:rsidRPr="002575A7">
        <w:rPr>
          <w:rFonts w:ascii="Book Antiqua" w:hAnsi="Book Antiqua" w:cs="Times New Roman"/>
          <w:sz w:val="24"/>
          <w:szCs w:val="24"/>
          <w:lang w:val="en-US"/>
        </w:rPr>
        <w:t>HR</w:t>
      </w:r>
      <w:r w:rsidR="00BC291B" w:rsidRPr="002575A7">
        <w:rPr>
          <w:rFonts w:ascii="Book Antiqua" w:hAnsi="Book Antiqua" w:cs="Times New Roman"/>
          <w:sz w:val="24"/>
          <w:szCs w:val="24"/>
          <w:lang w:val="en-US"/>
        </w:rPr>
        <w:t xml:space="preserve">QoL data, could not be evaluated in our study </w:t>
      </w:r>
      <w:r w:rsidR="004972D1" w:rsidRPr="002575A7">
        <w:rPr>
          <w:rFonts w:ascii="Book Antiqua" w:hAnsi="Book Antiqua" w:cs="Times New Roman"/>
          <w:sz w:val="24"/>
          <w:szCs w:val="24"/>
          <w:lang w:val="en-US"/>
        </w:rPr>
        <w:t>due to</w:t>
      </w:r>
      <w:r w:rsidR="00BC291B" w:rsidRPr="002575A7">
        <w:rPr>
          <w:rFonts w:ascii="Book Antiqua" w:hAnsi="Book Antiqua" w:cs="Times New Roman"/>
          <w:sz w:val="24"/>
          <w:szCs w:val="24"/>
          <w:lang w:val="en-US"/>
        </w:rPr>
        <w:t xml:space="preserve"> the retrospective </w:t>
      </w:r>
      <w:r w:rsidR="004972D1" w:rsidRPr="002575A7">
        <w:rPr>
          <w:rFonts w:ascii="Book Antiqua" w:hAnsi="Book Antiqua" w:cs="Times New Roman"/>
          <w:sz w:val="24"/>
          <w:szCs w:val="24"/>
          <w:lang w:val="en-US"/>
        </w:rPr>
        <w:t xml:space="preserve">design </w:t>
      </w:r>
      <w:r w:rsidR="00BC291B" w:rsidRPr="002575A7">
        <w:rPr>
          <w:rFonts w:ascii="Book Antiqua" w:hAnsi="Book Antiqua" w:cs="Times New Roman"/>
          <w:sz w:val="24"/>
          <w:szCs w:val="24"/>
          <w:lang w:val="en-US"/>
        </w:rPr>
        <w:t xml:space="preserve">of the data collection, with a high rate of missing </w:t>
      </w:r>
      <w:r w:rsidR="004972D1" w:rsidRPr="002575A7">
        <w:rPr>
          <w:rFonts w:ascii="Book Antiqua" w:hAnsi="Book Antiqua" w:cs="Times New Roman"/>
          <w:sz w:val="24"/>
          <w:szCs w:val="24"/>
          <w:lang w:val="en-US"/>
        </w:rPr>
        <w:t>patient information</w:t>
      </w:r>
      <w:r w:rsidR="00BC291B" w:rsidRPr="002575A7">
        <w:rPr>
          <w:rFonts w:ascii="Book Antiqua" w:hAnsi="Book Antiqua" w:cs="Times New Roman"/>
          <w:sz w:val="24"/>
          <w:szCs w:val="24"/>
          <w:lang w:val="en-US"/>
        </w:rPr>
        <w:t>.</w:t>
      </w:r>
      <w:r w:rsidR="00EC05A6" w:rsidRPr="002575A7">
        <w:rPr>
          <w:rFonts w:ascii="Book Antiqua" w:hAnsi="Book Antiqua" w:cs="Times New Roman"/>
          <w:sz w:val="24"/>
          <w:szCs w:val="24"/>
          <w:lang w:val="en-US"/>
        </w:rPr>
        <w:t xml:space="preserve"> </w:t>
      </w:r>
    </w:p>
    <w:p w14:paraId="0941F90C" w14:textId="0AB5C9A3" w:rsidR="00850C80" w:rsidRPr="002575A7" w:rsidRDefault="000612EB" w:rsidP="0044750C">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To overcome these </w:t>
      </w:r>
      <w:r w:rsidR="00F749D5" w:rsidRPr="002575A7">
        <w:rPr>
          <w:rFonts w:ascii="Book Antiqua" w:hAnsi="Book Antiqua" w:cs="Times New Roman"/>
          <w:sz w:val="24"/>
          <w:szCs w:val="24"/>
          <w:lang w:val="en-US"/>
        </w:rPr>
        <w:t>limitations</w:t>
      </w:r>
      <w:r w:rsidR="00FC7A0E"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FOLFOXIRI and FOLFIRINOX </w:t>
      </w:r>
      <w:r w:rsidR="00BC291B" w:rsidRPr="002575A7">
        <w:rPr>
          <w:rFonts w:ascii="Book Antiqua" w:hAnsi="Book Antiqua" w:cs="Times New Roman"/>
          <w:sz w:val="24"/>
          <w:szCs w:val="24"/>
          <w:lang w:val="en-US"/>
        </w:rPr>
        <w:t>we</w:t>
      </w:r>
      <w:r w:rsidRPr="002575A7">
        <w:rPr>
          <w:rFonts w:ascii="Book Antiqua" w:hAnsi="Book Antiqua" w:cs="Times New Roman"/>
          <w:sz w:val="24"/>
          <w:szCs w:val="24"/>
          <w:lang w:val="en-US"/>
        </w:rPr>
        <w:t>re</w:t>
      </w:r>
      <w:r w:rsidR="00BC291B" w:rsidRPr="002575A7">
        <w:rPr>
          <w:rFonts w:ascii="Book Antiqua" w:hAnsi="Book Antiqua" w:cs="Times New Roman"/>
          <w:sz w:val="24"/>
          <w:szCs w:val="24"/>
          <w:lang w:val="en-US"/>
        </w:rPr>
        <w:t xml:space="preserve"> compared </w:t>
      </w:r>
      <w:r w:rsidRPr="002575A7">
        <w:rPr>
          <w:rFonts w:ascii="Book Antiqua" w:hAnsi="Book Antiqua" w:cs="Times New Roman"/>
          <w:sz w:val="24"/>
          <w:szCs w:val="24"/>
          <w:lang w:val="en-US"/>
        </w:rPr>
        <w:t xml:space="preserve">from a large population-based cohort of </w:t>
      </w:r>
      <w:r w:rsidR="00CD5CCD" w:rsidRPr="0070150B">
        <w:rPr>
          <w:rFonts w:ascii="Book Antiqua" w:hAnsi="Book Antiqua" w:cs="Times New Roman"/>
          <w:sz w:val="24"/>
          <w:szCs w:val="24"/>
          <w:lang w:val="en-US"/>
        </w:rPr>
        <w:t xml:space="preserve">prospectively included </w:t>
      </w:r>
      <w:r w:rsidRPr="002575A7">
        <w:rPr>
          <w:rFonts w:ascii="Book Antiqua" w:hAnsi="Book Antiqua" w:cs="Times New Roman"/>
          <w:sz w:val="24"/>
          <w:szCs w:val="24"/>
          <w:lang w:val="en-US"/>
        </w:rPr>
        <w:t xml:space="preserve">patients with </w:t>
      </w:r>
      <w:r w:rsidR="009D1BBF" w:rsidRPr="002575A7">
        <w:rPr>
          <w:rFonts w:ascii="Book Antiqua" w:hAnsi="Book Antiqua" w:cs="Times New Roman"/>
          <w:sz w:val="24"/>
          <w:szCs w:val="24"/>
          <w:lang w:val="en-US"/>
        </w:rPr>
        <w:t>aPDAC</w:t>
      </w:r>
      <w:r w:rsidR="00BC291B" w:rsidRPr="002575A7">
        <w:rPr>
          <w:rFonts w:ascii="Book Antiqua" w:hAnsi="Book Antiqua" w:cs="Times New Roman"/>
          <w:sz w:val="24"/>
          <w:szCs w:val="24"/>
          <w:lang w:val="en-US"/>
        </w:rPr>
        <w:t xml:space="preserve">. </w:t>
      </w:r>
      <w:r w:rsidR="00B2139D" w:rsidRPr="002575A7">
        <w:rPr>
          <w:rFonts w:ascii="Book Antiqua" w:hAnsi="Book Antiqua" w:cs="Times New Roman"/>
          <w:sz w:val="24"/>
          <w:szCs w:val="24"/>
          <w:lang w:val="en-US"/>
        </w:rPr>
        <w:t>Most importantly, w</w:t>
      </w:r>
      <w:r w:rsidR="009A7981" w:rsidRPr="002575A7">
        <w:rPr>
          <w:rFonts w:ascii="Book Antiqua" w:hAnsi="Book Antiqua" w:cs="Times New Roman"/>
          <w:sz w:val="24"/>
          <w:szCs w:val="24"/>
          <w:lang w:val="en-US"/>
        </w:rPr>
        <w:t xml:space="preserve">e used a rigorous methodological framework and applied a propensity score approach to take into account </w:t>
      </w:r>
      <w:r w:rsidR="00B2139D" w:rsidRPr="002575A7">
        <w:rPr>
          <w:rFonts w:ascii="Book Antiqua" w:hAnsi="Book Antiqua" w:cs="Times New Roman"/>
          <w:sz w:val="24"/>
          <w:szCs w:val="24"/>
          <w:lang w:val="en-US"/>
        </w:rPr>
        <w:t>the</w:t>
      </w:r>
      <w:r w:rsidR="009A7981" w:rsidRPr="002575A7">
        <w:rPr>
          <w:rFonts w:ascii="Book Antiqua" w:hAnsi="Book Antiqua" w:cs="Times New Roman"/>
          <w:sz w:val="24"/>
          <w:szCs w:val="24"/>
          <w:lang w:val="en-US"/>
        </w:rPr>
        <w:t xml:space="preserve"> potential heterogeneity in baseline characteristics between the two populations. Moreover, two different methods, </w:t>
      </w:r>
      <w:r w:rsidR="0062652F">
        <w:rPr>
          <w:rFonts w:ascii="Book Antiqua" w:hAnsi="Book Antiqua" w:cs="Times New Roman"/>
          <w:sz w:val="24"/>
          <w:szCs w:val="24"/>
          <w:lang w:val="en-US"/>
        </w:rPr>
        <w:t>namely</w:t>
      </w:r>
      <w:r w:rsidR="00434702">
        <w:rPr>
          <w:rFonts w:ascii="Book Antiqua" w:hAnsi="Book Antiqua" w:cs="Times New Roman"/>
          <w:sz w:val="24"/>
          <w:szCs w:val="24"/>
          <w:lang w:val="en-US"/>
        </w:rPr>
        <w:t xml:space="preserve"> </w:t>
      </w:r>
      <w:r w:rsidR="005968ED">
        <w:rPr>
          <w:rFonts w:ascii="Book Antiqua" w:hAnsi="Book Antiqua" w:cs="Times New Roman"/>
          <w:sz w:val="24"/>
          <w:szCs w:val="24"/>
          <w:lang w:val="en-US"/>
        </w:rPr>
        <w:t xml:space="preserve">the </w:t>
      </w:r>
      <w:r w:rsidR="009A7981" w:rsidRPr="002575A7">
        <w:rPr>
          <w:rFonts w:ascii="Book Antiqua" w:hAnsi="Book Antiqua" w:cs="Times New Roman"/>
          <w:sz w:val="24"/>
          <w:szCs w:val="24"/>
          <w:lang w:val="en-US"/>
        </w:rPr>
        <w:t xml:space="preserve">IPTW Cox model and propensity score matching, demonstrated the satisfactory performance and validity of the analysis. The reproducibility </w:t>
      </w:r>
      <w:r w:rsidR="00F8304D" w:rsidRPr="002575A7">
        <w:rPr>
          <w:rFonts w:ascii="Book Antiqua" w:hAnsi="Book Antiqua" w:cs="Times New Roman"/>
          <w:sz w:val="24"/>
          <w:szCs w:val="24"/>
          <w:lang w:val="en-US"/>
        </w:rPr>
        <w:t xml:space="preserve">obtained </w:t>
      </w:r>
      <w:r w:rsidR="00B2139D" w:rsidRPr="002575A7">
        <w:rPr>
          <w:rFonts w:ascii="Book Antiqua" w:hAnsi="Book Antiqua" w:cs="Times New Roman"/>
          <w:sz w:val="24"/>
          <w:szCs w:val="24"/>
          <w:lang w:val="en-US"/>
        </w:rPr>
        <w:t xml:space="preserve">with the </w:t>
      </w:r>
      <w:r w:rsidR="009A7981" w:rsidRPr="002575A7">
        <w:rPr>
          <w:rFonts w:ascii="Book Antiqua" w:hAnsi="Book Antiqua" w:cs="Times New Roman"/>
          <w:sz w:val="24"/>
          <w:szCs w:val="24"/>
          <w:lang w:val="en-US"/>
        </w:rPr>
        <w:t>sensi</w:t>
      </w:r>
      <w:r w:rsidR="005968ED">
        <w:rPr>
          <w:rFonts w:ascii="Book Antiqua" w:hAnsi="Book Antiqua" w:cs="Times New Roman"/>
          <w:sz w:val="24"/>
          <w:szCs w:val="24"/>
          <w:lang w:val="en-US"/>
        </w:rPr>
        <w:t>tiv</w:t>
      </w:r>
      <w:r w:rsidR="009A7981" w:rsidRPr="002575A7">
        <w:rPr>
          <w:rFonts w:ascii="Book Antiqua" w:hAnsi="Book Antiqua" w:cs="Times New Roman"/>
          <w:sz w:val="24"/>
          <w:szCs w:val="24"/>
          <w:lang w:val="en-US"/>
        </w:rPr>
        <w:t xml:space="preserve">ity analysis in the metastatic cohort strengthened the </w:t>
      </w:r>
      <w:r w:rsidR="00B2139D" w:rsidRPr="002575A7">
        <w:rPr>
          <w:rFonts w:ascii="Book Antiqua" w:hAnsi="Book Antiqua" w:cs="Times New Roman"/>
          <w:sz w:val="24"/>
          <w:szCs w:val="24"/>
          <w:lang w:val="en-US"/>
        </w:rPr>
        <w:t xml:space="preserve">observed </w:t>
      </w:r>
      <w:r w:rsidR="009A7981" w:rsidRPr="002575A7">
        <w:rPr>
          <w:rFonts w:ascii="Book Antiqua" w:hAnsi="Book Antiqua" w:cs="Times New Roman"/>
          <w:sz w:val="24"/>
          <w:szCs w:val="24"/>
          <w:lang w:val="en-US"/>
        </w:rPr>
        <w:t xml:space="preserve">results. </w:t>
      </w:r>
    </w:p>
    <w:p w14:paraId="674F8658" w14:textId="332790EC" w:rsidR="00850C80" w:rsidRPr="002575A7" w:rsidRDefault="00850C80" w:rsidP="0044750C">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lastRenderedPageBreak/>
        <w:t xml:space="preserve">The present study showed that </w:t>
      </w:r>
      <w:r w:rsidR="005968ED">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FOLFOXIRI and FOLFIRINOX </w:t>
      </w:r>
      <w:r w:rsidR="00F8304D">
        <w:rPr>
          <w:rFonts w:ascii="Book Antiqua" w:hAnsi="Book Antiqua" w:cs="Times New Roman"/>
          <w:sz w:val="24"/>
          <w:szCs w:val="24"/>
          <w:lang w:val="en-US"/>
        </w:rPr>
        <w:t xml:space="preserve">L1 regimens </w:t>
      </w:r>
      <w:r w:rsidRPr="002575A7">
        <w:rPr>
          <w:rFonts w:ascii="Book Antiqua" w:hAnsi="Book Antiqua" w:cs="Times New Roman"/>
          <w:sz w:val="24"/>
          <w:szCs w:val="24"/>
          <w:lang w:val="en-US"/>
        </w:rPr>
        <w:t>were similar in terms of efficacy. Median OS and</w:t>
      </w:r>
      <w:r w:rsidR="000612EB" w:rsidRPr="002575A7">
        <w:rPr>
          <w:rFonts w:ascii="Book Antiqua" w:hAnsi="Book Antiqua" w:cs="Times New Roman"/>
          <w:sz w:val="24"/>
          <w:szCs w:val="24"/>
          <w:lang w:val="en-US"/>
        </w:rPr>
        <w:t xml:space="preserve"> PFS were comparable between the</w:t>
      </w:r>
      <w:r w:rsidRPr="002575A7">
        <w:rPr>
          <w:rFonts w:ascii="Book Antiqua" w:hAnsi="Book Antiqua" w:cs="Times New Roman"/>
          <w:sz w:val="24"/>
          <w:szCs w:val="24"/>
          <w:lang w:val="en-US"/>
        </w:rPr>
        <w:t xml:space="preserve"> two schedules</w:t>
      </w:r>
      <w:r w:rsidR="00F8304D">
        <w:rPr>
          <w:rFonts w:ascii="Book Antiqua" w:hAnsi="Book Antiqua" w:cs="Times New Roman"/>
          <w:sz w:val="24"/>
          <w:szCs w:val="24"/>
          <w:lang w:val="en-US"/>
        </w:rPr>
        <w:t>,</w:t>
      </w:r>
      <w:r w:rsidRPr="002575A7">
        <w:rPr>
          <w:rFonts w:ascii="Book Antiqua" w:hAnsi="Book Antiqua" w:cs="Times New Roman"/>
          <w:sz w:val="24"/>
          <w:szCs w:val="24"/>
          <w:lang w:val="en-US"/>
        </w:rPr>
        <w:t xml:space="preserve"> and </w:t>
      </w:r>
      <w:r w:rsidR="00F8304D">
        <w:rPr>
          <w:rFonts w:ascii="Book Antiqua" w:hAnsi="Book Antiqua" w:cs="Times New Roman"/>
          <w:sz w:val="24"/>
          <w:szCs w:val="24"/>
          <w:lang w:val="en-US"/>
        </w:rPr>
        <w:t xml:space="preserve">similar </w:t>
      </w:r>
      <w:r w:rsidR="00322B91" w:rsidRPr="002575A7">
        <w:rPr>
          <w:rFonts w:ascii="Book Antiqua" w:hAnsi="Book Antiqua" w:cs="Times New Roman"/>
          <w:sz w:val="24"/>
          <w:szCs w:val="24"/>
          <w:lang w:val="en-US"/>
        </w:rPr>
        <w:t xml:space="preserve">to </w:t>
      </w:r>
      <w:r w:rsidRPr="002575A7">
        <w:rPr>
          <w:rFonts w:ascii="Book Antiqua" w:hAnsi="Book Antiqua" w:cs="Times New Roman"/>
          <w:sz w:val="24"/>
          <w:szCs w:val="24"/>
          <w:lang w:val="en-US"/>
        </w:rPr>
        <w:t>survival</w:t>
      </w:r>
      <w:r w:rsidR="00322B91" w:rsidRPr="002575A7">
        <w:rPr>
          <w:rFonts w:ascii="Book Antiqua" w:hAnsi="Book Antiqua" w:cs="Times New Roman"/>
          <w:sz w:val="24"/>
          <w:szCs w:val="24"/>
          <w:lang w:val="en-US"/>
        </w:rPr>
        <w:t xml:space="preserve"> rate</w:t>
      </w:r>
      <w:r w:rsidRPr="002575A7">
        <w:rPr>
          <w:rFonts w:ascii="Book Antiqua" w:hAnsi="Book Antiqua" w:cs="Times New Roman"/>
          <w:sz w:val="24"/>
          <w:szCs w:val="24"/>
          <w:lang w:val="en-US"/>
        </w:rPr>
        <w:t xml:space="preserve">s reported by Conroy </w:t>
      </w:r>
      <w:r w:rsidRPr="002575A7">
        <w:rPr>
          <w:rFonts w:ascii="Book Antiqua" w:hAnsi="Book Antiqua" w:cs="Times New Roman"/>
          <w:i/>
          <w:sz w:val="24"/>
          <w:szCs w:val="24"/>
          <w:lang w:val="en-US"/>
        </w:rPr>
        <w:t>et al</w:t>
      </w:r>
      <w:r w:rsidR="0044750C" w:rsidRPr="002575A7">
        <w:rPr>
          <w:rFonts w:ascii="Book Antiqua" w:hAnsi="Book Antiqua" w:cs="Times New Roman"/>
          <w:sz w:val="24"/>
          <w:szCs w:val="24"/>
          <w:vertAlign w:val="superscript"/>
          <w:lang w:val="en-US"/>
        </w:rPr>
        <w:t>[</w:t>
      </w:r>
      <w:r w:rsidR="0044750C" w:rsidRPr="002575A7">
        <w:rPr>
          <w:rFonts w:ascii="Book Antiqua" w:hAnsi="Book Antiqua" w:cs="Times New Roman"/>
          <w:sz w:val="24"/>
          <w:szCs w:val="24"/>
          <w:lang w:val="en-US"/>
        </w:rPr>
        <w:fldChar w:fldCharType="begin"/>
      </w:r>
      <w:r w:rsidR="0044750C" w:rsidRPr="002575A7">
        <w:rPr>
          <w:rFonts w:ascii="Book Antiqua" w:hAnsi="Book Antiqua" w:cs="Times New Roman"/>
          <w:sz w:val="24"/>
          <w:szCs w:val="24"/>
          <w:lang w:val="en-US"/>
        </w:rPr>
        <w:instrText xml:space="preserve"> ADDIN ZOTERO_ITEM CSL_CITATION {"citationID":"1SjJX6p3","properties":{"formattedCitation":"\\super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44750C" w:rsidRPr="002575A7">
        <w:rPr>
          <w:rFonts w:ascii="Book Antiqua" w:hAnsi="Book Antiqua" w:cs="Times New Roman"/>
          <w:sz w:val="24"/>
          <w:szCs w:val="24"/>
          <w:lang w:val="en-US"/>
        </w:rPr>
        <w:fldChar w:fldCharType="separate"/>
      </w:r>
      <w:r w:rsidR="0044750C" w:rsidRPr="00EB33CD">
        <w:rPr>
          <w:rFonts w:ascii="Book Antiqua" w:hAnsi="Book Antiqua" w:cs="Times New Roman"/>
          <w:sz w:val="24"/>
          <w:szCs w:val="24"/>
          <w:vertAlign w:val="superscript"/>
          <w:lang w:val="en-US"/>
        </w:rPr>
        <w:t>7</w:t>
      </w:r>
      <w:r w:rsidR="0044750C" w:rsidRPr="002575A7">
        <w:rPr>
          <w:rFonts w:ascii="Book Antiqua" w:hAnsi="Book Antiqua" w:cs="Times New Roman"/>
          <w:sz w:val="24"/>
          <w:szCs w:val="24"/>
          <w:lang w:val="en-US"/>
        </w:rPr>
        <w:fldChar w:fldCharType="end"/>
      </w:r>
      <w:r w:rsidR="0044750C" w:rsidRPr="002575A7">
        <w:rPr>
          <w:rFonts w:ascii="Book Antiqua" w:hAnsi="Book Antiqua" w:cs="Times New Roman"/>
          <w:sz w:val="24"/>
          <w:szCs w:val="24"/>
          <w:vertAlign w:val="superscript"/>
          <w:lang w:val="en-US"/>
        </w:rPr>
        <w:t>]</w:t>
      </w:r>
      <w:r w:rsidRPr="002575A7">
        <w:rPr>
          <w:rFonts w:ascii="Book Antiqua" w:hAnsi="Book Antiqua" w:cs="Times New Roman"/>
          <w:sz w:val="24"/>
          <w:szCs w:val="24"/>
          <w:lang w:val="en-US"/>
        </w:rPr>
        <w:t xml:space="preserve"> in FOLFIRINOX-treated patients</w:t>
      </w:r>
      <w:r w:rsidR="003171FD"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The objective response rate with </w:t>
      </w:r>
      <w:r w:rsidR="00434702">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FOLFOXIRI </w:t>
      </w:r>
      <w:r w:rsidR="00322B91" w:rsidRPr="002575A7">
        <w:rPr>
          <w:rFonts w:ascii="Book Antiqua" w:hAnsi="Book Antiqua" w:cs="Times New Roman"/>
          <w:sz w:val="24"/>
          <w:szCs w:val="24"/>
          <w:lang w:val="en-US"/>
        </w:rPr>
        <w:t xml:space="preserve">regimen observed </w:t>
      </w:r>
      <w:r w:rsidRPr="002575A7">
        <w:rPr>
          <w:rFonts w:ascii="Book Antiqua" w:hAnsi="Book Antiqua" w:cs="Times New Roman"/>
          <w:sz w:val="24"/>
          <w:szCs w:val="24"/>
          <w:lang w:val="en-US"/>
        </w:rPr>
        <w:t xml:space="preserve">in our cohort (37.1%) </w:t>
      </w:r>
      <w:r w:rsidR="00322B91" w:rsidRPr="002575A7">
        <w:rPr>
          <w:rFonts w:ascii="Book Antiqua" w:hAnsi="Book Antiqua" w:cs="Times New Roman"/>
          <w:sz w:val="24"/>
          <w:szCs w:val="24"/>
          <w:lang w:val="en-US"/>
        </w:rPr>
        <w:t xml:space="preserve">was similar to that reported </w:t>
      </w:r>
      <w:r w:rsidRPr="002575A7">
        <w:rPr>
          <w:rFonts w:ascii="Book Antiqua" w:hAnsi="Book Antiqua" w:cs="Times New Roman"/>
          <w:sz w:val="24"/>
          <w:szCs w:val="24"/>
          <w:lang w:val="en-US"/>
        </w:rPr>
        <w:t xml:space="preserve">in the GONO study </w:t>
      </w:r>
      <w:r w:rsidR="00F8304D">
        <w:rPr>
          <w:rFonts w:ascii="Book Antiqua" w:hAnsi="Book Antiqua" w:cs="Times New Roman"/>
          <w:sz w:val="24"/>
          <w:szCs w:val="24"/>
          <w:lang w:val="en-US"/>
        </w:rPr>
        <w:t>in</w:t>
      </w:r>
      <w:r w:rsidR="00F8304D"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FOLFOXIRI-treated patients (38.6%)</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{"citationID":"JSRpeTeD","properties":{"formattedCitation":"\\super 21\\nosupersub{}","plainCitation":"21","noteIndex":0},"citationItems":[{"id":1636,"uris":["http://zotero.org/users/2205527/items/4XLASH2N"],"uri":["http://zotero.org/users/2205527/items/4XLASH2N"],"itemData":{"id":1636,"type":"article-journal","title":"First-line treatment with FOLFOXIRI for advanced pancreatic cancer in clinical practice: Patients' outcome and analysis of prognostic factors","container-title":"International Journal of Cancer","page":"938-945","volume":"139","issue":"4","source":"PubMed","abstract":"FOLFIRINOX is a standard first-line treatment for advanced pancreatic cancer (aPC). The Gruppo Oncologico Nord Ovest (GONO) FOLFOXIRI regimen demonstrated efficacy in metastatic colorectal cancer. We aimed to evaluate activity and tolerability of FOLFOXIRI regimen in patients with aPC and to explore putative prognostic factors. One hundred thirty-seven consecutive aPC patients were treated with FOLFOXIRI in our institution between 2008 and 2014. Clinical, laboratory and pathological data were collected and their association with activity, progression free survival (PFS) and overall survival (OS) was investigated. After a median follow up of 30 months, median PFS and OS were 8.0 months (95% CI 6.19-9.81) and 12 months (95% CI 9.75-14.25), respectively. Response rate was 38.6%, while disease-control rate 72.2%. At multivariate analysis liver metastases (p</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0.019; Hazard Ratio, HR, 0.59, 95% Confidence Interval, CI, 0.380.96), Eastern Cooperative Oncology Group (ECOG) performance status (PS) 1 (p</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0.001; HR 2.26, 95%CI 1.42-3.59) and neutrophil-lymphocyte ratio (NLR)&gt; 4 (p= 0.002; HR: 2.42; 95% CI 1.38-4.25) were associated with poorer OS. We categorized 119 pts with complete available data as good-risk (0 factors, 38 pts), intermediate-risk (1 factor, 49 pts) and poor-risk (≥2 factors, 32 pts). Median OS for these three groups were 17.6, 11.1 and 7.4 months, respectively (p</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&lt;</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 xml:space="preserve">0.001). FOLFOXIRI is active and feasible in aPC. Prognosis of aPC pts treated with FOLFOXIRI is influenced by easily available factors: our analysis revealed ECOG PS, liver metastases and NLR as the most important predictors of survival. These factors could be helpful for treatment decision and clinical trial design.","DOI":"10.1002/ijc.30125","ISSN":"1097-0215","note":"PMID: 27038273","title-short":"First-line treatment with FOLFOXIRI for advanced pancreatic cancer in clinical practice","journalAbbreviation":"Int. J. Cancer","language":"eng","author":[{"family":"Vivaldi","given":"Caterina"},{"family":"Caparello","given":"Chiara"},{"family":"Musettini","given":"Gianna"},{"family":"Pasquini","given":"Giulia"},{"family":"Catanese","given":"Silvia"},{"family":"Fornaro","given":"Lorenzo"},{"family":"Lencioni","given":"Monica"},{"family":"Falcone","given":"Alfredo"},{"family":"Vasile","given":"Enrico"}],"issued":{"date-parts":[["2016",8,15]]}}}],"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21</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No differences in response rates between </w:t>
      </w:r>
      <w:r w:rsidR="00693E2E">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FOLFOXIRI and FOLFIRINOX regimens in our unselected population </w:t>
      </w:r>
      <w:r w:rsidR="00322B91" w:rsidRPr="002575A7">
        <w:rPr>
          <w:rFonts w:ascii="Book Antiqua" w:hAnsi="Book Antiqua" w:cs="Times New Roman"/>
          <w:sz w:val="24"/>
          <w:szCs w:val="24"/>
          <w:lang w:val="en-US"/>
        </w:rPr>
        <w:t>were detected</w:t>
      </w:r>
      <w:r w:rsidR="009617F6">
        <w:rPr>
          <w:rFonts w:ascii="Book Antiqua" w:hAnsi="Book Antiqua" w:cs="Times New Roman"/>
          <w:sz w:val="24"/>
          <w:szCs w:val="24"/>
          <w:lang w:val="en-US"/>
        </w:rPr>
        <w:t>.</w:t>
      </w:r>
      <w:r w:rsidR="00322B91" w:rsidRPr="002575A7">
        <w:rPr>
          <w:rFonts w:ascii="Book Antiqua" w:hAnsi="Book Antiqua" w:cs="Times New Roman"/>
          <w:sz w:val="24"/>
          <w:szCs w:val="24"/>
          <w:lang w:val="en-US"/>
        </w:rPr>
        <w:t xml:space="preserve"> </w:t>
      </w:r>
      <w:r w:rsidR="009617F6">
        <w:rPr>
          <w:rFonts w:ascii="Book Antiqua" w:hAnsi="Book Antiqua" w:cs="Times New Roman"/>
          <w:sz w:val="24"/>
          <w:szCs w:val="24"/>
          <w:lang w:val="en-US"/>
        </w:rPr>
        <w:t>N</w:t>
      </w:r>
      <w:r w:rsidR="00322B91" w:rsidRPr="002575A7">
        <w:rPr>
          <w:rFonts w:ascii="Book Antiqua" w:hAnsi="Book Antiqua" w:cs="Times New Roman"/>
          <w:sz w:val="24"/>
          <w:szCs w:val="24"/>
          <w:lang w:val="en-US"/>
        </w:rPr>
        <w:t>evertheless</w:t>
      </w:r>
      <w:r w:rsidR="00434702">
        <w:rPr>
          <w:rFonts w:ascii="Book Antiqua" w:hAnsi="Book Antiqua" w:cs="Times New Roman"/>
          <w:sz w:val="24"/>
          <w:szCs w:val="24"/>
          <w:lang w:val="en-US"/>
        </w:rPr>
        <w:t>,</w:t>
      </w:r>
      <w:r w:rsidR="00322B91" w:rsidRPr="002575A7">
        <w:rPr>
          <w:rFonts w:ascii="Book Antiqua" w:hAnsi="Book Antiqua" w:cs="Times New Roman"/>
          <w:sz w:val="24"/>
          <w:szCs w:val="24"/>
          <w:lang w:val="en-US"/>
        </w:rPr>
        <w:t xml:space="preserve"> they</w:t>
      </w:r>
      <w:r w:rsidRPr="002575A7">
        <w:rPr>
          <w:rFonts w:ascii="Book Antiqua" w:hAnsi="Book Antiqua" w:cs="Times New Roman"/>
          <w:sz w:val="24"/>
          <w:szCs w:val="24"/>
          <w:lang w:val="en-US"/>
        </w:rPr>
        <w:t xml:space="preserve"> were higher </w:t>
      </w:r>
      <w:r w:rsidR="00322B91" w:rsidRPr="002575A7">
        <w:rPr>
          <w:rFonts w:ascii="Book Antiqua" w:hAnsi="Book Antiqua" w:cs="Times New Roman"/>
          <w:sz w:val="24"/>
          <w:szCs w:val="24"/>
          <w:lang w:val="en-US"/>
        </w:rPr>
        <w:t>than those reported in</w:t>
      </w:r>
      <w:r w:rsidRPr="002575A7">
        <w:rPr>
          <w:rFonts w:ascii="Book Antiqua" w:hAnsi="Book Antiqua" w:cs="Times New Roman"/>
          <w:sz w:val="24"/>
          <w:szCs w:val="24"/>
          <w:lang w:val="en-US"/>
        </w:rPr>
        <w:t xml:space="preserve"> the randomized phase III trial (31.6%)</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{"citationID":"vlqwhLyI","properties":{"formattedCitation":"\\super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FD2C2C" w:rsidRPr="002575A7">
        <w:rPr>
          <w:rFonts w:ascii="Book Antiqua" w:hAnsi="Book Antiqua" w:cs="Times New Roman"/>
          <w:sz w:val="24"/>
          <w:szCs w:val="24"/>
          <w:lang w:val="en-US"/>
        </w:rPr>
        <w:t>Th</w:t>
      </w:r>
      <w:r w:rsidR="00CD5CCD">
        <w:rPr>
          <w:rFonts w:ascii="Book Antiqua" w:hAnsi="Book Antiqua" w:cs="Times New Roman"/>
          <w:sz w:val="24"/>
          <w:szCs w:val="24"/>
          <w:lang w:val="en-US"/>
        </w:rPr>
        <w:t>e</w:t>
      </w:r>
      <w:r w:rsidR="00FD2C2C" w:rsidRPr="002575A7">
        <w:rPr>
          <w:rFonts w:ascii="Book Antiqua" w:hAnsi="Book Antiqua" w:cs="Times New Roman"/>
          <w:sz w:val="24"/>
          <w:szCs w:val="24"/>
          <w:lang w:val="en-US"/>
        </w:rPr>
        <w:t xml:space="preserve"> methodological approach </w:t>
      </w:r>
      <w:r w:rsidR="00CD5CCD">
        <w:rPr>
          <w:rFonts w:ascii="Book Antiqua" w:hAnsi="Book Antiqua" w:cs="Times New Roman"/>
          <w:sz w:val="24"/>
          <w:szCs w:val="24"/>
          <w:lang w:val="en-US"/>
        </w:rPr>
        <w:t xml:space="preserve">used in our study </w:t>
      </w:r>
      <w:r w:rsidR="00FD2C2C" w:rsidRPr="002575A7">
        <w:rPr>
          <w:rFonts w:ascii="Book Antiqua" w:hAnsi="Book Antiqua" w:cs="Times New Roman"/>
          <w:sz w:val="24"/>
          <w:szCs w:val="24"/>
          <w:lang w:val="en-US"/>
        </w:rPr>
        <w:t xml:space="preserve">showed </w:t>
      </w:r>
      <w:r w:rsidR="00AB326B" w:rsidRPr="002575A7">
        <w:rPr>
          <w:rFonts w:ascii="Book Antiqua" w:hAnsi="Book Antiqua" w:cs="Times New Roman"/>
          <w:sz w:val="24"/>
          <w:szCs w:val="24"/>
          <w:lang w:val="en-US"/>
        </w:rPr>
        <w:t>that FO</w:t>
      </w:r>
      <w:r w:rsidR="00CD5CCD">
        <w:rPr>
          <w:rFonts w:ascii="Book Antiqua" w:hAnsi="Book Antiqua" w:cs="Times New Roman"/>
          <w:sz w:val="24"/>
          <w:szCs w:val="24"/>
          <w:lang w:val="en-US"/>
        </w:rPr>
        <w:t>L</w:t>
      </w:r>
      <w:r w:rsidR="00AB326B" w:rsidRPr="002575A7">
        <w:rPr>
          <w:rFonts w:ascii="Book Antiqua" w:hAnsi="Book Antiqua" w:cs="Times New Roman"/>
          <w:sz w:val="24"/>
          <w:szCs w:val="24"/>
          <w:lang w:val="en-US"/>
        </w:rPr>
        <w:t>FOXIRI does not provide an</w:t>
      </w:r>
      <w:r w:rsidR="00FD2C2C" w:rsidRPr="002575A7">
        <w:rPr>
          <w:rFonts w:ascii="Book Antiqua" w:hAnsi="Book Antiqua" w:cs="Times New Roman"/>
          <w:sz w:val="24"/>
          <w:szCs w:val="24"/>
          <w:lang w:val="en-US"/>
        </w:rPr>
        <w:t xml:space="preserve"> </w:t>
      </w:r>
      <w:r w:rsidR="00322B91" w:rsidRPr="002575A7">
        <w:rPr>
          <w:rFonts w:ascii="Book Antiqua" w:hAnsi="Book Antiqua" w:cs="Times New Roman"/>
          <w:sz w:val="24"/>
          <w:szCs w:val="24"/>
          <w:lang w:val="en-US"/>
        </w:rPr>
        <w:t xml:space="preserve">improved </w:t>
      </w:r>
      <w:r w:rsidR="00FD2C2C" w:rsidRPr="002575A7">
        <w:rPr>
          <w:rFonts w:ascii="Book Antiqua" w:hAnsi="Book Antiqua" w:cs="Times New Roman"/>
          <w:sz w:val="24"/>
          <w:szCs w:val="24"/>
          <w:lang w:val="en-US"/>
        </w:rPr>
        <w:t xml:space="preserve">efficacy </w:t>
      </w:r>
      <w:r w:rsidR="00AB326B" w:rsidRPr="002575A7">
        <w:rPr>
          <w:rFonts w:ascii="Book Antiqua" w:hAnsi="Book Antiqua" w:cs="Times New Roman"/>
          <w:sz w:val="24"/>
          <w:szCs w:val="24"/>
          <w:lang w:val="en-US"/>
        </w:rPr>
        <w:t>compared to FOLFIRINOX.</w:t>
      </w:r>
    </w:p>
    <w:p w14:paraId="691E88DC" w14:textId="7591BB15" w:rsidR="00850C80" w:rsidRPr="002575A7" w:rsidRDefault="00B40578" w:rsidP="0044750C">
      <w:pPr>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 xml:space="preserve">The </w:t>
      </w:r>
      <w:r w:rsidR="00850C80" w:rsidRPr="002575A7">
        <w:rPr>
          <w:rFonts w:ascii="Book Antiqua" w:hAnsi="Book Antiqua" w:cs="Times New Roman"/>
          <w:sz w:val="24"/>
          <w:szCs w:val="24"/>
          <w:lang w:val="en-US"/>
        </w:rPr>
        <w:t xml:space="preserve">FOLFOXIRI regimen </w:t>
      </w:r>
      <w:r w:rsidRPr="0070150B">
        <w:rPr>
          <w:rFonts w:ascii="Book Antiqua" w:hAnsi="Book Antiqua" w:cs="Times New Roman"/>
          <w:sz w:val="24"/>
          <w:szCs w:val="24"/>
          <w:lang w:val="en-US"/>
        </w:rPr>
        <w:t>was associated with an increased risk</w:t>
      </w:r>
      <w:r w:rsidRPr="0070150B" w:rsidDel="0070150B">
        <w:rPr>
          <w:rFonts w:ascii="Book Antiqua" w:hAnsi="Book Antiqua" w:cs="Times New Roman"/>
          <w:sz w:val="24"/>
          <w:szCs w:val="24"/>
          <w:lang w:val="en-US"/>
        </w:rPr>
        <w:t xml:space="preserve"> </w:t>
      </w:r>
      <w:r w:rsidR="00850C80" w:rsidRPr="002575A7">
        <w:rPr>
          <w:rFonts w:ascii="Book Antiqua" w:hAnsi="Book Antiqua" w:cs="Times New Roman"/>
          <w:sz w:val="24"/>
          <w:szCs w:val="24"/>
          <w:lang w:val="en-US"/>
        </w:rPr>
        <w:t xml:space="preserve">of </w:t>
      </w:r>
      <w:r w:rsidR="00693E2E">
        <w:rPr>
          <w:rFonts w:ascii="Book Antiqua" w:hAnsi="Book Antiqua" w:cs="Times New Roman"/>
          <w:sz w:val="24"/>
          <w:szCs w:val="24"/>
          <w:lang w:val="en-US"/>
        </w:rPr>
        <w:t xml:space="preserve">the </w:t>
      </w:r>
      <w:r w:rsidR="00E61E46" w:rsidRPr="002575A7">
        <w:rPr>
          <w:rFonts w:ascii="Book Antiqua" w:hAnsi="Book Antiqua" w:cs="Times New Roman"/>
          <w:sz w:val="24"/>
          <w:szCs w:val="24"/>
          <w:lang w:val="en-US"/>
        </w:rPr>
        <w:t xml:space="preserve">occurrence of </w:t>
      </w:r>
      <w:r w:rsidR="00850C80" w:rsidRPr="002575A7">
        <w:rPr>
          <w:rFonts w:ascii="Book Antiqua" w:hAnsi="Book Antiqua" w:cs="Times New Roman"/>
          <w:sz w:val="24"/>
          <w:szCs w:val="24"/>
          <w:lang w:val="en-US"/>
        </w:rPr>
        <w:t>grade 3 or 4 digestive toxicities (12.8%), including diarrhea, nausea/vomiting</w:t>
      </w:r>
      <w:r w:rsidR="00434702">
        <w:rPr>
          <w:rFonts w:ascii="Book Antiqua" w:hAnsi="Book Antiqua" w:cs="Times New Roman"/>
          <w:sz w:val="24"/>
          <w:szCs w:val="24"/>
          <w:lang w:val="en-US"/>
        </w:rPr>
        <w:t>,</w:t>
      </w:r>
      <w:r w:rsidR="00850C80" w:rsidRPr="002575A7">
        <w:rPr>
          <w:rFonts w:ascii="Book Antiqua" w:hAnsi="Book Antiqua" w:cs="Times New Roman"/>
          <w:sz w:val="24"/>
          <w:szCs w:val="24"/>
          <w:lang w:val="en-US"/>
        </w:rPr>
        <w:t xml:space="preserve"> and stomatitis</w:t>
      </w:r>
      <w:r w:rsidR="00AB326B" w:rsidRPr="002575A7">
        <w:rPr>
          <w:rFonts w:ascii="Book Antiqua" w:hAnsi="Book Antiqua" w:cs="Times New Roman"/>
          <w:sz w:val="24"/>
          <w:szCs w:val="24"/>
          <w:lang w:val="en-US"/>
        </w:rPr>
        <w:t xml:space="preserve">. Of note, </w:t>
      </w:r>
      <w:r w:rsidR="00850C80" w:rsidRPr="002575A7">
        <w:rPr>
          <w:rFonts w:ascii="Book Antiqua" w:hAnsi="Book Antiqua" w:cs="Times New Roman"/>
          <w:sz w:val="24"/>
          <w:szCs w:val="24"/>
          <w:lang w:val="en-US"/>
        </w:rPr>
        <w:t xml:space="preserve">this incidence was similar to the gastrointestinal safety profile reported by Vivaldi </w:t>
      </w:r>
      <w:r w:rsidR="00850C80" w:rsidRPr="002575A7">
        <w:rPr>
          <w:rFonts w:ascii="Book Antiqua" w:hAnsi="Book Antiqua" w:cs="Times New Roman"/>
          <w:i/>
          <w:sz w:val="24"/>
          <w:szCs w:val="24"/>
          <w:lang w:val="en-US"/>
        </w:rPr>
        <w:t>et al</w:t>
      </w:r>
      <w:r w:rsidR="0044750C" w:rsidRPr="002575A7">
        <w:rPr>
          <w:rFonts w:ascii="Book Antiqua" w:hAnsi="Book Antiqua" w:cs="Times New Roman"/>
          <w:sz w:val="24"/>
          <w:szCs w:val="24"/>
          <w:vertAlign w:val="superscript"/>
          <w:lang w:val="en-US"/>
        </w:rPr>
        <w:t>[</w:t>
      </w:r>
      <w:r w:rsidR="0044750C" w:rsidRPr="002575A7">
        <w:rPr>
          <w:rFonts w:ascii="Book Antiqua" w:hAnsi="Book Antiqua" w:cs="Times New Roman"/>
          <w:sz w:val="24"/>
          <w:szCs w:val="24"/>
          <w:lang w:val="en-US"/>
        </w:rPr>
        <w:fldChar w:fldCharType="begin"/>
      </w:r>
      <w:r w:rsidR="0044750C" w:rsidRPr="002575A7">
        <w:rPr>
          <w:rFonts w:ascii="Book Antiqua" w:hAnsi="Book Antiqua" w:cs="Times New Roman"/>
          <w:sz w:val="24"/>
          <w:szCs w:val="24"/>
          <w:lang w:val="en-US"/>
        </w:rPr>
        <w:instrText xml:space="preserve"> ADDIN ZOTERO_ITEM CSL_CITATION {"citationID":"5UUyPiZ9","properties":{"formattedCitation":"\\super 21\\nosupersub{}","plainCitation":"21","noteIndex":0},"citationItems":[{"id":1636,"uris":["http://zotero.org/users/2205527/items/4XLASH2N"],"uri":["http://zotero.org/users/2205527/items/4XLASH2N"],"itemData":{"id":1636,"type":"article-journal","title":"First-line treatment with FOLFOXIRI for advanced pancreatic cancer in clinical practice: Patients' outcome and analysis of prognostic factors","container-title":"International Journal of Cancer","page":"938-945","volume":"139","issue":"4","source":"PubMed","abstract":"FOLFIRINOX is a standard first-line treatment for advanced pancreatic cancer (aPC). The Gruppo Oncologico Nord Ovest (GONO) FOLFOXIRI regimen demonstrated efficacy in metastatic colorectal cancer. We aimed to evaluate activity and tolerability of FOLFOXIRI regimen in patients with aPC and to explore putative prognostic factors. One hundred thirty-seven consecutive aPC patients were treated with FOLFOXIRI in our institution between 2008 and 2014. Clinical, laboratory and pathological data were collected and their association with activity, progression free survival (PFS) and overall survival (OS) was investigated. After a median follow up of 30 months, median PFS and OS were 8.0 months (95% CI 6.19-9.81) and 12 months (95% CI 9.75-14.25), respectively. Response rate was 38.6%, while disease-control rate 72.2%. At multivariate analysis liver metastases (p</w:instrText>
      </w:r>
      <w:r w:rsidR="0044750C" w:rsidRPr="002575A7">
        <w:rPr>
          <w:rFonts w:ascii="Times New Roman" w:hAnsi="Times New Roman" w:cs="Times New Roman"/>
          <w:sz w:val="24"/>
          <w:szCs w:val="24"/>
          <w:lang w:val="en-US"/>
        </w:rPr>
        <w:instrText> </w:instrText>
      </w:r>
      <w:r w:rsidR="0044750C" w:rsidRPr="002575A7">
        <w:rPr>
          <w:rFonts w:ascii="Book Antiqua" w:hAnsi="Book Antiqua" w:cs="Times New Roman"/>
          <w:sz w:val="24"/>
          <w:szCs w:val="24"/>
          <w:lang w:val="en-US"/>
        </w:rPr>
        <w:instrText>=</w:instrText>
      </w:r>
      <w:r w:rsidR="0044750C" w:rsidRPr="002575A7">
        <w:rPr>
          <w:rFonts w:ascii="Times New Roman" w:hAnsi="Times New Roman" w:cs="Times New Roman"/>
          <w:sz w:val="24"/>
          <w:szCs w:val="24"/>
          <w:lang w:val="en-US"/>
        </w:rPr>
        <w:instrText> </w:instrText>
      </w:r>
      <w:r w:rsidR="0044750C" w:rsidRPr="002575A7">
        <w:rPr>
          <w:rFonts w:ascii="Book Antiqua" w:hAnsi="Book Antiqua" w:cs="Times New Roman"/>
          <w:sz w:val="24"/>
          <w:szCs w:val="24"/>
          <w:lang w:val="en-US"/>
        </w:rPr>
        <w:instrText>0.019; Hazard Ratio, HR, 0.59, 95% Confidence Interval, CI, 0.380.96), Eastern Cooperative Oncology Group (ECOG) performance status (PS) 1 (p</w:instrText>
      </w:r>
      <w:r w:rsidR="0044750C" w:rsidRPr="002575A7">
        <w:rPr>
          <w:rFonts w:ascii="Times New Roman" w:hAnsi="Times New Roman" w:cs="Times New Roman"/>
          <w:sz w:val="24"/>
          <w:szCs w:val="24"/>
          <w:lang w:val="en-US"/>
        </w:rPr>
        <w:instrText> </w:instrText>
      </w:r>
      <w:r w:rsidR="0044750C" w:rsidRPr="002575A7">
        <w:rPr>
          <w:rFonts w:ascii="Book Antiqua" w:hAnsi="Book Antiqua" w:cs="Times New Roman"/>
          <w:sz w:val="24"/>
          <w:szCs w:val="24"/>
          <w:lang w:val="en-US"/>
        </w:rPr>
        <w:instrText>=</w:instrText>
      </w:r>
      <w:r w:rsidR="0044750C" w:rsidRPr="002575A7">
        <w:rPr>
          <w:rFonts w:ascii="Times New Roman" w:hAnsi="Times New Roman" w:cs="Times New Roman"/>
          <w:sz w:val="24"/>
          <w:szCs w:val="24"/>
          <w:lang w:val="en-US"/>
        </w:rPr>
        <w:instrText> </w:instrText>
      </w:r>
      <w:r w:rsidR="0044750C" w:rsidRPr="002575A7">
        <w:rPr>
          <w:rFonts w:ascii="Book Antiqua" w:hAnsi="Book Antiqua" w:cs="Times New Roman"/>
          <w:sz w:val="24"/>
          <w:szCs w:val="24"/>
          <w:lang w:val="en-US"/>
        </w:rPr>
        <w:instrText>0.001; HR 2.26, 95%CI 1.42-3.59) and neutrophil-lymphocyte ratio (NLR)&gt; 4 (p= 0.002; HR: 2.42; 95% CI 1.38-4.25) were associated with poorer OS. We categorized 119 pts with complete available data as good-risk (0 factors, 38 pts), intermediate-risk (1 factor, 49 pts) and poor-risk (≥2 factors, 32 pts). Median OS for these three groups were 17.6, 11.1 and 7.4 months, respectively (p</w:instrText>
      </w:r>
      <w:r w:rsidR="0044750C" w:rsidRPr="002575A7">
        <w:rPr>
          <w:rFonts w:ascii="Times New Roman" w:hAnsi="Times New Roman" w:cs="Times New Roman"/>
          <w:sz w:val="24"/>
          <w:szCs w:val="24"/>
          <w:lang w:val="en-US"/>
        </w:rPr>
        <w:instrText> </w:instrText>
      </w:r>
      <w:r w:rsidR="0044750C" w:rsidRPr="002575A7">
        <w:rPr>
          <w:rFonts w:ascii="Book Antiqua" w:hAnsi="Book Antiqua" w:cs="Times New Roman"/>
          <w:sz w:val="24"/>
          <w:szCs w:val="24"/>
          <w:lang w:val="en-US"/>
        </w:rPr>
        <w:instrText>&lt;</w:instrText>
      </w:r>
      <w:r w:rsidR="0044750C" w:rsidRPr="002575A7">
        <w:rPr>
          <w:rFonts w:ascii="Times New Roman" w:hAnsi="Times New Roman" w:cs="Times New Roman"/>
          <w:sz w:val="24"/>
          <w:szCs w:val="24"/>
          <w:lang w:val="en-US"/>
        </w:rPr>
        <w:instrText> </w:instrText>
      </w:r>
      <w:r w:rsidR="0044750C" w:rsidRPr="002575A7">
        <w:rPr>
          <w:rFonts w:ascii="Book Antiqua" w:hAnsi="Book Antiqua" w:cs="Times New Roman"/>
          <w:sz w:val="24"/>
          <w:szCs w:val="24"/>
          <w:lang w:val="en-US"/>
        </w:rPr>
        <w:instrText xml:space="preserve">0.001). FOLFOXIRI is active and feasible in aPC. Prognosis of aPC pts treated with FOLFOXIRI is influenced by easily available factors: our analysis revealed ECOG PS, liver metastases and NLR as the most important predictors of survival. These factors could be helpful for treatment decision and clinical trial design.","DOI":"10.1002/ijc.30125","ISSN":"1097-0215","note":"PMID: 27038273","title-short":"First-line treatment with FOLFOXIRI for advanced pancreatic cancer in clinical practice","journalAbbreviation":"Int. J. Cancer","language":"eng","author":[{"family":"Vivaldi","given":"Caterina"},{"family":"Caparello","given":"Chiara"},{"family":"Musettini","given":"Gianna"},{"family":"Pasquini","given":"Giulia"},{"family":"Catanese","given":"Silvia"},{"family":"Fornaro","given":"Lorenzo"},{"family":"Lencioni","given":"Monica"},{"family":"Falcone","given":"Alfredo"},{"family":"Vasile","given":"Enrico"}],"issued":{"date-parts":[["2016",8,15]]}}}],"schema":"https://github.com/citation-style-language/schema/raw/master/csl-citation.json"} </w:instrText>
      </w:r>
      <w:r w:rsidR="0044750C" w:rsidRPr="002575A7">
        <w:rPr>
          <w:rFonts w:ascii="Book Antiqua" w:hAnsi="Book Antiqua" w:cs="Times New Roman"/>
          <w:sz w:val="24"/>
          <w:szCs w:val="24"/>
          <w:lang w:val="en-US"/>
        </w:rPr>
        <w:fldChar w:fldCharType="separate"/>
      </w:r>
      <w:r w:rsidR="0044750C" w:rsidRPr="00EB33CD">
        <w:rPr>
          <w:rFonts w:ascii="Book Antiqua" w:hAnsi="Book Antiqua" w:cs="Times New Roman"/>
          <w:sz w:val="24"/>
          <w:szCs w:val="24"/>
          <w:vertAlign w:val="superscript"/>
          <w:lang w:val="en-US"/>
        </w:rPr>
        <w:t>21</w:t>
      </w:r>
      <w:r w:rsidR="0044750C" w:rsidRPr="002575A7">
        <w:rPr>
          <w:rFonts w:ascii="Book Antiqua" w:hAnsi="Book Antiqua" w:cs="Times New Roman"/>
          <w:sz w:val="24"/>
          <w:szCs w:val="24"/>
          <w:lang w:val="en-US"/>
        </w:rPr>
        <w:fldChar w:fldCharType="end"/>
      </w:r>
      <w:r w:rsidR="0044750C" w:rsidRPr="002575A7">
        <w:rPr>
          <w:rFonts w:ascii="Book Antiqua" w:hAnsi="Book Antiqua" w:cs="Times New Roman"/>
          <w:sz w:val="24"/>
          <w:szCs w:val="24"/>
          <w:vertAlign w:val="superscript"/>
          <w:lang w:val="en-US"/>
        </w:rPr>
        <w:t>]</w:t>
      </w:r>
      <w:r w:rsidR="00850C80" w:rsidRPr="002575A7">
        <w:rPr>
          <w:rFonts w:ascii="Book Antiqua" w:hAnsi="Book Antiqua" w:cs="Times New Roman"/>
          <w:sz w:val="24"/>
          <w:szCs w:val="24"/>
          <w:lang w:val="en-US"/>
        </w:rPr>
        <w:t xml:space="preserve"> with FOLFOXIRI chemotherapy</w:t>
      </w:r>
      <w:r w:rsidR="003171FD" w:rsidRPr="002575A7">
        <w:rPr>
          <w:rFonts w:ascii="Book Antiqua" w:hAnsi="Book Antiqua" w:cs="Times New Roman"/>
          <w:sz w:val="24"/>
          <w:szCs w:val="24"/>
          <w:lang w:val="en-US"/>
        </w:rPr>
        <w:t>.</w:t>
      </w:r>
      <w:r w:rsidR="00AB326B" w:rsidRPr="002575A7">
        <w:rPr>
          <w:rFonts w:ascii="Book Antiqua" w:hAnsi="Book Antiqua" w:cs="Times New Roman"/>
          <w:sz w:val="24"/>
          <w:szCs w:val="24"/>
          <w:lang w:val="en-US"/>
        </w:rPr>
        <w:t xml:space="preserve"> Interestingly, </w:t>
      </w:r>
      <w:r w:rsidR="00191822" w:rsidRPr="002575A7">
        <w:rPr>
          <w:rFonts w:ascii="Book Antiqua" w:hAnsi="Book Antiqua" w:cs="Times New Roman"/>
          <w:sz w:val="24"/>
          <w:szCs w:val="24"/>
          <w:lang w:val="en-US"/>
        </w:rPr>
        <w:t>hematological</w:t>
      </w:r>
      <w:r w:rsidR="00850C80" w:rsidRPr="002575A7">
        <w:rPr>
          <w:rFonts w:ascii="Book Antiqua" w:hAnsi="Book Antiqua" w:cs="Times New Roman"/>
          <w:sz w:val="24"/>
          <w:szCs w:val="24"/>
          <w:lang w:val="en-US"/>
        </w:rPr>
        <w:t xml:space="preserve"> toxicities were very low in both regimens </w:t>
      </w:r>
      <w:r>
        <w:rPr>
          <w:rFonts w:ascii="Book Antiqua" w:hAnsi="Book Antiqua" w:cs="Times New Roman"/>
          <w:sz w:val="24"/>
          <w:szCs w:val="24"/>
          <w:lang w:val="en-US"/>
        </w:rPr>
        <w:t xml:space="preserve">in our study, </w:t>
      </w:r>
      <w:r w:rsidR="00850C80" w:rsidRPr="002575A7">
        <w:rPr>
          <w:rFonts w:ascii="Book Antiqua" w:hAnsi="Book Antiqua" w:cs="Times New Roman"/>
          <w:sz w:val="24"/>
          <w:szCs w:val="24"/>
          <w:lang w:val="en-US"/>
        </w:rPr>
        <w:t xml:space="preserve">compared to FOLFIRINOX in the PRODIGE 4/ACCORD 11 </w:t>
      </w:r>
      <w:r w:rsidR="003171FD" w:rsidRPr="002575A7">
        <w:rPr>
          <w:rFonts w:ascii="Book Antiqua" w:hAnsi="Book Antiqua" w:cs="Times New Roman"/>
          <w:sz w:val="24"/>
          <w:szCs w:val="24"/>
          <w:lang w:val="en-US"/>
        </w:rPr>
        <w:t>study</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{"citationID":"M0AqbFMw","properties":{"formattedCitation":"\\super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3171FD" w:rsidRPr="002575A7">
        <w:rPr>
          <w:rFonts w:ascii="Book Antiqua" w:hAnsi="Book Antiqua" w:cs="Times New Roman"/>
          <w:sz w:val="24"/>
          <w:szCs w:val="24"/>
          <w:lang w:val="en-US"/>
        </w:rPr>
        <w:t>.</w:t>
      </w:r>
      <w:r w:rsidR="00850C80" w:rsidRPr="002575A7">
        <w:rPr>
          <w:rFonts w:ascii="Book Antiqua" w:hAnsi="Book Antiqua" w:cs="Times New Roman"/>
          <w:sz w:val="24"/>
          <w:szCs w:val="24"/>
          <w:lang w:val="en-US"/>
        </w:rPr>
        <w:t xml:space="preserve"> A primary prophylactic administration of hematopoietic growth factors contributed to the reduct</w:t>
      </w:r>
      <w:r w:rsidR="00D01983" w:rsidRPr="002575A7">
        <w:rPr>
          <w:rFonts w:ascii="Book Antiqua" w:hAnsi="Book Antiqua" w:cs="Times New Roman"/>
          <w:sz w:val="24"/>
          <w:szCs w:val="24"/>
          <w:lang w:val="en-US"/>
        </w:rPr>
        <w:t>ion of grade 3 or 4 neutropenia</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{"citationID":"xfWzVKGl","properties":{"formattedCitation":"\\super 22,23\\nosupersub{}","plainCitation":"22,23","noteIndex":0},"citationItems":[{"id":1706,"uris":["http://zotero.org/users/2205527/items/QUL82ZDC"],"uri":["http://zotero.org/users/2205527/items/QUL82ZDC"],"itemData":{"id":1706,"type":"article-journal","title":"Efficacy of Prophylactic G-CSF in Patients Receiving FOLFIRINOX: A Preliminary Retrospective Study","container-title":"Internal Medicine (Tokyo, Japan)","page":"2969-2973","volume":"54","issue":"23","source":"PubMed","abstract":"OBJECTIVE: Recent guidelines have adopted an incidence of febrile neutropenia (FN) threshold of 20% for the use of prophylactic granulocyte colony-stimulating factor (G-CSF). In a Japanese phase II study of a combination chemotherapy regimen consisting of oxaliplatin, irinotecan, fluorouracil and leucovorin (FOLFIRINOX) for Japanese patients with advanced pancreatic cancer, the incidence of FN and severe neutropenia were 24.7% and 77.8%, respectively, without G-CSF prophylaxis. The aim of this retrospective study was to investigate the incidence of FN or severe neutropenia induced by full-dose FOLFIRINOX administration with G-CSF prophylaxis during the first cycle of treatment.\nMETHODS: Patients with advanced pancreatic cancer who received FOLFIRINOX with G-CSF prophylaxis during the first cycle of treatment from January 2014 to August 2014 were investigated and the frequency of adverse events during the first cycle was measured.\nRESULTS: Among seven patients who received FOLFIRINOX, six patients met the eligibility criteria. The patient characteristics were as follows: median age (range), 57 (50-66); men/women, 3/3; performance status 0/1, 2/4. Grade 3/4 hematological adverse events were as follows: leukopenia in 33% of the patients, neutropenia in 33% of the patients, thrombocytopenia in 33% of the patients and FN in 17% of the patients. One patient was heterozygous for the UGT1A1*6 and UGT1A1*28 polymorphisms and experienced FN. Grade3/4 non-hematological adverse events were as follows: anorexia in 33% of the cases and nausea in 50% of the cases.\nCONCLUSION: Although the present study was retrospective and small, the simultaneous administration of G-CSF might be effective for the prevention of severe neutropenia and FN in patients treated with FOLFIRINOX.","DOI":"10.2169/internalmedicine.54.5325","ISSN":"1349-7235","note":"PMID: 26631878","title-short":"Efficacy of Prophylactic G-CSF in Patients Receiving FOLFIRINOX","journalAbbreviation":"Intern. Med.","language":"eng","author":[{"family":"Terazawa","given":"Tetsuji"},{"family":"Goto","given":"Masahiro"},{"family":"Miyamoto","given":"Takahiro"},{"family":"Asaishi","given":"Ken"},{"family":"Shimamoto","given":"Fukutaro"},{"family":"Kuwakado","given":"Shin"},{"family":"Nishitani","given":"Hitoshi"},{"family":"Kii","given":"Takayuki"},{"family":"Higuchi","given":"Kazuhide"}],"issued":{"date-parts":[["2015"]]}},"label":"page"},{"id":1669,"uris":["http://zotero.org/users/2205527/items/54IQBZZ4"],"uri":["http://zotero.org/users/2205527/items/54IQBZZ4"],"itemData":{"id":1669,"type":"article-journal","title":"Optimal dose reduction of FOLFIRINOX for preserving tumour response in advanced pancreatic cancer: Using cumulative relative dose intensity","container-title":"European Journal of Cancer (Oxford, England: 1990)","page":"125-133","volume":"76","source":"PubMed","abstract":"BACKGROUND: FOLFIRINOX has increased efficacy but also toxicity. Despite various modified FOLFIRINOX regimens, how much reduction is acceptable remains unclear. This study aimed to find the optimal relative dose intensity (RDI, %) of FOLFIRINOX that preserves tumour responses in patients with advanced pancreatic cancer (PC).\nMETHODS: We reviewed 201 patients with PC treated with first-line FOLFIRINOX during 2012-2015. We established a modified Hryniuk model (http://www.rdicalc.com) and defined cumulative RDI (cRDI, %). The optimal cRDI thresholds for response rate (RR) and disease control rate (DCR) were assessed using receiver operating characteristic (ROC) analysis. Relationships between cRDI and haematologic toxicities (neutropenia and febrile neutropenia [FN]) were also analysed according to use of granulocyte colony-stimulating factor (G-CSF).\nRESULTS: Among 156 eligible patients, 133 (48 locally advanced PC and 85 metastatic PC) completed initial treatment plan prior to the first radiological evaluation (median 58 days; 71.8% cRDI). For optimal cRDI thresholds, ROC curves showed a 71.2% cRDI for RR (83.3% sensitivity, 64.7% specificity, and 0.746 area under the curve [AUC]) and a 55.3% cRDI for DCR (93.6% sensitivity, 62.5% specificity and 0.805 AUC). Among 96 patients who did not receive prophylactic G-CSF, cRDI ≥80.1% was a significant predictor for frequent FN (73.7% sensitivity, 72.7% specificity and 0.793 AUC). There was no correlation between cRDI and haematologic toxicities in patients receiving prophylactic G-CSF.\nCONCLUSION: To preserve optimal RR and DCR in advanced PC, cRDI values for FOLFIRINOX &gt;70% and &gt;55%, respectively, are recommended. If cRDI is &gt;80%, primary G-CSF prophylaxis is needed.","DOI":"10.1016/j.ejca.2017.02.010","ISSN":"1879-0852","note":"PMID: 28324747","title-short":"Optimal dose reduction of FOLFIRINOX for preserving tumour response in advanced pancreatic cancer","journalAbbreviation":"Eur. J. Cancer","language":"eng","author":[{"family":"Lee","given":"Jong-Chan"},{"family":"Kim","given":"Jin Won"},{"family":"Ahn","given":"Soyeon"},{"family":"Kim","given":"Hyoung Woo"},{"family":"Lee","given":"Jongchan"},{"family":"Kim","given":"Young Hoon"},{"family":"Paik","given":"Kyu-Hyun"},{"family":"Kim","given":"Jaihwan"},{"family":"Hwang","given":"Jin-Hyeok"}],"issued":{"date-parts":[["2017"]]}},"label":"page"}],"schema":"https://github.com/citation-style-language/schema/raw/master/csl-citation.json"}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22,23</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850C80" w:rsidRPr="002575A7">
        <w:rPr>
          <w:rFonts w:ascii="Book Antiqua" w:hAnsi="Book Antiqua" w:cs="Times New Roman"/>
          <w:sz w:val="24"/>
          <w:szCs w:val="24"/>
          <w:lang w:val="en-US"/>
        </w:rPr>
        <w:t xml:space="preserve"> and </w:t>
      </w:r>
      <w:r w:rsidR="00E61E46" w:rsidRPr="002575A7">
        <w:rPr>
          <w:rFonts w:ascii="Book Antiqua" w:hAnsi="Book Antiqua" w:cs="Times New Roman"/>
          <w:sz w:val="24"/>
          <w:szCs w:val="24"/>
          <w:lang w:val="en-US"/>
        </w:rPr>
        <w:t>thus</w:t>
      </w:r>
      <w:r>
        <w:rPr>
          <w:rFonts w:ascii="Book Antiqua" w:hAnsi="Book Antiqua" w:cs="Times New Roman"/>
          <w:sz w:val="24"/>
          <w:szCs w:val="24"/>
          <w:lang w:val="en-US"/>
        </w:rPr>
        <w:t>,</w:t>
      </w:r>
      <w:r w:rsidR="00E61E46" w:rsidRPr="002575A7">
        <w:rPr>
          <w:rFonts w:ascii="Book Antiqua" w:hAnsi="Book Antiqua" w:cs="Times New Roman"/>
          <w:sz w:val="24"/>
          <w:szCs w:val="24"/>
          <w:lang w:val="en-US"/>
        </w:rPr>
        <w:t xml:space="preserve"> </w:t>
      </w:r>
      <w:r w:rsidR="00850C80" w:rsidRPr="002575A7">
        <w:rPr>
          <w:rFonts w:ascii="Book Antiqua" w:hAnsi="Book Antiqua" w:cs="Times New Roman"/>
          <w:sz w:val="24"/>
          <w:szCs w:val="24"/>
          <w:lang w:val="en-US"/>
        </w:rPr>
        <w:t xml:space="preserve">routine use after each polychemotherapy </w:t>
      </w:r>
      <w:r w:rsidR="00E61E46" w:rsidRPr="002575A7">
        <w:rPr>
          <w:rFonts w:ascii="Book Antiqua" w:hAnsi="Book Antiqua" w:cs="Times New Roman"/>
          <w:sz w:val="24"/>
          <w:szCs w:val="24"/>
          <w:lang w:val="en-US"/>
        </w:rPr>
        <w:t xml:space="preserve">cycle </w:t>
      </w:r>
      <w:r w:rsidR="009617F6">
        <w:rPr>
          <w:rFonts w:ascii="Book Antiqua" w:hAnsi="Book Antiqua" w:cs="Times New Roman"/>
          <w:sz w:val="24"/>
          <w:szCs w:val="24"/>
          <w:lang w:val="en-US"/>
        </w:rPr>
        <w:t>has been</w:t>
      </w:r>
      <w:r w:rsidR="009617F6" w:rsidRPr="002575A7">
        <w:rPr>
          <w:rFonts w:ascii="Book Antiqua" w:hAnsi="Book Antiqua" w:cs="Times New Roman"/>
          <w:sz w:val="24"/>
          <w:szCs w:val="24"/>
          <w:lang w:val="en-US"/>
        </w:rPr>
        <w:t xml:space="preserve"> </w:t>
      </w:r>
      <w:r w:rsidR="00850C80" w:rsidRPr="002575A7">
        <w:rPr>
          <w:rFonts w:ascii="Book Antiqua" w:hAnsi="Book Antiqua" w:cs="Times New Roman"/>
          <w:sz w:val="24"/>
          <w:szCs w:val="24"/>
          <w:lang w:val="en-US"/>
        </w:rPr>
        <w:t>adopted in some institutions.</w:t>
      </w:r>
    </w:p>
    <w:p w14:paraId="29AE5854" w14:textId="77DD44F5" w:rsidR="00EE31B4" w:rsidRPr="002575A7" w:rsidRDefault="00EE31B4" w:rsidP="0044750C">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Many combinations with “modified FOLFIRINOX” chemotherapy </w:t>
      </w:r>
      <w:r w:rsidR="009617F6">
        <w:rPr>
          <w:rFonts w:ascii="Book Antiqua" w:hAnsi="Book Antiqua" w:cs="Times New Roman"/>
          <w:sz w:val="24"/>
          <w:szCs w:val="24"/>
          <w:lang w:val="en-US"/>
        </w:rPr>
        <w:t>have been</w:t>
      </w:r>
      <w:r w:rsidR="009617F6"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evaluated, and the schedules used to deliver this polychemot</w:t>
      </w:r>
      <w:r w:rsidR="00D01983" w:rsidRPr="002575A7">
        <w:rPr>
          <w:rFonts w:ascii="Book Antiqua" w:hAnsi="Book Antiqua" w:cs="Times New Roman"/>
          <w:sz w:val="24"/>
          <w:szCs w:val="24"/>
          <w:lang w:val="en-US"/>
        </w:rPr>
        <w:t xml:space="preserve">herapy are </w:t>
      </w:r>
      <w:r w:rsidR="006227EF" w:rsidRPr="002575A7">
        <w:rPr>
          <w:rFonts w:ascii="Book Antiqua" w:hAnsi="Book Antiqua" w:cs="Times New Roman"/>
          <w:sz w:val="24"/>
          <w:szCs w:val="24"/>
          <w:lang w:val="en-US"/>
        </w:rPr>
        <w:t>heterogeneous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{"citationID":"nS7FtDJJ","properties":{"formattedCitation":"\\super 24,25\\nosupersub{}","plainCitation":"24,25","noteIndex":0},"citationItems":[{"id":1694,"uris":["http://zotero.org/users/2205527/items/PSHQSGW8"],"uri":["http://zotero.org/users/2205527/items/PSHQSGW8"],"itemData":{"id":1694,"type":"article-journal","title":"Meta-analysis of Modified FOLFIRINOX Regimens for Patients With Metastatic Pancreatic Cancer","container-title":"Clinical Colorectal Cancer","page":"187-197","volume":"17","issue":"3","source":"PubMed","abstract":"BACKGROUND: We performed a meta-analysis of previous reports evaluating the effect of mFIO (modified FOLFIRINOX; leucovorin, 5-fluorouracil, irinotecan, oxaliplatin) regimens in advanced pancreatic cancer.\nMATERIALS AND METHODS: We performed a meta-analysis of reported studies in PubMed, Scopus, and Web of Science (1950-2016) in December 2016. The inclusion criteria were randomized trials, prospective or retrospective cohorts, patients with metastatic pancreatic adenocarcinoma, the use of mFIO or FOLFIRINOX (FIO) chemotherapy, and available information for ≥ 1 efficacy endpoint (response rate, progression-free survival, and/or overall survival). The outcomes were compared according to the chemotherapy regimen using a random effects model. We also performed a meta-regression analysis to evaluate the effect of dose reductions on outcomes.\nRESULTS: Of 2525 abstracts, 32 were considered eligible. Modifications in the FIO regimen included omission of the 5-fluorouracil bolus and/or dose reductions in infusional 5-fluorouracil, irinotecan, and/or oxaliplatin. mFIO was not associated with inferior response rates (32% vs. 33%; P = .879), lower rates of survival at 11 months (47% vs. 50%; P = .38), or lower 6-month progression-free survival rates (47% vs. 53%; P = .38). The meta-regression of the percentage of dose reduction failed to show any association.\nCONCLUSION: The results of the present meta-analysis with a combined sample size of 1461 patients suggest that it is reasonable to consider mFIO regimens for patients with metastatic pancreatic adenocarcinoma.","DOI":"10.1016/j.clcc.2018.03.007","ISSN":"1938-0674","note":"PMID: 29615310","journalAbbreviation":"Clin Colorectal Cancer","language":"eng","author":[{"family":"Usón Junior","given":"Pedro Luiz Serrano"},{"family":"Rother","given":"Edna Terezinha"},{"family":"Maluf","given":"Fernando Cotait"},{"family":"Bugano","given":"Diogo Diniz Gomes"}],"issued":{"date-parts":[["2018"]]}},"label":"page"},{"id":1683,"uris":["http://zotero.org/users/2205527/items/3XZNAPSD"],"uri":["http://zotero.org/users/2205527/items/3XZNAPSD"],"itemData":{"id":1683,"type":"article-journal","title":"The benefits of modified FOLFIRINOX for advanced pancreatic cancer and its induced adverse events: a systematic review and meta-analysis","container-title":"Scientific Reports","page":"8666","volume":"8","issue":"1","source":"PubMed","abstract":"FOLFIRINOX has been one of the first-line options for advanced pancreatic cancer, even though it induces significant adverse effects. Several institutions have begun using modified FOLFIRINOX to decrease its side effects and increase its tolerability. We systematically investigated the outcome from patients who initially received modified FOLFIRINOX as a chemotherapy regimen for advanced pancreatic cancer. We used the random-model generic inverse variance method to analyse the binary data with 95% confidence intervals (CIs). Eleven studies were included in the meta-analysis with 563 total patients. The 6-month and 1-year overall survival (OS) rates of locally advanced pancreatic cancer (LAPC) were 90.9% and 76.2%. The 6-month and 1-year progression-free survival (PFS) rates of LAPC were 81.5% and 48.5%. The 6-month and 1-year OS rates of metastatic pancreatic cancer (MPC) were 79.7% and 47.6%. The 6-month and 1-year PFS rates of MPC were 56.3% and 20.6%. The following rates were also calculated: complete response rate (CR): 2.9%; partial response rate (PR): 35.9%; stable disease rate (SD): 41.2%; overall response rate (OR): 34.6%; disease control rate (DCR): 76.7%; progressive disease: 23.1%; and grade III/IV adverse events (AEs): neutropenia 23.1%, febrile neutropenia 4.8%, thrombocytopenia 4.8%, anaemia 5.7%, fatigue 11.5%, nausea 9.1%, diarrhoea 10.1%, vomiting 5.7%, neuropathy 3.8%, and increased ALT 5.7%. In conclusion, modified FOLFIRINOX could provide comparative survival benefits with fewer adverse events compared to the conventional dosage.","DOI":"10.1038/s41598-018-26811-9","ISSN":"2045-2322","note":"PMID: 29875415\nPMCID: PMC5989209","title-short":"The benefits of modified FOLFIRINOX for advanced pancreatic cancer and its induced adverse events","journalAbbreviation":"Sci Rep","language":"eng","author":[{"family":"Tong","given":"Hongxuan"},{"family":"Fan","given":"Zhu"},{"family":"Liu","given":"Biyuan"},{"family":"Lu","given":"Tao"}],"issued":{"date-parts":[["2018",6,6]]}},"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24,25</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E61E46" w:rsidRPr="002575A7">
        <w:rPr>
          <w:rFonts w:ascii="Book Antiqua" w:hAnsi="Book Antiqua" w:cs="Times New Roman"/>
          <w:sz w:val="24"/>
          <w:szCs w:val="24"/>
          <w:lang w:val="en-US"/>
        </w:rPr>
        <w:t>D</w:t>
      </w:r>
      <w:r w:rsidRPr="002575A7">
        <w:rPr>
          <w:rFonts w:ascii="Book Antiqua" w:hAnsi="Book Antiqua" w:cs="Times New Roman"/>
          <w:sz w:val="24"/>
          <w:szCs w:val="24"/>
          <w:lang w:val="en-US"/>
        </w:rPr>
        <w:t xml:space="preserve">ose reductions of single or multiple agents differ </w:t>
      </w:r>
      <w:r w:rsidR="00E61E46" w:rsidRPr="002575A7">
        <w:rPr>
          <w:rFonts w:ascii="Book Antiqua" w:hAnsi="Book Antiqua" w:cs="Times New Roman"/>
          <w:sz w:val="24"/>
          <w:szCs w:val="24"/>
          <w:lang w:val="en-US"/>
        </w:rPr>
        <w:t>among</w:t>
      </w:r>
      <w:r w:rsidRPr="002575A7">
        <w:rPr>
          <w:rFonts w:ascii="Book Antiqua" w:hAnsi="Book Antiqua" w:cs="Times New Roman"/>
          <w:sz w:val="24"/>
          <w:szCs w:val="24"/>
          <w:lang w:val="en-US"/>
        </w:rPr>
        <w:t xml:space="preserve"> stud</w:t>
      </w:r>
      <w:r w:rsidR="00E61E46" w:rsidRPr="002575A7">
        <w:rPr>
          <w:rFonts w:ascii="Book Antiqua" w:hAnsi="Book Antiqua" w:cs="Times New Roman"/>
          <w:sz w:val="24"/>
          <w:szCs w:val="24"/>
          <w:lang w:val="en-US"/>
        </w:rPr>
        <w:t>ies</w:t>
      </w:r>
      <w:r w:rsidRPr="002575A7">
        <w:rPr>
          <w:rFonts w:ascii="Book Antiqua" w:hAnsi="Book Antiqua" w:cs="Times New Roman"/>
          <w:sz w:val="24"/>
          <w:szCs w:val="24"/>
          <w:lang w:val="en-US"/>
        </w:rPr>
        <w:t xml:space="preserve"> compared to the standard schedule</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{"citationID":"haJGLEj4","properties":{"formattedCitation":"\\super 24\\nosupersub{}","plainCitation":"24","noteIndex":0},"citationItems":[{"id":1694,"uris":["http://zotero.org/users/2205527/items/PSHQSGW8"],"uri":["http://zotero.org/users/2205527/items/PSHQSGW8"],"itemData":{"id":1694,"type":"article-journal","title":"Meta-analysis of Modified FOLFIRINOX Regimens for Patients With Metastatic Pancreatic Cancer","container-title":"Clinical Colorectal Cancer","page":"187-197","volume":"17","issue":"3","source":"PubMed","abstract":"BACKGROUND: We performed a meta-analysis of previous reports evaluating the effect of mFIO (modified FOLFIRINOX; leucovorin, 5-fluorouracil, irinotecan, oxaliplatin) regimens in advanced pancreatic cancer.\nMATERIALS AND METHODS: We performed a meta-analysis of reported studies in PubMed, Scopus, and Web of Science (1950-2016) in December 2016. The inclusion criteria were randomized trials, prospective or retrospective cohorts, patients with metastatic pancreatic adenocarcinoma, the use of mFIO or FOLFIRINOX (FIO) chemotherapy, and available information for ≥ 1 efficacy endpoint (response rate, progression-free survival, and/or overall survival). The outcomes were compared according to the chemotherapy regimen using a random effects model. We also performed a meta-regression analysis to evaluate the effect of dose reductions on outcomes.\nRESULTS: Of 2525 abstracts, 32 were considered eligible. Modifications in the FIO regimen included omission of the 5-fluorouracil bolus and/or dose reductions in infusional 5-fluorouracil, irinotecan, and/or oxaliplatin. mFIO was not associated with inferior response rates (32% vs. 33%; P = .879), lower rates of survival at 11 months (47% vs. 50%; P = .38), or lower 6-month progression-free survival rates (47% vs. 53%; P = .38). The meta-regression of the percentage of dose reduction failed to show any association.\nCONCLUSION: The results of the present meta-analysis with a combined sample size of 1461 patients suggest that it is reasonable to consider mFIO regimens for patients with metastatic pancreatic adenocarcinoma.","DOI":"10.1016/j.clcc.2018.03.007","ISSN":"1938-0674","note":"PMID: 29615310","journalAbbreviation":"Clin Colorectal Cancer","language":"eng","author":[{"family":"Usón Junior","given":"Pedro Luiz Serrano"},{"family":"Rother","given":"Edna Terezinha"},{"family":"Maluf","given":"Fernando Cotait"},{"family":"Bugano","given":"Diogo Diniz Gomes"}],"issued":{"date-parts":[["2018"]]}}}],"schema":"https://github.com/citation-style-language/schema/raw/master/csl-citation.json"}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24</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An optimal relative dose intensity for FOLFIRINOX was determined by Lee </w:t>
      </w:r>
      <w:r w:rsidRPr="002575A7">
        <w:rPr>
          <w:rFonts w:ascii="Book Antiqua" w:hAnsi="Book Antiqua" w:cs="Times New Roman"/>
          <w:i/>
          <w:sz w:val="24"/>
          <w:szCs w:val="24"/>
          <w:lang w:val="en-US"/>
        </w:rPr>
        <w:t>et al</w:t>
      </w:r>
      <w:r w:rsidR="0044750C" w:rsidRPr="002575A7">
        <w:rPr>
          <w:rFonts w:ascii="Book Antiqua" w:hAnsi="Book Antiqua" w:cs="Times New Roman"/>
          <w:sz w:val="24"/>
          <w:szCs w:val="24"/>
          <w:vertAlign w:val="superscript"/>
          <w:lang w:val="en-US"/>
        </w:rPr>
        <w:t>[</w:t>
      </w:r>
      <w:r w:rsidR="0044750C" w:rsidRPr="002575A7">
        <w:rPr>
          <w:rFonts w:ascii="Book Antiqua" w:hAnsi="Book Antiqua" w:cs="Times New Roman"/>
          <w:sz w:val="24"/>
          <w:szCs w:val="24"/>
          <w:lang w:val="en-US"/>
        </w:rPr>
        <w:fldChar w:fldCharType="begin"/>
      </w:r>
      <w:r w:rsidR="0044750C" w:rsidRPr="002575A7">
        <w:rPr>
          <w:rFonts w:ascii="Book Antiqua" w:hAnsi="Book Antiqua" w:cs="Times New Roman"/>
          <w:sz w:val="24"/>
          <w:szCs w:val="24"/>
          <w:lang w:val="en-US"/>
        </w:rPr>
        <w:instrText xml:space="preserve"> ADDIN ZOTERO_ITEM CSL_CITATION {"citationID":"QI3CyGdt","properties":{"formattedCitation":"\\super 23\\nosupersub{}","plainCitation":"23","noteIndex":0},"citationItems":[{"id":1669,"uris":["http://zotero.org/users/2205527/items/54IQBZZ4"],"uri":["http://zotero.org/users/2205527/items/54IQBZZ4"],"itemData":{"id":1669,"type":"article-journal","title":"Optimal dose reduction of FOLFIRINOX for preserving tumour response in advanced pancreatic cancer: Using cumulative relative dose intensity","container-title":"European Journal of Cancer (Oxford, England: 1990)","page":"125-133","volume":"76","source":"PubMed","abstract":"BACKGROUND: FOLFIRINOX has increased efficacy but also toxicity. Despite various modified FOLFIRINOX regimens, how much reduction is acceptable remains unclear. This study aimed to find the optimal relative dose intensity (RDI, %) of FOLFIRINOX that preserves tumour responses in patients with advanced pancreatic cancer (PC).\nMETHODS: We reviewed 201 patients with PC treated with first-line FOLFIRINOX during 2012-2015. We established a modified Hryniuk model (http://www.rdicalc.com) and defined cumulative RDI (cRDI, %). The optimal cRDI thresholds for response rate (RR) and disease control rate (DCR) were assessed using receiver operating characteristic (ROC) analysis. Relationships between cRDI and haematologic toxicities (neutropenia and febrile neutropenia [FN]) were also analysed according to use of granulocyte colony-stimulating factor (G-CSF).\nRESULTS: Among 156 eligible patients, 133 (48 locally advanced PC and 85 metastatic PC) completed initial treatment plan prior to the first radiological evaluation (median 58 days; 71.8% cRDI). For optimal cRDI thresholds, ROC curves showed a 71.2% cRDI for RR (83.3% sensitivity, 64.7% specificity, and 0.746 area under the curve [AUC]) and a 55.3% cRDI for DCR (93.6% sensitivity, 62.5% specificity and 0.805 AUC). Among 96 patients who did not receive prophylactic G-CSF, cRDI ≥80.1% was a significant predictor for frequent FN (73.7% sensitivity, 72.7% specificity and 0.793 AUC). There was no correlation between cRDI and haematologic toxicities in patients receiving prophylactic G-CSF.\nCONCLUSION: To preserve optimal RR and DCR in advanced PC, cRDI values for FOLFIRINOX &gt;70% and &gt;55%, respectively, are recommended. If cRDI is &gt;80%, primary G-CSF prophylaxis is needed.","DOI":"10.1016/j.ejca.2017.02.010","ISSN":"1879-0852","note":"PMID: 28324747","title-short":"Optimal dose reduction of FOLFIRINOX for preserving tumour response in advanced pancreatic cancer","journalAbbreviation":"Eur. J. Cancer","language":"eng","author":[{"family":"Lee","given":"Jong-Chan"},{"family":"Kim","given":"Jin Won"},{"family":"Ahn","given":"Soyeon"},{"family":"Kim","given":"Hyoung Woo"},{"family":"Lee","given":"Jongchan"},{"family":"Kim","given":"Young Hoon"},{"family":"Paik","given":"Kyu-Hyun"},{"family":"Kim","given":"Jaihwan"},{"family":"Hwang","given":"Jin-Hyeok"}],"issued":{"date-parts":[["2017"]]}}}],"schema":"https://github.com/citation-style-language/schema/raw/master/csl-citation.json"} </w:instrText>
      </w:r>
      <w:r w:rsidR="0044750C" w:rsidRPr="002575A7">
        <w:rPr>
          <w:rFonts w:ascii="Book Antiqua" w:hAnsi="Book Antiqua" w:cs="Times New Roman"/>
          <w:sz w:val="24"/>
          <w:szCs w:val="24"/>
          <w:lang w:val="en-US"/>
        </w:rPr>
        <w:fldChar w:fldCharType="separate"/>
      </w:r>
      <w:r w:rsidR="0044750C" w:rsidRPr="00EB33CD">
        <w:rPr>
          <w:rFonts w:ascii="Book Antiqua" w:hAnsi="Book Antiqua" w:cs="Times New Roman"/>
          <w:sz w:val="24"/>
          <w:szCs w:val="24"/>
          <w:vertAlign w:val="superscript"/>
          <w:lang w:val="en-US"/>
        </w:rPr>
        <w:t>23</w:t>
      </w:r>
      <w:r w:rsidR="0044750C" w:rsidRPr="002575A7">
        <w:rPr>
          <w:rFonts w:ascii="Book Antiqua" w:hAnsi="Book Antiqua" w:cs="Times New Roman"/>
          <w:sz w:val="24"/>
          <w:szCs w:val="24"/>
          <w:lang w:val="en-US"/>
        </w:rPr>
        <w:fldChar w:fldCharType="end"/>
      </w:r>
      <w:r w:rsidR="0044750C" w:rsidRPr="002575A7">
        <w:rPr>
          <w:rFonts w:ascii="Book Antiqua" w:hAnsi="Book Antiqua" w:cs="Times New Roman"/>
          <w:sz w:val="24"/>
          <w:szCs w:val="24"/>
          <w:vertAlign w:val="superscript"/>
          <w:lang w:val="en-US"/>
        </w:rPr>
        <w:t>]</w:t>
      </w:r>
      <w:r w:rsidRPr="002575A7">
        <w:rPr>
          <w:rFonts w:ascii="Book Antiqua" w:hAnsi="Book Antiqua" w:cs="Times New Roman"/>
          <w:sz w:val="24"/>
          <w:szCs w:val="24"/>
          <w:lang w:val="en-US"/>
        </w:rPr>
        <w:t xml:space="preserve"> to balance toxicity and efficacy, suggesting that a decrease of 30% </w:t>
      </w:r>
      <w:r w:rsidR="001E020B">
        <w:rPr>
          <w:rFonts w:ascii="Book Antiqua" w:hAnsi="Book Antiqua" w:cs="Times New Roman"/>
          <w:sz w:val="24"/>
          <w:szCs w:val="24"/>
          <w:lang w:val="en-US"/>
        </w:rPr>
        <w:t>in</w:t>
      </w:r>
      <w:r w:rsidRPr="002575A7">
        <w:rPr>
          <w:rFonts w:ascii="Book Antiqua" w:hAnsi="Book Antiqua" w:cs="Times New Roman"/>
          <w:sz w:val="24"/>
          <w:szCs w:val="24"/>
          <w:lang w:val="en-US"/>
        </w:rPr>
        <w:t xml:space="preserve"> chemotherapy </w:t>
      </w:r>
      <w:r w:rsidR="00D01983" w:rsidRPr="002575A7">
        <w:rPr>
          <w:rFonts w:ascii="Book Antiqua" w:hAnsi="Book Antiqua" w:cs="Times New Roman"/>
          <w:sz w:val="24"/>
          <w:szCs w:val="24"/>
          <w:lang w:val="en-US"/>
        </w:rPr>
        <w:t>dosages preserve tumor response.</w:t>
      </w:r>
      <w:r w:rsidRPr="002575A7">
        <w:rPr>
          <w:rFonts w:ascii="Book Antiqua" w:hAnsi="Book Antiqua" w:cs="Times New Roman"/>
          <w:sz w:val="24"/>
          <w:szCs w:val="24"/>
          <w:lang w:val="en-US"/>
        </w:rPr>
        <w:t xml:space="preserve"> </w:t>
      </w:r>
      <w:r w:rsidR="001E020B">
        <w:rPr>
          <w:rFonts w:ascii="Book Antiqua" w:hAnsi="Book Antiqua" w:cs="Times New Roman"/>
          <w:sz w:val="24"/>
          <w:szCs w:val="24"/>
          <w:lang w:val="en-US"/>
        </w:rPr>
        <w:t>In addition</w:t>
      </w:r>
      <w:r w:rsidR="00E61E46" w:rsidRPr="002575A7">
        <w:rPr>
          <w:rFonts w:ascii="Book Antiqua" w:hAnsi="Book Antiqua" w:cs="Times New Roman"/>
          <w:sz w:val="24"/>
          <w:szCs w:val="24"/>
          <w:lang w:val="en-US"/>
        </w:rPr>
        <w:t>, t</w:t>
      </w:r>
      <w:r w:rsidRPr="002575A7">
        <w:rPr>
          <w:rFonts w:ascii="Book Antiqua" w:hAnsi="Book Antiqua" w:cs="Times New Roman"/>
          <w:sz w:val="24"/>
          <w:szCs w:val="24"/>
          <w:lang w:val="en-US"/>
        </w:rPr>
        <w:t>wo meta-analyses suggested that dosage attenuation improve</w:t>
      </w:r>
      <w:r w:rsidR="00E61E46" w:rsidRPr="002575A7">
        <w:rPr>
          <w:rFonts w:ascii="Book Antiqua" w:hAnsi="Book Antiqua" w:cs="Times New Roman"/>
          <w:sz w:val="24"/>
          <w:szCs w:val="24"/>
          <w:lang w:val="en-US"/>
        </w:rPr>
        <w:t>s</w:t>
      </w:r>
      <w:r w:rsidRPr="002575A7">
        <w:rPr>
          <w:rFonts w:ascii="Book Antiqua" w:hAnsi="Book Antiqua" w:cs="Times New Roman"/>
          <w:sz w:val="24"/>
          <w:szCs w:val="24"/>
          <w:lang w:val="en-US"/>
        </w:rPr>
        <w:t xml:space="preserve"> tolerance while preserving survival benefits</w:t>
      </w:r>
      <w:r w:rsidR="00922515" w:rsidRPr="002575A7">
        <w:rPr>
          <w:rFonts w:ascii="Book Antiqua" w:hAnsi="Book Antiqua" w:cs="Times New Roman"/>
          <w:sz w:val="24"/>
          <w:szCs w:val="24"/>
          <w:lang w:val="en-US"/>
        </w:rPr>
        <w:t xml:space="preserve"> (overall response rates: </w:t>
      </w:r>
      <w:r w:rsidR="00A437D4" w:rsidRPr="002575A7">
        <w:rPr>
          <w:rFonts w:ascii="Book Antiqua" w:hAnsi="Book Antiqua" w:cs="Times New Roman"/>
          <w:sz w:val="24"/>
          <w:szCs w:val="24"/>
          <w:lang w:val="en-US"/>
        </w:rPr>
        <w:t xml:space="preserve">32% </w:t>
      </w:r>
      <w:r w:rsidR="00922515" w:rsidRPr="002575A7">
        <w:rPr>
          <w:rFonts w:ascii="Book Antiqua" w:hAnsi="Book Antiqua" w:cs="Times New Roman"/>
          <w:sz w:val="24"/>
          <w:szCs w:val="24"/>
          <w:lang w:val="en-US"/>
        </w:rPr>
        <w:t>with “modified FOLF</w:t>
      </w:r>
      <w:r w:rsidR="001E020B">
        <w:rPr>
          <w:rFonts w:ascii="Book Antiqua" w:hAnsi="Book Antiqua" w:cs="Times New Roman"/>
          <w:sz w:val="24"/>
          <w:szCs w:val="24"/>
          <w:lang w:val="en-US"/>
        </w:rPr>
        <w:t>I</w:t>
      </w:r>
      <w:r w:rsidR="00922515" w:rsidRPr="002575A7">
        <w:rPr>
          <w:rFonts w:ascii="Book Antiqua" w:hAnsi="Book Antiqua" w:cs="Times New Roman"/>
          <w:sz w:val="24"/>
          <w:szCs w:val="24"/>
          <w:lang w:val="en-US"/>
        </w:rPr>
        <w:t xml:space="preserve">RINOX” </w:t>
      </w:r>
      <w:r w:rsidR="009D1BBF" w:rsidRPr="00864BDB">
        <w:rPr>
          <w:rFonts w:ascii="Book Antiqua" w:hAnsi="Book Antiqua" w:cs="Times New Roman"/>
          <w:i/>
          <w:iCs/>
          <w:sz w:val="24"/>
          <w:szCs w:val="24"/>
          <w:lang w:val="en-US"/>
        </w:rPr>
        <w:t>vs</w:t>
      </w:r>
      <w:r w:rsidR="00A437D4" w:rsidRPr="002575A7">
        <w:rPr>
          <w:rFonts w:ascii="Book Antiqua" w:hAnsi="Book Antiqua" w:cs="Times New Roman"/>
          <w:sz w:val="24"/>
          <w:szCs w:val="24"/>
          <w:lang w:val="en-US"/>
        </w:rPr>
        <w:t xml:space="preserve"> 33%</w:t>
      </w:r>
      <w:r w:rsidR="00922515" w:rsidRPr="002575A7">
        <w:rPr>
          <w:rFonts w:ascii="Book Antiqua" w:hAnsi="Book Antiqua" w:cs="Times New Roman"/>
          <w:sz w:val="24"/>
          <w:szCs w:val="24"/>
          <w:lang w:val="en-US"/>
        </w:rPr>
        <w:t xml:space="preserve"> with full doses</w:t>
      </w:r>
      <w:r w:rsidR="00A437D4" w:rsidRPr="002575A7">
        <w:rPr>
          <w:rFonts w:ascii="Book Antiqua" w:hAnsi="Book Antiqua" w:cs="Times New Roman"/>
          <w:sz w:val="24"/>
          <w:szCs w:val="24"/>
          <w:lang w:val="en-US"/>
        </w:rPr>
        <w:t xml:space="preserve">; </w:t>
      </w:r>
      <w:r w:rsidR="00A437D4" w:rsidRPr="0044750C">
        <w:rPr>
          <w:rFonts w:ascii="Book Antiqua" w:hAnsi="Book Antiqua" w:cs="Times New Roman"/>
          <w:i/>
          <w:iCs/>
          <w:sz w:val="24"/>
          <w:szCs w:val="24"/>
          <w:lang w:val="en-US"/>
        </w:rPr>
        <w:t>P</w:t>
      </w:r>
      <w:r w:rsidR="0044750C">
        <w:rPr>
          <w:rFonts w:ascii="Book Antiqua" w:hAnsi="Book Antiqua" w:cs="Times New Roman"/>
          <w:sz w:val="24"/>
          <w:szCs w:val="24"/>
          <w:lang w:val="en-US"/>
        </w:rPr>
        <w:t xml:space="preserve"> </w:t>
      </w:r>
      <w:r w:rsidR="00A437D4" w:rsidRPr="002575A7">
        <w:rPr>
          <w:rFonts w:ascii="Book Antiqua" w:hAnsi="Book Antiqua" w:cs="Times New Roman"/>
          <w:sz w:val="24"/>
          <w:szCs w:val="24"/>
          <w:lang w:val="en-US"/>
        </w:rPr>
        <w:t>= 0</w:t>
      </w:r>
      <w:r w:rsidR="00D01983" w:rsidRPr="002575A7">
        <w:rPr>
          <w:rFonts w:ascii="Book Antiqua" w:hAnsi="Book Antiqua" w:cs="Times New Roman"/>
          <w:sz w:val="24"/>
          <w:szCs w:val="24"/>
          <w:lang w:val="en-US"/>
        </w:rPr>
        <w:t>.879)</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{"citationID":"snAE8yqY","properties":{"formattedCitation":"\\super 24,25\\nosupersub{}","plainCitation":"24,25","noteIndex":0},"citationItems":[{"id":1694,"uris":["http://zotero.org/users/2205527/items/PSHQSGW8"],"uri":["http://zotero.org/users/2205527/items/PSHQSGW8"],"itemData":{"id":1694,"type":"article-journal","title":"Meta-analysis of Modified FOLFIRINOX Regimens for Patients With Metastatic Pancreatic Cancer","container-title":"Clinical Colorectal Cancer","page":"187-197","volume":"17","issue":"3","source":"PubMed","abstract":"BACKGROUND: We performed a meta-analysis of previous reports evaluating the effect of mFIO (modified FOLFIRINOX; leucovorin, 5-fluorouracil, irinotecan, oxaliplatin) regimens in advanced pancreatic cancer.\nMATERIALS AND METHODS: We performed a meta-analysis of reported studies in PubMed, Scopus, and Web of Science (1950-2016) in December 2016. The inclusion criteria were randomized trials, prospective or retrospective cohorts, patients with metastatic pancreatic adenocarcinoma, the use of mFIO or FOLFIRINOX (FIO) chemotherapy, and available information for ≥ 1 efficacy endpoint (response rate, progression-free survival, and/or overall survival). The outcomes were compared according to the chemotherapy regimen using a random effects model. We also performed a meta-regression analysis to evaluate the effect of dose reductions on outcomes.\nRESULTS: Of 2525 abstracts, 32 were considered eligible. Modifications in the FIO regimen included omission of the 5-fluorouracil bolus and/or dose reductions in infusional 5-fluorouracil, irinotecan, and/or oxaliplatin. mFIO was not associated with inferior response rates (32% vs. 33%; P = .879), lower rates of survival at 11 months (47% vs. 50%; P = .38), or lower 6-month progression-free survival rates (47% vs. 53%; P = .38). The meta-regression of the percentage of dose reduction failed to show any association.\nCONCLUSION: The results of the present meta-analysis with a combined sample size of 1461 patients suggest that it is reasonable to consider mFIO regimens for patients with metastatic pancreatic adenocarcinoma.","DOI":"10.1016/j.clcc.2018.03.007","ISSN":"1938-0674","note":"PMID: 29615310","journalAbbreviation":"Clin Colorectal Cancer","language":"eng","author":[{"family":"Usón Junior","given":"Pedro Luiz Serrano"},{"family":"Rother","given":"Edna Terezinha"},{"family":"Maluf","given":"Fernando Cotait"},{"family":"Bugano","given":"Diogo Diniz Gomes"}],"issued":{"date-parts":[["2018"]]}},"label":"page"},{"id":1683,"uris":["http://zotero.org/users/2205527/items/3XZNAPSD"],"uri":["http://zotero.org/users/2205527/items/3XZNAPSD"],"itemData":{"id":1683,"type":"article-journal","title":"The benefits of modified FOLFIRINOX for advanced pancreatic cancer and its induced adverse events: a systematic review and meta-analysis","container-title":"Scientific Reports","page":"8666","volume":"8","issue":"1","source":"PubMed","abstract":"FOLFIRINOX has been one of the first-line options for advanced pancreatic cancer, even though it induces significant adverse effects. Several institutions have begun using modified FOLFIRINOX to decrease its side effects and increase its tolerability. We systematically investigated the outcome from patients who initially received modified FOLFIRINOX as a chemotherapy regimen for advanced pancreatic cancer. We used the random-model generic inverse variance method to analyse the binary data with 95% confidence intervals (CIs). Eleven studies were included in the meta-analysis with 563 total patients. The 6-month and 1-year overall survival (OS) rates of locally advanced pancreatic cancer (LAPC) were 90.9% and 76.2%. The 6-month and 1-year progression-free survival (PFS) rates of LAPC were 81.5% and 48.5%. The 6-month and 1-year OS rates of metastatic pancreatic cancer (MPC) were 79.7% and 47.6%. The 6-month and 1-year PFS rates of MPC were 56.3% and 20.6%. The following rates were also calculated: complete response rate (CR): 2.9%; partial response rate (PR): 35.9%; stable disease rate (SD): 41.2%; overall response rate (OR): 34.6%; disease control rate (DCR): 76.7%; progressive disease: 23.1%; and grade III/IV adverse events (AEs): neutropenia 23.1%, febrile neutropenia 4.8%, thrombocytopenia 4.8%, anaemia 5.7%, fatigue 11.5%, nausea 9.1%, diarrhoea 10.1%, vomiting 5.7%, neuropathy 3.8%, and increased ALT 5.7%. In conclusion, modified FOLFIRINOX could provide comparative survival benefits with fewer adverse events compared to the conventional dosage.","DOI":"10.1038/s41598-018-26811-9","ISSN":"2045-2322","note":"PMID: 29875415\nPMCID: PMC5989209","title-short":"The benefits of modified FOLFIRINOX for advanced pancreatic cancer and its induced adverse events","journalAbbreviation":"Sci Rep","language":"eng","author":[{"family":"Tong","given":"Hongxuan"},{"family":"Fan","given":"Zhu"},{"family":"Liu","given":"Biyuan"},{"family":"Lu","given":"Tao"}],"issued":{"date-parts":[["2018",6,6]]}},"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24,25</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922515"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A modified-dose </w:t>
      </w:r>
      <w:r w:rsidR="009617F6">
        <w:rPr>
          <w:rFonts w:ascii="Book Antiqua" w:hAnsi="Book Antiqua" w:cs="Times New Roman"/>
          <w:sz w:val="24"/>
          <w:szCs w:val="24"/>
          <w:lang w:val="en-US"/>
        </w:rPr>
        <w:t xml:space="preserve">regimen </w:t>
      </w:r>
      <w:r w:rsidR="009A17EF" w:rsidRPr="002575A7">
        <w:rPr>
          <w:rFonts w:ascii="Book Antiqua" w:hAnsi="Book Antiqua" w:cs="Times New Roman"/>
          <w:sz w:val="24"/>
          <w:szCs w:val="24"/>
          <w:lang w:val="en-US"/>
        </w:rPr>
        <w:t>decreased the frequency</w:t>
      </w:r>
      <w:r w:rsidRPr="002575A7">
        <w:rPr>
          <w:rFonts w:ascii="Book Antiqua" w:hAnsi="Book Antiqua" w:cs="Times New Roman"/>
          <w:sz w:val="24"/>
          <w:szCs w:val="24"/>
          <w:lang w:val="en-US"/>
        </w:rPr>
        <w:t xml:space="preserve"> of </w:t>
      </w:r>
      <w:r w:rsidR="00191822" w:rsidRPr="002575A7">
        <w:rPr>
          <w:rFonts w:ascii="Book Antiqua" w:hAnsi="Book Antiqua" w:cs="Times New Roman"/>
          <w:sz w:val="24"/>
          <w:szCs w:val="24"/>
          <w:lang w:val="en-US"/>
        </w:rPr>
        <w:t>hematological</w:t>
      </w:r>
      <w:r w:rsidRPr="002575A7">
        <w:rPr>
          <w:rFonts w:ascii="Book Antiqua" w:hAnsi="Book Antiqua" w:cs="Times New Roman"/>
          <w:sz w:val="24"/>
          <w:szCs w:val="24"/>
          <w:lang w:val="en-US"/>
        </w:rPr>
        <w:t xml:space="preserve"> and digestive adverse events and </w:t>
      </w:r>
      <w:r w:rsidR="00B40578">
        <w:rPr>
          <w:rFonts w:ascii="Book Antiqua" w:hAnsi="Book Antiqua" w:cs="Times New Roman"/>
          <w:sz w:val="24"/>
          <w:szCs w:val="24"/>
          <w:lang w:val="en-US"/>
        </w:rPr>
        <w:t>cycles</w:t>
      </w:r>
      <w:r w:rsidR="00B40578"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reported, </w:t>
      </w:r>
      <w:r w:rsidR="00B40578">
        <w:rPr>
          <w:rFonts w:ascii="Book Antiqua" w:hAnsi="Book Antiqua" w:cs="Times New Roman"/>
          <w:sz w:val="24"/>
          <w:szCs w:val="24"/>
          <w:lang w:val="en-US"/>
        </w:rPr>
        <w:t xml:space="preserve">while making it possible </w:t>
      </w:r>
      <w:r w:rsidRPr="002575A7">
        <w:rPr>
          <w:rFonts w:ascii="Book Antiqua" w:hAnsi="Book Antiqua" w:cs="Times New Roman"/>
          <w:sz w:val="24"/>
          <w:szCs w:val="24"/>
          <w:lang w:val="en-US"/>
        </w:rPr>
        <w:t>to maintain dose-dense chemotherapy and treatment activity</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{"citationID":"CdLOTCV5","properties":{"formattedCitation":"\\super 26\\nosupersub{}","plainCitation":"26","noteIndex":0},"citationItems":[{"id":1730,"uris":["http://zotero.org/users/2205527/items/B2F8S395"],"uri":["http://zotero.org/users/2205527/items/B2F8S395"],"itemData":{"id":1730,"type":"article-journal","title":"Increasing the dose intensity of chemotherapy by more frequent administration or sequential scheduling: a patient-level meta-analysis of 37</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298 women with early breast cancer in 26 randomised trials","container-title":"Lancet (London, England)","page":"1440-1452","volume":"393","issue":"10179","source":"PubMed","abstract":"BACKGROUND: Increasing the dose intensity of cytotoxic therapy by shortening the intervals between cycles, or by giving individual drugs sequentially at full dose rather than in lower-dose concurrent treatment schedules, might enhance efficacy.\nMETHODS: To clarify the relative benefits and risks of dose-intense and standard-schedule chemotherapy in early breast cancer, we did an individual patient-level meta-analysis of trials comparing 2-weekly versus standard 3-weekly schedules, and of trials comparing sequential versus concurrent administration of anthracycline and taxane chemotherapy. The primary outcomes were recurrence and breast cancer mortality. Standard intention-to-treat log-rank analyses, stratified by age, nodal status, and trial, yielded dose-intense versus standard-schedule first-event rate ratios (RRs).\nFINDINGS: Individual patient data were provided for 26 of 33 relevant trials identified, comprising 37</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298 (93%) of 40</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070 women randomised. Most women were aged younger than 70 years and had node-positive disease. Total cytotoxic drug usage was broadly comparable in the two treatment arms; colony-stimulating factor was generally used in the more dose-intense arm. Combining data from all 26 trials, fewer breast cancer recurrences were seen with dose-intense than with standard-schedule chemotherapy (10-year recurrence risk 28·0% vs 31·4%; RR 0·86, 95% CI 0·82-0·89; p&lt;0·0001). 10-year breast cancer mortality was similarly reduced (18·9% vs 21·3%; RR 0·87, 95% CI 0·83-0·92; p&lt;0·0001), as was all-cause mortality (22·1% vs 24·8%; RR 0·87, 95% CI 0·83-0·91; p&lt;0·0001). Death without recurrence was, if anything, lower with dose-intense than with standard-schedule chemotherapy (10-year risk 4·1% vs 4·6%; RR 0·88, 95% CI 0·78-0·99; p=0·034). Recurrence reductions were similar in the seven trials (n=10</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004) that compared 2-weekly chemotherapy with the same chemotherapy given 3-weekly (10-year risk 24·0% vs 28·3%; RR 0·83, 95% CI 0·76-0·91; p&lt;0·0001), in the six trials (n=11</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028) of sequential versus concurrent anthracycline plus taxane chemotherapy (28</w:instrText>
      </w:r>
      <w:r w:rsidR="00561FC3" w:rsidRPr="002575A7">
        <w:rPr>
          <w:rFonts w:ascii="Book Antiqua" w:hAnsi="Book Antiqua" w:cs="Book Antiqua"/>
          <w:sz w:val="24"/>
          <w:szCs w:val="24"/>
          <w:lang w:val="en-US"/>
        </w:rPr>
        <w:instrText>·</w:instrText>
      </w:r>
      <w:r w:rsidR="00561FC3" w:rsidRPr="002575A7">
        <w:rPr>
          <w:rFonts w:ascii="Book Antiqua" w:hAnsi="Book Antiqua" w:cs="Times New Roman"/>
          <w:sz w:val="24"/>
          <w:szCs w:val="24"/>
          <w:lang w:val="en-US"/>
        </w:rPr>
        <w:instrText>1% vs 31</w:instrText>
      </w:r>
      <w:r w:rsidR="00561FC3" w:rsidRPr="002575A7">
        <w:rPr>
          <w:rFonts w:ascii="Book Antiqua" w:hAnsi="Book Antiqua" w:cs="Book Antiqua"/>
          <w:sz w:val="24"/>
          <w:szCs w:val="24"/>
          <w:lang w:val="en-US"/>
        </w:rPr>
        <w:instrText>·</w:instrText>
      </w:r>
      <w:r w:rsidR="00561FC3" w:rsidRPr="002575A7">
        <w:rPr>
          <w:rFonts w:ascii="Book Antiqua" w:hAnsi="Book Antiqua" w:cs="Times New Roman"/>
          <w:sz w:val="24"/>
          <w:szCs w:val="24"/>
          <w:lang w:val="en-US"/>
        </w:rPr>
        <w:instrText>3%; RR 0</w:instrText>
      </w:r>
      <w:r w:rsidR="00561FC3" w:rsidRPr="002575A7">
        <w:rPr>
          <w:rFonts w:ascii="Book Antiqua" w:hAnsi="Book Antiqua" w:cs="Book Antiqua"/>
          <w:sz w:val="24"/>
          <w:szCs w:val="24"/>
          <w:lang w:val="en-US"/>
        </w:rPr>
        <w:instrText>·</w:instrText>
      </w:r>
      <w:r w:rsidR="00561FC3" w:rsidRPr="002575A7">
        <w:rPr>
          <w:rFonts w:ascii="Book Antiqua" w:hAnsi="Book Antiqua" w:cs="Times New Roman"/>
          <w:sz w:val="24"/>
          <w:szCs w:val="24"/>
          <w:lang w:val="en-US"/>
        </w:rPr>
        <w:instrText>87, 95% CI 0</w:instrText>
      </w:r>
      <w:r w:rsidR="00561FC3" w:rsidRPr="002575A7">
        <w:rPr>
          <w:rFonts w:ascii="Book Antiqua" w:hAnsi="Book Antiqua" w:cs="Book Antiqua"/>
          <w:sz w:val="24"/>
          <w:szCs w:val="24"/>
          <w:lang w:val="en-US"/>
        </w:rPr>
        <w:instrText>·</w:instrText>
      </w:r>
      <w:r w:rsidR="00561FC3" w:rsidRPr="002575A7">
        <w:rPr>
          <w:rFonts w:ascii="Book Antiqua" w:hAnsi="Book Antiqua" w:cs="Times New Roman"/>
          <w:sz w:val="24"/>
          <w:szCs w:val="24"/>
          <w:lang w:val="en-US"/>
        </w:rPr>
        <w:instrText xml:space="preserve">80-0·94; p=0·0006), and in the six trials (n=6532) testing both shorter intervals and sequential administration (30·4% vs 35·0%; RR 0·82, 95% CI 0·74-0·90; p&lt;0·0001). The proportional reductions in recurrence with dose-intense chemotherapy were similar and highly significant (p&lt;0·0001) in oestrogen receptor (ER)-positive and ER-negative disease and did not differ significantly by other patient or tumour characteristics.\nINTERPRETATION: Increasing the dose intensity of adjuvant chemotherapy by shortening the interval between treatment cycles, or by giving individual drugs sequentially rather than giving the same drugs concurrently, moderately reduces the 10-year risk of recurrence and death from breast cancer without increasing mortality from other causes.\nFUNDING: Cancer Research UK, Medical Research Council.","DOI":"10.1016/S0140-6736(18)33137-4","ISSN":"1474-547X","note":"PMID: 30739743\nPMCID: PMC6451189","title-short":"Increasing the dose intensity of chemotherapy by more frequent administration or sequential scheduling","journalAbbreviation":"Lancet","language":"eng","author":[{"literal":"Early Breast Cancer Trialists' Collaborative Group (EBCTCG)"}],"issued":{"date-parts":[["2019",4,6]]}}}],"schema":"https://github.com/citation-style-language/schema/raw/master/csl-citation.json"}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26</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9A17EF" w:rsidRPr="002575A7">
        <w:rPr>
          <w:rFonts w:ascii="Book Antiqua" w:hAnsi="Book Antiqua" w:cs="Times New Roman"/>
          <w:sz w:val="24"/>
          <w:szCs w:val="24"/>
          <w:lang w:val="en-US"/>
        </w:rPr>
        <w:t>In the adjuvant setting, a</w:t>
      </w:r>
      <w:r w:rsidRPr="002575A7">
        <w:rPr>
          <w:rFonts w:ascii="Book Antiqua" w:hAnsi="Book Antiqua" w:cs="Times New Roman"/>
          <w:sz w:val="24"/>
          <w:szCs w:val="24"/>
          <w:lang w:val="en-US"/>
        </w:rPr>
        <w:t xml:space="preserve"> modified FOLFIRINOX with no bolus </w:t>
      </w:r>
      <w:r w:rsidR="009617F6">
        <w:rPr>
          <w:rFonts w:ascii="Book Antiqua" w:hAnsi="Book Antiqua" w:cs="Times New Roman"/>
          <w:sz w:val="24"/>
          <w:szCs w:val="24"/>
          <w:lang w:val="en-US"/>
        </w:rPr>
        <w:t xml:space="preserve">of </w:t>
      </w:r>
      <w:r w:rsidRPr="002575A7">
        <w:rPr>
          <w:rFonts w:ascii="Book Antiqua" w:hAnsi="Book Antiqua" w:cs="Times New Roman"/>
          <w:sz w:val="24"/>
          <w:szCs w:val="24"/>
          <w:lang w:val="en-US"/>
        </w:rPr>
        <w:t xml:space="preserve">5-FU and irinotecan at </w:t>
      </w:r>
      <w:r w:rsidR="009617F6">
        <w:rPr>
          <w:rFonts w:ascii="Book Antiqua" w:hAnsi="Book Antiqua" w:cs="Times New Roman"/>
          <w:sz w:val="24"/>
          <w:szCs w:val="24"/>
          <w:lang w:val="en-US"/>
        </w:rPr>
        <w:t xml:space="preserve">a dose of </w:t>
      </w:r>
      <w:r w:rsidRPr="002575A7">
        <w:rPr>
          <w:rFonts w:ascii="Book Antiqua" w:hAnsi="Book Antiqua" w:cs="Times New Roman"/>
          <w:sz w:val="24"/>
          <w:szCs w:val="24"/>
          <w:lang w:val="en-US"/>
        </w:rPr>
        <w:t>150 mg/m</w:t>
      </w:r>
      <w:r w:rsidRPr="002575A7">
        <w:rPr>
          <w:rFonts w:ascii="Book Antiqua" w:hAnsi="Book Antiqua" w:cs="Times New Roman"/>
          <w:sz w:val="24"/>
          <w:szCs w:val="24"/>
          <w:vertAlign w:val="superscript"/>
          <w:lang w:val="en-US"/>
        </w:rPr>
        <w:t>2</w:t>
      </w:r>
      <w:r w:rsidRPr="002575A7">
        <w:rPr>
          <w:rFonts w:ascii="Book Antiqua" w:hAnsi="Book Antiqua" w:cs="Times New Roman"/>
          <w:sz w:val="24"/>
          <w:szCs w:val="24"/>
          <w:lang w:val="en-US"/>
        </w:rPr>
        <w:t xml:space="preserve"> </w:t>
      </w:r>
      <w:r w:rsidR="009A17EF" w:rsidRPr="002575A7">
        <w:rPr>
          <w:rFonts w:ascii="Book Antiqua" w:hAnsi="Book Antiqua" w:cs="Times New Roman"/>
          <w:sz w:val="24"/>
          <w:szCs w:val="24"/>
          <w:lang w:val="en-US"/>
        </w:rPr>
        <w:t xml:space="preserve">significantly </w:t>
      </w:r>
      <w:r w:rsidRPr="002575A7">
        <w:rPr>
          <w:rFonts w:ascii="Book Antiqua" w:hAnsi="Book Antiqua" w:cs="Times New Roman"/>
          <w:sz w:val="24"/>
          <w:szCs w:val="24"/>
          <w:lang w:val="en-US"/>
        </w:rPr>
        <w:t xml:space="preserve">increased survival </w:t>
      </w:r>
      <w:r w:rsidR="009A17EF" w:rsidRPr="002575A7">
        <w:rPr>
          <w:rFonts w:ascii="Book Antiqua" w:hAnsi="Book Antiqua" w:cs="Times New Roman"/>
          <w:sz w:val="24"/>
          <w:szCs w:val="24"/>
          <w:lang w:val="en-US"/>
        </w:rPr>
        <w:lastRenderedPageBreak/>
        <w:t xml:space="preserve">compared to </w:t>
      </w:r>
      <w:r w:rsidRPr="002575A7">
        <w:rPr>
          <w:rFonts w:ascii="Book Antiqua" w:hAnsi="Book Antiqua" w:cs="Times New Roman"/>
          <w:sz w:val="24"/>
          <w:szCs w:val="24"/>
          <w:lang w:val="en-US"/>
        </w:rPr>
        <w:t xml:space="preserve">gemcitabine </w:t>
      </w:r>
      <w:r w:rsidR="009A17EF" w:rsidRPr="002575A7">
        <w:rPr>
          <w:rFonts w:ascii="Book Antiqua" w:hAnsi="Book Antiqua" w:cs="Times New Roman"/>
          <w:sz w:val="24"/>
          <w:szCs w:val="24"/>
          <w:lang w:val="en-US"/>
        </w:rPr>
        <w:t>for</w:t>
      </w:r>
      <w:r w:rsidRPr="002575A7">
        <w:rPr>
          <w:rFonts w:ascii="Book Antiqua" w:hAnsi="Book Antiqua" w:cs="Times New Roman"/>
          <w:sz w:val="24"/>
          <w:szCs w:val="24"/>
          <w:lang w:val="en-US"/>
        </w:rPr>
        <w:t xml:space="preserve"> PDAC</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{"citationID":"B9ySxm4B","properties":{"formattedCitation":"\\super 4\\nosupersub{}","plainCitation":"4","noteIndex":0},"citationItems":[{"id":1616,"uris":["http://zotero.org/users/2205527/items/GNRL3UW7"],"uri":["http://zotero.org/users/2205527/items/GNRL3UW7"],"itemData":{"id":1616,"type":"article-journal","title":"FOLFIRINOX or Gemcitabine as Adjuvant Therapy for Pancreatic Cancer","container-title":"The New England Journal of Medicine","page":"2395-2406","volume":"379","issue":"25","source":"PubMed","abstract":"BACKGROUND: Among patients with metastatic pancreatic cancer, combination chemotherapy with fluorouracil, leucovorin, irinotecan, and oxaliplatin (FOLFIRINOX) leads to longer overall survival than gemcitabine therapy. We compared the efficacy and safety of a modified FOLFIRINOX regimen with gemcitabine as adjuvant therapy in patients with resected pancreatic cancer.\nMETHODS: We randomly assigned 493 patients with resected pancreatic ductal adenocarcinoma to receive a modified FOLFIRINOX regimen (oxaliplatin [85 mg per square meter of body-surface area], irinotecan [180 mg per square meter, reduced to 150 mg per square meter after a protocol-specified safety analysis], leucovorin [400 mg per square meter], and fluorouracil [2400 mg per square meter] every 2 weeks) or gemcitabine (1000 mg per square meter on days 1, 8, and 15 every 4 weeks) for 24 weeks. The primary end point was disease-free survival. Secondary end points included overall survival and safety.\nRESULTS: At a median follow-up of 33.6 months, the median disease-free survival was 21.6 months in the modified-FOLFIRINOX group and 12.8 months in the gemcitabine group (stratified hazard ratio for cancer-related event, second cancer, or death, 0.58; 95% confidence interval [CI], 0.46 to 0.73; P&lt;0.001). The disease-free survival rate at 3 years was 39.7% in the modified-FOLFIRINOX group and 21.4% in the gemcitabine group. The median overall survival was 54.4 months in the modified-FOLFIRINOX group and 35.0 months in the gemcitabine group (stratified hazard ratio for death, 0.64; 95% CI, 0.48 to 0.86; P=0.003). The overall survival rate at 3 years was 63.4% in the modified-FOLFIRINOX group and 48.6% in the gemcitabine group. Adverse events of grade 3 or 4 occurred in 75.9% of the patients in the modified-FOLFIRINOX group and in 52.9% of those in the gemcitabine group. One patient in the gemcitabine group died from toxic effects (interstitial pneumonitis).\nCONCLUSIONS: Adjuvant therapy with a modified FOLFIRINOX regimen led to significantly longer survival than gemcitabine among patients with resected pancreatic cancer, at the expense of a higher incidence of toxic effects. (Funded by R&amp;D Unicancer and others; ClinicalTrials.gov number, NCT01526135 ; EudraCT number, 2011-002026-52 .).","DOI":"10.1056/NEJMoa1809775","ISSN":"1533-4406","note":"PMID: 30575490","journalAbbreviation":"N. Engl. J. Med.","language":"eng","author":[{"family":"Conroy","given":"Thierry"},{"family":"Hammel","given":"Pascal"},{"family":"Hebbar","given":"Mohamed"},{"family":"Ben Abdelghani","given":"Meher"},{"family":"Wei","given":"Alice C."},{"family":"Raoul","given":"Jean-Luc"},{"family":"Choné","given":"Laurence"},{"family":"Francois","given":"Eric"},{"family":"Artru","given":"Pascal"},{"family":"Biagi","given":"James J."},{"family":"Lecomte","given":"Thierry"},{"family":"Assenat","given":"Eric"},{"family":"Faroux","given":"Roger"},{"family":"Ychou","given":"Marc"},{"family":"Volet","given":"Julien"},{"family":"Sauvanet","given":"Alain"},{"family":"Breysacher","given":"Gilles"},{"family":"Di Fiore","given":"Frédéric"},{"family":"Cripps","given":"Christine"},{"family":"Kavan","given":"Petr"},{"family":"Texereau","given":"Patrick"},{"family":"Bouhier-Leporrier","given":"Karine"},{"family":"Khemissa-Akouz","given":"Faiza"},{"family":"Legoux","given":"Jean-Louis"},{"family":"Juzyna","given":"Béata"},{"family":"Gourgou","given":"Sophie"},{"family":"O'Callaghan","given":"Christopher J."},{"family":"Jouffroy-Zeller","given":"Claire"},{"family":"Rat","given":"Patrick"},{"family":"Malka","given":"David"},{"family":"Castan","given":"Florence"},{"family":"Bachet","given":"Jean-Baptiste"},{"literal":"Canadian Cancer Trials Group and the Unicancer-GI–PRODIGE Group"}],"issued":{"date-parts":[["2018"]],"season":"20"}}}],"schema":"https://github.com/citation-style-language/schema/raw/master/csl-citation.json"}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4</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251551" w:rsidRPr="002575A7">
        <w:rPr>
          <w:rFonts w:ascii="Book Antiqua" w:hAnsi="Book Antiqua" w:cs="Times New Roman"/>
          <w:sz w:val="24"/>
          <w:szCs w:val="24"/>
          <w:lang w:val="en-US"/>
        </w:rPr>
        <w:t xml:space="preserve"> These</w:t>
      </w:r>
      <w:r w:rsidRPr="002575A7">
        <w:rPr>
          <w:rFonts w:ascii="Book Antiqua" w:hAnsi="Book Antiqua" w:cs="Times New Roman"/>
          <w:sz w:val="24"/>
          <w:szCs w:val="24"/>
          <w:lang w:val="en-US"/>
        </w:rPr>
        <w:t xml:space="preserve"> </w:t>
      </w:r>
      <w:r w:rsidR="009A17EF" w:rsidRPr="002575A7">
        <w:rPr>
          <w:rFonts w:ascii="Book Antiqua" w:hAnsi="Book Antiqua" w:cs="Times New Roman"/>
          <w:sz w:val="24"/>
          <w:szCs w:val="24"/>
          <w:lang w:val="en-US"/>
        </w:rPr>
        <w:t>dose adjustments</w:t>
      </w:r>
      <w:r w:rsidR="009A17EF" w:rsidRPr="002575A7" w:rsidDel="009A17EF">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were also effective in </w:t>
      </w:r>
      <w:r w:rsidR="009A17EF" w:rsidRPr="002575A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neoadjuvant </w:t>
      </w:r>
      <w:r w:rsidR="009A17EF" w:rsidRPr="002575A7">
        <w:rPr>
          <w:rFonts w:ascii="Book Antiqua" w:hAnsi="Book Antiqua" w:cs="Times New Roman"/>
          <w:sz w:val="24"/>
          <w:szCs w:val="24"/>
          <w:lang w:val="en-US"/>
        </w:rPr>
        <w:t xml:space="preserve">setting </w:t>
      </w:r>
      <w:r w:rsidRPr="002575A7">
        <w:rPr>
          <w:rFonts w:ascii="Book Antiqua" w:hAnsi="Book Antiqua" w:cs="Times New Roman"/>
          <w:sz w:val="24"/>
          <w:szCs w:val="24"/>
          <w:lang w:val="en-US"/>
        </w:rPr>
        <w:t xml:space="preserve">for patients with locally advanced or borderline PDAC. </w:t>
      </w:r>
      <w:r w:rsidR="00434702">
        <w:rPr>
          <w:rFonts w:ascii="Book Antiqua" w:hAnsi="Book Antiqua" w:cs="Times New Roman"/>
          <w:sz w:val="24"/>
          <w:szCs w:val="24"/>
          <w:lang w:val="en-US"/>
        </w:rPr>
        <w:t>Of note,</w:t>
      </w:r>
      <w:r w:rsidRPr="002575A7">
        <w:rPr>
          <w:rFonts w:ascii="Book Antiqua" w:hAnsi="Book Antiqua" w:cs="Times New Roman"/>
          <w:sz w:val="24"/>
          <w:szCs w:val="24"/>
          <w:lang w:val="en-US"/>
        </w:rPr>
        <w:t xml:space="preserve"> resection was performed </w:t>
      </w:r>
      <w:r w:rsidR="001E020B">
        <w:rPr>
          <w:rFonts w:ascii="Book Antiqua" w:hAnsi="Book Antiqua" w:cs="Times New Roman"/>
          <w:sz w:val="24"/>
          <w:szCs w:val="24"/>
          <w:lang w:val="en-US"/>
        </w:rPr>
        <w:t>in</w:t>
      </w:r>
      <w:r w:rsidRPr="002575A7">
        <w:rPr>
          <w:rFonts w:ascii="Book Antiqua" w:hAnsi="Book Antiqua" w:cs="Times New Roman"/>
          <w:sz w:val="24"/>
          <w:szCs w:val="24"/>
          <w:lang w:val="en-US"/>
        </w:rPr>
        <w:t xml:space="preserve"> more than half of </w:t>
      </w:r>
      <w:r w:rsidR="009A17EF" w:rsidRPr="002575A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patients</w:t>
      </w:r>
      <w:r w:rsidR="00EF1CD7" w:rsidRPr="002575A7">
        <w:rPr>
          <w:rFonts w:ascii="Book Antiqua" w:hAnsi="Book Antiqua" w:cs="Times New Roman"/>
          <w:sz w:val="24"/>
          <w:szCs w:val="24"/>
          <w:lang w:val="en-US"/>
        </w:rPr>
        <w:t>, and</w:t>
      </w:r>
      <w:r w:rsidRPr="002575A7">
        <w:rPr>
          <w:rFonts w:ascii="Book Antiqua" w:hAnsi="Book Antiqua" w:cs="Times New Roman"/>
          <w:sz w:val="24"/>
          <w:szCs w:val="24"/>
          <w:lang w:val="en-US"/>
        </w:rPr>
        <w:t xml:space="preserve"> with R0 resection in 86.4%</w:t>
      </w:r>
      <w:r w:rsidR="00EF1CD7" w:rsidRPr="002575A7">
        <w:rPr>
          <w:rFonts w:ascii="Book Antiqua" w:hAnsi="Book Antiqua" w:cs="Times New Roman"/>
          <w:sz w:val="24"/>
          <w:szCs w:val="24"/>
          <w:lang w:val="en-US"/>
        </w:rPr>
        <w:t xml:space="preserve"> of cases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{"citationID":"0Bh4oRIT","properties":{"formattedCitation":"\\super 27\\nosupersub{}","plainCitation":"27","noteIndex":0},"citationItems":[{"id":739,"uris":["http://zotero.org/users/2205527/items/EV6RZDQV"],"uri":["http://zotero.org/users/2205527/items/EV6RZDQV"],"itemData":{"id":739,"type":"article-journal","title":"Neoadjuvant modified (m) FOLFIRINOX for locally advanced unresectable (LAPC) and borderline resectable (BRPC) adenocarcinoma of the pancreas","container-title":"Annals of Surgical Oncology","page":"1153-1159","volume":"22","issue":"4","source":"PubMed","abstract":"BACKGROUND: For patients with metastatic pancreatic cancer, FOLFIRINOX (fluorouracil [5-FU], leucovorin [LV], irinotecan [IRI], and oxaliplatin) has shown improved survival rates compared with gemcitabine but with significant toxicity, particularly in patients with a high tumor burden. Because of reported response rates exceeding 30 %, the authors began to use a modified (m) FOLFIRINOX regimen for patients with advanced nonmetastatic disease aimed at downstaging for resection. This report describes their experience with mFOLFIRINOX and aggressive surgical resection.\nMETHODS: Between January 2011 and August of 2013, 43 patients with borderline resectable pancreatic cancer (BRPC, n = 18) or locally advanced pancreatic cancer (LAPC, n = 25) were treated with mFOLFIRINOX (no bolus 5-FU, no LV, and decreased IRI). Radiation was used based on response and intended surgery. Charts were retrospectively reviewed to assess response, toxicities, and extent of resection when possible.\nRESULTS: The most common grade 3/4 toxicity was diarrhea in six patients (14 %) with no grade 3/4 neutropenia or thrombocytopenia. Resection was attempted in 31 cases (72 %) and accomplished in 22 cases (51.1 %) including 11 of 25 LAPC cases (44 %). Vascular resection was required in 4 cases (18 %), with R0 resection in 86.4 % of the resections. Complications occurred in 6 cases (27 %), with no perioperative deaths. The median progression-free survival period was 18 months if the resection was achieved compared with 8 months if no resection was performed (p &lt; 0.001).\nCONCLUSION: Neoadjuvant mFOLFIRINOX is an effective, well-tolerated regimen for patients with advanced nonmetastatic pancreatic cancer. When mFOLFIRINOX is coupled with aggressive surgery, high resection rates are possible even when the initial imaging shows locally advanced disease. Although data are still maturing, resection appears to offer at least a progression-free survival advantage.","DOI":"10.1245/s10434-014-4225-1","ISSN":"1534-4681","note":"PMID: 25358667\nPMCID: PMC4373613","journalAbbreviation":"Ann. Surg. Oncol.","language":"eng","author":[{"family":"Blazer","given":"Marlo"},{"family":"Wu","given":"Christina"},{"family":"Goldberg","given":"Richard M."},{"family":"Phillips","given":"Gary"},{"family":"Schmidt","given":"Carl"},{"family":"Muscarella","given":"Peter"},{"family":"Wuthrick","given":"Evan"},{"family":"Williams","given":"Terrence M."},{"family":"Reardon","given":"Joshua"},{"family":"Ellison","given":"E. Christopher"},{"family":"Bloomston","given":"Mark"},{"family":"Bekaii-Saab","given":"Tanios"}],"issued":{"date-parts":[["2015",4]]}}}],"schema":"https://github.com/citation-style-language/schema/raw/master/csl-citation.json"}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27</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p>
    <w:p w14:paraId="2C552012" w14:textId="3123CE46" w:rsidR="00EE31B4" w:rsidRPr="002575A7" w:rsidRDefault="009654E2" w:rsidP="0044750C">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In previous retrospective and single-arm phase II studies, the bolus </w:t>
      </w:r>
      <w:r w:rsidR="009617F6">
        <w:rPr>
          <w:rFonts w:ascii="Book Antiqua" w:hAnsi="Book Antiqua" w:cs="Times New Roman"/>
          <w:sz w:val="24"/>
          <w:szCs w:val="24"/>
          <w:lang w:val="en-US"/>
        </w:rPr>
        <w:t xml:space="preserve">of </w:t>
      </w:r>
      <w:r w:rsidRPr="002575A7">
        <w:rPr>
          <w:rFonts w:ascii="Book Antiqua" w:hAnsi="Book Antiqua" w:cs="Times New Roman"/>
          <w:sz w:val="24"/>
          <w:szCs w:val="24"/>
          <w:lang w:val="en-US"/>
        </w:rPr>
        <w:t xml:space="preserve">5-FU </w:t>
      </w:r>
      <w:r w:rsidR="00251551" w:rsidRPr="002575A7">
        <w:rPr>
          <w:rFonts w:ascii="Book Antiqua" w:hAnsi="Book Antiqua" w:cs="Times New Roman"/>
          <w:sz w:val="24"/>
          <w:szCs w:val="24"/>
          <w:lang w:val="en-US"/>
        </w:rPr>
        <w:t>was</w:t>
      </w:r>
      <w:r w:rsidRPr="002575A7">
        <w:rPr>
          <w:rFonts w:ascii="Book Antiqua" w:hAnsi="Book Antiqua" w:cs="Times New Roman"/>
          <w:sz w:val="24"/>
          <w:szCs w:val="24"/>
          <w:lang w:val="en-US"/>
        </w:rPr>
        <w:t xml:space="preserve"> more frequently discontinued in </w:t>
      </w:r>
      <w:r w:rsidR="00434702">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“modified FOLFIRINOX” combination</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{"citationID":"eu3VnIwV","properties":{"formattedCitation":"\\super 10,28\\uc0\\u8211{}31\\nosupersub{}","plainCitation":"10,28–31","noteIndex":0},"citationItems":[{"id":639,"uris":["http://zotero.org/users/2205527/items/5GS88XMS"],"uri":["http://zotero.org/users/2205527/items/5GS88XMS"],"itemData":{"id":639,"type":"article-journal","title":"Modified FOLFIRINOX regimen with improved safety and maintained efficacy in pancreatic adenocarcinoma","container-title":"Pancreas","page":"1311-1315","volume":"42","issue":"8","source":"PubMed","abstract":"OBJECTIVES: FOLFIRINOX (5-fluorouracil [5-FU], oxaliplatin, and irinotecan) as compared with gemcitabine in pancreatic cancer (PC) has superior activity and increased toxicity. The bolus 5-FU contributes to the toxicity. We hypothesized that the elimination of bolus 5-FU and use of hematopoietic growth factor will improve the safety profile without compromising the activity of FOLFIRINOX.\nMETHODS: Sixty patients with PC treated with modified FOLFIRINOX (no bolus 5-FU) were reviewed. Patients were divided into metastatic or nonmetastatic (locally advanced or borderline resectable) disease. Toxicity, response rate, progression-free survival, and overall survival were evaluated.\nRESULTS: Nonmetastatic and metastatic disease were present in 24 (40%) and 36 (60%) patients, respectively. The incidence of grade 4 neutropenia, grade 3/4 diarrhea, and fatigue were 3%, 13%, and 13%, respectively. Response rate was 30%. The median progression-free survival for nonmetastatic disease was 13.7 months (95% confidence interval [CI], 9.6-24.6 months), and that for metastatic disease was 8.5 months (95% CI, 3.7-11.0 months), respectively. The median overall survival for nonmetastatic disease was 17.8 months (95% CI, 9.9 months to not estimable), and that for metastatic disease was and 9.0 months (95% CI, 7.1 months to not estimable), respectively.\nCONCLUSIONS: Modified FOLFIRINOX has an improved safety profile with maintained efficacy in metastatic PC. Modified FOLFIRINOX has promising activity in nonmetastatic disease.","DOI":"10.1097/MPA.0b013e31829e2006","ISSN":"1536-4828","note":"PMID: 24152956","journalAbbreviation":"Pancreas","language":"eng","author":[{"family":"Mahaseth","given":"Hemchandra"},{"family":"Brutcher","given":"Edith"},{"family":"Kauh","given":"John"},{"family":"Hawk","given":"Natalyn"},{"family":"Kim","given":"Sungjin"},{"family":"Chen","given":"Zhengjia"},{"family":"Kooby","given":"David A."},{"family":"Maithel","given":"Shishir K."},{"family":"Landry","given":"Jerome"},{"family":"El-Rayes","given":"Bassel F."}],"issued":{"date-parts":[["2013",11]]}},"label":"page"},{"id":1667,"uris":["http://zotero.org/users/2205527/items/MM2FFUMQ"],"uri":["http://zotero.org/users/2205527/items/MM2FFUMQ"],"itemData":{"id":1667,"type":"article-journal","title":"Modified-FOLFIRINOX in metastatic pancreatic cancer: A prospective study in Chinese population","container-title":"Cancer Letters","page":"22-26","volume":"406","source":"PubMed","abstract":"FOLFIRINOX chemotherapy has shown remarkable responses in patients with metastatic pancreatic cancer (MPC), and has significantly improved prognosis. However, FOLFIRINOX is currently not frequently applied in China because of its high incidence of adverse events, and there is no recognized optimization for this therapy in Chinese population. Modification of FOLFIRINOX may be better for its acceptance in China. In this study, we evaluated the efficacy and safety of modified-FOLFIRINOX in patients with MPC. A total of 62 MPC patients were treated with modified-FOLFIRINOX (no Fluorouracil bolus, 85% Oxaliplatin and 75% Irinotecan) between April 2014 and April 2017 in our institute. 40 of them were evaluated, with a response rate of 32.5% (13/40). The frequent grade 3/4 adverse events are neutropenia (29%) and alanine aminotransferase elevation (14.5%). No treatment-related death was observed. The median overall survival and median progression-free survival are 10.3 months and 7.0 months, respectively. In conclusion, modified-FOLFIRINOX had significantly improved tolerance with similar efficacy to FOLFIRINOX. These findings may provide evidence for the use of FOLFIRINOX in Chinese patients with MPC.","DOI":"10.1016/j.canlet.2017.07.012","ISSN":"1872-7980","note":"PMID: 28729048","title-short":"Modified-FOLFIRINOX in metastatic pancreatic cancer","journalAbbreviation":"Cancer Lett.","language":"eng","author":[{"family":"Li","given":"Xiang"},{"family":"Ma","given":"Tao"},{"family":"Zhang","given":"Qi"},{"family":"Chen","given":"Yi-Gang"},{"family":"Guo","given":"Cheng-Xiang"},{"family":"Shen","given":"Yi-Nan"},{"family":"Sun","given":"Pei-Wei"},{"family":"Li","given":"Guo-Gang"},{"family":"Gao","given":"Shun-Liang"},{"family":"Que","given":"Ri-Sheng"},{"family":"Lou","given":"Jian-Ying"},{"family":"Yu","given":"Ri-Sheng"},{"family":"Yuan","given":"Ying"},{"family":"Wei","given":"Qi-Chun"},{"family":"Wei","given":"Shu-Mei"},{"family":"Zhang","given":"Yun"},{"family":"Zheng","given":"Lei"},{"family":"Bai","given":"Xue-Li"},{"family":"Liang","given":"Ting-Bo"}],"issued":{"date-parts":[["2017"]],"season":"10"}},"label":"page"},{"id":1664,"uris":["http://zotero.org/users/2205527/items/RSJCYXTT"],"uri":["http://zotero.org/users/2205527/items/RSJCYXTT"],"itemData":{"id":1664,"type":"article-journal","title":"A multicenter prospective phase II study of first-line modified FOLFIRINOX for unresectable advanced pancreatic cancer","container-title":"Oncotarget","page":"111346-111355","volume":"8","issue":"67","source":"PubMed","abstract":"Background: FOLFIRINOX (FX) has been reported as an effective treatment for unresectable advanced pancreatic cancer. However, FX is associated with a high incidence of adverse events (AEs). A previous phase II study in Japan showed high incidences of hematological AEs, including febrile neutropenia (22.2%). A modified FX regimen (mFX) may decrease the rates of AEs and be more effective than FX by improving the treatment compliance.\nAims: To assess the safety and efficacy of first-line mFX for unresectable advanced pancreatic cancer.\nPatients and methods: This was as a multicenter prospective phase II study in chemotherapy-naïve Japanese patients with pathologically confirmed unresectable advanced pancreatic adenocarcinoma or adenosquamous carcinoma. Treatment with mFX (85 mg/m2 oxaliplatin, 150 mg/m2 irinotecan, and 200 mg/m2 l-leucovorin, followed by 46-h continuous infusion of 2400 mg/m2 5-fluorouracil) was administered every 2 weeks. The primary endpoint was the response rate. The secondary endpoints were overall survival, progression-free survival, and safety.\nResults: Thirty-one patients (18 men; median age, 64 years) were enrolled. A median of 13 treatment cycles were administered during a median follow-up period of 14.2 months. The response rate, median overall survival, and median progression-free survival were 38.7%, 14.9 months, and 7.0 months, respectively. Grade 3 or 4 AEs included neutropenia (83.9%), febrile neutropenia (16.1%), peripheral sensory neuropathy (9.7%), thrombocytopenia (6.5%), diarrhea (6.5%), anorexia (6.5%), and vomiting (3.2%).\nConclusion: Compared to FX, mFX may result in fewer Grade 3 or 4 non-hematological AEs, with a comparable response rate. However, further efforts might be required to reduce hematological AEs.","DOI":"10.18632/oncotarget.22795","ISSN":"1949-2553","note":"PMID: 29340058\nPMCID: PMC5762326","journalAbbreviation":"Oncotarget","language":"eng","author":[{"family":"Yoshida","given":"Kensaku"},{"family":"Iwashita","given":"Takuji"},{"family":"Uemura","given":"Shinya"},{"family":"Maruta","given":"Akinori"},{"family":"Okuno","given":"Mitsuru"},{"family":"Ando","given":"Nobuhiro"},{"family":"Iwata","given":"Keisuke"},{"family":"Kawaguchi","given":"Junji"},{"family":"Mukai","given":"Tsuyoshi"},{"family":"Shimizu","given":"Masahito"}],"issued":{"date-parts":[["2017",12,19]]}},"label":"page"},{"id":1654,"uris":["http://zotero.org/users/2205527/items/H242JKKT"],"uri":["http://zotero.org/users/2205527/items/H242JKKT"],"itemData":{"id":1654,"type":"article-journal","title":"The efficacy and safety of modified FOLFIRINOX as first-line chemotherapy for Chinese patients with metastatic pancreatic cancer","container-title":"Cancer Communications (London, England)","page":"26","volume":"39","issue":"1","source":"PubMed","abstract":"BACKGROUND: Oxaliplatin, irinotecan, 5-fluorouracil, and L-leucovorin (FOLFIRINOX) has become one of the first-line treatment options for advanced pancreatic cancer (PC). However, the relatively high rate of grade 3 or 4 adverse events associated with the standard dosage of FOLFIRINOX limits its widespread use in clinical practice. In this study, we were to evaluate the efficacy and safety of a modified FOLFIRINOX regimen as a first-line chemotherapy for Chinese patients with metastatic PC.\nMETHODS: Patients with histologically confirmed primary metastatic pancreatic adenocarcinoma with an Eastern Cooperative Oncology Group (ECOG) performance status score of 0-2 were recruited to receive the modified FOLFIRINOX regimen (intravenous infusion of oxaliplatin, 65 mg/m2; irinotecan, 150 mg/m2; L-leucovorin, 200 mg/m2; and 5-fluorouracil, 2400 mg/m2, repeated every 2 weeks). The treatment was continued for 12 cycles unless the patient had progressive disease (PD), stable disease (SD) with symptom deterioration, unacceptable adverse events, or requested to terminate the treatment prematurely. The primary endpoint was objective response rate (ORR).\nRESULTS: Sixty-five patients were enrolled from July 2012 to April 2017 in three institutions, and they all received at least one cycle of chemotherapy, with a median of 8 cycles (range 1-12 cycles). No complete response was observed. Twenty-one (32.3%) patients had partial responses, and 27 (41.5%) had SD. The ORR and disease control rate of the study cohort was 32.3% and 73.8%. The estimated median overall survival and progression-free survival were 11.60 (95% confidence interval [CI] 8.76-14.44) and 5.77 (95% CI 5.00-6.54) months. Major grade 3 or 4 adverse events included neutropenia (12.3%) and diarrhea (6.2%). No treatment-related death was observed.\nCONCLUSIONS: Modified FOLFIRINOX was well-tolerated and might be a promising option as first-line therapy for Chinese patients with metastatic PC. Trial registration ClinicalTrials.gov, NCT02028806. Registered 7 January 2014, https://clinicaltrials.gov/ct2/show/NCT02028806.","DOI":"10.1186/s40880-019-0367-7","ISSN":"2523-3548","note":"PMID: 31068222\nPMCID: PMC6507030","journalAbbreviation":"Cancer Commun (Lond)","language":"eng","author":[{"family":"Wang","given":"Zhi-Qiang"},{"family":"Zhang","given":"Fei"},{"family":"Deng","given":"Ting"},{"family":"Zhang","given":"Le"},{"family":"Feng","given":"Fen"},{"family":"Wang","given":"Feng-Hua"},{"family":"Wang","given":"Wei"},{"family":"Wang","given":"De-Shen"},{"family":"Luo","given":"Hui-Yan"},{"family":"Xu","given":"Rui-Hua"},{"family":"Ba","given":"Yi"},{"family":"Li","given":"Yu-Hong"}],"issued":{"date-parts":[["2019",5,8]]}},"label":"page"},{"id":1692,"uris":["http://zotero.org/users/2205527/items/UT7ALPXK"],"uri":["http://zotero.org/users/2205527/items/UT7ALPXK"],"itemData":{"id":1692,"type":"article-journal","title":"A phase II study of modified FOLFIRINOX for chemotherapy-naïve patients with metastatic pancreatic cancer","container-title":"Cancer Chemotherapy and Pharmacology","page":"1017-1023","volume":"81","issue":"6","source":"PubMed","abstract":"BACKGROUND: We evaluated the efficacy and safety of a modified FOLFIRINOX regimen for chemotherapy-naïve patients with metastatic pancreatic cancer.\nMETHODS: Patients with untreated metastatic pancreatic cancer (MPC) received modified FOLFIRINOX (intravenous oxaliplatin 85 mg/m2, irinotecan 150 mg/m2, 5-FU infusion 2400 mg/m2 over 46 h, no bolus 5-FU). The primary endpoints were overall survival and the incidence of grade 3 or higher neutropenia. No patients received prophylactic pegfilgrastim.\nRESULTS: Sixty-nine pts. were enrolled from 39 institutions in Japan. The median overall survival was 11.2 months [95% confidence interval (CI) 9.0-]. The median progression-free survival was 5.5 months (95% CI 4.1-6.7). The response rate was 37.7% (95% CI 26.3-50.2), and the disease control rate was 78.3% (95% CI 66.7-87.3). The incidence of grade 3 or higher neutropenia was 47.8%. Serious adverse events occurred in six patients (8.7%). All AE proportions were less than those in the previous Japanese full-dose phase II study. One patient died due to interstitial pneumonia related to treatment.\nCONCLUSION: This is the first prospective study of modified FOLFIRINOX in Asia. Modified FOLFIRINOX in this study has an improved safety profile with maintained efficacy in MPC without prophylactic pegfilgrastim.","DOI":"10.1007/s00280-018-3577-9","ISSN":"1432-0843","note":"PMID: 29633005","journalAbbreviation":"Cancer Chemother. Pharmacol.","language":"eng","author":[{"family":"Ozaka","given":"Masato"},{"family":"Ishii","given":"Hiroshi"},{"family":"Sato","given":"Tosiya"},{"family":"Ueno","given":"Makoto"},{"family":"Ikeda","given":"Masafumi"},{"family":"Uesugi","given":"Kazuhiro"},{"family":"Sata","given":"Naohiro"},{"family":"Miyashita","given":"Kouichirou"},{"family":"Mizuno","given":"Nobumasa"},{"family":"Tsuji","given":"Kunihiro"},{"family":"Okusaka","given":"Takuji"},{"family":"Furuse","given":"Junji"}],"issued":{"date-parts":[["2018"]]}},"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10,28–31</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Infusion </w:t>
      </w:r>
      <w:r w:rsidR="009617F6">
        <w:rPr>
          <w:rFonts w:ascii="Book Antiqua" w:hAnsi="Book Antiqua" w:cs="Times New Roman"/>
          <w:sz w:val="24"/>
          <w:szCs w:val="24"/>
          <w:lang w:val="en-US"/>
        </w:rPr>
        <w:t xml:space="preserve">of </w:t>
      </w:r>
      <w:r w:rsidRPr="002575A7">
        <w:rPr>
          <w:rFonts w:ascii="Book Antiqua" w:hAnsi="Book Antiqua" w:cs="Times New Roman"/>
          <w:sz w:val="24"/>
          <w:szCs w:val="24"/>
          <w:lang w:val="en-US"/>
        </w:rPr>
        <w:t xml:space="preserve">5-FU is preferred for the treatment of colorectal cancer over bolus 5-FU. In this setting, the omission of </w:t>
      </w:r>
      <w:r w:rsidR="009617F6">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bolus </w:t>
      </w:r>
      <w:r w:rsidR="009617F6">
        <w:rPr>
          <w:rFonts w:ascii="Book Antiqua" w:hAnsi="Book Antiqua" w:cs="Times New Roman"/>
          <w:sz w:val="24"/>
          <w:szCs w:val="24"/>
          <w:lang w:val="en-US"/>
        </w:rPr>
        <w:t xml:space="preserve">of </w:t>
      </w:r>
      <w:r w:rsidRPr="002575A7">
        <w:rPr>
          <w:rFonts w:ascii="Book Antiqua" w:hAnsi="Book Antiqua" w:cs="Times New Roman"/>
          <w:sz w:val="24"/>
          <w:szCs w:val="24"/>
          <w:lang w:val="en-US"/>
        </w:rPr>
        <w:t xml:space="preserve">5-FU has </w:t>
      </w:r>
      <w:r w:rsidR="009617F6">
        <w:rPr>
          <w:rFonts w:ascii="Book Antiqua" w:hAnsi="Book Antiqua" w:cs="Times New Roman"/>
          <w:sz w:val="24"/>
          <w:szCs w:val="24"/>
          <w:lang w:val="en-US"/>
        </w:rPr>
        <w:t xml:space="preserve">been </w:t>
      </w:r>
      <w:r w:rsidRPr="002575A7">
        <w:rPr>
          <w:rFonts w:ascii="Book Antiqua" w:hAnsi="Book Antiqua" w:cs="Times New Roman"/>
          <w:sz w:val="24"/>
          <w:szCs w:val="24"/>
          <w:lang w:val="en-US"/>
        </w:rPr>
        <w:t xml:space="preserve">shown to improve the safety profile, </w:t>
      </w:r>
      <w:r w:rsidR="009617F6">
        <w:rPr>
          <w:rFonts w:ascii="Book Antiqua" w:hAnsi="Book Antiqua" w:cs="Times New Roman"/>
          <w:sz w:val="24"/>
          <w:szCs w:val="24"/>
          <w:lang w:val="en-US"/>
        </w:rPr>
        <w:t>while</w:t>
      </w:r>
      <w:r w:rsidR="009617F6"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significantly </w:t>
      </w:r>
      <w:r w:rsidR="009617F6">
        <w:rPr>
          <w:rFonts w:ascii="Book Antiqua" w:hAnsi="Book Antiqua" w:cs="Times New Roman"/>
          <w:sz w:val="24"/>
          <w:szCs w:val="24"/>
          <w:lang w:val="en-US"/>
        </w:rPr>
        <w:t xml:space="preserve">decreasing </w:t>
      </w:r>
      <w:r w:rsidR="00191822" w:rsidRPr="002575A7">
        <w:rPr>
          <w:rFonts w:ascii="Book Antiqua" w:hAnsi="Book Antiqua" w:cs="Times New Roman"/>
          <w:sz w:val="24"/>
          <w:szCs w:val="24"/>
          <w:lang w:val="en-US"/>
        </w:rPr>
        <w:t>hematological</w:t>
      </w:r>
      <w:r w:rsidR="00D01983" w:rsidRPr="002575A7">
        <w:rPr>
          <w:rFonts w:ascii="Book Antiqua" w:hAnsi="Book Antiqua" w:cs="Times New Roman"/>
          <w:sz w:val="24"/>
          <w:szCs w:val="24"/>
          <w:lang w:val="en-US"/>
        </w:rPr>
        <w:t xml:space="preserve"> toxicity</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{"citationID":"KUP6cDXt","properties":{"formattedCitation":"\\super 32\\nosupersub{}","plainCitation":"32","noteIndex":0},"citationItems":[{"id":1714,"uris":["http://zotero.org/users/2205527/items/2CN5V8UL"],"uri":["http://zotero.org/users/2205527/items/2CN5V8UL"],"itemData":{"id":1714,"type":"article-journal","title":"Phase II clinical study of modified FOLFOX7 (intermittent oxaliplatin administration) plus bevacizumab in patients with unresectable metastatic colorectal cancer-CRAFT study","container-title":"Investigational New Drugs","page":"1321-1329","volume":"31","issue":"5","source":"PubMed","abstract":"PURPOSE: Continuous treatment with FOLFOX therapy is associated with peripheral nerve toxicity, and to improve this inconvenient side effect various methods of administration are being investigated. A regimen of intermittent oxaliplatin administration by continuous infusion therapy, i.e., modified FOLFOX7 (mFOLFOX7) + bevacizumab, was designed with the goal of alleviating severe peripheral nerve disorders and hematological toxicity. A phase II clinical study was conducted to evaluate the efficacy and safety of this regimen.\nMETHODS: Previously untreated patients were assigned to mFOLFOX7 (oxaliplatin 85 mg/m(2), levofolinate [l-LV] 200 mg/m(2), 5-fluorouracil [5-FU] 2400 mg/m(2)) + bevacizumab (5 mg/kg) administered every 2 weeks for 8 cycles, maintenance without oxaliplatin for 8 cycles, and reintroduction of mFOLFOX7 + bevacizumab for 8 cycles or until disease progression. Progression free survival (PFS) following the first dose (PFS 1) and following reintroduction of oxaliplatin (PFS 2) were used as indices for assessing the efficacy of intermittent administration.\nRESULTS: Fifty-two patients were enrolled, with median age of 64 years (range, 36-74). Median PFS 1 was 11.8 months (95 % confidence interval [CI], 9.5 to 13.7), median time to treatment failure was 10.3 months (95 % CI, 5.6 to 12.1), percentage of patients with neutropenia of grade 3 or higher was 7.8 %, and percentage with peripheral nerve disorders was 3.9 %. Response rate was 50 %, and 84.4 % of patients who started modified simplified LV5FU2 + bevacizumab were reintroduced to oxaliplatin.\nCONCLUSION: By excluding 5-FU bolus administration and administering bevacizumab continuously the mFOLFOX7 + bevacizumab regimen with preplanned withdrawal of oxaliplatin showed high tolerability and prevented severe peripheral neuropathy and neutropenia without reducing efficacy.","DOI":"10.1007/s10637-013-9982-3","ISSN":"1573-0646","note":"PMID: 23817973\nPMCID: PMC3771374","journalAbbreviation":"Invest New Drugs","language":"eng","author":[{"family":"Tezuka","given":"Tohru"},{"family":"Hamada","given":"Chikuma"},{"family":"Ishida","given":"Hideyuki"},{"family":"Ooshiro","given":"Mitsuru"},{"family":"Matsuoka","given":"Hiroshi"},{"family":"Kawasaki","given":"Shingo"},{"family":"Mishima","given":"Hideyuki"},{"family":"Maeda","given":"Kotaro"},{"family":"Sakamoto","given":"Junichi"},{"family":"Koda","given":"Keiji"}],"issued":{"date-parts":[["2013",10]]}}}],"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32</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A dose reduction of irinotecan (130-135</w:t>
      </w:r>
      <w:r w:rsidR="0044750C" w:rsidRPr="002575A7">
        <w:rPr>
          <w:rFonts w:ascii="Book Antiqua" w:hAnsi="Book Antiqua" w:cs="Times New Roman"/>
          <w:sz w:val="24"/>
          <w:szCs w:val="24"/>
          <w:lang w:val="en-US"/>
        </w:rPr>
        <w:t xml:space="preserve"> mg/m</w:t>
      </w:r>
      <w:r w:rsidR="0044750C" w:rsidRPr="002575A7">
        <w:rPr>
          <w:rFonts w:ascii="Book Antiqua" w:hAnsi="Book Antiqua" w:cs="Times New Roman"/>
          <w:sz w:val="24"/>
          <w:szCs w:val="24"/>
          <w:vertAlign w:val="superscript"/>
          <w:lang w:val="en-US"/>
        </w:rPr>
        <w:t>2</w:t>
      </w:r>
      <w:r w:rsidRPr="002575A7">
        <w:rPr>
          <w:rFonts w:ascii="Book Antiqua" w:hAnsi="Book Antiqua" w:cs="Times New Roman"/>
          <w:sz w:val="24"/>
          <w:szCs w:val="24"/>
          <w:lang w:val="en-US"/>
        </w:rPr>
        <w:t>, 150</w:t>
      </w:r>
      <w:r w:rsidR="0044750C" w:rsidRPr="002575A7">
        <w:rPr>
          <w:rFonts w:ascii="Book Antiqua" w:hAnsi="Book Antiqua" w:cs="Times New Roman"/>
          <w:sz w:val="24"/>
          <w:szCs w:val="24"/>
          <w:lang w:val="en-US"/>
        </w:rPr>
        <w:t xml:space="preserve"> mg/m</w:t>
      </w:r>
      <w:r w:rsidR="0044750C" w:rsidRPr="002575A7">
        <w:rPr>
          <w:rFonts w:ascii="Book Antiqua" w:hAnsi="Book Antiqua" w:cs="Times New Roman"/>
          <w:sz w:val="24"/>
          <w:szCs w:val="24"/>
          <w:vertAlign w:val="superscript"/>
          <w:lang w:val="en-US"/>
        </w:rPr>
        <w:t>2</w:t>
      </w:r>
      <w:r w:rsidRPr="002575A7">
        <w:rPr>
          <w:rFonts w:ascii="Book Antiqua" w:hAnsi="Book Antiqua" w:cs="Times New Roman"/>
          <w:sz w:val="24"/>
          <w:szCs w:val="24"/>
          <w:lang w:val="en-US"/>
        </w:rPr>
        <w:t>, or 165 mg/m</w:t>
      </w:r>
      <w:r w:rsidRPr="002575A7">
        <w:rPr>
          <w:rFonts w:ascii="Book Antiqua" w:hAnsi="Book Antiqua" w:cs="Times New Roman"/>
          <w:sz w:val="24"/>
          <w:szCs w:val="24"/>
          <w:vertAlign w:val="superscript"/>
          <w:lang w:val="en-US"/>
        </w:rPr>
        <w:t>2</w:t>
      </w:r>
      <w:r w:rsidRPr="002575A7">
        <w:rPr>
          <w:rFonts w:ascii="Book Antiqua" w:hAnsi="Book Antiqua" w:cs="Times New Roman"/>
          <w:sz w:val="24"/>
          <w:szCs w:val="24"/>
          <w:lang w:val="en-US"/>
        </w:rPr>
        <w:t>) was evaluated in previous studies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{"citationID":"WtA3ys5O","properties":{"formattedCitation":"\\super 28\\uc0\\u8211{}31,33\\uc0\\u8211{}35\\nosupersub{}","plainCitation":"28–31,33–35","noteIndex":0},"citationItems":[{"id":1667,"uris":["http://zotero.org/users/2205527/items/MM2FFUMQ"],"uri":["http://zotero.org/users/2205527/items/MM2FFUMQ"],"itemData":{"id":1667,"type":"article-journal","title":"Modified-FOLFIRINOX in metastatic pancreatic cancer: A prospective study in Chinese population","container-title":"Cancer Letters","page":"22-26","volume":"406","source":"PubMed","abstract":"FOLFIRINOX chemotherapy has shown remarkable responses in patients with metastatic pancreatic cancer (MPC), and has significantly improved prognosis. However, FOLFIRINOX is currently not frequently applied in China because of its high incidence of adverse events, and there is no recognized optimization for this therapy in Chinese population. Modification of FOLFIRINOX may be better for its acceptance in China. In this study, we evaluated the efficacy and safety of modified-FOLFIRINOX in patients with MPC. A total of 62 MPC patients were treated with modified-FOLFIRINOX (no Fluorouracil bolus, 85% Oxaliplatin and 75% Irinotecan) between April 2014 and April 2017 in our institute. 40 of them were evaluated, with a response rate of 32.5% (13/40). The frequent grade 3/4 adverse events are neutropenia (29%) and alanine aminotransferase elevation (14.5%). No treatment-related death was observed. The median overall survival and median progression-free survival are 10.3 months and 7.0 months, respectively. In conclusion, modified-FOLFIRINOX had significantly improved tolerance with similar efficacy to FOLFIRINOX. These findings may provide evidence for the use of FOLFIRINOX in Chinese patients with MPC.","DOI":"10.1016/j.canlet.2017.07.012","ISSN":"1872-7980","note":"PMID: 28729048","title-short":"Modified-FOLFIRINOX in metastatic pancreatic cancer","journalAbbreviation":"Cancer Lett.","language":"eng","author":[{"family":"Li","given":"Xiang"},{"family":"Ma","given":"Tao"},{"family":"Zhang","given":"Qi"},{"family":"Chen","given":"Yi-Gang"},{"family":"Guo","given":"Cheng-Xiang"},{"family":"Shen","given":"Yi-Nan"},{"family":"Sun","given":"Pei-Wei"},{"family":"Li","given":"Guo-Gang"},{"family":"Gao","given":"Shun-Liang"},{"family":"Que","given":"Ri-Sheng"},{"family":"Lou","given":"Jian-Ying"},{"family":"Yu","given":"Ri-Sheng"},{"family":"Yuan","given":"Ying"},{"family":"Wei","given":"Qi-Chun"},{"family":"Wei","given":"Shu-Mei"},{"family":"Zhang","given":"Yun"},{"family":"Zheng","given":"Lei"},{"family":"Bai","given":"Xue-Li"},{"family":"Liang","given":"Ting-Bo"}],"issued":{"date-parts":[["2017"]],"season":"10"}},"label":"page"},{"id":1664,"uris":["http://zotero.org/users/2205527/items/RSJCYXTT"],"uri":["http://zotero.org/users/2205527/items/RSJCYXTT"],"itemData":{"id":1664,"type":"article-journal","title":"A multicenter prospective phase II study of first-line modified FOLFIRINOX for unresectable advanced pancreatic cancer","container-title":"Oncotarget","page":"111346-111355","volume":"8","issue":"67","source":"PubMed","abstract":"Background: FOLFIRINOX (FX) has been reported as an effective treatment for unresectable advanced pancreatic cancer. However, FX is associated with a high incidence of adverse events (AEs). A previous phase II study in Japan showed high incidences of hematological AEs, including febrile neutropenia (22.2%). A modified FX regimen (mFX) may decrease the rates of AEs and be more effective than FX by improving the treatment compliance.\nAims: To assess the safety and efficacy of first-line mFX for unresectable advanced pancreatic cancer.\nPatients and methods: This was as a multicenter prospective phase II study in chemotherapy-naïve Japanese patients with pathologically confirmed unresectable advanced pancreatic adenocarcinoma or adenosquamous carcinoma. Treatment with mFX (85 mg/m2 oxaliplatin, 150 mg/m2 irinotecan, and 200 mg/m2 l-leucovorin, followed by 46-h continuous infusion of 2400 mg/m2 5-fluorouracil) was administered every 2 weeks. The primary endpoint was the response rate. The secondary endpoints were overall survival, progression-free survival, and safety.\nResults: Thirty-one patients (18 men; median age, 64 years) were enrolled. A median of 13 treatment cycles were administered during a median follow-up period of 14.2 months. The response rate, median overall survival, and median progression-free survival were 38.7%, 14.9 months, and 7.0 months, respectively. Grade 3 or 4 AEs included neutropenia (83.9%), febrile neutropenia (16.1%), peripheral sensory neuropathy (9.7%), thrombocytopenia (6.5%), diarrhea (6.5%), anorexia (6.5%), and vomiting (3.2%).\nConclusion: Compared to FX, mFX may result in fewer Grade 3 or 4 non-hematological AEs, with a comparable response rate. However, further efforts might be required to reduce hematological AEs.","DOI":"10.18632/oncotarget.22795","ISSN":"1949-2553","note":"PMID: 29340058\nPMCID: PMC5762326","journalAbbreviation":"Oncotarget","language":"eng","author":[{"family":"Yoshida","given":"Kensaku"},{"family":"Iwashita","given":"Takuji"},{"family":"Uemura","given":"Shinya"},{"family":"Maruta","given":"Akinori"},{"family":"Okuno","given":"Mitsuru"},{"family":"Ando","given":"Nobuhiro"},{"family":"Iwata","given":"Keisuke"},{"family":"Kawaguchi","given":"Junji"},{"family":"Mukai","given":"Tsuyoshi"},{"family":"Shimizu","given":"Masahito"}],"issued":{"date-parts":[["2017",12,19]]}},"label":"page"},{"id":1654,"uris":["http://zotero.org/users/2205527/items/H242JKKT"],"uri":["http://zotero.org/users/2205527/items/H242JKKT"],"itemData":{"id":1654,"type":"article-journal","title":"The efficacy and safety of modified FOLFIRINOX as first-line chemotherapy for Chinese patients with metastatic pancreatic cancer","container-title":"Cancer Communications (London, England)","page":"26","volume":"39","issue":"1","source":"PubMed","abstract":"BACKGROUND: Oxaliplatin, irinotecan, 5-fluorouracil, and L-leucovorin (FOLFIRINOX) has become one of the first-line treatment options for advanced pancreatic cancer (PC). However, the relatively high rate of grade 3 or 4 adverse events associated with the standard dosage of FOLFIRINOX limits its widespread use in clinical practice. In this study, we were to evaluate the efficacy and safety of a modified FOLFIRINOX regimen as a first-line chemotherapy for Chinese patients with metastatic PC.\nMETHODS: Patients with histologically confirmed primary metastatic pancreatic adenocarcinoma with an Eastern Cooperative Oncology Group (ECOG) performance status score of 0-2 were recruited to receive the modified FOLFIRINOX regimen (intravenous infusion of oxaliplatin, 65 mg/m2; irinotecan, 150 mg/m2; L-leucovorin, 200 mg/m2; and 5-fluorouracil, 2400 mg/m2, repeated every 2 weeks). The treatment was continued for 12 cycles unless the patient had progressive disease (PD), stable disease (SD) with symptom deterioration, unacceptable adverse events, or requested to terminate the treatment prematurely. The primary endpoint was objective response rate (ORR).\nRESULTS: Sixty-five patients were enrolled from July 2012 to April 2017 in three institutions, and they all received at least one cycle of chemotherapy, with a median of 8 cycles (range 1-12 cycles). No complete response was observed. Twenty-one (32.3%) patients had partial responses, and 27 (41.5%) had SD. The ORR and disease control rate of the study cohort was 32.3% and 73.8%. The estimated median overall survival and progression-free survival were 11.60 (95% confidence interval [CI] 8.76-14.44) and 5.77 (95% CI 5.00-6.54) months. Major grade 3 or 4 adverse events included neutropenia (12.3%) and diarrhea (6.2%). No treatment-related death was observed.\nCONCLUSIONS: Modified FOLFIRINOX was well-tolerated and might be a promising option as first-line therapy for Chinese patients with metastatic PC. Trial registration ClinicalTrials.gov, NCT02028806. Registered 7 January 2014, https://clinicaltrials.gov/ct2/show/NCT02028806.","DOI":"10.1186/s40880-019-0367-7","ISSN":"2523-3548","note":"PMID: 31068222\nPMCID: PMC6507030","journalAbbreviation":"Cancer Commun (Lond)","language":"eng","author":[{"family":"Wang","given":"Zhi-Qiang"},{"family":"Zhang","given":"Fei"},{"family":"Deng","given":"Ting"},{"family":"Zhang","given":"Le"},{"family":"Feng","given":"Fen"},{"family":"Wang","given":"Feng-Hua"},{"family":"Wang","given":"Wei"},{"family":"Wang","given":"De-Shen"},{"family":"Luo","given":"Hui-Yan"},{"family":"Xu","given":"Rui-Hua"},{"family":"Ba","given":"Yi"},{"family":"Li","given":"Yu-Hong"}],"issued":{"date-parts":[["2019",5,8]]}},"label":"page"},{"id":1692,"uris":["http://zotero.org/users/2205527/items/UT7ALPXK"],"uri":["http://zotero.org/users/2205527/items/UT7ALPXK"],"itemData":{"id":1692,"type":"article-journal","title":"A phase II study of modified FOLFIRINOX for chemotherapy-naïve patients with metastatic pancreatic cancer","container-title":"Cancer Chemotherapy and Pharmacology","page":"1017-1023","volume":"81","issue":"6","source":"PubMed","abstract":"BACKGROUND: We evaluated the efficacy and safety of a modified FOLFIRINOX regimen for chemotherapy-naïve patients with metastatic pancreatic cancer.\nMETHODS: Patients with untreated metastatic pancreatic cancer (MPC) received modified FOLFIRINOX (intravenous oxaliplatin 85 mg/m2, irinotecan 150 mg/m2, 5-FU infusion 2400 mg/m2 over 46 h, no bolus 5-FU). The primary endpoints were overall survival and the incidence of grade 3 or higher neutropenia. No patients received prophylactic pegfilgrastim.\nRESULTS: Sixty-nine pts. were enrolled from 39 institutions in Japan. The median overall survival was 11.2 months [95% confidence interval (CI) 9.0-]. The median progression-free survival was 5.5 months (95% CI 4.1-6.7). The response rate was 37.7% (95% CI 26.3-50.2), and the disease control rate was 78.3% (95% CI 66.7-87.3). The incidence of grade 3 or higher neutropenia was 47.8%. Serious adverse events occurred in six patients (8.7%). All AE proportions were less than those in the previous Japanese full-dose phase II study. One patient died due to interstitial pneumonia related to treatment.\nCONCLUSION: This is the first prospective study of modified FOLFIRINOX in Asia. Modified FOLFIRINOX in this study has an improved safety profile with maintained efficacy in MPC without prophylactic pegfilgrastim.","DOI":"10.1007/s00280-018-3577-9","ISSN":"1432-0843","note":"PMID: 29633005","journalAbbreviation":"Cancer Chemother. Pharmacol.","language":"eng","author":[{"family":"Ozaka","given":"Masato"},{"family":"Ishii","given":"Hiroshi"},{"family":"Sato","given":"Tosiya"},{"family":"Ueno","given":"Makoto"},{"family":"Ikeda","given":"Masafumi"},{"family":"Uesugi","given":"Kazuhiro"},{"family":"Sata","given":"Naohiro"},{"family":"Miyashita","given":"Kouichirou"},{"family":"Mizuno","given":"Nobumasa"},{"family":"Tsuji","given":"Kunihiro"},{"family":"Okusaka","given":"Takuji"},{"family":"Furuse","given":"Junji"}],"issued":{"date-parts":[["2018"]]}},"label":"page"},{"id":1661,"uris":["http://zotero.org/users/2205527/items/FQ8F3X78"],"uri":["http://zotero.org/users/2205527/items/FQ8F3X78"],"itemData":{"id":1661,"type":"article-journal","title":"Final analysis of a phase II study of modified FOLFIRINOX in locally advanced and metastatic pancreatic cancer","container-title":"British Journal of Cancer","page":"737-743","volume":"114","issue":"7","source":"PubMed","abstract":"BACKGROUND: Modifications of FOLFIRINOX are widely used despite the absence of prospective data validating efficacy in metastatic disease (metastatic pancreatic cancer (MPC)) or locally advanced pancreatic cancer (LAPC). We conducted a multicentre phase II study of modified FOLFIRINOX in advanced pancreatic cancer to assess the impact of dose attenuation in MPC and efficacy in LAPC.\nMETHODS: Patients with untreated MPC or LAPC received modified FOLFIRINOX (irinotecan and bolus 5-fluorouracil reduced by 25%). Adverse events (AEs) were compared with full-dose FOLFIRINOX. Response rate (RR), median progression-free survival (PFS) and median overall survival (OS) were determined.\nRESULTS: In total, 31 and 44 patients with LAPC and MPC were enrolled, respectively. In MPC, efficacy of modified FOLFIRINOX was comparable with FOLFIRINOX with RR 35.1%, OS 10.2 months (95% CI 7.65-14.32) and PFS 6.1 months (95% CI 5.19-8.31). In LAPC, efficacy was notable with RR 17.2%, resection rate 41.9%, PFS 17.8 months (95% CI 11.0-23.9) and OS 26.6 months (95% CI 16.7, NA). Neutropenia (P&lt;0.0001), vomiting (P&lt;0.001) and fatigue (P=0.01) were significantly decreased. [(18)F]-Fluorodeoxyglucose positron emission tomography imaging response did not correlate with PFS or OS.\nCONCLUSIONS: In this first prospective study of modified FOLFIRINOX in MPC and LAPC, we observed decreased AEs compared with historical control patients. In MPC, the efficacy appears comparable with FOLFIRINOX. In LAPC, PFS and OS were prolonged and support the continued use of FOLFIRINOX in this setting.","DOI":"10.1038/bjc.2016.45","ISSN":"1532-1827","note":"PMID: 27022826\nPMCID: PMC4984865","journalAbbreviation":"Br. J. Cancer","language":"eng","author":[{"family":"Stein","given":"Stacey M."},{"family":"James","given":"Edward S."},{"family":"Deng","given":"Yanhong"},{"family":"Cong","given":"Xiangyu"},{"family":"Kortmansky","given":"Jeremy S."},{"family":"Li","given":"Jia"},{"family":"Staugaard","given":"Carol"},{"family":"Indukala","given":"Doddamane"},{"family":"Boustani","given":"Ann Marie"},{"family":"Patel","given":"Vatsal"},{"family":"Cha","given":"Charles H."},{"family":"Salem","given":"Ronald R."},{"family":"Chang","given":"Bryan"},{"family":"Hochster","given":"Howard S."},{"family":"Lacy","given":"Jill"}],"issued":{"date-parts":[["2016",3,29]]}},"label":"page"},{"id":1659,"uris":["http://zotero.org/users/2205527/items/JYLKNA6M"],"uri":["http://zotero.org/users/2205527/items/JYLKNA6M"],"itemData":{"id":1659,"type":"article-journal","title":"Safety and Efficacy of Modified FOLFIRINOX for Advanced Pancreatic Adenocarcinoma: A UK Single-Centre Experience","container-title":"Oncology","page":"281-287","volume":"89","issue":"5","source":"PubMed","abstract":"OBJECTIVES: The combination of 5-fluorouracil (5-FU), irinotecan and oxaliplatin (FOLFIRINOX) is considered the first-line chemotherapy for fit patients with advanced pancreatic ductal adenocarcinoma (PDAC) but carries an unfavourable adverse event (AE) profile. We retrospectively evaluated the tolerability and efficacy of a modified FOLFIRINOX (mFOLFIRINOX) regimen: intravenous oxaliplatin 85 mg/m2, irinotecan 135 mg/m2, folinic acid 400 mg/m2 and 5-FU infusion 2,400 mg/m2 over 46 h, with routine subcutaneous filgrastim on a 14-day cycle.\nMETHODS: Records of 18 patients with advanced PDAC who received treatment with mFOLFIRINOX were reviewed. Imaging of measurable disease was assessed for response, and survival was measured from the date of commencing chemotherapy to disease progression and/or death.\nRESULTS: Grade 3 or 4 AEs (n; %) included vomiting (5; 28), nausea (4; 22), diarrhoea (3; 17) and non-neutropaenic fever (3; 17). For patients with stage IV disease, 12/15 (80%) achieved at least stable disease as the best radiological response, with 7/15 (47%) objective responses. In this subgroup, median overall and progression-free survival were 9.3 months (95% CI 8.3-10.4) and 7.2 months (95% CI 4.7-9.6), respectively.\nCONCLUSION: Compared to full-dose FOLFIRINOX, our modified regimen resulted in lower haematological but only marginally improved non-haematological toxicity rates, with comparable efficacy outcomes. Prospective studies are required to validate these findings.","DOI":"10.1159/000439171","ISSN":"1423-0232","note":"PMID: 26372905","title-short":"Safety and Efficacy of Modified FOLFIRINOX for Advanced Pancreatic Adenocarcinoma","journalAbbreviation":"Oncology","language":"eng","author":[{"family":"Ghorani","given":"Ehsan"},{"family":"Wong","given":"Han Hsi"},{"family":"Hewitt","given":"Carole"},{"family":"Calder","given":"Joanna"},{"family":"Corrie","given":"Pippa"},{"family":"Basu","given":"Bristi"}],"issued":{"date-parts":[["2015"]]}},"label":"page"},{"id":1678,"uris":["http://zotero.org/users/2205527/items/7BPHPU3N"],"uri":["http://zotero.org/users/2205527/items/7BPHPU3N"],"itemData":{"id":1678,"type":"article-journal","title":"Modified FOLFIRINOX for unresectable locally advanced/metastatic pancreatic cancer. A real-world comparison of an attenuated with a full dose in a single center experience","container-title":"OncoTargets and Therapy","page":"3077-3085","volume":"12","source":"PubMed","abstract":"Purpose: Metastatic pancreatic adenocarcinoma has a very poor prognosis. Although irinotecan, oxaliplatin and leucovorin-modulated fluorouracil (FOLFIRINOX) significantly increases survival in advanced pancreatic cancer, compared to employing only gemcitabine (GEM), toxicities have tempered enthusiasm for its use. Methods: This study retrospectively analyses the real-world clinical practice with full and attenuated doses of FOLFIRINOX in unselected patients with locally advanced unresectable or metastatic pancreatic cancer, treated at an Italian general hospital. Efficacy, tolerability, and toxicity were evaluated, and overall survival (OS) and progression-free survival (PFS) were estimated by Kaplan-Meier method. Results: Fifty consecutive patients with advanced (13) or metastatic (37) pancreatic adenocarcinomas were treated with FOLFIRINOX at the Medical Oncology Unit, Piacenza General Hospital, North Italy. The first enrolled consecutive 18 patients (36%) of this series started the treatment with a full dose of the regimen, while the subsequent 32 (64%) consecutive patients received dose attenuation (-20% bolus fluorouracil and -25% irinotecan). In the entire group, the response rate, median OS, and median PFS were 30%, 10.1 months, and 5.6 months, respectively, with no differences in objective response in the 32 patients that received an attenuated dose compared with the 18 patients receiving a full dose of chemotherapy. However, neutropenia, anemia, fatigue, and vomiting were statistically increased in the 18 patients receiving a full dose compared with the 32 patients receiving an attenuated dose of FOLFIRINOX (p&lt;0.05). Conclusion: This study demonstrates the efficacy and tolerability of modified FOLFIRINOX in advanced and metastatic pancreatic cancer.","DOI":"10.2147/OTT.S200754","ISSN":"1178-6930","note":"PMID: 31118666\nPMCID: PMC6498392","journalAbbreviation":"Onco Targets Ther","language":"eng","author":[{"family":"Cavanna","given":"Luigi"},{"family":"Stroppa","given":"Elisa Maria"},{"family":"Citterio","given":"Chiara"},{"family":"Mordenti","given":"Patrizia"},{"family":"Di Nunzio","given":"Camilla"},{"family":"Peveri","given":"Silvia"},{"family":"Orlandi","given":"Elena"},{"family":"Vecchia","given":"Stefano"}],"issued":{"date-parts":[["2019"]]}},"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28–31,33–35</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 xml:space="preserve">. </w:t>
      </w:r>
      <w:r w:rsidRPr="002575A7">
        <w:rPr>
          <w:rFonts w:ascii="Book Antiqua" w:hAnsi="Book Antiqua" w:cs="Times New Roman"/>
          <w:sz w:val="24"/>
          <w:szCs w:val="24"/>
          <w:lang w:val="en-US"/>
        </w:rPr>
        <w:t>The addition of irinotecan in FOLFOXIRI chemotherapy increased digestive toxicity</w:t>
      </w:r>
      <w:r w:rsidR="00EF1CD7" w:rsidRPr="002575A7">
        <w:rPr>
          <w:rFonts w:ascii="Book Antiqua" w:hAnsi="Book Antiqua" w:cs="Times New Roman"/>
          <w:sz w:val="24"/>
          <w:szCs w:val="24"/>
          <w:lang w:val="en-US"/>
        </w:rPr>
        <w:t xml:space="preserve"> </w:t>
      </w:r>
      <w:r w:rsidR="002575A7" w:rsidRPr="002575A7">
        <w:rPr>
          <w:rFonts w:ascii="Book Antiqua" w:hAnsi="Book Antiqua" w:cs="Times New Roman"/>
          <w:sz w:val="24"/>
          <w:szCs w:val="24"/>
          <w:lang w:val="en-US"/>
        </w:rPr>
        <w:t>occurrence</w:t>
      </w:r>
      <w:r w:rsidRPr="002575A7">
        <w:rPr>
          <w:rFonts w:ascii="Book Antiqua" w:hAnsi="Book Antiqua" w:cs="Times New Roman"/>
          <w:sz w:val="24"/>
          <w:szCs w:val="24"/>
          <w:lang w:val="en-US"/>
        </w:rPr>
        <w:t xml:space="preserve">, notably nausea/vomiting and diarrhea, compared to the doublet-chemotherapy (FOLFOX) </w:t>
      </w:r>
      <w:r w:rsidR="00D01983" w:rsidRPr="002575A7">
        <w:rPr>
          <w:rFonts w:ascii="Book Antiqua" w:hAnsi="Book Antiqua" w:cs="Times New Roman"/>
          <w:sz w:val="24"/>
          <w:szCs w:val="24"/>
          <w:lang w:val="en-US"/>
        </w:rPr>
        <w:t>in metastatic colorectal cancer</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{"citationID":"tsLZh1je","properties":{"formattedCitation":"\\super 36\\nosupersub{}","plainCitation":"36","noteIndex":0},"citationItems":[{"id":1717,"uris":["http://zotero.org/users/2205527/items/UY86QG3R"],"uri":["http://zotero.org/users/2205527/items/UY86QG3R"],"itemData":{"id":1717,"type":"article-journal","title":"Bevacizumab plus mFOLFOX-6 or FOLFOXIRI in patients with initially unresectable liver metastases from colorectal cancer: the OLIVIA multinational randomised phase II trial","container-title":"Annals of Oncology: Official Journal of the European Society for Medical Oncology","page":"702-708","volume":"26","issue":"4","source":"PubMed","abstract":"BACKGROUND: For patients with initially unresectable liver metastases from colorectal cancer, chemotherapy can downsize metastases and facilitate secondary resection. We assessed the efficacy of bevacizumab plus modified FOLFOX-6 (5-fluorouracil/folinic acid, oxaliplatin) or FOLFOXIRI (5-fluorouracil/folinic acid, oxaliplatin, irinotecan) in this setting.\nPATIENTS AND METHODS: OLIVIA was a multinational open-label phase II study conducted at 16 centres in Austria, France, Spain, and the UK. Patients with unresectable liver metastases were randomised to bevacizumab (5 mg/kg) plus mFOLFOX-6 [oxaliplatin 85 mg/m(2), folinic acid 400 mg/m(2), 5-fluorouracil 400 mg/m(2) (bolus) then 2400 mg/m(2) (46-h infusion)] or FOLFOXIRI [oxaliplatin 85 mg/m(2), irinotecan 165 mg/m(2), folinic acid 200 mg/m(2), 5-fluorouracil 3200 mg/m(2) (46-h infusion)] every 2 weeks. Unresectability was defined as ≥1 of the following criteria: no possibility of upfront R0/R1 resection of all lesions; &lt;30% residual liver volume after resection; metastases in contact with major vessels of the remnant liver. Resectability was evaluated by multidisciplinary review. The primary end point was overall resection rate (R0/R1/R2). Efficacy end points were analysed by intention-to-treat analysis.\nRESULTS: In patients assigned to bevacizumab-FOLFOXIRI (n = 41) or bevacizumab-mFOLFOX-6 (n = 39), the overall resection rate was 61% [95% confidence interval (CI) 45% to 76%] and 49% (95% CI 32% to 65%), respectively (difference 12%; 95% CI -11% to 36%). R0 resection rates were 49% and 23%, respectively. Overall tumour response rates were 81% (95% CI 65% to 91%) with bevacizumab-FOLFOXIRI and 62% (95% CI 45% to 77%) with bevacizumab-mFOLFOX-6. Median progression-free survival (PFS) was 18·6 (95% CI 12.9-22.3) months and 11·5 (95% CI 9.6-13.6) months, respectively. The most common grade 3-5 adverse events were neutropenia (bevacizumab-FOLFOXIRI, 50%; bevacizumab-mFOLFOX-6, 35%) and diarrhoea (30% and 14%, respectively).\nCONCLUSIONS: Bevacizumab-FOLFOXIRI was associated with higher response and resection rates and prolonged PFS versus bevacizumab-mFOLFOX-6 in patients with initially unresectable liver metastases from colorectal cancer. Toxicity was increased but manageable with bevacizumab-FOLFOXIRI.\nCLINICALTRIALSGOV: NCT00778102.","DOI":"10.1093/annonc/mdu580","ISSN":"1569-8041","note":"PMID: 25538173","title-short":"Bevacizumab plus mFOLFOX-6 or FOLFOXIRI in patients with initially unresectable liver metastases from colorectal cancer","journalAbbreviation":"Ann. Oncol.","language":"eng","author":[{"family":"Gruenberger","given":"T."},{"family":"Bridgewater","given":"J."},{"family":"Chau","given":"I."},{"family":"García Alfonso","given":"P."},{"family":"Rivoire","given":"M."},{"family":"Mudan","given":"S."},{"family":"Lasserre","given":"S."},{"family":"Hermann","given":"F."},{"family":"Waterkamp","given":"D."},{"family":"Adam","given":"R."}],"issued":{"date-parts":[["2015",4]]}}}],"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36</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In </w:t>
      </w:r>
      <w:r w:rsidR="009D1BBF" w:rsidRPr="002575A7">
        <w:rPr>
          <w:rFonts w:ascii="Book Antiqua" w:hAnsi="Book Antiqua" w:cs="Times New Roman"/>
          <w:sz w:val="24"/>
          <w:szCs w:val="24"/>
          <w:lang w:val="en-US"/>
        </w:rPr>
        <w:t>aPDAC</w:t>
      </w:r>
      <w:r w:rsidRPr="002575A7">
        <w:rPr>
          <w:rFonts w:ascii="Book Antiqua" w:hAnsi="Book Antiqua" w:cs="Times New Roman"/>
          <w:sz w:val="24"/>
          <w:szCs w:val="24"/>
          <w:lang w:val="en-US"/>
        </w:rPr>
        <w:t xml:space="preserve">, </w:t>
      </w:r>
      <w:r w:rsidR="00434702">
        <w:rPr>
          <w:rFonts w:ascii="Book Antiqua" w:hAnsi="Book Antiqua" w:cs="Times New Roman"/>
          <w:sz w:val="24"/>
          <w:szCs w:val="24"/>
          <w:lang w:val="en-US"/>
        </w:rPr>
        <w:t xml:space="preserve">a </w:t>
      </w:r>
      <w:r w:rsidRPr="002575A7">
        <w:rPr>
          <w:rFonts w:ascii="Book Antiqua" w:hAnsi="Book Antiqua" w:cs="Times New Roman"/>
          <w:sz w:val="24"/>
          <w:szCs w:val="24"/>
          <w:lang w:val="en-US"/>
        </w:rPr>
        <w:t xml:space="preserve">25% reduction of irinotecan </w:t>
      </w:r>
      <w:r w:rsidR="00EF1CD7" w:rsidRPr="002575A7">
        <w:rPr>
          <w:rFonts w:ascii="Book Antiqua" w:hAnsi="Book Antiqua" w:cs="Times New Roman"/>
          <w:sz w:val="24"/>
          <w:szCs w:val="24"/>
          <w:lang w:val="en-US"/>
        </w:rPr>
        <w:t xml:space="preserve">compared </w:t>
      </w:r>
      <w:r w:rsidRPr="002575A7">
        <w:rPr>
          <w:rFonts w:ascii="Book Antiqua" w:hAnsi="Book Antiqua" w:cs="Times New Roman"/>
          <w:sz w:val="24"/>
          <w:szCs w:val="24"/>
          <w:lang w:val="en-US"/>
        </w:rPr>
        <w:t xml:space="preserve">to full dose has </w:t>
      </w:r>
      <w:r w:rsidR="009617F6">
        <w:rPr>
          <w:rFonts w:ascii="Book Antiqua" w:hAnsi="Book Antiqua" w:cs="Times New Roman"/>
          <w:sz w:val="24"/>
          <w:szCs w:val="24"/>
          <w:lang w:val="en-US"/>
        </w:rPr>
        <w:t xml:space="preserve">been associated with </w:t>
      </w:r>
      <w:r w:rsidRPr="002575A7">
        <w:rPr>
          <w:rFonts w:ascii="Book Antiqua" w:hAnsi="Book Antiqua" w:cs="Times New Roman"/>
          <w:sz w:val="24"/>
          <w:szCs w:val="24"/>
          <w:lang w:val="en-US"/>
        </w:rPr>
        <w:t xml:space="preserve">a decrease </w:t>
      </w:r>
      <w:r w:rsidR="009617F6">
        <w:rPr>
          <w:rFonts w:ascii="Book Antiqua" w:hAnsi="Book Antiqua" w:cs="Times New Roman"/>
          <w:sz w:val="24"/>
          <w:szCs w:val="24"/>
          <w:lang w:val="en-US"/>
        </w:rPr>
        <w:t xml:space="preserve">in </w:t>
      </w:r>
      <w:r w:rsidRPr="002575A7">
        <w:rPr>
          <w:rFonts w:ascii="Book Antiqua" w:hAnsi="Book Antiqua" w:cs="Times New Roman"/>
          <w:sz w:val="24"/>
          <w:szCs w:val="24"/>
          <w:lang w:val="en-US"/>
        </w:rPr>
        <w:t xml:space="preserve">diarrhea (3.1% </w:t>
      </w:r>
      <w:r w:rsidR="009D1BBF" w:rsidRPr="00864BDB">
        <w:rPr>
          <w:rFonts w:ascii="Book Antiqua" w:hAnsi="Book Antiqua" w:cs="Times New Roman"/>
          <w:i/>
          <w:iCs/>
          <w:sz w:val="24"/>
          <w:szCs w:val="24"/>
          <w:lang w:val="en-US"/>
        </w:rPr>
        <w:t>vs</w:t>
      </w:r>
      <w:r w:rsidRPr="002575A7">
        <w:rPr>
          <w:rFonts w:ascii="Book Antiqua" w:hAnsi="Book Antiqua" w:cs="Times New Roman"/>
          <w:sz w:val="24"/>
          <w:szCs w:val="24"/>
          <w:lang w:val="en-US"/>
        </w:rPr>
        <w:t xml:space="preserve"> 12.5%, respectively) and vomiting (0% </w:t>
      </w:r>
      <w:r w:rsidR="009D1BBF" w:rsidRPr="00864BDB">
        <w:rPr>
          <w:rFonts w:ascii="Book Antiqua" w:hAnsi="Book Antiqua" w:cs="Times New Roman"/>
          <w:i/>
          <w:iCs/>
          <w:sz w:val="24"/>
          <w:szCs w:val="24"/>
          <w:lang w:val="en-US"/>
        </w:rPr>
        <w:t>vs</w:t>
      </w:r>
      <w:r w:rsidRPr="002575A7">
        <w:rPr>
          <w:rFonts w:ascii="Book Antiqua" w:hAnsi="Book Antiqua" w:cs="Times New Roman"/>
          <w:sz w:val="24"/>
          <w:szCs w:val="24"/>
          <w:lang w:val="en-US"/>
        </w:rPr>
        <w:t xml:space="preserve"> </w:t>
      </w:r>
      <w:r w:rsidR="00D01983" w:rsidRPr="002575A7">
        <w:rPr>
          <w:rFonts w:ascii="Book Antiqua" w:hAnsi="Book Antiqua" w:cs="Times New Roman"/>
          <w:sz w:val="24"/>
          <w:szCs w:val="24"/>
          <w:lang w:val="en-US"/>
        </w:rPr>
        <w:t>23.5%, respectively)</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{"citationID":"F5gBqnAf","properties":{"formattedCitation":"\\super 35\\nosupersub{}","plainCitation":"35","noteIndex":0},"citationItems":[{"id":1678,"uris":["http://zotero.org/users/2205527/items/7BPHPU3N"],"uri":["http://zotero.org/users/2205527/items/7BPHPU3N"],"itemData":{"id":1678,"type":"article-journal","title":"Modified FOLFIRINOX for unresectable locally advanced/metastatic pancreatic cancer. A real-world comparison of an attenuated with a full dose in a single center experience","container-title":"OncoTargets and Therapy","page":"3077-3085","volume":"12","source":"PubMed","abstract":"Purpose: Metastatic pancreatic adenocarcinoma has a very poor prognosis. Although irinotecan, oxaliplatin and leucovorin-modulated fluorouracil (FOLFIRINOX) significantly increases survival in advanced pancreatic cancer, compared to employing only gemcitabine (GEM), toxicities have tempered enthusiasm for its use. Methods: This study retrospectively analyses the real-world clinical practice with full and attenuated doses of FOLFIRINOX in unselected patients with locally advanced unresectable or metastatic pancreatic cancer, treated at an Italian general hospital. Efficacy, tolerability, and toxicity were evaluated, and overall survival (OS) and progression-free survival (PFS) were estimated by Kaplan-Meier method. Results: Fifty consecutive patients with advanced (13) or metastatic (37) pancreatic adenocarcinomas were treated with FOLFIRINOX at the Medical Oncology Unit, Piacenza General Hospital, North Italy. The first enrolled consecutive 18 patients (36%) of this series started the treatment with a full dose of the regimen, while the subsequent 32 (64%) consecutive patients received dose attenuation (-20% bolus fluorouracil and -25% irinotecan). In the entire group, the response rate, median OS, and median PFS were 30%, 10.1 months, and 5.6 months, respectively, with no differences in objective response in the 32 patients that received an attenuated dose compared with the 18 patients receiving a full dose of chemotherapy. However, neutropenia, anemia, fatigue, and vomiting were statistically increased in the 18 patients receiving a full dose compared with the 32 patients receiving an attenuated dose of FOLFIRINOX (p&lt;0.05). Conclusion: This study demonstrates the efficacy and tolerability of modified FOLFIRINOX in advanced and metastatic pancreatic cancer.","DOI":"10.2147/OTT.S200754","ISSN":"1178-6930","note":"PMID: 31118666\nPMCID: PMC6498392","journalAbbreviation":"Onco Targets Ther","language":"eng","author":[{"family":"Cavanna","given":"Luigi"},{"family":"Stroppa","given":"Elisa Maria"},{"family":"Citterio","given":"Chiara"},{"family":"Mordenti","given":"Patrizia"},{"family":"Di Nunzio","given":"Camilla"},{"family":"Peveri","given":"Silvia"},{"family":"Orlandi","given":"Elena"},{"family":"Vecchia","given":"Stefano"}],"issued":{"date-parts":[["2019"]]}}}],"schema":"https://github.com/citation-style-language/schema/raw/master/csl-citation.json"}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35</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p>
    <w:p w14:paraId="233304FD" w14:textId="7EAB685B" w:rsidR="00EF551F" w:rsidRPr="002575A7" w:rsidRDefault="00355944" w:rsidP="0044750C">
      <w:pPr>
        <w:snapToGrid w:val="0"/>
        <w:spacing w:after="0" w:line="360" w:lineRule="auto"/>
        <w:ind w:firstLineChars="100" w:firstLine="240"/>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Dihydropyrimidine dehydrogenase and uridine diphosphate glucuronosyltransferase (UGT) 1A1 are two key enzymes involved in the catabolic pathways of 5-FU and irinotecan, respectively. </w:t>
      </w:r>
      <w:r w:rsidR="00385FD4" w:rsidRPr="002575A7">
        <w:rPr>
          <w:rFonts w:ascii="Book Antiqua" w:hAnsi="Book Antiqua" w:cs="Times New Roman"/>
          <w:sz w:val="24"/>
          <w:szCs w:val="24"/>
          <w:lang w:val="en-US"/>
        </w:rPr>
        <w:t>Their d</w:t>
      </w:r>
      <w:r w:rsidRPr="002575A7">
        <w:rPr>
          <w:rFonts w:ascii="Book Antiqua" w:hAnsi="Book Antiqua" w:cs="Times New Roman"/>
          <w:sz w:val="24"/>
          <w:szCs w:val="24"/>
          <w:lang w:val="en-US"/>
        </w:rPr>
        <w:t>eficienc</w:t>
      </w:r>
      <w:r w:rsidR="009617F6">
        <w:rPr>
          <w:rFonts w:ascii="Book Antiqua" w:hAnsi="Book Antiqua" w:cs="Times New Roman"/>
          <w:sz w:val="24"/>
          <w:szCs w:val="24"/>
          <w:lang w:val="en-US"/>
        </w:rPr>
        <w:t>y</w:t>
      </w:r>
      <w:r w:rsidRPr="002575A7">
        <w:rPr>
          <w:rFonts w:ascii="Book Antiqua" w:hAnsi="Book Antiqua" w:cs="Times New Roman"/>
          <w:sz w:val="24"/>
          <w:szCs w:val="24"/>
          <w:lang w:val="en-US"/>
        </w:rPr>
        <w:t xml:space="preserve"> related to </w:t>
      </w:r>
      <w:r w:rsidR="00451068" w:rsidRPr="002575A7">
        <w:rPr>
          <w:rFonts w:ascii="Book Antiqua" w:hAnsi="Book Antiqua" w:cs="Times New Roman"/>
          <w:sz w:val="24"/>
          <w:szCs w:val="24"/>
          <w:lang w:val="en-US"/>
        </w:rPr>
        <w:t xml:space="preserve">genetic </w:t>
      </w:r>
      <w:r w:rsidRPr="002575A7">
        <w:rPr>
          <w:rFonts w:ascii="Book Antiqua" w:hAnsi="Book Antiqua" w:cs="Times New Roman"/>
          <w:sz w:val="24"/>
          <w:szCs w:val="24"/>
          <w:lang w:val="en-US"/>
        </w:rPr>
        <w:t>polymorphism</w:t>
      </w:r>
      <w:r w:rsidR="00451068" w:rsidRPr="002575A7">
        <w:rPr>
          <w:rFonts w:ascii="Book Antiqua" w:hAnsi="Book Antiqua" w:cs="Times New Roman"/>
          <w:sz w:val="24"/>
          <w:szCs w:val="24"/>
          <w:lang w:val="en-US"/>
        </w:rPr>
        <w:t>s</w:t>
      </w:r>
      <w:r w:rsidRPr="002575A7">
        <w:rPr>
          <w:rFonts w:ascii="Book Antiqua" w:hAnsi="Book Antiqua" w:cs="Times New Roman"/>
          <w:sz w:val="24"/>
          <w:szCs w:val="24"/>
          <w:lang w:val="en-US"/>
        </w:rPr>
        <w:t>, lead</w:t>
      </w:r>
      <w:r w:rsidR="009617F6">
        <w:rPr>
          <w:rFonts w:ascii="Book Antiqua" w:hAnsi="Book Antiqua" w:cs="Times New Roman"/>
          <w:sz w:val="24"/>
          <w:szCs w:val="24"/>
          <w:lang w:val="en-US"/>
        </w:rPr>
        <w:t>s</w:t>
      </w:r>
      <w:r w:rsidRPr="002575A7">
        <w:rPr>
          <w:rFonts w:ascii="Book Antiqua" w:hAnsi="Book Antiqua" w:cs="Times New Roman"/>
          <w:sz w:val="24"/>
          <w:szCs w:val="24"/>
          <w:lang w:val="en-US"/>
        </w:rPr>
        <w:t xml:space="preserve"> to increased exposure to the cytotoxic agents with </w:t>
      </w:r>
      <w:r w:rsidR="00434702">
        <w:rPr>
          <w:rFonts w:ascii="Book Antiqua" w:hAnsi="Book Antiqua" w:cs="Times New Roman"/>
          <w:sz w:val="24"/>
          <w:szCs w:val="24"/>
          <w:lang w:val="en-US"/>
        </w:rPr>
        <w:t xml:space="preserve">a </w:t>
      </w:r>
      <w:r w:rsidRPr="002575A7">
        <w:rPr>
          <w:rFonts w:ascii="Book Antiqua" w:hAnsi="Book Antiqua" w:cs="Times New Roman"/>
          <w:sz w:val="24"/>
          <w:szCs w:val="24"/>
          <w:lang w:val="en-US"/>
        </w:rPr>
        <w:t xml:space="preserve">higher risk of adverse events. Indeed, variants of UGT1A1 have been reported to </w:t>
      </w:r>
      <w:r w:rsidR="00385FD4" w:rsidRPr="002575A7">
        <w:rPr>
          <w:rFonts w:ascii="Book Antiqua" w:hAnsi="Book Antiqua" w:cs="Times New Roman"/>
          <w:sz w:val="24"/>
          <w:szCs w:val="24"/>
          <w:lang w:val="en-US"/>
        </w:rPr>
        <w:t>increase the risk of grade 3</w:t>
      </w:r>
      <w:r w:rsidR="00D036F2" w:rsidRPr="002575A7">
        <w:rPr>
          <w:rFonts w:ascii="Book Antiqua" w:hAnsi="Book Antiqua" w:cs="Times New Roman"/>
          <w:sz w:val="24"/>
          <w:szCs w:val="24"/>
          <w:lang w:val="en-US"/>
        </w:rPr>
        <w:t xml:space="preserve"> or </w:t>
      </w:r>
      <w:r w:rsidR="00385FD4" w:rsidRPr="002575A7">
        <w:rPr>
          <w:rFonts w:ascii="Book Antiqua" w:hAnsi="Book Antiqua" w:cs="Times New Roman"/>
          <w:sz w:val="24"/>
          <w:szCs w:val="24"/>
          <w:lang w:val="en-US"/>
        </w:rPr>
        <w:t xml:space="preserve">4 </w:t>
      </w:r>
      <w:r w:rsidR="00191822" w:rsidRPr="002575A7">
        <w:rPr>
          <w:rFonts w:ascii="Book Antiqua" w:hAnsi="Book Antiqua" w:cs="Times New Roman"/>
          <w:sz w:val="24"/>
          <w:szCs w:val="24"/>
          <w:lang w:val="en-US"/>
        </w:rPr>
        <w:t>hematological</w:t>
      </w:r>
      <w:r w:rsidR="00385FD4" w:rsidRPr="002575A7">
        <w:rPr>
          <w:rFonts w:ascii="Book Antiqua" w:hAnsi="Book Antiqua" w:cs="Times New Roman"/>
          <w:sz w:val="24"/>
          <w:szCs w:val="24"/>
          <w:lang w:val="en-US"/>
        </w:rPr>
        <w:t xml:space="preserve"> toxicity and diarrhea</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{"citationID":"FFr9h98k","properties":{"formattedCitation":"\\super 37,38\\nosupersub{}","plainCitation":"37,38","noteIndex":0},"citationItems":[{"id":1744,"uris":["http://zotero.org/users/2205527/items/AF7EU5LD"],"uri":["http://zotero.org/users/2205527/items/AF7EU5LD"],"itemData":{"id":1744,"type":"article-journal","title":"Phase II study of FOLFIRINOX for chemotherapy-naïve Japanese patients with metastatic pancreatic cancer","container-title":"Cancer Science","page":"1321-1326","volume":"105","issue":"10","source":"PubMed","abstract":"The FOLFIRINOX combination of chemotherapy drugs had not been fully evaluated for Japanese pancreatic cancer patients. Therefore, we carried out a phase II study to examine the efficacy and safety of FOLFIRINOX in chemotherapy-naïve Japanese patients with metastatic pancreatic cancer. FOLFIRINOX (i.v. infusion of 85 mg/m(2) oxaliplatin, 180 mg/m(2) irinotecan, and 200 mg/m(2) l-leucovorin, followed by a bolus of 400 mg/m(2) fluorouracil and a 46-h continuous infusion of 2400 mg/m(2) fluorouracil) was given every 2 weeks. The primary endpoint was the response rate. The 36 enrolled patients received a median of eight (range, 1-25) treatment cycles. The response rate was 38.9% (95% confidence interval [CI], 23.1-56.5); median overall survival, 10.7 months (95% CI, 6.9-13.2); and median progression-free survival, 5.6 months (95% CI, 3.0-7.8). Major grade 3 or 4 toxicities included neutropenia (77.8%), febrile neutropenia (22.2%), thrombocytopenia (11.1%), anemia (11.1%), anorexia (11.1%), diarrhea (8.3%), nausea (8.3%), elevated alanine aminotransferase levels (8.3%), and peripheral sensory neuropathy (5.6%). Febrile neutropenia occurred only during the first cycle. There were no treatment-related deaths. FOLFIRINOX can be a standard regimen showing favorable efficacy and acceptable toxicity profile in chemotherapy-naïve Japanese patients with metastatic pancreatic cancer.","DOI":"10.1111/cas.12501","ISSN":"1349-7006","note":"PMID: 25117729\nPMCID: PMC4462360","journalAbbreviation":"Cancer Sci.","language":"eng","author":[{"family":"Okusaka","given":"Takuji"},{"family":"Ikeda","given":"Masafumi"},{"family":"Fukutomi","given":"Akira"},{"family":"Ioka","given":"Tatsuya"},{"family":"Furuse","given":"Junji"},{"family":"Ohkawa","given":"Shinichi"},{"family":"Isayama","given":"Hiroyuki"},{"family":"Boku","given":"Narikazu"}],"issued":{"date-parts":[["2014",10]]}},"label":"page"},{"id":1752,"uris":["http://zotero.org/users/2205527/items/IE4CNCSS"],"uri":["http://zotero.org/users/2205527/items/IE4CNCSS"],"itemData":{"id":1752,"type":"article-journal","title":"Relevance of different UGT1A1 polymorphisms in irinotecan-induced toxicity: a molecular and clinical study of 75 patients","container-title":"Clinical Cancer Research: An Official Journal of the American Association for Cancer Research","page":"5151-5159","volume":"10","issue":"15","source":"PubMed","abstract":"PURPOSE: We wanted to assess polymorphisms in the uridine diphosphoglucuronosyl transferase 1A1 (UGT 1A1) gene: the TATA box polymorphism and UGT 1A1 G71R and Y486D mutations in the coding sequence, the main mutations characterizing Gilbert's syndrome, as predictors of severe toxic event occurrence after irinotecan (CPT-11) administration. Therefore, we set up a rapid, sensitive, and reliable technique in routine practice to detect before CPT-11 treatment, the at-risk patients.\nEXPERIMENTAL DESIGN: Seventy-five patients with advanced colorectal cancer and treated with CPT-11 and 5-fluorouracil, entered the study. We used the Pyrosequencing technology a real-time sequencing method, to detect the UGT 1A1 TATA box polymorphisms and mutations in the coding regions. Patients were also assessed for both biochemical and clinical evaluation and tolerance to treatment.\nRESULTS: No G71R and Y486D mutations were found in our population. Frequencies for UGT 1A1 TATA box polymorphisms were 41, 47, and 9% for wild-type 6/6, heterozygous 6/7, and Gilbert's syndrome 7/7, respectively. Tolerance to treatment decreased with increased number of TA repeat with 71% of the patients in 7/7 group who experienced grade 3/4 toxicity.\nCONCLUSIONS: The method we set up is suitable for the detection of UGT 1A1 polymorphism in routine practice before irinotecan treatment. It could help to detect the patients homozygous or heterozygous for Gilbert's syndrome, at-risk of CPT 11-induced toxicity, and thus could help to individualize the dose to optimize efficacy and limit toxicity.","DOI":"10.1158/1078-0432.CCR-03-0548","ISSN":"1078-0432","note":"PMID: 15297419","title-short":"Relevance of different UGT1A1 polymorphisms in irinotecan-induced toxicity","journalAbbreviation":"Clin. Cancer Res.","language":"eng","author":[{"family":"Rouits","given":"Elisabeth"},{"family":"Boisdron-Celle","given":"Michèle"},{"family":"Dumont","given":"Agnès"},{"family":"Guérin","given":"Olivier"},{"family":"Morel","given":"Alain"},{"family":"Gamelin","given":"Erick"}],"issued":{"date-parts":[["2004",8,1]]}},"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37,38</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CA3022" w:rsidRPr="002575A7">
        <w:rPr>
          <w:rFonts w:ascii="Book Antiqua" w:hAnsi="Book Antiqua" w:cs="Times New Roman"/>
          <w:sz w:val="24"/>
          <w:szCs w:val="24"/>
          <w:lang w:val="en-US"/>
        </w:rPr>
        <w:t xml:space="preserve"> </w:t>
      </w:r>
      <w:r w:rsidR="00827314" w:rsidRPr="002575A7">
        <w:rPr>
          <w:rFonts w:ascii="Book Antiqua" w:hAnsi="Book Antiqua" w:cs="Times New Roman"/>
          <w:sz w:val="24"/>
          <w:szCs w:val="24"/>
          <w:lang w:val="en-US"/>
        </w:rPr>
        <w:t xml:space="preserve">A study </w:t>
      </w:r>
      <w:r w:rsidR="00260F99" w:rsidRPr="002575A7">
        <w:rPr>
          <w:rFonts w:ascii="Book Antiqua" w:hAnsi="Book Antiqua" w:cs="Times New Roman"/>
          <w:sz w:val="24"/>
          <w:szCs w:val="24"/>
          <w:lang w:val="en-US"/>
        </w:rPr>
        <w:t xml:space="preserve">that evaluated </w:t>
      </w:r>
      <w:r w:rsidR="0086426F">
        <w:rPr>
          <w:rFonts w:ascii="Book Antiqua" w:hAnsi="Book Antiqua" w:cs="Times New Roman"/>
          <w:sz w:val="24"/>
          <w:szCs w:val="24"/>
          <w:lang w:val="en-US"/>
        </w:rPr>
        <w:t xml:space="preserve">the </w:t>
      </w:r>
      <w:r w:rsidR="00260F99" w:rsidRPr="002575A7">
        <w:rPr>
          <w:rFonts w:ascii="Book Antiqua" w:hAnsi="Book Antiqua" w:cs="Times New Roman"/>
          <w:sz w:val="24"/>
          <w:szCs w:val="24"/>
          <w:lang w:val="en-US"/>
        </w:rPr>
        <w:t>FOLFIRINOX regimen in pancreatic cancer, reported</w:t>
      </w:r>
      <w:r w:rsidR="00827314" w:rsidRPr="002575A7">
        <w:rPr>
          <w:rFonts w:ascii="Book Antiqua" w:hAnsi="Book Antiqua" w:cs="Times New Roman"/>
          <w:sz w:val="24"/>
          <w:szCs w:val="24"/>
          <w:lang w:val="en-US"/>
        </w:rPr>
        <w:t xml:space="preserve"> </w:t>
      </w:r>
      <w:r w:rsidR="003C0A6F" w:rsidRPr="002575A7">
        <w:rPr>
          <w:rFonts w:ascii="Book Antiqua" w:hAnsi="Book Antiqua" w:cs="Times New Roman"/>
          <w:sz w:val="24"/>
          <w:szCs w:val="24"/>
          <w:lang w:val="en-US"/>
        </w:rPr>
        <w:t>a</w:t>
      </w:r>
      <w:r w:rsidR="00CA3022" w:rsidRPr="002575A7">
        <w:rPr>
          <w:rFonts w:ascii="Book Antiqua" w:hAnsi="Book Antiqua" w:cs="Times New Roman"/>
          <w:sz w:val="24"/>
          <w:szCs w:val="24"/>
          <w:lang w:val="en-US"/>
        </w:rPr>
        <w:t xml:space="preserve"> </w:t>
      </w:r>
      <w:r w:rsidR="00EF1CD7" w:rsidRPr="002575A7">
        <w:rPr>
          <w:rFonts w:ascii="Book Antiqua" w:hAnsi="Book Antiqua" w:cs="Times New Roman"/>
          <w:sz w:val="24"/>
          <w:szCs w:val="24"/>
          <w:lang w:val="en-US"/>
        </w:rPr>
        <w:t xml:space="preserve">significantly higher </w:t>
      </w:r>
      <w:r w:rsidR="00CA3022" w:rsidRPr="002575A7">
        <w:rPr>
          <w:rFonts w:ascii="Book Antiqua" w:hAnsi="Book Antiqua" w:cs="Times New Roman"/>
          <w:sz w:val="24"/>
          <w:szCs w:val="24"/>
          <w:lang w:val="en-US"/>
        </w:rPr>
        <w:t xml:space="preserve">incidence of diarrhea among patients with UGT1A1 heterozygous type </w:t>
      </w:r>
      <w:r w:rsidR="00FB1584" w:rsidRPr="002575A7">
        <w:rPr>
          <w:rFonts w:ascii="Book Antiqua" w:hAnsi="Book Antiqua" w:cs="Times New Roman"/>
          <w:sz w:val="24"/>
          <w:szCs w:val="24"/>
          <w:lang w:val="en-US"/>
        </w:rPr>
        <w:t xml:space="preserve">(UGT1A1 −/*6 and UGT1A1 −/*28) </w:t>
      </w:r>
      <w:r w:rsidR="00EF1CD7" w:rsidRPr="002575A7">
        <w:rPr>
          <w:rFonts w:ascii="Book Antiqua" w:hAnsi="Book Antiqua" w:cs="Times New Roman"/>
          <w:sz w:val="24"/>
          <w:szCs w:val="24"/>
          <w:lang w:val="en-US"/>
        </w:rPr>
        <w:t>compared to</w:t>
      </w:r>
      <w:r w:rsidR="00CA3022" w:rsidRPr="002575A7">
        <w:rPr>
          <w:rFonts w:ascii="Book Antiqua" w:hAnsi="Book Antiqua" w:cs="Times New Roman"/>
          <w:sz w:val="24"/>
          <w:szCs w:val="24"/>
          <w:lang w:val="en-US"/>
        </w:rPr>
        <w:t xml:space="preserve"> those with UGT1A1 wild-type</w:t>
      </w:r>
      <w:r w:rsidR="00FB1584" w:rsidRPr="002575A7">
        <w:rPr>
          <w:rFonts w:ascii="Book Antiqua" w:hAnsi="Book Antiqua" w:cs="Times New Roman"/>
          <w:sz w:val="24"/>
          <w:szCs w:val="24"/>
          <w:lang w:val="en-US"/>
        </w:rPr>
        <w:t xml:space="preserve"> (−/−)</w:t>
      </w:r>
      <w:r w:rsidR="00CA3022" w:rsidRPr="002575A7">
        <w:rPr>
          <w:rFonts w:ascii="Book Antiqua" w:hAnsi="Book Antiqua" w:cs="Times New Roman"/>
          <w:sz w:val="24"/>
          <w:szCs w:val="24"/>
          <w:lang w:val="en-US"/>
        </w:rPr>
        <w:t>. However, for patients who received the “modified FOLFIRINOX”, there was no</w:t>
      </w:r>
      <w:r w:rsidR="00EF1CD7" w:rsidRPr="002575A7">
        <w:rPr>
          <w:rFonts w:ascii="Book Antiqua" w:hAnsi="Book Antiqua" w:cs="Times New Roman"/>
          <w:sz w:val="24"/>
          <w:szCs w:val="24"/>
          <w:lang w:val="en-US"/>
        </w:rPr>
        <w:t xml:space="preserve"> observed</w:t>
      </w:r>
      <w:r w:rsidR="00CA3022" w:rsidRPr="002575A7">
        <w:rPr>
          <w:rFonts w:ascii="Book Antiqua" w:hAnsi="Book Antiqua" w:cs="Times New Roman"/>
          <w:sz w:val="24"/>
          <w:szCs w:val="24"/>
          <w:lang w:val="en-US"/>
        </w:rPr>
        <w:t xml:space="preserve"> difference in the frequency of adve</w:t>
      </w:r>
      <w:r w:rsidR="00D01983" w:rsidRPr="002575A7">
        <w:rPr>
          <w:rFonts w:ascii="Book Antiqua" w:hAnsi="Book Antiqua" w:cs="Times New Roman"/>
          <w:sz w:val="24"/>
          <w:szCs w:val="24"/>
          <w:lang w:val="en-US"/>
        </w:rPr>
        <w:t>rse events due to UGT1A1 status</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{"citationID":"M98aviBg","properties":{"formattedCitation":"\\super 39\\nosupersub{}","plainCitation":"39","noteIndex":0},"citationItems":[{"id":1741,"uris":["http://zotero.org/users/2205527/items/DGFIQBQW"],"uri":["http://zotero.org/users/2205527/items/DGFIQBQW"],"itemData":{"id":1741,"type":"article-journal","title":"Impact of UGT1A1 genetic polymorphism on toxicity in unresectable pancreatic cancer patients undergoing FOLFIRINOX","container-title":"Cancer Science","page":"707-716","volume":"110","issue":"2","source":"PubMed","abstract":"Studies have indicated an association between UDP-glucuronosyltransferase-1A1 (UGT1A1) genetic polymorphisms and irinotecan-induced toxicity. We undertook this study to investigate the association between UGT1A1 genetic polymorphisms and toxicity in patients treated with the FOLFIRINOX (comprising oxaliplatin, irinotecan, fluorouracil, and leucovorin) chemotherapy regimen in the JASPAC 06 study. Patients screened for UGT1A1*6 and UGT1A1*28, and treated with either the original FOLFIRINOX (oxaliplatin 85 mg/m2 , irinotecan 180 mg/m2 , leucovorin 200 mg/m2 , bolus 5-fluorouracil [5-FU] 400 mg/m2 , and continuous 5-FU 2400 mg/m2 ) or a modified FOLFIRINOX (oxaliplatin 85 mg/m2 , irinotecan 150 mg/m2 , leucovorin 200 mg/m2 , and continuous 5-FU 2400 mg/m2 ) as first-line chemotherapy were included. Of 199 patients eligible for this analysis, 79 patients were treated with the original FOLFIRINOX regimen and 120 patients were treated with the modified FOLFIRINOX regimen. In the original FOLFIRINOX group, 54 were UGT1A1 WT, and 25 were UGT1A1 heterozygous type (-/*6, 12 patients; -/*28, 13 patients). In the modified FOLFIRINOX group, 64 were UGT1A1 WT and 56 were UGT1A1 heterozygous type (-/*6, 33 patients; -/*28, 23 patients). In the original FOLFIRINOX group, the incidence of diarrhea was significantly higher among patients with UGT1A1 heterozygous type than among those with UGT1A1 WT and the incidence of leukopenia and diarrhea was significantly higher among patients with UGT1A1 -/*6 than among those with UGT1A1 -/*28. Patients with UGT1A1 heterozygous type, especially those with UGT1A1 -/*6, tended to show a higher incidence rate of severe adverse events, but this was not statistically significant. However, for patients who received the modified FOLFIRINOX, there was no difference in the frequency of adverse events due to UGT1A1 status. In conclusion, patients with heterozygous UGT1A1 polymorphisms treated with the original FOLFIRINOX regimen experienced severe toxicity more frequently than patients with WT UGT1A1.","DOI":"10.1111/cas.13883","ISSN":"1349-7006","note":"PMID: 30447099\nPMCID: PMC6361560","journalAbbreviation":"Cancer Sci.","language":"eng","author":[{"family":"Shirasu","given":"Hiromichi"},{"family":"Todaka","given":"Akiko"},{"family":"Omae","given":"Katsuhiro"},{"family":"Fujii","given":"Hirofumi"},{"family":"Mizuno","given":"Nobumasa"},{"family":"Ozaka","given":"Masato"},{"family":"Ueno","given":"Hideki"},{"family":"Kobayashi","given":"Satoshi"},{"family":"Uesugi","given":"Kazuhiro"},{"family":"Kobayashi","given":"Noritoshi"},{"family":"Hayashi","given":"Hideyuki"},{"family":"Sudo","given":"Kentaro"},{"family":"Okano","given":"Naohiro"},{"family":"Horita","given":"Yosuke"},{"family":"Kamei","given":"Keiko"},{"family":"Yukisawa","given":"Seigo"},{"family":"Kobayashi","given":"Marina"},{"family":"Fukutomi","given":"Akira"}],"issued":{"date-parts":[["2019",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39</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EF551F" w:rsidRPr="002575A7">
        <w:rPr>
          <w:rFonts w:ascii="Book Antiqua" w:hAnsi="Book Antiqua" w:cs="Times New Roman"/>
          <w:sz w:val="24"/>
          <w:szCs w:val="24"/>
          <w:lang w:val="en-US"/>
        </w:rPr>
        <w:t xml:space="preserve"> </w:t>
      </w:r>
      <w:r w:rsidR="00260F99" w:rsidRPr="002575A7">
        <w:rPr>
          <w:rFonts w:ascii="Book Antiqua" w:hAnsi="Book Antiqua" w:cs="Times New Roman"/>
          <w:sz w:val="24"/>
          <w:szCs w:val="24"/>
          <w:lang w:val="en-US"/>
        </w:rPr>
        <w:t>Furthermore, s</w:t>
      </w:r>
      <w:r w:rsidR="00EF551F" w:rsidRPr="002575A7">
        <w:rPr>
          <w:rFonts w:ascii="Book Antiqua" w:hAnsi="Book Antiqua" w:cs="Times New Roman"/>
          <w:sz w:val="24"/>
          <w:szCs w:val="24"/>
          <w:lang w:val="en-US"/>
        </w:rPr>
        <w:t xml:space="preserve">tudies have indicated an association between polymorphisms of the </w:t>
      </w:r>
      <w:r w:rsidR="0044750C" w:rsidRPr="002575A7">
        <w:rPr>
          <w:rFonts w:ascii="Book Antiqua" w:hAnsi="Book Antiqua" w:cs="Times New Roman"/>
          <w:sz w:val="24"/>
          <w:szCs w:val="24"/>
          <w:lang w:val="en-US"/>
        </w:rPr>
        <w:t>dihydropyrimidine dehydrogenase</w:t>
      </w:r>
      <w:r w:rsidR="00EF1CD7" w:rsidRPr="002575A7">
        <w:rPr>
          <w:rFonts w:ascii="Book Antiqua" w:hAnsi="Book Antiqua" w:cs="Times New Roman"/>
          <w:sz w:val="24"/>
          <w:szCs w:val="24"/>
          <w:lang w:val="en-US"/>
        </w:rPr>
        <w:t xml:space="preserve"> gene encoding</w:t>
      </w:r>
      <w:r w:rsidR="00EF551F" w:rsidRPr="002575A7">
        <w:rPr>
          <w:rFonts w:ascii="Book Antiqua" w:hAnsi="Book Antiqua" w:cs="Times New Roman"/>
          <w:sz w:val="24"/>
          <w:szCs w:val="24"/>
          <w:lang w:val="en-US"/>
        </w:rPr>
        <w:t xml:space="preserve"> (DPYD) and 5-FU-induced toxicity</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{"citationID":"Q9Yjm9wn","properties":{"formattedCitation":"\\super 40\\nosupersub{}","plainCitation":"40","noteIndex":0},"citationItems":[{"id":1758,"uris":["http://zotero.org/users/2205527/items/G6SJJHJB"],"uri":["http://zotero.org/users/2205527/items/G6SJJHJB"],"itemData":{"id":1758,"type":"article-journal","title":"Dihydropyrimidine dehydrogenase gene as a major predictor of severe 5-fluorouracil toxicity","container-title":"Pharmacogenomics","page":"1321-1336","volume":"12","issue":"9","source":"PubMed","abstract":"The importance of polymorphisms in the dihydropyrimidine dehydrogenase (DPD) gene (DPYD) for the prediction of severe toxicity in 5-fluorouracil (5-FU) based chemotherapy has been controversially debated. As a key enzyme in the catabolism of 5-FU, DPD is the top candidate for pharmacogenetic studies on 5-FU toxicity, since a reduced DPD activity is thought to result in an increased half-life of the drug, and thus, an increased risk of toxicity. Here, we review the current knowledge on well-known and frequently studied DPYD variants such as the c.1905+1G&gt;A splice site variant, as well as the recent discoveries of important functional variation in the noncoding regions of DPYD. We also outline future directions that are needed to further improve the risk assessment of 5-FU toxicity, in particular with respect to metabolic profiling and in the context of different combination therapeutic regimens, in which 5-FU is used today.","DOI":"10.2217/pgs.11.72","ISSN":"1744-8042","note":"PMID: 21919607","journalAbbreviation":"Pharmacogenomics","language":"eng","author":[{"family":"Amstutz","given":"Ursula"},{"family":"Froehlich","given":"Tanja K."},{"family":"Largiadèr","given":"Carlo R."}],"issued":{"date-parts":[["2011",9]]}}}],"schema":"https://github.com/citation-style-language/schema/raw/master/csl-citation.json"}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40</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A01B17" w:rsidRPr="002575A7">
        <w:rPr>
          <w:rFonts w:ascii="Book Antiqua" w:hAnsi="Book Antiqua" w:cs="Times New Roman"/>
          <w:sz w:val="24"/>
          <w:szCs w:val="24"/>
          <w:lang w:val="en-US"/>
        </w:rPr>
        <w:t xml:space="preserve"> Currently</w:t>
      </w:r>
      <w:r w:rsidR="00EF551F" w:rsidRPr="002575A7">
        <w:rPr>
          <w:rFonts w:ascii="Book Antiqua" w:hAnsi="Book Antiqua" w:cs="Times New Roman"/>
          <w:sz w:val="24"/>
          <w:szCs w:val="24"/>
          <w:lang w:val="en-US"/>
        </w:rPr>
        <w:t xml:space="preserve">, </w:t>
      </w:r>
      <w:r w:rsidR="00CA3022" w:rsidRPr="002575A7">
        <w:rPr>
          <w:rFonts w:ascii="Book Antiqua" w:hAnsi="Book Antiqua" w:cs="Times New Roman"/>
          <w:sz w:val="24"/>
          <w:szCs w:val="24"/>
          <w:lang w:val="en-US"/>
        </w:rPr>
        <w:t>DPYD genotype</w:t>
      </w:r>
      <w:r w:rsidR="00EF551F" w:rsidRPr="002575A7">
        <w:rPr>
          <w:rFonts w:ascii="Book Antiqua" w:hAnsi="Book Antiqua" w:cs="Times New Roman"/>
          <w:sz w:val="24"/>
          <w:szCs w:val="24"/>
          <w:lang w:val="en-US"/>
        </w:rPr>
        <w:t xml:space="preserve"> or phenotype</w:t>
      </w:r>
      <w:r w:rsidR="00CA3022" w:rsidRPr="002575A7">
        <w:rPr>
          <w:rFonts w:ascii="Book Antiqua" w:hAnsi="Book Antiqua" w:cs="Times New Roman"/>
          <w:sz w:val="24"/>
          <w:szCs w:val="24"/>
          <w:lang w:val="en-US"/>
        </w:rPr>
        <w:t>-based dose reduction improve</w:t>
      </w:r>
      <w:r w:rsidR="0077717C" w:rsidRPr="002575A7">
        <w:rPr>
          <w:rFonts w:ascii="Book Antiqua" w:hAnsi="Book Antiqua" w:cs="Times New Roman"/>
          <w:sz w:val="24"/>
          <w:szCs w:val="24"/>
          <w:lang w:val="en-US"/>
        </w:rPr>
        <w:t>s</w:t>
      </w:r>
      <w:r w:rsidR="00CA3022" w:rsidRPr="002575A7">
        <w:rPr>
          <w:rFonts w:ascii="Book Antiqua" w:hAnsi="Book Antiqua" w:cs="Times New Roman"/>
          <w:sz w:val="24"/>
          <w:szCs w:val="24"/>
          <w:lang w:val="en-US"/>
        </w:rPr>
        <w:t xml:space="preserve"> </w:t>
      </w:r>
      <w:r w:rsidR="0077717C" w:rsidRPr="002575A7">
        <w:rPr>
          <w:rFonts w:ascii="Book Antiqua" w:hAnsi="Book Antiqua" w:cs="Times New Roman"/>
          <w:sz w:val="24"/>
          <w:szCs w:val="24"/>
          <w:lang w:val="en-US"/>
        </w:rPr>
        <w:t xml:space="preserve">the </w:t>
      </w:r>
      <w:r w:rsidR="00CA3022" w:rsidRPr="002575A7">
        <w:rPr>
          <w:rFonts w:ascii="Book Antiqua" w:hAnsi="Book Antiqua" w:cs="Times New Roman"/>
          <w:sz w:val="24"/>
          <w:szCs w:val="24"/>
          <w:lang w:val="en-US"/>
        </w:rPr>
        <w:t xml:space="preserve">safety of </w:t>
      </w:r>
      <w:r w:rsidR="0077717C" w:rsidRPr="002575A7">
        <w:rPr>
          <w:rFonts w:ascii="Book Antiqua" w:hAnsi="Book Antiqua" w:cs="Times New Roman"/>
          <w:sz w:val="24"/>
          <w:szCs w:val="24"/>
          <w:lang w:val="en-US"/>
        </w:rPr>
        <w:t>patient</w:t>
      </w:r>
      <w:r w:rsidR="00434702">
        <w:rPr>
          <w:rFonts w:ascii="Book Antiqua" w:hAnsi="Book Antiqua" w:cs="Times New Roman"/>
          <w:sz w:val="24"/>
          <w:szCs w:val="24"/>
          <w:lang w:val="en-US"/>
        </w:rPr>
        <w:t>s</w:t>
      </w:r>
      <w:r w:rsidR="0077717C" w:rsidRPr="002575A7">
        <w:rPr>
          <w:rFonts w:ascii="Book Antiqua" w:hAnsi="Book Antiqua" w:cs="Times New Roman"/>
          <w:sz w:val="24"/>
          <w:szCs w:val="24"/>
          <w:lang w:val="en-US"/>
        </w:rPr>
        <w:t xml:space="preserve"> receiving </w:t>
      </w:r>
      <w:r w:rsidR="00CA3022" w:rsidRPr="002575A7">
        <w:rPr>
          <w:rFonts w:ascii="Book Antiqua" w:hAnsi="Book Antiqua" w:cs="Times New Roman"/>
          <w:sz w:val="24"/>
          <w:szCs w:val="24"/>
          <w:lang w:val="en-US"/>
        </w:rPr>
        <w:t>fluoropyrimidine treatment</w:t>
      </w:r>
      <w:r w:rsidR="00EF551F" w:rsidRPr="002575A7">
        <w:rPr>
          <w:rFonts w:ascii="Book Antiqua" w:hAnsi="Book Antiqua" w:cs="Times New Roman"/>
          <w:sz w:val="24"/>
          <w:szCs w:val="24"/>
          <w:lang w:val="en-US"/>
        </w:rPr>
        <w:t xml:space="preserve"> and </w:t>
      </w:r>
      <w:r w:rsidR="0077717C" w:rsidRPr="002575A7">
        <w:rPr>
          <w:rFonts w:ascii="Book Antiqua" w:hAnsi="Book Antiqua" w:cs="Times New Roman"/>
          <w:sz w:val="24"/>
          <w:szCs w:val="24"/>
          <w:lang w:val="en-US"/>
        </w:rPr>
        <w:t xml:space="preserve">is </w:t>
      </w:r>
      <w:r w:rsidR="00D01983" w:rsidRPr="002575A7">
        <w:rPr>
          <w:rFonts w:ascii="Book Antiqua" w:hAnsi="Book Antiqua" w:cs="Times New Roman"/>
          <w:sz w:val="24"/>
          <w:szCs w:val="24"/>
          <w:lang w:val="en-US"/>
        </w:rPr>
        <w:t>recommended</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{"citationID":"uV21v2DZ","properties":{"formattedCitation":"\\super 41,42\\nosupersub{}","plainCitation":"41,42","noteIndex":0},"citationItems":[{"id":1750,"uris":["http://zotero.org/users/2205527/items/DKPMK76I"],"uri":["http://zotero.org/users/2205527/items/DKPMK76I"],"itemData":{"id":1750,"type":"article-journal","title":"DPYD genotype-guided dose individualisation of fluoropyrimidine therapy in patients with cancer: a prospective safety analysis","container-title":"The Lancet. Oncology","page":"1459-1467","volume":"19","issue":"11","source":"PubMed","abstract":"BACKGROUND: Fluoropyrimidine treatment can result in severe toxicity in up to 30% of patients and is often the result of reduced activity of the key metabolic enzyme dihydropyrimidine dehydrogenase (DPD), mostly caused by genetic variants in the gene encoding DPD (DPYD). We assessed the effect of prospective screening for the four most relevant DPYD variants (DPYD*2A [rs3918290, c.1905+1G&gt;A, IVS14+1G&gt;A], c.2846A&gt;T [rs67376798, D949V], c.1679T&gt;G [rs55886062, DPYD*13, I560S], and c.1236G&gt;A [rs56038477, E412E, in haplotype B3]) on patient safety and subsequent DPYD genotype-guided dose individualisation in daily clinical care.\nMETHODS: In this prospective, multicentre, safety analysis in 17 hospitals in the Netherlands, the study population consisted of adult patients (≥18 years) with cancer who were intended to start on a fluoropyrimidine-based anticancer therapy (capecitabine or fluorouracil as single agent or in combination with other chemotherapeutic agents or radiotherapy). Patients with all tumour types for which fluoropyrimidine-based therapy was considered in their best interest were eligible. We did prospective genotyping for DPYD*2A, c.2846A&gt;T, c.1679T&gt;G, and c.1236G&gt;A. Heterozygous DPYD variant allele carriers received an initial dose reduction of 25% (c.2846A&gt;T and c.1236G&gt;A) or 50% (DPYD*2A and c.1679T&gt;G), and DPYD wild-type patients were treated according to the current standard of care. The primary endpoint of the study was the frequency of severe (National Cancer Institute Common Terminology Criteria for Adverse Events version 4.03 grade ≥3) overall fluoropyrimidine-related toxicity across the entire treatment duration. We compared toxicity incidence between DPYD variant allele carriers and DPYD wild-type patients on an intention-to-treat basis, and relative risks (RRs) for severe toxicity were compared between the current study and a historical cohort of DPYD variant allele carriers treated with full dose fluoropyrimidine-based therapy (derived from a previously published meta-analysis). This trial is registered with ClinicalTrials.gov, number NCT02324452, and is complete.\nFINDINGS: Between April 30, 2015, and Dec 21, 2017, we enrolled 1181 patients. 78 patients were considered non-evaluable, because they were retrospectively identified as not meeting inclusion criteria, did not start fluoropyrimidine-based treatment, or were homozygous or compound heterozygous DPYD variant allele carriers. Of 1103 evaluable patients, 85 (8%) were heterozygous DPYD variant allele carriers, and 1018 (92%) were DPYD wild-type patients. Overall, fluoropyrimidine-related severe toxicity was higher in DPYD variant carriers (33 [39%] of 85 patients) than in wild-type patients (231 [23%] of 1018 patients; p=0·0013). The RR for severe fluoropyrimidine-related toxicity was 1·31 (95% CI 0·63-2·73) for genotype-guided dosing compared with 2·87 (2·14-3·86) in the historical cohort for DPYD*2A carriers, no toxicity compared with 4·30 (2·10-8·80) in c.1679T&gt;G carriers, 2·00 (1·19-3·34) compared with 3·11 (2·25-4·28) for c.2846A&gt;T carriers, and 1·69 (1·18-2·42) compared with 1·72 (1·22-2·42) for c.1236G&gt;A carriers.\nINTERPRETATION: Prospective DPYD genotyping was feasible in routine clinical practice, and DPYD genotype-based dose reductions improved patient safety of fluoropyrimidine treatment. For DPYD*2A and c.1679T&gt;G carriers, a 50% initial dose reduction was adequate. For c.1236G&gt;A and c.2846A&gt;T carriers, a larger dose reduction of 50% (instead of 25%) requires investigation. Since fluoropyrimidines are among the most commonly used anticancer agents, these findings suggest that implementation of DPYD genotype-guided individualised dosing should be a new standard of care.\nFUNDING: Dutch Cancer Society.","DOI":"10.1016/S1470-2045(18)30686-7","ISSN":"1474-5488","note":"PMID: 30348537","title-short":"DPYD genotype-guided dose individualisation of fluoropyrimidine therapy in patients with cancer","journalAbbreviation":"Lancet Oncol.","language":"eng","author":[{"family":"Henricks","given":"Linda M."},{"family":"Lunenburg","given":"Carin A. T. C."},{"family":"Man","given":"Femke M.","non-dropping-particle":"de"},{"family":"Meulendijks","given":"Didier"},{"family":"Frederix","given":"Geert W. J."},{"family":"Kienhuis","given":"Emma"},{"family":"Creemers","given":"Geert-Jan"},{"family":"Baars","given":"Arnold"},{"family":"Dezentjé","given":"Vincent O."},{"family":"Imholz","given":"Alexander L. T."},{"family":"Jeurissen","given":"Frank J. F."},{"family":"Portielje","given":"Johanna E. A."},{"family":"Jansen","given":"Rob L. H."},{"family":"Hamberg","given":"Paul"},{"family":"Ten Tije","given":"Albert J."},{"family":"Droogendijk","given":"Helga J."},{"family":"Koopman","given":"Miriam"},{"family":"Nieboer","given":"Peter"},{"family":"Poel","given":"Marlène H. W.","non-dropping-particle":"van de"},{"family":"Mandigers","given":"Caroline M. P. W."},{"family":"Rosing","given":"Hilde"},{"family":"Beijnen","given":"Jos H."},{"family":"Werkhoven","given":"Erik","dropping-particle":"van"},{"family":"Kuilenburg","given":"André B. P.","non-dropping-particle":"van"},{"family":"Schaik","given":"Ron H. N.","non-dropping-particle":"van"},{"family":"Mathijssen","given":"Ron H. J."},{"family":"Swen","given":"Jesse J."},{"family":"Gelderblom","given":"Hans"},{"family":"Cats","given":"Annemieke"},{"family":"Guchelaar","given":"Henk-Jan"},{"family":"Schellens","given":"Jan H. M."}],"issued":{"date-parts":[["2018"]]}},"label":"page"},{"id":1755,"uris":["http://zotero.org/users/2205527/items/E5JNRVMV"],"uri":["http://zotero.org/users/2205527/items/E5JNRVMV"],"itemData":{"id":1755,"type":"article-journal","title":"Pretreatment serum uracil concentration as a predictor of severe and fatal fluoropyrimidine-associated toxicity","container-title":"British Journal of Cancer","page":"1415-1424","volume":"116","issue":"11","source":"PubMed","abstract":"BACKGROUND: We investigated the predictive value of dihydropyrimidine dehydrogenase (DPD) phenotype, measured as pretreatment serum uracil and dihydrouracil concentrations, for severe as well as fatal fluoropyrimidine-associated toxicity in 550 patients treated previously with fluoropyrimidines during a prospective multicenter study.\nMETHODS: Pretreatment serum concentrations of uracil and dihydrouracil were measured using a validated LC-MS/MS method. The primary endpoint of this analysis was global (any) severe fluoropyrimidine-associated toxicity, that is, grade </w:instrText>
      </w:r>
      <w:r w:rsidR="00561FC3" w:rsidRPr="002575A7">
        <w:rPr>
          <w:rFonts w:ascii="Cambria Math" w:hAnsi="Cambria Math" w:cs="Cambria Math"/>
          <w:sz w:val="24"/>
          <w:szCs w:val="24"/>
          <w:lang w:val="en-US"/>
        </w:rPr>
        <w:instrText>⩾</w:instrText>
      </w:r>
      <w:r w:rsidR="00561FC3" w:rsidRPr="002575A7">
        <w:rPr>
          <w:rFonts w:ascii="Book Antiqua" w:hAnsi="Book Antiqua" w:cs="Times New Roman"/>
          <w:sz w:val="24"/>
          <w:szCs w:val="24"/>
          <w:lang w:val="en-US"/>
        </w:rPr>
        <w:instrText>3 toxicity according to the NCI CTC-AE v3.0, occurring during the first cycle of treatment. The predictive value of uracil and the uracil/dihydrouracil ratio for early severe fluoropyrimidine-associated toxicity were compared. Pharmacogenetic variants in DPYD (c.2846A&gt;T, c.1679T&gt;G, c.1129-5923C&gt;G, and c.1601G&gt;A) and TYMS (TYMS 5'-UTR VNTR and TYMS 3'-UTR 6-bp ins/del) were measured and tested for associations with severe fluoropyrimidine-associated toxicity to compare predictive value with DPD phenotype. The Benjamini-Hochberg false discovery rate method was used to control for type I errors at level q&lt;0.050 (corresponding to P&lt;0.010).\nRESULTS: Uracil was superior to the dihydrouracil/uracil ratio as a predictor of severe toxicity. High pretreatment uracil concentrations (&gt;16</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ng</w:instrText>
      </w:r>
      <w:r w:rsidR="00561FC3" w:rsidRPr="002575A7">
        <w:rPr>
          <w:rFonts w:ascii="Times New Roman" w:hAnsi="Times New Roman" w:cs="Times New Roman"/>
          <w:sz w:val="24"/>
          <w:szCs w:val="24"/>
          <w:lang w:val="en-US"/>
        </w:rPr>
        <w:instrText> </w:instrText>
      </w:r>
      <w:r w:rsidR="00561FC3" w:rsidRPr="002575A7">
        <w:rPr>
          <w:rFonts w:ascii="Book Antiqua" w:hAnsi="Book Antiqua" w:cs="Times New Roman"/>
          <w:sz w:val="24"/>
          <w:szCs w:val="24"/>
          <w:lang w:val="en-US"/>
        </w:rPr>
        <w:instrText xml:space="preserve">ml-1) were strongly associated with global severe toxicity (OR 5.3, P=0.009), severe gastrointestinal toxicity (OR 33.7, P&lt;0.0001), toxicity-related hospitalisation (OR 16.9, P&lt;0.0001), as well as fatal treatment-related toxicity (OR 44.8, P=0.001). None of the DPYD variants alone, or TYMS variants alone, were associated with severe toxicity.\nCONCLUSIONS: High pretreatment uracil concentration was strongly predictive of severe, including fatal, fluoropyrimidine-associated toxicity, and is a highly promising phenotypic marker to identify patients at risk of severe fluoropyrimidine-associated toxicity.","DOI":"10.1038/bjc.2017.94","ISSN":"1532-1827","note":"PMID: 28427087\nPMCID: PMC5520099","journalAbbreviation":"Br. J. Cancer","language":"eng","author":[{"family":"Meulendijks","given":"Didier"},{"family":"Henricks","given":"Linda M."},{"family":"Jacobs","given":"Bart A. W."},{"family":"Aliev","given":"Abidin"},{"family":"Deenen","given":"Maarten J."},{"family":"Vries","given":"Niels","non-dropping-particle":"de"},{"family":"Rosing","given":"Hilde"},{"family":"Werkhoven","given":"Erik","non-dropping-particle":"van"},{"family":"Boer","given":"Anthonius","non-dropping-particle":"de"},{"family":"Beijnen","given":"Jos H."},{"family":"Mandigers","given":"Caroline M. P. W."},{"family":"Soesan","given":"Marcel"},{"family":"Cats","given":"Annemieke"},{"family":"Schellens","given":"Jan H. M."}],"issued":{"date-parts":[["2017",5,23]]}},"label":"page"}],"schema":"https://github.com/citation-style-language/schema/raw/master/csl-citation.json"}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41,42</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A01B17" w:rsidRPr="002575A7">
        <w:rPr>
          <w:rFonts w:ascii="Book Antiqua" w:hAnsi="Book Antiqua" w:cs="Times New Roman"/>
          <w:sz w:val="24"/>
          <w:szCs w:val="24"/>
          <w:lang w:val="en-US"/>
        </w:rPr>
        <w:t xml:space="preserve"> </w:t>
      </w:r>
      <w:r w:rsidR="0077717C" w:rsidRPr="002575A7">
        <w:rPr>
          <w:rFonts w:ascii="Book Antiqua" w:hAnsi="Book Antiqua" w:cs="Times New Roman"/>
          <w:sz w:val="24"/>
          <w:szCs w:val="24"/>
          <w:lang w:val="en-US"/>
        </w:rPr>
        <w:t>P</w:t>
      </w:r>
      <w:r w:rsidR="00AA79D0" w:rsidRPr="002575A7">
        <w:rPr>
          <w:rFonts w:ascii="Book Antiqua" w:hAnsi="Book Antiqua" w:cs="Times New Roman"/>
          <w:sz w:val="24"/>
          <w:szCs w:val="24"/>
          <w:lang w:val="en-US"/>
        </w:rPr>
        <w:t xml:space="preserve">reemptive screening of DPYD and UGT1A1 variants </w:t>
      </w:r>
      <w:r w:rsidR="00EF551F" w:rsidRPr="002575A7">
        <w:rPr>
          <w:rFonts w:ascii="Book Antiqua" w:hAnsi="Book Antiqua" w:cs="Times New Roman"/>
          <w:sz w:val="24"/>
          <w:szCs w:val="24"/>
          <w:lang w:val="en-US"/>
        </w:rPr>
        <w:t xml:space="preserve">could </w:t>
      </w:r>
      <w:r w:rsidR="00AA79D0" w:rsidRPr="002575A7">
        <w:rPr>
          <w:rFonts w:ascii="Book Antiqua" w:hAnsi="Book Antiqua" w:cs="Times New Roman"/>
          <w:sz w:val="24"/>
          <w:szCs w:val="24"/>
          <w:lang w:val="en-US"/>
        </w:rPr>
        <w:t xml:space="preserve">identify patients at risk of clinically relevant </w:t>
      </w:r>
      <w:r w:rsidR="00EF551F" w:rsidRPr="002575A7">
        <w:rPr>
          <w:rFonts w:ascii="Book Antiqua" w:hAnsi="Book Antiqua" w:cs="Times New Roman"/>
          <w:sz w:val="24"/>
          <w:szCs w:val="24"/>
          <w:lang w:val="en-US"/>
        </w:rPr>
        <w:t>adverse events</w:t>
      </w:r>
      <w:r w:rsidR="00AA79D0" w:rsidRPr="002575A7">
        <w:rPr>
          <w:rFonts w:ascii="Book Antiqua" w:hAnsi="Book Antiqua" w:cs="Times New Roman"/>
          <w:sz w:val="24"/>
          <w:szCs w:val="24"/>
          <w:lang w:val="en-US"/>
        </w:rPr>
        <w:t xml:space="preserve">, to improve </w:t>
      </w:r>
      <w:r w:rsidR="00EF551F" w:rsidRPr="002575A7">
        <w:rPr>
          <w:rFonts w:ascii="Book Antiqua" w:hAnsi="Book Antiqua" w:cs="Times New Roman"/>
          <w:sz w:val="24"/>
          <w:szCs w:val="24"/>
          <w:lang w:val="en-US"/>
        </w:rPr>
        <w:t>FOLFIRINOX administration</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{"citationID":"0JHXq38T","properties":{"formattedCitation":"\\super 43\\nosupersub{}","plainCitation":"43","noteIndex":0},"citationItems":[{"id":1747,"uris":["http://zotero.org/users/2205527/items/INRPT65H"],"uri":["http://zotero.org/users/2205527/items/INRPT65H"],"itemData":{"id":1747,"type":"article-journal","title":"DPYD and UGT1A1 genotyping to predict adverse events during first-line FOLFIRI or FOLFOXIRI plus bevacizumab in metastatic colorectal cancer","container-title":"Oncotarget","page":"7859-7866","volume":"9","issue":"8","source":"PubMed","abstract":"Our study addresses the issue of the clinical reliability of three candidate DPYD and one UGT single nucleotide polymorphisms in predicting 5-fluorouracil- and irinotecan-related adverse events. To this purpose, we took advantage of a large cohort of metastatic colorectal cancer patients treated with first-line 5-fluorouracil- and irinotecan-based chemotherapy regimens (i.e., FOLFIRI or FOLFOXIRI) plus bevacizumab in the randomized clinical trial TRIBE by GONO (clinicaltrials.gov: NCT00719797), in which adverse events were carefully and prospectively collected at each treatment cycle. Here we show that patients bearing DPYD c.1905+1G/A and c.2846A/T genotypes, together with UGT1A1*28 variant carriers, have an increased risk of experiencing clinically relevant toxicities, including hematological AEs and stomatitis. No carrier of the DPYD c.1679T&gt;G minor allele was identified. Present results support the preemptive screening of mentioned DPYD and UGT1A1 variants to identify patients at risk of clinically relevant 5-fluoruracil- and irinotecan-related AEs, in order to improve treatments' safety through a \"genotype-guided\" approach.","DOI":"10.18632/oncotarget.23559","ISSN":"1949-2553","note":"PMID: 29487697\nPMCID: PMC5814264","journalAbbreviation":"Oncotarget","language":"eng","author":[{"family":"Cremolini","given":"Chiara"},{"family":"Del Re","given":"Marzia"},{"family":"Antoniotti","given":"Carlotta"},{"family":"Lonardi","given":"Sara"},{"family":"Bergamo","given":"Francesca"},{"family":"Loupakis","given":"Fotios"},{"family":"Borelli","given":"Beatrice"},{"family":"Marmorino","given":"Federica"},{"family":"Citi","given":"Valentina"},{"family":"Cortesi","given":"Enrico"},{"family":"Moretto","given":"Roberto"},{"family":"Ronzoni","given":"Monica"},{"family":"Tomasello","given":"Gianluca"},{"family":"Zaniboni","given":"Alberto"},{"family":"Racca","given":"Patrizia"},{"family":"Buonadonna","given":"Angela"},{"family":"Allegrini","given":"Giacomo"},{"family":"Ricci","given":"Vincenzo"},{"family":"Di Donato","given":"Samantha"},{"family":"Zagonel","given":"Vittorina"},{"family":"Boni","given":"Luca"},{"family":"Falcone","given":"Alfredo"},{"family":"Danesi","given":"Romano"}],"issued":{"date-parts":[["2018",1,30]]}}}],"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43</w:t>
      </w:r>
      <w:r w:rsidR="00561FC3" w:rsidRPr="002575A7">
        <w:rPr>
          <w:rFonts w:ascii="Book Antiqua" w:hAnsi="Book Antiqua" w:cs="Times New Roman"/>
          <w:sz w:val="24"/>
          <w:szCs w:val="24"/>
          <w:lang w:val="en-US"/>
        </w:rPr>
        <w:fldChar w:fldCharType="end"/>
      </w:r>
      <w:r w:rsidR="007D3A08"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EF551F" w:rsidRPr="002575A7">
        <w:rPr>
          <w:rFonts w:ascii="Book Antiqua" w:hAnsi="Book Antiqua" w:cs="Times New Roman"/>
          <w:sz w:val="24"/>
          <w:szCs w:val="24"/>
          <w:lang w:val="en-US"/>
        </w:rPr>
        <w:t xml:space="preserve"> In an era of personalized </w:t>
      </w:r>
      <w:r w:rsidR="00EF551F" w:rsidRPr="002575A7">
        <w:rPr>
          <w:rFonts w:ascii="Book Antiqua" w:hAnsi="Book Antiqua" w:cs="Times New Roman"/>
          <w:sz w:val="24"/>
          <w:szCs w:val="24"/>
          <w:lang w:val="en-US"/>
        </w:rPr>
        <w:lastRenderedPageBreak/>
        <w:t xml:space="preserve">medicine, a “genotype-guided” approach could help to individualize the dose to optimize efficacy, limit toxicity and guarantee </w:t>
      </w:r>
      <w:r w:rsidR="00D25F2B" w:rsidRPr="002575A7">
        <w:rPr>
          <w:rFonts w:ascii="Book Antiqua" w:hAnsi="Book Antiqua" w:cs="Times New Roman"/>
          <w:sz w:val="24"/>
          <w:szCs w:val="24"/>
          <w:lang w:val="en-US"/>
        </w:rPr>
        <w:t>HR</w:t>
      </w:r>
      <w:r w:rsidR="00EF551F" w:rsidRPr="002575A7">
        <w:rPr>
          <w:rFonts w:ascii="Book Antiqua" w:hAnsi="Book Antiqua" w:cs="Times New Roman"/>
          <w:sz w:val="24"/>
          <w:szCs w:val="24"/>
          <w:lang w:val="en-US"/>
        </w:rPr>
        <w:t>QoL.</w:t>
      </w:r>
    </w:p>
    <w:p w14:paraId="17D42727" w14:textId="7FAC0295" w:rsidR="0044750C" w:rsidRDefault="004E5DFD" w:rsidP="0044750C">
      <w:pPr>
        <w:snapToGrid w:val="0"/>
        <w:spacing w:after="0" w:line="360" w:lineRule="auto"/>
        <w:ind w:firstLineChars="100" w:firstLine="240"/>
        <w:jc w:val="both"/>
        <w:rPr>
          <w:rFonts w:ascii="Book Antiqua" w:hAnsi="Book Antiqua"/>
          <w:color w:val="000000"/>
          <w:sz w:val="24"/>
          <w:szCs w:val="24"/>
          <w:lang w:val="en-US"/>
        </w:rPr>
      </w:pPr>
      <w:r w:rsidRPr="002575A7">
        <w:rPr>
          <w:rFonts w:ascii="Book Antiqua" w:hAnsi="Book Antiqua" w:cs="Times New Roman"/>
          <w:sz w:val="24"/>
          <w:szCs w:val="24"/>
          <w:lang w:val="en-US"/>
        </w:rPr>
        <w:t xml:space="preserve">In conclusion, </w:t>
      </w:r>
      <w:r w:rsidR="000A38F6" w:rsidRPr="002575A7">
        <w:rPr>
          <w:rFonts w:ascii="Book Antiqua" w:hAnsi="Book Antiqua" w:cs="Times New Roman"/>
          <w:sz w:val="24"/>
          <w:szCs w:val="24"/>
          <w:lang w:val="en-US"/>
        </w:rPr>
        <w:t xml:space="preserve">FOLFOXIRI is feasible in L1 in patients with </w:t>
      </w:r>
      <w:r w:rsidR="009D1BBF" w:rsidRPr="002575A7">
        <w:rPr>
          <w:rFonts w:ascii="Book Antiqua" w:hAnsi="Book Antiqua" w:cs="Times New Roman"/>
          <w:sz w:val="24"/>
          <w:szCs w:val="24"/>
          <w:lang w:val="en-US"/>
        </w:rPr>
        <w:t>aPDAC</w:t>
      </w:r>
      <w:r w:rsidR="00F32207">
        <w:rPr>
          <w:rFonts w:ascii="Book Antiqua" w:hAnsi="Book Antiqua" w:cs="Times New Roman"/>
          <w:sz w:val="24"/>
          <w:szCs w:val="24"/>
          <w:lang w:val="en-US"/>
        </w:rPr>
        <w:t>,</w:t>
      </w:r>
      <w:r w:rsidR="000A38F6" w:rsidRPr="002575A7">
        <w:rPr>
          <w:rFonts w:ascii="Book Antiqua" w:hAnsi="Book Antiqua" w:cs="Times New Roman"/>
          <w:sz w:val="24"/>
          <w:szCs w:val="24"/>
          <w:lang w:val="en-US"/>
        </w:rPr>
        <w:t xml:space="preserve"> but does not </w:t>
      </w:r>
      <w:r w:rsidR="00B40578">
        <w:rPr>
          <w:rFonts w:ascii="Book Antiqua" w:hAnsi="Book Antiqua" w:cs="Times New Roman"/>
          <w:sz w:val="24"/>
          <w:szCs w:val="24"/>
          <w:lang w:val="en-US"/>
        </w:rPr>
        <w:t xml:space="preserve">appear to </w:t>
      </w:r>
      <w:r w:rsidR="000A38F6" w:rsidRPr="002575A7">
        <w:rPr>
          <w:rFonts w:ascii="Book Antiqua" w:hAnsi="Book Antiqua" w:cs="Times New Roman"/>
          <w:sz w:val="24"/>
          <w:szCs w:val="24"/>
          <w:lang w:val="en-US"/>
        </w:rPr>
        <w:t xml:space="preserve">confer any therapeutic benefit as compared with </w:t>
      </w:r>
      <w:r w:rsidR="00434702">
        <w:rPr>
          <w:rFonts w:ascii="Book Antiqua" w:hAnsi="Book Antiqua" w:cs="Times New Roman"/>
          <w:sz w:val="24"/>
          <w:szCs w:val="24"/>
          <w:lang w:val="en-US"/>
        </w:rPr>
        <w:t xml:space="preserve">the </w:t>
      </w:r>
      <w:r w:rsidR="000A38F6" w:rsidRPr="002575A7">
        <w:rPr>
          <w:rFonts w:ascii="Book Antiqua" w:hAnsi="Book Antiqua" w:cs="Times New Roman"/>
          <w:sz w:val="24"/>
          <w:szCs w:val="24"/>
          <w:lang w:val="en-US"/>
        </w:rPr>
        <w:t xml:space="preserve">FOLFIRINOX regimen. </w:t>
      </w:r>
      <w:r w:rsidR="003E3DEA" w:rsidRPr="002575A7">
        <w:rPr>
          <w:rFonts w:ascii="Book Antiqua" w:hAnsi="Book Antiqua" w:cs="Times New Roman"/>
          <w:sz w:val="24"/>
          <w:szCs w:val="24"/>
          <w:lang w:val="en-US"/>
        </w:rPr>
        <w:t>FOLFOXIRI was associated with a higher incidence of grade 3 or 4 digestive adverse events compared to FOLFIRINOX</w:t>
      </w:r>
      <w:r w:rsidR="003839D9" w:rsidRPr="002575A7">
        <w:rPr>
          <w:rFonts w:ascii="Book Antiqua" w:hAnsi="Book Antiqua" w:cs="Times New Roman"/>
          <w:sz w:val="24"/>
          <w:szCs w:val="24"/>
          <w:lang w:val="en-US"/>
        </w:rPr>
        <w:t xml:space="preserve">. </w:t>
      </w:r>
      <w:r w:rsidR="007620C2" w:rsidRPr="002575A7">
        <w:rPr>
          <w:rFonts w:ascii="Book Antiqua" w:hAnsi="Book Antiqua" w:cs="Times New Roman"/>
          <w:sz w:val="24"/>
          <w:szCs w:val="24"/>
          <w:lang w:val="en-US"/>
        </w:rPr>
        <w:t xml:space="preserve">A major </w:t>
      </w:r>
      <w:r w:rsidR="000A38F6" w:rsidRPr="002575A7">
        <w:rPr>
          <w:rFonts w:ascii="Book Antiqua" w:hAnsi="Book Antiqua" w:cs="Times New Roman"/>
          <w:sz w:val="24"/>
          <w:szCs w:val="24"/>
          <w:lang w:val="en-US"/>
        </w:rPr>
        <w:t xml:space="preserve">difference in </w:t>
      </w:r>
      <w:r w:rsidR="00191822" w:rsidRPr="002575A7">
        <w:rPr>
          <w:rFonts w:ascii="Book Antiqua" w:hAnsi="Book Antiqua" w:cs="Times New Roman"/>
          <w:sz w:val="24"/>
          <w:szCs w:val="24"/>
          <w:lang w:val="en-US"/>
        </w:rPr>
        <w:t>hematological</w:t>
      </w:r>
      <w:r w:rsidR="000A38F6" w:rsidRPr="002575A7">
        <w:rPr>
          <w:rFonts w:ascii="Book Antiqua" w:hAnsi="Book Antiqua" w:cs="Times New Roman"/>
          <w:sz w:val="24"/>
          <w:szCs w:val="24"/>
          <w:lang w:val="en-US"/>
        </w:rPr>
        <w:t xml:space="preserve"> toxicities </w:t>
      </w:r>
      <w:r w:rsidR="00434702">
        <w:rPr>
          <w:rFonts w:ascii="Book Antiqua" w:hAnsi="Book Antiqua" w:cs="Times New Roman"/>
          <w:sz w:val="24"/>
          <w:szCs w:val="24"/>
          <w:lang w:val="en-US"/>
        </w:rPr>
        <w:t>was</w:t>
      </w:r>
      <w:r w:rsidR="00434702" w:rsidRPr="002575A7">
        <w:rPr>
          <w:rFonts w:ascii="Book Antiqua" w:hAnsi="Book Antiqua" w:cs="Times New Roman"/>
          <w:sz w:val="24"/>
          <w:szCs w:val="24"/>
          <w:lang w:val="en-US"/>
        </w:rPr>
        <w:t xml:space="preserve"> </w:t>
      </w:r>
      <w:r w:rsidR="007620C2" w:rsidRPr="002575A7">
        <w:rPr>
          <w:rFonts w:ascii="Book Antiqua" w:hAnsi="Book Antiqua" w:cs="Times New Roman"/>
          <w:sz w:val="24"/>
          <w:szCs w:val="24"/>
          <w:lang w:val="en-US"/>
        </w:rPr>
        <w:t>observed between our cohort and the PRODIGE 4/ACCORD 11 trial</w:t>
      </w:r>
      <w:r w:rsidR="00145FD4" w:rsidRPr="002575A7">
        <w:rPr>
          <w:rFonts w:ascii="Book Antiqua" w:hAnsi="Book Antiqua" w:cs="Times New Roman"/>
          <w:sz w:val="24"/>
          <w:szCs w:val="24"/>
          <w:vertAlign w:val="superscript"/>
          <w:lang w:val="en-US"/>
        </w:rPr>
        <w:t>[</w:t>
      </w:r>
      <w:r w:rsidR="00561FC3" w:rsidRPr="002575A7">
        <w:rPr>
          <w:rFonts w:ascii="Book Antiqua" w:hAnsi="Book Antiqua" w:cs="Times New Roman"/>
          <w:sz w:val="24"/>
          <w:szCs w:val="24"/>
          <w:lang w:val="en-US"/>
        </w:rPr>
        <w:fldChar w:fldCharType="begin"/>
      </w:r>
      <w:r w:rsidR="00561FC3" w:rsidRPr="002575A7">
        <w:rPr>
          <w:rFonts w:ascii="Book Antiqua" w:hAnsi="Book Antiqua" w:cs="Times New Roman"/>
          <w:sz w:val="24"/>
          <w:szCs w:val="24"/>
          <w:lang w:val="en-US"/>
        </w:rPr>
        <w:instrText xml:space="preserve"> ADDIN ZOTERO_ITEM CSL_CITATION {"citationID":"KmjxOqxd","properties":{"formattedCitation":"\\super 7\\nosupersub{}","plainCitation":"7","noteIndex":0},"citationItems":[{"id":771,"uris":["http://zotero.org/users/2205527/items/KXPTCEBR"],"uri":["http://zotero.org/users/2205527/items/KXPTCEBR"],"itemData":{"id":771,"type":"article-journal","title":"FOLFIRINOX versus Gemcitabine for Metastatic Pancreatic Cancer","container-title":"New England Journal of Medicine","page":"1817-1825","volume":"364","issue":"19","source":"CrossRef","DOI":"10.1056/NEJMoa1011923","ISSN":"0028-4793, 1533-4406","language":"en","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5,12]]}}}],"schema":"https://github.com/citation-style-language/schema/raw/master/csl-citation.json"} </w:instrText>
      </w:r>
      <w:r w:rsidR="00561FC3" w:rsidRPr="002575A7">
        <w:rPr>
          <w:rFonts w:ascii="Book Antiqua" w:hAnsi="Book Antiqua" w:cs="Times New Roman"/>
          <w:sz w:val="24"/>
          <w:szCs w:val="24"/>
          <w:lang w:val="en-US"/>
        </w:rPr>
        <w:fldChar w:fldCharType="separate"/>
      </w:r>
      <w:r w:rsidR="004E2274" w:rsidRPr="00EB33CD">
        <w:rPr>
          <w:rFonts w:ascii="Book Antiqua" w:hAnsi="Book Antiqua" w:cs="Times New Roman"/>
          <w:sz w:val="24"/>
          <w:szCs w:val="24"/>
          <w:vertAlign w:val="superscript"/>
          <w:lang w:val="en-US"/>
        </w:rPr>
        <w:t>7</w:t>
      </w:r>
      <w:r w:rsidR="00561FC3" w:rsidRPr="002575A7">
        <w:rPr>
          <w:rFonts w:ascii="Book Antiqua" w:hAnsi="Book Antiqua" w:cs="Times New Roman"/>
          <w:sz w:val="24"/>
          <w:szCs w:val="24"/>
          <w:lang w:val="en-US"/>
        </w:rPr>
        <w:fldChar w:fldCharType="end"/>
      </w:r>
      <w:r w:rsidR="0025355F" w:rsidRPr="002575A7">
        <w:rPr>
          <w:rFonts w:ascii="Book Antiqua" w:hAnsi="Book Antiqua" w:cs="Times New Roman"/>
          <w:sz w:val="24"/>
          <w:szCs w:val="24"/>
          <w:vertAlign w:val="superscript"/>
          <w:lang w:val="en-US"/>
        </w:rPr>
        <w:t>]</w:t>
      </w:r>
      <w:r w:rsidR="00D01983" w:rsidRPr="002575A7">
        <w:rPr>
          <w:rFonts w:ascii="Book Antiqua" w:hAnsi="Book Antiqua" w:cs="Times New Roman"/>
          <w:sz w:val="24"/>
          <w:szCs w:val="24"/>
          <w:lang w:val="en-US"/>
        </w:rPr>
        <w:t>,</w:t>
      </w:r>
      <w:r w:rsidR="007620C2" w:rsidRPr="002575A7">
        <w:rPr>
          <w:rFonts w:ascii="Book Antiqua" w:hAnsi="Book Antiqua" w:cs="Times New Roman"/>
          <w:sz w:val="24"/>
          <w:szCs w:val="24"/>
          <w:lang w:val="en-US"/>
        </w:rPr>
        <w:t xml:space="preserve"> </w:t>
      </w:r>
      <w:r w:rsidR="00BE5B2B">
        <w:rPr>
          <w:rFonts w:ascii="Book Antiqua" w:hAnsi="Book Antiqua" w:cs="Times New Roman"/>
          <w:sz w:val="24"/>
          <w:szCs w:val="24"/>
          <w:lang w:val="en-US"/>
        </w:rPr>
        <w:t>underlining</w:t>
      </w:r>
      <w:r w:rsidR="00BE5B2B" w:rsidRPr="002575A7">
        <w:rPr>
          <w:rFonts w:ascii="Book Antiqua" w:hAnsi="Book Antiqua" w:cs="Times New Roman"/>
          <w:sz w:val="24"/>
          <w:szCs w:val="24"/>
          <w:lang w:val="en-US"/>
        </w:rPr>
        <w:t xml:space="preserve"> </w:t>
      </w:r>
      <w:r w:rsidR="000A38F6" w:rsidRPr="002575A7">
        <w:rPr>
          <w:rFonts w:ascii="Book Antiqua" w:hAnsi="Book Antiqua" w:cs="Times New Roman"/>
          <w:sz w:val="24"/>
          <w:szCs w:val="24"/>
          <w:lang w:val="en-US"/>
        </w:rPr>
        <w:t xml:space="preserve">the </w:t>
      </w:r>
      <w:r w:rsidR="00407FBF">
        <w:rPr>
          <w:rFonts w:ascii="Book Antiqua" w:hAnsi="Book Antiqua" w:cs="Times New Roman"/>
          <w:sz w:val="24"/>
          <w:szCs w:val="24"/>
          <w:lang w:val="en-US"/>
        </w:rPr>
        <w:t>relevance</w:t>
      </w:r>
      <w:r w:rsidR="000A38F6" w:rsidRPr="002575A7">
        <w:rPr>
          <w:rFonts w:ascii="Book Antiqua" w:hAnsi="Book Antiqua" w:cs="Times New Roman"/>
          <w:sz w:val="24"/>
          <w:szCs w:val="24"/>
          <w:lang w:val="en-US"/>
        </w:rPr>
        <w:t xml:space="preserve"> of </w:t>
      </w:r>
      <w:r w:rsidR="007620C2" w:rsidRPr="002575A7">
        <w:rPr>
          <w:rFonts w:ascii="Book Antiqua" w:hAnsi="Book Antiqua" w:cs="Times New Roman"/>
          <w:sz w:val="24"/>
          <w:szCs w:val="24"/>
          <w:lang w:val="en-US"/>
        </w:rPr>
        <w:t>prophylactic administration of hematopoietic growth factors in routine clinical practice.</w:t>
      </w:r>
      <w:r w:rsidR="006F2693" w:rsidRPr="002575A7">
        <w:rPr>
          <w:rFonts w:ascii="Book Antiqua" w:hAnsi="Book Antiqua" w:cs="Times New Roman"/>
          <w:sz w:val="24"/>
          <w:szCs w:val="24"/>
          <w:lang w:val="en-US"/>
        </w:rPr>
        <w:t xml:space="preserve"> </w:t>
      </w:r>
      <w:r w:rsidR="00CF78DC" w:rsidRPr="002575A7">
        <w:rPr>
          <w:rFonts w:ascii="Book Antiqua" w:hAnsi="Book Antiqua"/>
          <w:color w:val="000000"/>
          <w:sz w:val="24"/>
          <w:szCs w:val="24"/>
          <w:lang w:val="en-US"/>
        </w:rPr>
        <w:t>These results show</w:t>
      </w:r>
      <w:r w:rsidR="00B91546" w:rsidRPr="002575A7">
        <w:rPr>
          <w:rFonts w:ascii="Book Antiqua" w:hAnsi="Book Antiqua"/>
          <w:color w:val="000000"/>
          <w:sz w:val="24"/>
          <w:szCs w:val="24"/>
          <w:lang w:val="en-US"/>
        </w:rPr>
        <w:t xml:space="preserve"> that additional evaluation is not </w:t>
      </w:r>
      <w:r w:rsidR="00B40578">
        <w:rPr>
          <w:rFonts w:ascii="Book Antiqua" w:hAnsi="Book Antiqua"/>
          <w:color w:val="000000"/>
          <w:sz w:val="24"/>
          <w:szCs w:val="24"/>
          <w:lang w:val="en-US"/>
        </w:rPr>
        <w:t>warranted</w:t>
      </w:r>
      <w:r w:rsidR="00B91546" w:rsidRPr="002575A7">
        <w:rPr>
          <w:rFonts w:ascii="Book Antiqua" w:hAnsi="Book Antiqua"/>
          <w:color w:val="000000"/>
          <w:sz w:val="24"/>
          <w:szCs w:val="24"/>
          <w:lang w:val="en-US"/>
        </w:rPr>
        <w:t xml:space="preserve"> in future clinical trials. FOLFIRINOX chemotherapy remains the standard </w:t>
      </w:r>
      <w:r w:rsidR="00B5504F">
        <w:rPr>
          <w:rFonts w:ascii="Book Antiqua" w:hAnsi="Book Antiqua"/>
          <w:color w:val="000000"/>
          <w:sz w:val="24"/>
          <w:szCs w:val="24"/>
          <w:lang w:val="en-US"/>
        </w:rPr>
        <w:t xml:space="preserve">of </w:t>
      </w:r>
      <w:r w:rsidR="00982088" w:rsidRPr="002575A7">
        <w:rPr>
          <w:rFonts w:ascii="Book Antiqua" w:hAnsi="Book Antiqua"/>
          <w:color w:val="000000"/>
          <w:sz w:val="24"/>
          <w:szCs w:val="24"/>
          <w:lang w:val="en-US"/>
        </w:rPr>
        <w:t xml:space="preserve">care </w:t>
      </w:r>
      <w:r w:rsidR="00B91546" w:rsidRPr="002575A7">
        <w:rPr>
          <w:rFonts w:ascii="Book Antiqua" w:hAnsi="Book Antiqua"/>
          <w:color w:val="000000"/>
          <w:sz w:val="24"/>
          <w:szCs w:val="24"/>
          <w:lang w:val="en-US"/>
        </w:rPr>
        <w:t xml:space="preserve">in </w:t>
      </w:r>
      <w:r w:rsidR="000C3A88" w:rsidRPr="002575A7">
        <w:rPr>
          <w:rFonts w:ascii="Book Antiqua" w:hAnsi="Book Antiqua"/>
          <w:color w:val="000000"/>
          <w:sz w:val="24"/>
          <w:szCs w:val="24"/>
          <w:lang w:val="en-US"/>
        </w:rPr>
        <w:t>L1</w:t>
      </w:r>
      <w:r w:rsidR="00B91546" w:rsidRPr="002575A7">
        <w:rPr>
          <w:rFonts w:ascii="Book Antiqua" w:hAnsi="Book Antiqua"/>
          <w:color w:val="000000"/>
          <w:sz w:val="24"/>
          <w:szCs w:val="24"/>
          <w:lang w:val="en-US"/>
        </w:rPr>
        <w:t xml:space="preserve"> in metastatic PDAC.</w:t>
      </w:r>
    </w:p>
    <w:p w14:paraId="26F75776" w14:textId="68E7988C" w:rsidR="00BE107E" w:rsidRPr="00EB33CD" w:rsidRDefault="00BE107E" w:rsidP="0044750C">
      <w:pPr>
        <w:snapToGrid w:val="0"/>
        <w:spacing w:after="0" w:line="360" w:lineRule="auto"/>
        <w:ind w:firstLineChars="100" w:firstLine="240"/>
        <w:jc w:val="both"/>
        <w:rPr>
          <w:rFonts w:ascii="Book Antiqua" w:hAnsi="Book Antiqua" w:cs="Times New Roman"/>
          <w:sz w:val="24"/>
          <w:szCs w:val="24"/>
          <w:lang w:val="en-US"/>
        </w:rPr>
      </w:pPr>
      <w:r w:rsidRPr="00EB33CD">
        <w:rPr>
          <w:rFonts w:ascii="Book Antiqua" w:hAnsi="Book Antiqua" w:cs="Times New Roman"/>
          <w:sz w:val="24"/>
          <w:szCs w:val="24"/>
          <w:lang w:val="en-US"/>
        </w:rPr>
        <w:br w:type="page"/>
      </w:r>
    </w:p>
    <w:p w14:paraId="0473933B" w14:textId="77777777" w:rsidR="00C13311" w:rsidRPr="0044750C" w:rsidRDefault="00C13311" w:rsidP="00864BDB">
      <w:pPr>
        <w:snapToGrid w:val="0"/>
        <w:spacing w:after="0" w:line="360" w:lineRule="auto"/>
        <w:jc w:val="both"/>
        <w:rPr>
          <w:rFonts w:ascii="Book Antiqua" w:hAnsi="Book Antiqua"/>
          <w:b/>
          <w:color w:val="000000"/>
          <w:sz w:val="24"/>
          <w:szCs w:val="24"/>
          <w:u w:val="single"/>
          <w:lang w:val="en-US"/>
        </w:rPr>
      </w:pPr>
      <w:bookmarkStart w:id="7" w:name="_Hlk10708737"/>
      <w:r w:rsidRPr="0044750C">
        <w:rPr>
          <w:rFonts w:ascii="Book Antiqua" w:hAnsi="Book Antiqua"/>
          <w:b/>
          <w:color w:val="000000"/>
          <w:sz w:val="24"/>
          <w:szCs w:val="24"/>
          <w:u w:val="single"/>
          <w:lang w:val="en-US"/>
        </w:rPr>
        <w:lastRenderedPageBreak/>
        <w:t>ARTICLE HIGHLIGHTS</w:t>
      </w:r>
    </w:p>
    <w:bookmarkEnd w:id="7"/>
    <w:p w14:paraId="60E3F953"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background</w:t>
      </w:r>
    </w:p>
    <w:p w14:paraId="617874FD" w14:textId="04EC1DB2" w:rsidR="00C13311" w:rsidRPr="002575A7" w:rsidRDefault="00BE5B2B" w:rsidP="00864BDB">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The </w:t>
      </w:r>
      <w:r w:rsidR="00BE107E" w:rsidRPr="002575A7">
        <w:rPr>
          <w:rFonts w:ascii="Book Antiqua" w:hAnsi="Book Antiqua" w:cs="Times New Roman"/>
          <w:sz w:val="24"/>
          <w:szCs w:val="24"/>
          <w:lang w:val="en-US"/>
        </w:rPr>
        <w:t xml:space="preserve">FOLFIRINOX regimen is the first-line </w:t>
      </w:r>
      <w:r w:rsidR="00982088" w:rsidRPr="002575A7">
        <w:rPr>
          <w:rFonts w:ascii="Book Antiqua" w:hAnsi="Book Antiqua" w:cs="Times New Roman"/>
          <w:sz w:val="24"/>
          <w:szCs w:val="24"/>
          <w:lang w:val="en-US"/>
        </w:rPr>
        <w:t xml:space="preserve">reference </w:t>
      </w:r>
      <w:r w:rsidR="00BE107E" w:rsidRPr="002575A7">
        <w:rPr>
          <w:rFonts w:ascii="Book Antiqua" w:hAnsi="Book Antiqua" w:cs="Times New Roman"/>
          <w:sz w:val="24"/>
          <w:szCs w:val="24"/>
          <w:lang w:val="en-US"/>
        </w:rPr>
        <w:t xml:space="preserve">chemotherapy (L1) in advanced pancreatic ductal adenocarcinoma </w:t>
      </w:r>
      <w:r w:rsidR="00982088" w:rsidRPr="002575A7">
        <w:rPr>
          <w:rFonts w:ascii="Book Antiqua" w:hAnsi="Book Antiqua" w:cs="Times New Roman"/>
          <w:sz w:val="24"/>
          <w:szCs w:val="24"/>
          <w:lang w:val="en-US"/>
        </w:rPr>
        <w:t>(</w:t>
      </w:r>
      <w:r w:rsidR="00BE107E" w:rsidRPr="002575A7">
        <w:rPr>
          <w:rFonts w:ascii="Book Antiqua" w:hAnsi="Book Antiqua" w:cs="Times New Roman"/>
          <w:sz w:val="24"/>
          <w:szCs w:val="24"/>
          <w:lang w:val="en-US"/>
        </w:rPr>
        <w:t xml:space="preserve">PDAC). FOLFOXIRI might contribute to </w:t>
      </w:r>
      <w:r w:rsidR="0086426F">
        <w:rPr>
          <w:rFonts w:ascii="Book Antiqua" w:hAnsi="Book Antiqua" w:cs="Times New Roman"/>
          <w:sz w:val="24"/>
          <w:szCs w:val="24"/>
          <w:lang w:val="en-US"/>
        </w:rPr>
        <w:t xml:space="preserve">a </w:t>
      </w:r>
      <w:r w:rsidR="00BE107E" w:rsidRPr="002575A7">
        <w:rPr>
          <w:rFonts w:ascii="Book Antiqua" w:hAnsi="Book Antiqua" w:cs="Times New Roman"/>
          <w:sz w:val="24"/>
          <w:szCs w:val="24"/>
          <w:lang w:val="en-US"/>
        </w:rPr>
        <w:t xml:space="preserve">better balance </w:t>
      </w:r>
      <w:r w:rsidR="00F32207">
        <w:rPr>
          <w:rFonts w:ascii="Book Antiqua" w:hAnsi="Book Antiqua" w:cs="Times New Roman"/>
          <w:sz w:val="24"/>
          <w:szCs w:val="24"/>
          <w:lang w:val="en-US"/>
        </w:rPr>
        <w:t>in</w:t>
      </w:r>
      <w:r>
        <w:rPr>
          <w:rFonts w:ascii="Book Antiqua" w:hAnsi="Book Antiqua" w:cs="Times New Roman"/>
          <w:sz w:val="24"/>
          <w:szCs w:val="24"/>
          <w:lang w:val="en-US"/>
        </w:rPr>
        <w:t xml:space="preserve"> the toxicity/</w:t>
      </w:r>
      <w:r w:rsidR="00BE107E" w:rsidRPr="002575A7">
        <w:rPr>
          <w:rFonts w:ascii="Book Antiqua" w:hAnsi="Book Antiqua" w:cs="Times New Roman"/>
          <w:sz w:val="24"/>
          <w:szCs w:val="24"/>
          <w:lang w:val="en-US"/>
        </w:rPr>
        <w:t>efficacy ratio in this setting.</w:t>
      </w:r>
    </w:p>
    <w:p w14:paraId="1A93286B" w14:textId="77777777" w:rsidR="00BE107E" w:rsidRPr="002575A7" w:rsidRDefault="00BE107E" w:rsidP="00864BDB">
      <w:pPr>
        <w:snapToGrid w:val="0"/>
        <w:spacing w:after="0" w:line="360" w:lineRule="auto"/>
        <w:jc w:val="both"/>
        <w:rPr>
          <w:rFonts w:ascii="Book Antiqua" w:eastAsia="Times New Roman" w:hAnsi="Book Antiqua"/>
          <w:color w:val="000000"/>
          <w:sz w:val="24"/>
          <w:szCs w:val="24"/>
          <w:lang w:val="en-US" w:eastAsia="fr-FR"/>
        </w:rPr>
      </w:pPr>
    </w:p>
    <w:p w14:paraId="652D0139"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motivation</w:t>
      </w:r>
    </w:p>
    <w:p w14:paraId="5A2054EA" w14:textId="4AB68FE7" w:rsidR="00BE107E" w:rsidRPr="002575A7" w:rsidRDefault="00BE107E"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FOLFOXIRI has demonstrated efficacy and feasibility in colorectal cancer. </w:t>
      </w:r>
    </w:p>
    <w:p w14:paraId="0AF3E574" w14:textId="77777777" w:rsidR="00C13311" w:rsidRPr="002575A7" w:rsidRDefault="00C13311" w:rsidP="00864BDB">
      <w:pPr>
        <w:snapToGrid w:val="0"/>
        <w:spacing w:after="0" w:line="360" w:lineRule="auto"/>
        <w:jc w:val="both"/>
        <w:rPr>
          <w:rFonts w:ascii="Book Antiqua" w:eastAsia="Times New Roman" w:hAnsi="Book Antiqua"/>
          <w:color w:val="000000"/>
          <w:sz w:val="24"/>
          <w:szCs w:val="24"/>
          <w:lang w:val="en-US" w:eastAsia="fr-FR"/>
        </w:rPr>
      </w:pPr>
    </w:p>
    <w:p w14:paraId="49B6474A"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objectives</w:t>
      </w:r>
    </w:p>
    <w:p w14:paraId="60D286B2" w14:textId="713BEA09" w:rsidR="00BE107E" w:rsidRPr="002575A7" w:rsidRDefault="00BE107E"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To investigate the potential clinical </w:t>
      </w:r>
      <w:r w:rsidR="00F32207">
        <w:rPr>
          <w:rFonts w:ascii="Book Antiqua" w:hAnsi="Book Antiqua" w:cs="Times New Roman"/>
          <w:sz w:val="24"/>
          <w:szCs w:val="24"/>
          <w:lang w:val="en-US"/>
        </w:rPr>
        <w:t>value</w:t>
      </w:r>
      <w:r w:rsidRPr="002575A7">
        <w:rPr>
          <w:rFonts w:ascii="Book Antiqua" w:hAnsi="Book Antiqua" w:cs="Times New Roman"/>
          <w:sz w:val="24"/>
          <w:szCs w:val="24"/>
          <w:lang w:val="en-US"/>
        </w:rPr>
        <w:t xml:space="preserve"> of FOLFOXIRI in patients with a</w:t>
      </w:r>
      <w:r w:rsidR="00982088" w:rsidRPr="002575A7">
        <w:rPr>
          <w:rFonts w:ascii="Book Antiqua" w:hAnsi="Book Antiqua" w:cs="Times New Roman"/>
          <w:sz w:val="24"/>
          <w:szCs w:val="24"/>
          <w:lang w:val="en-US"/>
        </w:rPr>
        <w:t xml:space="preserve">dvanced </w:t>
      </w:r>
      <w:r w:rsidRPr="002575A7">
        <w:rPr>
          <w:rFonts w:ascii="Book Antiqua" w:hAnsi="Book Antiqua" w:cs="Times New Roman"/>
          <w:sz w:val="24"/>
          <w:szCs w:val="24"/>
          <w:lang w:val="en-US"/>
        </w:rPr>
        <w:t xml:space="preserve">PDAC </w:t>
      </w:r>
      <w:r w:rsidR="009D1BBF">
        <w:rPr>
          <w:rFonts w:ascii="Book Antiqua" w:hAnsi="Book Antiqua" w:cs="Times New Roman"/>
          <w:sz w:val="24"/>
          <w:szCs w:val="24"/>
          <w:lang w:val="en-US"/>
        </w:rPr>
        <w:t>(</w:t>
      </w:r>
      <w:r w:rsidR="00916870" w:rsidRPr="002575A7">
        <w:rPr>
          <w:rFonts w:ascii="Book Antiqua" w:hAnsi="Book Antiqua" w:cs="Times New Roman"/>
          <w:sz w:val="24"/>
          <w:szCs w:val="24"/>
          <w:lang w:val="en-US"/>
        </w:rPr>
        <w:t>aPDAC</w:t>
      </w:r>
      <w:r w:rsidR="009D1BBF">
        <w:rPr>
          <w:rFonts w:ascii="Book Antiqua" w:hAnsi="Book Antiqua" w:cs="Times New Roman"/>
          <w:sz w:val="24"/>
          <w:szCs w:val="24"/>
          <w:lang w:val="en-US"/>
        </w:rPr>
        <w:t xml:space="preserve">) </w:t>
      </w:r>
      <w:r w:rsidRPr="002575A7">
        <w:rPr>
          <w:rFonts w:ascii="Book Antiqua" w:hAnsi="Book Antiqua" w:cs="Times New Roman"/>
          <w:sz w:val="24"/>
          <w:szCs w:val="24"/>
          <w:lang w:val="en-US"/>
        </w:rPr>
        <w:t>in routine clinical practice.</w:t>
      </w:r>
    </w:p>
    <w:p w14:paraId="6E705DF1" w14:textId="77777777" w:rsidR="00C13311" w:rsidRPr="002575A7" w:rsidRDefault="00C13311" w:rsidP="00864BDB">
      <w:pPr>
        <w:snapToGrid w:val="0"/>
        <w:spacing w:after="0" w:line="360" w:lineRule="auto"/>
        <w:jc w:val="both"/>
        <w:rPr>
          <w:rFonts w:ascii="Book Antiqua" w:eastAsia="Times New Roman" w:hAnsi="Book Antiqua"/>
          <w:color w:val="000000"/>
          <w:sz w:val="24"/>
          <w:szCs w:val="24"/>
          <w:lang w:val="en-US" w:eastAsia="fr-FR"/>
        </w:rPr>
      </w:pPr>
    </w:p>
    <w:p w14:paraId="67D0DEA9"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methods</w:t>
      </w:r>
    </w:p>
    <w:p w14:paraId="0F03EF4B" w14:textId="56FEDA17" w:rsidR="00BE107E" w:rsidRPr="002575A7" w:rsidRDefault="00BE107E" w:rsidP="00864BDB">
      <w:pPr>
        <w:snapToGrid w:val="0"/>
        <w:spacing w:after="0" w:line="360" w:lineRule="auto"/>
        <w:jc w:val="both"/>
        <w:rPr>
          <w:rFonts w:ascii="Book Antiqua" w:hAnsi="Book Antiqua"/>
          <w:color w:val="000000"/>
          <w:sz w:val="24"/>
          <w:szCs w:val="24"/>
          <w:lang w:val="en-US"/>
        </w:rPr>
      </w:pPr>
      <w:r w:rsidRPr="002575A7">
        <w:rPr>
          <w:rFonts w:ascii="Book Antiqua" w:hAnsi="Book Antiqua"/>
          <w:color w:val="000000"/>
          <w:sz w:val="24"/>
          <w:szCs w:val="24"/>
          <w:lang w:val="en-US"/>
        </w:rPr>
        <w:t>This</w:t>
      </w:r>
      <w:r w:rsidR="00F65D1B" w:rsidRPr="002575A7">
        <w:rPr>
          <w:rFonts w:ascii="Book Antiqua" w:hAnsi="Book Antiqua"/>
          <w:color w:val="000000"/>
          <w:sz w:val="24"/>
          <w:szCs w:val="24"/>
          <w:lang w:val="en-US"/>
        </w:rPr>
        <w:t xml:space="preserve"> exploratory</w:t>
      </w:r>
      <w:r w:rsidRPr="002575A7">
        <w:rPr>
          <w:rFonts w:ascii="Book Antiqua" w:hAnsi="Book Antiqua"/>
          <w:color w:val="000000"/>
          <w:sz w:val="24"/>
          <w:szCs w:val="24"/>
          <w:lang w:val="en-US"/>
        </w:rPr>
        <w:t xml:space="preserve"> study compared clinical outcomes between the two treatments in the </w:t>
      </w:r>
      <w:r w:rsidR="00A67232">
        <w:rPr>
          <w:rFonts w:ascii="Book Antiqua" w:hAnsi="Book Antiqua"/>
          <w:color w:val="000000"/>
          <w:sz w:val="24"/>
          <w:szCs w:val="24"/>
          <w:lang w:val="en-US"/>
        </w:rPr>
        <w:t>overall</w:t>
      </w:r>
      <w:r w:rsidRPr="002575A7">
        <w:rPr>
          <w:rFonts w:ascii="Book Antiqua" w:hAnsi="Book Antiqua"/>
          <w:color w:val="000000"/>
          <w:sz w:val="24"/>
          <w:szCs w:val="24"/>
          <w:lang w:val="en-US"/>
        </w:rPr>
        <w:t xml:space="preserve"> population and after propensity score </w:t>
      </w:r>
      <w:r w:rsidR="004E3689" w:rsidRPr="002575A7">
        <w:rPr>
          <w:rFonts w:ascii="Book Antiqua" w:hAnsi="Book Antiqua" w:cs="Times New Roman"/>
          <w:sz w:val="24"/>
          <w:szCs w:val="24"/>
          <w:lang w:val="en-US"/>
        </w:rPr>
        <w:t>matching</w:t>
      </w:r>
      <w:r w:rsidRPr="002575A7">
        <w:rPr>
          <w:rFonts w:ascii="Book Antiqua" w:hAnsi="Book Antiqua"/>
          <w:color w:val="000000"/>
          <w:sz w:val="24"/>
          <w:szCs w:val="24"/>
          <w:lang w:val="en-US"/>
        </w:rPr>
        <w:t>.</w:t>
      </w:r>
    </w:p>
    <w:p w14:paraId="7C836B16" w14:textId="77777777" w:rsidR="00C13311" w:rsidRPr="00EB33CD" w:rsidRDefault="00C13311" w:rsidP="00864BDB">
      <w:pPr>
        <w:snapToGrid w:val="0"/>
        <w:spacing w:after="0" w:line="360" w:lineRule="auto"/>
        <w:jc w:val="both"/>
        <w:rPr>
          <w:rFonts w:ascii="Book Antiqua" w:hAnsi="Book Antiqua"/>
          <w:color w:val="000000"/>
          <w:sz w:val="24"/>
          <w:szCs w:val="24"/>
          <w:lang w:val="en-US"/>
        </w:rPr>
      </w:pPr>
    </w:p>
    <w:p w14:paraId="58B0195C"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results</w:t>
      </w:r>
    </w:p>
    <w:p w14:paraId="786709F4" w14:textId="5AC26B7A" w:rsidR="004E3689" w:rsidRPr="002575A7" w:rsidRDefault="004E3689"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All consecutive </w:t>
      </w:r>
      <w:r w:rsidR="00916870" w:rsidRPr="002575A7">
        <w:rPr>
          <w:rFonts w:ascii="Book Antiqua" w:hAnsi="Book Antiqua" w:cs="Times New Roman"/>
          <w:sz w:val="24"/>
          <w:szCs w:val="24"/>
          <w:lang w:val="en-US"/>
        </w:rPr>
        <w:t>aPDAC</w:t>
      </w:r>
      <w:r w:rsidRPr="002575A7">
        <w:rPr>
          <w:rFonts w:ascii="Book Antiqua" w:hAnsi="Book Antiqua" w:cs="Times New Roman"/>
          <w:sz w:val="24"/>
          <w:szCs w:val="24"/>
          <w:lang w:val="en-US"/>
        </w:rPr>
        <w:t xml:space="preserve"> patients treated in L1 with FOLFOXIRI (</w:t>
      </w:r>
      <w:r w:rsidRPr="0044750C">
        <w:rPr>
          <w:rFonts w:ascii="Book Antiqua" w:hAnsi="Book Antiqua" w:cs="Times New Roman"/>
          <w:i/>
          <w:iCs/>
          <w:sz w:val="24"/>
          <w:szCs w:val="24"/>
          <w:lang w:val="en-US"/>
        </w:rPr>
        <w:t>n</w:t>
      </w:r>
      <w:r w:rsidR="0044750C">
        <w:rPr>
          <w:rFonts w:ascii="Book Antiqua" w:hAnsi="Book Antiqua" w:cs="Times New Roman"/>
          <w:i/>
          <w:iCs/>
          <w:sz w:val="24"/>
          <w:szCs w:val="24"/>
          <w:lang w:val="en-US"/>
        </w:rPr>
        <w:t xml:space="preserve"> </w:t>
      </w:r>
      <w:r w:rsidRPr="002575A7">
        <w:rPr>
          <w:rFonts w:ascii="Book Antiqua" w:hAnsi="Book Antiqua" w:cs="Times New Roman"/>
          <w:sz w:val="24"/>
          <w:szCs w:val="24"/>
          <w:lang w:val="en-US"/>
        </w:rPr>
        <w:t>=</w:t>
      </w:r>
      <w:r w:rsidR="0044750C">
        <w:rPr>
          <w:rFonts w:ascii="Book Antiqua" w:hAnsi="Book Antiqua" w:cs="Times New Roman"/>
          <w:sz w:val="24"/>
          <w:szCs w:val="24"/>
          <w:lang w:val="en-US"/>
        </w:rPr>
        <w:t xml:space="preserve"> </w:t>
      </w:r>
      <w:r w:rsidRPr="002575A7">
        <w:rPr>
          <w:rFonts w:ascii="Book Antiqua" w:hAnsi="Book Antiqua" w:cs="Times New Roman"/>
          <w:sz w:val="24"/>
          <w:szCs w:val="24"/>
          <w:lang w:val="en-US"/>
        </w:rPr>
        <w:t>165) or FOLFIRINOX (</w:t>
      </w:r>
      <w:r w:rsidR="0044750C" w:rsidRPr="0044750C">
        <w:rPr>
          <w:rFonts w:ascii="Book Antiqua" w:hAnsi="Book Antiqua" w:cs="Times New Roman"/>
          <w:i/>
          <w:iCs/>
          <w:sz w:val="24"/>
          <w:szCs w:val="24"/>
          <w:lang w:val="en-US"/>
        </w:rPr>
        <w:t>n</w:t>
      </w:r>
      <w:r w:rsidR="0044750C">
        <w:rPr>
          <w:rFonts w:ascii="Book Antiqua" w:hAnsi="Book Antiqua" w:cs="Times New Roman"/>
          <w:i/>
          <w:iCs/>
          <w:sz w:val="24"/>
          <w:szCs w:val="24"/>
          <w:lang w:val="en-US"/>
        </w:rPr>
        <w:t xml:space="preserve"> </w:t>
      </w:r>
      <w:r w:rsidR="0044750C" w:rsidRPr="002575A7">
        <w:rPr>
          <w:rFonts w:ascii="Book Antiqua" w:hAnsi="Book Antiqua" w:cs="Times New Roman"/>
          <w:sz w:val="24"/>
          <w:szCs w:val="24"/>
          <w:lang w:val="en-US"/>
        </w:rPr>
        <w:t>=</w:t>
      </w:r>
      <w:r w:rsidR="0044750C">
        <w:rPr>
          <w:rFonts w:ascii="Book Antiqua" w:hAnsi="Book Antiqua" w:cs="Times New Roman"/>
          <w:sz w:val="24"/>
          <w:szCs w:val="24"/>
          <w:lang w:val="en-US"/>
        </w:rPr>
        <w:t xml:space="preserve"> </w:t>
      </w:r>
      <w:r w:rsidRPr="002575A7">
        <w:rPr>
          <w:rFonts w:ascii="Book Antiqua" w:hAnsi="Book Antiqua" w:cs="Times New Roman"/>
          <w:sz w:val="24"/>
          <w:szCs w:val="24"/>
          <w:lang w:val="en-US"/>
        </w:rPr>
        <w:t xml:space="preserve">124) regimens were included. Median overall survival was 11.1 mo in </w:t>
      </w:r>
      <w:r w:rsidR="00F3220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FOLFOXIRI </w:t>
      </w:r>
      <w:r w:rsidR="00F32207">
        <w:rPr>
          <w:rFonts w:ascii="Book Antiqua" w:hAnsi="Book Antiqua" w:cs="Times New Roman"/>
          <w:sz w:val="24"/>
          <w:szCs w:val="24"/>
          <w:lang w:val="en-US"/>
        </w:rPr>
        <w:t xml:space="preserve">cohort </w:t>
      </w:r>
      <w:r w:rsidRPr="002575A7">
        <w:rPr>
          <w:rFonts w:ascii="Book Antiqua" w:hAnsi="Book Antiqua" w:cs="Times New Roman"/>
          <w:sz w:val="24"/>
          <w:szCs w:val="24"/>
          <w:lang w:val="en-US"/>
        </w:rPr>
        <w:t xml:space="preserve">and 11.6 mo in </w:t>
      </w:r>
      <w:r w:rsidR="00F32207">
        <w:rPr>
          <w:rFonts w:ascii="Book Antiqua" w:hAnsi="Book Antiqua" w:cs="Times New Roman"/>
          <w:sz w:val="24"/>
          <w:szCs w:val="24"/>
          <w:lang w:val="en-US"/>
        </w:rPr>
        <w:t xml:space="preserve">the </w:t>
      </w:r>
      <w:r w:rsidRPr="002575A7">
        <w:rPr>
          <w:rFonts w:ascii="Book Antiqua" w:hAnsi="Book Antiqua" w:cs="Times New Roman"/>
          <w:sz w:val="24"/>
          <w:szCs w:val="24"/>
          <w:lang w:val="en-US"/>
        </w:rPr>
        <w:t xml:space="preserve">FOLFIRINOX cohort. After </w:t>
      </w:r>
      <w:r w:rsidR="00864BDB" w:rsidRPr="002575A7">
        <w:rPr>
          <w:rFonts w:ascii="Book Antiqua" w:hAnsi="Book Antiqua" w:cs="Times New Roman"/>
          <w:sz w:val="24"/>
          <w:szCs w:val="24"/>
          <w:lang w:val="en-US"/>
        </w:rPr>
        <w:t>propensity score matching</w:t>
      </w:r>
      <w:r w:rsidRPr="002575A7">
        <w:rPr>
          <w:rFonts w:ascii="Book Antiqua" w:hAnsi="Book Antiqua" w:cs="Times New Roman"/>
          <w:sz w:val="24"/>
          <w:szCs w:val="24"/>
          <w:lang w:val="en-US"/>
        </w:rPr>
        <w:t xml:space="preserve">, survival </w:t>
      </w:r>
      <w:r w:rsidR="00982088" w:rsidRPr="002575A7">
        <w:rPr>
          <w:rFonts w:ascii="Book Antiqua" w:hAnsi="Book Antiqua" w:cs="Times New Roman"/>
          <w:sz w:val="24"/>
          <w:szCs w:val="24"/>
          <w:lang w:val="en-US"/>
        </w:rPr>
        <w:t xml:space="preserve">rates </w:t>
      </w:r>
      <w:r w:rsidRPr="002575A7">
        <w:rPr>
          <w:rFonts w:ascii="Book Antiqua" w:hAnsi="Book Antiqua" w:cs="Times New Roman"/>
          <w:sz w:val="24"/>
          <w:szCs w:val="24"/>
          <w:lang w:val="en-US"/>
        </w:rPr>
        <w:t xml:space="preserve">remained similar between the regimens in </w:t>
      </w:r>
      <w:r w:rsidR="00982088" w:rsidRPr="002575A7">
        <w:rPr>
          <w:rFonts w:ascii="Book Antiqua" w:hAnsi="Book Antiqua" w:cs="Times New Roman"/>
          <w:sz w:val="24"/>
          <w:szCs w:val="24"/>
          <w:lang w:val="en-US"/>
        </w:rPr>
        <w:t xml:space="preserve">terms of </w:t>
      </w:r>
      <w:r w:rsidR="0044750C" w:rsidRPr="002575A7">
        <w:rPr>
          <w:rFonts w:ascii="Book Antiqua" w:hAnsi="Book Antiqua" w:cs="Times New Roman"/>
          <w:sz w:val="24"/>
          <w:szCs w:val="24"/>
          <w:lang w:val="en-US"/>
        </w:rPr>
        <w:t xml:space="preserve">overall survival </w:t>
      </w:r>
      <w:r w:rsidRPr="002575A7">
        <w:rPr>
          <w:rFonts w:ascii="Book Antiqua" w:hAnsi="Book Antiqua" w:cs="Times New Roman"/>
          <w:sz w:val="24"/>
          <w:szCs w:val="24"/>
          <w:lang w:val="en-US"/>
        </w:rPr>
        <w:t>and progression</w:t>
      </w:r>
      <w:r w:rsidR="00434702">
        <w:rPr>
          <w:rFonts w:ascii="Book Antiqua" w:hAnsi="Book Antiqua" w:cs="Times New Roman"/>
          <w:sz w:val="24"/>
          <w:szCs w:val="24"/>
          <w:lang w:val="en-US"/>
        </w:rPr>
        <w:t>-</w:t>
      </w:r>
      <w:r w:rsidRPr="002575A7">
        <w:rPr>
          <w:rFonts w:ascii="Book Antiqua" w:hAnsi="Book Antiqua" w:cs="Times New Roman"/>
          <w:sz w:val="24"/>
          <w:szCs w:val="24"/>
          <w:lang w:val="en-US"/>
        </w:rPr>
        <w:t xml:space="preserve">free survival. FOLFOXIRI was associated with a higher incidence of grade 3/4 digestive adverse events. </w:t>
      </w:r>
      <w:r w:rsidR="00BE5B2B">
        <w:rPr>
          <w:rFonts w:ascii="Book Antiqua" w:hAnsi="Book Antiqua" w:cs="Times New Roman"/>
          <w:sz w:val="24"/>
          <w:szCs w:val="24"/>
          <w:lang w:val="en-US"/>
        </w:rPr>
        <w:t>The low hematological toxicity</w:t>
      </w:r>
      <w:r w:rsidRPr="002575A7">
        <w:rPr>
          <w:rFonts w:ascii="Book Antiqua" w:hAnsi="Book Antiqua" w:cs="Times New Roman"/>
          <w:sz w:val="24"/>
          <w:szCs w:val="24"/>
          <w:lang w:val="en-US"/>
        </w:rPr>
        <w:t xml:space="preserve"> rates in both regimens </w:t>
      </w:r>
      <w:r w:rsidR="00BE5B2B">
        <w:rPr>
          <w:rFonts w:ascii="Book Antiqua" w:hAnsi="Book Antiqua" w:cs="Times New Roman"/>
          <w:sz w:val="24"/>
          <w:szCs w:val="24"/>
          <w:lang w:val="en-US"/>
        </w:rPr>
        <w:t>un</w:t>
      </w:r>
      <w:r w:rsidR="0086426F">
        <w:rPr>
          <w:rFonts w:ascii="Book Antiqua" w:hAnsi="Book Antiqua" w:cs="Times New Roman"/>
          <w:sz w:val="24"/>
          <w:szCs w:val="24"/>
          <w:lang w:val="en-US"/>
        </w:rPr>
        <w:t>derline</w:t>
      </w:r>
      <w:r w:rsidRPr="002575A7">
        <w:rPr>
          <w:rFonts w:ascii="Book Antiqua" w:hAnsi="Book Antiqua" w:cs="Times New Roman"/>
          <w:sz w:val="24"/>
          <w:szCs w:val="24"/>
          <w:lang w:val="en-US"/>
        </w:rPr>
        <w:t xml:space="preserve"> the </w:t>
      </w:r>
      <w:r w:rsidR="00407FBF">
        <w:rPr>
          <w:rFonts w:ascii="Book Antiqua" w:hAnsi="Book Antiqua" w:cs="Times New Roman"/>
          <w:sz w:val="24"/>
          <w:szCs w:val="24"/>
          <w:lang w:val="en-US"/>
        </w:rPr>
        <w:t>relevance</w:t>
      </w:r>
      <w:r w:rsidRPr="002575A7">
        <w:rPr>
          <w:rFonts w:ascii="Book Antiqua" w:hAnsi="Book Antiqua" w:cs="Times New Roman"/>
          <w:sz w:val="24"/>
          <w:szCs w:val="24"/>
          <w:lang w:val="en-US"/>
        </w:rPr>
        <w:t xml:space="preserve"> of primary prophylaxis with hematopoietic growth factors.</w:t>
      </w:r>
    </w:p>
    <w:p w14:paraId="36E4CF06" w14:textId="77777777" w:rsidR="00C13311" w:rsidRPr="00EB33CD" w:rsidRDefault="00C13311" w:rsidP="00864BDB">
      <w:pPr>
        <w:snapToGrid w:val="0"/>
        <w:spacing w:after="0" w:line="360" w:lineRule="auto"/>
        <w:jc w:val="both"/>
        <w:rPr>
          <w:rFonts w:ascii="Book Antiqua" w:hAnsi="Book Antiqua"/>
          <w:color w:val="000000"/>
          <w:sz w:val="24"/>
          <w:szCs w:val="24"/>
          <w:lang w:val="en-US"/>
        </w:rPr>
      </w:pPr>
    </w:p>
    <w:p w14:paraId="02E6FD37"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conclusions</w:t>
      </w:r>
    </w:p>
    <w:p w14:paraId="26215081" w14:textId="5C702523" w:rsidR="004E3689" w:rsidRPr="002575A7" w:rsidRDefault="004E3689"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t xml:space="preserve">FOLFOXIRI is feasible in L1 in patients with </w:t>
      </w:r>
      <w:r w:rsidR="00916870" w:rsidRPr="002575A7">
        <w:rPr>
          <w:rFonts w:ascii="Book Antiqua" w:hAnsi="Book Antiqua" w:cs="Times New Roman"/>
          <w:sz w:val="24"/>
          <w:szCs w:val="24"/>
          <w:lang w:val="en-US"/>
        </w:rPr>
        <w:t>aPDAC</w:t>
      </w:r>
      <w:r w:rsidRPr="002575A7">
        <w:rPr>
          <w:rFonts w:ascii="Book Antiqua" w:hAnsi="Book Antiqua" w:cs="Times New Roman"/>
          <w:sz w:val="24"/>
          <w:szCs w:val="24"/>
          <w:lang w:val="en-US"/>
        </w:rPr>
        <w:t xml:space="preserve"> but does not confer any therapeutic benefit as compared with FOLFIRINOX.</w:t>
      </w:r>
    </w:p>
    <w:p w14:paraId="1DB74DEF" w14:textId="77777777" w:rsidR="00C13311" w:rsidRPr="00EB33CD" w:rsidRDefault="00C13311" w:rsidP="00864BDB">
      <w:pPr>
        <w:snapToGrid w:val="0"/>
        <w:spacing w:after="0" w:line="360" w:lineRule="auto"/>
        <w:jc w:val="both"/>
        <w:rPr>
          <w:rFonts w:ascii="Book Antiqua" w:hAnsi="Book Antiqua"/>
          <w:color w:val="000000"/>
          <w:sz w:val="24"/>
          <w:szCs w:val="24"/>
          <w:lang w:val="en-US"/>
        </w:rPr>
      </w:pPr>
    </w:p>
    <w:p w14:paraId="1C359548" w14:textId="77777777" w:rsidR="00C13311" w:rsidRPr="002575A7" w:rsidRDefault="00C13311" w:rsidP="00864BDB">
      <w:pPr>
        <w:snapToGrid w:val="0"/>
        <w:spacing w:after="0" w:line="360" w:lineRule="auto"/>
        <w:jc w:val="both"/>
        <w:rPr>
          <w:rFonts w:ascii="Book Antiqua" w:eastAsia="Times New Roman" w:hAnsi="Book Antiqua"/>
          <w:b/>
          <w:bCs/>
          <w:i/>
          <w:iCs/>
          <w:color w:val="000000"/>
          <w:sz w:val="24"/>
          <w:szCs w:val="24"/>
          <w:lang w:val="en-US" w:eastAsia="fr-FR"/>
        </w:rPr>
      </w:pPr>
      <w:r w:rsidRPr="002575A7">
        <w:rPr>
          <w:rFonts w:ascii="Book Antiqua" w:eastAsia="Times New Roman" w:hAnsi="Book Antiqua"/>
          <w:b/>
          <w:bCs/>
          <w:i/>
          <w:iCs/>
          <w:color w:val="000000"/>
          <w:sz w:val="24"/>
          <w:szCs w:val="24"/>
          <w:lang w:val="en-US" w:eastAsia="fr-FR"/>
        </w:rPr>
        <w:t>Research perspectives</w:t>
      </w:r>
    </w:p>
    <w:p w14:paraId="1E9ECF2F" w14:textId="6FA20D4C" w:rsidR="00BE107E" w:rsidRPr="002575A7" w:rsidRDefault="00CF78DC" w:rsidP="00864BDB">
      <w:pPr>
        <w:snapToGrid w:val="0"/>
        <w:spacing w:after="0" w:line="360" w:lineRule="auto"/>
        <w:jc w:val="both"/>
        <w:rPr>
          <w:rFonts w:ascii="Book Antiqua" w:hAnsi="Book Antiqua" w:cs="Times New Roman"/>
          <w:b/>
          <w:sz w:val="24"/>
          <w:szCs w:val="24"/>
          <w:lang w:val="en-US"/>
        </w:rPr>
      </w:pPr>
      <w:r w:rsidRPr="002575A7">
        <w:rPr>
          <w:rFonts w:ascii="Book Antiqua" w:hAnsi="Book Antiqua"/>
          <w:color w:val="000000"/>
          <w:sz w:val="24"/>
          <w:szCs w:val="24"/>
          <w:lang w:val="en-US"/>
        </w:rPr>
        <w:lastRenderedPageBreak/>
        <w:t xml:space="preserve">These results </w:t>
      </w:r>
      <w:r w:rsidR="00B40578" w:rsidRPr="006E7163">
        <w:rPr>
          <w:rFonts w:ascii="Book Antiqua" w:hAnsi="Book Antiqua"/>
          <w:color w:val="000000"/>
          <w:sz w:val="24"/>
          <w:szCs w:val="24"/>
          <w:lang w:val="en-US"/>
        </w:rPr>
        <w:t xml:space="preserve">suggest that further evaluation </w:t>
      </w:r>
      <w:r w:rsidR="00F32207">
        <w:rPr>
          <w:rFonts w:ascii="Book Antiqua" w:hAnsi="Book Antiqua"/>
          <w:color w:val="000000"/>
          <w:sz w:val="24"/>
          <w:szCs w:val="24"/>
          <w:lang w:val="en-US"/>
        </w:rPr>
        <w:t xml:space="preserve">of </w:t>
      </w:r>
      <w:r w:rsidR="00F32207" w:rsidRPr="002575A7">
        <w:rPr>
          <w:rFonts w:ascii="Book Antiqua" w:hAnsi="Book Antiqua" w:cs="Times New Roman"/>
          <w:sz w:val="24"/>
          <w:szCs w:val="24"/>
          <w:lang w:val="en-US"/>
        </w:rPr>
        <w:t>FOLFOXIRI</w:t>
      </w:r>
      <w:r w:rsidR="00F32207" w:rsidRPr="006E7163">
        <w:rPr>
          <w:rFonts w:ascii="Book Antiqua" w:hAnsi="Book Antiqua"/>
          <w:color w:val="000000"/>
          <w:sz w:val="24"/>
          <w:szCs w:val="24"/>
          <w:lang w:val="en-US"/>
        </w:rPr>
        <w:t xml:space="preserve"> </w:t>
      </w:r>
      <w:r w:rsidR="00B40578" w:rsidRPr="006E7163">
        <w:rPr>
          <w:rFonts w:ascii="Book Antiqua" w:hAnsi="Book Antiqua"/>
          <w:color w:val="000000"/>
          <w:sz w:val="24"/>
          <w:szCs w:val="24"/>
          <w:lang w:val="en-US"/>
        </w:rPr>
        <w:t>in future clinical trials is not warranted</w:t>
      </w:r>
      <w:r w:rsidR="004E3689" w:rsidRPr="002575A7">
        <w:rPr>
          <w:rFonts w:ascii="Book Antiqua" w:hAnsi="Book Antiqua"/>
          <w:color w:val="000000"/>
          <w:sz w:val="24"/>
          <w:szCs w:val="24"/>
          <w:lang w:val="en-US"/>
        </w:rPr>
        <w:t xml:space="preserve">. FOLFIRINOX chemotherapy remains the standard </w:t>
      </w:r>
      <w:r w:rsidR="00BE5B2B">
        <w:rPr>
          <w:rFonts w:ascii="Book Antiqua" w:hAnsi="Book Antiqua"/>
          <w:color w:val="000000"/>
          <w:sz w:val="24"/>
          <w:szCs w:val="24"/>
          <w:lang w:val="en-US"/>
        </w:rPr>
        <w:t xml:space="preserve">of </w:t>
      </w:r>
      <w:r w:rsidR="00982088" w:rsidRPr="002575A7">
        <w:rPr>
          <w:rFonts w:ascii="Book Antiqua" w:hAnsi="Book Antiqua"/>
          <w:color w:val="000000"/>
          <w:sz w:val="24"/>
          <w:szCs w:val="24"/>
          <w:lang w:val="en-US"/>
        </w:rPr>
        <w:t xml:space="preserve">care </w:t>
      </w:r>
      <w:r w:rsidR="004E3689" w:rsidRPr="002575A7">
        <w:rPr>
          <w:rFonts w:ascii="Book Antiqua" w:hAnsi="Book Antiqua"/>
          <w:color w:val="000000"/>
          <w:sz w:val="24"/>
          <w:szCs w:val="24"/>
          <w:lang w:val="en-US"/>
        </w:rPr>
        <w:t xml:space="preserve">in </w:t>
      </w:r>
      <w:r w:rsidR="00376A8C" w:rsidRPr="002575A7">
        <w:rPr>
          <w:rFonts w:ascii="Book Antiqua" w:hAnsi="Book Antiqua"/>
          <w:color w:val="000000"/>
          <w:sz w:val="24"/>
          <w:szCs w:val="24"/>
          <w:lang w:val="en-US"/>
        </w:rPr>
        <w:t>L1</w:t>
      </w:r>
      <w:r w:rsidR="004E3689" w:rsidRPr="002575A7">
        <w:rPr>
          <w:rFonts w:ascii="Book Antiqua" w:hAnsi="Book Antiqua"/>
          <w:color w:val="000000"/>
          <w:sz w:val="24"/>
          <w:szCs w:val="24"/>
          <w:lang w:val="en-US"/>
        </w:rPr>
        <w:t xml:space="preserve"> in metastatic PDAC.</w:t>
      </w:r>
    </w:p>
    <w:p w14:paraId="24E7F35E" w14:textId="77777777" w:rsidR="000819C5" w:rsidRDefault="000819C5" w:rsidP="00864BDB">
      <w:pPr>
        <w:snapToGrid w:val="0"/>
        <w:spacing w:after="0" w:line="360" w:lineRule="auto"/>
        <w:jc w:val="both"/>
        <w:rPr>
          <w:rFonts w:ascii="Book Antiqua" w:hAnsi="Book Antiqua" w:cs="Times New Roman"/>
          <w:sz w:val="24"/>
          <w:szCs w:val="24"/>
          <w:lang w:val="en-US"/>
        </w:rPr>
      </w:pPr>
    </w:p>
    <w:p w14:paraId="357D5E92" w14:textId="77777777" w:rsidR="0044750C" w:rsidRPr="0044750C" w:rsidRDefault="0044750C" w:rsidP="0044750C">
      <w:pPr>
        <w:adjustRightInd w:val="0"/>
        <w:snapToGrid w:val="0"/>
        <w:spacing w:after="0" w:line="360" w:lineRule="auto"/>
        <w:jc w:val="both"/>
        <w:textAlignment w:val="baseline"/>
        <w:rPr>
          <w:rFonts w:ascii="Book Antiqua" w:hAnsi="Book Antiqua" w:cs="Calibri"/>
          <w:sz w:val="24"/>
          <w:szCs w:val="24"/>
          <w:u w:val="single"/>
          <w:lang w:val="en-US"/>
        </w:rPr>
      </w:pPr>
      <w:bookmarkStart w:id="8" w:name="_Hlk27141748"/>
      <w:r w:rsidRPr="0044750C">
        <w:rPr>
          <w:rFonts w:ascii="Book Antiqua" w:hAnsi="Book Antiqua" w:cs="Calibri"/>
          <w:b/>
          <w:bCs/>
          <w:sz w:val="24"/>
          <w:szCs w:val="24"/>
          <w:u w:val="single"/>
          <w:lang w:val="en-US"/>
        </w:rPr>
        <w:t>ACKNOWLEDGEMENTS</w:t>
      </w:r>
    </w:p>
    <w:bookmarkEnd w:id="8"/>
    <w:p w14:paraId="135EEF1C" w14:textId="65B6AD46" w:rsidR="000819C5" w:rsidRDefault="000819C5" w:rsidP="00864BDB">
      <w:pPr>
        <w:snapToGrid w:val="0"/>
        <w:spacing w:after="0" w:line="360" w:lineRule="auto"/>
        <w:jc w:val="both"/>
        <w:rPr>
          <w:rFonts w:ascii="Book Antiqua" w:hAnsi="Book Antiqua" w:cs="Times New Roman"/>
          <w:sz w:val="24"/>
          <w:szCs w:val="24"/>
          <w:lang w:val="en-US"/>
        </w:rPr>
      </w:pPr>
      <w:r w:rsidRPr="000819C5">
        <w:rPr>
          <w:rFonts w:ascii="Book Antiqua" w:hAnsi="Book Antiqua" w:cs="Times New Roman"/>
          <w:sz w:val="24"/>
          <w:szCs w:val="24"/>
          <w:lang w:val="en-US"/>
        </w:rPr>
        <w:t xml:space="preserve">We thank </w:t>
      </w:r>
      <w:r>
        <w:rPr>
          <w:rFonts w:ascii="Book Antiqua" w:hAnsi="Book Antiqua" w:cs="Times New Roman"/>
          <w:sz w:val="24"/>
          <w:szCs w:val="24"/>
          <w:lang w:val="en-US"/>
        </w:rPr>
        <w:t>Fiona Ecarnot</w:t>
      </w:r>
      <w:r w:rsidRPr="000819C5">
        <w:rPr>
          <w:rFonts w:ascii="Book Antiqua" w:hAnsi="Book Antiqua" w:cs="Times New Roman"/>
          <w:sz w:val="24"/>
          <w:szCs w:val="24"/>
          <w:lang w:val="en-US"/>
        </w:rPr>
        <w:t xml:space="preserve"> for English writing</w:t>
      </w:r>
      <w:r>
        <w:rPr>
          <w:rFonts w:ascii="Book Antiqua" w:hAnsi="Book Antiqua" w:cs="Times New Roman"/>
          <w:sz w:val="24"/>
          <w:szCs w:val="24"/>
          <w:lang w:val="en-US"/>
        </w:rPr>
        <w:t xml:space="preserve"> </w:t>
      </w:r>
      <w:r w:rsidRPr="000819C5">
        <w:rPr>
          <w:rFonts w:ascii="Book Antiqua" w:hAnsi="Book Antiqua" w:cs="Times New Roman"/>
          <w:sz w:val="24"/>
          <w:szCs w:val="24"/>
          <w:lang w:val="en-US"/>
        </w:rPr>
        <w:t>assistance.</w:t>
      </w:r>
    </w:p>
    <w:p w14:paraId="3962DECB" w14:textId="77777777" w:rsidR="0044750C" w:rsidRDefault="0044750C" w:rsidP="0044750C">
      <w:pPr>
        <w:snapToGrid w:val="0"/>
        <w:spacing w:after="0" w:line="360" w:lineRule="auto"/>
        <w:jc w:val="both"/>
        <w:rPr>
          <w:rFonts w:ascii="Book Antiqua" w:hAnsi="Book Antiqua" w:cs="Times New Roman"/>
          <w:sz w:val="24"/>
          <w:szCs w:val="24"/>
          <w:lang w:val="en-US"/>
        </w:rPr>
      </w:pPr>
      <w:bookmarkStart w:id="9" w:name="_Hlk27141798"/>
    </w:p>
    <w:p w14:paraId="4686A2FE" w14:textId="4535BB65" w:rsidR="0044750C" w:rsidRPr="0044750C" w:rsidRDefault="0044750C" w:rsidP="0044750C">
      <w:pPr>
        <w:snapToGrid w:val="0"/>
        <w:spacing w:after="0" w:line="360" w:lineRule="auto"/>
        <w:jc w:val="both"/>
        <w:rPr>
          <w:rFonts w:ascii="Book Antiqua" w:hAnsi="Book Antiqua" w:cs="Times New Roman"/>
          <w:sz w:val="24"/>
          <w:szCs w:val="24"/>
          <w:lang w:val="en-US"/>
        </w:rPr>
      </w:pPr>
      <w:r w:rsidRPr="0044750C">
        <w:rPr>
          <w:rFonts w:ascii="Book Antiqua" w:hAnsi="Book Antiqua" w:cs="Calibri"/>
          <w:b/>
          <w:sz w:val="24"/>
          <w:szCs w:val="24"/>
          <w:lang w:val="en-US"/>
        </w:rPr>
        <w:t>REFERENCES</w:t>
      </w:r>
    </w:p>
    <w:bookmarkEnd w:id="9"/>
    <w:p w14:paraId="300D424D"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 </w:t>
      </w:r>
      <w:r w:rsidRPr="00974DEA">
        <w:rPr>
          <w:rFonts w:ascii="Book Antiqua" w:eastAsia="DengXian" w:hAnsi="Book Antiqua" w:cs="Times New Roman"/>
          <w:b/>
          <w:kern w:val="2"/>
          <w:sz w:val="24"/>
          <w:szCs w:val="24"/>
          <w:lang w:val="en-US" w:eastAsia="zh-CN"/>
        </w:rPr>
        <w:t>Siegel RL</w:t>
      </w:r>
      <w:r w:rsidRPr="00974DEA">
        <w:rPr>
          <w:rFonts w:ascii="Book Antiqua" w:eastAsia="DengXian" w:hAnsi="Book Antiqua" w:cs="Times New Roman"/>
          <w:kern w:val="2"/>
          <w:sz w:val="24"/>
          <w:szCs w:val="24"/>
          <w:lang w:val="en-US" w:eastAsia="zh-CN"/>
        </w:rPr>
        <w:t xml:space="preserve">, Miller KD, Jemal A. Cancer statistics, 2019. </w:t>
      </w:r>
      <w:r w:rsidRPr="00974DEA">
        <w:rPr>
          <w:rFonts w:ascii="Book Antiqua" w:eastAsia="DengXian" w:hAnsi="Book Antiqua" w:cs="Times New Roman"/>
          <w:i/>
          <w:kern w:val="2"/>
          <w:sz w:val="24"/>
          <w:szCs w:val="24"/>
          <w:lang w:val="en-US" w:eastAsia="zh-CN"/>
        </w:rPr>
        <w:t>CA Cancer J Clin</w:t>
      </w:r>
      <w:r w:rsidRPr="00974DEA">
        <w:rPr>
          <w:rFonts w:ascii="Book Antiqua" w:eastAsia="DengXian" w:hAnsi="Book Antiqua" w:cs="Times New Roman"/>
          <w:kern w:val="2"/>
          <w:sz w:val="24"/>
          <w:szCs w:val="24"/>
          <w:lang w:val="en-US" w:eastAsia="zh-CN"/>
        </w:rPr>
        <w:t xml:space="preserve"> 2019; </w:t>
      </w:r>
      <w:r w:rsidRPr="00974DEA">
        <w:rPr>
          <w:rFonts w:ascii="Book Antiqua" w:eastAsia="DengXian" w:hAnsi="Book Antiqua" w:cs="Times New Roman"/>
          <w:b/>
          <w:kern w:val="2"/>
          <w:sz w:val="24"/>
          <w:szCs w:val="24"/>
          <w:lang w:val="en-US" w:eastAsia="zh-CN"/>
        </w:rPr>
        <w:t>69</w:t>
      </w:r>
      <w:r w:rsidRPr="00974DEA">
        <w:rPr>
          <w:rFonts w:ascii="Book Antiqua" w:eastAsia="DengXian" w:hAnsi="Book Antiqua" w:cs="Times New Roman"/>
          <w:kern w:val="2"/>
          <w:sz w:val="24"/>
          <w:szCs w:val="24"/>
          <w:lang w:val="en-US" w:eastAsia="zh-CN"/>
        </w:rPr>
        <w:t>: 7-34 [PMID: 30620402 DOI: 10.3322/caac.21551]</w:t>
      </w:r>
    </w:p>
    <w:p w14:paraId="07B54623"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 </w:t>
      </w:r>
      <w:r w:rsidRPr="00974DEA">
        <w:rPr>
          <w:rFonts w:ascii="Book Antiqua" w:eastAsia="DengXian" w:hAnsi="Book Antiqua" w:cs="Times New Roman"/>
          <w:b/>
          <w:kern w:val="2"/>
          <w:sz w:val="24"/>
          <w:szCs w:val="24"/>
          <w:lang w:val="en-US" w:eastAsia="zh-CN"/>
        </w:rPr>
        <w:t>Rahib L</w:t>
      </w:r>
      <w:r w:rsidRPr="00974DEA">
        <w:rPr>
          <w:rFonts w:ascii="Book Antiqua" w:eastAsia="DengXian" w:hAnsi="Book Antiqua" w:cs="Times New Roman"/>
          <w:kern w:val="2"/>
          <w:sz w:val="24"/>
          <w:szCs w:val="24"/>
          <w:lang w:val="en-US" w:eastAsia="zh-CN"/>
        </w:rPr>
        <w:t xml:space="preserve">, Smith BD, Aizenberg R, Rosenzweig AB, Fleshman JM, Matrisian LM. Projecting cancer incidence and deaths to 2030: the unexpected burden of thyroid, liver, and pancreas cancers in the United States. </w:t>
      </w:r>
      <w:r w:rsidRPr="00974DEA">
        <w:rPr>
          <w:rFonts w:ascii="Book Antiqua" w:eastAsia="DengXian" w:hAnsi="Book Antiqua" w:cs="Times New Roman"/>
          <w:i/>
          <w:kern w:val="2"/>
          <w:sz w:val="24"/>
          <w:szCs w:val="24"/>
          <w:lang w:val="en-US" w:eastAsia="zh-CN"/>
        </w:rPr>
        <w:t>Cancer Res</w:t>
      </w:r>
      <w:r w:rsidRPr="00974DEA">
        <w:rPr>
          <w:rFonts w:ascii="Book Antiqua" w:eastAsia="DengXian" w:hAnsi="Book Antiqua" w:cs="Times New Roman"/>
          <w:kern w:val="2"/>
          <w:sz w:val="24"/>
          <w:szCs w:val="24"/>
          <w:lang w:val="en-US" w:eastAsia="zh-CN"/>
        </w:rPr>
        <w:t xml:space="preserve"> 2014; </w:t>
      </w:r>
      <w:r w:rsidRPr="00974DEA">
        <w:rPr>
          <w:rFonts w:ascii="Book Antiqua" w:eastAsia="DengXian" w:hAnsi="Book Antiqua" w:cs="Times New Roman"/>
          <w:b/>
          <w:kern w:val="2"/>
          <w:sz w:val="24"/>
          <w:szCs w:val="24"/>
          <w:lang w:val="en-US" w:eastAsia="zh-CN"/>
        </w:rPr>
        <w:t>74</w:t>
      </w:r>
      <w:r w:rsidRPr="00974DEA">
        <w:rPr>
          <w:rFonts w:ascii="Book Antiqua" w:eastAsia="DengXian" w:hAnsi="Book Antiqua" w:cs="Times New Roman"/>
          <w:kern w:val="2"/>
          <w:sz w:val="24"/>
          <w:szCs w:val="24"/>
          <w:lang w:val="en-US" w:eastAsia="zh-CN"/>
        </w:rPr>
        <w:t>: 2913-2921 [PMID: 24840647 DOI: 10.1158/0008-5472.CAN-14-0155]</w:t>
      </w:r>
    </w:p>
    <w:p w14:paraId="50506F1A"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 </w:t>
      </w:r>
      <w:r w:rsidRPr="00974DEA">
        <w:rPr>
          <w:rFonts w:ascii="Book Antiqua" w:eastAsia="DengXian" w:hAnsi="Book Antiqua" w:cs="Times New Roman"/>
          <w:b/>
          <w:kern w:val="2"/>
          <w:sz w:val="24"/>
          <w:szCs w:val="24"/>
          <w:lang w:val="en-US" w:eastAsia="zh-CN"/>
        </w:rPr>
        <w:t>Ferlay J</w:t>
      </w:r>
      <w:r w:rsidRPr="00974DEA">
        <w:rPr>
          <w:rFonts w:ascii="Book Antiqua" w:eastAsia="DengXian" w:hAnsi="Book Antiqua" w:cs="Times New Roman"/>
          <w:kern w:val="2"/>
          <w:sz w:val="24"/>
          <w:szCs w:val="24"/>
          <w:lang w:val="en-US" w:eastAsia="zh-CN"/>
        </w:rPr>
        <w:t xml:space="preserve">, Partensky C, Bray F. More deaths from pancreatic cancer than breast cancer in the EU by 2017. </w:t>
      </w:r>
      <w:r w:rsidRPr="00974DEA">
        <w:rPr>
          <w:rFonts w:ascii="Book Antiqua" w:eastAsia="DengXian" w:hAnsi="Book Antiqua" w:cs="Times New Roman"/>
          <w:i/>
          <w:kern w:val="2"/>
          <w:sz w:val="24"/>
          <w:szCs w:val="24"/>
          <w:lang w:val="en-US" w:eastAsia="zh-CN"/>
        </w:rPr>
        <w:t>Acta Oncol</w:t>
      </w:r>
      <w:r w:rsidRPr="00974DEA">
        <w:rPr>
          <w:rFonts w:ascii="Book Antiqua" w:eastAsia="DengXian" w:hAnsi="Book Antiqua" w:cs="Times New Roman"/>
          <w:kern w:val="2"/>
          <w:sz w:val="24"/>
          <w:szCs w:val="24"/>
          <w:lang w:val="en-US" w:eastAsia="zh-CN"/>
        </w:rPr>
        <w:t xml:space="preserve"> 2016; </w:t>
      </w:r>
      <w:r w:rsidRPr="00974DEA">
        <w:rPr>
          <w:rFonts w:ascii="Book Antiqua" w:eastAsia="DengXian" w:hAnsi="Book Antiqua" w:cs="Times New Roman"/>
          <w:b/>
          <w:kern w:val="2"/>
          <w:sz w:val="24"/>
          <w:szCs w:val="24"/>
          <w:lang w:val="en-US" w:eastAsia="zh-CN"/>
        </w:rPr>
        <w:t>55</w:t>
      </w:r>
      <w:r w:rsidRPr="00974DEA">
        <w:rPr>
          <w:rFonts w:ascii="Book Antiqua" w:eastAsia="DengXian" w:hAnsi="Book Antiqua" w:cs="Times New Roman"/>
          <w:kern w:val="2"/>
          <w:sz w:val="24"/>
          <w:szCs w:val="24"/>
          <w:lang w:val="en-US" w:eastAsia="zh-CN"/>
        </w:rPr>
        <w:t>: 1158-1160 [PMID: 27551890 DOI: 10.1080/0284186X.2016.1197419]</w:t>
      </w:r>
    </w:p>
    <w:p w14:paraId="38C30FBD"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4 </w:t>
      </w:r>
      <w:r w:rsidRPr="00974DEA">
        <w:rPr>
          <w:rFonts w:ascii="Book Antiqua" w:eastAsia="DengXian" w:hAnsi="Book Antiqua" w:cs="Times New Roman"/>
          <w:b/>
          <w:kern w:val="2"/>
          <w:sz w:val="24"/>
          <w:szCs w:val="24"/>
          <w:lang w:val="en-US" w:eastAsia="zh-CN"/>
        </w:rPr>
        <w:t>Conroy T</w:t>
      </w:r>
      <w:r w:rsidRPr="00974DEA">
        <w:rPr>
          <w:rFonts w:ascii="Book Antiqua" w:eastAsia="DengXian" w:hAnsi="Book Antiqua" w:cs="Times New Roman"/>
          <w:kern w:val="2"/>
          <w:sz w:val="24"/>
          <w:szCs w:val="24"/>
          <w:lang w:val="en-US" w:eastAsia="zh-CN"/>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974DEA">
        <w:rPr>
          <w:rFonts w:ascii="Book Antiqua" w:eastAsia="DengXian" w:hAnsi="Book Antiqua" w:cs="Times New Roman"/>
          <w:i/>
          <w:kern w:val="2"/>
          <w:sz w:val="24"/>
          <w:szCs w:val="24"/>
          <w:lang w:val="en-US" w:eastAsia="zh-CN"/>
        </w:rPr>
        <w:t>N Engl J Med</w:t>
      </w:r>
      <w:r w:rsidRPr="00974DEA">
        <w:rPr>
          <w:rFonts w:ascii="Book Antiqua" w:eastAsia="DengXian" w:hAnsi="Book Antiqua" w:cs="Times New Roman"/>
          <w:kern w:val="2"/>
          <w:sz w:val="24"/>
          <w:szCs w:val="24"/>
          <w:lang w:val="en-US" w:eastAsia="zh-CN"/>
        </w:rPr>
        <w:t xml:space="preserve"> 2018; </w:t>
      </w:r>
      <w:r w:rsidRPr="00974DEA">
        <w:rPr>
          <w:rFonts w:ascii="Book Antiqua" w:eastAsia="DengXian" w:hAnsi="Book Antiqua" w:cs="Times New Roman"/>
          <w:b/>
          <w:kern w:val="2"/>
          <w:sz w:val="24"/>
          <w:szCs w:val="24"/>
          <w:lang w:val="en-US" w:eastAsia="zh-CN"/>
        </w:rPr>
        <w:t>379</w:t>
      </w:r>
      <w:r w:rsidRPr="00974DEA">
        <w:rPr>
          <w:rFonts w:ascii="Book Antiqua" w:eastAsia="DengXian" w:hAnsi="Book Antiqua" w:cs="Times New Roman"/>
          <w:kern w:val="2"/>
          <w:sz w:val="24"/>
          <w:szCs w:val="24"/>
          <w:lang w:val="en-US" w:eastAsia="zh-CN"/>
        </w:rPr>
        <w:t>: 2395-2406 [PMID: 30575490 DOI: 10.1056/NEJMoa1809775]</w:t>
      </w:r>
    </w:p>
    <w:p w14:paraId="2E3F9097"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5 </w:t>
      </w:r>
      <w:r w:rsidRPr="00974DEA">
        <w:rPr>
          <w:rFonts w:ascii="Book Antiqua" w:eastAsia="DengXian" w:hAnsi="Book Antiqua" w:cs="Times New Roman"/>
          <w:b/>
          <w:kern w:val="2"/>
          <w:sz w:val="24"/>
          <w:szCs w:val="24"/>
          <w:lang w:val="en-US" w:eastAsia="zh-CN"/>
        </w:rPr>
        <w:t>Ducreux M</w:t>
      </w:r>
      <w:r w:rsidRPr="00974DEA">
        <w:rPr>
          <w:rFonts w:ascii="Book Antiqua" w:eastAsia="DengXian" w:hAnsi="Book Antiqua" w:cs="Times New Roman"/>
          <w:kern w:val="2"/>
          <w:sz w:val="24"/>
          <w:szCs w:val="24"/>
          <w:lang w:val="en-US" w:eastAsia="zh-CN"/>
        </w:rPr>
        <w:t xml:space="preserve">, Cuhna AS, Caramella C, Hollebecque A, Burtin P, Goéré D, Seufferlein T, Haustermans K, Van Laethem JL, Conroy T, Arnold D; ESMO Guidelines Committee. Cancer of the pancreas: ESMO Clinical Practice Guidelines for diagnosis, treatment and follow-up. </w:t>
      </w:r>
      <w:r w:rsidRPr="00974DEA">
        <w:rPr>
          <w:rFonts w:ascii="Book Antiqua" w:eastAsia="DengXian" w:hAnsi="Book Antiqua" w:cs="Times New Roman"/>
          <w:i/>
          <w:kern w:val="2"/>
          <w:sz w:val="24"/>
          <w:szCs w:val="24"/>
          <w:lang w:val="en-US" w:eastAsia="zh-CN"/>
        </w:rPr>
        <w:t>Ann Oncol</w:t>
      </w:r>
      <w:r w:rsidRPr="00974DEA">
        <w:rPr>
          <w:rFonts w:ascii="Book Antiqua" w:eastAsia="DengXian" w:hAnsi="Book Antiqua" w:cs="Times New Roman"/>
          <w:kern w:val="2"/>
          <w:sz w:val="24"/>
          <w:szCs w:val="24"/>
          <w:lang w:val="en-US" w:eastAsia="zh-CN"/>
        </w:rPr>
        <w:t xml:space="preserve"> 2015; </w:t>
      </w:r>
      <w:r w:rsidRPr="00974DEA">
        <w:rPr>
          <w:rFonts w:ascii="Book Antiqua" w:eastAsia="DengXian" w:hAnsi="Book Antiqua" w:cs="Times New Roman"/>
          <w:b/>
          <w:kern w:val="2"/>
          <w:sz w:val="24"/>
          <w:szCs w:val="24"/>
          <w:lang w:val="en-US" w:eastAsia="zh-CN"/>
        </w:rPr>
        <w:t>26 Suppl 5</w:t>
      </w:r>
      <w:r w:rsidRPr="00974DEA">
        <w:rPr>
          <w:rFonts w:ascii="Book Antiqua" w:eastAsia="DengXian" w:hAnsi="Book Antiqua" w:cs="Times New Roman"/>
          <w:kern w:val="2"/>
          <w:sz w:val="24"/>
          <w:szCs w:val="24"/>
          <w:lang w:val="en-US" w:eastAsia="zh-CN"/>
        </w:rPr>
        <w:t>: v56-v68 [PMID: 26314780 DOI: 10.1093/annonc/mdv295]</w:t>
      </w:r>
    </w:p>
    <w:p w14:paraId="579ABCE8"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6 </w:t>
      </w:r>
      <w:r w:rsidRPr="00974DEA">
        <w:rPr>
          <w:rFonts w:ascii="Book Antiqua" w:eastAsia="DengXian" w:hAnsi="Book Antiqua" w:cs="Times New Roman"/>
          <w:b/>
          <w:kern w:val="2"/>
          <w:sz w:val="24"/>
          <w:szCs w:val="24"/>
          <w:lang w:val="en-US" w:eastAsia="zh-CN"/>
        </w:rPr>
        <w:t>Burris HA 3rd</w:t>
      </w:r>
      <w:r w:rsidRPr="00974DEA">
        <w:rPr>
          <w:rFonts w:ascii="Book Antiqua" w:eastAsia="DengXian" w:hAnsi="Book Antiqua" w:cs="Times New Roman"/>
          <w:kern w:val="2"/>
          <w:sz w:val="24"/>
          <w:szCs w:val="24"/>
          <w:lang w:val="en-US" w:eastAsia="zh-CN"/>
        </w:rPr>
        <w:t xml:space="preserve">, Moore MJ, Andersen J, Green MR, Rothenberg ML, Modiano MR, Cripps MC, Portenoy RK, Storniolo AM, Tarassoff P, Nelson R, Dorr FA, Stephens CD, </w:t>
      </w:r>
      <w:r w:rsidRPr="00974DEA">
        <w:rPr>
          <w:rFonts w:ascii="Book Antiqua" w:eastAsia="DengXian" w:hAnsi="Book Antiqua" w:cs="Times New Roman"/>
          <w:kern w:val="2"/>
          <w:sz w:val="24"/>
          <w:szCs w:val="24"/>
          <w:lang w:val="en-US" w:eastAsia="zh-CN"/>
        </w:rPr>
        <w:lastRenderedPageBreak/>
        <w:t xml:space="preserve">Von Hoff DD. Improvements in survival and clinical benefit with gemcitabine as first-line therapy for patients with advanced pancreas cancer: a randomized trial. </w:t>
      </w:r>
      <w:r w:rsidRPr="00974DEA">
        <w:rPr>
          <w:rFonts w:ascii="Book Antiqua" w:eastAsia="DengXian" w:hAnsi="Book Antiqua" w:cs="Times New Roman"/>
          <w:i/>
          <w:kern w:val="2"/>
          <w:sz w:val="24"/>
          <w:szCs w:val="24"/>
          <w:lang w:val="en-US" w:eastAsia="zh-CN"/>
        </w:rPr>
        <w:t>J Clin Oncol</w:t>
      </w:r>
      <w:r w:rsidRPr="00974DEA">
        <w:rPr>
          <w:rFonts w:ascii="Book Antiqua" w:eastAsia="DengXian" w:hAnsi="Book Antiqua" w:cs="Times New Roman"/>
          <w:kern w:val="2"/>
          <w:sz w:val="24"/>
          <w:szCs w:val="24"/>
          <w:lang w:val="en-US" w:eastAsia="zh-CN"/>
        </w:rPr>
        <w:t xml:space="preserve"> 1997; </w:t>
      </w:r>
      <w:r w:rsidRPr="00974DEA">
        <w:rPr>
          <w:rFonts w:ascii="Book Antiqua" w:eastAsia="DengXian" w:hAnsi="Book Antiqua" w:cs="Times New Roman"/>
          <w:b/>
          <w:kern w:val="2"/>
          <w:sz w:val="24"/>
          <w:szCs w:val="24"/>
          <w:lang w:val="en-US" w:eastAsia="zh-CN"/>
        </w:rPr>
        <w:t>15</w:t>
      </w:r>
      <w:r w:rsidRPr="00974DEA">
        <w:rPr>
          <w:rFonts w:ascii="Book Antiqua" w:eastAsia="DengXian" w:hAnsi="Book Antiqua" w:cs="Times New Roman"/>
          <w:kern w:val="2"/>
          <w:sz w:val="24"/>
          <w:szCs w:val="24"/>
          <w:lang w:val="en-US" w:eastAsia="zh-CN"/>
        </w:rPr>
        <w:t>: 2403-2413 [PMID: 9196156 DOI: 10.1200/JCO.1997.15.6.2403]</w:t>
      </w:r>
    </w:p>
    <w:p w14:paraId="664DF821"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7 </w:t>
      </w:r>
      <w:r w:rsidRPr="00974DEA">
        <w:rPr>
          <w:rFonts w:ascii="Book Antiqua" w:eastAsia="DengXian" w:hAnsi="Book Antiqua" w:cs="Times New Roman"/>
          <w:b/>
          <w:kern w:val="2"/>
          <w:sz w:val="24"/>
          <w:szCs w:val="24"/>
          <w:lang w:val="en-US" w:eastAsia="zh-CN"/>
        </w:rPr>
        <w:t>Conroy T</w:t>
      </w:r>
      <w:r w:rsidRPr="00974DEA">
        <w:rPr>
          <w:rFonts w:ascii="Book Antiqua" w:eastAsia="DengXian" w:hAnsi="Book Antiqua" w:cs="Times New Roman"/>
          <w:kern w:val="2"/>
          <w:sz w:val="24"/>
          <w:szCs w:val="24"/>
          <w:lang w:val="en-US" w:eastAsia="zh-CN"/>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974DEA">
        <w:rPr>
          <w:rFonts w:ascii="Book Antiqua" w:eastAsia="DengXian" w:hAnsi="Book Antiqua" w:cs="Times New Roman"/>
          <w:i/>
          <w:kern w:val="2"/>
          <w:sz w:val="24"/>
          <w:szCs w:val="24"/>
          <w:lang w:val="en-US" w:eastAsia="zh-CN"/>
        </w:rPr>
        <w:t>N Engl J Med</w:t>
      </w:r>
      <w:r w:rsidRPr="00974DEA">
        <w:rPr>
          <w:rFonts w:ascii="Book Antiqua" w:eastAsia="DengXian" w:hAnsi="Book Antiqua" w:cs="Times New Roman"/>
          <w:kern w:val="2"/>
          <w:sz w:val="24"/>
          <w:szCs w:val="24"/>
          <w:lang w:val="en-US" w:eastAsia="zh-CN"/>
        </w:rPr>
        <w:t xml:space="preserve"> 2011; </w:t>
      </w:r>
      <w:r w:rsidRPr="00974DEA">
        <w:rPr>
          <w:rFonts w:ascii="Book Antiqua" w:eastAsia="DengXian" w:hAnsi="Book Antiqua" w:cs="Times New Roman"/>
          <w:b/>
          <w:kern w:val="2"/>
          <w:sz w:val="24"/>
          <w:szCs w:val="24"/>
          <w:lang w:val="en-US" w:eastAsia="zh-CN"/>
        </w:rPr>
        <w:t>364</w:t>
      </w:r>
      <w:r w:rsidRPr="00974DEA">
        <w:rPr>
          <w:rFonts w:ascii="Book Antiqua" w:eastAsia="DengXian" w:hAnsi="Book Antiqua" w:cs="Times New Roman"/>
          <w:kern w:val="2"/>
          <w:sz w:val="24"/>
          <w:szCs w:val="24"/>
          <w:lang w:val="en-US" w:eastAsia="zh-CN"/>
        </w:rPr>
        <w:t>: 1817-1825 [PMID: 21561347 DOI: 10.1056/NEJMoa1011923]</w:t>
      </w:r>
    </w:p>
    <w:p w14:paraId="583500C0"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8 </w:t>
      </w:r>
      <w:r w:rsidRPr="00974DEA">
        <w:rPr>
          <w:rFonts w:ascii="Book Antiqua" w:eastAsia="DengXian" w:hAnsi="Book Antiqua" w:cs="Times New Roman"/>
          <w:b/>
          <w:kern w:val="2"/>
          <w:sz w:val="24"/>
          <w:szCs w:val="24"/>
          <w:lang w:val="en-US" w:eastAsia="zh-CN"/>
        </w:rPr>
        <w:t>Von Hoff DD</w:t>
      </w:r>
      <w:r w:rsidRPr="00974DEA">
        <w:rPr>
          <w:rFonts w:ascii="Book Antiqua" w:eastAsia="DengXian" w:hAnsi="Book Antiqua" w:cs="Times New Roman"/>
          <w:kern w:val="2"/>
          <w:sz w:val="24"/>
          <w:szCs w:val="24"/>
          <w:lang w:val="en-US" w:eastAsia="zh-CN"/>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974DEA">
        <w:rPr>
          <w:rFonts w:ascii="Book Antiqua" w:eastAsia="DengXian" w:hAnsi="Book Antiqua" w:cs="Times New Roman"/>
          <w:i/>
          <w:kern w:val="2"/>
          <w:sz w:val="24"/>
          <w:szCs w:val="24"/>
          <w:lang w:val="en-US" w:eastAsia="zh-CN"/>
        </w:rPr>
        <w:t>N Engl J Med</w:t>
      </w:r>
      <w:r w:rsidRPr="00974DEA">
        <w:rPr>
          <w:rFonts w:ascii="Book Antiqua" w:eastAsia="DengXian" w:hAnsi="Book Antiqua" w:cs="Times New Roman"/>
          <w:kern w:val="2"/>
          <w:sz w:val="24"/>
          <w:szCs w:val="24"/>
          <w:lang w:val="en-US" w:eastAsia="zh-CN"/>
        </w:rPr>
        <w:t xml:space="preserve"> 2013; </w:t>
      </w:r>
      <w:r w:rsidRPr="00974DEA">
        <w:rPr>
          <w:rFonts w:ascii="Book Antiqua" w:eastAsia="DengXian" w:hAnsi="Book Antiqua" w:cs="Times New Roman"/>
          <w:b/>
          <w:kern w:val="2"/>
          <w:sz w:val="24"/>
          <w:szCs w:val="24"/>
          <w:lang w:val="en-US" w:eastAsia="zh-CN"/>
        </w:rPr>
        <w:t>369</w:t>
      </w:r>
      <w:r w:rsidRPr="00974DEA">
        <w:rPr>
          <w:rFonts w:ascii="Book Antiqua" w:eastAsia="DengXian" w:hAnsi="Book Antiqua" w:cs="Times New Roman"/>
          <w:kern w:val="2"/>
          <w:sz w:val="24"/>
          <w:szCs w:val="24"/>
          <w:lang w:val="en-US" w:eastAsia="zh-CN"/>
        </w:rPr>
        <w:t>: 1691-1703 [PMID: 24131140 DOI: 10.1056/NEJMoa1304369]</w:t>
      </w:r>
    </w:p>
    <w:p w14:paraId="046A9BC6"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9 </w:t>
      </w:r>
      <w:r w:rsidRPr="00974DEA">
        <w:rPr>
          <w:rFonts w:ascii="Book Antiqua" w:eastAsia="DengXian" w:hAnsi="Book Antiqua" w:cs="Times New Roman"/>
          <w:b/>
          <w:kern w:val="2"/>
          <w:sz w:val="24"/>
          <w:szCs w:val="24"/>
          <w:lang w:val="en-US" w:eastAsia="zh-CN"/>
        </w:rPr>
        <w:t>Gourgou-Bourgade S</w:t>
      </w:r>
      <w:r w:rsidRPr="00974DEA">
        <w:rPr>
          <w:rFonts w:ascii="Book Antiqua" w:eastAsia="DengXian" w:hAnsi="Book Antiqua" w:cs="Times New Roman"/>
          <w:kern w:val="2"/>
          <w:sz w:val="24"/>
          <w:szCs w:val="24"/>
          <w:lang w:val="en-US" w:eastAsia="zh-CN"/>
        </w:rPr>
        <w:t xml:space="preserve">, Bascoul-Mollevi C, Desseigne F, Ychou M, Bouché O, Guimbaud R, Bécouarn Y, Adenis A, Raoul JL, Boige V, Bérille J, Conroy T. Impact of FOLFIRINOX compared with gemcitabine on quality of life in patients with metastatic pancreatic cancer: results from the PRODIGE 4/ACCORD 11 randomized trial. </w:t>
      </w:r>
      <w:r w:rsidRPr="00974DEA">
        <w:rPr>
          <w:rFonts w:ascii="Book Antiqua" w:eastAsia="DengXian" w:hAnsi="Book Antiqua" w:cs="Times New Roman"/>
          <w:i/>
          <w:kern w:val="2"/>
          <w:sz w:val="24"/>
          <w:szCs w:val="24"/>
          <w:lang w:val="en-US" w:eastAsia="zh-CN"/>
        </w:rPr>
        <w:t>J Clin Oncol</w:t>
      </w:r>
      <w:r w:rsidRPr="00974DEA">
        <w:rPr>
          <w:rFonts w:ascii="Book Antiqua" w:eastAsia="DengXian" w:hAnsi="Book Antiqua" w:cs="Times New Roman"/>
          <w:kern w:val="2"/>
          <w:sz w:val="24"/>
          <w:szCs w:val="24"/>
          <w:lang w:val="en-US" w:eastAsia="zh-CN"/>
        </w:rPr>
        <w:t xml:space="preserve"> 2013; </w:t>
      </w:r>
      <w:r w:rsidRPr="00974DEA">
        <w:rPr>
          <w:rFonts w:ascii="Book Antiqua" w:eastAsia="DengXian" w:hAnsi="Book Antiqua" w:cs="Times New Roman"/>
          <w:b/>
          <w:kern w:val="2"/>
          <w:sz w:val="24"/>
          <w:szCs w:val="24"/>
          <w:lang w:val="en-US" w:eastAsia="zh-CN"/>
        </w:rPr>
        <w:t>31</w:t>
      </w:r>
      <w:r w:rsidRPr="00974DEA">
        <w:rPr>
          <w:rFonts w:ascii="Book Antiqua" w:eastAsia="DengXian" w:hAnsi="Book Antiqua" w:cs="Times New Roman"/>
          <w:kern w:val="2"/>
          <w:sz w:val="24"/>
          <w:szCs w:val="24"/>
          <w:lang w:val="en-US" w:eastAsia="zh-CN"/>
        </w:rPr>
        <w:t>: 23-29 [PMID: 23213101 DOI: 10.1200/JCO.2012.44.4869]</w:t>
      </w:r>
    </w:p>
    <w:p w14:paraId="08E69C20"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10 </w:t>
      </w:r>
      <w:r w:rsidRPr="00974DEA">
        <w:rPr>
          <w:rFonts w:ascii="Book Antiqua" w:eastAsia="DengXian" w:hAnsi="Book Antiqua" w:cs="Times New Roman"/>
          <w:b/>
          <w:kern w:val="2"/>
          <w:sz w:val="24"/>
          <w:szCs w:val="24"/>
          <w:lang w:val="en-US" w:eastAsia="zh-CN"/>
        </w:rPr>
        <w:t>Mahaseth H</w:t>
      </w:r>
      <w:r w:rsidRPr="00974DEA">
        <w:rPr>
          <w:rFonts w:ascii="Book Antiqua" w:eastAsia="DengXian" w:hAnsi="Book Antiqua" w:cs="Times New Roman"/>
          <w:kern w:val="2"/>
          <w:sz w:val="24"/>
          <w:szCs w:val="24"/>
          <w:lang w:val="en-US" w:eastAsia="zh-CN"/>
        </w:rPr>
        <w:t xml:space="preserve">, Brutcher E, Kauh J, Hawk N, Kim S, Chen Z, Kooby DA, Maithel SK, Landry J, El-Rayes BF. Modified FOLFIRINOX regimen with improved safety and maintained efficacy in pancreatic adenocarcinoma. </w:t>
      </w:r>
      <w:r w:rsidRPr="00974DEA">
        <w:rPr>
          <w:rFonts w:ascii="Book Antiqua" w:eastAsia="DengXian" w:hAnsi="Book Antiqua" w:cs="Times New Roman"/>
          <w:i/>
          <w:kern w:val="2"/>
          <w:sz w:val="24"/>
          <w:szCs w:val="24"/>
          <w:lang w:val="en-US" w:eastAsia="zh-CN"/>
        </w:rPr>
        <w:t>Pancreas</w:t>
      </w:r>
      <w:r w:rsidRPr="00974DEA">
        <w:rPr>
          <w:rFonts w:ascii="Book Antiqua" w:eastAsia="DengXian" w:hAnsi="Book Antiqua" w:cs="Times New Roman"/>
          <w:kern w:val="2"/>
          <w:sz w:val="24"/>
          <w:szCs w:val="24"/>
          <w:lang w:val="en-US" w:eastAsia="zh-CN"/>
        </w:rPr>
        <w:t xml:space="preserve"> 2013; </w:t>
      </w:r>
      <w:r w:rsidRPr="00974DEA">
        <w:rPr>
          <w:rFonts w:ascii="Book Antiqua" w:eastAsia="DengXian" w:hAnsi="Book Antiqua" w:cs="Times New Roman"/>
          <w:b/>
          <w:kern w:val="2"/>
          <w:sz w:val="24"/>
          <w:szCs w:val="24"/>
          <w:lang w:val="en-US" w:eastAsia="zh-CN"/>
        </w:rPr>
        <w:t>42</w:t>
      </w:r>
      <w:r w:rsidRPr="00974DEA">
        <w:rPr>
          <w:rFonts w:ascii="Book Antiqua" w:eastAsia="DengXian" w:hAnsi="Book Antiqua" w:cs="Times New Roman"/>
          <w:kern w:val="2"/>
          <w:sz w:val="24"/>
          <w:szCs w:val="24"/>
          <w:lang w:val="en-US" w:eastAsia="zh-CN"/>
        </w:rPr>
        <w:t>: 1311-1315 [PMID: 24152956 DOI: 10.1097/MPA.0b013e31829e2006]</w:t>
      </w:r>
    </w:p>
    <w:p w14:paraId="12003D03"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11 </w:t>
      </w:r>
      <w:r w:rsidRPr="00974DEA">
        <w:rPr>
          <w:rFonts w:ascii="Book Antiqua" w:eastAsia="DengXian" w:hAnsi="Book Antiqua" w:cs="Times New Roman"/>
          <w:b/>
          <w:kern w:val="2"/>
          <w:sz w:val="24"/>
          <w:szCs w:val="24"/>
          <w:lang w:val="en-US" w:eastAsia="zh-CN"/>
        </w:rPr>
        <w:t>Falcone A</w:t>
      </w:r>
      <w:r w:rsidRPr="00974DEA">
        <w:rPr>
          <w:rFonts w:ascii="Book Antiqua" w:eastAsia="DengXian" w:hAnsi="Book Antiqua" w:cs="Times New Roman"/>
          <w:kern w:val="2"/>
          <w:sz w:val="24"/>
          <w:szCs w:val="24"/>
          <w:lang w:val="en-US" w:eastAsia="zh-CN"/>
        </w:rPr>
        <w:t xml:space="preserve">, Ricci S, Brunetti I, Pfanner E, Allegrini G, Barbara C, Crinò L, Benedetti G, Evangelista W, Fanchini L, Cortesi E, Picone V, Vitello S, Chiara S, Granetto C, Porcile G, Fioretto L, Orlandini C, Andreuccetti M, Masi G; Gruppo Oncologico Nord Ovest. Phase III trial of infusional fluorouracil, leucovorin, oxaliplatin, and irinotecan (FOLFOXIRI) compared with infusional fluorouracil, leucovorin, and irinotecan (FOLFIRI) as first-line treatment for metastatic colorectal cancer: the Gruppo Oncologico Nord Ovest. </w:t>
      </w:r>
      <w:r w:rsidRPr="00974DEA">
        <w:rPr>
          <w:rFonts w:ascii="Book Antiqua" w:eastAsia="DengXian" w:hAnsi="Book Antiqua" w:cs="Times New Roman"/>
          <w:i/>
          <w:kern w:val="2"/>
          <w:sz w:val="24"/>
          <w:szCs w:val="24"/>
          <w:lang w:val="en-US" w:eastAsia="zh-CN"/>
        </w:rPr>
        <w:t>J Clin Oncol</w:t>
      </w:r>
      <w:r w:rsidRPr="00974DEA">
        <w:rPr>
          <w:rFonts w:ascii="Book Antiqua" w:eastAsia="DengXian" w:hAnsi="Book Antiqua" w:cs="Times New Roman"/>
          <w:kern w:val="2"/>
          <w:sz w:val="24"/>
          <w:szCs w:val="24"/>
          <w:lang w:val="en-US" w:eastAsia="zh-CN"/>
        </w:rPr>
        <w:t xml:space="preserve"> 2007; </w:t>
      </w:r>
      <w:r w:rsidRPr="00974DEA">
        <w:rPr>
          <w:rFonts w:ascii="Book Antiqua" w:eastAsia="DengXian" w:hAnsi="Book Antiqua" w:cs="Times New Roman"/>
          <w:b/>
          <w:kern w:val="2"/>
          <w:sz w:val="24"/>
          <w:szCs w:val="24"/>
          <w:lang w:val="en-US" w:eastAsia="zh-CN"/>
        </w:rPr>
        <w:t>25</w:t>
      </w:r>
      <w:r w:rsidRPr="00974DEA">
        <w:rPr>
          <w:rFonts w:ascii="Book Antiqua" w:eastAsia="DengXian" w:hAnsi="Book Antiqua" w:cs="Times New Roman"/>
          <w:kern w:val="2"/>
          <w:sz w:val="24"/>
          <w:szCs w:val="24"/>
          <w:lang w:val="en-US" w:eastAsia="zh-CN"/>
        </w:rPr>
        <w:t>: 1670-1676 [PMID: 17470860 DOI: 10.1200/JCO.2006.09.0928]</w:t>
      </w:r>
    </w:p>
    <w:p w14:paraId="2E315736"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lastRenderedPageBreak/>
        <w:t xml:space="preserve">12 </w:t>
      </w:r>
      <w:r w:rsidRPr="00974DEA">
        <w:rPr>
          <w:rFonts w:ascii="Book Antiqua" w:eastAsia="DengXian" w:hAnsi="Book Antiqua" w:cs="Times New Roman"/>
          <w:b/>
          <w:kern w:val="2"/>
          <w:sz w:val="24"/>
          <w:szCs w:val="24"/>
          <w:lang w:val="en-US" w:eastAsia="zh-CN"/>
        </w:rPr>
        <w:t>Schemper M</w:t>
      </w:r>
      <w:r w:rsidRPr="00974DEA">
        <w:rPr>
          <w:rFonts w:ascii="Book Antiqua" w:eastAsia="DengXian" w:hAnsi="Book Antiqua" w:cs="Times New Roman"/>
          <w:kern w:val="2"/>
          <w:sz w:val="24"/>
          <w:szCs w:val="24"/>
          <w:lang w:val="en-US" w:eastAsia="zh-CN"/>
        </w:rPr>
        <w:t xml:space="preserve">, Smith TL. A note on quantifying follow-up in studies of failure time. </w:t>
      </w:r>
      <w:r w:rsidRPr="00974DEA">
        <w:rPr>
          <w:rFonts w:ascii="Book Antiqua" w:eastAsia="DengXian" w:hAnsi="Book Antiqua" w:cs="Times New Roman"/>
          <w:i/>
          <w:kern w:val="2"/>
          <w:sz w:val="24"/>
          <w:szCs w:val="24"/>
          <w:lang w:val="en-US" w:eastAsia="zh-CN"/>
        </w:rPr>
        <w:t>Control Clin Trials</w:t>
      </w:r>
      <w:r w:rsidRPr="00974DEA">
        <w:rPr>
          <w:rFonts w:ascii="Book Antiqua" w:eastAsia="DengXian" w:hAnsi="Book Antiqua" w:cs="Times New Roman"/>
          <w:kern w:val="2"/>
          <w:sz w:val="24"/>
          <w:szCs w:val="24"/>
          <w:lang w:val="en-US" w:eastAsia="zh-CN"/>
        </w:rPr>
        <w:t xml:space="preserve"> 1996; </w:t>
      </w:r>
      <w:r w:rsidRPr="00974DEA">
        <w:rPr>
          <w:rFonts w:ascii="Book Antiqua" w:eastAsia="DengXian" w:hAnsi="Book Antiqua" w:cs="Times New Roman"/>
          <w:b/>
          <w:kern w:val="2"/>
          <w:sz w:val="24"/>
          <w:szCs w:val="24"/>
          <w:lang w:val="en-US" w:eastAsia="zh-CN"/>
        </w:rPr>
        <w:t>17</w:t>
      </w:r>
      <w:r w:rsidRPr="00974DEA">
        <w:rPr>
          <w:rFonts w:ascii="Book Antiqua" w:eastAsia="DengXian" w:hAnsi="Book Antiqua" w:cs="Times New Roman"/>
          <w:kern w:val="2"/>
          <w:sz w:val="24"/>
          <w:szCs w:val="24"/>
          <w:lang w:val="en-US" w:eastAsia="zh-CN"/>
        </w:rPr>
        <w:t>: 343-346 [PMID: 8889347 DOI: 10.1016/0197-2456(96)00075-x]</w:t>
      </w:r>
    </w:p>
    <w:p w14:paraId="35EB7228"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13 </w:t>
      </w:r>
      <w:r w:rsidRPr="00974DEA">
        <w:rPr>
          <w:rFonts w:ascii="Book Antiqua" w:eastAsia="DengXian" w:hAnsi="Book Antiqua" w:cs="Times New Roman"/>
          <w:b/>
          <w:kern w:val="2"/>
          <w:sz w:val="24"/>
          <w:szCs w:val="24"/>
          <w:lang w:val="en-US" w:eastAsia="zh-CN"/>
        </w:rPr>
        <w:t>Eisenhauer EA</w:t>
      </w:r>
      <w:r w:rsidRPr="00974DEA">
        <w:rPr>
          <w:rFonts w:ascii="Book Antiqua" w:eastAsia="DengXian" w:hAnsi="Book Antiqua" w:cs="Times New Roman"/>
          <w:kern w:val="2"/>
          <w:sz w:val="24"/>
          <w:szCs w:val="24"/>
          <w:lang w:val="en-US" w:eastAsia="zh-CN"/>
        </w:rPr>
        <w:t xml:space="preserve">, Therasse P, Bogaerts J, Schwartz LH, Sargent D, Ford R, Dancey J, Arbuck S, Gwyther S, Mooney M, Rubinstein L, Shankar L, Dodd L, Kaplan R, Lacombe D, Verweij J. New response evaluation criteria in solid tumours: revised RECIST guideline (version 1.1). </w:t>
      </w:r>
      <w:r w:rsidRPr="00974DEA">
        <w:rPr>
          <w:rFonts w:ascii="Book Antiqua" w:eastAsia="DengXian" w:hAnsi="Book Antiqua" w:cs="Times New Roman"/>
          <w:i/>
          <w:kern w:val="2"/>
          <w:sz w:val="24"/>
          <w:szCs w:val="24"/>
          <w:lang w:val="en-US" w:eastAsia="zh-CN"/>
        </w:rPr>
        <w:t>Eur J Cancer</w:t>
      </w:r>
      <w:r w:rsidRPr="00974DEA">
        <w:rPr>
          <w:rFonts w:ascii="Book Antiqua" w:eastAsia="DengXian" w:hAnsi="Book Antiqua" w:cs="Times New Roman"/>
          <w:kern w:val="2"/>
          <w:sz w:val="24"/>
          <w:szCs w:val="24"/>
          <w:lang w:val="en-US" w:eastAsia="zh-CN"/>
        </w:rPr>
        <w:t xml:space="preserve"> 2009; </w:t>
      </w:r>
      <w:r w:rsidRPr="00974DEA">
        <w:rPr>
          <w:rFonts w:ascii="Book Antiqua" w:eastAsia="DengXian" w:hAnsi="Book Antiqua" w:cs="Times New Roman"/>
          <w:b/>
          <w:kern w:val="2"/>
          <w:sz w:val="24"/>
          <w:szCs w:val="24"/>
          <w:lang w:val="en-US" w:eastAsia="zh-CN"/>
        </w:rPr>
        <w:t>45</w:t>
      </w:r>
      <w:r w:rsidRPr="00974DEA">
        <w:rPr>
          <w:rFonts w:ascii="Book Antiqua" w:eastAsia="DengXian" w:hAnsi="Book Antiqua" w:cs="Times New Roman"/>
          <w:kern w:val="2"/>
          <w:sz w:val="24"/>
          <w:szCs w:val="24"/>
          <w:lang w:val="en-US" w:eastAsia="zh-CN"/>
        </w:rPr>
        <w:t>: 228-247 [PMID: 19097774 DOI: 10.1016/j.ejca.2008.10.026]</w:t>
      </w:r>
    </w:p>
    <w:p w14:paraId="7F730459" w14:textId="77777777" w:rsidR="007F47EA" w:rsidRDefault="007F47EA" w:rsidP="00974DEA">
      <w:pPr>
        <w:widowControl w:val="0"/>
        <w:spacing w:after="0" w:line="360" w:lineRule="auto"/>
        <w:jc w:val="both"/>
        <w:rPr>
          <w:rFonts w:ascii="Book Antiqua" w:eastAsia="DengXian" w:hAnsi="Book Antiqua" w:cs="Times New Roman"/>
          <w:kern w:val="2"/>
          <w:sz w:val="24"/>
          <w:szCs w:val="24"/>
          <w:lang w:val="en-US" w:eastAsia="zh-CN"/>
        </w:rPr>
      </w:pPr>
      <w:r w:rsidRPr="007F47EA">
        <w:rPr>
          <w:rFonts w:ascii="Book Antiqua" w:eastAsia="DengXian" w:hAnsi="Book Antiqua" w:cs="Times New Roman"/>
          <w:kern w:val="2"/>
          <w:sz w:val="24"/>
          <w:szCs w:val="24"/>
          <w:lang w:val="en-US" w:eastAsia="zh-CN"/>
        </w:rPr>
        <w:t xml:space="preserve">14 </w:t>
      </w:r>
      <w:r w:rsidRPr="007F47EA">
        <w:rPr>
          <w:rFonts w:ascii="Book Antiqua" w:eastAsia="DengXian" w:hAnsi="Book Antiqua" w:cs="Times New Roman"/>
          <w:b/>
          <w:bCs/>
          <w:kern w:val="2"/>
          <w:sz w:val="24"/>
          <w:szCs w:val="24"/>
          <w:lang w:val="en-US" w:eastAsia="zh-CN"/>
        </w:rPr>
        <w:t>National Cancer Institute.</w:t>
      </w:r>
      <w:r w:rsidRPr="007F47EA">
        <w:rPr>
          <w:rFonts w:ascii="Book Antiqua" w:eastAsia="DengXian" w:hAnsi="Book Antiqua" w:cs="Times New Roman"/>
          <w:kern w:val="2"/>
          <w:sz w:val="24"/>
          <w:szCs w:val="24"/>
          <w:lang w:val="en-US" w:eastAsia="zh-CN"/>
        </w:rPr>
        <w:t xml:space="preserve"> National Cancer Institute Common Terminology Criteria. Available from: https://ctep.cancer.gov/protocolDevelopment/electronic_applications/ctc.htm</w:t>
      </w:r>
    </w:p>
    <w:p w14:paraId="7438061D" w14:textId="7CCDD50B"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15 </w:t>
      </w:r>
      <w:r w:rsidRPr="00974DEA">
        <w:rPr>
          <w:rFonts w:ascii="Book Antiqua" w:eastAsia="DengXian" w:hAnsi="Book Antiqua" w:cs="Times New Roman"/>
          <w:b/>
          <w:kern w:val="2"/>
          <w:sz w:val="24"/>
          <w:szCs w:val="24"/>
          <w:lang w:val="en-US" w:eastAsia="zh-CN"/>
        </w:rPr>
        <w:t>Austin PC</w:t>
      </w:r>
      <w:r w:rsidRPr="00974DEA">
        <w:rPr>
          <w:rFonts w:ascii="Book Antiqua" w:eastAsia="DengXian" w:hAnsi="Book Antiqua" w:cs="Times New Roman"/>
          <w:kern w:val="2"/>
          <w:sz w:val="24"/>
          <w:szCs w:val="24"/>
          <w:lang w:val="en-US" w:eastAsia="zh-CN"/>
        </w:rPr>
        <w:t xml:space="preserve">, Schuster T. The performance of different propensity score methods for estimating absolute effects of treatments on survival outcomes: A simulation study. </w:t>
      </w:r>
      <w:r w:rsidRPr="00974DEA">
        <w:rPr>
          <w:rFonts w:ascii="Book Antiqua" w:eastAsia="DengXian" w:hAnsi="Book Antiqua" w:cs="Times New Roman"/>
          <w:i/>
          <w:kern w:val="2"/>
          <w:sz w:val="24"/>
          <w:szCs w:val="24"/>
          <w:lang w:val="en-US" w:eastAsia="zh-CN"/>
        </w:rPr>
        <w:t>Stat Methods Med Res</w:t>
      </w:r>
      <w:r w:rsidRPr="00974DEA">
        <w:rPr>
          <w:rFonts w:ascii="Book Antiqua" w:eastAsia="DengXian" w:hAnsi="Book Antiqua" w:cs="Times New Roman"/>
          <w:kern w:val="2"/>
          <w:sz w:val="24"/>
          <w:szCs w:val="24"/>
          <w:lang w:val="en-US" w:eastAsia="zh-CN"/>
        </w:rPr>
        <w:t xml:space="preserve"> 2016; </w:t>
      </w:r>
      <w:r w:rsidRPr="00974DEA">
        <w:rPr>
          <w:rFonts w:ascii="Book Antiqua" w:eastAsia="DengXian" w:hAnsi="Book Antiqua" w:cs="Times New Roman"/>
          <w:b/>
          <w:kern w:val="2"/>
          <w:sz w:val="24"/>
          <w:szCs w:val="24"/>
          <w:lang w:val="en-US" w:eastAsia="zh-CN"/>
        </w:rPr>
        <w:t>25</w:t>
      </w:r>
      <w:r w:rsidRPr="00974DEA">
        <w:rPr>
          <w:rFonts w:ascii="Book Antiqua" w:eastAsia="DengXian" w:hAnsi="Book Antiqua" w:cs="Times New Roman"/>
          <w:kern w:val="2"/>
          <w:sz w:val="24"/>
          <w:szCs w:val="24"/>
          <w:lang w:val="en-US" w:eastAsia="zh-CN"/>
        </w:rPr>
        <w:t>: 2214-2237 [PMID: 24463885 DOI: 10.1177/0962280213519716]</w:t>
      </w:r>
    </w:p>
    <w:p w14:paraId="244F6AB7"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16 </w:t>
      </w:r>
      <w:r w:rsidRPr="00974DEA">
        <w:rPr>
          <w:rFonts w:ascii="Book Antiqua" w:eastAsia="DengXian" w:hAnsi="Book Antiqua" w:cs="Times New Roman"/>
          <w:b/>
          <w:kern w:val="2"/>
          <w:sz w:val="24"/>
          <w:szCs w:val="24"/>
          <w:lang w:val="en-US" w:eastAsia="zh-CN"/>
        </w:rPr>
        <w:t>Pavillard V</w:t>
      </w:r>
      <w:r w:rsidRPr="00974DEA">
        <w:rPr>
          <w:rFonts w:ascii="Book Antiqua" w:eastAsia="DengXian" w:hAnsi="Book Antiqua" w:cs="Times New Roman"/>
          <w:kern w:val="2"/>
          <w:sz w:val="24"/>
          <w:szCs w:val="24"/>
          <w:lang w:val="en-US" w:eastAsia="zh-CN"/>
        </w:rPr>
        <w:t xml:space="preserve">, Formento P, Rostagno P, Formento JL, Fischel JL, Francoual M, Etienne MC, Milano G. Combination of irinotecan (CPT11) and 5-fluorouracil with an analysis of cellular determinants of drug activity. </w:t>
      </w:r>
      <w:r w:rsidRPr="00974DEA">
        <w:rPr>
          <w:rFonts w:ascii="Book Antiqua" w:eastAsia="DengXian" w:hAnsi="Book Antiqua" w:cs="Times New Roman"/>
          <w:i/>
          <w:kern w:val="2"/>
          <w:sz w:val="24"/>
          <w:szCs w:val="24"/>
          <w:lang w:val="en-US" w:eastAsia="zh-CN"/>
        </w:rPr>
        <w:t>Biochem Pharmacol</w:t>
      </w:r>
      <w:r w:rsidRPr="00974DEA">
        <w:rPr>
          <w:rFonts w:ascii="Book Antiqua" w:eastAsia="DengXian" w:hAnsi="Book Antiqua" w:cs="Times New Roman"/>
          <w:kern w:val="2"/>
          <w:sz w:val="24"/>
          <w:szCs w:val="24"/>
          <w:lang w:val="en-US" w:eastAsia="zh-CN"/>
        </w:rPr>
        <w:t xml:space="preserve"> 1998; </w:t>
      </w:r>
      <w:r w:rsidRPr="00974DEA">
        <w:rPr>
          <w:rFonts w:ascii="Book Antiqua" w:eastAsia="DengXian" w:hAnsi="Book Antiqua" w:cs="Times New Roman"/>
          <w:b/>
          <w:kern w:val="2"/>
          <w:sz w:val="24"/>
          <w:szCs w:val="24"/>
          <w:lang w:val="en-US" w:eastAsia="zh-CN"/>
        </w:rPr>
        <w:t>56</w:t>
      </w:r>
      <w:r w:rsidRPr="00974DEA">
        <w:rPr>
          <w:rFonts w:ascii="Book Antiqua" w:eastAsia="DengXian" w:hAnsi="Book Antiqua" w:cs="Times New Roman"/>
          <w:kern w:val="2"/>
          <w:sz w:val="24"/>
          <w:szCs w:val="24"/>
          <w:lang w:val="en-US" w:eastAsia="zh-CN"/>
        </w:rPr>
        <w:t>: 1315-1322 [PMID: 9825730 DOI: 10.1016/s0006-2952(98)00205-6]</w:t>
      </w:r>
    </w:p>
    <w:p w14:paraId="15BDC2C7"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17 </w:t>
      </w:r>
      <w:r w:rsidRPr="00974DEA">
        <w:rPr>
          <w:rFonts w:ascii="Book Antiqua" w:eastAsia="DengXian" w:hAnsi="Book Antiqua" w:cs="Times New Roman"/>
          <w:b/>
          <w:kern w:val="2"/>
          <w:sz w:val="24"/>
          <w:szCs w:val="24"/>
          <w:lang w:val="en-US" w:eastAsia="zh-CN"/>
        </w:rPr>
        <w:t>Ducreux M</w:t>
      </w:r>
      <w:r w:rsidRPr="00974DEA">
        <w:rPr>
          <w:rFonts w:ascii="Book Antiqua" w:eastAsia="DengXian" w:hAnsi="Book Antiqua" w:cs="Times New Roman"/>
          <w:kern w:val="2"/>
          <w:sz w:val="24"/>
          <w:szCs w:val="24"/>
          <w:lang w:val="en-US" w:eastAsia="zh-CN"/>
        </w:rPr>
        <w:t xml:space="preserve">, Mitry E, Ould-Kaci M, Boige V, Seitz JF, Bugat R, Breau JL, Bouché O, Etienne PL, Tigaud JM, Morvan F, Cvitkovic E, Rougier P. Randomized phase II study evaluating oxaliplatin alone, oxaliplatin combined with infusional 5-FU, and infusional 5-FU alone in advanced pancreatic carcinoma patients. </w:t>
      </w:r>
      <w:r w:rsidRPr="00974DEA">
        <w:rPr>
          <w:rFonts w:ascii="Book Antiqua" w:eastAsia="DengXian" w:hAnsi="Book Antiqua" w:cs="Times New Roman"/>
          <w:i/>
          <w:kern w:val="2"/>
          <w:sz w:val="24"/>
          <w:szCs w:val="24"/>
          <w:lang w:val="en-US" w:eastAsia="zh-CN"/>
        </w:rPr>
        <w:t>Ann Oncol</w:t>
      </w:r>
      <w:r w:rsidRPr="00974DEA">
        <w:rPr>
          <w:rFonts w:ascii="Book Antiqua" w:eastAsia="DengXian" w:hAnsi="Book Antiqua" w:cs="Times New Roman"/>
          <w:kern w:val="2"/>
          <w:sz w:val="24"/>
          <w:szCs w:val="24"/>
          <w:lang w:val="en-US" w:eastAsia="zh-CN"/>
        </w:rPr>
        <w:t xml:space="preserve"> 2004; </w:t>
      </w:r>
      <w:r w:rsidRPr="00974DEA">
        <w:rPr>
          <w:rFonts w:ascii="Book Antiqua" w:eastAsia="DengXian" w:hAnsi="Book Antiqua" w:cs="Times New Roman"/>
          <w:b/>
          <w:kern w:val="2"/>
          <w:sz w:val="24"/>
          <w:szCs w:val="24"/>
          <w:lang w:val="en-US" w:eastAsia="zh-CN"/>
        </w:rPr>
        <w:t>15</w:t>
      </w:r>
      <w:r w:rsidRPr="00974DEA">
        <w:rPr>
          <w:rFonts w:ascii="Book Antiqua" w:eastAsia="DengXian" w:hAnsi="Book Antiqua" w:cs="Times New Roman"/>
          <w:kern w:val="2"/>
          <w:sz w:val="24"/>
          <w:szCs w:val="24"/>
          <w:lang w:val="en-US" w:eastAsia="zh-CN"/>
        </w:rPr>
        <w:t>: 467-473 [PMID: 14998850 DOI: 10.1093/annonc/mdh098]</w:t>
      </w:r>
    </w:p>
    <w:p w14:paraId="2BE60D08"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18 </w:t>
      </w:r>
      <w:r w:rsidRPr="00974DEA">
        <w:rPr>
          <w:rFonts w:ascii="Book Antiqua" w:eastAsia="DengXian" w:hAnsi="Book Antiqua" w:cs="Times New Roman"/>
          <w:b/>
          <w:kern w:val="2"/>
          <w:sz w:val="24"/>
          <w:szCs w:val="24"/>
          <w:lang w:val="en-US" w:eastAsia="zh-CN"/>
        </w:rPr>
        <w:t>Zeghari-Squalli N</w:t>
      </w:r>
      <w:r w:rsidRPr="00974DEA">
        <w:rPr>
          <w:rFonts w:ascii="Book Antiqua" w:eastAsia="DengXian" w:hAnsi="Book Antiqua" w:cs="Times New Roman"/>
          <w:kern w:val="2"/>
          <w:sz w:val="24"/>
          <w:szCs w:val="24"/>
          <w:lang w:val="en-US" w:eastAsia="zh-CN"/>
        </w:rPr>
        <w:t xml:space="preserve">, Raymond E, Cvitkovic E, Goldwasser F. Cellular pharmacology of the combination of the DNA topoisomerase I inhibitor SN-38 and the diaminocyclohexane platinum derivative oxaliplatin. </w:t>
      </w:r>
      <w:r w:rsidRPr="00974DEA">
        <w:rPr>
          <w:rFonts w:ascii="Book Antiqua" w:eastAsia="DengXian" w:hAnsi="Book Antiqua" w:cs="Times New Roman"/>
          <w:i/>
          <w:kern w:val="2"/>
          <w:sz w:val="24"/>
          <w:szCs w:val="24"/>
          <w:lang w:val="en-US" w:eastAsia="zh-CN"/>
        </w:rPr>
        <w:t>Clin Cancer Res</w:t>
      </w:r>
      <w:r w:rsidRPr="00974DEA">
        <w:rPr>
          <w:rFonts w:ascii="Book Antiqua" w:eastAsia="DengXian" w:hAnsi="Book Antiqua" w:cs="Times New Roman"/>
          <w:kern w:val="2"/>
          <w:sz w:val="24"/>
          <w:szCs w:val="24"/>
          <w:lang w:val="en-US" w:eastAsia="zh-CN"/>
        </w:rPr>
        <w:t xml:space="preserve"> 1999; </w:t>
      </w:r>
      <w:r w:rsidRPr="00974DEA">
        <w:rPr>
          <w:rFonts w:ascii="Book Antiqua" w:eastAsia="DengXian" w:hAnsi="Book Antiqua" w:cs="Times New Roman"/>
          <w:b/>
          <w:kern w:val="2"/>
          <w:sz w:val="24"/>
          <w:szCs w:val="24"/>
          <w:lang w:val="en-US" w:eastAsia="zh-CN"/>
        </w:rPr>
        <w:t>5</w:t>
      </w:r>
      <w:r w:rsidRPr="00974DEA">
        <w:rPr>
          <w:rFonts w:ascii="Book Antiqua" w:eastAsia="DengXian" w:hAnsi="Book Antiqua" w:cs="Times New Roman"/>
          <w:kern w:val="2"/>
          <w:sz w:val="24"/>
          <w:szCs w:val="24"/>
          <w:lang w:val="en-US" w:eastAsia="zh-CN"/>
        </w:rPr>
        <w:t>: 1189-1196 [PMID: 10353756]</w:t>
      </w:r>
    </w:p>
    <w:p w14:paraId="338EC359"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19 </w:t>
      </w:r>
      <w:r w:rsidRPr="00974DEA">
        <w:rPr>
          <w:rFonts w:ascii="Book Antiqua" w:eastAsia="DengXian" w:hAnsi="Book Antiqua" w:cs="Times New Roman"/>
          <w:b/>
          <w:kern w:val="2"/>
          <w:sz w:val="24"/>
          <w:szCs w:val="24"/>
          <w:lang w:val="en-US" w:eastAsia="zh-CN"/>
        </w:rPr>
        <w:t>Conroy T</w:t>
      </w:r>
      <w:r w:rsidRPr="00974DEA">
        <w:rPr>
          <w:rFonts w:ascii="Book Antiqua" w:eastAsia="DengXian" w:hAnsi="Book Antiqua" w:cs="Times New Roman"/>
          <w:kern w:val="2"/>
          <w:sz w:val="24"/>
          <w:szCs w:val="24"/>
          <w:lang w:val="en-US" w:eastAsia="zh-CN"/>
        </w:rPr>
        <w:t xml:space="preserve">, Paillot B, François E, Bugat R, Jacob JH, Stein U, Nasca S, Metges JP, Rixe O, Michel P, Magherini E, Hua A, Deplanque G. Irinotecan plus oxaliplatin and leucovorin-modulated fluorouracil in advanced pancreatic cancer--a Groupe Tumeurs Digestives of the Federation Nationale des Centres de Lutte Contre le Cancer study. </w:t>
      </w:r>
      <w:r w:rsidRPr="00974DEA">
        <w:rPr>
          <w:rFonts w:ascii="Book Antiqua" w:eastAsia="DengXian" w:hAnsi="Book Antiqua" w:cs="Times New Roman"/>
          <w:i/>
          <w:kern w:val="2"/>
          <w:sz w:val="24"/>
          <w:szCs w:val="24"/>
          <w:lang w:val="en-US" w:eastAsia="zh-CN"/>
        </w:rPr>
        <w:t xml:space="preserve">J </w:t>
      </w:r>
      <w:r w:rsidRPr="00974DEA">
        <w:rPr>
          <w:rFonts w:ascii="Book Antiqua" w:eastAsia="DengXian" w:hAnsi="Book Antiqua" w:cs="Times New Roman"/>
          <w:i/>
          <w:kern w:val="2"/>
          <w:sz w:val="24"/>
          <w:szCs w:val="24"/>
          <w:lang w:val="en-US" w:eastAsia="zh-CN"/>
        </w:rPr>
        <w:lastRenderedPageBreak/>
        <w:t>Clin Oncol</w:t>
      </w:r>
      <w:r w:rsidRPr="00974DEA">
        <w:rPr>
          <w:rFonts w:ascii="Book Antiqua" w:eastAsia="DengXian" w:hAnsi="Book Antiqua" w:cs="Times New Roman"/>
          <w:kern w:val="2"/>
          <w:sz w:val="24"/>
          <w:szCs w:val="24"/>
          <w:lang w:val="en-US" w:eastAsia="zh-CN"/>
        </w:rPr>
        <w:t xml:space="preserve"> 2005; </w:t>
      </w:r>
      <w:r w:rsidRPr="00974DEA">
        <w:rPr>
          <w:rFonts w:ascii="Book Antiqua" w:eastAsia="DengXian" w:hAnsi="Book Antiqua" w:cs="Times New Roman"/>
          <w:b/>
          <w:kern w:val="2"/>
          <w:sz w:val="24"/>
          <w:szCs w:val="24"/>
          <w:lang w:val="en-US" w:eastAsia="zh-CN"/>
        </w:rPr>
        <w:t>23</w:t>
      </w:r>
      <w:r w:rsidRPr="00974DEA">
        <w:rPr>
          <w:rFonts w:ascii="Book Antiqua" w:eastAsia="DengXian" w:hAnsi="Book Antiqua" w:cs="Times New Roman"/>
          <w:kern w:val="2"/>
          <w:sz w:val="24"/>
          <w:szCs w:val="24"/>
          <w:lang w:val="en-US" w:eastAsia="zh-CN"/>
        </w:rPr>
        <w:t>: 1228-1236 [PMID: 15718320 DOI: 10.1200/JCO.2005.06.050]</w:t>
      </w:r>
    </w:p>
    <w:p w14:paraId="06E90633"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20 </w:t>
      </w:r>
      <w:r w:rsidRPr="00974DEA">
        <w:rPr>
          <w:rFonts w:ascii="Book Antiqua" w:eastAsia="DengXian" w:hAnsi="Book Antiqua" w:cs="Times New Roman"/>
          <w:b/>
          <w:kern w:val="2"/>
          <w:sz w:val="24"/>
          <w:szCs w:val="24"/>
          <w:lang w:val="en-US" w:eastAsia="zh-CN"/>
        </w:rPr>
        <w:t>Souglakos J</w:t>
      </w:r>
      <w:r w:rsidRPr="00974DEA">
        <w:rPr>
          <w:rFonts w:ascii="Book Antiqua" w:eastAsia="DengXian" w:hAnsi="Book Antiqua" w:cs="Times New Roman"/>
          <w:kern w:val="2"/>
          <w:sz w:val="24"/>
          <w:szCs w:val="24"/>
          <w:lang w:val="en-US" w:eastAsia="zh-CN"/>
        </w:rPr>
        <w:t xml:space="preserve">, Androulakis N, Syrigos K, Polyzos A, Ziras N, Athanasiadis A, Kakolyris S, Tsousis S, Kouroussis Ch, Vamvakas L, Kalykaki A, Samonis G, Mavroudis D, Georgoulias V. FOLFOXIRI (folinic acid, 5-fluorouracil, oxaliplatin and irinotecan) vs FOLFIRI (folinic acid, 5-fluorouracil and irinotecan) as first-line treatment in metastatic colorectal cancer (MCC): a multicentre randomised phase III trial from the Hellenic Oncology Research Group (HORG). </w:t>
      </w:r>
      <w:r w:rsidRPr="00974DEA">
        <w:rPr>
          <w:rFonts w:ascii="Book Antiqua" w:eastAsia="DengXian" w:hAnsi="Book Antiqua" w:cs="Times New Roman"/>
          <w:i/>
          <w:kern w:val="2"/>
          <w:sz w:val="24"/>
          <w:szCs w:val="24"/>
          <w:lang w:val="en-US" w:eastAsia="zh-CN"/>
        </w:rPr>
        <w:t>Br J Cancer</w:t>
      </w:r>
      <w:r w:rsidRPr="00974DEA">
        <w:rPr>
          <w:rFonts w:ascii="Book Antiqua" w:eastAsia="DengXian" w:hAnsi="Book Antiqua" w:cs="Times New Roman"/>
          <w:kern w:val="2"/>
          <w:sz w:val="24"/>
          <w:szCs w:val="24"/>
          <w:lang w:val="en-US" w:eastAsia="zh-CN"/>
        </w:rPr>
        <w:t xml:space="preserve"> 2006; </w:t>
      </w:r>
      <w:r w:rsidRPr="00974DEA">
        <w:rPr>
          <w:rFonts w:ascii="Book Antiqua" w:eastAsia="DengXian" w:hAnsi="Book Antiqua" w:cs="Times New Roman"/>
          <w:b/>
          <w:kern w:val="2"/>
          <w:sz w:val="24"/>
          <w:szCs w:val="24"/>
          <w:lang w:val="en-US" w:eastAsia="zh-CN"/>
        </w:rPr>
        <w:t>94</w:t>
      </w:r>
      <w:r w:rsidRPr="00974DEA">
        <w:rPr>
          <w:rFonts w:ascii="Book Antiqua" w:eastAsia="DengXian" w:hAnsi="Book Antiqua" w:cs="Times New Roman"/>
          <w:kern w:val="2"/>
          <w:sz w:val="24"/>
          <w:szCs w:val="24"/>
          <w:lang w:val="en-US" w:eastAsia="zh-CN"/>
        </w:rPr>
        <w:t>: 798-805 [PMID: 16508637 DOI: 10.1038/sj.bjc.6603011]</w:t>
      </w:r>
    </w:p>
    <w:p w14:paraId="349F9657"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21 </w:t>
      </w:r>
      <w:r w:rsidRPr="00974DEA">
        <w:rPr>
          <w:rFonts w:ascii="Book Antiqua" w:eastAsia="DengXian" w:hAnsi="Book Antiqua" w:cs="Times New Roman"/>
          <w:b/>
          <w:kern w:val="2"/>
          <w:sz w:val="24"/>
          <w:szCs w:val="24"/>
          <w:lang w:val="en-US" w:eastAsia="zh-CN"/>
        </w:rPr>
        <w:t>Vivaldi C</w:t>
      </w:r>
      <w:r w:rsidRPr="00974DEA">
        <w:rPr>
          <w:rFonts w:ascii="Book Antiqua" w:eastAsia="DengXian" w:hAnsi="Book Antiqua" w:cs="Times New Roman"/>
          <w:kern w:val="2"/>
          <w:sz w:val="24"/>
          <w:szCs w:val="24"/>
          <w:lang w:val="en-US" w:eastAsia="zh-CN"/>
        </w:rPr>
        <w:t xml:space="preserve">, Caparello C, Musettini G, Pasquini G, Catanese S, Fornaro L, Lencioni M, Falcone A, Vasile E. First-line treatment with FOLFOXIRI for advanced pancreatic cancer in clinical practice: Patients' outcome and analysis of prognostic factors. </w:t>
      </w:r>
      <w:r w:rsidRPr="00974DEA">
        <w:rPr>
          <w:rFonts w:ascii="Book Antiqua" w:eastAsia="DengXian" w:hAnsi="Book Antiqua" w:cs="Times New Roman"/>
          <w:i/>
          <w:kern w:val="2"/>
          <w:sz w:val="24"/>
          <w:szCs w:val="24"/>
          <w:lang w:val="en-US" w:eastAsia="zh-CN"/>
        </w:rPr>
        <w:t>Int J Cancer</w:t>
      </w:r>
      <w:r w:rsidRPr="00974DEA">
        <w:rPr>
          <w:rFonts w:ascii="Book Antiqua" w:eastAsia="DengXian" w:hAnsi="Book Antiqua" w:cs="Times New Roman"/>
          <w:kern w:val="2"/>
          <w:sz w:val="24"/>
          <w:szCs w:val="24"/>
          <w:lang w:val="en-US" w:eastAsia="zh-CN"/>
        </w:rPr>
        <w:t xml:space="preserve"> 2016; </w:t>
      </w:r>
      <w:r w:rsidRPr="00974DEA">
        <w:rPr>
          <w:rFonts w:ascii="Book Antiqua" w:eastAsia="DengXian" w:hAnsi="Book Antiqua" w:cs="Times New Roman"/>
          <w:b/>
          <w:kern w:val="2"/>
          <w:sz w:val="24"/>
          <w:szCs w:val="24"/>
          <w:lang w:val="en-US" w:eastAsia="zh-CN"/>
        </w:rPr>
        <w:t>139</w:t>
      </w:r>
      <w:r w:rsidRPr="00974DEA">
        <w:rPr>
          <w:rFonts w:ascii="Book Antiqua" w:eastAsia="DengXian" w:hAnsi="Book Antiqua" w:cs="Times New Roman"/>
          <w:kern w:val="2"/>
          <w:sz w:val="24"/>
          <w:szCs w:val="24"/>
          <w:lang w:val="en-US" w:eastAsia="zh-CN"/>
        </w:rPr>
        <w:t>: 938-945 [PMID: 27038273 DOI: 10.1002/ijc.30125]</w:t>
      </w:r>
    </w:p>
    <w:p w14:paraId="695749D7"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22 </w:t>
      </w:r>
      <w:r w:rsidRPr="00974DEA">
        <w:rPr>
          <w:rFonts w:ascii="Book Antiqua" w:eastAsia="DengXian" w:hAnsi="Book Antiqua" w:cs="Times New Roman"/>
          <w:b/>
          <w:kern w:val="2"/>
          <w:sz w:val="24"/>
          <w:szCs w:val="24"/>
          <w:lang w:val="en-US" w:eastAsia="zh-CN"/>
        </w:rPr>
        <w:t>Terazawa T</w:t>
      </w:r>
      <w:r w:rsidRPr="00974DEA">
        <w:rPr>
          <w:rFonts w:ascii="Book Antiqua" w:eastAsia="DengXian" w:hAnsi="Book Antiqua" w:cs="Times New Roman"/>
          <w:kern w:val="2"/>
          <w:sz w:val="24"/>
          <w:szCs w:val="24"/>
          <w:lang w:val="en-US" w:eastAsia="zh-CN"/>
        </w:rPr>
        <w:t xml:space="preserve">, Goto M, Miyamoto T, Asaishi K, Shimamoto F, Kuwakado S, Nishitani H, Kii T, Higuchi K. Efficacy of Prophylactic G-CSF in Patients Receiving FOLFIRINOX: A Preliminary Retrospective Study. </w:t>
      </w:r>
      <w:r w:rsidRPr="00974DEA">
        <w:rPr>
          <w:rFonts w:ascii="Book Antiqua" w:eastAsia="DengXian" w:hAnsi="Book Antiqua" w:cs="Times New Roman"/>
          <w:i/>
          <w:kern w:val="2"/>
          <w:sz w:val="24"/>
          <w:szCs w:val="24"/>
          <w:lang w:val="en-US" w:eastAsia="zh-CN"/>
        </w:rPr>
        <w:t>Intern Med</w:t>
      </w:r>
      <w:r w:rsidRPr="00974DEA">
        <w:rPr>
          <w:rFonts w:ascii="Book Antiqua" w:eastAsia="DengXian" w:hAnsi="Book Antiqua" w:cs="Times New Roman"/>
          <w:kern w:val="2"/>
          <w:sz w:val="24"/>
          <w:szCs w:val="24"/>
          <w:lang w:val="en-US" w:eastAsia="zh-CN"/>
        </w:rPr>
        <w:t xml:space="preserve"> 2015; </w:t>
      </w:r>
      <w:r w:rsidRPr="00974DEA">
        <w:rPr>
          <w:rFonts w:ascii="Book Antiqua" w:eastAsia="DengXian" w:hAnsi="Book Antiqua" w:cs="Times New Roman"/>
          <w:b/>
          <w:kern w:val="2"/>
          <w:sz w:val="24"/>
          <w:szCs w:val="24"/>
          <w:lang w:val="en-US" w:eastAsia="zh-CN"/>
        </w:rPr>
        <w:t>54</w:t>
      </w:r>
      <w:r w:rsidRPr="00974DEA">
        <w:rPr>
          <w:rFonts w:ascii="Book Antiqua" w:eastAsia="DengXian" w:hAnsi="Book Antiqua" w:cs="Times New Roman"/>
          <w:kern w:val="2"/>
          <w:sz w:val="24"/>
          <w:szCs w:val="24"/>
          <w:lang w:val="en-US" w:eastAsia="zh-CN"/>
        </w:rPr>
        <w:t>: 2969-2973 [PMID: 26631878 DOI: 10.2169/internalmedicine.54.5325]</w:t>
      </w:r>
    </w:p>
    <w:p w14:paraId="54B8ACD3"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23 </w:t>
      </w:r>
      <w:r w:rsidRPr="00974DEA">
        <w:rPr>
          <w:rFonts w:ascii="Book Antiqua" w:eastAsia="DengXian" w:hAnsi="Book Antiqua" w:cs="Times New Roman"/>
          <w:b/>
          <w:kern w:val="2"/>
          <w:sz w:val="24"/>
          <w:szCs w:val="24"/>
          <w:lang w:val="en-US" w:eastAsia="zh-CN"/>
        </w:rPr>
        <w:t>Lee JC</w:t>
      </w:r>
      <w:r w:rsidRPr="00974DEA">
        <w:rPr>
          <w:rFonts w:ascii="Book Antiqua" w:eastAsia="DengXian" w:hAnsi="Book Antiqua" w:cs="Times New Roman"/>
          <w:kern w:val="2"/>
          <w:sz w:val="24"/>
          <w:szCs w:val="24"/>
          <w:lang w:val="en-US" w:eastAsia="zh-CN"/>
        </w:rPr>
        <w:t xml:space="preserve">, Kim JW, Ahn S, Kim HW, Lee J, Kim YH, Paik KH, Kim J, Hwang JH. Optimal dose reduction of FOLFIRINOX for preserving tumour response in advanced pancreatic cancer: Using cumulative relative dose intensity. </w:t>
      </w:r>
      <w:r w:rsidRPr="00974DEA">
        <w:rPr>
          <w:rFonts w:ascii="Book Antiqua" w:eastAsia="DengXian" w:hAnsi="Book Antiqua" w:cs="Times New Roman"/>
          <w:i/>
          <w:kern w:val="2"/>
          <w:sz w:val="24"/>
          <w:szCs w:val="24"/>
          <w:lang w:val="en-US" w:eastAsia="zh-CN"/>
        </w:rPr>
        <w:t>Eur J Cancer</w:t>
      </w:r>
      <w:r w:rsidRPr="00974DEA">
        <w:rPr>
          <w:rFonts w:ascii="Book Antiqua" w:eastAsia="DengXian" w:hAnsi="Book Antiqua" w:cs="Times New Roman"/>
          <w:kern w:val="2"/>
          <w:sz w:val="24"/>
          <w:szCs w:val="24"/>
          <w:lang w:val="en-US" w:eastAsia="zh-CN"/>
        </w:rPr>
        <w:t xml:space="preserve"> 2017; </w:t>
      </w:r>
      <w:r w:rsidRPr="00974DEA">
        <w:rPr>
          <w:rFonts w:ascii="Book Antiqua" w:eastAsia="DengXian" w:hAnsi="Book Antiqua" w:cs="Times New Roman"/>
          <w:b/>
          <w:kern w:val="2"/>
          <w:sz w:val="24"/>
          <w:szCs w:val="24"/>
          <w:lang w:val="en-US" w:eastAsia="zh-CN"/>
        </w:rPr>
        <w:t>76</w:t>
      </w:r>
      <w:r w:rsidRPr="00974DEA">
        <w:rPr>
          <w:rFonts w:ascii="Book Antiqua" w:eastAsia="DengXian" w:hAnsi="Book Antiqua" w:cs="Times New Roman"/>
          <w:kern w:val="2"/>
          <w:sz w:val="24"/>
          <w:szCs w:val="24"/>
          <w:lang w:val="en-US" w:eastAsia="zh-CN"/>
        </w:rPr>
        <w:t>: 125-133 [PMID: 28324747 DOI: 10.1016/j.ejca.2017.02.010]</w:t>
      </w:r>
    </w:p>
    <w:p w14:paraId="4BCAEDD3"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24 </w:t>
      </w:r>
      <w:r w:rsidRPr="00974DEA">
        <w:rPr>
          <w:rFonts w:ascii="Book Antiqua" w:eastAsia="DengXian" w:hAnsi="Book Antiqua" w:cs="Times New Roman"/>
          <w:b/>
          <w:kern w:val="2"/>
          <w:sz w:val="24"/>
          <w:szCs w:val="24"/>
          <w:lang w:val="en-US" w:eastAsia="zh-CN"/>
        </w:rPr>
        <w:t>Usón Junior PLS</w:t>
      </w:r>
      <w:r w:rsidRPr="00974DEA">
        <w:rPr>
          <w:rFonts w:ascii="Book Antiqua" w:eastAsia="DengXian" w:hAnsi="Book Antiqua" w:cs="Times New Roman"/>
          <w:kern w:val="2"/>
          <w:sz w:val="24"/>
          <w:szCs w:val="24"/>
          <w:lang w:val="en-US" w:eastAsia="zh-CN"/>
        </w:rPr>
        <w:t xml:space="preserve">, Rother ET, Maluf FC, Bugano DDG. Meta-analysis of Modified FOLFIRINOX Regimens for Patients With Metastatic Pancreatic Cancer. </w:t>
      </w:r>
      <w:r w:rsidRPr="00974DEA">
        <w:rPr>
          <w:rFonts w:ascii="Book Antiqua" w:eastAsia="DengXian" w:hAnsi="Book Antiqua" w:cs="Times New Roman"/>
          <w:i/>
          <w:kern w:val="2"/>
          <w:sz w:val="24"/>
          <w:szCs w:val="24"/>
          <w:lang w:val="en-US" w:eastAsia="zh-CN"/>
        </w:rPr>
        <w:t>Clin Colorectal Cancer</w:t>
      </w:r>
      <w:r w:rsidRPr="00974DEA">
        <w:rPr>
          <w:rFonts w:ascii="Book Antiqua" w:eastAsia="DengXian" w:hAnsi="Book Antiqua" w:cs="Times New Roman"/>
          <w:kern w:val="2"/>
          <w:sz w:val="24"/>
          <w:szCs w:val="24"/>
          <w:lang w:val="en-US" w:eastAsia="zh-CN"/>
        </w:rPr>
        <w:t xml:space="preserve"> 2018; </w:t>
      </w:r>
      <w:r w:rsidRPr="00974DEA">
        <w:rPr>
          <w:rFonts w:ascii="Book Antiqua" w:eastAsia="DengXian" w:hAnsi="Book Antiqua" w:cs="Times New Roman"/>
          <w:b/>
          <w:kern w:val="2"/>
          <w:sz w:val="24"/>
          <w:szCs w:val="24"/>
          <w:lang w:val="en-US" w:eastAsia="zh-CN"/>
        </w:rPr>
        <w:t>17</w:t>
      </w:r>
      <w:r w:rsidRPr="00974DEA">
        <w:rPr>
          <w:rFonts w:ascii="Book Antiqua" w:eastAsia="DengXian" w:hAnsi="Book Antiqua" w:cs="Times New Roman"/>
          <w:kern w:val="2"/>
          <w:sz w:val="24"/>
          <w:szCs w:val="24"/>
          <w:lang w:val="en-US" w:eastAsia="zh-CN"/>
        </w:rPr>
        <w:t>: 187-197 [PMID: 29615310 DOI: 10.1016/j.clcc.2018.03.007]</w:t>
      </w:r>
    </w:p>
    <w:p w14:paraId="431282F5"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25 </w:t>
      </w:r>
      <w:r w:rsidRPr="00974DEA">
        <w:rPr>
          <w:rFonts w:ascii="Book Antiqua" w:eastAsia="DengXian" w:hAnsi="Book Antiqua" w:cs="Times New Roman"/>
          <w:b/>
          <w:kern w:val="2"/>
          <w:sz w:val="24"/>
          <w:szCs w:val="24"/>
          <w:lang w:val="en-US" w:eastAsia="zh-CN"/>
        </w:rPr>
        <w:t>Tong H</w:t>
      </w:r>
      <w:r w:rsidRPr="00974DEA">
        <w:rPr>
          <w:rFonts w:ascii="Book Antiqua" w:eastAsia="DengXian" w:hAnsi="Book Antiqua" w:cs="Times New Roman"/>
          <w:kern w:val="2"/>
          <w:sz w:val="24"/>
          <w:szCs w:val="24"/>
          <w:lang w:val="en-US" w:eastAsia="zh-CN"/>
        </w:rPr>
        <w:t xml:space="preserve">, Fan Z, Liu B, Lu T. The benefits of modified FOLFIRINOX for advanced pancreatic cancer and its induced adverse events: a systematic review and meta-analysis. </w:t>
      </w:r>
      <w:r w:rsidRPr="00974DEA">
        <w:rPr>
          <w:rFonts w:ascii="Book Antiqua" w:eastAsia="DengXian" w:hAnsi="Book Antiqua" w:cs="Times New Roman"/>
          <w:i/>
          <w:kern w:val="2"/>
          <w:sz w:val="24"/>
          <w:szCs w:val="24"/>
          <w:lang w:val="en-US" w:eastAsia="zh-CN"/>
        </w:rPr>
        <w:t>Sci Rep</w:t>
      </w:r>
      <w:r w:rsidRPr="00974DEA">
        <w:rPr>
          <w:rFonts w:ascii="Book Antiqua" w:eastAsia="DengXian" w:hAnsi="Book Antiqua" w:cs="Times New Roman"/>
          <w:kern w:val="2"/>
          <w:sz w:val="24"/>
          <w:szCs w:val="24"/>
          <w:lang w:val="en-US" w:eastAsia="zh-CN"/>
        </w:rPr>
        <w:t xml:space="preserve"> 2018; </w:t>
      </w:r>
      <w:r w:rsidRPr="00974DEA">
        <w:rPr>
          <w:rFonts w:ascii="Book Antiqua" w:eastAsia="DengXian" w:hAnsi="Book Antiqua" w:cs="Times New Roman"/>
          <w:b/>
          <w:kern w:val="2"/>
          <w:sz w:val="24"/>
          <w:szCs w:val="24"/>
          <w:lang w:val="en-US" w:eastAsia="zh-CN"/>
        </w:rPr>
        <w:t>8</w:t>
      </w:r>
      <w:r w:rsidRPr="00974DEA">
        <w:rPr>
          <w:rFonts w:ascii="Book Antiqua" w:eastAsia="DengXian" w:hAnsi="Book Antiqua" w:cs="Times New Roman"/>
          <w:kern w:val="2"/>
          <w:sz w:val="24"/>
          <w:szCs w:val="24"/>
          <w:lang w:val="en-US" w:eastAsia="zh-CN"/>
        </w:rPr>
        <w:t>: 8666 [PMID: 29875415 DOI: 10.1038/s41598-018-26811-9]</w:t>
      </w:r>
    </w:p>
    <w:p w14:paraId="3836B989"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26 </w:t>
      </w:r>
      <w:r w:rsidRPr="00974DEA">
        <w:rPr>
          <w:rFonts w:ascii="Book Antiqua" w:eastAsia="DengXian" w:hAnsi="Book Antiqua" w:cs="Times New Roman"/>
          <w:b/>
          <w:kern w:val="2"/>
          <w:sz w:val="24"/>
          <w:szCs w:val="24"/>
          <w:lang w:val="en-US" w:eastAsia="zh-CN"/>
        </w:rPr>
        <w:t>Early Breast Cancer Trialists' Collaborative Group (EBCTCG).</w:t>
      </w:r>
      <w:r w:rsidRPr="00974DEA">
        <w:rPr>
          <w:rFonts w:ascii="Book Antiqua" w:eastAsia="DengXian" w:hAnsi="Book Antiqua" w:cs="Times New Roman"/>
          <w:kern w:val="2"/>
          <w:sz w:val="24"/>
          <w:szCs w:val="24"/>
          <w:lang w:val="en-US" w:eastAsia="zh-CN"/>
        </w:rPr>
        <w:t>. Increasing the dose intensity of chemotherapy by more frequent administration or sequential scheduling: a patient-level meta-analysis of 37</w:t>
      </w:r>
      <w:r w:rsidRPr="00974DEA">
        <w:rPr>
          <w:rFonts w:ascii="MS Gothic" w:eastAsia="MS Gothic" w:hAnsi="MS Gothic" w:cs="MS Gothic"/>
          <w:kern w:val="2"/>
          <w:sz w:val="24"/>
          <w:szCs w:val="24"/>
          <w:lang w:val="en-US" w:eastAsia="zh-CN"/>
        </w:rPr>
        <w:t> </w:t>
      </w:r>
      <w:r w:rsidRPr="00974DEA">
        <w:rPr>
          <w:rFonts w:ascii="Book Antiqua" w:eastAsia="DengXian" w:hAnsi="Book Antiqua" w:cs="Times New Roman"/>
          <w:kern w:val="2"/>
          <w:sz w:val="24"/>
          <w:szCs w:val="24"/>
          <w:lang w:val="en-US" w:eastAsia="zh-CN"/>
        </w:rPr>
        <w:t xml:space="preserve">298 women with early breast cancer in 26 randomised trials. </w:t>
      </w:r>
      <w:r w:rsidRPr="00974DEA">
        <w:rPr>
          <w:rFonts w:ascii="Book Antiqua" w:eastAsia="DengXian" w:hAnsi="Book Antiqua" w:cs="Times New Roman"/>
          <w:i/>
          <w:kern w:val="2"/>
          <w:sz w:val="24"/>
          <w:szCs w:val="24"/>
          <w:lang w:val="en-US" w:eastAsia="zh-CN"/>
        </w:rPr>
        <w:t>Lancet</w:t>
      </w:r>
      <w:r w:rsidRPr="00974DEA">
        <w:rPr>
          <w:rFonts w:ascii="Book Antiqua" w:eastAsia="DengXian" w:hAnsi="Book Antiqua" w:cs="Times New Roman"/>
          <w:kern w:val="2"/>
          <w:sz w:val="24"/>
          <w:szCs w:val="24"/>
          <w:lang w:val="en-US" w:eastAsia="zh-CN"/>
        </w:rPr>
        <w:t xml:space="preserve"> 2019; </w:t>
      </w:r>
      <w:r w:rsidRPr="00974DEA">
        <w:rPr>
          <w:rFonts w:ascii="Book Antiqua" w:eastAsia="DengXian" w:hAnsi="Book Antiqua" w:cs="Times New Roman"/>
          <w:b/>
          <w:kern w:val="2"/>
          <w:sz w:val="24"/>
          <w:szCs w:val="24"/>
          <w:lang w:val="en-US" w:eastAsia="zh-CN"/>
        </w:rPr>
        <w:t>393</w:t>
      </w:r>
      <w:r w:rsidRPr="00974DEA">
        <w:rPr>
          <w:rFonts w:ascii="Book Antiqua" w:eastAsia="DengXian" w:hAnsi="Book Antiqua" w:cs="Times New Roman"/>
          <w:kern w:val="2"/>
          <w:sz w:val="24"/>
          <w:szCs w:val="24"/>
          <w:lang w:val="en-US" w:eastAsia="zh-CN"/>
        </w:rPr>
        <w:t>: 1440-1452 [PMID: 30739743 DOI: 10.1016/S0140-6736(18)33137-4]</w:t>
      </w:r>
    </w:p>
    <w:p w14:paraId="26789004"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27 </w:t>
      </w:r>
      <w:r w:rsidRPr="00974DEA">
        <w:rPr>
          <w:rFonts w:ascii="Book Antiqua" w:eastAsia="DengXian" w:hAnsi="Book Antiqua" w:cs="Times New Roman"/>
          <w:b/>
          <w:kern w:val="2"/>
          <w:sz w:val="24"/>
          <w:szCs w:val="24"/>
          <w:lang w:val="en-US" w:eastAsia="zh-CN"/>
        </w:rPr>
        <w:t>Blazer M</w:t>
      </w:r>
      <w:r w:rsidRPr="00974DEA">
        <w:rPr>
          <w:rFonts w:ascii="Book Antiqua" w:eastAsia="DengXian" w:hAnsi="Book Antiqua" w:cs="Times New Roman"/>
          <w:kern w:val="2"/>
          <w:sz w:val="24"/>
          <w:szCs w:val="24"/>
          <w:lang w:val="en-US" w:eastAsia="zh-CN"/>
        </w:rPr>
        <w:t xml:space="preserve">, Wu C, Goldberg RM, Phillips G, Schmidt C, Muscarella P, Wuthrick E, </w:t>
      </w:r>
      <w:r w:rsidRPr="00974DEA">
        <w:rPr>
          <w:rFonts w:ascii="Book Antiqua" w:eastAsia="DengXian" w:hAnsi="Book Antiqua" w:cs="Times New Roman"/>
          <w:kern w:val="2"/>
          <w:sz w:val="24"/>
          <w:szCs w:val="24"/>
          <w:lang w:val="en-US" w:eastAsia="zh-CN"/>
        </w:rPr>
        <w:lastRenderedPageBreak/>
        <w:t xml:space="preserve">Williams TM, Reardon J, Ellison EC, Bloomston M, Bekaii-Saab T. Neoadjuvant modified (m) FOLFIRINOX for locally advanced unresectable (LAPC) and borderline resectable (BRPC) adenocarcinoma of the pancreas. </w:t>
      </w:r>
      <w:r w:rsidRPr="00974DEA">
        <w:rPr>
          <w:rFonts w:ascii="Book Antiqua" w:eastAsia="DengXian" w:hAnsi="Book Antiqua" w:cs="Times New Roman"/>
          <w:i/>
          <w:kern w:val="2"/>
          <w:sz w:val="24"/>
          <w:szCs w:val="24"/>
          <w:lang w:val="en-US" w:eastAsia="zh-CN"/>
        </w:rPr>
        <w:t>Ann Surg Oncol</w:t>
      </w:r>
      <w:r w:rsidRPr="00974DEA">
        <w:rPr>
          <w:rFonts w:ascii="Book Antiqua" w:eastAsia="DengXian" w:hAnsi="Book Antiqua" w:cs="Times New Roman"/>
          <w:kern w:val="2"/>
          <w:sz w:val="24"/>
          <w:szCs w:val="24"/>
          <w:lang w:val="en-US" w:eastAsia="zh-CN"/>
        </w:rPr>
        <w:t xml:space="preserve"> 2015; </w:t>
      </w:r>
      <w:r w:rsidRPr="00974DEA">
        <w:rPr>
          <w:rFonts w:ascii="Book Antiqua" w:eastAsia="DengXian" w:hAnsi="Book Antiqua" w:cs="Times New Roman"/>
          <w:b/>
          <w:kern w:val="2"/>
          <w:sz w:val="24"/>
          <w:szCs w:val="24"/>
          <w:lang w:val="en-US" w:eastAsia="zh-CN"/>
        </w:rPr>
        <w:t>22</w:t>
      </w:r>
      <w:r w:rsidRPr="00974DEA">
        <w:rPr>
          <w:rFonts w:ascii="Book Antiqua" w:eastAsia="DengXian" w:hAnsi="Book Antiqua" w:cs="Times New Roman"/>
          <w:kern w:val="2"/>
          <w:sz w:val="24"/>
          <w:szCs w:val="24"/>
          <w:lang w:val="en-US" w:eastAsia="zh-CN"/>
        </w:rPr>
        <w:t>: 1153-1159 [PMID: 25358667 DOI: 10.1245/s10434-014-4225-1]</w:t>
      </w:r>
    </w:p>
    <w:p w14:paraId="7A39BBB9"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28 </w:t>
      </w:r>
      <w:r w:rsidRPr="00974DEA">
        <w:rPr>
          <w:rFonts w:ascii="Book Antiqua" w:eastAsia="DengXian" w:hAnsi="Book Antiqua" w:cs="Times New Roman"/>
          <w:b/>
          <w:kern w:val="2"/>
          <w:sz w:val="24"/>
          <w:szCs w:val="24"/>
          <w:lang w:val="en-US" w:eastAsia="zh-CN"/>
        </w:rPr>
        <w:t>Li X</w:t>
      </w:r>
      <w:r w:rsidRPr="00974DEA">
        <w:rPr>
          <w:rFonts w:ascii="Book Antiqua" w:eastAsia="DengXian" w:hAnsi="Book Antiqua" w:cs="Times New Roman"/>
          <w:kern w:val="2"/>
          <w:sz w:val="24"/>
          <w:szCs w:val="24"/>
          <w:lang w:val="en-US" w:eastAsia="zh-CN"/>
        </w:rPr>
        <w:t xml:space="preserve">, Ma T, Zhang Q, Chen YG, Guo CX, Shen YN, Sun PW, Li GG, Gao SL, Que RS, Lou JY, Yu RS, Yuan Y, Wei QC, Wei SM, Zhang Y, Zheng L, Bai XL, Liang TB. Modified-FOLFIRINOX in metastatic pancreatic cancer: A prospective study in Chinese population. </w:t>
      </w:r>
      <w:r w:rsidRPr="00974DEA">
        <w:rPr>
          <w:rFonts w:ascii="Book Antiqua" w:eastAsia="DengXian" w:hAnsi="Book Antiqua" w:cs="Times New Roman"/>
          <w:i/>
          <w:kern w:val="2"/>
          <w:sz w:val="24"/>
          <w:szCs w:val="24"/>
          <w:lang w:val="en-US" w:eastAsia="zh-CN"/>
        </w:rPr>
        <w:t>Cancer Lett</w:t>
      </w:r>
      <w:r w:rsidRPr="00974DEA">
        <w:rPr>
          <w:rFonts w:ascii="Book Antiqua" w:eastAsia="DengXian" w:hAnsi="Book Antiqua" w:cs="Times New Roman"/>
          <w:kern w:val="2"/>
          <w:sz w:val="24"/>
          <w:szCs w:val="24"/>
          <w:lang w:val="en-US" w:eastAsia="zh-CN"/>
        </w:rPr>
        <w:t xml:space="preserve"> 2017; </w:t>
      </w:r>
      <w:r w:rsidRPr="00974DEA">
        <w:rPr>
          <w:rFonts w:ascii="Book Antiqua" w:eastAsia="DengXian" w:hAnsi="Book Antiqua" w:cs="Times New Roman"/>
          <w:b/>
          <w:kern w:val="2"/>
          <w:sz w:val="24"/>
          <w:szCs w:val="24"/>
          <w:lang w:val="en-US" w:eastAsia="zh-CN"/>
        </w:rPr>
        <w:t>406</w:t>
      </w:r>
      <w:r w:rsidRPr="00974DEA">
        <w:rPr>
          <w:rFonts w:ascii="Book Antiqua" w:eastAsia="DengXian" w:hAnsi="Book Antiqua" w:cs="Times New Roman"/>
          <w:kern w:val="2"/>
          <w:sz w:val="24"/>
          <w:szCs w:val="24"/>
          <w:lang w:val="en-US" w:eastAsia="zh-CN"/>
        </w:rPr>
        <w:t>: 22-26 [PMID: 28729048 DOI: 10.1016/j.canlet.2017.07.012]</w:t>
      </w:r>
    </w:p>
    <w:p w14:paraId="13E392FC"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29 </w:t>
      </w:r>
      <w:r w:rsidRPr="00974DEA">
        <w:rPr>
          <w:rFonts w:ascii="Book Antiqua" w:eastAsia="DengXian" w:hAnsi="Book Antiqua" w:cs="Times New Roman"/>
          <w:b/>
          <w:kern w:val="2"/>
          <w:sz w:val="24"/>
          <w:szCs w:val="24"/>
          <w:lang w:val="en-US" w:eastAsia="zh-CN"/>
        </w:rPr>
        <w:t>Yoshida K</w:t>
      </w:r>
      <w:r w:rsidRPr="00974DEA">
        <w:rPr>
          <w:rFonts w:ascii="Book Antiqua" w:eastAsia="DengXian" w:hAnsi="Book Antiqua" w:cs="Times New Roman"/>
          <w:kern w:val="2"/>
          <w:sz w:val="24"/>
          <w:szCs w:val="24"/>
          <w:lang w:val="en-US" w:eastAsia="zh-CN"/>
        </w:rPr>
        <w:t xml:space="preserve">, Iwashita T, Uemura S, Maruta A, Okuno M, Ando N, Iwata K, Kawaguchi J, Mukai T, Shimizu M. A multicenter prospective phase II study of first-line modified FOLFIRINOX for unresectable advanced pancreatic cancer. </w:t>
      </w:r>
      <w:r w:rsidRPr="00974DEA">
        <w:rPr>
          <w:rFonts w:ascii="Book Antiqua" w:eastAsia="DengXian" w:hAnsi="Book Antiqua" w:cs="Times New Roman"/>
          <w:i/>
          <w:kern w:val="2"/>
          <w:sz w:val="24"/>
          <w:szCs w:val="24"/>
          <w:lang w:val="en-US" w:eastAsia="zh-CN"/>
        </w:rPr>
        <w:t>Oncotarget</w:t>
      </w:r>
      <w:r w:rsidRPr="00974DEA">
        <w:rPr>
          <w:rFonts w:ascii="Book Antiqua" w:eastAsia="DengXian" w:hAnsi="Book Antiqua" w:cs="Times New Roman"/>
          <w:kern w:val="2"/>
          <w:sz w:val="24"/>
          <w:szCs w:val="24"/>
          <w:lang w:val="en-US" w:eastAsia="zh-CN"/>
        </w:rPr>
        <w:t xml:space="preserve"> 2017; </w:t>
      </w:r>
      <w:r w:rsidRPr="00974DEA">
        <w:rPr>
          <w:rFonts w:ascii="Book Antiqua" w:eastAsia="DengXian" w:hAnsi="Book Antiqua" w:cs="Times New Roman"/>
          <w:b/>
          <w:kern w:val="2"/>
          <w:sz w:val="24"/>
          <w:szCs w:val="24"/>
          <w:lang w:val="en-US" w:eastAsia="zh-CN"/>
        </w:rPr>
        <w:t>8</w:t>
      </w:r>
      <w:r w:rsidRPr="00974DEA">
        <w:rPr>
          <w:rFonts w:ascii="Book Antiqua" w:eastAsia="DengXian" w:hAnsi="Book Antiqua" w:cs="Times New Roman"/>
          <w:kern w:val="2"/>
          <w:sz w:val="24"/>
          <w:szCs w:val="24"/>
          <w:lang w:val="en-US" w:eastAsia="zh-CN"/>
        </w:rPr>
        <w:t>: 111346-111355 [PMID: 29340058 DOI: 10.18632/oncotarget.22795]</w:t>
      </w:r>
    </w:p>
    <w:p w14:paraId="1C8A7AE2"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30 </w:t>
      </w:r>
      <w:r w:rsidRPr="00974DEA">
        <w:rPr>
          <w:rFonts w:ascii="Book Antiqua" w:eastAsia="DengXian" w:hAnsi="Book Antiqua" w:cs="Times New Roman"/>
          <w:b/>
          <w:kern w:val="2"/>
          <w:sz w:val="24"/>
          <w:szCs w:val="24"/>
          <w:lang w:val="en-US" w:eastAsia="zh-CN"/>
        </w:rPr>
        <w:t>Wang ZQ</w:t>
      </w:r>
      <w:r w:rsidRPr="00974DEA">
        <w:rPr>
          <w:rFonts w:ascii="Book Antiqua" w:eastAsia="DengXian" w:hAnsi="Book Antiqua" w:cs="Times New Roman"/>
          <w:kern w:val="2"/>
          <w:sz w:val="24"/>
          <w:szCs w:val="24"/>
          <w:lang w:val="en-US" w:eastAsia="zh-CN"/>
        </w:rPr>
        <w:t xml:space="preserve">, Zhang F, Deng T, Zhang L, Feng F, Wang FH, Wang W, Wang DS, Luo HY, Xu RH, Ba Y, Li YH. The efficacy and safety of modified FOLFIRINOX as first-line chemotherapy for Chinese patients with metastatic pancreatic cancer. </w:t>
      </w:r>
      <w:r w:rsidRPr="00974DEA">
        <w:rPr>
          <w:rFonts w:ascii="Book Antiqua" w:eastAsia="DengXian" w:hAnsi="Book Antiqua" w:cs="Times New Roman"/>
          <w:i/>
          <w:kern w:val="2"/>
          <w:sz w:val="24"/>
          <w:szCs w:val="24"/>
          <w:lang w:val="en-US" w:eastAsia="zh-CN"/>
        </w:rPr>
        <w:t>Cancer Commun (Lond)</w:t>
      </w:r>
      <w:r w:rsidRPr="00974DEA">
        <w:rPr>
          <w:rFonts w:ascii="Book Antiqua" w:eastAsia="DengXian" w:hAnsi="Book Antiqua" w:cs="Times New Roman"/>
          <w:kern w:val="2"/>
          <w:sz w:val="24"/>
          <w:szCs w:val="24"/>
          <w:lang w:val="en-US" w:eastAsia="zh-CN"/>
        </w:rPr>
        <w:t xml:space="preserve"> 2019; </w:t>
      </w:r>
      <w:r w:rsidRPr="00974DEA">
        <w:rPr>
          <w:rFonts w:ascii="Book Antiqua" w:eastAsia="DengXian" w:hAnsi="Book Antiqua" w:cs="Times New Roman"/>
          <w:b/>
          <w:kern w:val="2"/>
          <w:sz w:val="24"/>
          <w:szCs w:val="24"/>
          <w:lang w:val="en-US" w:eastAsia="zh-CN"/>
        </w:rPr>
        <w:t>39</w:t>
      </w:r>
      <w:r w:rsidRPr="00974DEA">
        <w:rPr>
          <w:rFonts w:ascii="Book Antiqua" w:eastAsia="DengXian" w:hAnsi="Book Antiqua" w:cs="Times New Roman"/>
          <w:kern w:val="2"/>
          <w:sz w:val="24"/>
          <w:szCs w:val="24"/>
          <w:lang w:val="en-US" w:eastAsia="zh-CN"/>
        </w:rPr>
        <w:t>: 26 [PMID: 31068222 DOI: 10.1186/s40880-019-0367-7]</w:t>
      </w:r>
    </w:p>
    <w:p w14:paraId="0798DF76"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31 </w:t>
      </w:r>
      <w:r w:rsidRPr="00974DEA">
        <w:rPr>
          <w:rFonts w:ascii="Book Antiqua" w:eastAsia="DengXian" w:hAnsi="Book Antiqua" w:cs="Times New Roman"/>
          <w:b/>
          <w:kern w:val="2"/>
          <w:sz w:val="24"/>
          <w:szCs w:val="24"/>
          <w:lang w:val="en-US" w:eastAsia="zh-CN"/>
        </w:rPr>
        <w:t>Ozaka M</w:t>
      </w:r>
      <w:r w:rsidRPr="00974DEA">
        <w:rPr>
          <w:rFonts w:ascii="Book Antiqua" w:eastAsia="DengXian" w:hAnsi="Book Antiqua" w:cs="Times New Roman"/>
          <w:kern w:val="2"/>
          <w:sz w:val="24"/>
          <w:szCs w:val="24"/>
          <w:lang w:val="en-US" w:eastAsia="zh-CN"/>
        </w:rPr>
        <w:t xml:space="preserve">, Ishii H, Sato T, Ueno M, Ikeda M, Uesugi K, Sata N, Miyashita K, Mizuno N, Tsuji K, Okusaka T, Furuse J. A phase II study of modified FOLFIRINOX for chemotherapy-naïve patients with metastatic pancreatic cancer. </w:t>
      </w:r>
      <w:r w:rsidRPr="00974DEA">
        <w:rPr>
          <w:rFonts w:ascii="Book Antiqua" w:eastAsia="DengXian" w:hAnsi="Book Antiqua" w:cs="Times New Roman"/>
          <w:i/>
          <w:kern w:val="2"/>
          <w:sz w:val="24"/>
          <w:szCs w:val="24"/>
          <w:lang w:val="en-US" w:eastAsia="zh-CN"/>
        </w:rPr>
        <w:t>Cancer Chemother Pharmacol</w:t>
      </w:r>
      <w:r w:rsidRPr="00974DEA">
        <w:rPr>
          <w:rFonts w:ascii="Book Antiqua" w:eastAsia="DengXian" w:hAnsi="Book Antiqua" w:cs="Times New Roman"/>
          <w:kern w:val="2"/>
          <w:sz w:val="24"/>
          <w:szCs w:val="24"/>
          <w:lang w:val="en-US" w:eastAsia="zh-CN"/>
        </w:rPr>
        <w:t xml:space="preserve"> 2018; </w:t>
      </w:r>
      <w:r w:rsidRPr="00974DEA">
        <w:rPr>
          <w:rFonts w:ascii="Book Antiqua" w:eastAsia="DengXian" w:hAnsi="Book Antiqua" w:cs="Times New Roman"/>
          <w:b/>
          <w:kern w:val="2"/>
          <w:sz w:val="24"/>
          <w:szCs w:val="24"/>
          <w:lang w:val="en-US" w:eastAsia="zh-CN"/>
        </w:rPr>
        <w:t>81</w:t>
      </w:r>
      <w:r w:rsidRPr="00974DEA">
        <w:rPr>
          <w:rFonts w:ascii="Book Antiqua" w:eastAsia="DengXian" w:hAnsi="Book Antiqua" w:cs="Times New Roman"/>
          <w:kern w:val="2"/>
          <w:sz w:val="24"/>
          <w:szCs w:val="24"/>
          <w:lang w:val="en-US" w:eastAsia="zh-CN"/>
        </w:rPr>
        <w:t>: 1017-1023 [PMID: 29633005 DOI: 10.1007/s00280-018-3577-9]</w:t>
      </w:r>
    </w:p>
    <w:p w14:paraId="0EC15D8E"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32 </w:t>
      </w:r>
      <w:r w:rsidRPr="00974DEA">
        <w:rPr>
          <w:rFonts w:ascii="Book Antiqua" w:eastAsia="DengXian" w:hAnsi="Book Antiqua" w:cs="Times New Roman"/>
          <w:b/>
          <w:kern w:val="2"/>
          <w:sz w:val="24"/>
          <w:szCs w:val="24"/>
          <w:lang w:val="en-US" w:eastAsia="zh-CN"/>
        </w:rPr>
        <w:t>Tezuka T</w:t>
      </w:r>
      <w:r w:rsidRPr="00974DEA">
        <w:rPr>
          <w:rFonts w:ascii="Book Antiqua" w:eastAsia="DengXian" w:hAnsi="Book Antiqua" w:cs="Times New Roman"/>
          <w:kern w:val="2"/>
          <w:sz w:val="24"/>
          <w:szCs w:val="24"/>
          <w:lang w:val="en-US" w:eastAsia="zh-CN"/>
        </w:rPr>
        <w:t xml:space="preserve">, Hamada C, Ishida H, Ooshiro M, Matsuoka H, Kawasaki S, Mishima H, Maeda K, Sakamoto J, Koda K. Phase II clinical study of modified FOLFOX7 (intermittent oxaliplatin administration) plus bevacizumab in patients with unresectable metastatic colorectal cancer-CRAFT study. </w:t>
      </w:r>
      <w:r w:rsidRPr="00974DEA">
        <w:rPr>
          <w:rFonts w:ascii="Book Antiqua" w:eastAsia="DengXian" w:hAnsi="Book Antiqua" w:cs="Times New Roman"/>
          <w:i/>
          <w:kern w:val="2"/>
          <w:sz w:val="24"/>
          <w:szCs w:val="24"/>
          <w:lang w:val="en-US" w:eastAsia="zh-CN"/>
        </w:rPr>
        <w:t>Invest New Drugs</w:t>
      </w:r>
      <w:r w:rsidRPr="00974DEA">
        <w:rPr>
          <w:rFonts w:ascii="Book Antiqua" w:eastAsia="DengXian" w:hAnsi="Book Antiqua" w:cs="Times New Roman"/>
          <w:kern w:val="2"/>
          <w:sz w:val="24"/>
          <w:szCs w:val="24"/>
          <w:lang w:val="en-US" w:eastAsia="zh-CN"/>
        </w:rPr>
        <w:t xml:space="preserve"> 2013; </w:t>
      </w:r>
      <w:r w:rsidRPr="00974DEA">
        <w:rPr>
          <w:rFonts w:ascii="Book Antiqua" w:eastAsia="DengXian" w:hAnsi="Book Antiqua" w:cs="Times New Roman"/>
          <w:b/>
          <w:kern w:val="2"/>
          <w:sz w:val="24"/>
          <w:szCs w:val="24"/>
          <w:lang w:val="en-US" w:eastAsia="zh-CN"/>
        </w:rPr>
        <w:t>31</w:t>
      </w:r>
      <w:r w:rsidRPr="00974DEA">
        <w:rPr>
          <w:rFonts w:ascii="Book Antiqua" w:eastAsia="DengXian" w:hAnsi="Book Antiqua" w:cs="Times New Roman"/>
          <w:kern w:val="2"/>
          <w:sz w:val="24"/>
          <w:szCs w:val="24"/>
          <w:lang w:val="en-US" w:eastAsia="zh-CN"/>
        </w:rPr>
        <w:t>: 1321-1329 [PMID: 23817973 DOI: 10.1007/s10637-013-9982-3]</w:t>
      </w:r>
    </w:p>
    <w:p w14:paraId="2B2EC018"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33 </w:t>
      </w:r>
      <w:r w:rsidRPr="00974DEA">
        <w:rPr>
          <w:rFonts w:ascii="Book Antiqua" w:eastAsia="DengXian" w:hAnsi="Book Antiqua" w:cs="Times New Roman"/>
          <w:b/>
          <w:kern w:val="2"/>
          <w:sz w:val="24"/>
          <w:szCs w:val="24"/>
          <w:lang w:val="en-US" w:eastAsia="zh-CN"/>
        </w:rPr>
        <w:t>Stein SM</w:t>
      </w:r>
      <w:r w:rsidRPr="00974DEA">
        <w:rPr>
          <w:rFonts w:ascii="Book Antiqua" w:eastAsia="DengXian" w:hAnsi="Book Antiqua" w:cs="Times New Roman"/>
          <w:kern w:val="2"/>
          <w:sz w:val="24"/>
          <w:szCs w:val="24"/>
          <w:lang w:val="en-US" w:eastAsia="zh-CN"/>
        </w:rPr>
        <w:t xml:space="preserve">, James ES, Deng Y, Cong X, Kortmansky JS, Li J, Staugaard C, Indukala D, Boustani AM, Patel V, Cha CH, Salem RR, Chang B, Hochster HS, Lacy J. Final analysis of a phase II study of modified FOLFIRINOX in locally advanced and metastatic pancreatic cancer. </w:t>
      </w:r>
      <w:r w:rsidRPr="00974DEA">
        <w:rPr>
          <w:rFonts w:ascii="Book Antiqua" w:eastAsia="DengXian" w:hAnsi="Book Antiqua" w:cs="Times New Roman"/>
          <w:i/>
          <w:kern w:val="2"/>
          <w:sz w:val="24"/>
          <w:szCs w:val="24"/>
          <w:lang w:val="en-US" w:eastAsia="zh-CN"/>
        </w:rPr>
        <w:t>Br J Cancer</w:t>
      </w:r>
      <w:r w:rsidRPr="00974DEA">
        <w:rPr>
          <w:rFonts w:ascii="Book Antiqua" w:eastAsia="DengXian" w:hAnsi="Book Antiqua" w:cs="Times New Roman"/>
          <w:kern w:val="2"/>
          <w:sz w:val="24"/>
          <w:szCs w:val="24"/>
          <w:lang w:val="en-US" w:eastAsia="zh-CN"/>
        </w:rPr>
        <w:t xml:space="preserve"> 2016; </w:t>
      </w:r>
      <w:r w:rsidRPr="00974DEA">
        <w:rPr>
          <w:rFonts w:ascii="Book Antiqua" w:eastAsia="DengXian" w:hAnsi="Book Antiqua" w:cs="Times New Roman"/>
          <w:b/>
          <w:kern w:val="2"/>
          <w:sz w:val="24"/>
          <w:szCs w:val="24"/>
          <w:lang w:val="en-US" w:eastAsia="zh-CN"/>
        </w:rPr>
        <w:t>114</w:t>
      </w:r>
      <w:r w:rsidRPr="00974DEA">
        <w:rPr>
          <w:rFonts w:ascii="Book Antiqua" w:eastAsia="DengXian" w:hAnsi="Book Antiqua" w:cs="Times New Roman"/>
          <w:kern w:val="2"/>
          <w:sz w:val="24"/>
          <w:szCs w:val="24"/>
          <w:lang w:val="en-US" w:eastAsia="zh-CN"/>
        </w:rPr>
        <w:t>: 737-743 [PMID: 27022826 DOI: 10.1038/bjc.2016.45]</w:t>
      </w:r>
    </w:p>
    <w:p w14:paraId="3B8C1257"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34 </w:t>
      </w:r>
      <w:r w:rsidRPr="00974DEA">
        <w:rPr>
          <w:rFonts w:ascii="Book Antiqua" w:eastAsia="DengXian" w:hAnsi="Book Antiqua" w:cs="Times New Roman"/>
          <w:b/>
          <w:kern w:val="2"/>
          <w:sz w:val="24"/>
          <w:szCs w:val="24"/>
          <w:lang w:val="en-US" w:eastAsia="zh-CN"/>
        </w:rPr>
        <w:t>Ghorani E</w:t>
      </w:r>
      <w:r w:rsidRPr="00974DEA">
        <w:rPr>
          <w:rFonts w:ascii="Book Antiqua" w:eastAsia="DengXian" w:hAnsi="Book Antiqua" w:cs="Times New Roman"/>
          <w:kern w:val="2"/>
          <w:sz w:val="24"/>
          <w:szCs w:val="24"/>
          <w:lang w:val="en-US" w:eastAsia="zh-CN"/>
        </w:rPr>
        <w:t xml:space="preserve">, Wong HH, Hewitt C, Calder J, Corrie P, Basu B. Safety and Efficacy of </w:t>
      </w:r>
      <w:r w:rsidRPr="00974DEA">
        <w:rPr>
          <w:rFonts w:ascii="Book Antiqua" w:eastAsia="DengXian" w:hAnsi="Book Antiqua" w:cs="Times New Roman"/>
          <w:kern w:val="2"/>
          <w:sz w:val="24"/>
          <w:szCs w:val="24"/>
          <w:lang w:val="en-US" w:eastAsia="zh-CN"/>
        </w:rPr>
        <w:lastRenderedPageBreak/>
        <w:t xml:space="preserve">Modified FOLFIRINOX for Advanced Pancreatic Adenocarcinoma: A UK Single-Centre Experience. </w:t>
      </w:r>
      <w:r w:rsidRPr="00974DEA">
        <w:rPr>
          <w:rFonts w:ascii="Book Antiqua" w:eastAsia="DengXian" w:hAnsi="Book Antiqua" w:cs="Times New Roman"/>
          <w:i/>
          <w:kern w:val="2"/>
          <w:sz w:val="24"/>
          <w:szCs w:val="24"/>
          <w:lang w:val="en-US" w:eastAsia="zh-CN"/>
        </w:rPr>
        <w:t>Oncology</w:t>
      </w:r>
      <w:r w:rsidRPr="00974DEA">
        <w:rPr>
          <w:rFonts w:ascii="Book Antiqua" w:eastAsia="DengXian" w:hAnsi="Book Antiqua" w:cs="Times New Roman"/>
          <w:kern w:val="2"/>
          <w:sz w:val="24"/>
          <w:szCs w:val="24"/>
          <w:lang w:val="en-US" w:eastAsia="zh-CN"/>
        </w:rPr>
        <w:t xml:space="preserve"> 2015; </w:t>
      </w:r>
      <w:r w:rsidRPr="00974DEA">
        <w:rPr>
          <w:rFonts w:ascii="Book Antiqua" w:eastAsia="DengXian" w:hAnsi="Book Antiqua" w:cs="Times New Roman"/>
          <w:b/>
          <w:kern w:val="2"/>
          <w:sz w:val="24"/>
          <w:szCs w:val="24"/>
          <w:lang w:val="en-US" w:eastAsia="zh-CN"/>
        </w:rPr>
        <w:t>89</w:t>
      </w:r>
      <w:r w:rsidRPr="00974DEA">
        <w:rPr>
          <w:rFonts w:ascii="Book Antiqua" w:eastAsia="DengXian" w:hAnsi="Book Antiqua" w:cs="Times New Roman"/>
          <w:kern w:val="2"/>
          <w:sz w:val="24"/>
          <w:szCs w:val="24"/>
          <w:lang w:val="en-US" w:eastAsia="zh-CN"/>
        </w:rPr>
        <w:t>: 281-287 [PMID: 26372905 DOI: 10.1159/000439171]</w:t>
      </w:r>
    </w:p>
    <w:p w14:paraId="07A8613C"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35 </w:t>
      </w:r>
      <w:r w:rsidRPr="00974DEA">
        <w:rPr>
          <w:rFonts w:ascii="Book Antiqua" w:eastAsia="DengXian" w:hAnsi="Book Antiqua" w:cs="Times New Roman"/>
          <w:b/>
          <w:kern w:val="2"/>
          <w:sz w:val="24"/>
          <w:szCs w:val="24"/>
          <w:lang w:val="en-US" w:eastAsia="zh-CN"/>
        </w:rPr>
        <w:t>Cavanna L</w:t>
      </w:r>
      <w:r w:rsidRPr="00974DEA">
        <w:rPr>
          <w:rFonts w:ascii="Book Antiqua" w:eastAsia="DengXian" w:hAnsi="Book Antiqua" w:cs="Times New Roman"/>
          <w:kern w:val="2"/>
          <w:sz w:val="24"/>
          <w:szCs w:val="24"/>
          <w:lang w:val="en-US" w:eastAsia="zh-CN"/>
        </w:rPr>
        <w:t xml:space="preserve">, Stroppa EM, Citterio C, Mordenti P, Di Nunzio C, Peveri S, Orlandi E, Vecchia S. Modified FOLFIRINOX for unresectable locally advanced/metastatic pancreatic cancer. A real-world comparison of an attenuated with a full dose in a single center experience. </w:t>
      </w:r>
      <w:r w:rsidRPr="00974DEA">
        <w:rPr>
          <w:rFonts w:ascii="Book Antiqua" w:eastAsia="DengXian" w:hAnsi="Book Antiqua" w:cs="Times New Roman"/>
          <w:i/>
          <w:kern w:val="2"/>
          <w:sz w:val="24"/>
          <w:szCs w:val="24"/>
          <w:lang w:val="en-US" w:eastAsia="zh-CN"/>
        </w:rPr>
        <w:t>Onco Targets Ther</w:t>
      </w:r>
      <w:r w:rsidRPr="00974DEA">
        <w:rPr>
          <w:rFonts w:ascii="Book Antiqua" w:eastAsia="DengXian" w:hAnsi="Book Antiqua" w:cs="Times New Roman"/>
          <w:kern w:val="2"/>
          <w:sz w:val="24"/>
          <w:szCs w:val="24"/>
          <w:lang w:val="en-US" w:eastAsia="zh-CN"/>
        </w:rPr>
        <w:t xml:space="preserve"> 2019; </w:t>
      </w:r>
      <w:r w:rsidRPr="00974DEA">
        <w:rPr>
          <w:rFonts w:ascii="Book Antiqua" w:eastAsia="DengXian" w:hAnsi="Book Antiqua" w:cs="Times New Roman"/>
          <w:b/>
          <w:kern w:val="2"/>
          <w:sz w:val="24"/>
          <w:szCs w:val="24"/>
          <w:lang w:val="en-US" w:eastAsia="zh-CN"/>
        </w:rPr>
        <w:t>12</w:t>
      </w:r>
      <w:r w:rsidRPr="00974DEA">
        <w:rPr>
          <w:rFonts w:ascii="Book Antiqua" w:eastAsia="DengXian" w:hAnsi="Book Antiqua" w:cs="Times New Roman"/>
          <w:kern w:val="2"/>
          <w:sz w:val="24"/>
          <w:szCs w:val="24"/>
          <w:lang w:val="en-US" w:eastAsia="zh-CN"/>
        </w:rPr>
        <w:t>: 3077-3085 [PMID: 31118666 DOI: 10.2147/OTT.S200754]</w:t>
      </w:r>
    </w:p>
    <w:p w14:paraId="61A6F52A"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36 </w:t>
      </w:r>
      <w:r w:rsidRPr="00974DEA">
        <w:rPr>
          <w:rFonts w:ascii="Book Antiqua" w:eastAsia="DengXian" w:hAnsi="Book Antiqua" w:cs="Times New Roman"/>
          <w:b/>
          <w:kern w:val="2"/>
          <w:sz w:val="24"/>
          <w:szCs w:val="24"/>
          <w:lang w:val="en-US" w:eastAsia="zh-CN"/>
        </w:rPr>
        <w:t>Gruenberger T</w:t>
      </w:r>
      <w:r w:rsidRPr="00974DEA">
        <w:rPr>
          <w:rFonts w:ascii="Book Antiqua" w:eastAsia="DengXian" w:hAnsi="Book Antiqua" w:cs="Times New Roman"/>
          <w:kern w:val="2"/>
          <w:sz w:val="24"/>
          <w:szCs w:val="24"/>
          <w:lang w:val="en-US" w:eastAsia="zh-CN"/>
        </w:rPr>
        <w:t xml:space="preserve">, Bridgewater J, Chau I, García Alfonso P, Rivoire M, Mudan S, Lasserre S, Hermann F, Waterkamp D, Adam R. Bevacizumab plus mFOLFOX-6 or FOLFOXIRI in patients with initially unresectable liver metastases from colorectal cancer: the OLIVIA multinational randomised phase II trial. </w:t>
      </w:r>
      <w:r w:rsidRPr="00974DEA">
        <w:rPr>
          <w:rFonts w:ascii="Book Antiqua" w:eastAsia="DengXian" w:hAnsi="Book Antiqua" w:cs="Times New Roman"/>
          <w:i/>
          <w:kern w:val="2"/>
          <w:sz w:val="24"/>
          <w:szCs w:val="24"/>
          <w:lang w:val="en-US" w:eastAsia="zh-CN"/>
        </w:rPr>
        <w:t>Ann Oncol</w:t>
      </w:r>
      <w:r w:rsidRPr="00974DEA">
        <w:rPr>
          <w:rFonts w:ascii="Book Antiqua" w:eastAsia="DengXian" w:hAnsi="Book Antiqua" w:cs="Times New Roman"/>
          <w:kern w:val="2"/>
          <w:sz w:val="24"/>
          <w:szCs w:val="24"/>
          <w:lang w:val="en-US" w:eastAsia="zh-CN"/>
        </w:rPr>
        <w:t xml:space="preserve"> 2015; </w:t>
      </w:r>
      <w:r w:rsidRPr="00974DEA">
        <w:rPr>
          <w:rFonts w:ascii="Book Antiqua" w:eastAsia="DengXian" w:hAnsi="Book Antiqua" w:cs="Times New Roman"/>
          <w:b/>
          <w:kern w:val="2"/>
          <w:sz w:val="24"/>
          <w:szCs w:val="24"/>
          <w:lang w:val="en-US" w:eastAsia="zh-CN"/>
        </w:rPr>
        <w:t>26</w:t>
      </w:r>
      <w:r w:rsidRPr="00974DEA">
        <w:rPr>
          <w:rFonts w:ascii="Book Antiqua" w:eastAsia="DengXian" w:hAnsi="Book Antiqua" w:cs="Times New Roman"/>
          <w:kern w:val="2"/>
          <w:sz w:val="24"/>
          <w:szCs w:val="24"/>
          <w:lang w:val="en-US" w:eastAsia="zh-CN"/>
        </w:rPr>
        <w:t>: 702-708 [PMID: 25538173 DOI: 10.1093/annonc/mdu580]</w:t>
      </w:r>
    </w:p>
    <w:p w14:paraId="5D183934"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37 </w:t>
      </w:r>
      <w:r w:rsidRPr="00974DEA">
        <w:rPr>
          <w:rFonts w:ascii="Book Antiqua" w:eastAsia="DengXian" w:hAnsi="Book Antiqua" w:cs="Times New Roman"/>
          <w:b/>
          <w:kern w:val="2"/>
          <w:sz w:val="24"/>
          <w:szCs w:val="24"/>
          <w:lang w:val="en-US" w:eastAsia="zh-CN"/>
        </w:rPr>
        <w:t>Okusaka T</w:t>
      </w:r>
      <w:r w:rsidRPr="00974DEA">
        <w:rPr>
          <w:rFonts w:ascii="Book Antiqua" w:eastAsia="DengXian" w:hAnsi="Book Antiqua" w:cs="Times New Roman"/>
          <w:kern w:val="2"/>
          <w:sz w:val="24"/>
          <w:szCs w:val="24"/>
          <w:lang w:val="en-US" w:eastAsia="zh-CN"/>
        </w:rPr>
        <w:t xml:space="preserve">, Ikeda M, Fukutomi A, Ioka T, Furuse J, Ohkawa S, Isayama H, Boku N. Phase II study of FOLFIRINOX for chemotherapy-naïve Japanese patients with metastatic pancreatic cancer. </w:t>
      </w:r>
      <w:r w:rsidRPr="00974DEA">
        <w:rPr>
          <w:rFonts w:ascii="Book Antiqua" w:eastAsia="DengXian" w:hAnsi="Book Antiqua" w:cs="Times New Roman"/>
          <w:i/>
          <w:kern w:val="2"/>
          <w:sz w:val="24"/>
          <w:szCs w:val="24"/>
          <w:lang w:val="en-US" w:eastAsia="zh-CN"/>
        </w:rPr>
        <w:t>Cancer Sci</w:t>
      </w:r>
      <w:r w:rsidRPr="00974DEA">
        <w:rPr>
          <w:rFonts w:ascii="Book Antiqua" w:eastAsia="DengXian" w:hAnsi="Book Antiqua" w:cs="Times New Roman"/>
          <w:kern w:val="2"/>
          <w:sz w:val="24"/>
          <w:szCs w:val="24"/>
          <w:lang w:val="en-US" w:eastAsia="zh-CN"/>
        </w:rPr>
        <w:t xml:space="preserve"> 2014; </w:t>
      </w:r>
      <w:r w:rsidRPr="00974DEA">
        <w:rPr>
          <w:rFonts w:ascii="Book Antiqua" w:eastAsia="DengXian" w:hAnsi="Book Antiqua" w:cs="Times New Roman"/>
          <w:b/>
          <w:kern w:val="2"/>
          <w:sz w:val="24"/>
          <w:szCs w:val="24"/>
          <w:lang w:val="en-US" w:eastAsia="zh-CN"/>
        </w:rPr>
        <w:t>105</w:t>
      </w:r>
      <w:r w:rsidRPr="00974DEA">
        <w:rPr>
          <w:rFonts w:ascii="Book Antiqua" w:eastAsia="DengXian" w:hAnsi="Book Antiqua" w:cs="Times New Roman"/>
          <w:kern w:val="2"/>
          <w:sz w:val="24"/>
          <w:szCs w:val="24"/>
          <w:lang w:val="en-US" w:eastAsia="zh-CN"/>
        </w:rPr>
        <w:t>: 1321-1326 [PMID: 25117729 DOI: 10.1111/cas.12501]</w:t>
      </w:r>
    </w:p>
    <w:p w14:paraId="05575DC8"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38 </w:t>
      </w:r>
      <w:r w:rsidRPr="00974DEA">
        <w:rPr>
          <w:rFonts w:ascii="Book Antiqua" w:eastAsia="DengXian" w:hAnsi="Book Antiqua" w:cs="Times New Roman"/>
          <w:b/>
          <w:kern w:val="2"/>
          <w:sz w:val="24"/>
          <w:szCs w:val="24"/>
          <w:lang w:val="en-US" w:eastAsia="zh-CN"/>
        </w:rPr>
        <w:t>Rouits E</w:t>
      </w:r>
      <w:r w:rsidRPr="00974DEA">
        <w:rPr>
          <w:rFonts w:ascii="Book Antiqua" w:eastAsia="DengXian" w:hAnsi="Book Antiqua" w:cs="Times New Roman"/>
          <w:kern w:val="2"/>
          <w:sz w:val="24"/>
          <w:szCs w:val="24"/>
          <w:lang w:val="en-US" w:eastAsia="zh-CN"/>
        </w:rPr>
        <w:t xml:space="preserve">, Boisdron-Celle M, Dumont A, Guérin O, Morel A, Gamelin E. Relevance of different UGT1A1 polymorphisms in irinotecan-induced toxicity: a molecular and clinical study of 75 patients. </w:t>
      </w:r>
      <w:r w:rsidRPr="00974DEA">
        <w:rPr>
          <w:rFonts w:ascii="Book Antiqua" w:eastAsia="DengXian" w:hAnsi="Book Antiqua" w:cs="Times New Roman"/>
          <w:i/>
          <w:kern w:val="2"/>
          <w:sz w:val="24"/>
          <w:szCs w:val="24"/>
          <w:lang w:val="en-US" w:eastAsia="zh-CN"/>
        </w:rPr>
        <w:t>Clin Cancer Res</w:t>
      </w:r>
      <w:r w:rsidRPr="00974DEA">
        <w:rPr>
          <w:rFonts w:ascii="Book Antiqua" w:eastAsia="DengXian" w:hAnsi="Book Antiqua" w:cs="Times New Roman"/>
          <w:kern w:val="2"/>
          <w:sz w:val="24"/>
          <w:szCs w:val="24"/>
          <w:lang w:val="en-US" w:eastAsia="zh-CN"/>
        </w:rPr>
        <w:t xml:space="preserve"> 2004; </w:t>
      </w:r>
      <w:r w:rsidRPr="00974DEA">
        <w:rPr>
          <w:rFonts w:ascii="Book Antiqua" w:eastAsia="DengXian" w:hAnsi="Book Antiqua" w:cs="Times New Roman"/>
          <w:b/>
          <w:kern w:val="2"/>
          <w:sz w:val="24"/>
          <w:szCs w:val="24"/>
          <w:lang w:val="en-US" w:eastAsia="zh-CN"/>
        </w:rPr>
        <w:t>10</w:t>
      </w:r>
      <w:r w:rsidRPr="00974DEA">
        <w:rPr>
          <w:rFonts w:ascii="Book Antiqua" w:eastAsia="DengXian" w:hAnsi="Book Antiqua" w:cs="Times New Roman"/>
          <w:kern w:val="2"/>
          <w:sz w:val="24"/>
          <w:szCs w:val="24"/>
          <w:lang w:val="en-US" w:eastAsia="zh-CN"/>
        </w:rPr>
        <w:t>: 5151-5159 [PMID: 15297419 DOI: 10.1158/1078-0432.CCR-03-0548]</w:t>
      </w:r>
    </w:p>
    <w:p w14:paraId="03B565A0"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39 </w:t>
      </w:r>
      <w:r w:rsidRPr="00974DEA">
        <w:rPr>
          <w:rFonts w:ascii="Book Antiqua" w:eastAsia="DengXian" w:hAnsi="Book Antiqua" w:cs="Times New Roman"/>
          <w:b/>
          <w:kern w:val="2"/>
          <w:sz w:val="24"/>
          <w:szCs w:val="24"/>
          <w:lang w:val="en-US" w:eastAsia="zh-CN"/>
        </w:rPr>
        <w:t>Shirasu H</w:t>
      </w:r>
      <w:r w:rsidRPr="00974DEA">
        <w:rPr>
          <w:rFonts w:ascii="Book Antiqua" w:eastAsia="DengXian" w:hAnsi="Book Antiqua" w:cs="Times New Roman"/>
          <w:kern w:val="2"/>
          <w:sz w:val="24"/>
          <w:szCs w:val="24"/>
          <w:lang w:val="en-US" w:eastAsia="zh-CN"/>
        </w:rPr>
        <w:t xml:space="preserve">, Todaka A, Omae K, Fujii H, Mizuno N, Ozaka M, Ueno H, Kobayashi S, Uesugi K, Kobayashi N, Hayashi H, Sudo K, Okano N, Horita Y, Kamei K, Yukisawa S, Kobayashi M, Fukutomi A. Impact of UGT1A1 genetic polymorphism on toxicity in unresectable pancreatic cancer patients undergoing FOLFIRINOX. </w:t>
      </w:r>
      <w:r w:rsidRPr="00974DEA">
        <w:rPr>
          <w:rFonts w:ascii="Book Antiqua" w:eastAsia="DengXian" w:hAnsi="Book Antiqua" w:cs="Times New Roman"/>
          <w:i/>
          <w:kern w:val="2"/>
          <w:sz w:val="24"/>
          <w:szCs w:val="24"/>
          <w:lang w:val="en-US" w:eastAsia="zh-CN"/>
        </w:rPr>
        <w:t>Cancer Sci</w:t>
      </w:r>
      <w:r w:rsidRPr="00974DEA">
        <w:rPr>
          <w:rFonts w:ascii="Book Antiqua" w:eastAsia="DengXian" w:hAnsi="Book Antiqua" w:cs="Times New Roman"/>
          <w:kern w:val="2"/>
          <w:sz w:val="24"/>
          <w:szCs w:val="24"/>
          <w:lang w:val="en-US" w:eastAsia="zh-CN"/>
        </w:rPr>
        <w:t xml:space="preserve"> 2019; </w:t>
      </w:r>
      <w:r w:rsidRPr="00974DEA">
        <w:rPr>
          <w:rFonts w:ascii="Book Antiqua" w:eastAsia="DengXian" w:hAnsi="Book Antiqua" w:cs="Times New Roman"/>
          <w:b/>
          <w:kern w:val="2"/>
          <w:sz w:val="24"/>
          <w:szCs w:val="24"/>
          <w:lang w:val="en-US" w:eastAsia="zh-CN"/>
        </w:rPr>
        <w:t>110</w:t>
      </w:r>
      <w:r w:rsidRPr="00974DEA">
        <w:rPr>
          <w:rFonts w:ascii="Book Antiqua" w:eastAsia="DengXian" w:hAnsi="Book Antiqua" w:cs="Times New Roman"/>
          <w:kern w:val="2"/>
          <w:sz w:val="24"/>
          <w:szCs w:val="24"/>
          <w:lang w:val="en-US" w:eastAsia="zh-CN"/>
        </w:rPr>
        <w:t>: 707-716 [PMID: 30447099 DOI: 10.1111/cas.13883]</w:t>
      </w:r>
    </w:p>
    <w:p w14:paraId="610865CB"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40 </w:t>
      </w:r>
      <w:r w:rsidRPr="00974DEA">
        <w:rPr>
          <w:rFonts w:ascii="Book Antiqua" w:eastAsia="DengXian" w:hAnsi="Book Antiqua" w:cs="Times New Roman"/>
          <w:b/>
          <w:kern w:val="2"/>
          <w:sz w:val="24"/>
          <w:szCs w:val="24"/>
          <w:lang w:val="en-US" w:eastAsia="zh-CN"/>
        </w:rPr>
        <w:t>Amstutz U</w:t>
      </w:r>
      <w:r w:rsidRPr="00974DEA">
        <w:rPr>
          <w:rFonts w:ascii="Book Antiqua" w:eastAsia="DengXian" w:hAnsi="Book Antiqua" w:cs="Times New Roman"/>
          <w:kern w:val="2"/>
          <w:sz w:val="24"/>
          <w:szCs w:val="24"/>
          <w:lang w:val="en-US" w:eastAsia="zh-CN"/>
        </w:rPr>
        <w:t xml:space="preserve">, Froehlich TK, Largiadèr CR. Dihydropyrimidine dehydrogenase gene as a major predictor of severe 5-fluorouracil toxicity. </w:t>
      </w:r>
      <w:r w:rsidRPr="00974DEA">
        <w:rPr>
          <w:rFonts w:ascii="Book Antiqua" w:eastAsia="DengXian" w:hAnsi="Book Antiqua" w:cs="Times New Roman"/>
          <w:i/>
          <w:kern w:val="2"/>
          <w:sz w:val="24"/>
          <w:szCs w:val="24"/>
          <w:lang w:val="en-US" w:eastAsia="zh-CN"/>
        </w:rPr>
        <w:t>Pharmacogenomics</w:t>
      </w:r>
      <w:r w:rsidRPr="00974DEA">
        <w:rPr>
          <w:rFonts w:ascii="Book Antiqua" w:eastAsia="DengXian" w:hAnsi="Book Antiqua" w:cs="Times New Roman"/>
          <w:kern w:val="2"/>
          <w:sz w:val="24"/>
          <w:szCs w:val="24"/>
          <w:lang w:val="en-US" w:eastAsia="zh-CN"/>
        </w:rPr>
        <w:t xml:space="preserve"> 2011; </w:t>
      </w:r>
      <w:r w:rsidRPr="00974DEA">
        <w:rPr>
          <w:rFonts w:ascii="Book Antiqua" w:eastAsia="DengXian" w:hAnsi="Book Antiqua" w:cs="Times New Roman"/>
          <w:b/>
          <w:kern w:val="2"/>
          <w:sz w:val="24"/>
          <w:szCs w:val="24"/>
          <w:lang w:val="en-US" w:eastAsia="zh-CN"/>
        </w:rPr>
        <w:t>12</w:t>
      </w:r>
      <w:r w:rsidRPr="00974DEA">
        <w:rPr>
          <w:rFonts w:ascii="Book Antiqua" w:eastAsia="DengXian" w:hAnsi="Book Antiqua" w:cs="Times New Roman"/>
          <w:kern w:val="2"/>
          <w:sz w:val="24"/>
          <w:szCs w:val="24"/>
          <w:lang w:val="en-US" w:eastAsia="zh-CN"/>
        </w:rPr>
        <w:t>: 1321-1336 [PMID: 21919607 DOI: 10.2217/pgs.11.72]</w:t>
      </w:r>
    </w:p>
    <w:p w14:paraId="1A35FF34"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41 </w:t>
      </w:r>
      <w:r w:rsidRPr="00974DEA">
        <w:rPr>
          <w:rFonts w:ascii="Book Antiqua" w:eastAsia="DengXian" w:hAnsi="Book Antiqua" w:cs="Times New Roman"/>
          <w:b/>
          <w:kern w:val="2"/>
          <w:sz w:val="24"/>
          <w:szCs w:val="24"/>
          <w:lang w:val="en-US" w:eastAsia="zh-CN"/>
        </w:rPr>
        <w:t>Henricks LM</w:t>
      </w:r>
      <w:r w:rsidRPr="00974DEA">
        <w:rPr>
          <w:rFonts w:ascii="Book Antiqua" w:eastAsia="DengXian" w:hAnsi="Book Antiqua" w:cs="Times New Roman"/>
          <w:kern w:val="2"/>
          <w:sz w:val="24"/>
          <w:szCs w:val="24"/>
          <w:lang w:val="en-US" w:eastAsia="zh-CN"/>
        </w:rPr>
        <w:t xml:space="preserve">, Lunenburg CATC, de Man FM, Meulendijks D, Frederix GWJ, Kienhuis E, Creemers GJ, Baars A, Dezentjé VO, Imholz ALT, Jeurissen FJF, Portielje JEA, Jansen RLH, Hamberg P, Ten Tije AJ, Droogendijk HJ, Koopman M, Nieboer P, </w:t>
      </w:r>
      <w:r w:rsidRPr="00974DEA">
        <w:rPr>
          <w:rFonts w:ascii="Book Antiqua" w:eastAsia="DengXian" w:hAnsi="Book Antiqua" w:cs="Times New Roman"/>
          <w:kern w:val="2"/>
          <w:sz w:val="24"/>
          <w:szCs w:val="24"/>
          <w:lang w:val="en-US" w:eastAsia="zh-CN"/>
        </w:rPr>
        <w:lastRenderedPageBreak/>
        <w:t xml:space="preserve">van de Poel MHW, Mandigers CMPW, Rosing H, Beijnen JH, Werkhoven EV, van Kuilenburg ABP, van Schaik RHN, Mathijssen RHJ, Swen JJ, Gelderblom H, Cats A, Guchelaar HJ, Schellens JHM. DPYD genotype-guided dose individualisation of fluoropyrimidine therapy in patients with cancer: a prospective safety analysis. </w:t>
      </w:r>
      <w:r w:rsidRPr="00974DEA">
        <w:rPr>
          <w:rFonts w:ascii="Book Antiqua" w:eastAsia="DengXian" w:hAnsi="Book Antiqua" w:cs="Times New Roman"/>
          <w:i/>
          <w:kern w:val="2"/>
          <w:sz w:val="24"/>
          <w:szCs w:val="24"/>
          <w:lang w:val="en-US" w:eastAsia="zh-CN"/>
        </w:rPr>
        <w:t>Lancet Oncol</w:t>
      </w:r>
      <w:r w:rsidRPr="00974DEA">
        <w:rPr>
          <w:rFonts w:ascii="Book Antiqua" w:eastAsia="DengXian" w:hAnsi="Book Antiqua" w:cs="Times New Roman"/>
          <w:kern w:val="2"/>
          <w:sz w:val="24"/>
          <w:szCs w:val="24"/>
          <w:lang w:val="en-US" w:eastAsia="zh-CN"/>
        </w:rPr>
        <w:t xml:space="preserve"> 2018; </w:t>
      </w:r>
      <w:r w:rsidRPr="00974DEA">
        <w:rPr>
          <w:rFonts w:ascii="Book Antiqua" w:eastAsia="DengXian" w:hAnsi="Book Antiqua" w:cs="Times New Roman"/>
          <w:b/>
          <w:kern w:val="2"/>
          <w:sz w:val="24"/>
          <w:szCs w:val="24"/>
          <w:lang w:val="en-US" w:eastAsia="zh-CN"/>
        </w:rPr>
        <w:t>19</w:t>
      </w:r>
      <w:r w:rsidRPr="00974DEA">
        <w:rPr>
          <w:rFonts w:ascii="Book Antiqua" w:eastAsia="DengXian" w:hAnsi="Book Antiqua" w:cs="Times New Roman"/>
          <w:kern w:val="2"/>
          <w:sz w:val="24"/>
          <w:szCs w:val="24"/>
          <w:lang w:val="en-US" w:eastAsia="zh-CN"/>
        </w:rPr>
        <w:t>: 1459-1467 [PMID: 30348537 DOI: 10.1016/S1470-2045(18)30686-7]</w:t>
      </w:r>
    </w:p>
    <w:p w14:paraId="248C3B4B"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42 </w:t>
      </w:r>
      <w:r w:rsidRPr="00974DEA">
        <w:rPr>
          <w:rFonts w:ascii="Book Antiqua" w:eastAsia="DengXian" w:hAnsi="Book Antiqua" w:cs="Times New Roman"/>
          <w:b/>
          <w:kern w:val="2"/>
          <w:sz w:val="24"/>
          <w:szCs w:val="24"/>
          <w:lang w:val="en-US" w:eastAsia="zh-CN"/>
        </w:rPr>
        <w:t>Meulendijks D</w:t>
      </w:r>
      <w:r w:rsidRPr="00974DEA">
        <w:rPr>
          <w:rFonts w:ascii="Book Antiqua" w:eastAsia="DengXian" w:hAnsi="Book Antiqua" w:cs="Times New Roman"/>
          <w:kern w:val="2"/>
          <w:sz w:val="24"/>
          <w:szCs w:val="24"/>
          <w:lang w:val="en-US" w:eastAsia="zh-CN"/>
        </w:rPr>
        <w:t xml:space="preserve">, Henricks LM, Jacobs BAW, Aliev A, Deenen MJ, de Vries N, Rosing H, van Werkhoven E, de Boer A, Beijnen JH, Mandigers CMPW, Soesan M, Cats A, Schellens JHM. Pretreatment serum uracil concentration as a predictor of severe and fatal fluoropyrimidine-associated toxicity. </w:t>
      </w:r>
      <w:r w:rsidRPr="00974DEA">
        <w:rPr>
          <w:rFonts w:ascii="Book Antiqua" w:eastAsia="DengXian" w:hAnsi="Book Antiqua" w:cs="Times New Roman"/>
          <w:i/>
          <w:kern w:val="2"/>
          <w:sz w:val="24"/>
          <w:szCs w:val="24"/>
          <w:lang w:val="en-US" w:eastAsia="zh-CN"/>
        </w:rPr>
        <w:t>Br J Cancer</w:t>
      </w:r>
      <w:r w:rsidRPr="00974DEA">
        <w:rPr>
          <w:rFonts w:ascii="Book Antiqua" w:eastAsia="DengXian" w:hAnsi="Book Antiqua" w:cs="Times New Roman"/>
          <w:kern w:val="2"/>
          <w:sz w:val="24"/>
          <w:szCs w:val="24"/>
          <w:lang w:val="en-US" w:eastAsia="zh-CN"/>
        </w:rPr>
        <w:t xml:space="preserve"> 2017; </w:t>
      </w:r>
      <w:r w:rsidRPr="00974DEA">
        <w:rPr>
          <w:rFonts w:ascii="Book Antiqua" w:eastAsia="DengXian" w:hAnsi="Book Antiqua" w:cs="Times New Roman"/>
          <w:b/>
          <w:kern w:val="2"/>
          <w:sz w:val="24"/>
          <w:szCs w:val="24"/>
          <w:lang w:val="en-US" w:eastAsia="zh-CN"/>
        </w:rPr>
        <w:t>116</w:t>
      </w:r>
      <w:r w:rsidRPr="00974DEA">
        <w:rPr>
          <w:rFonts w:ascii="Book Antiqua" w:eastAsia="DengXian" w:hAnsi="Book Antiqua" w:cs="Times New Roman"/>
          <w:kern w:val="2"/>
          <w:sz w:val="24"/>
          <w:szCs w:val="24"/>
          <w:lang w:val="en-US" w:eastAsia="zh-CN"/>
        </w:rPr>
        <w:t>: 1415-1424 [PMID: 28427087 DOI: 10.1038/bjc.2017.94]</w:t>
      </w:r>
    </w:p>
    <w:p w14:paraId="32CB7813" w14:textId="77777777" w:rsidR="00974DEA" w:rsidRPr="00974DEA" w:rsidRDefault="00974DEA" w:rsidP="00974DEA">
      <w:pPr>
        <w:widowControl w:val="0"/>
        <w:spacing w:after="0" w:line="360" w:lineRule="auto"/>
        <w:jc w:val="both"/>
        <w:rPr>
          <w:rFonts w:ascii="Book Antiqua" w:eastAsia="DengXian" w:hAnsi="Book Antiqua" w:cs="Times New Roman"/>
          <w:kern w:val="2"/>
          <w:sz w:val="24"/>
          <w:szCs w:val="24"/>
          <w:lang w:val="en-US" w:eastAsia="zh-CN"/>
        </w:rPr>
      </w:pPr>
      <w:r w:rsidRPr="00974DEA">
        <w:rPr>
          <w:rFonts w:ascii="Book Antiqua" w:eastAsia="DengXian" w:hAnsi="Book Antiqua" w:cs="Times New Roman"/>
          <w:kern w:val="2"/>
          <w:sz w:val="24"/>
          <w:szCs w:val="24"/>
          <w:lang w:val="en-US" w:eastAsia="zh-CN"/>
        </w:rPr>
        <w:t xml:space="preserve">43 </w:t>
      </w:r>
      <w:r w:rsidRPr="00974DEA">
        <w:rPr>
          <w:rFonts w:ascii="Book Antiqua" w:eastAsia="DengXian" w:hAnsi="Book Antiqua" w:cs="Times New Roman"/>
          <w:b/>
          <w:kern w:val="2"/>
          <w:sz w:val="24"/>
          <w:szCs w:val="24"/>
          <w:lang w:val="en-US" w:eastAsia="zh-CN"/>
        </w:rPr>
        <w:t>Cremolini C</w:t>
      </w:r>
      <w:r w:rsidRPr="00974DEA">
        <w:rPr>
          <w:rFonts w:ascii="Book Antiqua" w:eastAsia="DengXian" w:hAnsi="Book Antiqua" w:cs="Times New Roman"/>
          <w:kern w:val="2"/>
          <w:sz w:val="24"/>
          <w:szCs w:val="24"/>
          <w:lang w:val="en-US" w:eastAsia="zh-CN"/>
        </w:rPr>
        <w:t xml:space="preserve">, Del Re M, Antoniotti C, Lonardi S, Bergamo F, Loupakis F, Borelli B, Marmorino F, Citi V, Cortesi E, Moretto R, Ronzoni M, Tomasello G, Zaniboni A, Racca P, Buonadonna A, Allegrini G, Ricci V, Di Donato S, Zagonel V, Boni L, Falcone A, Danesi R. </w:t>
      </w:r>
      <w:r w:rsidRPr="00974DEA">
        <w:rPr>
          <w:rFonts w:ascii="Book Antiqua" w:eastAsia="DengXian" w:hAnsi="Book Antiqua" w:cs="Times New Roman"/>
          <w:i/>
          <w:kern w:val="2"/>
          <w:sz w:val="24"/>
          <w:szCs w:val="24"/>
          <w:lang w:val="en-US" w:eastAsia="zh-CN"/>
        </w:rPr>
        <w:t>DPYD</w:t>
      </w:r>
      <w:r w:rsidRPr="00974DEA">
        <w:rPr>
          <w:rFonts w:ascii="Book Antiqua" w:eastAsia="DengXian" w:hAnsi="Book Antiqua" w:cs="Times New Roman"/>
          <w:kern w:val="2"/>
          <w:sz w:val="24"/>
          <w:szCs w:val="24"/>
          <w:lang w:val="en-US" w:eastAsia="zh-CN"/>
        </w:rPr>
        <w:t xml:space="preserve"> and </w:t>
      </w:r>
      <w:r w:rsidRPr="00974DEA">
        <w:rPr>
          <w:rFonts w:ascii="Book Antiqua" w:eastAsia="DengXian" w:hAnsi="Book Antiqua" w:cs="Times New Roman"/>
          <w:i/>
          <w:kern w:val="2"/>
          <w:sz w:val="24"/>
          <w:szCs w:val="24"/>
          <w:lang w:val="en-US" w:eastAsia="zh-CN"/>
        </w:rPr>
        <w:t>UGT1A1</w:t>
      </w:r>
      <w:r w:rsidRPr="00974DEA">
        <w:rPr>
          <w:rFonts w:ascii="Book Antiqua" w:eastAsia="DengXian" w:hAnsi="Book Antiqua" w:cs="Times New Roman"/>
          <w:kern w:val="2"/>
          <w:sz w:val="24"/>
          <w:szCs w:val="24"/>
          <w:lang w:val="en-US" w:eastAsia="zh-CN"/>
        </w:rPr>
        <w:t xml:space="preserve"> genotyping to predict adverse events during first-line FOLFIRI or FOLFOXIRI plus bevacizumab in metastatic colorectal cancer. </w:t>
      </w:r>
      <w:r w:rsidRPr="00974DEA">
        <w:rPr>
          <w:rFonts w:ascii="Book Antiqua" w:eastAsia="DengXian" w:hAnsi="Book Antiqua" w:cs="Times New Roman"/>
          <w:i/>
          <w:kern w:val="2"/>
          <w:sz w:val="24"/>
          <w:szCs w:val="24"/>
          <w:lang w:val="en-US" w:eastAsia="zh-CN"/>
        </w:rPr>
        <w:t>Oncotarget</w:t>
      </w:r>
      <w:r w:rsidRPr="00974DEA">
        <w:rPr>
          <w:rFonts w:ascii="Book Antiqua" w:eastAsia="DengXian" w:hAnsi="Book Antiqua" w:cs="Times New Roman"/>
          <w:kern w:val="2"/>
          <w:sz w:val="24"/>
          <w:szCs w:val="24"/>
          <w:lang w:val="en-US" w:eastAsia="zh-CN"/>
        </w:rPr>
        <w:t xml:space="preserve"> 2018; </w:t>
      </w:r>
      <w:r w:rsidRPr="00974DEA">
        <w:rPr>
          <w:rFonts w:ascii="Book Antiqua" w:eastAsia="DengXian" w:hAnsi="Book Antiqua" w:cs="Times New Roman"/>
          <w:b/>
          <w:kern w:val="2"/>
          <w:sz w:val="24"/>
          <w:szCs w:val="24"/>
          <w:lang w:val="en-US" w:eastAsia="zh-CN"/>
        </w:rPr>
        <w:t>9</w:t>
      </w:r>
      <w:r w:rsidRPr="00974DEA">
        <w:rPr>
          <w:rFonts w:ascii="Book Antiqua" w:eastAsia="DengXian" w:hAnsi="Book Antiqua" w:cs="Times New Roman"/>
          <w:kern w:val="2"/>
          <w:sz w:val="24"/>
          <w:szCs w:val="24"/>
          <w:lang w:val="en-US" w:eastAsia="zh-CN"/>
        </w:rPr>
        <w:t>: 7859-7866 [PMID: 29487697 DOI: 10.18632/oncotarget.23559]</w:t>
      </w:r>
    </w:p>
    <w:p w14:paraId="2DCC1180" w14:textId="733414C2" w:rsidR="00864BDB" w:rsidRDefault="00864BDB" w:rsidP="00864BDB">
      <w:pPr>
        <w:snapToGrid w:val="0"/>
        <w:spacing w:after="0" w:line="360" w:lineRule="auto"/>
        <w:jc w:val="both"/>
        <w:rPr>
          <w:rFonts w:ascii="Book Antiqua" w:hAnsi="Book Antiqua" w:cs="Times New Roman"/>
          <w:sz w:val="24"/>
          <w:szCs w:val="24"/>
          <w:lang w:val="en-US"/>
        </w:rPr>
      </w:pPr>
    </w:p>
    <w:p w14:paraId="7F4C4EF8" w14:textId="77777777" w:rsidR="00864BDB" w:rsidRDefault="00864BDB">
      <w:pPr>
        <w:rPr>
          <w:rFonts w:ascii="Book Antiqua" w:hAnsi="Book Antiqua" w:cs="Times New Roman"/>
          <w:sz w:val="24"/>
          <w:szCs w:val="24"/>
          <w:lang w:val="en-US"/>
        </w:rPr>
      </w:pPr>
      <w:r>
        <w:rPr>
          <w:rFonts w:ascii="Book Antiqua" w:hAnsi="Book Antiqua" w:cs="Times New Roman"/>
          <w:sz w:val="24"/>
          <w:szCs w:val="24"/>
          <w:lang w:val="en-US"/>
        </w:rPr>
        <w:br w:type="page"/>
      </w:r>
    </w:p>
    <w:p w14:paraId="423C1B7B" w14:textId="77777777" w:rsidR="007F47EA" w:rsidRPr="007F47EA" w:rsidRDefault="007F47EA" w:rsidP="007F47EA">
      <w:pPr>
        <w:adjustRightInd w:val="0"/>
        <w:snapToGrid w:val="0"/>
        <w:spacing w:after="0" w:line="360" w:lineRule="auto"/>
        <w:jc w:val="both"/>
        <w:rPr>
          <w:rFonts w:ascii="Book Antiqua" w:hAnsi="Book Antiqua" w:cs="Times New Roman"/>
          <w:b/>
          <w:sz w:val="24"/>
          <w:szCs w:val="24"/>
          <w:lang w:val="el-GR"/>
        </w:rPr>
      </w:pPr>
      <w:bookmarkStart w:id="10" w:name="_Hlk27143351"/>
      <w:r w:rsidRPr="007F47EA">
        <w:rPr>
          <w:rFonts w:ascii="Book Antiqua" w:hAnsi="Book Antiqua" w:cs="Times New Roman"/>
          <w:b/>
          <w:sz w:val="24"/>
          <w:szCs w:val="24"/>
          <w:lang w:val="el-GR"/>
        </w:rPr>
        <w:lastRenderedPageBreak/>
        <w:t>Footnotes</w:t>
      </w:r>
    </w:p>
    <w:bookmarkEnd w:id="10"/>
    <w:p w14:paraId="5A85D66E" w14:textId="5C224711" w:rsidR="001A32F0" w:rsidRPr="00456325" w:rsidRDefault="001A32F0" w:rsidP="00864BDB">
      <w:pPr>
        <w:autoSpaceDE w:val="0"/>
        <w:autoSpaceDN w:val="0"/>
        <w:adjustRightInd w:val="0"/>
        <w:snapToGrid w:val="0"/>
        <w:spacing w:after="0" w:line="360" w:lineRule="auto"/>
        <w:jc w:val="both"/>
        <w:rPr>
          <w:rFonts w:ascii="Book Antiqua" w:hAnsi="Book Antiqua" w:cs="Times New Roman"/>
          <w:color w:val="000000"/>
          <w:sz w:val="24"/>
          <w:szCs w:val="24"/>
          <w:lang w:val="hu-HU"/>
        </w:rPr>
      </w:pPr>
      <w:r w:rsidRPr="00F51D07">
        <w:rPr>
          <w:rFonts w:ascii="Book Antiqua" w:hAnsi="Book Antiqua" w:cs="Times New Roman"/>
          <w:b/>
          <w:color w:val="000000"/>
          <w:sz w:val="24"/>
          <w:szCs w:val="24"/>
          <w:lang w:val="hu-HU"/>
        </w:rPr>
        <w:t>Institutional review board statement:</w:t>
      </w:r>
      <w:r w:rsidR="00454F0B">
        <w:rPr>
          <w:rFonts w:ascii="Book Antiqua" w:hAnsi="Book Antiqua" w:cs="Times New Roman"/>
          <w:b/>
          <w:color w:val="000000"/>
          <w:sz w:val="24"/>
          <w:szCs w:val="24"/>
          <w:lang w:val="hu-HU"/>
        </w:rPr>
        <w:t xml:space="preserve"> </w:t>
      </w:r>
      <w:r w:rsidR="00454F0B" w:rsidRPr="00456325">
        <w:rPr>
          <w:rFonts w:ascii="Book Antiqua" w:hAnsi="Book Antiqua" w:cs="Times New Roman"/>
          <w:color w:val="000000"/>
          <w:sz w:val="24"/>
          <w:szCs w:val="24"/>
          <w:lang w:val="hu-HU"/>
        </w:rPr>
        <w:t>Th</w:t>
      </w:r>
      <w:r w:rsidR="00454F0B">
        <w:rPr>
          <w:rFonts w:ascii="Book Antiqua" w:hAnsi="Book Antiqua" w:cs="Times New Roman"/>
          <w:color w:val="000000"/>
          <w:sz w:val="24"/>
          <w:szCs w:val="24"/>
          <w:lang w:val="hu-HU"/>
        </w:rPr>
        <w:t>is project</w:t>
      </w:r>
      <w:r w:rsidR="00454F0B" w:rsidRPr="00456325">
        <w:rPr>
          <w:rFonts w:ascii="Book Antiqua" w:hAnsi="Book Antiqua" w:cs="Times New Roman"/>
          <w:color w:val="000000"/>
          <w:sz w:val="24"/>
          <w:szCs w:val="24"/>
          <w:lang w:val="hu-HU"/>
        </w:rPr>
        <w:t xml:space="preserve"> was </w:t>
      </w:r>
      <w:r w:rsidR="00454F0B">
        <w:rPr>
          <w:rFonts w:ascii="Book Antiqua" w:hAnsi="Book Antiqua" w:cs="Times New Roman"/>
          <w:color w:val="000000"/>
          <w:sz w:val="24"/>
          <w:szCs w:val="24"/>
          <w:lang w:val="hu-HU"/>
        </w:rPr>
        <w:t>approved by</w:t>
      </w:r>
      <w:r w:rsidR="00454F0B" w:rsidRPr="00456325">
        <w:rPr>
          <w:rFonts w:ascii="Book Antiqua" w:hAnsi="Book Antiqua" w:cs="Times New Roman"/>
          <w:color w:val="000000"/>
          <w:sz w:val="24"/>
          <w:szCs w:val="24"/>
          <w:lang w:val="hu-HU"/>
        </w:rPr>
        <w:t xml:space="preserve"> the National French Commission for bioinformatics data and patient liberty (CNIL; No. of CNIL declaration: 1906173 v 0)</w:t>
      </w:r>
      <w:r w:rsidR="00454F0B">
        <w:rPr>
          <w:rFonts w:ascii="Book Antiqua" w:hAnsi="Book Antiqua" w:cs="Times New Roman"/>
          <w:color w:val="000000"/>
          <w:sz w:val="24"/>
          <w:szCs w:val="24"/>
          <w:lang w:val="hu-HU"/>
        </w:rPr>
        <w:t>.</w:t>
      </w:r>
    </w:p>
    <w:p w14:paraId="5D4BC82E" w14:textId="77777777" w:rsidR="001A32F0" w:rsidRDefault="001A32F0" w:rsidP="00864BDB">
      <w:pPr>
        <w:autoSpaceDE w:val="0"/>
        <w:autoSpaceDN w:val="0"/>
        <w:adjustRightInd w:val="0"/>
        <w:snapToGrid w:val="0"/>
        <w:spacing w:after="0" w:line="360" w:lineRule="auto"/>
        <w:jc w:val="both"/>
        <w:rPr>
          <w:rFonts w:ascii="Book Antiqua" w:hAnsi="Book Antiqua"/>
          <w:b/>
          <w:bCs/>
          <w:iCs/>
          <w:color w:val="000000"/>
          <w:sz w:val="24"/>
          <w:szCs w:val="24"/>
          <w:lang w:val="en-US"/>
        </w:rPr>
      </w:pPr>
    </w:p>
    <w:p w14:paraId="2D7E840B" w14:textId="36E4FE9E" w:rsidR="00864BDB" w:rsidRPr="002575A7" w:rsidRDefault="00864BDB" w:rsidP="00864BDB">
      <w:pPr>
        <w:autoSpaceDE w:val="0"/>
        <w:autoSpaceDN w:val="0"/>
        <w:adjustRightInd w:val="0"/>
        <w:snapToGrid w:val="0"/>
        <w:spacing w:after="0" w:line="360" w:lineRule="auto"/>
        <w:jc w:val="both"/>
        <w:rPr>
          <w:rFonts w:ascii="Book Antiqua" w:hAnsi="Book Antiqua"/>
          <w:b/>
          <w:bCs/>
          <w:iCs/>
          <w:color w:val="000000"/>
          <w:sz w:val="24"/>
          <w:szCs w:val="24"/>
          <w:lang w:val="en-US"/>
        </w:rPr>
      </w:pPr>
      <w:r w:rsidRPr="002575A7">
        <w:rPr>
          <w:rFonts w:ascii="Book Antiqua" w:hAnsi="Book Antiqua"/>
          <w:b/>
          <w:bCs/>
          <w:iCs/>
          <w:color w:val="000000"/>
          <w:sz w:val="24"/>
          <w:szCs w:val="24"/>
          <w:lang w:val="en-US"/>
        </w:rPr>
        <w:t xml:space="preserve">Informed consent statement: </w:t>
      </w:r>
      <w:r w:rsidR="00F32207" w:rsidRPr="00444C86">
        <w:rPr>
          <w:rFonts w:ascii="Book Antiqua" w:hAnsi="Book Antiqua"/>
          <w:bCs/>
          <w:iCs/>
          <w:color w:val="000000"/>
          <w:sz w:val="24"/>
          <w:szCs w:val="24"/>
          <w:lang w:val="en-US"/>
        </w:rPr>
        <w:t>A w</w:t>
      </w:r>
      <w:r w:rsidRPr="002575A7">
        <w:rPr>
          <w:rFonts w:ascii="Book Antiqua" w:hAnsi="Book Antiqua"/>
          <w:iCs/>
          <w:color w:val="000000"/>
          <w:sz w:val="24"/>
          <w:szCs w:val="24"/>
          <w:lang w:val="en-US"/>
        </w:rPr>
        <w:t xml:space="preserve">ritten informed consent form was </w:t>
      </w:r>
      <w:r>
        <w:rPr>
          <w:rFonts w:ascii="Book Antiqua" w:hAnsi="Book Antiqua"/>
          <w:iCs/>
          <w:color w:val="000000"/>
          <w:sz w:val="24"/>
          <w:szCs w:val="24"/>
          <w:lang w:val="en-US"/>
        </w:rPr>
        <w:t>provided</w:t>
      </w:r>
      <w:r w:rsidRPr="002575A7">
        <w:rPr>
          <w:rFonts w:ascii="Book Antiqua" w:hAnsi="Book Antiqua"/>
          <w:iCs/>
          <w:color w:val="000000"/>
          <w:sz w:val="24"/>
          <w:szCs w:val="24"/>
          <w:lang w:val="en-US"/>
        </w:rPr>
        <w:t xml:space="preserve"> by a</w:t>
      </w:r>
      <w:r w:rsidRPr="002575A7">
        <w:rPr>
          <w:rFonts w:ascii="Book Antiqua" w:hAnsi="Book Antiqua" w:cs="Times New Roman"/>
          <w:sz w:val="24"/>
          <w:szCs w:val="24"/>
          <w:lang w:val="en-US"/>
        </w:rPr>
        <w:t>ll patients.</w:t>
      </w:r>
    </w:p>
    <w:p w14:paraId="699C6EE3" w14:textId="77777777" w:rsidR="00864BDB" w:rsidRPr="002575A7" w:rsidRDefault="00864BDB" w:rsidP="00864BDB">
      <w:pPr>
        <w:autoSpaceDE w:val="0"/>
        <w:autoSpaceDN w:val="0"/>
        <w:adjustRightInd w:val="0"/>
        <w:snapToGrid w:val="0"/>
        <w:spacing w:after="0" w:line="360" w:lineRule="auto"/>
        <w:jc w:val="both"/>
        <w:rPr>
          <w:rFonts w:ascii="Book Antiqua" w:hAnsi="Book Antiqua"/>
          <w:b/>
          <w:bCs/>
          <w:iCs/>
          <w:color w:val="000000"/>
          <w:sz w:val="24"/>
          <w:szCs w:val="24"/>
          <w:lang w:val="en-US"/>
        </w:rPr>
      </w:pPr>
    </w:p>
    <w:p w14:paraId="3156F2F3" w14:textId="77777777" w:rsidR="00864BDB" w:rsidRPr="002575A7" w:rsidRDefault="00864BDB" w:rsidP="00864BDB">
      <w:pPr>
        <w:autoSpaceDE w:val="0"/>
        <w:autoSpaceDN w:val="0"/>
        <w:adjustRightInd w:val="0"/>
        <w:snapToGrid w:val="0"/>
        <w:spacing w:after="0" w:line="360" w:lineRule="auto"/>
        <w:jc w:val="both"/>
        <w:rPr>
          <w:rFonts w:ascii="Book Antiqua" w:hAnsi="Book Antiqua"/>
          <w:iCs/>
          <w:color w:val="000000"/>
          <w:sz w:val="24"/>
          <w:szCs w:val="24"/>
          <w:lang w:val="en-US"/>
        </w:rPr>
      </w:pPr>
      <w:r w:rsidRPr="002575A7">
        <w:rPr>
          <w:rFonts w:ascii="Book Antiqua" w:hAnsi="Book Antiqua" w:cs="Times New Roman"/>
          <w:b/>
          <w:sz w:val="24"/>
          <w:szCs w:val="24"/>
          <w:lang w:val="en-US"/>
        </w:rPr>
        <w:t xml:space="preserve">Conflict of interest statement: </w:t>
      </w:r>
      <w:r>
        <w:rPr>
          <w:rFonts w:ascii="Book Antiqua" w:hAnsi="Book Antiqua"/>
          <w:iCs/>
          <w:color w:val="000000"/>
          <w:sz w:val="24"/>
          <w:szCs w:val="24"/>
          <w:lang w:val="en-US"/>
        </w:rPr>
        <w:t>No</w:t>
      </w:r>
      <w:r w:rsidRPr="002575A7">
        <w:rPr>
          <w:rFonts w:ascii="Book Antiqua" w:hAnsi="Book Antiqua"/>
          <w:iCs/>
          <w:color w:val="000000"/>
          <w:sz w:val="24"/>
          <w:szCs w:val="24"/>
          <w:lang w:val="en-US"/>
        </w:rPr>
        <w:t xml:space="preserve"> author ha</w:t>
      </w:r>
      <w:r>
        <w:rPr>
          <w:rFonts w:ascii="Book Antiqua" w:hAnsi="Book Antiqua"/>
          <w:iCs/>
          <w:color w:val="000000"/>
          <w:sz w:val="24"/>
          <w:szCs w:val="24"/>
          <w:lang w:val="en-US"/>
        </w:rPr>
        <w:t>s</w:t>
      </w:r>
      <w:r w:rsidRPr="002575A7">
        <w:rPr>
          <w:rFonts w:ascii="Book Antiqua" w:hAnsi="Book Antiqua"/>
          <w:iCs/>
          <w:color w:val="000000"/>
          <w:sz w:val="24"/>
          <w:szCs w:val="24"/>
          <w:lang w:val="en-US"/>
        </w:rPr>
        <w:t xml:space="preserve"> </w:t>
      </w:r>
      <w:r>
        <w:rPr>
          <w:rFonts w:ascii="Book Antiqua" w:hAnsi="Book Antiqua"/>
          <w:iCs/>
          <w:color w:val="000000"/>
          <w:sz w:val="24"/>
          <w:szCs w:val="24"/>
          <w:lang w:val="en-US"/>
        </w:rPr>
        <w:t>any</w:t>
      </w:r>
      <w:r w:rsidRPr="002575A7">
        <w:rPr>
          <w:rFonts w:ascii="Book Antiqua" w:hAnsi="Book Antiqua"/>
          <w:iCs/>
          <w:color w:val="000000"/>
          <w:sz w:val="24"/>
          <w:szCs w:val="24"/>
          <w:lang w:val="en-US"/>
        </w:rPr>
        <w:t xml:space="preserve"> conflict of interest.</w:t>
      </w:r>
    </w:p>
    <w:p w14:paraId="6FB3311C" w14:textId="77777777" w:rsidR="00864BDB" w:rsidRPr="002575A7" w:rsidRDefault="00864BDB" w:rsidP="00864BDB">
      <w:pPr>
        <w:snapToGrid w:val="0"/>
        <w:spacing w:after="0" w:line="360" w:lineRule="auto"/>
        <w:jc w:val="both"/>
        <w:rPr>
          <w:rFonts w:ascii="Book Antiqua" w:hAnsi="Book Antiqua" w:cs="Times New Roman"/>
          <w:b/>
          <w:sz w:val="24"/>
          <w:szCs w:val="24"/>
          <w:lang w:val="en-US"/>
        </w:rPr>
      </w:pPr>
    </w:p>
    <w:p w14:paraId="48700166" w14:textId="060B0552" w:rsidR="00864BDB" w:rsidRDefault="00864BDB"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b/>
          <w:sz w:val="24"/>
          <w:szCs w:val="24"/>
          <w:lang w:val="en-US"/>
        </w:rPr>
        <w:t xml:space="preserve">STROBE statement: </w:t>
      </w:r>
      <w:r w:rsidRPr="002575A7">
        <w:rPr>
          <w:rFonts w:ascii="Book Antiqua" w:hAnsi="Book Antiqua" w:cs="Times New Roman"/>
          <w:sz w:val="24"/>
          <w:szCs w:val="24"/>
          <w:lang w:val="en-US"/>
        </w:rPr>
        <w:t>The authors have read the STROBE Statement checklist of items, and the manuscript was prepared and revised according to the STROBE Statement checklist of items.</w:t>
      </w:r>
    </w:p>
    <w:p w14:paraId="6FD7DA40" w14:textId="604D431C" w:rsidR="007F47EA" w:rsidRDefault="007F47EA" w:rsidP="00864BDB">
      <w:pPr>
        <w:snapToGrid w:val="0"/>
        <w:spacing w:after="0" w:line="360" w:lineRule="auto"/>
        <w:jc w:val="both"/>
        <w:rPr>
          <w:rFonts w:ascii="Book Antiqua" w:hAnsi="Book Antiqua" w:cs="Times New Roman"/>
          <w:sz w:val="24"/>
          <w:szCs w:val="24"/>
          <w:lang w:val="en-US"/>
        </w:rPr>
      </w:pPr>
    </w:p>
    <w:p w14:paraId="3291BFC2" w14:textId="77777777" w:rsidR="007F47EA" w:rsidRPr="007F47EA" w:rsidRDefault="007F47EA" w:rsidP="007F47EA">
      <w:pPr>
        <w:adjustRightInd w:val="0"/>
        <w:snapToGrid w:val="0"/>
        <w:spacing w:after="0" w:line="360" w:lineRule="auto"/>
        <w:jc w:val="both"/>
        <w:rPr>
          <w:rFonts w:ascii="Book Antiqua" w:hAnsi="Book Antiqua" w:cs="Times New Roman"/>
          <w:sz w:val="24"/>
          <w:szCs w:val="24"/>
          <w:lang w:val="en-GB"/>
        </w:rPr>
      </w:pPr>
      <w:bookmarkStart w:id="11" w:name="_Hlk27570239"/>
      <w:bookmarkStart w:id="12" w:name="_Hlk27143403"/>
      <w:r w:rsidRPr="007F47EA">
        <w:rPr>
          <w:rFonts w:ascii="Book Antiqua" w:hAnsi="Book Antiqua" w:cs="Times New Roman"/>
          <w:b/>
          <w:sz w:val="24"/>
          <w:szCs w:val="24"/>
          <w:lang w:val="en-GB"/>
        </w:rPr>
        <w:t xml:space="preserve">Open-Access: </w:t>
      </w:r>
      <w:r w:rsidRPr="007F47EA">
        <w:rPr>
          <w:rFonts w:ascii="Book Antiqua" w:hAnsi="Book Antiqua" w:cs="Times New Roman"/>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F47EA">
          <w:rPr>
            <w:rFonts w:ascii="Book Antiqua" w:hAnsi="Book Antiqua" w:cs="Times New Roman"/>
            <w:sz w:val="24"/>
            <w:szCs w:val="24"/>
            <w:lang w:val="en-GB"/>
          </w:rPr>
          <w:t>http://creativecommons.org/licenses/by-nc/4.0/</w:t>
        </w:r>
      </w:hyperlink>
    </w:p>
    <w:p w14:paraId="1C7654DD" w14:textId="77777777" w:rsidR="007F47EA" w:rsidRPr="007F47EA" w:rsidRDefault="007F47EA" w:rsidP="007F47EA">
      <w:pPr>
        <w:widowControl w:val="0"/>
        <w:adjustRightInd w:val="0"/>
        <w:snapToGrid w:val="0"/>
        <w:spacing w:after="0" w:line="360" w:lineRule="auto"/>
        <w:jc w:val="both"/>
        <w:rPr>
          <w:rFonts w:ascii="Book Antiqua" w:hAnsi="Book Antiqua" w:cs="Calibri"/>
          <w:b/>
          <w:bCs/>
          <w:sz w:val="24"/>
          <w:szCs w:val="24"/>
          <w:lang w:val="en-GB" w:eastAsia="zh-CN"/>
        </w:rPr>
      </w:pPr>
    </w:p>
    <w:p w14:paraId="02A25E88" w14:textId="74869248" w:rsidR="007F47EA" w:rsidRPr="007F47EA" w:rsidRDefault="007F47EA" w:rsidP="007F47EA">
      <w:pPr>
        <w:widowControl w:val="0"/>
        <w:adjustRightInd w:val="0"/>
        <w:snapToGrid w:val="0"/>
        <w:spacing w:after="0" w:line="360" w:lineRule="auto"/>
        <w:jc w:val="both"/>
        <w:rPr>
          <w:rFonts w:ascii="Book Antiqua" w:hAnsi="Book Antiqua" w:cs="宋体"/>
          <w:sz w:val="24"/>
          <w:szCs w:val="24"/>
          <w:lang w:val="en-GB" w:eastAsia="zh-CN"/>
        </w:rPr>
      </w:pPr>
      <w:r w:rsidRPr="007F47EA">
        <w:rPr>
          <w:rFonts w:ascii="Book Antiqua" w:hAnsi="Book Antiqua" w:cs="宋体"/>
          <w:b/>
          <w:sz w:val="24"/>
          <w:szCs w:val="24"/>
          <w:lang w:val="en-GB"/>
        </w:rPr>
        <w:t>Manuscript</w:t>
      </w:r>
      <w:r w:rsidRPr="007F47EA">
        <w:rPr>
          <w:rFonts w:ascii="Book Antiqua" w:hAnsi="Book Antiqua" w:cs="宋体" w:hint="eastAsia"/>
          <w:b/>
          <w:sz w:val="24"/>
          <w:szCs w:val="24"/>
          <w:lang w:val="en-GB" w:eastAsia="zh-CN"/>
        </w:rPr>
        <w:t xml:space="preserve"> </w:t>
      </w:r>
      <w:r w:rsidRPr="007F47EA">
        <w:rPr>
          <w:rFonts w:ascii="Book Antiqua" w:hAnsi="Book Antiqua" w:cs="宋体"/>
          <w:b/>
          <w:sz w:val="24"/>
          <w:szCs w:val="24"/>
          <w:lang w:val="en-GB"/>
        </w:rPr>
        <w:t>source:</w:t>
      </w:r>
      <w:r w:rsidRPr="007F47EA">
        <w:rPr>
          <w:rFonts w:ascii="Book Antiqua" w:hAnsi="Book Antiqua" w:cs="宋体" w:hint="eastAsia"/>
          <w:sz w:val="24"/>
          <w:szCs w:val="24"/>
          <w:lang w:val="en-GB" w:eastAsia="zh-CN"/>
        </w:rPr>
        <w:t xml:space="preserve"> </w:t>
      </w:r>
      <w:r w:rsidRPr="007F47EA">
        <w:rPr>
          <w:rFonts w:ascii="Book Antiqua" w:hAnsi="Book Antiqua" w:cs="宋体"/>
          <w:sz w:val="24"/>
          <w:szCs w:val="24"/>
          <w:lang w:val="en-GB" w:eastAsia="zh-CN"/>
        </w:rPr>
        <w:t>Unsolicited Manuscript</w:t>
      </w:r>
    </w:p>
    <w:bookmarkEnd w:id="11"/>
    <w:p w14:paraId="0BF2FF24" w14:textId="77777777" w:rsidR="007F47EA" w:rsidRPr="007F47EA" w:rsidRDefault="007F47EA" w:rsidP="007F47EA">
      <w:pPr>
        <w:snapToGrid w:val="0"/>
        <w:spacing w:after="0" w:line="360" w:lineRule="auto"/>
        <w:jc w:val="both"/>
        <w:rPr>
          <w:rFonts w:ascii="Book Antiqua" w:eastAsia="DengXian" w:hAnsi="Book Antiqua" w:cs="Times New Roman"/>
          <w:b/>
          <w:bCs/>
          <w:color w:val="000000"/>
          <w:lang w:val="el-GR" w:eastAsia="zh-CN"/>
        </w:rPr>
      </w:pPr>
    </w:p>
    <w:p w14:paraId="0432AE5F" w14:textId="6FACB88A" w:rsidR="007F47EA" w:rsidRPr="007F47EA" w:rsidRDefault="007F47EA" w:rsidP="007F47EA">
      <w:pPr>
        <w:snapToGrid w:val="0"/>
        <w:spacing w:after="0" w:line="360" w:lineRule="auto"/>
        <w:jc w:val="both"/>
        <w:rPr>
          <w:rFonts w:ascii="Book Antiqua" w:hAnsi="Book Antiqua" w:cs="Times New Roman"/>
          <w:b/>
          <w:sz w:val="24"/>
          <w:szCs w:val="24"/>
          <w:lang w:val="en-GB"/>
        </w:rPr>
      </w:pPr>
      <w:r w:rsidRPr="007F47EA">
        <w:rPr>
          <w:rFonts w:ascii="Book Antiqua" w:hAnsi="Book Antiqua" w:cs="Times New Roman"/>
          <w:b/>
          <w:sz w:val="24"/>
          <w:szCs w:val="24"/>
          <w:lang w:val="en-GB"/>
        </w:rPr>
        <w:t>Peer-review started:</w:t>
      </w:r>
      <w:r w:rsidRPr="007F47EA">
        <w:rPr>
          <w:rFonts w:ascii="Book Antiqua" w:hAnsi="Book Antiqua" w:cs="Times New Roman"/>
          <w:sz w:val="24"/>
          <w:szCs w:val="24"/>
          <w:lang w:val="en-GB" w:eastAsia="zh-CN"/>
        </w:rPr>
        <w:t xml:space="preserve"> August</w:t>
      </w:r>
      <w:r w:rsidRPr="007F47EA">
        <w:rPr>
          <w:rFonts w:ascii="Book Antiqua" w:hAnsi="Book Antiqua" w:cs="Times New Roman" w:hint="eastAsia"/>
          <w:sz w:val="24"/>
          <w:szCs w:val="24"/>
          <w:lang w:val="en-GB" w:eastAsia="zh-CN"/>
        </w:rPr>
        <w:t xml:space="preserve"> </w:t>
      </w:r>
      <w:r>
        <w:rPr>
          <w:rFonts w:ascii="Book Antiqua" w:hAnsi="Book Antiqua" w:cs="Times New Roman"/>
          <w:sz w:val="24"/>
          <w:szCs w:val="24"/>
          <w:lang w:val="en-GB" w:eastAsia="zh-CN"/>
        </w:rPr>
        <w:t>24</w:t>
      </w:r>
      <w:r w:rsidRPr="007F47EA">
        <w:rPr>
          <w:rFonts w:ascii="Book Antiqua" w:hAnsi="Book Antiqua" w:cs="Times New Roman"/>
          <w:sz w:val="24"/>
          <w:szCs w:val="24"/>
          <w:lang w:val="en-GB" w:eastAsia="zh-CN"/>
        </w:rPr>
        <w:t>, 201</w:t>
      </w:r>
      <w:r w:rsidRPr="007F47EA">
        <w:rPr>
          <w:rFonts w:ascii="Book Antiqua" w:hAnsi="Book Antiqua" w:cs="Times New Roman" w:hint="eastAsia"/>
          <w:sz w:val="24"/>
          <w:szCs w:val="24"/>
          <w:lang w:val="en-GB" w:eastAsia="zh-CN"/>
        </w:rPr>
        <w:t>9</w:t>
      </w:r>
      <w:r w:rsidRPr="007F47EA">
        <w:rPr>
          <w:rFonts w:ascii="Book Antiqua" w:hAnsi="Book Antiqua" w:cs="Times New Roman"/>
          <w:sz w:val="24"/>
          <w:szCs w:val="24"/>
          <w:lang w:val="en-GB"/>
        </w:rPr>
        <w:t xml:space="preserve"> </w:t>
      </w:r>
    </w:p>
    <w:p w14:paraId="27581F05" w14:textId="7B864611" w:rsidR="007F47EA" w:rsidRPr="007F47EA" w:rsidRDefault="007F47EA" w:rsidP="007F47EA">
      <w:pPr>
        <w:snapToGrid w:val="0"/>
        <w:spacing w:after="0" w:line="360" w:lineRule="auto"/>
        <w:jc w:val="both"/>
        <w:rPr>
          <w:rFonts w:ascii="Book Antiqua" w:hAnsi="Book Antiqua" w:cs="Times New Roman"/>
          <w:b/>
          <w:sz w:val="24"/>
          <w:szCs w:val="24"/>
          <w:lang w:val="en-GB"/>
        </w:rPr>
      </w:pPr>
      <w:r w:rsidRPr="007F47EA">
        <w:rPr>
          <w:rFonts w:ascii="Book Antiqua" w:hAnsi="Book Antiqua" w:cs="Times New Roman"/>
          <w:b/>
          <w:sz w:val="24"/>
          <w:szCs w:val="24"/>
          <w:lang w:val="en-GB"/>
        </w:rPr>
        <w:t>First decision:</w:t>
      </w:r>
      <w:r w:rsidRPr="007F47EA">
        <w:rPr>
          <w:rFonts w:ascii="Book Antiqua" w:hAnsi="Book Antiqua" w:cs="Times New Roman"/>
          <w:sz w:val="24"/>
          <w:szCs w:val="24"/>
          <w:lang w:val="en-GB" w:eastAsia="zh-CN"/>
        </w:rPr>
        <w:t xml:space="preserve"> October</w:t>
      </w:r>
      <w:r w:rsidRPr="007F47EA">
        <w:rPr>
          <w:rFonts w:ascii="Book Antiqua" w:hAnsi="Book Antiqua" w:cs="Times New Roman" w:hint="eastAsia"/>
          <w:sz w:val="24"/>
          <w:szCs w:val="24"/>
          <w:lang w:val="en-GB" w:eastAsia="zh-CN"/>
        </w:rPr>
        <w:t xml:space="preserve"> 1</w:t>
      </w:r>
      <w:r>
        <w:rPr>
          <w:rFonts w:ascii="Book Antiqua" w:hAnsi="Book Antiqua" w:cs="Times New Roman"/>
          <w:sz w:val="24"/>
          <w:szCs w:val="24"/>
          <w:lang w:val="en-GB" w:eastAsia="zh-CN"/>
        </w:rPr>
        <w:t>8</w:t>
      </w:r>
      <w:r w:rsidRPr="007F47EA">
        <w:rPr>
          <w:rFonts w:ascii="Book Antiqua" w:hAnsi="Book Antiqua" w:cs="Times New Roman"/>
          <w:sz w:val="24"/>
          <w:szCs w:val="24"/>
          <w:lang w:val="en-GB" w:eastAsia="zh-CN"/>
        </w:rPr>
        <w:t>, 201</w:t>
      </w:r>
      <w:r w:rsidRPr="007F47EA">
        <w:rPr>
          <w:rFonts w:ascii="Book Antiqua" w:hAnsi="Book Antiqua" w:cs="Times New Roman" w:hint="eastAsia"/>
          <w:sz w:val="24"/>
          <w:szCs w:val="24"/>
          <w:lang w:val="en-GB" w:eastAsia="zh-CN"/>
        </w:rPr>
        <w:t>9</w:t>
      </w:r>
      <w:r w:rsidRPr="007F47EA">
        <w:rPr>
          <w:rFonts w:ascii="Book Antiqua" w:hAnsi="Book Antiqua" w:cs="Times New Roman"/>
          <w:sz w:val="24"/>
          <w:szCs w:val="24"/>
          <w:lang w:val="en-GB"/>
        </w:rPr>
        <w:t xml:space="preserve"> </w:t>
      </w:r>
    </w:p>
    <w:p w14:paraId="7AAAD89B" w14:textId="693B0038" w:rsidR="007F47EA" w:rsidRPr="007F47EA" w:rsidRDefault="007F47EA" w:rsidP="007F47EA">
      <w:pPr>
        <w:snapToGrid w:val="0"/>
        <w:spacing w:after="0" w:line="360" w:lineRule="auto"/>
        <w:jc w:val="both"/>
        <w:rPr>
          <w:rFonts w:ascii="Book Antiqua" w:hAnsi="Book Antiqua" w:cs="Times New Roman"/>
          <w:sz w:val="24"/>
          <w:szCs w:val="24"/>
          <w:lang w:val="en-GB" w:eastAsia="zh-CN"/>
        </w:rPr>
      </w:pPr>
      <w:r w:rsidRPr="007F47EA">
        <w:rPr>
          <w:rFonts w:ascii="Book Antiqua" w:hAnsi="Book Antiqua" w:cs="Times New Roman"/>
          <w:b/>
          <w:sz w:val="24"/>
          <w:szCs w:val="24"/>
          <w:lang w:val="en-GB"/>
        </w:rPr>
        <w:t>Article in press:</w:t>
      </w:r>
    </w:p>
    <w:p w14:paraId="0744B1B1" w14:textId="77777777" w:rsidR="007F47EA" w:rsidRPr="007F47EA" w:rsidRDefault="007F47EA" w:rsidP="007F47EA">
      <w:pPr>
        <w:snapToGrid w:val="0"/>
        <w:spacing w:after="0" w:line="360" w:lineRule="auto"/>
        <w:jc w:val="both"/>
        <w:rPr>
          <w:rFonts w:ascii="Book Antiqua" w:hAnsi="Book Antiqua" w:cs="Times New Roman"/>
          <w:sz w:val="24"/>
          <w:szCs w:val="24"/>
          <w:lang w:val="en-GB" w:eastAsia="zh-CN"/>
        </w:rPr>
      </w:pPr>
    </w:p>
    <w:p w14:paraId="71617EAE" w14:textId="5C6519CC" w:rsidR="007F47EA" w:rsidRPr="007F47EA" w:rsidRDefault="007F47EA" w:rsidP="007F47EA">
      <w:pPr>
        <w:snapToGrid w:val="0"/>
        <w:spacing w:after="0" w:line="360" w:lineRule="auto"/>
        <w:jc w:val="both"/>
        <w:rPr>
          <w:rFonts w:ascii="Book Antiqua" w:hAnsi="Book Antiqua" w:cs="Helvetica"/>
          <w:b/>
          <w:sz w:val="24"/>
          <w:szCs w:val="24"/>
          <w:lang w:val="el-GR"/>
        </w:rPr>
      </w:pPr>
      <w:r w:rsidRPr="007F47EA">
        <w:rPr>
          <w:rFonts w:ascii="Book Antiqua" w:hAnsi="Book Antiqua" w:cs="Helvetica"/>
          <w:b/>
          <w:sz w:val="24"/>
          <w:szCs w:val="24"/>
          <w:lang w:val="el-GR"/>
        </w:rPr>
        <w:t xml:space="preserve">Specialty type: </w:t>
      </w:r>
      <w:r w:rsidRPr="00407FBF">
        <w:rPr>
          <w:rFonts w:ascii="Book Antiqua" w:eastAsia="微软雅黑" w:hAnsi="Book Antiqua" w:cs="宋体"/>
          <w:sz w:val="24"/>
          <w:szCs w:val="24"/>
        </w:rPr>
        <w:t>Oncology</w:t>
      </w:r>
    </w:p>
    <w:p w14:paraId="4445DFEF" w14:textId="686F4E5D" w:rsidR="007F47EA" w:rsidRPr="007F47EA" w:rsidRDefault="007F47EA" w:rsidP="007F47EA">
      <w:pPr>
        <w:snapToGrid w:val="0"/>
        <w:spacing w:after="0" w:line="360" w:lineRule="auto"/>
        <w:jc w:val="both"/>
        <w:rPr>
          <w:rFonts w:ascii="Book Antiqua" w:hAnsi="Book Antiqua" w:cs="Helvetica"/>
          <w:b/>
          <w:sz w:val="24"/>
          <w:szCs w:val="24"/>
          <w:lang w:val="el-GR" w:eastAsia="zh-CN"/>
        </w:rPr>
      </w:pPr>
      <w:r w:rsidRPr="007F47EA">
        <w:rPr>
          <w:rFonts w:ascii="Book Antiqua" w:hAnsi="Book Antiqua" w:cs="Helvetica"/>
          <w:b/>
          <w:sz w:val="24"/>
          <w:szCs w:val="24"/>
          <w:lang w:val="el-GR"/>
        </w:rPr>
        <w:t xml:space="preserve">Country of origin: </w:t>
      </w:r>
      <w:r w:rsidRPr="002575A7">
        <w:rPr>
          <w:rFonts w:ascii="Book Antiqua" w:hAnsi="Book Antiqua" w:cs="Times New Roman"/>
          <w:sz w:val="24"/>
          <w:szCs w:val="24"/>
          <w:lang w:val="en-US"/>
        </w:rPr>
        <w:t>France</w:t>
      </w:r>
    </w:p>
    <w:p w14:paraId="47AC9E14" w14:textId="77777777" w:rsidR="007F47EA" w:rsidRPr="007F47EA" w:rsidRDefault="007F47EA" w:rsidP="007F47EA">
      <w:pPr>
        <w:snapToGrid w:val="0"/>
        <w:spacing w:after="0" w:line="360" w:lineRule="auto"/>
        <w:jc w:val="both"/>
        <w:rPr>
          <w:rFonts w:ascii="Book Antiqua" w:hAnsi="Book Antiqua" w:cs="Helvetica"/>
          <w:b/>
          <w:sz w:val="24"/>
          <w:szCs w:val="24"/>
          <w:lang w:val="el-GR"/>
        </w:rPr>
      </w:pPr>
      <w:r w:rsidRPr="007F47EA">
        <w:rPr>
          <w:rFonts w:ascii="Book Antiqua" w:hAnsi="Book Antiqua" w:cs="Helvetica"/>
          <w:b/>
          <w:sz w:val="24"/>
          <w:szCs w:val="24"/>
          <w:lang w:val="el-GR"/>
        </w:rPr>
        <w:t>Peer-review report classification</w:t>
      </w:r>
    </w:p>
    <w:p w14:paraId="44393F54" w14:textId="77777777" w:rsidR="007F47EA" w:rsidRPr="007F47EA" w:rsidRDefault="007F47EA" w:rsidP="007F47EA">
      <w:pPr>
        <w:snapToGrid w:val="0"/>
        <w:spacing w:after="0" w:line="360" w:lineRule="auto"/>
        <w:jc w:val="both"/>
        <w:rPr>
          <w:rFonts w:ascii="Book Antiqua" w:hAnsi="Book Antiqua" w:cs="Helvetica"/>
          <w:sz w:val="24"/>
          <w:szCs w:val="24"/>
          <w:lang w:val="el-GR" w:eastAsia="zh-CN"/>
        </w:rPr>
      </w:pPr>
      <w:r w:rsidRPr="007F47EA">
        <w:rPr>
          <w:rFonts w:ascii="Book Antiqua" w:hAnsi="Book Antiqua" w:cs="Helvetica"/>
          <w:sz w:val="24"/>
          <w:szCs w:val="24"/>
          <w:lang w:val="el-GR"/>
        </w:rPr>
        <w:t xml:space="preserve">Grade A (Excellent): </w:t>
      </w:r>
      <w:r w:rsidRPr="007F47EA">
        <w:rPr>
          <w:rFonts w:ascii="Book Antiqua" w:hAnsi="Book Antiqua" w:cs="Helvetica"/>
          <w:sz w:val="24"/>
          <w:szCs w:val="24"/>
          <w:lang w:val="el-GR" w:eastAsia="zh-CN"/>
        </w:rPr>
        <w:t>0</w:t>
      </w:r>
    </w:p>
    <w:p w14:paraId="633F6017" w14:textId="77777777" w:rsidR="007F47EA" w:rsidRPr="007F47EA" w:rsidRDefault="007F47EA" w:rsidP="007F47EA">
      <w:pPr>
        <w:snapToGrid w:val="0"/>
        <w:spacing w:after="0" w:line="360" w:lineRule="auto"/>
        <w:jc w:val="both"/>
        <w:rPr>
          <w:rFonts w:ascii="Book Antiqua" w:hAnsi="Book Antiqua" w:cs="Helvetica"/>
          <w:sz w:val="24"/>
          <w:szCs w:val="24"/>
          <w:lang w:val="el-GR" w:eastAsia="zh-CN"/>
        </w:rPr>
      </w:pPr>
      <w:r w:rsidRPr="007F47EA">
        <w:rPr>
          <w:rFonts w:ascii="Book Antiqua" w:hAnsi="Book Antiqua" w:cs="Helvetica"/>
          <w:sz w:val="24"/>
          <w:szCs w:val="24"/>
          <w:lang w:val="el-GR"/>
        </w:rPr>
        <w:lastRenderedPageBreak/>
        <w:t xml:space="preserve">Grade B (Very good): </w:t>
      </w:r>
      <w:r w:rsidRPr="007F47EA">
        <w:rPr>
          <w:rFonts w:ascii="Book Antiqua" w:hAnsi="Book Antiqua" w:cs="Helvetica" w:hint="eastAsia"/>
          <w:sz w:val="24"/>
          <w:szCs w:val="24"/>
          <w:lang w:val="el-GR" w:eastAsia="zh-CN"/>
        </w:rPr>
        <w:t>0</w:t>
      </w:r>
    </w:p>
    <w:p w14:paraId="115645C0" w14:textId="78F643BE" w:rsidR="007F47EA" w:rsidRPr="007F47EA" w:rsidRDefault="007F47EA" w:rsidP="007F47EA">
      <w:pPr>
        <w:snapToGrid w:val="0"/>
        <w:spacing w:after="0" w:line="360" w:lineRule="auto"/>
        <w:jc w:val="both"/>
        <w:rPr>
          <w:rFonts w:ascii="Book Antiqua" w:hAnsi="Book Antiqua" w:cs="Helvetica"/>
          <w:sz w:val="24"/>
          <w:szCs w:val="24"/>
          <w:lang w:val="el-GR" w:eastAsia="zh-CN"/>
        </w:rPr>
      </w:pPr>
      <w:r w:rsidRPr="007F47EA">
        <w:rPr>
          <w:rFonts w:ascii="Book Antiqua" w:hAnsi="Book Antiqua" w:cs="Helvetica"/>
          <w:sz w:val="24"/>
          <w:szCs w:val="24"/>
          <w:lang w:val="el-GR"/>
        </w:rPr>
        <w:t xml:space="preserve">Grade C (Good): </w:t>
      </w:r>
      <w:r>
        <w:rPr>
          <w:rFonts w:ascii="Book Antiqua" w:hAnsi="Book Antiqua" w:cs="Helvetica"/>
          <w:sz w:val="24"/>
          <w:szCs w:val="24"/>
          <w:lang w:val="el-GR" w:eastAsia="zh-CN"/>
        </w:rPr>
        <w:t>C, C</w:t>
      </w:r>
    </w:p>
    <w:p w14:paraId="35BE7FBD" w14:textId="77777777" w:rsidR="007F47EA" w:rsidRPr="007F47EA" w:rsidRDefault="007F47EA" w:rsidP="007F47EA">
      <w:pPr>
        <w:snapToGrid w:val="0"/>
        <w:spacing w:after="0" w:line="360" w:lineRule="auto"/>
        <w:jc w:val="both"/>
        <w:rPr>
          <w:rFonts w:ascii="Book Antiqua" w:hAnsi="Book Antiqua" w:cs="Helvetica"/>
          <w:sz w:val="24"/>
          <w:szCs w:val="24"/>
          <w:lang w:val="el-GR"/>
        </w:rPr>
      </w:pPr>
      <w:r w:rsidRPr="007F47EA">
        <w:rPr>
          <w:rFonts w:ascii="Book Antiqua" w:hAnsi="Book Antiqua" w:cs="Helvetica"/>
          <w:sz w:val="24"/>
          <w:szCs w:val="24"/>
          <w:lang w:val="el-GR"/>
        </w:rPr>
        <w:t xml:space="preserve">Grade D (Fair): 0 </w:t>
      </w:r>
    </w:p>
    <w:p w14:paraId="683736D8" w14:textId="77777777" w:rsidR="007F47EA" w:rsidRPr="007F47EA" w:rsidRDefault="007F47EA" w:rsidP="007F47EA">
      <w:pPr>
        <w:snapToGrid w:val="0"/>
        <w:spacing w:after="0" w:line="360" w:lineRule="auto"/>
        <w:jc w:val="both"/>
        <w:rPr>
          <w:rFonts w:ascii="Book Antiqua" w:hAnsi="Book Antiqua" w:cs="Calibri"/>
          <w:noProof/>
          <w:sz w:val="24"/>
          <w:szCs w:val="24"/>
          <w:lang w:val="en-US"/>
        </w:rPr>
      </w:pPr>
      <w:r w:rsidRPr="007F47EA">
        <w:rPr>
          <w:rFonts w:ascii="Book Antiqua" w:hAnsi="Book Antiqua" w:cs="Helvetica"/>
          <w:sz w:val="24"/>
          <w:szCs w:val="24"/>
          <w:lang w:val="el-GR"/>
        </w:rPr>
        <w:t>Grade E (Poor): 0</w:t>
      </w:r>
    </w:p>
    <w:p w14:paraId="293FFDB9" w14:textId="77777777" w:rsidR="007F47EA" w:rsidRPr="007F47EA" w:rsidRDefault="007F47EA" w:rsidP="007F47EA">
      <w:pPr>
        <w:snapToGrid w:val="0"/>
        <w:spacing w:after="0" w:line="360" w:lineRule="auto"/>
        <w:jc w:val="both"/>
        <w:rPr>
          <w:rFonts w:ascii="Book Antiqua" w:hAnsi="Book Antiqua" w:cs="Calibri"/>
          <w:noProof/>
          <w:sz w:val="24"/>
          <w:szCs w:val="24"/>
          <w:lang w:val="en-GB" w:eastAsia="zh-CN"/>
        </w:rPr>
      </w:pPr>
    </w:p>
    <w:p w14:paraId="0F147F0A" w14:textId="1B138B3B" w:rsidR="007F47EA" w:rsidRPr="002575A7" w:rsidRDefault="007F47EA" w:rsidP="007F47EA">
      <w:pPr>
        <w:snapToGrid w:val="0"/>
        <w:spacing w:after="0" w:line="360" w:lineRule="auto"/>
        <w:jc w:val="both"/>
        <w:rPr>
          <w:rFonts w:ascii="Book Antiqua" w:hAnsi="Book Antiqua" w:cs="Times New Roman"/>
          <w:sz w:val="24"/>
          <w:szCs w:val="24"/>
          <w:lang w:val="en-US"/>
        </w:rPr>
      </w:pPr>
      <w:r w:rsidRPr="007F47EA">
        <w:rPr>
          <w:rFonts w:ascii="Book Antiqua" w:hAnsi="Book Antiqua" w:cs="Courier New"/>
          <w:b/>
          <w:kern w:val="2"/>
          <w:sz w:val="24"/>
          <w:szCs w:val="24"/>
          <w:lang w:val="en-US" w:eastAsia="zh-CN"/>
        </w:rPr>
        <w:t xml:space="preserve">P-Reviewer: </w:t>
      </w:r>
      <w:r w:rsidRPr="007F47EA">
        <w:rPr>
          <w:rFonts w:ascii="Book Antiqua" w:hAnsi="Book Antiqua" w:cs="Courier New"/>
          <w:bCs/>
          <w:kern w:val="2"/>
          <w:sz w:val="24"/>
          <w:szCs w:val="24"/>
          <w:lang w:val="en-US" w:eastAsia="zh-CN"/>
        </w:rPr>
        <w:t>Sun XT, Rungsakulkij N</w:t>
      </w:r>
      <w:r w:rsidRPr="007F47EA">
        <w:rPr>
          <w:rFonts w:ascii="Book Antiqua" w:hAnsi="Book Antiqua" w:cs="Courier New"/>
          <w:b/>
          <w:kern w:val="2"/>
          <w:sz w:val="24"/>
          <w:szCs w:val="24"/>
          <w:lang w:val="en-US" w:eastAsia="zh-CN"/>
        </w:rPr>
        <w:t xml:space="preserve"> S-Editor: </w:t>
      </w:r>
      <w:r w:rsidRPr="007F47EA">
        <w:rPr>
          <w:rFonts w:ascii="Book Antiqua" w:hAnsi="Book Antiqua" w:cs="Courier New" w:hint="eastAsia"/>
          <w:kern w:val="2"/>
          <w:sz w:val="24"/>
          <w:szCs w:val="24"/>
          <w:lang w:val="en-US" w:eastAsia="zh-CN"/>
        </w:rPr>
        <w:t>Wang YQ</w:t>
      </w:r>
      <w:r w:rsidRPr="007F47EA">
        <w:rPr>
          <w:rFonts w:ascii="Book Antiqua" w:hAnsi="Book Antiqua" w:cs="Courier New"/>
          <w:b/>
          <w:kern w:val="2"/>
          <w:sz w:val="24"/>
          <w:szCs w:val="24"/>
          <w:lang w:val="en-US" w:eastAsia="zh-CN"/>
        </w:rPr>
        <w:t xml:space="preserve"> L-Editor: </w:t>
      </w:r>
      <w:r w:rsidR="00F32207">
        <w:rPr>
          <w:rFonts w:ascii="Book Antiqua" w:hAnsi="Book Antiqua" w:cs="Courier New"/>
          <w:kern w:val="2"/>
          <w:sz w:val="24"/>
          <w:szCs w:val="24"/>
          <w:lang w:val="en-US" w:eastAsia="zh-CN"/>
        </w:rPr>
        <w:t xml:space="preserve">Webster JR </w:t>
      </w:r>
      <w:r w:rsidRPr="007F47EA">
        <w:rPr>
          <w:rFonts w:ascii="Book Antiqua" w:hAnsi="Book Antiqua" w:cs="Courier New"/>
          <w:b/>
          <w:kern w:val="2"/>
          <w:sz w:val="24"/>
          <w:szCs w:val="24"/>
          <w:lang w:val="en-US" w:eastAsia="zh-CN"/>
        </w:rPr>
        <w:t>E-Editor:</w:t>
      </w:r>
      <w:bookmarkEnd w:id="12"/>
    </w:p>
    <w:p w14:paraId="65305BB8" w14:textId="08C817F9" w:rsidR="00A84B11" w:rsidRPr="002575A7" w:rsidRDefault="00A84B11"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br w:type="page"/>
      </w:r>
    </w:p>
    <w:p w14:paraId="3F418AB9" w14:textId="77777777" w:rsidR="007F47EA" w:rsidRPr="007F47EA" w:rsidRDefault="007F47EA" w:rsidP="007F47EA">
      <w:pPr>
        <w:adjustRightInd w:val="0"/>
        <w:snapToGrid w:val="0"/>
        <w:spacing w:after="0" w:line="360" w:lineRule="auto"/>
        <w:jc w:val="both"/>
        <w:rPr>
          <w:rFonts w:ascii="Book Antiqua" w:hAnsi="Book Antiqua" w:cs="Times New Roman"/>
          <w:b/>
          <w:sz w:val="24"/>
          <w:szCs w:val="24"/>
          <w:lang w:val="el-GR" w:eastAsia="zh-CN"/>
        </w:rPr>
      </w:pPr>
      <w:bookmarkStart w:id="13" w:name="_Hlk27143547"/>
      <w:r w:rsidRPr="007F47EA">
        <w:rPr>
          <w:rFonts w:ascii="Book Antiqua" w:hAnsi="Book Antiqua" w:cs="Times New Roman"/>
          <w:b/>
          <w:sz w:val="24"/>
          <w:szCs w:val="24"/>
          <w:lang w:val="el-GR"/>
        </w:rPr>
        <w:lastRenderedPageBreak/>
        <w:t>Figure Legends</w:t>
      </w:r>
    </w:p>
    <w:bookmarkEnd w:id="13"/>
    <w:p w14:paraId="1B56F485" w14:textId="2AE60445" w:rsidR="00DF24B1" w:rsidRPr="002575A7" w:rsidRDefault="007F47EA" w:rsidP="00864BDB">
      <w:pPr>
        <w:snapToGrid w:val="0"/>
        <w:spacing w:after="0" w:line="360" w:lineRule="auto"/>
        <w:jc w:val="both"/>
        <w:rPr>
          <w:rFonts w:ascii="Book Antiqua" w:hAnsi="Book Antiqua" w:cs="Times New Roman"/>
          <w:b/>
          <w:sz w:val="24"/>
          <w:szCs w:val="24"/>
          <w:lang w:val="en-US"/>
        </w:rPr>
      </w:pPr>
      <w:r>
        <w:rPr>
          <w:noProof/>
          <w:lang w:eastAsia="fr-FR"/>
        </w:rPr>
        <w:drawing>
          <wp:inline distT="0" distB="0" distL="0" distR="0" wp14:anchorId="553E93BF" wp14:editId="462C296C">
            <wp:extent cx="5760720" cy="4271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71010"/>
                    </a:xfrm>
                    <a:prstGeom prst="rect">
                      <a:avLst/>
                    </a:prstGeom>
                  </pic:spPr>
                </pic:pic>
              </a:graphicData>
            </a:graphic>
          </wp:inline>
        </w:drawing>
      </w:r>
    </w:p>
    <w:p w14:paraId="05B0F343" w14:textId="5D050E45" w:rsidR="00DF24B1" w:rsidRPr="001E7E15" w:rsidRDefault="00DF24B1" w:rsidP="00864BDB">
      <w:pPr>
        <w:snapToGrid w:val="0"/>
        <w:spacing w:after="0" w:line="360" w:lineRule="auto"/>
        <w:jc w:val="both"/>
        <w:rPr>
          <w:rFonts w:ascii="Book Antiqua" w:hAnsi="Book Antiqua" w:cs="Times New Roman"/>
          <w:b/>
          <w:sz w:val="24"/>
          <w:szCs w:val="24"/>
          <w:lang w:val="en-US"/>
        </w:rPr>
      </w:pPr>
      <w:r w:rsidRPr="007F47EA">
        <w:rPr>
          <w:rFonts w:ascii="Book Antiqua" w:hAnsi="Book Antiqua" w:cs="Times New Roman"/>
          <w:b/>
          <w:sz w:val="24"/>
          <w:szCs w:val="24"/>
          <w:lang w:val="en-US"/>
        </w:rPr>
        <w:t>Figure 1</w:t>
      </w:r>
      <w:r w:rsidR="007F47EA">
        <w:rPr>
          <w:rFonts w:ascii="Book Antiqua" w:hAnsi="Book Antiqua" w:cs="Times New Roman"/>
          <w:b/>
          <w:sz w:val="24"/>
          <w:szCs w:val="24"/>
          <w:lang w:val="en-US"/>
        </w:rPr>
        <w:t xml:space="preserve"> </w:t>
      </w:r>
      <w:r w:rsidRPr="007F47EA">
        <w:rPr>
          <w:rFonts w:ascii="Book Antiqua" w:hAnsi="Book Antiqua" w:cs="Times New Roman"/>
          <w:b/>
          <w:sz w:val="24"/>
          <w:szCs w:val="24"/>
          <w:lang w:val="en-US"/>
        </w:rPr>
        <w:t>Kaplan-Meier curves of overall survival and progression</w:t>
      </w:r>
      <w:r w:rsidR="00434702" w:rsidRPr="007F47EA">
        <w:rPr>
          <w:rFonts w:ascii="Book Antiqua" w:hAnsi="Book Antiqua" w:cs="Times New Roman"/>
          <w:b/>
          <w:sz w:val="24"/>
          <w:szCs w:val="24"/>
          <w:lang w:val="en-US"/>
        </w:rPr>
        <w:t>-</w:t>
      </w:r>
      <w:r w:rsidRPr="007F47EA">
        <w:rPr>
          <w:rFonts w:ascii="Book Antiqua" w:hAnsi="Book Antiqua" w:cs="Times New Roman"/>
          <w:b/>
          <w:sz w:val="24"/>
          <w:szCs w:val="24"/>
          <w:lang w:val="en-US"/>
        </w:rPr>
        <w:t>free survival for</w:t>
      </w:r>
      <w:r w:rsidRPr="002575A7">
        <w:rPr>
          <w:rFonts w:ascii="Book Antiqua" w:hAnsi="Book Antiqua" w:cs="Times New Roman"/>
          <w:b/>
          <w:sz w:val="24"/>
          <w:szCs w:val="24"/>
          <w:lang w:val="en-US"/>
        </w:rPr>
        <w:t xml:space="preserve"> the FOLFIRINOX and FOLFOXIRI groups in the </w:t>
      </w:r>
      <w:r w:rsidR="00BE5B2B">
        <w:rPr>
          <w:rFonts w:ascii="Book Antiqua" w:hAnsi="Book Antiqua" w:cs="Times New Roman"/>
          <w:b/>
          <w:sz w:val="24"/>
          <w:szCs w:val="24"/>
          <w:lang w:val="en-US"/>
        </w:rPr>
        <w:t>overall</w:t>
      </w:r>
      <w:r w:rsidR="00BE5B2B" w:rsidRPr="002575A7">
        <w:rPr>
          <w:rFonts w:ascii="Book Antiqua" w:hAnsi="Book Antiqua" w:cs="Times New Roman"/>
          <w:b/>
          <w:sz w:val="24"/>
          <w:szCs w:val="24"/>
          <w:lang w:val="en-US"/>
        </w:rPr>
        <w:t xml:space="preserve"> </w:t>
      </w:r>
      <w:r w:rsidRPr="002575A7">
        <w:rPr>
          <w:rFonts w:ascii="Book Antiqua" w:hAnsi="Book Antiqua" w:cs="Times New Roman"/>
          <w:b/>
          <w:sz w:val="24"/>
          <w:szCs w:val="24"/>
          <w:lang w:val="en-US"/>
        </w:rPr>
        <w:t>population and the propensity score</w:t>
      </w:r>
      <w:r w:rsidRPr="002575A7">
        <w:rPr>
          <w:rFonts w:ascii="Times New Roman" w:hAnsi="Times New Roman" w:cs="Times New Roman"/>
          <w:b/>
          <w:sz w:val="24"/>
          <w:szCs w:val="24"/>
          <w:lang w:val="en-US"/>
        </w:rPr>
        <w:t>‐</w:t>
      </w:r>
      <w:r w:rsidRPr="002575A7">
        <w:rPr>
          <w:rFonts w:ascii="Book Antiqua" w:hAnsi="Book Antiqua" w:cs="Times New Roman"/>
          <w:b/>
          <w:sz w:val="24"/>
          <w:szCs w:val="24"/>
          <w:lang w:val="en-US"/>
        </w:rPr>
        <w:t xml:space="preserve">matched population. </w:t>
      </w:r>
      <w:r w:rsidR="00123C6D">
        <w:rPr>
          <w:rFonts w:ascii="Book Antiqua" w:hAnsi="Book Antiqua" w:cs="Times New Roman"/>
          <w:sz w:val="24"/>
          <w:szCs w:val="24"/>
          <w:lang w:val="en-US"/>
        </w:rPr>
        <w:t>A</w:t>
      </w:r>
      <w:r w:rsidR="00456325">
        <w:rPr>
          <w:rFonts w:ascii="Book Antiqua" w:hAnsi="Book Antiqua" w:cs="Times New Roman" w:hint="eastAsia"/>
          <w:sz w:val="24"/>
          <w:szCs w:val="24"/>
          <w:lang w:val="en-US" w:eastAsia="zh-CN"/>
        </w:rPr>
        <w:t>:</w:t>
      </w:r>
      <w:r w:rsidR="00123C6D">
        <w:rPr>
          <w:rFonts w:ascii="Book Antiqua" w:hAnsi="Book Antiqua" w:cs="Times New Roman"/>
          <w:sz w:val="24"/>
          <w:szCs w:val="24"/>
          <w:lang w:val="en-US"/>
        </w:rPr>
        <w:t xml:space="preserve"> </w:t>
      </w:r>
      <w:r w:rsidR="00BE5B2B" w:rsidRPr="00BE5B2B">
        <w:rPr>
          <w:rFonts w:ascii="Book Antiqua" w:hAnsi="Book Antiqua" w:cs="Times New Roman"/>
          <w:sz w:val="24"/>
          <w:szCs w:val="24"/>
          <w:lang w:val="en-US"/>
        </w:rPr>
        <w:t xml:space="preserve">Overall survival </w:t>
      </w:r>
      <w:r w:rsidR="00456325" w:rsidRPr="00BE5B2B">
        <w:rPr>
          <w:rFonts w:ascii="Book Antiqua" w:hAnsi="Book Antiqua" w:cs="Times New Roman"/>
          <w:sz w:val="24"/>
          <w:szCs w:val="24"/>
          <w:lang w:val="en-US"/>
        </w:rPr>
        <w:t>in the whole population</w:t>
      </w:r>
      <w:r w:rsidR="00456325">
        <w:rPr>
          <w:rFonts w:ascii="Book Antiqua" w:hAnsi="Book Antiqua" w:cs="Times New Roman"/>
          <w:sz w:val="24"/>
          <w:szCs w:val="24"/>
          <w:lang w:val="en-US"/>
        </w:rPr>
        <w:t xml:space="preserve">; </w:t>
      </w:r>
      <w:r w:rsidR="00123C6D">
        <w:rPr>
          <w:rFonts w:ascii="Book Antiqua" w:hAnsi="Book Antiqua" w:cs="Times New Roman"/>
          <w:sz w:val="24"/>
          <w:szCs w:val="24"/>
          <w:lang w:val="en-US"/>
        </w:rPr>
        <w:t>B</w:t>
      </w:r>
      <w:r w:rsidR="00456325">
        <w:rPr>
          <w:rFonts w:ascii="Book Antiqua" w:hAnsi="Book Antiqua" w:cs="Times New Roman"/>
          <w:sz w:val="24"/>
          <w:szCs w:val="24"/>
          <w:lang w:val="en-US"/>
        </w:rPr>
        <w:t>:</w:t>
      </w:r>
      <w:r w:rsidR="00123C6D">
        <w:rPr>
          <w:rFonts w:ascii="Book Antiqua" w:hAnsi="Book Antiqua" w:cs="Times New Roman"/>
          <w:sz w:val="24"/>
          <w:szCs w:val="24"/>
          <w:lang w:val="en-US"/>
        </w:rPr>
        <w:t xml:space="preserve"> </w:t>
      </w:r>
      <w:r w:rsidR="00456325" w:rsidRPr="00BE5B2B">
        <w:rPr>
          <w:rFonts w:ascii="Book Antiqua" w:hAnsi="Book Antiqua" w:cs="Times New Roman"/>
          <w:sz w:val="24"/>
          <w:szCs w:val="24"/>
          <w:lang w:val="en-US"/>
        </w:rPr>
        <w:t>Progression</w:t>
      </w:r>
      <w:r w:rsidR="00BE5B2B" w:rsidRPr="00BE5B2B">
        <w:rPr>
          <w:rFonts w:ascii="Book Antiqua" w:hAnsi="Book Antiqua" w:cs="Times New Roman"/>
          <w:sz w:val="24"/>
          <w:szCs w:val="24"/>
          <w:lang w:val="en-US"/>
        </w:rPr>
        <w:t xml:space="preserve">-free survival in the whole population; </w:t>
      </w:r>
      <w:r w:rsidR="00123C6D">
        <w:rPr>
          <w:rFonts w:ascii="Book Antiqua" w:hAnsi="Book Antiqua" w:cs="Times New Roman"/>
          <w:sz w:val="24"/>
          <w:szCs w:val="24"/>
          <w:lang w:val="en-US"/>
        </w:rPr>
        <w:t>C</w:t>
      </w:r>
      <w:r w:rsidR="00456325">
        <w:rPr>
          <w:rFonts w:ascii="Book Antiqua" w:hAnsi="Book Antiqua" w:cs="Times New Roman"/>
          <w:sz w:val="24"/>
          <w:szCs w:val="24"/>
          <w:lang w:val="en-US"/>
        </w:rPr>
        <w:t>:</w:t>
      </w:r>
      <w:r w:rsidR="00123C6D">
        <w:rPr>
          <w:rFonts w:ascii="Book Antiqua" w:hAnsi="Book Antiqua" w:cs="Times New Roman"/>
          <w:sz w:val="24"/>
          <w:szCs w:val="24"/>
          <w:lang w:val="en-US"/>
        </w:rPr>
        <w:t xml:space="preserve"> </w:t>
      </w:r>
      <w:r w:rsidR="00456325" w:rsidRPr="00BE5B2B">
        <w:rPr>
          <w:rFonts w:ascii="Book Antiqua" w:hAnsi="Book Antiqua" w:cs="Times New Roman"/>
          <w:sz w:val="24"/>
          <w:szCs w:val="24"/>
          <w:lang w:val="en-US"/>
        </w:rPr>
        <w:t xml:space="preserve">Overall </w:t>
      </w:r>
      <w:r w:rsidR="00BE5B2B" w:rsidRPr="00BE5B2B">
        <w:rPr>
          <w:rFonts w:ascii="Book Antiqua" w:hAnsi="Book Antiqua" w:cs="Times New Roman"/>
          <w:sz w:val="24"/>
          <w:szCs w:val="24"/>
          <w:lang w:val="en-US"/>
        </w:rPr>
        <w:t xml:space="preserve">survival </w:t>
      </w:r>
      <w:r w:rsidR="00456325" w:rsidRPr="00BE5B2B">
        <w:rPr>
          <w:rFonts w:ascii="Book Antiqua" w:hAnsi="Book Antiqua" w:cs="Times New Roman"/>
          <w:sz w:val="24"/>
          <w:szCs w:val="24"/>
          <w:lang w:val="en-US"/>
        </w:rPr>
        <w:t>in the propensity score-matched population</w:t>
      </w:r>
      <w:r w:rsidR="00456325">
        <w:rPr>
          <w:rFonts w:ascii="Book Antiqua" w:hAnsi="Book Antiqua" w:cs="Times New Roman"/>
          <w:sz w:val="24"/>
          <w:szCs w:val="24"/>
          <w:lang w:val="en-US"/>
        </w:rPr>
        <w:t>;</w:t>
      </w:r>
      <w:r w:rsidR="00456325" w:rsidRPr="00BE5B2B">
        <w:rPr>
          <w:rFonts w:ascii="Book Antiqua" w:hAnsi="Book Antiqua" w:cs="Times New Roman"/>
          <w:sz w:val="24"/>
          <w:szCs w:val="24"/>
          <w:lang w:val="en-US"/>
        </w:rPr>
        <w:t xml:space="preserve"> </w:t>
      </w:r>
      <w:r w:rsidR="00123C6D" w:rsidRPr="00BE5B2B">
        <w:rPr>
          <w:rFonts w:ascii="Book Antiqua" w:hAnsi="Book Antiqua" w:cs="Times New Roman"/>
          <w:sz w:val="24"/>
          <w:szCs w:val="24"/>
          <w:lang w:val="en-US"/>
        </w:rPr>
        <w:t>D</w:t>
      </w:r>
      <w:r w:rsidR="00456325">
        <w:rPr>
          <w:rFonts w:ascii="Book Antiqua" w:hAnsi="Book Antiqua" w:cs="Times New Roman"/>
          <w:sz w:val="24"/>
          <w:szCs w:val="24"/>
          <w:lang w:val="en-US"/>
        </w:rPr>
        <w:t>:</w:t>
      </w:r>
      <w:r w:rsidR="00123C6D">
        <w:rPr>
          <w:rFonts w:ascii="Book Antiqua" w:hAnsi="Book Antiqua" w:cs="Times New Roman"/>
          <w:sz w:val="24"/>
          <w:szCs w:val="24"/>
          <w:lang w:val="en-US"/>
        </w:rPr>
        <w:t xml:space="preserve"> </w:t>
      </w:r>
      <w:r w:rsidR="00456325" w:rsidRPr="00BE5B2B">
        <w:rPr>
          <w:rFonts w:ascii="Book Antiqua" w:hAnsi="Book Antiqua" w:cs="Times New Roman"/>
          <w:sz w:val="24"/>
          <w:szCs w:val="24"/>
          <w:lang w:val="en-US"/>
        </w:rPr>
        <w:t>Progression</w:t>
      </w:r>
      <w:r w:rsidR="00BE5B2B" w:rsidRPr="00BE5B2B">
        <w:rPr>
          <w:rFonts w:ascii="Book Antiqua" w:hAnsi="Book Antiqua" w:cs="Times New Roman"/>
          <w:sz w:val="24"/>
          <w:szCs w:val="24"/>
          <w:lang w:val="en-US"/>
        </w:rPr>
        <w:t>-free survival in the propensity score-matched population.</w:t>
      </w:r>
      <w:r w:rsidR="00BE5B2B">
        <w:rPr>
          <w:rFonts w:ascii="Book Antiqua" w:hAnsi="Book Antiqua" w:cs="Times New Roman"/>
          <w:sz w:val="24"/>
          <w:szCs w:val="24"/>
          <w:lang w:val="en-US"/>
        </w:rPr>
        <w:t xml:space="preserve"> </w:t>
      </w:r>
      <w:r w:rsidR="00BE5B2B" w:rsidRPr="00456325">
        <w:rPr>
          <w:rFonts w:ascii="Book Antiqua" w:hAnsi="Book Antiqua" w:cs="Times New Roman"/>
          <w:i/>
          <w:iCs/>
          <w:sz w:val="24"/>
          <w:szCs w:val="24"/>
          <w:lang w:val="en-US"/>
        </w:rPr>
        <w:t>P</w:t>
      </w:r>
      <w:r w:rsidR="00BE5B2B" w:rsidRPr="00BE5B2B">
        <w:rPr>
          <w:rFonts w:ascii="Book Antiqua" w:hAnsi="Book Antiqua" w:cs="Times New Roman"/>
          <w:sz w:val="24"/>
          <w:szCs w:val="24"/>
          <w:lang w:val="en-US"/>
        </w:rPr>
        <w:t xml:space="preserve"> &lt;</w:t>
      </w:r>
      <w:r w:rsidR="001E7E15">
        <w:rPr>
          <w:rFonts w:ascii="Book Antiqua" w:hAnsi="Book Antiqua" w:cs="Times New Roman"/>
          <w:sz w:val="24"/>
          <w:szCs w:val="24"/>
          <w:lang w:val="en-US"/>
        </w:rPr>
        <w:t xml:space="preserve"> </w:t>
      </w:r>
      <w:r w:rsidR="00BE5B2B" w:rsidRPr="00BE5B2B">
        <w:rPr>
          <w:rFonts w:ascii="Book Antiqua" w:hAnsi="Book Antiqua" w:cs="Times New Roman"/>
          <w:sz w:val="24"/>
          <w:szCs w:val="24"/>
          <w:lang w:val="en-US"/>
        </w:rPr>
        <w:t>0.05 from the log-rank test</w:t>
      </w:r>
      <w:r w:rsidRPr="002575A7">
        <w:rPr>
          <w:rFonts w:ascii="Book Antiqua" w:hAnsi="Book Antiqua" w:cs="Times New Roman"/>
          <w:sz w:val="24"/>
          <w:szCs w:val="24"/>
          <w:lang w:val="en-US"/>
        </w:rPr>
        <w:t xml:space="preserve"> w</w:t>
      </w:r>
      <w:r w:rsidR="00F32207">
        <w:rPr>
          <w:rFonts w:ascii="Book Antiqua" w:hAnsi="Book Antiqua" w:cs="Times New Roman"/>
          <w:sz w:val="24"/>
          <w:szCs w:val="24"/>
          <w:lang w:val="en-US"/>
        </w:rPr>
        <w:t>as</w:t>
      </w:r>
      <w:r w:rsidRPr="002575A7">
        <w:rPr>
          <w:rFonts w:ascii="Book Antiqua" w:hAnsi="Book Antiqua" w:cs="Times New Roman"/>
          <w:sz w:val="24"/>
          <w:szCs w:val="24"/>
          <w:lang w:val="en-US"/>
        </w:rPr>
        <w:t xml:space="preserve"> considered statistically significant, and all tests were two-sided. </w:t>
      </w:r>
      <w:r w:rsidR="001E7E15" w:rsidRPr="002575A7">
        <w:rPr>
          <w:rFonts w:ascii="Book Antiqua" w:hAnsi="Book Antiqua" w:cs="Times New Roman"/>
          <w:sz w:val="24"/>
          <w:szCs w:val="24"/>
          <w:lang w:val="en-US"/>
        </w:rPr>
        <w:t>CI</w:t>
      </w:r>
      <w:r w:rsidR="001E7E15">
        <w:rPr>
          <w:rFonts w:ascii="Book Antiqua" w:hAnsi="Book Antiqua" w:cs="Times New Roman"/>
          <w:sz w:val="24"/>
          <w:szCs w:val="24"/>
          <w:lang w:val="en-US"/>
        </w:rPr>
        <w:t>:</w:t>
      </w:r>
      <w:r w:rsidR="001E7E15" w:rsidRPr="002575A7">
        <w:rPr>
          <w:rFonts w:ascii="Book Antiqua" w:hAnsi="Book Antiqua" w:cs="Times New Roman"/>
          <w:sz w:val="24"/>
          <w:szCs w:val="24"/>
          <w:lang w:val="en-US"/>
        </w:rPr>
        <w:t xml:space="preserve"> Confidence </w:t>
      </w:r>
      <w:r w:rsidRPr="002575A7">
        <w:rPr>
          <w:rFonts w:ascii="Book Antiqua" w:hAnsi="Book Antiqua" w:cs="Times New Roman"/>
          <w:sz w:val="24"/>
          <w:szCs w:val="24"/>
          <w:lang w:val="en-US"/>
        </w:rPr>
        <w:t>interval</w:t>
      </w:r>
      <w:r w:rsidR="001E7E15">
        <w:rPr>
          <w:rFonts w:ascii="Book Antiqua" w:hAnsi="Book Antiqua" w:cs="Times New Roman"/>
          <w:sz w:val="24"/>
          <w:szCs w:val="24"/>
          <w:lang w:val="en-US"/>
        </w:rPr>
        <w:t>;</w:t>
      </w:r>
      <w:r w:rsidRPr="002575A7">
        <w:rPr>
          <w:rFonts w:ascii="Book Antiqua" w:hAnsi="Book Antiqua" w:cs="Times New Roman"/>
          <w:sz w:val="24"/>
          <w:szCs w:val="24"/>
          <w:lang w:val="en-US"/>
        </w:rPr>
        <w:t xml:space="preserve"> </w:t>
      </w:r>
      <w:r w:rsidR="001E7E15" w:rsidRPr="002575A7">
        <w:rPr>
          <w:rFonts w:ascii="Book Antiqua" w:hAnsi="Book Antiqua" w:cs="Times New Roman"/>
          <w:sz w:val="24"/>
          <w:szCs w:val="24"/>
          <w:lang w:val="en-US"/>
        </w:rPr>
        <w:t>HR</w:t>
      </w:r>
      <w:r w:rsidR="001E7E15">
        <w:rPr>
          <w:rFonts w:ascii="Book Antiqua" w:hAnsi="Book Antiqua" w:cs="Times New Roman"/>
          <w:sz w:val="24"/>
          <w:szCs w:val="24"/>
          <w:lang w:val="en-US"/>
        </w:rPr>
        <w:t>:</w:t>
      </w:r>
      <w:r w:rsidR="001E7E15" w:rsidRPr="002575A7">
        <w:rPr>
          <w:rFonts w:ascii="Book Antiqua" w:hAnsi="Book Antiqua" w:cs="Times New Roman"/>
          <w:sz w:val="24"/>
          <w:szCs w:val="24"/>
          <w:lang w:val="en-US"/>
        </w:rPr>
        <w:t xml:space="preserve"> Hazard </w:t>
      </w:r>
      <w:r w:rsidRPr="002575A7">
        <w:rPr>
          <w:rFonts w:ascii="Book Antiqua" w:hAnsi="Book Antiqua" w:cs="Times New Roman"/>
          <w:sz w:val="24"/>
          <w:szCs w:val="24"/>
          <w:lang w:val="en-US"/>
        </w:rPr>
        <w:t>ratio.</w:t>
      </w:r>
    </w:p>
    <w:p w14:paraId="7071154C" w14:textId="77777777" w:rsidR="00DF24B1" w:rsidRPr="002575A7" w:rsidRDefault="00DF24B1" w:rsidP="00864BDB">
      <w:pPr>
        <w:snapToGrid w:val="0"/>
        <w:spacing w:after="0" w:line="360" w:lineRule="auto"/>
        <w:jc w:val="both"/>
        <w:rPr>
          <w:rFonts w:ascii="Book Antiqua" w:hAnsi="Book Antiqua" w:cs="Times New Roman"/>
          <w:sz w:val="24"/>
          <w:szCs w:val="24"/>
          <w:lang w:val="en-US"/>
        </w:rPr>
      </w:pPr>
    </w:p>
    <w:p w14:paraId="7BFF396F" w14:textId="6C4F2D34" w:rsidR="00DF24B1" w:rsidRPr="002575A7" w:rsidRDefault="00DF24B1" w:rsidP="00864BDB">
      <w:pPr>
        <w:snapToGrid w:val="0"/>
        <w:spacing w:after="0" w:line="360" w:lineRule="auto"/>
        <w:jc w:val="both"/>
        <w:rPr>
          <w:rFonts w:ascii="Book Antiqua" w:hAnsi="Book Antiqua" w:cs="Times New Roman"/>
          <w:sz w:val="24"/>
          <w:szCs w:val="24"/>
          <w:lang w:val="en-US"/>
        </w:rPr>
      </w:pPr>
      <w:r w:rsidRPr="002575A7">
        <w:rPr>
          <w:rFonts w:ascii="Book Antiqua" w:hAnsi="Book Antiqua" w:cs="Times New Roman"/>
          <w:sz w:val="24"/>
          <w:szCs w:val="24"/>
          <w:lang w:val="en-US"/>
        </w:rPr>
        <w:br w:type="page"/>
      </w:r>
    </w:p>
    <w:p w14:paraId="42B1AB7A" w14:textId="5A6B00E4" w:rsidR="00206998" w:rsidRPr="002575A7" w:rsidRDefault="00206998" w:rsidP="007F47EA">
      <w:pPr>
        <w:snapToGrid w:val="0"/>
        <w:spacing w:after="0" w:line="360" w:lineRule="auto"/>
        <w:jc w:val="both"/>
        <w:rPr>
          <w:rFonts w:ascii="Book Antiqua" w:hAnsi="Book Antiqua" w:cs="Times New Roman"/>
          <w:b/>
          <w:sz w:val="24"/>
          <w:szCs w:val="24"/>
          <w:lang w:val="en-US"/>
        </w:rPr>
      </w:pPr>
      <w:r w:rsidRPr="007F47EA">
        <w:rPr>
          <w:rFonts w:ascii="Book Antiqua" w:hAnsi="Book Antiqua" w:cs="Times New Roman"/>
          <w:b/>
          <w:sz w:val="24"/>
          <w:szCs w:val="24"/>
          <w:lang w:val="en-US"/>
        </w:rPr>
        <w:lastRenderedPageBreak/>
        <w:t>Table 1</w:t>
      </w:r>
      <w:r w:rsidR="007F47EA">
        <w:rPr>
          <w:rFonts w:ascii="Book Antiqua" w:hAnsi="Book Antiqua" w:cs="Times New Roman"/>
          <w:b/>
          <w:sz w:val="24"/>
          <w:szCs w:val="24"/>
          <w:lang w:val="en-US"/>
        </w:rPr>
        <w:t xml:space="preserve"> </w:t>
      </w:r>
      <w:r w:rsidRPr="007F47EA">
        <w:rPr>
          <w:rFonts w:ascii="Book Antiqua" w:hAnsi="Book Antiqua" w:cs="Times New Roman"/>
          <w:b/>
          <w:sz w:val="24"/>
          <w:szCs w:val="24"/>
          <w:lang w:val="en-US"/>
        </w:rPr>
        <w:t xml:space="preserve">Patient characteristics of the </w:t>
      </w:r>
      <w:r w:rsidR="00BE5B2B" w:rsidRPr="007F47EA">
        <w:rPr>
          <w:rFonts w:ascii="Book Antiqua" w:hAnsi="Book Antiqua" w:cs="Times New Roman"/>
          <w:b/>
          <w:sz w:val="24"/>
          <w:szCs w:val="24"/>
          <w:lang w:val="en-US"/>
        </w:rPr>
        <w:t xml:space="preserve">overall </w:t>
      </w:r>
      <w:r w:rsidRPr="007F47EA">
        <w:rPr>
          <w:rFonts w:ascii="Book Antiqua" w:hAnsi="Book Antiqua" w:cs="Times New Roman"/>
          <w:b/>
          <w:sz w:val="24"/>
          <w:szCs w:val="24"/>
          <w:lang w:val="en-US"/>
        </w:rPr>
        <w:t>population according to first-line</w:t>
      </w:r>
      <w:r w:rsidRPr="002575A7">
        <w:rPr>
          <w:rFonts w:ascii="Book Antiqua" w:hAnsi="Book Antiqua" w:cs="Times New Roman"/>
          <w:b/>
          <w:sz w:val="24"/>
          <w:szCs w:val="24"/>
          <w:lang w:val="en-US"/>
        </w:rPr>
        <w:t xml:space="preserve"> chemotherapy</w:t>
      </w:r>
      <w:r w:rsidR="00FA65A3">
        <w:rPr>
          <w:rFonts w:ascii="Book Antiqua" w:hAnsi="Book Antiqua" w:cs="Times New Roman" w:hint="eastAsia"/>
          <w:b/>
          <w:sz w:val="24"/>
          <w:szCs w:val="24"/>
          <w:lang w:val="en-US" w:eastAsia="zh-CN"/>
        </w:rPr>
        <w:t>,</w:t>
      </w:r>
      <w:r w:rsidR="00FA65A3">
        <w:rPr>
          <w:rFonts w:ascii="Book Antiqua" w:hAnsi="Book Antiqua" w:cs="Times New Roman"/>
          <w:b/>
          <w:sz w:val="24"/>
          <w:szCs w:val="24"/>
          <w:lang w:val="en-US" w:eastAsia="zh-CN"/>
        </w:rPr>
        <w:t xml:space="preserve"> </w:t>
      </w:r>
      <w:r w:rsidR="00FA65A3" w:rsidRPr="00444C86">
        <w:rPr>
          <w:rFonts w:ascii="Book Antiqua" w:hAnsi="Book Antiqua" w:cs="Times New Roman"/>
          <w:b/>
          <w:i/>
          <w:sz w:val="24"/>
          <w:szCs w:val="24"/>
          <w:lang w:val="en-US" w:eastAsia="zh-CN"/>
        </w:rPr>
        <w:t>n</w:t>
      </w:r>
      <w:r w:rsidR="00DB5B28">
        <w:rPr>
          <w:rFonts w:ascii="Book Antiqua" w:hAnsi="Book Antiqua" w:cs="Times New Roman"/>
          <w:b/>
          <w:sz w:val="24"/>
          <w:szCs w:val="24"/>
          <w:lang w:val="en-US" w:eastAsia="zh-CN"/>
        </w:rPr>
        <w:t xml:space="preserve"> </w:t>
      </w:r>
      <w:r w:rsidR="00FA65A3">
        <w:rPr>
          <w:rFonts w:ascii="Book Antiqua" w:hAnsi="Book Antiqua" w:cs="Times New Roman"/>
          <w:b/>
          <w:sz w:val="24"/>
          <w:szCs w:val="24"/>
          <w:lang w:val="en-US" w:eastAsia="zh-CN"/>
        </w:rPr>
        <w:t>(%)</w:t>
      </w:r>
    </w:p>
    <w:tbl>
      <w:tblPr>
        <w:tblStyle w:val="a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2410"/>
        <w:gridCol w:w="992"/>
      </w:tblGrid>
      <w:tr w:rsidR="00FA65A3" w:rsidRPr="002575A7" w14:paraId="449A4E2F" w14:textId="77777777" w:rsidTr="00014A52">
        <w:trPr>
          <w:trHeight w:val="254"/>
          <w:jc w:val="center"/>
        </w:trPr>
        <w:tc>
          <w:tcPr>
            <w:tcW w:w="4253" w:type="dxa"/>
            <w:tcBorders>
              <w:top w:val="single" w:sz="4" w:space="0" w:color="auto"/>
              <w:bottom w:val="single" w:sz="4" w:space="0" w:color="auto"/>
            </w:tcBorders>
            <w:shd w:val="clear" w:color="auto" w:fill="auto"/>
            <w:vAlign w:val="center"/>
            <w:hideMark/>
          </w:tcPr>
          <w:p w14:paraId="350C5098" w14:textId="77777777" w:rsidR="00FA65A3" w:rsidRPr="002575A7" w:rsidRDefault="00FA65A3" w:rsidP="00864BDB">
            <w:pPr>
              <w:snapToGrid w:val="0"/>
              <w:spacing w:line="360" w:lineRule="auto"/>
              <w:jc w:val="both"/>
              <w:rPr>
                <w:rFonts w:ascii="Book Antiqua" w:eastAsia="Times New Roman" w:hAnsi="Book Antiqua" w:cs="Times New Roman"/>
                <w:lang w:val="en-US" w:eastAsia="fr-FR"/>
              </w:rPr>
            </w:pPr>
            <w:r w:rsidRPr="002575A7">
              <w:rPr>
                <w:rFonts w:ascii="Book Antiqua" w:eastAsia="Times New Roman" w:hAnsi="Book Antiqua" w:cs="Times New Roman"/>
                <w:b/>
                <w:lang w:val="en-US" w:eastAsia="fr-FR"/>
              </w:rPr>
              <w:t>Characteristics</w:t>
            </w:r>
          </w:p>
        </w:tc>
        <w:tc>
          <w:tcPr>
            <w:tcW w:w="2551" w:type="dxa"/>
            <w:tcBorders>
              <w:top w:val="single" w:sz="4" w:space="0" w:color="auto"/>
              <w:bottom w:val="single" w:sz="4" w:space="0" w:color="auto"/>
            </w:tcBorders>
            <w:shd w:val="clear" w:color="auto" w:fill="auto"/>
            <w:vAlign w:val="center"/>
            <w:hideMark/>
          </w:tcPr>
          <w:p w14:paraId="347CB8ED" w14:textId="04499C28" w:rsidR="00FA65A3" w:rsidRPr="002575A7" w:rsidRDefault="00FA65A3" w:rsidP="00864BDB">
            <w:pPr>
              <w:snapToGrid w:val="0"/>
              <w:spacing w:line="360" w:lineRule="auto"/>
              <w:jc w:val="both"/>
              <w:rPr>
                <w:rFonts w:ascii="Book Antiqua" w:eastAsia="Times New Roman" w:hAnsi="Book Antiqua" w:cs="Times New Roman"/>
                <w:b/>
                <w:bCs/>
                <w:color w:val="000000"/>
                <w:lang w:val="en-US" w:eastAsia="fr-FR"/>
              </w:rPr>
            </w:pPr>
            <w:r w:rsidRPr="002575A7">
              <w:rPr>
                <w:rFonts w:ascii="Book Antiqua" w:eastAsia="Times New Roman" w:hAnsi="Book Antiqua" w:cs="Times New Roman"/>
                <w:b/>
                <w:bCs/>
                <w:color w:val="000000"/>
                <w:lang w:val="en-US" w:eastAsia="fr-FR"/>
              </w:rPr>
              <w:t>FOLFIRINOX</w:t>
            </w:r>
            <w:r>
              <w:rPr>
                <w:rFonts w:ascii="Book Antiqua" w:hAnsi="Book Antiqua" w:cs="Times New Roman" w:hint="eastAsia"/>
                <w:b/>
                <w:bCs/>
                <w:color w:val="000000"/>
                <w:lang w:val="en-US" w:eastAsia="zh-CN"/>
              </w:rPr>
              <w:t xml:space="preserve"> </w:t>
            </w:r>
            <w:r w:rsidRPr="002575A7">
              <w:rPr>
                <w:rFonts w:ascii="Book Antiqua" w:eastAsia="Times New Roman" w:hAnsi="Book Antiqua" w:cs="Times New Roman"/>
                <w:b/>
                <w:bCs/>
                <w:color w:val="000000"/>
                <w:lang w:val="en-US" w:eastAsia="fr-FR"/>
              </w:rPr>
              <w:t>(</w:t>
            </w:r>
            <w:r w:rsidRPr="001E7E15">
              <w:rPr>
                <w:rFonts w:ascii="Book Antiqua" w:eastAsia="Times New Roman" w:hAnsi="Book Antiqua" w:cs="Times New Roman"/>
                <w:b/>
                <w:bCs/>
                <w:i/>
                <w:iCs/>
                <w:color w:val="000000"/>
                <w:lang w:val="en-US" w:eastAsia="fr-FR"/>
              </w:rPr>
              <w:t>n</w:t>
            </w:r>
            <w:r w:rsidRPr="002575A7">
              <w:rPr>
                <w:rFonts w:ascii="Book Antiqua" w:eastAsia="Times New Roman" w:hAnsi="Book Antiqua" w:cs="Times New Roman"/>
                <w:b/>
                <w:bCs/>
                <w:color w:val="000000"/>
                <w:lang w:val="en-US" w:eastAsia="fr-FR"/>
              </w:rPr>
              <w:t xml:space="preserve"> = 124)</w:t>
            </w:r>
          </w:p>
        </w:tc>
        <w:tc>
          <w:tcPr>
            <w:tcW w:w="2410" w:type="dxa"/>
            <w:tcBorders>
              <w:top w:val="single" w:sz="4" w:space="0" w:color="auto"/>
              <w:bottom w:val="single" w:sz="4" w:space="0" w:color="auto"/>
            </w:tcBorders>
            <w:shd w:val="clear" w:color="auto" w:fill="auto"/>
            <w:vAlign w:val="center"/>
          </w:tcPr>
          <w:p w14:paraId="2FCF308B" w14:textId="53E1A5E0" w:rsidR="00FA65A3" w:rsidRPr="002575A7" w:rsidRDefault="00FA65A3" w:rsidP="00864BDB">
            <w:pPr>
              <w:snapToGrid w:val="0"/>
              <w:spacing w:line="360" w:lineRule="auto"/>
              <w:jc w:val="both"/>
              <w:rPr>
                <w:rFonts w:ascii="Book Antiqua" w:eastAsia="Times New Roman" w:hAnsi="Book Antiqua" w:cs="Times New Roman"/>
                <w:b/>
                <w:bCs/>
                <w:color w:val="000000"/>
                <w:lang w:val="en-US" w:eastAsia="fr-FR"/>
              </w:rPr>
            </w:pPr>
            <w:r w:rsidRPr="002575A7">
              <w:rPr>
                <w:rFonts w:ascii="Book Antiqua" w:eastAsia="Times New Roman" w:hAnsi="Book Antiqua" w:cs="Times New Roman"/>
                <w:b/>
                <w:bCs/>
                <w:color w:val="000000"/>
                <w:lang w:val="en-US" w:eastAsia="fr-FR"/>
              </w:rPr>
              <w:t>FOLFOXIRI</w:t>
            </w:r>
            <w:r>
              <w:rPr>
                <w:rFonts w:ascii="Book Antiqua" w:hAnsi="Book Antiqua" w:cs="Times New Roman" w:hint="eastAsia"/>
                <w:b/>
                <w:bCs/>
                <w:color w:val="000000"/>
                <w:lang w:val="en-US" w:eastAsia="zh-CN"/>
              </w:rPr>
              <w:t xml:space="preserve"> </w:t>
            </w:r>
            <w:r w:rsidRPr="002575A7">
              <w:rPr>
                <w:rFonts w:ascii="Book Antiqua" w:eastAsia="Times New Roman" w:hAnsi="Book Antiqua" w:cs="Times New Roman"/>
                <w:b/>
                <w:bCs/>
                <w:color w:val="000000"/>
                <w:lang w:val="en-US" w:eastAsia="fr-FR"/>
              </w:rPr>
              <w:t>(</w:t>
            </w:r>
            <w:r w:rsidRPr="001E7E15">
              <w:rPr>
                <w:rFonts w:ascii="Book Antiqua" w:eastAsia="Times New Roman" w:hAnsi="Book Antiqua" w:cs="Times New Roman"/>
                <w:b/>
                <w:bCs/>
                <w:i/>
                <w:iCs/>
                <w:color w:val="000000"/>
                <w:lang w:val="en-US" w:eastAsia="fr-FR"/>
              </w:rPr>
              <w:t>n</w:t>
            </w:r>
            <w:r w:rsidRPr="002575A7">
              <w:rPr>
                <w:rFonts w:ascii="Book Antiqua" w:eastAsia="Times New Roman" w:hAnsi="Book Antiqua" w:cs="Times New Roman"/>
                <w:b/>
                <w:bCs/>
                <w:color w:val="000000"/>
                <w:lang w:val="en-US" w:eastAsia="fr-FR"/>
              </w:rPr>
              <w:t xml:space="preserve"> = 165)</w:t>
            </w:r>
          </w:p>
        </w:tc>
        <w:tc>
          <w:tcPr>
            <w:tcW w:w="992" w:type="dxa"/>
            <w:tcBorders>
              <w:top w:val="single" w:sz="4" w:space="0" w:color="auto"/>
              <w:bottom w:val="single" w:sz="4" w:space="0" w:color="auto"/>
            </w:tcBorders>
            <w:shd w:val="clear" w:color="auto" w:fill="auto"/>
            <w:vAlign w:val="center"/>
            <w:hideMark/>
          </w:tcPr>
          <w:p w14:paraId="3A86132C" w14:textId="661FA69F" w:rsidR="00FA65A3" w:rsidRPr="0010482B" w:rsidRDefault="00FA65A3" w:rsidP="00864BDB">
            <w:pPr>
              <w:snapToGrid w:val="0"/>
              <w:spacing w:line="360" w:lineRule="auto"/>
              <w:jc w:val="both"/>
              <w:rPr>
                <w:rFonts w:ascii="Book Antiqua" w:eastAsia="Times New Roman" w:hAnsi="Book Antiqua" w:cs="Times New Roman"/>
                <w:b/>
                <w:bCs/>
                <w:i/>
                <w:color w:val="000000"/>
                <w:lang w:val="en-US" w:eastAsia="fr-FR"/>
              </w:rPr>
            </w:pPr>
            <w:r w:rsidRPr="0010482B">
              <w:rPr>
                <w:rFonts w:ascii="Book Antiqua" w:eastAsia="Times New Roman" w:hAnsi="Book Antiqua" w:cs="Times New Roman"/>
                <w:b/>
                <w:bCs/>
                <w:i/>
                <w:color w:val="000000"/>
                <w:lang w:val="en-US" w:eastAsia="fr-FR"/>
              </w:rPr>
              <w:t>P</w:t>
            </w:r>
            <w:r>
              <w:rPr>
                <w:rFonts w:ascii="Book Antiqua" w:eastAsia="Times New Roman" w:hAnsi="Book Antiqua" w:cs="Times New Roman"/>
                <w:b/>
                <w:bCs/>
                <w:color w:val="000000"/>
                <w:lang w:val="en-US" w:eastAsia="fr-FR"/>
              </w:rPr>
              <w:t xml:space="preserve"> </w:t>
            </w:r>
            <w:r w:rsidRPr="002575A7">
              <w:rPr>
                <w:rFonts w:ascii="Book Antiqua" w:eastAsia="Times New Roman" w:hAnsi="Book Antiqua" w:cs="Times New Roman"/>
                <w:b/>
                <w:bCs/>
                <w:color w:val="000000"/>
                <w:lang w:val="en-US" w:eastAsia="fr-FR"/>
              </w:rPr>
              <w:t>value</w:t>
            </w:r>
          </w:p>
        </w:tc>
      </w:tr>
      <w:tr w:rsidR="001E7E15" w:rsidRPr="00FA65A3" w14:paraId="211E506F" w14:textId="77777777" w:rsidTr="00014A52">
        <w:trPr>
          <w:trHeight w:val="20"/>
          <w:jc w:val="center"/>
        </w:trPr>
        <w:tc>
          <w:tcPr>
            <w:tcW w:w="10206" w:type="dxa"/>
            <w:gridSpan w:val="4"/>
            <w:tcBorders>
              <w:top w:val="single" w:sz="4" w:space="0" w:color="auto"/>
            </w:tcBorders>
            <w:shd w:val="clear" w:color="auto" w:fill="auto"/>
            <w:noWrap/>
            <w:hideMark/>
          </w:tcPr>
          <w:p w14:paraId="53B35059" w14:textId="20E543C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Demographic parameters</w:t>
            </w:r>
          </w:p>
        </w:tc>
      </w:tr>
      <w:tr w:rsidR="00206998" w:rsidRPr="00FA65A3" w14:paraId="5C351BE4" w14:textId="77777777" w:rsidTr="00FA65A3">
        <w:trPr>
          <w:trHeight w:val="20"/>
          <w:jc w:val="center"/>
        </w:trPr>
        <w:tc>
          <w:tcPr>
            <w:tcW w:w="4253" w:type="dxa"/>
            <w:shd w:val="clear" w:color="auto" w:fill="auto"/>
            <w:noWrap/>
            <w:hideMark/>
          </w:tcPr>
          <w:p w14:paraId="2300790F" w14:textId="50440C5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Age, median [IQR], yr</w:t>
            </w:r>
          </w:p>
        </w:tc>
        <w:tc>
          <w:tcPr>
            <w:tcW w:w="2551" w:type="dxa"/>
            <w:shd w:val="clear" w:color="auto" w:fill="auto"/>
            <w:noWrap/>
          </w:tcPr>
          <w:p w14:paraId="6430F9E8" w14:textId="1B3962B1"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60.2 [53.0</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65.9]</w:t>
            </w:r>
          </w:p>
        </w:tc>
        <w:tc>
          <w:tcPr>
            <w:tcW w:w="2410" w:type="dxa"/>
            <w:shd w:val="clear" w:color="auto" w:fill="auto"/>
          </w:tcPr>
          <w:p w14:paraId="45F021BB" w14:textId="26090DD0"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62.5 [54.6</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67.5]</w:t>
            </w:r>
          </w:p>
        </w:tc>
        <w:tc>
          <w:tcPr>
            <w:tcW w:w="992" w:type="dxa"/>
            <w:shd w:val="clear" w:color="auto" w:fill="auto"/>
            <w:noWrap/>
          </w:tcPr>
          <w:p w14:paraId="284AE4B7"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0.174</w:t>
            </w:r>
          </w:p>
        </w:tc>
      </w:tr>
      <w:tr w:rsidR="001E7E15" w:rsidRPr="00FA65A3" w14:paraId="76515DB7" w14:textId="77777777" w:rsidTr="00FA65A3">
        <w:trPr>
          <w:trHeight w:val="20"/>
          <w:jc w:val="center"/>
        </w:trPr>
        <w:tc>
          <w:tcPr>
            <w:tcW w:w="4253" w:type="dxa"/>
            <w:shd w:val="clear" w:color="auto" w:fill="auto"/>
            <w:noWrap/>
            <w:hideMark/>
          </w:tcPr>
          <w:p w14:paraId="38E970F6" w14:textId="015E3330"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6E9F639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w:t>
            </w:r>
          </w:p>
        </w:tc>
        <w:tc>
          <w:tcPr>
            <w:tcW w:w="2410" w:type="dxa"/>
            <w:shd w:val="clear" w:color="auto" w:fill="auto"/>
          </w:tcPr>
          <w:p w14:paraId="73BD342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w:t>
            </w:r>
          </w:p>
        </w:tc>
        <w:tc>
          <w:tcPr>
            <w:tcW w:w="992" w:type="dxa"/>
            <w:shd w:val="clear" w:color="auto" w:fill="auto"/>
            <w:noWrap/>
          </w:tcPr>
          <w:p w14:paraId="3C85DBE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7F89B214" w14:textId="77777777" w:rsidTr="00FA65A3">
        <w:trPr>
          <w:trHeight w:val="20"/>
          <w:jc w:val="center"/>
        </w:trPr>
        <w:tc>
          <w:tcPr>
            <w:tcW w:w="4253" w:type="dxa"/>
            <w:shd w:val="clear" w:color="auto" w:fill="auto"/>
            <w:noWrap/>
            <w:hideMark/>
          </w:tcPr>
          <w:p w14:paraId="2A8535E9" w14:textId="374F51CC"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Gender</w:t>
            </w:r>
          </w:p>
        </w:tc>
        <w:tc>
          <w:tcPr>
            <w:tcW w:w="2551" w:type="dxa"/>
            <w:shd w:val="clear" w:color="auto" w:fill="auto"/>
            <w:noWrap/>
          </w:tcPr>
          <w:p w14:paraId="5371EC02" w14:textId="77777777" w:rsidR="00206998" w:rsidRPr="00FA65A3" w:rsidRDefault="00206998" w:rsidP="00864BDB">
            <w:pPr>
              <w:snapToGrid w:val="0"/>
              <w:spacing w:line="360" w:lineRule="auto"/>
              <w:jc w:val="both"/>
              <w:rPr>
                <w:rFonts w:ascii="Book Antiqua" w:eastAsia="Times New Roman" w:hAnsi="Book Antiqua" w:cs="Times New Roman"/>
                <w:lang w:val="en-US" w:eastAsia="fr-FR"/>
              </w:rPr>
            </w:pPr>
          </w:p>
        </w:tc>
        <w:tc>
          <w:tcPr>
            <w:tcW w:w="2410" w:type="dxa"/>
            <w:shd w:val="clear" w:color="auto" w:fill="auto"/>
          </w:tcPr>
          <w:p w14:paraId="5477E3B0"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1666C469"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0.989</w:t>
            </w:r>
          </w:p>
        </w:tc>
      </w:tr>
      <w:tr w:rsidR="001E7E15" w:rsidRPr="00FA65A3" w14:paraId="7C15E7F3" w14:textId="77777777" w:rsidTr="00FA65A3">
        <w:trPr>
          <w:trHeight w:val="20"/>
          <w:jc w:val="center"/>
        </w:trPr>
        <w:tc>
          <w:tcPr>
            <w:tcW w:w="4253" w:type="dxa"/>
            <w:shd w:val="clear" w:color="auto" w:fill="auto"/>
            <w:noWrap/>
            <w:hideMark/>
          </w:tcPr>
          <w:p w14:paraId="68693CA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Male</w:t>
            </w:r>
          </w:p>
        </w:tc>
        <w:tc>
          <w:tcPr>
            <w:tcW w:w="2551" w:type="dxa"/>
            <w:shd w:val="clear" w:color="auto" w:fill="auto"/>
            <w:noWrap/>
          </w:tcPr>
          <w:p w14:paraId="2849FCB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73 (58.9)</w:t>
            </w:r>
          </w:p>
        </w:tc>
        <w:tc>
          <w:tcPr>
            <w:tcW w:w="2410" w:type="dxa"/>
            <w:shd w:val="clear" w:color="auto" w:fill="auto"/>
          </w:tcPr>
          <w:p w14:paraId="3970A49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97 (58.8)</w:t>
            </w:r>
          </w:p>
        </w:tc>
        <w:tc>
          <w:tcPr>
            <w:tcW w:w="992" w:type="dxa"/>
            <w:shd w:val="clear" w:color="auto" w:fill="auto"/>
            <w:noWrap/>
          </w:tcPr>
          <w:p w14:paraId="3167F45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4F28A842" w14:textId="77777777" w:rsidTr="00FA65A3">
        <w:trPr>
          <w:trHeight w:val="20"/>
          <w:jc w:val="center"/>
        </w:trPr>
        <w:tc>
          <w:tcPr>
            <w:tcW w:w="4253" w:type="dxa"/>
            <w:shd w:val="clear" w:color="auto" w:fill="auto"/>
            <w:noWrap/>
            <w:hideMark/>
          </w:tcPr>
          <w:p w14:paraId="420DD2B5" w14:textId="175B56EB"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Female</w:t>
            </w:r>
          </w:p>
        </w:tc>
        <w:tc>
          <w:tcPr>
            <w:tcW w:w="2551" w:type="dxa"/>
            <w:shd w:val="clear" w:color="auto" w:fill="auto"/>
            <w:noWrap/>
          </w:tcPr>
          <w:p w14:paraId="275935C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51 (41.1)</w:t>
            </w:r>
          </w:p>
        </w:tc>
        <w:tc>
          <w:tcPr>
            <w:tcW w:w="2410" w:type="dxa"/>
            <w:shd w:val="clear" w:color="auto" w:fill="auto"/>
          </w:tcPr>
          <w:p w14:paraId="247207B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68 (41.2)</w:t>
            </w:r>
          </w:p>
        </w:tc>
        <w:tc>
          <w:tcPr>
            <w:tcW w:w="992" w:type="dxa"/>
            <w:shd w:val="clear" w:color="auto" w:fill="auto"/>
            <w:noWrap/>
          </w:tcPr>
          <w:p w14:paraId="459DBB5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63495C37" w14:textId="77777777" w:rsidTr="00FA65A3">
        <w:trPr>
          <w:trHeight w:val="20"/>
          <w:jc w:val="center"/>
        </w:trPr>
        <w:tc>
          <w:tcPr>
            <w:tcW w:w="4253" w:type="dxa"/>
            <w:shd w:val="clear" w:color="auto" w:fill="auto"/>
            <w:noWrap/>
            <w:hideMark/>
          </w:tcPr>
          <w:p w14:paraId="65CBD9E5" w14:textId="7901E383"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Familial history of cancer</w:t>
            </w:r>
          </w:p>
        </w:tc>
        <w:tc>
          <w:tcPr>
            <w:tcW w:w="2551" w:type="dxa"/>
            <w:shd w:val="clear" w:color="auto" w:fill="auto"/>
            <w:noWrap/>
          </w:tcPr>
          <w:p w14:paraId="587311F0"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518405AB"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50DA5706"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0.195</w:t>
            </w:r>
          </w:p>
        </w:tc>
      </w:tr>
      <w:tr w:rsidR="001E7E15" w:rsidRPr="00FA65A3" w14:paraId="6ED5FE5A" w14:textId="77777777" w:rsidTr="00FA65A3">
        <w:trPr>
          <w:trHeight w:val="20"/>
          <w:jc w:val="center"/>
        </w:trPr>
        <w:tc>
          <w:tcPr>
            <w:tcW w:w="4253" w:type="dxa"/>
            <w:shd w:val="clear" w:color="auto" w:fill="auto"/>
            <w:noWrap/>
            <w:hideMark/>
          </w:tcPr>
          <w:p w14:paraId="58C1530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0B9BEDF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32 (45.1)</w:t>
            </w:r>
          </w:p>
        </w:tc>
        <w:tc>
          <w:tcPr>
            <w:tcW w:w="2410" w:type="dxa"/>
            <w:shd w:val="clear" w:color="auto" w:fill="auto"/>
          </w:tcPr>
          <w:p w14:paraId="780416A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89 (54.3)</w:t>
            </w:r>
          </w:p>
        </w:tc>
        <w:tc>
          <w:tcPr>
            <w:tcW w:w="992" w:type="dxa"/>
            <w:shd w:val="clear" w:color="auto" w:fill="auto"/>
            <w:noWrap/>
          </w:tcPr>
          <w:p w14:paraId="4FE7132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27180962" w14:textId="77777777" w:rsidTr="00FA65A3">
        <w:trPr>
          <w:trHeight w:val="20"/>
          <w:jc w:val="center"/>
        </w:trPr>
        <w:tc>
          <w:tcPr>
            <w:tcW w:w="4253" w:type="dxa"/>
            <w:shd w:val="clear" w:color="auto" w:fill="auto"/>
            <w:noWrap/>
            <w:hideMark/>
          </w:tcPr>
          <w:p w14:paraId="66116B4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454CE5D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39 (54.9)</w:t>
            </w:r>
          </w:p>
        </w:tc>
        <w:tc>
          <w:tcPr>
            <w:tcW w:w="2410" w:type="dxa"/>
            <w:shd w:val="clear" w:color="auto" w:fill="auto"/>
          </w:tcPr>
          <w:p w14:paraId="321B718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75 (45.7)</w:t>
            </w:r>
          </w:p>
        </w:tc>
        <w:tc>
          <w:tcPr>
            <w:tcW w:w="992" w:type="dxa"/>
            <w:shd w:val="clear" w:color="auto" w:fill="auto"/>
            <w:noWrap/>
          </w:tcPr>
          <w:p w14:paraId="61DE455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680A232" w14:textId="77777777" w:rsidTr="00FA65A3">
        <w:trPr>
          <w:trHeight w:val="20"/>
          <w:jc w:val="center"/>
        </w:trPr>
        <w:tc>
          <w:tcPr>
            <w:tcW w:w="4253" w:type="dxa"/>
            <w:shd w:val="clear" w:color="auto" w:fill="auto"/>
            <w:noWrap/>
            <w:hideMark/>
          </w:tcPr>
          <w:p w14:paraId="2CF9704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7854FF4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53</w:t>
            </w:r>
          </w:p>
        </w:tc>
        <w:tc>
          <w:tcPr>
            <w:tcW w:w="2410" w:type="dxa"/>
            <w:shd w:val="clear" w:color="auto" w:fill="auto"/>
          </w:tcPr>
          <w:p w14:paraId="6FD1219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w:t>
            </w:r>
          </w:p>
        </w:tc>
        <w:tc>
          <w:tcPr>
            <w:tcW w:w="992" w:type="dxa"/>
            <w:shd w:val="clear" w:color="auto" w:fill="auto"/>
            <w:noWrap/>
          </w:tcPr>
          <w:p w14:paraId="4501F0D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56E325EB" w14:textId="77777777" w:rsidTr="00FA65A3">
        <w:trPr>
          <w:trHeight w:val="20"/>
          <w:jc w:val="center"/>
        </w:trPr>
        <w:tc>
          <w:tcPr>
            <w:tcW w:w="4253" w:type="dxa"/>
            <w:shd w:val="clear" w:color="auto" w:fill="auto"/>
            <w:noWrap/>
            <w:hideMark/>
          </w:tcPr>
          <w:p w14:paraId="3FDB464F" w14:textId="588201B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Personal history of cancer</w:t>
            </w:r>
          </w:p>
        </w:tc>
        <w:tc>
          <w:tcPr>
            <w:tcW w:w="2551" w:type="dxa"/>
            <w:shd w:val="clear" w:color="auto" w:fill="auto"/>
            <w:noWrap/>
          </w:tcPr>
          <w:p w14:paraId="5A251F23"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5D2864C5"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71AEB859"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0.219</w:t>
            </w:r>
          </w:p>
        </w:tc>
      </w:tr>
      <w:tr w:rsidR="001E7E15" w:rsidRPr="00FA65A3" w14:paraId="4CAC91F0" w14:textId="77777777" w:rsidTr="00FA65A3">
        <w:trPr>
          <w:trHeight w:val="20"/>
          <w:jc w:val="center"/>
        </w:trPr>
        <w:tc>
          <w:tcPr>
            <w:tcW w:w="4253" w:type="dxa"/>
            <w:shd w:val="clear" w:color="auto" w:fill="auto"/>
            <w:noWrap/>
            <w:hideMark/>
          </w:tcPr>
          <w:p w14:paraId="2324AA0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509B24F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110 (90.2)</w:t>
            </w:r>
          </w:p>
        </w:tc>
        <w:tc>
          <w:tcPr>
            <w:tcW w:w="2410" w:type="dxa"/>
            <w:shd w:val="clear" w:color="auto" w:fill="auto"/>
          </w:tcPr>
          <w:p w14:paraId="6AE5AC1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139 (85.3)</w:t>
            </w:r>
          </w:p>
        </w:tc>
        <w:tc>
          <w:tcPr>
            <w:tcW w:w="992" w:type="dxa"/>
            <w:shd w:val="clear" w:color="auto" w:fill="auto"/>
            <w:noWrap/>
          </w:tcPr>
          <w:p w14:paraId="0808979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18ED82D1" w14:textId="77777777" w:rsidTr="00FA65A3">
        <w:trPr>
          <w:trHeight w:val="20"/>
          <w:jc w:val="center"/>
        </w:trPr>
        <w:tc>
          <w:tcPr>
            <w:tcW w:w="4253" w:type="dxa"/>
            <w:shd w:val="clear" w:color="auto" w:fill="auto"/>
            <w:noWrap/>
            <w:hideMark/>
          </w:tcPr>
          <w:p w14:paraId="035ACFB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4DDFDB1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12 (9.8)</w:t>
            </w:r>
          </w:p>
        </w:tc>
        <w:tc>
          <w:tcPr>
            <w:tcW w:w="2410" w:type="dxa"/>
            <w:shd w:val="clear" w:color="auto" w:fill="auto"/>
          </w:tcPr>
          <w:p w14:paraId="1FE547B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24 (14.7)</w:t>
            </w:r>
          </w:p>
        </w:tc>
        <w:tc>
          <w:tcPr>
            <w:tcW w:w="992" w:type="dxa"/>
            <w:shd w:val="clear" w:color="auto" w:fill="auto"/>
            <w:noWrap/>
          </w:tcPr>
          <w:p w14:paraId="39FC239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024D6DE9" w14:textId="77777777" w:rsidTr="00FA65A3">
        <w:trPr>
          <w:trHeight w:val="20"/>
          <w:jc w:val="center"/>
        </w:trPr>
        <w:tc>
          <w:tcPr>
            <w:tcW w:w="4253" w:type="dxa"/>
            <w:shd w:val="clear" w:color="auto" w:fill="auto"/>
            <w:noWrap/>
            <w:hideMark/>
          </w:tcPr>
          <w:p w14:paraId="6B5E8ED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259A0AD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2410" w:type="dxa"/>
            <w:shd w:val="clear" w:color="auto" w:fill="auto"/>
          </w:tcPr>
          <w:p w14:paraId="219DEFE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992" w:type="dxa"/>
            <w:shd w:val="clear" w:color="auto" w:fill="auto"/>
            <w:noWrap/>
          </w:tcPr>
          <w:p w14:paraId="430A6EE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FA65A3" w14:paraId="06BE8BDB" w14:textId="77777777" w:rsidTr="00FA65A3">
        <w:trPr>
          <w:trHeight w:val="20"/>
          <w:jc w:val="center"/>
        </w:trPr>
        <w:tc>
          <w:tcPr>
            <w:tcW w:w="10206" w:type="dxa"/>
            <w:gridSpan w:val="4"/>
            <w:shd w:val="clear" w:color="auto" w:fill="auto"/>
            <w:noWrap/>
            <w:hideMark/>
          </w:tcPr>
          <w:p w14:paraId="02A81F1F" w14:textId="1644B681" w:rsidR="00FA65A3" w:rsidRPr="00FA65A3" w:rsidRDefault="00FA65A3"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Pathological parameters</w:t>
            </w:r>
          </w:p>
        </w:tc>
      </w:tr>
      <w:tr w:rsidR="00206998" w:rsidRPr="00FA65A3" w14:paraId="73BAA332" w14:textId="77777777" w:rsidTr="00FA65A3">
        <w:trPr>
          <w:trHeight w:val="20"/>
          <w:jc w:val="center"/>
        </w:trPr>
        <w:tc>
          <w:tcPr>
            <w:tcW w:w="4253" w:type="dxa"/>
            <w:shd w:val="clear" w:color="auto" w:fill="auto"/>
            <w:noWrap/>
            <w:hideMark/>
          </w:tcPr>
          <w:p w14:paraId="57080EC0" w14:textId="03C8EE40"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Stage at diagnosis</w:t>
            </w:r>
          </w:p>
        </w:tc>
        <w:tc>
          <w:tcPr>
            <w:tcW w:w="2551" w:type="dxa"/>
            <w:shd w:val="clear" w:color="auto" w:fill="auto"/>
            <w:noWrap/>
          </w:tcPr>
          <w:p w14:paraId="6B2AC370"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2989F97"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142F401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59709FEA" w14:textId="77777777" w:rsidTr="00FA65A3">
        <w:trPr>
          <w:trHeight w:val="20"/>
          <w:jc w:val="center"/>
        </w:trPr>
        <w:tc>
          <w:tcPr>
            <w:tcW w:w="4253" w:type="dxa"/>
            <w:shd w:val="clear" w:color="auto" w:fill="auto"/>
            <w:noWrap/>
          </w:tcPr>
          <w:p w14:paraId="3E8C86A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Localized</w:t>
            </w:r>
          </w:p>
        </w:tc>
        <w:tc>
          <w:tcPr>
            <w:tcW w:w="2551" w:type="dxa"/>
            <w:shd w:val="clear" w:color="auto" w:fill="auto"/>
            <w:noWrap/>
          </w:tcPr>
          <w:p w14:paraId="301616B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20 (16.1)</w:t>
            </w:r>
          </w:p>
        </w:tc>
        <w:tc>
          <w:tcPr>
            <w:tcW w:w="2410" w:type="dxa"/>
            <w:shd w:val="clear" w:color="auto" w:fill="auto"/>
          </w:tcPr>
          <w:p w14:paraId="5A7191B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13 (7.9)</w:t>
            </w:r>
          </w:p>
        </w:tc>
        <w:tc>
          <w:tcPr>
            <w:tcW w:w="992" w:type="dxa"/>
            <w:shd w:val="clear" w:color="auto" w:fill="auto"/>
            <w:noWrap/>
          </w:tcPr>
          <w:p w14:paraId="51EF03C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06F2EDFA" w14:textId="77777777" w:rsidTr="00FA65A3">
        <w:trPr>
          <w:trHeight w:val="20"/>
          <w:jc w:val="center"/>
        </w:trPr>
        <w:tc>
          <w:tcPr>
            <w:tcW w:w="4253" w:type="dxa"/>
            <w:shd w:val="clear" w:color="auto" w:fill="auto"/>
            <w:noWrap/>
            <w:hideMark/>
          </w:tcPr>
          <w:p w14:paraId="1A8573F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Locally advanced</w:t>
            </w:r>
          </w:p>
        </w:tc>
        <w:tc>
          <w:tcPr>
            <w:tcW w:w="2551" w:type="dxa"/>
            <w:shd w:val="clear" w:color="auto" w:fill="auto"/>
            <w:noWrap/>
          </w:tcPr>
          <w:p w14:paraId="0CBE5BF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18 (14.5)</w:t>
            </w:r>
          </w:p>
        </w:tc>
        <w:tc>
          <w:tcPr>
            <w:tcW w:w="2410" w:type="dxa"/>
            <w:shd w:val="clear" w:color="auto" w:fill="auto"/>
          </w:tcPr>
          <w:p w14:paraId="7DDAE40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60 (36.3)</w:t>
            </w:r>
          </w:p>
        </w:tc>
        <w:tc>
          <w:tcPr>
            <w:tcW w:w="992" w:type="dxa"/>
            <w:shd w:val="clear" w:color="auto" w:fill="auto"/>
            <w:noWrap/>
          </w:tcPr>
          <w:p w14:paraId="516ABD7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5FB8674A" w14:textId="77777777" w:rsidTr="00FA65A3">
        <w:trPr>
          <w:trHeight w:val="20"/>
          <w:jc w:val="center"/>
        </w:trPr>
        <w:tc>
          <w:tcPr>
            <w:tcW w:w="4253" w:type="dxa"/>
            <w:shd w:val="clear" w:color="auto" w:fill="auto"/>
            <w:noWrap/>
            <w:hideMark/>
          </w:tcPr>
          <w:p w14:paraId="0CDE47D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Metastatic</w:t>
            </w:r>
          </w:p>
        </w:tc>
        <w:tc>
          <w:tcPr>
            <w:tcW w:w="2551" w:type="dxa"/>
            <w:shd w:val="clear" w:color="auto" w:fill="auto"/>
            <w:noWrap/>
          </w:tcPr>
          <w:p w14:paraId="467664D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86 (69.4)</w:t>
            </w:r>
          </w:p>
        </w:tc>
        <w:tc>
          <w:tcPr>
            <w:tcW w:w="2410" w:type="dxa"/>
            <w:shd w:val="clear" w:color="auto" w:fill="auto"/>
          </w:tcPr>
          <w:p w14:paraId="470730E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92 (55.8)</w:t>
            </w:r>
          </w:p>
        </w:tc>
        <w:tc>
          <w:tcPr>
            <w:tcW w:w="992" w:type="dxa"/>
            <w:shd w:val="clear" w:color="auto" w:fill="auto"/>
            <w:noWrap/>
          </w:tcPr>
          <w:p w14:paraId="79EBA22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047D239" w14:textId="77777777" w:rsidTr="00FA65A3">
        <w:trPr>
          <w:trHeight w:val="20"/>
          <w:jc w:val="center"/>
        </w:trPr>
        <w:tc>
          <w:tcPr>
            <w:tcW w:w="4253" w:type="dxa"/>
            <w:shd w:val="clear" w:color="auto" w:fill="auto"/>
            <w:noWrap/>
            <w:hideMark/>
          </w:tcPr>
          <w:p w14:paraId="405F79D8" w14:textId="4E68CFA3"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Primary tumor site</w:t>
            </w:r>
          </w:p>
        </w:tc>
        <w:tc>
          <w:tcPr>
            <w:tcW w:w="2551" w:type="dxa"/>
            <w:shd w:val="clear" w:color="auto" w:fill="auto"/>
            <w:noWrap/>
          </w:tcPr>
          <w:p w14:paraId="29D225E4"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7E046E2C"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0B037FBB"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0.022</w:t>
            </w:r>
          </w:p>
        </w:tc>
      </w:tr>
      <w:tr w:rsidR="001E7E15" w:rsidRPr="00FA65A3" w14:paraId="04C019C6" w14:textId="77777777" w:rsidTr="00FA65A3">
        <w:trPr>
          <w:trHeight w:val="20"/>
          <w:jc w:val="center"/>
        </w:trPr>
        <w:tc>
          <w:tcPr>
            <w:tcW w:w="4253" w:type="dxa"/>
            <w:shd w:val="clear" w:color="auto" w:fill="auto"/>
            <w:noWrap/>
            <w:hideMark/>
          </w:tcPr>
          <w:p w14:paraId="25E8DF3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Head</w:t>
            </w:r>
          </w:p>
        </w:tc>
        <w:tc>
          <w:tcPr>
            <w:tcW w:w="2551" w:type="dxa"/>
            <w:shd w:val="clear" w:color="auto" w:fill="auto"/>
            <w:noWrap/>
          </w:tcPr>
          <w:p w14:paraId="71C6F62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53 (43.1)</w:t>
            </w:r>
          </w:p>
        </w:tc>
        <w:tc>
          <w:tcPr>
            <w:tcW w:w="2410" w:type="dxa"/>
            <w:shd w:val="clear" w:color="auto" w:fill="auto"/>
          </w:tcPr>
          <w:p w14:paraId="78DDF51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93 (56.7)</w:t>
            </w:r>
          </w:p>
        </w:tc>
        <w:tc>
          <w:tcPr>
            <w:tcW w:w="992" w:type="dxa"/>
            <w:shd w:val="clear" w:color="auto" w:fill="auto"/>
            <w:noWrap/>
          </w:tcPr>
          <w:p w14:paraId="7610FCD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2561B137" w14:textId="77777777" w:rsidTr="00FA65A3">
        <w:trPr>
          <w:trHeight w:val="20"/>
          <w:jc w:val="center"/>
        </w:trPr>
        <w:tc>
          <w:tcPr>
            <w:tcW w:w="4253" w:type="dxa"/>
            <w:shd w:val="clear" w:color="auto" w:fill="auto"/>
            <w:noWrap/>
            <w:hideMark/>
          </w:tcPr>
          <w:p w14:paraId="7A0B729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Body and/or tail</w:t>
            </w:r>
          </w:p>
        </w:tc>
        <w:tc>
          <w:tcPr>
            <w:tcW w:w="2551" w:type="dxa"/>
            <w:shd w:val="clear" w:color="auto" w:fill="auto"/>
            <w:noWrap/>
          </w:tcPr>
          <w:p w14:paraId="2439258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70 (56.9)</w:t>
            </w:r>
          </w:p>
        </w:tc>
        <w:tc>
          <w:tcPr>
            <w:tcW w:w="2410" w:type="dxa"/>
            <w:shd w:val="clear" w:color="auto" w:fill="auto"/>
          </w:tcPr>
          <w:p w14:paraId="3F61E8A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71 (43.3)</w:t>
            </w:r>
          </w:p>
        </w:tc>
        <w:tc>
          <w:tcPr>
            <w:tcW w:w="992" w:type="dxa"/>
            <w:shd w:val="clear" w:color="auto" w:fill="auto"/>
            <w:noWrap/>
          </w:tcPr>
          <w:p w14:paraId="2A26965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6B2FC13E" w14:textId="77777777" w:rsidTr="00FA65A3">
        <w:trPr>
          <w:trHeight w:val="20"/>
          <w:jc w:val="center"/>
        </w:trPr>
        <w:tc>
          <w:tcPr>
            <w:tcW w:w="4253" w:type="dxa"/>
            <w:shd w:val="clear" w:color="auto" w:fill="auto"/>
            <w:noWrap/>
            <w:hideMark/>
          </w:tcPr>
          <w:p w14:paraId="19255A8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490F55E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w:t>
            </w:r>
          </w:p>
        </w:tc>
        <w:tc>
          <w:tcPr>
            <w:tcW w:w="2410" w:type="dxa"/>
            <w:shd w:val="clear" w:color="auto" w:fill="auto"/>
          </w:tcPr>
          <w:p w14:paraId="6C6006E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w:t>
            </w:r>
          </w:p>
        </w:tc>
        <w:tc>
          <w:tcPr>
            <w:tcW w:w="992" w:type="dxa"/>
            <w:shd w:val="clear" w:color="auto" w:fill="auto"/>
            <w:noWrap/>
          </w:tcPr>
          <w:p w14:paraId="3AF52F9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1ED94AD5" w14:textId="77777777" w:rsidTr="00FA65A3">
        <w:trPr>
          <w:trHeight w:val="20"/>
          <w:jc w:val="center"/>
        </w:trPr>
        <w:tc>
          <w:tcPr>
            <w:tcW w:w="4253" w:type="dxa"/>
            <w:shd w:val="clear" w:color="auto" w:fill="auto"/>
            <w:noWrap/>
            <w:hideMark/>
          </w:tcPr>
          <w:p w14:paraId="22155E5D" w14:textId="25F27782"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Histological grade</w:t>
            </w:r>
          </w:p>
        </w:tc>
        <w:tc>
          <w:tcPr>
            <w:tcW w:w="2551" w:type="dxa"/>
            <w:shd w:val="clear" w:color="auto" w:fill="auto"/>
            <w:noWrap/>
          </w:tcPr>
          <w:p w14:paraId="28D1CC8F"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13A15B53"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0393CAB"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0.014</w:t>
            </w:r>
          </w:p>
        </w:tc>
      </w:tr>
      <w:tr w:rsidR="001E7E15" w:rsidRPr="00FA65A3" w14:paraId="473BF133" w14:textId="77777777" w:rsidTr="00FA65A3">
        <w:trPr>
          <w:trHeight w:val="20"/>
          <w:jc w:val="center"/>
        </w:trPr>
        <w:tc>
          <w:tcPr>
            <w:tcW w:w="4253" w:type="dxa"/>
            <w:shd w:val="clear" w:color="auto" w:fill="auto"/>
            <w:noWrap/>
            <w:hideMark/>
          </w:tcPr>
          <w:p w14:paraId="777DFBEA" w14:textId="2580DB8B"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Well or moderately differentiated</w:t>
            </w:r>
          </w:p>
        </w:tc>
        <w:tc>
          <w:tcPr>
            <w:tcW w:w="2551" w:type="dxa"/>
            <w:shd w:val="clear" w:color="auto" w:fill="auto"/>
            <w:noWrap/>
          </w:tcPr>
          <w:p w14:paraId="3736269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45 (83.3)</w:t>
            </w:r>
          </w:p>
        </w:tc>
        <w:tc>
          <w:tcPr>
            <w:tcW w:w="2410" w:type="dxa"/>
            <w:shd w:val="clear" w:color="auto" w:fill="auto"/>
          </w:tcPr>
          <w:p w14:paraId="3373159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39 (62.9)</w:t>
            </w:r>
          </w:p>
        </w:tc>
        <w:tc>
          <w:tcPr>
            <w:tcW w:w="992" w:type="dxa"/>
            <w:shd w:val="clear" w:color="auto" w:fill="auto"/>
            <w:noWrap/>
          </w:tcPr>
          <w:p w14:paraId="61103E8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B477A3F" w14:textId="77777777" w:rsidTr="00FA65A3">
        <w:trPr>
          <w:trHeight w:val="20"/>
          <w:jc w:val="center"/>
        </w:trPr>
        <w:tc>
          <w:tcPr>
            <w:tcW w:w="4253" w:type="dxa"/>
            <w:shd w:val="clear" w:color="auto" w:fill="auto"/>
            <w:noWrap/>
            <w:hideMark/>
          </w:tcPr>
          <w:p w14:paraId="7A74845C" w14:textId="5B732090"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Poorly differentiated or undifferentiated</w:t>
            </w:r>
          </w:p>
        </w:tc>
        <w:tc>
          <w:tcPr>
            <w:tcW w:w="2551" w:type="dxa"/>
            <w:shd w:val="clear" w:color="auto" w:fill="auto"/>
            <w:noWrap/>
          </w:tcPr>
          <w:p w14:paraId="6306BB9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 (16.7)</w:t>
            </w:r>
          </w:p>
        </w:tc>
        <w:tc>
          <w:tcPr>
            <w:tcW w:w="2410" w:type="dxa"/>
            <w:shd w:val="clear" w:color="auto" w:fill="auto"/>
          </w:tcPr>
          <w:p w14:paraId="1457D84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23 (37.1)</w:t>
            </w:r>
          </w:p>
        </w:tc>
        <w:tc>
          <w:tcPr>
            <w:tcW w:w="992" w:type="dxa"/>
            <w:shd w:val="clear" w:color="auto" w:fill="auto"/>
            <w:noWrap/>
          </w:tcPr>
          <w:p w14:paraId="0911647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380C5F8" w14:textId="77777777" w:rsidTr="00FA65A3">
        <w:trPr>
          <w:trHeight w:val="20"/>
          <w:jc w:val="center"/>
        </w:trPr>
        <w:tc>
          <w:tcPr>
            <w:tcW w:w="4253" w:type="dxa"/>
            <w:shd w:val="clear" w:color="auto" w:fill="auto"/>
            <w:noWrap/>
            <w:hideMark/>
          </w:tcPr>
          <w:p w14:paraId="5DD1F3A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5A7D48B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70</w:t>
            </w:r>
          </w:p>
        </w:tc>
        <w:tc>
          <w:tcPr>
            <w:tcW w:w="2410" w:type="dxa"/>
            <w:shd w:val="clear" w:color="auto" w:fill="auto"/>
          </w:tcPr>
          <w:p w14:paraId="135AECF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103</w:t>
            </w:r>
          </w:p>
        </w:tc>
        <w:tc>
          <w:tcPr>
            <w:tcW w:w="992" w:type="dxa"/>
            <w:shd w:val="clear" w:color="auto" w:fill="auto"/>
            <w:noWrap/>
          </w:tcPr>
          <w:p w14:paraId="2242B0A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FA65A3" w14:paraId="65644742" w14:textId="77777777" w:rsidTr="00FA65A3">
        <w:trPr>
          <w:trHeight w:val="20"/>
          <w:jc w:val="center"/>
        </w:trPr>
        <w:tc>
          <w:tcPr>
            <w:tcW w:w="10206" w:type="dxa"/>
            <w:gridSpan w:val="4"/>
            <w:shd w:val="clear" w:color="auto" w:fill="auto"/>
            <w:noWrap/>
            <w:hideMark/>
          </w:tcPr>
          <w:p w14:paraId="08A2B772" w14:textId="06C5CAE0" w:rsidR="00FA65A3" w:rsidRPr="00FA65A3" w:rsidRDefault="00FA65A3"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Tumor extension</w:t>
            </w:r>
          </w:p>
        </w:tc>
      </w:tr>
      <w:tr w:rsidR="00206998" w:rsidRPr="00FA65A3" w14:paraId="1FFEE1BF" w14:textId="77777777" w:rsidTr="00FA65A3">
        <w:trPr>
          <w:trHeight w:val="20"/>
          <w:jc w:val="center"/>
        </w:trPr>
        <w:tc>
          <w:tcPr>
            <w:tcW w:w="4253" w:type="dxa"/>
            <w:shd w:val="clear" w:color="auto" w:fill="auto"/>
            <w:noWrap/>
            <w:hideMark/>
          </w:tcPr>
          <w:p w14:paraId="530EADAE" w14:textId="566AA795"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Stage at chemotherapy initiation</w:t>
            </w:r>
          </w:p>
        </w:tc>
        <w:tc>
          <w:tcPr>
            <w:tcW w:w="2551" w:type="dxa"/>
            <w:shd w:val="clear" w:color="auto" w:fill="auto"/>
            <w:noWrap/>
          </w:tcPr>
          <w:p w14:paraId="7529CBF7"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5F82C82D"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7465385"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7E4E8780" w14:textId="77777777" w:rsidTr="00FA65A3">
        <w:trPr>
          <w:trHeight w:val="20"/>
          <w:jc w:val="center"/>
        </w:trPr>
        <w:tc>
          <w:tcPr>
            <w:tcW w:w="4253" w:type="dxa"/>
            <w:shd w:val="clear" w:color="auto" w:fill="auto"/>
            <w:noWrap/>
            <w:hideMark/>
          </w:tcPr>
          <w:p w14:paraId="472AD0D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Locally advanced</w:t>
            </w:r>
          </w:p>
        </w:tc>
        <w:tc>
          <w:tcPr>
            <w:tcW w:w="2551" w:type="dxa"/>
            <w:shd w:val="clear" w:color="auto" w:fill="auto"/>
            <w:noWrap/>
          </w:tcPr>
          <w:p w14:paraId="509B131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14 (11.3)</w:t>
            </w:r>
          </w:p>
        </w:tc>
        <w:tc>
          <w:tcPr>
            <w:tcW w:w="2410" w:type="dxa"/>
            <w:shd w:val="clear" w:color="auto" w:fill="auto"/>
          </w:tcPr>
          <w:p w14:paraId="68380F4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60 (36.4)</w:t>
            </w:r>
          </w:p>
        </w:tc>
        <w:tc>
          <w:tcPr>
            <w:tcW w:w="992" w:type="dxa"/>
            <w:shd w:val="clear" w:color="auto" w:fill="auto"/>
            <w:noWrap/>
          </w:tcPr>
          <w:p w14:paraId="49AFF4C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2FC60514" w14:textId="77777777" w:rsidTr="00FA65A3">
        <w:trPr>
          <w:trHeight w:val="20"/>
          <w:jc w:val="center"/>
        </w:trPr>
        <w:tc>
          <w:tcPr>
            <w:tcW w:w="4253" w:type="dxa"/>
            <w:shd w:val="clear" w:color="auto" w:fill="auto"/>
            <w:noWrap/>
            <w:hideMark/>
          </w:tcPr>
          <w:p w14:paraId="1B1C3ED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Metastatic</w:t>
            </w:r>
          </w:p>
        </w:tc>
        <w:tc>
          <w:tcPr>
            <w:tcW w:w="2551" w:type="dxa"/>
            <w:shd w:val="clear" w:color="auto" w:fill="auto"/>
            <w:noWrap/>
          </w:tcPr>
          <w:p w14:paraId="25A3C1F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110 (88.7)</w:t>
            </w:r>
          </w:p>
        </w:tc>
        <w:tc>
          <w:tcPr>
            <w:tcW w:w="2410" w:type="dxa"/>
            <w:shd w:val="clear" w:color="auto" w:fill="auto"/>
          </w:tcPr>
          <w:p w14:paraId="1655880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105 (63.6)</w:t>
            </w:r>
          </w:p>
        </w:tc>
        <w:tc>
          <w:tcPr>
            <w:tcW w:w="992" w:type="dxa"/>
            <w:shd w:val="clear" w:color="auto" w:fill="auto"/>
            <w:noWrap/>
          </w:tcPr>
          <w:p w14:paraId="6A50908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6D71834" w14:textId="77777777" w:rsidTr="00FA65A3">
        <w:trPr>
          <w:trHeight w:val="20"/>
          <w:jc w:val="center"/>
        </w:trPr>
        <w:tc>
          <w:tcPr>
            <w:tcW w:w="4253" w:type="dxa"/>
            <w:shd w:val="clear" w:color="auto" w:fill="auto"/>
            <w:noWrap/>
            <w:hideMark/>
          </w:tcPr>
          <w:p w14:paraId="5ABDAF46" w14:textId="54ABE6FB"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lastRenderedPageBreak/>
              <w:t>Number of metastatic sites</w:t>
            </w:r>
          </w:p>
        </w:tc>
        <w:tc>
          <w:tcPr>
            <w:tcW w:w="2551" w:type="dxa"/>
            <w:shd w:val="clear" w:color="auto" w:fill="auto"/>
            <w:noWrap/>
          </w:tcPr>
          <w:p w14:paraId="39F9F68F"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45749587"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2499441F"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7AC4AE55" w14:textId="77777777" w:rsidTr="00FA65A3">
        <w:trPr>
          <w:trHeight w:val="20"/>
          <w:jc w:val="center"/>
        </w:trPr>
        <w:tc>
          <w:tcPr>
            <w:tcW w:w="4253" w:type="dxa"/>
            <w:shd w:val="clear" w:color="auto" w:fill="auto"/>
            <w:noWrap/>
            <w:hideMark/>
          </w:tcPr>
          <w:p w14:paraId="332D5F8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w:t>
            </w:r>
          </w:p>
        </w:tc>
        <w:tc>
          <w:tcPr>
            <w:tcW w:w="2551" w:type="dxa"/>
            <w:shd w:val="clear" w:color="auto" w:fill="auto"/>
            <w:noWrap/>
          </w:tcPr>
          <w:p w14:paraId="6EB7125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14 (11.3)</w:t>
            </w:r>
          </w:p>
        </w:tc>
        <w:tc>
          <w:tcPr>
            <w:tcW w:w="2410" w:type="dxa"/>
            <w:shd w:val="clear" w:color="auto" w:fill="auto"/>
          </w:tcPr>
          <w:p w14:paraId="0046777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60 (36.6)</w:t>
            </w:r>
          </w:p>
        </w:tc>
        <w:tc>
          <w:tcPr>
            <w:tcW w:w="992" w:type="dxa"/>
            <w:shd w:val="clear" w:color="auto" w:fill="auto"/>
            <w:noWrap/>
          </w:tcPr>
          <w:p w14:paraId="2A6188A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1DECD468" w14:textId="77777777" w:rsidTr="00FA65A3">
        <w:trPr>
          <w:trHeight w:val="20"/>
          <w:jc w:val="center"/>
        </w:trPr>
        <w:tc>
          <w:tcPr>
            <w:tcW w:w="4253" w:type="dxa"/>
            <w:shd w:val="clear" w:color="auto" w:fill="auto"/>
            <w:noWrap/>
            <w:hideMark/>
          </w:tcPr>
          <w:p w14:paraId="306B7D9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w:t>
            </w:r>
          </w:p>
        </w:tc>
        <w:tc>
          <w:tcPr>
            <w:tcW w:w="2551" w:type="dxa"/>
            <w:shd w:val="clear" w:color="auto" w:fill="auto"/>
            <w:noWrap/>
          </w:tcPr>
          <w:p w14:paraId="26BE449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69 (55.7)</w:t>
            </w:r>
          </w:p>
        </w:tc>
        <w:tc>
          <w:tcPr>
            <w:tcW w:w="2410" w:type="dxa"/>
            <w:shd w:val="clear" w:color="auto" w:fill="auto"/>
          </w:tcPr>
          <w:p w14:paraId="6C59AE1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74 (44.9)</w:t>
            </w:r>
          </w:p>
        </w:tc>
        <w:tc>
          <w:tcPr>
            <w:tcW w:w="992" w:type="dxa"/>
            <w:shd w:val="clear" w:color="auto" w:fill="auto"/>
            <w:noWrap/>
          </w:tcPr>
          <w:p w14:paraId="4779924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1B7F759B" w14:textId="77777777" w:rsidTr="00FA65A3">
        <w:trPr>
          <w:trHeight w:val="20"/>
          <w:jc w:val="center"/>
        </w:trPr>
        <w:tc>
          <w:tcPr>
            <w:tcW w:w="4253" w:type="dxa"/>
            <w:shd w:val="clear" w:color="auto" w:fill="auto"/>
            <w:noWrap/>
            <w:hideMark/>
          </w:tcPr>
          <w:p w14:paraId="2C673A9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 2</w:t>
            </w:r>
          </w:p>
        </w:tc>
        <w:tc>
          <w:tcPr>
            <w:tcW w:w="2551" w:type="dxa"/>
            <w:shd w:val="clear" w:color="auto" w:fill="auto"/>
            <w:noWrap/>
          </w:tcPr>
          <w:p w14:paraId="0F400CC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41 (33.0)</w:t>
            </w:r>
          </w:p>
        </w:tc>
        <w:tc>
          <w:tcPr>
            <w:tcW w:w="2410" w:type="dxa"/>
            <w:shd w:val="clear" w:color="auto" w:fill="auto"/>
          </w:tcPr>
          <w:p w14:paraId="2735DD5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31 (18.8)</w:t>
            </w:r>
          </w:p>
        </w:tc>
        <w:tc>
          <w:tcPr>
            <w:tcW w:w="992" w:type="dxa"/>
            <w:shd w:val="clear" w:color="auto" w:fill="auto"/>
            <w:noWrap/>
          </w:tcPr>
          <w:p w14:paraId="587855C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3FC484DC" w14:textId="77777777" w:rsidTr="00FA65A3">
        <w:trPr>
          <w:trHeight w:val="20"/>
          <w:jc w:val="center"/>
        </w:trPr>
        <w:tc>
          <w:tcPr>
            <w:tcW w:w="4253" w:type="dxa"/>
            <w:shd w:val="clear" w:color="auto" w:fill="auto"/>
            <w:noWrap/>
            <w:hideMark/>
          </w:tcPr>
          <w:p w14:paraId="03CF8BA3" w14:textId="61C8FB94"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Lymph node metastases</w:t>
            </w:r>
          </w:p>
        </w:tc>
        <w:tc>
          <w:tcPr>
            <w:tcW w:w="2551" w:type="dxa"/>
            <w:shd w:val="clear" w:color="auto" w:fill="auto"/>
            <w:noWrap/>
          </w:tcPr>
          <w:p w14:paraId="4C2C94E7"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5592D9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29370B9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440A020C" w14:textId="77777777" w:rsidTr="00FA65A3">
        <w:trPr>
          <w:trHeight w:val="20"/>
          <w:jc w:val="center"/>
        </w:trPr>
        <w:tc>
          <w:tcPr>
            <w:tcW w:w="4253" w:type="dxa"/>
            <w:shd w:val="clear" w:color="auto" w:fill="auto"/>
            <w:noWrap/>
            <w:hideMark/>
          </w:tcPr>
          <w:p w14:paraId="69BA255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25375A7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95 (76.6)</w:t>
            </w:r>
          </w:p>
        </w:tc>
        <w:tc>
          <w:tcPr>
            <w:tcW w:w="2410" w:type="dxa"/>
            <w:shd w:val="clear" w:color="auto" w:fill="auto"/>
          </w:tcPr>
          <w:p w14:paraId="579560B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153 (92.7)</w:t>
            </w:r>
          </w:p>
        </w:tc>
        <w:tc>
          <w:tcPr>
            <w:tcW w:w="992" w:type="dxa"/>
            <w:shd w:val="clear" w:color="auto" w:fill="auto"/>
            <w:noWrap/>
          </w:tcPr>
          <w:p w14:paraId="18AD1BA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2FA57023" w14:textId="77777777" w:rsidTr="00FA65A3">
        <w:trPr>
          <w:trHeight w:val="20"/>
          <w:jc w:val="center"/>
        </w:trPr>
        <w:tc>
          <w:tcPr>
            <w:tcW w:w="4253" w:type="dxa"/>
            <w:shd w:val="clear" w:color="auto" w:fill="auto"/>
            <w:noWrap/>
            <w:hideMark/>
          </w:tcPr>
          <w:p w14:paraId="6B09C30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708CF3B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29 (23.4)</w:t>
            </w:r>
          </w:p>
        </w:tc>
        <w:tc>
          <w:tcPr>
            <w:tcW w:w="2410" w:type="dxa"/>
            <w:shd w:val="clear" w:color="auto" w:fill="auto"/>
          </w:tcPr>
          <w:p w14:paraId="6A6F52A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12 (7.3)</w:t>
            </w:r>
          </w:p>
        </w:tc>
        <w:tc>
          <w:tcPr>
            <w:tcW w:w="992" w:type="dxa"/>
            <w:shd w:val="clear" w:color="auto" w:fill="auto"/>
            <w:noWrap/>
          </w:tcPr>
          <w:p w14:paraId="4BC3BFE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488DE86" w14:textId="77777777" w:rsidTr="00FA65A3">
        <w:trPr>
          <w:trHeight w:val="20"/>
          <w:jc w:val="center"/>
        </w:trPr>
        <w:tc>
          <w:tcPr>
            <w:tcW w:w="4253" w:type="dxa"/>
            <w:shd w:val="clear" w:color="auto" w:fill="auto"/>
            <w:noWrap/>
            <w:hideMark/>
          </w:tcPr>
          <w:p w14:paraId="78CBAE2D" w14:textId="76685925"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Liver metastases</w:t>
            </w:r>
          </w:p>
        </w:tc>
        <w:tc>
          <w:tcPr>
            <w:tcW w:w="2551" w:type="dxa"/>
            <w:shd w:val="clear" w:color="auto" w:fill="auto"/>
            <w:noWrap/>
          </w:tcPr>
          <w:p w14:paraId="38E5EEC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8064100"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52F88EBE"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3806C083" w14:textId="77777777" w:rsidTr="00FA65A3">
        <w:trPr>
          <w:trHeight w:val="20"/>
          <w:jc w:val="center"/>
        </w:trPr>
        <w:tc>
          <w:tcPr>
            <w:tcW w:w="4253" w:type="dxa"/>
            <w:shd w:val="clear" w:color="auto" w:fill="auto"/>
            <w:noWrap/>
            <w:hideMark/>
          </w:tcPr>
          <w:p w14:paraId="352C767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05CA33F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37 (29.8)</w:t>
            </w:r>
          </w:p>
        </w:tc>
        <w:tc>
          <w:tcPr>
            <w:tcW w:w="2410" w:type="dxa"/>
            <w:shd w:val="clear" w:color="auto" w:fill="auto"/>
          </w:tcPr>
          <w:p w14:paraId="39373D3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84 (50.9)</w:t>
            </w:r>
          </w:p>
        </w:tc>
        <w:tc>
          <w:tcPr>
            <w:tcW w:w="992" w:type="dxa"/>
            <w:shd w:val="clear" w:color="auto" w:fill="auto"/>
            <w:noWrap/>
          </w:tcPr>
          <w:p w14:paraId="1733C48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046375B5" w14:textId="77777777" w:rsidTr="00FA65A3">
        <w:trPr>
          <w:trHeight w:val="20"/>
          <w:jc w:val="center"/>
        </w:trPr>
        <w:tc>
          <w:tcPr>
            <w:tcW w:w="4253" w:type="dxa"/>
            <w:shd w:val="clear" w:color="auto" w:fill="auto"/>
            <w:noWrap/>
            <w:hideMark/>
          </w:tcPr>
          <w:p w14:paraId="0260CF5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56FE070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87 (70.2)</w:t>
            </w:r>
          </w:p>
        </w:tc>
        <w:tc>
          <w:tcPr>
            <w:tcW w:w="2410" w:type="dxa"/>
            <w:shd w:val="clear" w:color="auto" w:fill="auto"/>
          </w:tcPr>
          <w:p w14:paraId="6A61798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81 (49.1)</w:t>
            </w:r>
          </w:p>
        </w:tc>
        <w:tc>
          <w:tcPr>
            <w:tcW w:w="992" w:type="dxa"/>
            <w:shd w:val="clear" w:color="auto" w:fill="auto"/>
            <w:noWrap/>
          </w:tcPr>
          <w:p w14:paraId="387F3D6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50D7A3D8" w14:textId="77777777" w:rsidTr="00FA65A3">
        <w:trPr>
          <w:trHeight w:val="20"/>
          <w:jc w:val="center"/>
        </w:trPr>
        <w:tc>
          <w:tcPr>
            <w:tcW w:w="4253" w:type="dxa"/>
            <w:shd w:val="clear" w:color="auto" w:fill="auto"/>
            <w:noWrap/>
            <w:hideMark/>
          </w:tcPr>
          <w:p w14:paraId="76A759B2" w14:textId="1C30CE5D"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Peritoneal metastases</w:t>
            </w:r>
          </w:p>
        </w:tc>
        <w:tc>
          <w:tcPr>
            <w:tcW w:w="2551" w:type="dxa"/>
            <w:shd w:val="clear" w:color="auto" w:fill="auto"/>
            <w:noWrap/>
          </w:tcPr>
          <w:p w14:paraId="0D2903AB"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797E704A"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02A6B76E"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0.124</w:t>
            </w:r>
          </w:p>
        </w:tc>
      </w:tr>
      <w:tr w:rsidR="001E7E15" w:rsidRPr="00FA65A3" w14:paraId="299466C5" w14:textId="77777777" w:rsidTr="00FA65A3">
        <w:trPr>
          <w:trHeight w:val="20"/>
          <w:jc w:val="center"/>
        </w:trPr>
        <w:tc>
          <w:tcPr>
            <w:tcW w:w="4253" w:type="dxa"/>
            <w:shd w:val="clear" w:color="auto" w:fill="auto"/>
            <w:noWrap/>
            <w:hideMark/>
          </w:tcPr>
          <w:p w14:paraId="7959BF6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0311F63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109 (87.9)</w:t>
            </w:r>
          </w:p>
        </w:tc>
        <w:tc>
          <w:tcPr>
            <w:tcW w:w="2410" w:type="dxa"/>
            <w:shd w:val="clear" w:color="auto" w:fill="auto"/>
          </w:tcPr>
          <w:p w14:paraId="6320782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134 (81.2)</w:t>
            </w:r>
          </w:p>
        </w:tc>
        <w:tc>
          <w:tcPr>
            <w:tcW w:w="992" w:type="dxa"/>
            <w:shd w:val="clear" w:color="auto" w:fill="auto"/>
            <w:noWrap/>
          </w:tcPr>
          <w:p w14:paraId="6FAF0D0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15893D3" w14:textId="77777777" w:rsidTr="00FA65A3">
        <w:trPr>
          <w:trHeight w:val="20"/>
          <w:jc w:val="center"/>
        </w:trPr>
        <w:tc>
          <w:tcPr>
            <w:tcW w:w="4253" w:type="dxa"/>
            <w:shd w:val="clear" w:color="auto" w:fill="auto"/>
            <w:noWrap/>
            <w:hideMark/>
          </w:tcPr>
          <w:p w14:paraId="0D70B9E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3897941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15 (12.1)</w:t>
            </w:r>
          </w:p>
        </w:tc>
        <w:tc>
          <w:tcPr>
            <w:tcW w:w="2410" w:type="dxa"/>
            <w:shd w:val="clear" w:color="auto" w:fill="auto"/>
          </w:tcPr>
          <w:p w14:paraId="2A18849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31 (18.8)</w:t>
            </w:r>
          </w:p>
        </w:tc>
        <w:tc>
          <w:tcPr>
            <w:tcW w:w="992" w:type="dxa"/>
            <w:shd w:val="clear" w:color="auto" w:fill="auto"/>
            <w:noWrap/>
          </w:tcPr>
          <w:p w14:paraId="09A3F0C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577D3DDC" w14:textId="77777777" w:rsidTr="00FA65A3">
        <w:trPr>
          <w:trHeight w:val="20"/>
          <w:jc w:val="center"/>
        </w:trPr>
        <w:tc>
          <w:tcPr>
            <w:tcW w:w="4253" w:type="dxa"/>
            <w:shd w:val="clear" w:color="auto" w:fill="auto"/>
            <w:noWrap/>
            <w:hideMark/>
          </w:tcPr>
          <w:p w14:paraId="6E2BF2D2" w14:textId="17698B3F"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Lung metastases</w:t>
            </w:r>
          </w:p>
        </w:tc>
        <w:tc>
          <w:tcPr>
            <w:tcW w:w="2551" w:type="dxa"/>
            <w:shd w:val="clear" w:color="auto" w:fill="auto"/>
            <w:noWrap/>
          </w:tcPr>
          <w:p w14:paraId="270F552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1242A48B"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21AF2723"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0.133</w:t>
            </w:r>
          </w:p>
        </w:tc>
      </w:tr>
      <w:tr w:rsidR="001E7E15" w:rsidRPr="00FA65A3" w14:paraId="2621AF78" w14:textId="77777777" w:rsidTr="00FA65A3">
        <w:trPr>
          <w:trHeight w:val="20"/>
          <w:jc w:val="center"/>
        </w:trPr>
        <w:tc>
          <w:tcPr>
            <w:tcW w:w="4253" w:type="dxa"/>
            <w:shd w:val="clear" w:color="auto" w:fill="auto"/>
            <w:noWrap/>
            <w:hideMark/>
          </w:tcPr>
          <w:p w14:paraId="7218FDA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43C8AE0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102 (82.3)</w:t>
            </w:r>
          </w:p>
        </w:tc>
        <w:tc>
          <w:tcPr>
            <w:tcW w:w="2410" w:type="dxa"/>
            <w:shd w:val="clear" w:color="auto" w:fill="auto"/>
          </w:tcPr>
          <w:p w14:paraId="04C9878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146 (88.5)</w:t>
            </w:r>
          </w:p>
        </w:tc>
        <w:tc>
          <w:tcPr>
            <w:tcW w:w="992" w:type="dxa"/>
            <w:shd w:val="clear" w:color="auto" w:fill="auto"/>
            <w:noWrap/>
          </w:tcPr>
          <w:p w14:paraId="4261345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6C24127" w14:textId="77777777" w:rsidTr="00FA65A3">
        <w:trPr>
          <w:trHeight w:val="20"/>
          <w:jc w:val="center"/>
        </w:trPr>
        <w:tc>
          <w:tcPr>
            <w:tcW w:w="4253" w:type="dxa"/>
            <w:shd w:val="clear" w:color="auto" w:fill="auto"/>
            <w:noWrap/>
            <w:hideMark/>
          </w:tcPr>
          <w:p w14:paraId="66A2F25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1438F00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22 (17.7)</w:t>
            </w:r>
          </w:p>
        </w:tc>
        <w:tc>
          <w:tcPr>
            <w:tcW w:w="2410" w:type="dxa"/>
            <w:shd w:val="clear" w:color="auto" w:fill="auto"/>
          </w:tcPr>
          <w:p w14:paraId="675CAA8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19 (11.5)</w:t>
            </w:r>
          </w:p>
        </w:tc>
        <w:tc>
          <w:tcPr>
            <w:tcW w:w="992" w:type="dxa"/>
            <w:shd w:val="clear" w:color="auto" w:fill="auto"/>
            <w:noWrap/>
          </w:tcPr>
          <w:p w14:paraId="6908195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07AA8D4E" w14:textId="77777777" w:rsidTr="00FA65A3">
        <w:trPr>
          <w:trHeight w:val="20"/>
          <w:jc w:val="center"/>
        </w:trPr>
        <w:tc>
          <w:tcPr>
            <w:tcW w:w="4253" w:type="dxa"/>
            <w:shd w:val="clear" w:color="auto" w:fill="auto"/>
            <w:noWrap/>
            <w:hideMark/>
          </w:tcPr>
          <w:p w14:paraId="154A67BC" w14:textId="470FB1F9"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Other metastases</w:t>
            </w:r>
          </w:p>
        </w:tc>
        <w:tc>
          <w:tcPr>
            <w:tcW w:w="2551" w:type="dxa"/>
            <w:shd w:val="clear" w:color="auto" w:fill="auto"/>
            <w:noWrap/>
          </w:tcPr>
          <w:p w14:paraId="627A66CB"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0CC66F3D"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3A62372"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0.060</w:t>
            </w:r>
          </w:p>
        </w:tc>
      </w:tr>
      <w:tr w:rsidR="001E7E15" w:rsidRPr="00FA65A3" w14:paraId="2459213C" w14:textId="77777777" w:rsidTr="00FA65A3">
        <w:trPr>
          <w:trHeight w:val="20"/>
          <w:jc w:val="center"/>
        </w:trPr>
        <w:tc>
          <w:tcPr>
            <w:tcW w:w="4253" w:type="dxa"/>
            <w:shd w:val="clear" w:color="auto" w:fill="auto"/>
            <w:noWrap/>
            <w:hideMark/>
          </w:tcPr>
          <w:p w14:paraId="3576555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17B3EF5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116 (93.6)</w:t>
            </w:r>
          </w:p>
        </w:tc>
        <w:tc>
          <w:tcPr>
            <w:tcW w:w="2410" w:type="dxa"/>
            <w:shd w:val="clear" w:color="auto" w:fill="auto"/>
          </w:tcPr>
          <w:p w14:paraId="6CF20AE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162 (98.2)</w:t>
            </w:r>
          </w:p>
        </w:tc>
        <w:tc>
          <w:tcPr>
            <w:tcW w:w="992" w:type="dxa"/>
            <w:shd w:val="clear" w:color="auto" w:fill="auto"/>
            <w:noWrap/>
          </w:tcPr>
          <w:p w14:paraId="1C98935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5BAFF84C" w14:textId="77777777" w:rsidTr="00FA65A3">
        <w:trPr>
          <w:trHeight w:val="20"/>
          <w:jc w:val="center"/>
        </w:trPr>
        <w:tc>
          <w:tcPr>
            <w:tcW w:w="4253" w:type="dxa"/>
            <w:shd w:val="clear" w:color="auto" w:fill="auto"/>
            <w:noWrap/>
            <w:hideMark/>
          </w:tcPr>
          <w:p w14:paraId="25ACAA8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6C16704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 (6.4)</w:t>
            </w:r>
          </w:p>
        </w:tc>
        <w:tc>
          <w:tcPr>
            <w:tcW w:w="2410" w:type="dxa"/>
            <w:shd w:val="clear" w:color="auto" w:fill="auto"/>
          </w:tcPr>
          <w:p w14:paraId="33DF3ED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 (1.8)</w:t>
            </w:r>
          </w:p>
        </w:tc>
        <w:tc>
          <w:tcPr>
            <w:tcW w:w="992" w:type="dxa"/>
            <w:shd w:val="clear" w:color="auto" w:fill="auto"/>
            <w:noWrap/>
          </w:tcPr>
          <w:p w14:paraId="1679DA1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FA65A3" w14:paraId="7297575A" w14:textId="77777777" w:rsidTr="00FA65A3">
        <w:trPr>
          <w:trHeight w:val="20"/>
          <w:jc w:val="center"/>
        </w:trPr>
        <w:tc>
          <w:tcPr>
            <w:tcW w:w="10206" w:type="dxa"/>
            <w:gridSpan w:val="4"/>
            <w:shd w:val="clear" w:color="auto" w:fill="auto"/>
            <w:noWrap/>
            <w:hideMark/>
          </w:tcPr>
          <w:p w14:paraId="48B21333" w14:textId="390C55C2" w:rsidR="00FA65A3" w:rsidRPr="00FA65A3" w:rsidRDefault="00FA65A3"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Clinical parameters</w:t>
            </w:r>
          </w:p>
        </w:tc>
      </w:tr>
      <w:tr w:rsidR="00206998" w:rsidRPr="00FA65A3" w14:paraId="06790579" w14:textId="77777777" w:rsidTr="00FA65A3">
        <w:trPr>
          <w:trHeight w:val="20"/>
          <w:jc w:val="center"/>
        </w:trPr>
        <w:tc>
          <w:tcPr>
            <w:tcW w:w="4253" w:type="dxa"/>
            <w:shd w:val="clear" w:color="auto" w:fill="auto"/>
            <w:noWrap/>
            <w:hideMark/>
          </w:tcPr>
          <w:p w14:paraId="32FF1101" w14:textId="402B7F3D"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Performance status (WHO)</w:t>
            </w:r>
          </w:p>
        </w:tc>
        <w:tc>
          <w:tcPr>
            <w:tcW w:w="2551" w:type="dxa"/>
            <w:shd w:val="clear" w:color="auto" w:fill="auto"/>
            <w:noWrap/>
          </w:tcPr>
          <w:p w14:paraId="7E3C3032" w14:textId="77777777" w:rsidR="00206998" w:rsidRPr="00FA65A3" w:rsidRDefault="00206998" w:rsidP="00864BDB">
            <w:pPr>
              <w:snapToGrid w:val="0"/>
              <w:spacing w:line="360" w:lineRule="auto"/>
              <w:jc w:val="both"/>
              <w:rPr>
                <w:rFonts w:ascii="Book Antiqua" w:eastAsia="Times New Roman" w:hAnsi="Book Antiqua" w:cs="Times New Roman"/>
                <w:lang w:val="en-US" w:eastAsia="fr-FR"/>
              </w:rPr>
            </w:pPr>
          </w:p>
        </w:tc>
        <w:tc>
          <w:tcPr>
            <w:tcW w:w="2410" w:type="dxa"/>
            <w:shd w:val="clear" w:color="auto" w:fill="auto"/>
          </w:tcPr>
          <w:p w14:paraId="6611F063" w14:textId="77777777" w:rsidR="00206998" w:rsidRPr="00FA65A3" w:rsidRDefault="00206998" w:rsidP="00864BDB">
            <w:pPr>
              <w:snapToGrid w:val="0"/>
              <w:spacing w:line="360" w:lineRule="auto"/>
              <w:jc w:val="both"/>
              <w:rPr>
                <w:rFonts w:ascii="Book Antiqua" w:eastAsia="Times New Roman" w:hAnsi="Book Antiqua" w:cs="Times New Roman"/>
                <w:lang w:val="en-US" w:eastAsia="fr-FR"/>
              </w:rPr>
            </w:pPr>
          </w:p>
        </w:tc>
        <w:tc>
          <w:tcPr>
            <w:tcW w:w="992" w:type="dxa"/>
            <w:shd w:val="clear" w:color="auto" w:fill="auto"/>
            <w:noWrap/>
          </w:tcPr>
          <w:p w14:paraId="593FFA7A" w14:textId="77777777" w:rsidR="00206998" w:rsidRPr="00FA65A3" w:rsidRDefault="00206998" w:rsidP="00864BDB">
            <w:pPr>
              <w:snapToGrid w:val="0"/>
              <w:spacing w:line="360" w:lineRule="auto"/>
              <w:jc w:val="both"/>
              <w:rPr>
                <w:rFonts w:ascii="Book Antiqua" w:eastAsia="Times New Roman" w:hAnsi="Book Antiqua" w:cs="Times New Roman"/>
                <w:lang w:val="en-US" w:eastAsia="fr-FR"/>
              </w:rPr>
            </w:pPr>
            <w:r w:rsidRPr="00FA65A3">
              <w:rPr>
                <w:rFonts w:ascii="Book Antiqua" w:eastAsia="Times New Roman" w:hAnsi="Book Antiqua" w:cs="Times New Roman"/>
                <w:lang w:val="en-US" w:eastAsia="fr-FR"/>
              </w:rPr>
              <w:t>0.185</w:t>
            </w:r>
          </w:p>
        </w:tc>
      </w:tr>
      <w:tr w:rsidR="001E7E15" w:rsidRPr="00FA65A3" w14:paraId="290A93EF" w14:textId="77777777" w:rsidTr="00FA65A3">
        <w:trPr>
          <w:trHeight w:val="20"/>
          <w:jc w:val="center"/>
        </w:trPr>
        <w:tc>
          <w:tcPr>
            <w:tcW w:w="4253" w:type="dxa"/>
            <w:shd w:val="clear" w:color="auto" w:fill="auto"/>
            <w:noWrap/>
            <w:hideMark/>
          </w:tcPr>
          <w:p w14:paraId="302F12C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w:t>
            </w:r>
          </w:p>
        </w:tc>
        <w:tc>
          <w:tcPr>
            <w:tcW w:w="2551" w:type="dxa"/>
            <w:shd w:val="clear" w:color="auto" w:fill="auto"/>
            <w:noWrap/>
          </w:tcPr>
          <w:p w14:paraId="18F1673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42 (35.0)</w:t>
            </w:r>
          </w:p>
        </w:tc>
        <w:tc>
          <w:tcPr>
            <w:tcW w:w="2410" w:type="dxa"/>
            <w:shd w:val="clear" w:color="auto" w:fill="auto"/>
          </w:tcPr>
          <w:p w14:paraId="0012796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54 (32.7)</w:t>
            </w:r>
          </w:p>
        </w:tc>
        <w:tc>
          <w:tcPr>
            <w:tcW w:w="992" w:type="dxa"/>
            <w:shd w:val="clear" w:color="auto" w:fill="auto"/>
            <w:noWrap/>
          </w:tcPr>
          <w:p w14:paraId="5FC87A5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5362F41F" w14:textId="77777777" w:rsidTr="00FA65A3">
        <w:trPr>
          <w:trHeight w:val="20"/>
          <w:jc w:val="center"/>
        </w:trPr>
        <w:tc>
          <w:tcPr>
            <w:tcW w:w="4253" w:type="dxa"/>
            <w:shd w:val="clear" w:color="auto" w:fill="auto"/>
            <w:noWrap/>
            <w:hideMark/>
          </w:tcPr>
          <w:p w14:paraId="653E6DF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w:t>
            </w:r>
          </w:p>
        </w:tc>
        <w:tc>
          <w:tcPr>
            <w:tcW w:w="2551" w:type="dxa"/>
            <w:shd w:val="clear" w:color="auto" w:fill="auto"/>
            <w:noWrap/>
          </w:tcPr>
          <w:p w14:paraId="270DAE9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66 (55.0)</w:t>
            </w:r>
          </w:p>
        </w:tc>
        <w:tc>
          <w:tcPr>
            <w:tcW w:w="2410" w:type="dxa"/>
            <w:shd w:val="clear" w:color="auto" w:fill="auto"/>
          </w:tcPr>
          <w:p w14:paraId="52F0AFF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103 (62.4)</w:t>
            </w:r>
          </w:p>
        </w:tc>
        <w:tc>
          <w:tcPr>
            <w:tcW w:w="992" w:type="dxa"/>
            <w:shd w:val="clear" w:color="auto" w:fill="auto"/>
            <w:noWrap/>
          </w:tcPr>
          <w:p w14:paraId="769BD5B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0C175D93" w14:textId="77777777" w:rsidTr="00FA65A3">
        <w:trPr>
          <w:trHeight w:val="20"/>
          <w:jc w:val="center"/>
        </w:trPr>
        <w:tc>
          <w:tcPr>
            <w:tcW w:w="4253" w:type="dxa"/>
            <w:shd w:val="clear" w:color="auto" w:fill="auto"/>
            <w:noWrap/>
            <w:hideMark/>
          </w:tcPr>
          <w:p w14:paraId="1BED703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 2</w:t>
            </w:r>
          </w:p>
        </w:tc>
        <w:tc>
          <w:tcPr>
            <w:tcW w:w="2551" w:type="dxa"/>
            <w:shd w:val="clear" w:color="auto" w:fill="auto"/>
            <w:noWrap/>
          </w:tcPr>
          <w:p w14:paraId="7EF5B00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12 (10.0)</w:t>
            </w:r>
          </w:p>
        </w:tc>
        <w:tc>
          <w:tcPr>
            <w:tcW w:w="2410" w:type="dxa"/>
            <w:shd w:val="clear" w:color="auto" w:fill="auto"/>
          </w:tcPr>
          <w:p w14:paraId="326F37D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 (4.9)</w:t>
            </w:r>
          </w:p>
        </w:tc>
        <w:tc>
          <w:tcPr>
            <w:tcW w:w="992" w:type="dxa"/>
            <w:shd w:val="clear" w:color="auto" w:fill="auto"/>
            <w:noWrap/>
          </w:tcPr>
          <w:p w14:paraId="6FBEF70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835453F" w14:textId="77777777" w:rsidTr="00FA65A3">
        <w:trPr>
          <w:trHeight w:val="20"/>
          <w:jc w:val="center"/>
        </w:trPr>
        <w:tc>
          <w:tcPr>
            <w:tcW w:w="4253" w:type="dxa"/>
            <w:shd w:val="clear" w:color="auto" w:fill="auto"/>
            <w:noWrap/>
            <w:hideMark/>
          </w:tcPr>
          <w:p w14:paraId="41BF058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58433EF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4</w:t>
            </w:r>
          </w:p>
        </w:tc>
        <w:tc>
          <w:tcPr>
            <w:tcW w:w="2410" w:type="dxa"/>
            <w:shd w:val="clear" w:color="auto" w:fill="auto"/>
          </w:tcPr>
          <w:p w14:paraId="26D280E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w:t>
            </w:r>
          </w:p>
        </w:tc>
        <w:tc>
          <w:tcPr>
            <w:tcW w:w="992" w:type="dxa"/>
            <w:shd w:val="clear" w:color="auto" w:fill="auto"/>
            <w:noWrap/>
          </w:tcPr>
          <w:p w14:paraId="74A850E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7F1921EF" w14:textId="77777777" w:rsidTr="00FA65A3">
        <w:trPr>
          <w:trHeight w:val="20"/>
          <w:jc w:val="center"/>
        </w:trPr>
        <w:tc>
          <w:tcPr>
            <w:tcW w:w="4253" w:type="dxa"/>
            <w:shd w:val="clear" w:color="auto" w:fill="auto"/>
            <w:noWrap/>
            <w:hideMark/>
          </w:tcPr>
          <w:p w14:paraId="2EAE8816" w14:textId="0068419F"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Body mass index, kg/m</w:t>
            </w:r>
            <w:r w:rsidRPr="00FA65A3">
              <w:rPr>
                <w:rFonts w:ascii="Book Antiqua" w:eastAsia="Times New Roman" w:hAnsi="Book Antiqua" w:cs="Times New Roman"/>
                <w:color w:val="000000"/>
                <w:vertAlign w:val="superscript"/>
                <w:lang w:val="en-US" w:eastAsia="fr-FR"/>
              </w:rPr>
              <w:t>2</w:t>
            </w:r>
          </w:p>
        </w:tc>
        <w:tc>
          <w:tcPr>
            <w:tcW w:w="2551" w:type="dxa"/>
            <w:shd w:val="clear" w:color="auto" w:fill="auto"/>
            <w:noWrap/>
          </w:tcPr>
          <w:p w14:paraId="78A773C1" w14:textId="09A1F003" w:rsidR="00206998" w:rsidRPr="00FA65A3" w:rsidRDefault="00206998" w:rsidP="00864BDB">
            <w:pPr>
              <w:snapToGrid w:val="0"/>
              <w:spacing w:line="360" w:lineRule="auto"/>
              <w:jc w:val="both"/>
              <w:rPr>
                <w:rFonts w:ascii="Book Antiqua" w:eastAsia="Times New Roman" w:hAnsi="Book Antiqua" w:cs="Times New Roman"/>
                <w:lang w:val="en-US" w:eastAsia="fr-FR"/>
              </w:rPr>
            </w:pPr>
            <w:r w:rsidRPr="00FA65A3">
              <w:rPr>
                <w:rFonts w:ascii="Book Antiqua" w:eastAsia="Times New Roman" w:hAnsi="Book Antiqua" w:cs="Times New Roman"/>
                <w:lang w:val="en-US" w:eastAsia="fr-FR"/>
              </w:rPr>
              <w:t>23.9 [20.8</w:t>
            </w:r>
            <w:r w:rsidR="00FA65A3">
              <w:rPr>
                <w:rFonts w:ascii="Book Antiqua" w:eastAsia="Times New Roman" w:hAnsi="Book Antiqua" w:cs="Times New Roman"/>
                <w:lang w:val="en-US" w:eastAsia="fr-FR"/>
              </w:rPr>
              <w:t>-</w:t>
            </w:r>
            <w:r w:rsidRPr="00FA65A3">
              <w:rPr>
                <w:rFonts w:ascii="Book Antiqua" w:eastAsia="Times New Roman" w:hAnsi="Book Antiqua" w:cs="Times New Roman"/>
                <w:lang w:val="en-US" w:eastAsia="fr-FR"/>
              </w:rPr>
              <w:t>27.4]</w:t>
            </w:r>
          </w:p>
        </w:tc>
        <w:tc>
          <w:tcPr>
            <w:tcW w:w="2410" w:type="dxa"/>
            <w:shd w:val="clear" w:color="auto" w:fill="auto"/>
          </w:tcPr>
          <w:p w14:paraId="4B10A30E" w14:textId="131ED09D" w:rsidR="00206998" w:rsidRPr="00FA65A3" w:rsidRDefault="00206998" w:rsidP="00864BDB">
            <w:pPr>
              <w:snapToGrid w:val="0"/>
              <w:spacing w:line="360" w:lineRule="auto"/>
              <w:jc w:val="both"/>
              <w:rPr>
                <w:rFonts w:ascii="Book Antiqua" w:eastAsia="Times New Roman" w:hAnsi="Book Antiqua" w:cs="Times New Roman"/>
                <w:lang w:val="en-US" w:eastAsia="fr-FR"/>
              </w:rPr>
            </w:pPr>
            <w:r w:rsidRPr="00FA65A3">
              <w:rPr>
                <w:rFonts w:ascii="Book Antiqua" w:eastAsia="Times New Roman" w:hAnsi="Book Antiqua" w:cs="Times New Roman"/>
                <w:color w:val="000000"/>
                <w:lang w:val="en-US" w:eastAsia="fr-FR"/>
              </w:rPr>
              <w:t>23.0 [20.8</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25.6]</w:t>
            </w:r>
          </w:p>
        </w:tc>
        <w:tc>
          <w:tcPr>
            <w:tcW w:w="992" w:type="dxa"/>
            <w:shd w:val="clear" w:color="auto" w:fill="auto"/>
            <w:noWrap/>
          </w:tcPr>
          <w:p w14:paraId="584C384F" w14:textId="77777777" w:rsidR="00206998" w:rsidRPr="00FA65A3" w:rsidRDefault="00206998" w:rsidP="00864BDB">
            <w:pPr>
              <w:snapToGrid w:val="0"/>
              <w:spacing w:line="360" w:lineRule="auto"/>
              <w:jc w:val="both"/>
              <w:rPr>
                <w:rFonts w:ascii="Book Antiqua" w:eastAsia="Times New Roman" w:hAnsi="Book Antiqua" w:cs="Times New Roman"/>
                <w:lang w:val="en-US" w:eastAsia="fr-FR"/>
              </w:rPr>
            </w:pPr>
            <w:r w:rsidRPr="00FA65A3">
              <w:rPr>
                <w:rFonts w:ascii="Book Antiqua" w:eastAsia="Times New Roman" w:hAnsi="Book Antiqua" w:cs="Times New Roman"/>
                <w:lang w:val="en-US" w:eastAsia="fr-FR"/>
              </w:rPr>
              <w:t>0.114</w:t>
            </w:r>
          </w:p>
        </w:tc>
      </w:tr>
      <w:tr w:rsidR="001E7E15" w:rsidRPr="00FA65A3" w14:paraId="115E6240" w14:textId="77777777" w:rsidTr="00FA65A3">
        <w:trPr>
          <w:trHeight w:val="20"/>
          <w:jc w:val="center"/>
        </w:trPr>
        <w:tc>
          <w:tcPr>
            <w:tcW w:w="4253" w:type="dxa"/>
            <w:shd w:val="clear" w:color="auto" w:fill="auto"/>
            <w:noWrap/>
            <w:hideMark/>
          </w:tcPr>
          <w:p w14:paraId="6BC592A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1597E9D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w:t>
            </w:r>
          </w:p>
        </w:tc>
        <w:tc>
          <w:tcPr>
            <w:tcW w:w="2410" w:type="dxa"/>
            <w:shd w:val="clear" w:color="auto" w:fill="auto"/>
          </w:tcPr>
          <w:p w14:paraId="7FF2703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w:t>
            </w:r>
          </w:p>
        </w:tc>
        <w:tc>
          <w:tcPr>
            <w:tcW w:w="992" w:type="dxa"/>
            <w:shd w:val="clear" w:color="auto" w:fill="auto"/>
            <w:noWrap/>
          </w:tcPr>
          <w:p w14:paraId="12C7ADA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F93258D" w14:textId="77777777" w:rsidTr="00FA65A3">
        <w:trPr>
          <w:trHeight w:val="20"/>
          <w:jc w:val="center"/>
        </w:trPr>
        <w:tc>
          <w:tcPr>
            <w:tcW w:w="4253" w:type="dxa"/>
            <w:shd w:val="clear" w:color="auto" w:fill="auto"/>
            <w:noWrap/>
            <w:hideMark/>
          </w:tcPr>
          <w:p w14:paraId="6CEBDEA7" w14:textId="7B7D6BE8"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Pain</w:t>
            </w:r>
          </w:p>
        </w:tc>
        <w:tc>
          <w:tcPr>
            <w:tcW w:w="2551" w:type="dxa"/>
            <w:shd w:val="clear" w:color="auto" w:fill="auto"/>
            <w:noWrap/>
          </w:tcPr>
          <w:p w14:paraId="2FC9AFB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6766F3D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73A582AD"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3174A855" w14:textId="77777777" w:rsidTr="00FA65A3">
        <w:trPr>
          <w:trHeight w:val="20"/>
          <w:jc w:val="center"/>
        </w:trPr>
        <w:tc>
          <w:tcPr>
            <w:tcW w:w="4253" w:type="dxa"/>
            <w:shd w:val="clear" w:color="auto" w:fill="auto"/>
            <w:noWrap/>
            <w:hideMark/>
          </w:tcPr>
          <w:p w14:paraId="1A68692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32964CB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90 (73.8)</w:t>
            </w:r>
          </w:p>
        </w:tc>
        <w:tc>
          <w:tcPr>
            <w:tcW w:w="2410" w:type="dxa"/>
            <w:shd w:val="clear" w:color="auto" w:fill="auto"/>
          </w:tcPr>
          <w:p w14:paraId="4B08E82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83 (50.9)</w:t>
            </w:r>
          </w:p>
        </w:tc>
        <w:tc>
          <w:tcPr>
            <w:tcW w:w="992" w:type="dxa"/>
            <w:shd w:val="clear" w:color="auto" w:fill="auto"/>
            <w:noWrap/>
          </w:tcPr>
          <w:p w14:paraId="2FBE454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4F15CAC9" w14:textId="77777777" w:rsidTr="00FA65A3">
        <w:trPr>
          <w:trHeight w:val="20"/>
          <w:jc w:val="center"/>
        </w:trPr>
        <w:tc>
          <w:tcPr>
            <w:tcW w:w="4253" w:type="dxa"/>
            <w:shd w:val="clear" w:color="auto" w:fill="auto"/>
            <w:noWrap/>
            <w:hideMark/>
          </w:tcPr>
          <w:p w14:paraId="0CDC049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6FA80A4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32 (26.2)</w:t>
            </w:r>
          </w:p>
        </w:tc>
        <w:tc>
          <w:tcPr>
            <w:tcW w:w="2410" w:type="dxa"/>
            <w:shd w:val="clear" w:color="auto" w:fill="auto"/>
          </w:tcPr>
          <w:p w14:paraId="1CA07E8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80 (49.1)</w:t>
            </w:r>
          </w:p>
        </w:tc>
        <w:tc>
          <w:tcPr>
            <w:tcW w:w="992" w:type="dxa"/>
            <w:shd w:val="clear" w:color="auto" w:fill="auto"/>
            <w:noWrap/>
          </w:tcPr>
          <w:p w14:paraId="54229E0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0F9F6263" w14:textId="77777777" w:rsidTr="00FA65A3">
        <w:trPr>
          <w:trHeight w:val="20"/>
          <w:jc w:val="center"/>
        </w:trPr>
        <w:tc>
          <w:tcPr>
            <w:tcW w:w="4253" w:type="dxa"/>
            <w:shd w:val="clear" w:color="auto" w:fill="auto"/>
            <w:noWrap/>
            <w:hideMark/>
          </w:tcPr>
          <w:p w14:paraId="4013AD5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4DEECF9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2410" w:type="dxa"/>
            <w:shd w:val="clear" w:color="auto" w:fill="auto"/>
          </w:tcPr>
          <w:p w14:paraId="5D9E583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992" w:type="dxa"/>
            <w:shd w:val="clear" w:color="auto" w:fill="auto"/>
            <w:noWrap/>
          </w:tcPr>
          <w:p w14:paraId="1EAA8AE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A3D7588" w14:textId="77777777" w:rsidTr="00FA65A3">
        <w:trPr>
          <w:trHeight w:val="20"/>
          <w:jc w:val="center"/>
        </w:trPr>
        <w:tc>
          <w:tcPr>
            <w:tcW w:w="4253" w:type="dxa"/>
            <w:shd w:val="clear" w:color="auto" w:fill="auto"/>
            <w:noWrap/>
            <w:hideMark/>
          </w:tcPr>
          <w:p w14:paraId="708E38B8" w14:textId="15A196AC"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Jaundice</w:t>
            </w:r>
          </w:p>
        </w:tc>
        <w:tc>
          <w:tcPr>
            <w:tcW w:w="2551" w:type="dxa"/>
            <w:shd w:val="clear" w:color="auto" w:fill="auto"/>
            <w:noWrap/>
          </w:tcPr>
          <w:p w14:paraId="1B22D2FF" w14:textId="77777777" w:rsidR="00206998" w:rsidRPr="00FA65A3" w:rsidRDefault="00206998" w:rsidP="00864BDB">
            <w:pPr>
              <w:snapToGrid w:val="0"/>
              <w:spacing w:line="360" w:lineRule="auto"/>
              <w:jc w:val="both"/>
              <w:rPr>
                <w:rFonts w:ascii="Book Antiqua" w:eastAsia="Times New Roman" w:hAnsi="Book Antiqua" w:cs="Times New Roman"/>
                <w:lang w:val="en-US" w:eastAsia="fr-FR"/>
              </w:rPr>
            </w:pPr>
          </w:p>
        </w:tc>
        <w:tc>
          <w:tcPr>
            <w:tcW w:w="2410" w:type="dxa"/>
            <w:shd w:val="clear" w:color="auto" w:fill="auto"/>
          </w:tcPr>
          <w:p w14:paraId="220546B2"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3F75EE22"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0.266</w:t>
            </w:r>
          </w:p>
        </w:tc>
      </w:tr>
      <w:tr w:rsidR="001E7E15" w:rsidRPr="00FA65A3" w14:paraId="725CA085" w14:textId="77777777" w:rsidTr="00FA65A3">
        <w:trPr>
          <w:trHeight w:val="20"/>
          <w:jc w:val="center"/>
        </w:trPr>
        <w:tc>
          <w:tcPr>
            <w:tcW w:w="4253" w:type="dxa"/>
            <w:shd w:val="clear" w:color="auto" w:fill="auto"/>
            <w:noWrap/>
            <w:hideMark/>
          </w:tcPr>
          <w:p w14:paraId="347C28E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1A3950A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114 (93.4)</w:t>
            </w:r>
          </w:p>
        </w:tc>
        <w:tc>
          <w:tcPr>
            <w:tcW w:w="2410" w:type="dxa"/>
            <w:shd w:val="clear" w:color="auto" w:fill="auto"/>
          </w:tcPr>
          <w:p w14:paraId="23D7D56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148 (89.7)</w:t>
            </w:r>
          </w:p>
        </w:tc>
        <w:tc>
          <w:tcPr>
            <w:tcW w:w="992" w:type="dxa"/>
            <w:shd w:val="clear" w:color="auto" w:fill="auto"/>
            <w:noWrap/>
          </w:tcPr>
          <w:p w14:paraId="2A21EBB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20DD721C" w14:textId="77777777" w:rsidTr="00FA65A3">
        <w:trPr>
          <w:trHeight w:val="20"/>
          <w:jc w:val="center"/>
        </w:trPr>
        <w:tc>
          <w:tcPr>
            <w:tcW w:w="4253" w:type="dxa"/>
            <w:shd w:val="clear" w:color="auto" w:fill="auto"/>
            <w:noWrap/>
            <w:hideMark/>
          </w:tcPr>
          <w:p w14:paraId="67336B6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3AAC38F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 (6.6)</w:t>
            </w:r>
          </w:p>
        </w:tc>
        <w:tc>
          <w:tcPr>
            <w:tcW w:w="2410" w:type="dxa"/>
            <w:shd w:val="clear" w:color="auto" w:fill="auto"/>
          </w:tcPr>
          <w:p w14:paraId="7C1240C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17 (10.3)</w:t>
            </w:r>
          </w:p>
        </w:tc>
        <w:tc>
          <w:tcPr>
            <w:tcW w:w="992" w:type="dxa"/>
            <w:shd w:val="clear" w:color="auto" w:fill="auto"/>
            <w:noWrap/>
          </w:tcPr>
          <w:p w14:paraId="634D204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66E25662" w14:textId="77777777" w:rsidTr="00FA65A3">
        <w:trPr>
          <w:trHeight w:val="20"/>
          <w:jc w:val="center"/>
        </w:trPr>
        <w:tc>
          <w:tcPr>
            <w:tcW w:w="4253" w:type="dxa"/>
            <w:shd w:val="clear" w:color="auto" w:fill="auto"/>
            <w:noWrap/>
            <w:hideMark/>
          </w:tcPr>
          <w:p w14:paraId="4C3DFA3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00B5F92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2410" w:type="dxa"/>
            <w:shd w:val="clear" w:color="auto" w:fill="auto"/>
          </w:tcPr>
          <w:p w14:paraId="60237AA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w:t>
            </w:r>
          </w:p>
        </w:tc>
        <w:tc>
          <w:tcPr>
            <w:tcW w:w="992" w:type="dxa"/>
            <w:shd w:val="clear" w:color="auto" w:fill="auto"/>
            <w:noWrap/>
          </w:tcPr>
          <w:p w14:paraId="4C25F2D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1C396045" w14:textId="77777777" w:rsidTr="00FA65A3">
        <w:trPr>
          <w:trHeight w:val="20"/>
          <w:jc w:val="center"/>
        </w:trPr>
        <w:tc>
          <w:tcPr>
            <w:tcW w:w="4253" w:type="dxa"/>
            <w:shd w:val="clear" w:color="auto" w:fill="auto"/>
            <w:noWrap/>
            <w:hideMark/>
          </w:tcPr>
          <w:p w14:paraId="1418C87E" w14:textId="731E13D5"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lastRenderedPageBreak/>
              <w:t>Ascites</w:t>
            </w:r>
          </w:p>
        </w:tc>
        <w:tc>
          <w:tcPr>
            <w:tcW w:w="2551" w:type="dxa"/>
            <w:shd w:val="clear" w:color="auto" w:fill="auto"/>
            <w:noWrap/>
          </w:tcPr>
          <w:p w14:paraId="15D049EA"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72B05C10"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72C8CBA5"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1.000</w:t>
            </w:r>
          </w:p>
        </w:tc>
      </w:tr>
      <w:tr w:rsidR="001E7E15" w:rsidRPr="00FA65A3" w14:paraId="3593FC7D" w14:textId="77777777" w:rsidTr="00FA65A3">
        <w:trPr>
          <w:trHeight w:val="20"/>
          <w:jc w:val="center"/>
        </w:trPr>
        <w:tc>
          <w:tcPr>
            <w:tcW w:w="4253" w:type="dxa"/>
            <w:shd w:val="clear" w:color="auto" w:fill="auto"/>
            <w:noWrap/>
            <w:hideMark/>
          </w:tcPr>
          <w:p w14:paraId="05B1881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06BEE7E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117 (95.9)</w:t>
            </w:r>
          </w:p>
        </w:tc>
        <w:tc>
          <w:tcPr>
            <w:tcW w:w="2410" w:type="dxa"/>
            <w:shd w:val="clear" w:color="auto" w:fill="auto"/>
          </w:tcPr>
          <w:p w14:paraId="64D31A9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157 (96.3)</w:t>
            </w:r>
          </w:p>
        </w:tc>
        <w:tc>
          <w:tcPr>
            <w:tcW w:w="992" w:type="dxa"/>
            <w:shd w:val="clear" w:color="auto" w:fill="auto"/>
            <w:noWrap/>
          </w:tcPr>
          <w:p w14:paraId="11B05AB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4E966AE2" w14:textId="77777777" w:rsidTr="00FA65A3">
        <w:trPr>
          <w:trHeight w:val="20"/>
          <w:jc w:val="center"/>
        </w:trPr>
        <w:tc>
          <w:tcPr>
            <w:tcW w:w="4253" w:type="dxa"/>
            <w:shd w:val="clear" w:color="auto" w:fill="auto"/>
            <w:noWrap/>
            <w:hideMark/>
          </w:tcPr>
          <w:p w14:paraId="77D9D4B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7AC32BB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5 (4.1)</w:t>
            </w:r>
          </w:p>
        </w:tc>
        <w:tc>
          <w:tcPr>
            <w:tcW w:w="2410" w:type="dxa"/>
            <w:shd w:val="clear" w:color="auto" w:fill="auto"/>
          </w:tcPr>
          <w:p w14:paraId="2C70788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 (3.7)</w:t>
            </w:r>
          </w:p>
        </w:tc>
        <w:tc>
          <w:tcPr>
            <w:tcW w:w="992" w:type="dxa"/>
            <w:shd w:val="clear" w:color="auto" w:fill="auto"/>
            <w:noWrap/>
          </w:tcPr>
          <w:p w14:paraId="71CC885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7D979DC3" w14:textId="77777777" w:rsidTr="00FA65A3">
        <w:trPr>
          <w:trHeight w:val="20"/>
          <w:jc w:val="center"/>
        </w:trPr>
        <w:tc>
          <w:tcPr>
            <w:tcW w:w="4253" w:type="dxa"/>
            <w:shd w:val="clear" w:color="auto" w:fill="auto"/>
            <w:noWrap/>
            <w:hideMark/>
          </w:tcPr>
          <w:p w14:paraId="431008C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592EA91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2410" w:type="dxa"/>
            <w:shd w:val="clear" w:color="auto" w:fill="auto"/>
          </w:tcPr>
          <w:p w14:paraId="6E18D00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w:t>
            </w:r>
          </w:p>
        </w:tc>
        <w:tc>
          <w:tcPr>
            <w:tcW w:w="992" w:type="dxa"/>
            <w:shd w:val="clear" w:color="auto" w:fill="auto"/>
            <w:noWrap/>
          </w:tcPr>
          <w:p w14:paraId="48F1C17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FA65A3" w14:paraId="1C1F9591" w14:textId="77777777" w:rsidTr="00FA65A3">
        <w:trPr>
          <w:trHeight w:val="20"/>
          <w:jc w:val="center"/>
        </w:trPr>
        <w:tc>
          <w:tcPr>
            <w:tcW w:w="10206" w:type="dxa"/>
            <w:gridSpan w:val="4"/>
            <w:shd w:val="clear" w:color="auto" w:fill="auto"/>
            <w:noWrap/>
            <w:hideMark/>
          </w:tcPr>
          <w:p w14:paraId="77553D5A" w14:textId="533EEDDC" w:rsidR="00FA65A3" w:rsidRPr="00FA65A3" w:rsidRDefault="00FA65A3"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Biological parameters</w:t>
            </w:r>
          </w:p>
        </w:tc>
      </w:tr>
      <w:tr w:rsidR="00B62BE8" w:rsidRPr="00FA65A3" w14:paraId="2A96519D" w14:textId="77777777" w:rsidTr="00FA65A3">
        <w:trPr>
          <w:trHeight w:val="20"/>
          <w:jc w:val="center"/>
        </w:trPr>
        <w:tc>
          <w:tcPr>
            <w:tcW w:w="4253" w:type="dxa"/>
            <w:shd w:val="clear" w:color="auto" w:fill="auto"/>
            <w:noWrap/>
            <w:hideMark/>
          </w:tcPr>
          <w:p w14:paraId="1454B354" w14:textId="77777777" w:rsidR="00A1595B" w:rsidRPr="00FA65A3" w:rsidRDefault="00A1595B"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Albumin, median [IQR], g/L</w:t>
            </w:r>
          </w:p>
        </w:tc>
        <w:tc>
          <w:tcPr>
            <w:tcW w:w="2551" w:type="dxa"/>
            <w:shd w:val="clear" w:color="auto" w:fill="auto"/>
            <w:noWrap/>
          </w:tcPr>
          <w:p w14:paraId="10705D35" w14:textId="4E2A8CC8" w:rsidR="00A1595B" w:rsidRPr="00FA65A3" w:rsidRDefault="00A1595B"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39.1 [37.0</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43.0]</w:t>
            </w:r>
          </w:p>
        </w:tc>
        <w:tc>
          <w:tcPr>
            <w:tcW w:w="2410" w:type="dxa"/>
            <w:shd w:val="clear" w:color="auto" w:fill="auto"/>
          </w:tcPr>
          <w:p w14:paraId="41B47CDE" w14:textId="13B797A1" w:rsidR="00A1595B" w:rsidRPr="00FA65A3" w:rsidRDefault="00A1595B"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35.0 [29.0</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39.0]</w:t>
            </w:r>
          </w:p>
        </w:tc>
        <w:tc>
          <w:tcPr>
            <w:tcW w:w="992" w:type="dxa"/>
            <w:shd w:val="clear" w:color="auto" w:fill="auto"/>
            <w:noWrap/>
          </w:tcPr>
          <w:p w14:paraId="4427167B" w14:textId="77777777" w:rsidR="00A1595B" w:rsidRPr="00FA65A3" w:rsidRDefault="00A1595B"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&lt;0.001</w:t>
            </w:r>
          </w:p>
        </w:tc>
      </w:tr>
      <w:tr w:rsidR="001E7E15" w:rsidRPr="00FA65A3" w14:paraId="766042CC" w14:textId="77777777" w:rsidTr="00FA65A3">
        <w:trPr>
          <w:trHeight w:val="20"/>
          <w:jc w:val="center"/>
        </w:trPr>
        <w:tc>
          <w:tcPr>
            <w:tcW w:w="4253" w:type="dxa"/>
            <w:shd w:val="clear" w:color="auto" w:fill="auto"/>
            <w:noWrap/>
            <w:hideMark/>
          </w:tcPr>
          <w:p w14:paraId="7D3CE30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23DE72F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48</w:t>
            </w:r>
          </w:p>
        </w:tc>
        <w:tc>
          <w:tcPr>
            <w:tcW w:w="2410" w:type="dxa"/>
            <w:shd w:val="clear" w:color="auto" w:fill="auto"/>
          </w:tcPr>
          <w:p w14:paraId="27ED251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80</w:t>
            </w:r>
          </w:p>
        </w:tc>
        <w:tc>
          <w:tcPr>
            <w:tcW w:w="992" w:type="dxa"/>
            <w:shd w:val="clear" w:color="auto" w:fill="auto"/>
            <w:noWrap/>
          </w:tcPr>
          <w:p w14:paraId="4FB5393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FCFC8FF" w14:textId="77777777" w:rsidTr="00FA65A3">
        <w:trPr>
          <w:trHeight w:val="20"/>
          <w:jc w:val="center"/>
        </w:trPr>
        <w:tc>
          <w:tcPr>
            <w:tcW w:w="4253" w:type="dxa"/>
            <w:shd w:val="clear" w:color="auto" w:fill="auto"/>
            <w:noWrap/>
            <w:hideMark/>
          </w:tcPr>
          <w:p w14:paraId="02B99680"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Lymphocytes, median [IQR], mm</w:t>
            </w:r>
            <w:r w:rsidRPr="00FA65A3">
              <w:rPr>
                <w:rFonts w:ascii="Book Antiqua" w:eastAsia="Times New Roman" w:hAnsi="Book Antiqua" w:cs="Times New Roman"/>
                <w:color w:val="000000"/>
                <w:vertAlign w:val="superscript"/>
                <w:lang w:val="en-US" w:eastAsia="fr-FR"/>
              </w:rPr>
              <w:t>3</w:t>
            </w:r>
          </w:p>
        </w:tc>
        <w:tc>
          <w:tcPr>
            <w:tcW w:w="2551" w:type="dxa"/>
            <w:shd w:val="clear" w:color="auto" w:fill="auto"/>
            <w:noWrap/>
          </w:tcPr>
          <w:p w14:paraId="24CF502B" w14:textId="10B61750"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404346C8" w14:textId="27C020C6"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6FFF4A3C" w14:textId="35747124" w:rsidR="00206998" w:rsidRPr="00FA65A3" w:rsidRDefault="005A0D50"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0.408</w:t>
            </w:r>
          </w:p>
        </w:tc>
      </w:tr>
      <w:tr w:rsidR="001E7E15" w:rsidRPr="00FA65A3" w14:paraId="033D78D5" w14:textId="77777777" w:rsidTr="00FA65A3">
        <w:trPr>
          <w:trHeight w:val="20"/>
          <w:jc w:val="center"/>
        </w:trPr>
        <w:tc>
          <w:tcPr>
            <w:tcW w:w="4253" w:type="dxa"/>
            <w:shd w:val="clear" w:color="auto" w:fill="auto"/>
            <w:noWrap/>
            <w:hideMark/>
          </w:tcPr>
          <w:p w14:paraId="39FA707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 1000</w:t>
            </w:r>
          </w:p>
        </w:tc>
        <w:tc>
          <w:tcPr>
            <w:tcW w:w="2551" w:type="dxa"/>
            <w:shd w:val="clear" w:color="auto" w:fill="auto"/>
            <w:noWrap/>
          </w:tcPr>
          <w:p w14:paraId="57B86D5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 (15.9)</w:t>
            </w:r>
          </w:p>
        </w:tc>
        <w:tc>
          <w:tcPr>
            <w:tcW w:w="2410" w:type="dxa"/>
            <w:shd w:val="clear" w:color="auto" w:fill="auto"/>
          </w:tcPr>
          <w:p w14:paraId="5947E86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12 (11.4)</w:t>
            </w:r>
          </w:p>
        </w:tc>
        <w:tc>
          <w:tcPr>
            <w:tcW w:w="992" w:type="dxa"/>
            <w:shd w:val="clear" w:color="auto" w:fill="auto"/>
            <w:noWrap/>
          </w:tcPr>
          <w:p w14:paraId="36AC18BA" w14:textId="029F545F"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0E0FE90B" w14:textId="77777777" w:rsidTr="00FA65A3">
        <w:trPr>
          <w:trHeight w:val="20"/>
          <w:jc w:val="center"/>
        </w:trPr>
        <w:tc>
          <w:tcPr>
            <w:tcW w:w="4253" w:type="dxa"/>
            <w:shd w:val="clear" w:color="auto" w:fill="auto"/>
            <w:noWrap/>
            <w:hideMark/>
          </w:tcPr>
          <w:p w14:paraId="0D5F107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 1000</w:t>
            </w:r>
          </w:p>
        </w:tc>
        <w:tc>
          <w:tcPr>
            <w:tcW w:w="2551" w:type="dxa"/>
            <w:shd w:val="clear" w:color="auto" w:fill="auto"/>
            <w:noWrap/>
          </w:tcPr>
          <w:p w14:paraId="130895B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53 (84.1)</w:t>
            </w:r>
          </w:p>
        </w:tc>
        <w:tc>
          <w:tcPr>
            <w:tcW w:w="2410" w:type="dxa"/>
            <w:shd w:val="clear" w:color="auto" w:fill="auto"/>
          </w:tcPr>
          <w:p w14:paraId="4B64E63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93 (88.6)</w:t>
            </w:r>
          </w:p>
        </w:tc>
        <w:tc>
          <w:tcPr>
            <w:tcW w:w="992" w:type="dxa"/>
            <w:shd w:val="clear" w:color="auto" w:fill="auto"/>
            <w:noWrap/>
          </w:tcPr>
          <w:p w14:paraId="78E1EB6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67FDCF6C" w14:textId="77777777" w:rsidTr="00FA65A3">
        <w:trPr>
          <w:trHeight w:val="20"/>
          <w:jc w:val="center"/>
        </w:trPr>
        <w:tc>
          <w:tcPr>
            <w:tcW w:w="4253" w:type="dxa"/>
            <w:shd w:val="clear" w:color="auto" w:fill="auto"/>
            <w:noWrap/>
            <w:hideMark/>
          </w:tcPr>
          <w:p w14:paraId="3272A998"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73E0F95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19</w:t>
            </w:r>
          </w:p>
        </w:tc>
        <w:tc>
          <w:tcPr>
            <w:tcW w:w="2410" w:type="dxa"/>
            <w:shd w:val="clear" w:color="auto" w:fill="auto"/>
          </w:tcPr>
          <w:p w14:paraId="18C9951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102</w:t>
            </w:r>
          </w:p>
        </w:tc>
        <w:tc>
          <w:tcPr>
            <w:tcW w:w="992" w:type="dxa"/>
            <w:shd w:val="clear" w:color="auto" w:fill="auto"/>
            <w:noWrap/>
          </w:tcPr>
          <w:p w14:paraId="086A103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6A32A23A" w14:textId="77777777" w:rsidTr="00FA65A3">
        <w:trPr>
          <w:trHeight w:val="20"/>
          <w:jc w:val="center"/>
        </w:trPr>
        <w:tc>
          <w:tcPr>
            <w:tcW w:w="4253" w:type="dxa"/>
            <w:shd w:val="clear" w:color="auto" w:fill="auto"/>
            <w:noWrap/>
            <w:hideMark/>
          </w:tcPr>
          <w:p w14:paraId="0F0B4538"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Neutrophil-to-lymphocyte ratio, median [IQR]</w:t>
            </w:r>
          </w:p>
        </w:tc>
        <w:tc>
          <w:tcPr>
            <w:tcW w:w="2551" w:type="dxa"/>
            <w:shd w:val="clear" w:color="auto" w:fill="auto"/>
            <w:noWrap/>
          </w:tcPr>
          <w:p w14:paraId="3E6B26CC" w14:textId="4F74AD74"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2FBC3574" w14:textId="44FD961D"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625B78B5" w14:textId="17C2CFAA" w:rsidR="00206998" w:rsidRPr="00FA65A3" w:rsidRDefault="005A0D50"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0.103</w:t>
            </w:r>
          </w:p>
        </w:tc>
      </w:tr>
      <w:tr w:rsidR="001E7E15" w:rsidRPr="00FA65A3" w14:paraId="21056262" w14:textId="77777777" w:rsidTr="00FA65A3">
        <w:trPr>
          <w:trHeight w:val="20"/>
          <w:jc w:val="center"/>
        </w:trPr>
        <w:tc>
          <w:tcPr>
            <w:tcW w:w="4253" w:type="dxa"/>
            <w:shd w:val="clear" w:color="auto" w:fill="auto"/>
            <w:noWrap/>
            <w:hideMark/>
          </w:tcPr>
          <w:p w14:paraId="467DE8F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&lt; 5</w:t>
            </w:r>
          </w:p>
        </w:tc>
        <w:tc>
          <w:tcPr>
            <w:tcW w:w="2551" w:type="dxa"/>
            <w:shd w:val="clear" w:color="auto" w:fill="auto"/>
            <w:noWrap/>
          </w:tcPr>
          <w:p w14:paraId="675E609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82 (78.1)</w:t>
            </w:r>
          </w:p>
        </w:tc>
        <w:tc>
          <w:tcPr>
            <w:tcW w:w="2410" w:type="dxa"/>
            <w:shd w:val="clear" w:color="auto" w:fill="auto"/>
          </w:tcPr>
          <w:p w14:paraId="2AAC17B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42 (66.7)</w:t>
            </w:r>
          </w:p>
        </w:tc>
        <w:tc>
          <w:tcPr>
            <w:tcW w:w="992" w:type="dxa"/>
            <w:shd w:val="clear" w:color="auto" w:fill="auto"/>
            <w:noWrap/>
          </w:tcPr>
          <w:p w14:paraId="271663F4" w14:textId="57B6B822"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32705EFC" w14:textId="77777777" w:rsidTr="00FA65A3">
        <w:trPr>
          <w:trHeight w:val="20"/>
          <w:jc w:val="center"/>
        </w:trPr>
        <w:tc>
          <w:tcPr>
            <w:tcW w:w="4253" w:type="dxa"/>
            <w:shd w:val="clear" w:color="auto" w:fill="auto"/>
            <w:noWrap/>
            <w:hideMark/>
          </w:tcPr>
          <w:p w14:paraId="0917DC2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 5</w:t>
            </w:r>
          </w:p>
        </w:tc>
        <w:tc>
          <w:tcPr>
            <w:tcW w:w="2551" w:type="dxa"/>
            <w:shd w:val="clear" w:color="auto" w:fill="auto"/>
            <w:noWrap/>
          </w:tcPr>
          <w:p w14:paraId="7364FD6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23 (21.9)</w:t>
            </w:r>
          </w:p>
        </w:tc>
        <w:tc>
          <w:tcPr>
            <w:tcW w:w="2410" w:type="dxa"/>
            <w:shd w:val="clear" w:color="auto" w:fill="auto"/>
          </w:tcPr>
          <w:p w14:paraId="045B798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21 (33.3)</w:t>
            </w:r>
          </w:p>
        </w:tc>
        <w:tc>
          <w:tcPr>
            <w:tcW w:w="992" w:type="dxa"/>
            <w:shd w:val="clear" w:color="auto" w:fill="auto"/>
            <w:noWrap/>
          </w:tcPr>
          <w:p w14:paraId="4452AAD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383EA9D9" w14:textId="77777777" w:rsidTr="00FA65A3">
        <w:trPr>
          <w:trHeight w:val="20"/>
          <w:jc w:val="center"/>
        </w:trPr>
        <w:tc>
          <w:tcPr>
            <w:tcW w:w="4253" w:type="dxa"/>
            <w:shd w:val="clear" w:color="auto" w:fill="auto"/>
            <w:noWrap/>
            <w:hideMark/>
          </w:tcPr>
          <w:p w14:paraId="2D16F08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641762CE"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19</w:t>
            </w:r>
          </w:p>
        </w:tc>
        <w:tc>
          <w:tcPr>
            <w:tcW w:w="2410" w:type="dxa"/>
            <w:shd w:val="clear" w:color="auto" w:fill="auto"/>
          </w:tcPr>
          <w:p w14:paraId="70367643"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102</w:t>
            </w:r>
          </w:p>
        </w:tc>
        <w:tc>
          <w:tcPr>
            <w:tcW w:w="992" w:type="dxa"/>
            <w:shd w:val="clear" w:color="auto" w:fill="auto"/>
            <w:noWrap/>
          </w:tcPr>
          <w:p w14:paraId="7463EB16"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2B416E31" w14:textId="77777777" w:rsidTr="00FA65A3">
        <w:trPr>
          <w:trHeight w:val="20"/>
          <w:jc w:val="center"/>
        </w:trPr>
        <w:tc>
          <w:tcPr>
            <w:tcW w:w="4253" w:type="dxa"/>
            <w:shd w:val="clear" w:color="auto" w:fill="auto"/>
            <w:noWrap/>
            <w:hideMark/>
          </w:tcPr>
          <w:p w14:paraId="54F121B1"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CA19-9, median [IQR], UI/mL</w:t>
            </w:r>
          </w:p>
        </w:tc>
        <w:tc>
          <w:tcPr>
            <w:tcW w:w="2551" w:type="dxa"/>
            <w:shd w:val="clear" w:color="auto" w:fill="auto"/>
            <w:noWrap/>
          </w:tcPr>
          <w:p w14:paraId="41A6751E" w14:textId="1A82A416"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885.0 [79.0</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4756.0]</w:t>
            </w:r>
          </w:p>
        </w:tc>
        <w:tc>
          <w:tcPr>
            <w:tcW w:w="2410" w:type="dxa"/>
            <w:shd w:val="clear" w:color="auto" w:fill="auto"/>
          </w:tcPr>
          <w:p w14:paraId="29E7D65E" w14:textId="1CF27200"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650.0 [138.0</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5300.0]</w:t>
            </w:r>
          </w:p>
        </w:tc>
        <w:tc>
          <w:tcPr>
            <w:tcW w:w="992" w:type="dxa"/>
            <w:shd w:val="clear" w:color="auto" w:fill="auto"/>
            <w:noWrap/>
          </w:tcPr>
          <w:p w14:paraId="3E179F27"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0.669</w:t>
            </w:r>
          </w:p>
        </w:tc>
      </w:tr>
      <w:tr w:rsidR="001E7E15" w:rsidRPr="00FA65A3" w14:paraId="026CA2D9" w14:textId="77777777" w:rsidTr="00FA65A3">
        <w:trPr>
          <w:trHeight w:val="20"/>
          <w:jc w:val="center"/>
        </w:trPr>
        <w:tc>
          <w:tcPr>
            <w:tcW w:w="4253" w:type="dxa"/>
            <w:shd w:val="clear" w:color="auto" w:fill="auto"/>
            <w:noWrap/>
            <w:hideMark/>
          </w:tcPr>
          <w:p w14:paraId="426AFAE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Missing</w:t>
            </w:r>
          </w:p>
        </w:tc>
        <w:tc>
          <w:tcPr>
            <w:tcW w:w="2551" w:type="dxa"/>
            <w:shd w:val="clear" w:color="auto" w:fill="auto"/>
            <w:noWrap/>
          </w:tcPr>
          <w:p w14:paraId="1D28C265"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w:t>
            </w:r>
          </w:p>
        </w:tc>
        <w:tc>
          <w:tcPr>
            <w:tcW w:w="2410" w:type="dxa"/>
            <w:shd w:val="clear" w:color="auto" w:fill="auto"/>
          </w:tcPr>
          <w:p w14:paraId="3FB658E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34</w:t>
            </w:r>
          </w:p>
        </w:tc>
        <w:tc>
          <w:tcPr>
            <w:tcW w:w="992" w:type="dxa"/>
            <w:shd w:val="clear" w:color="auto" w:fill="auto"/>
            <w:noWrap/>
          </w:tcPr>
          <w:p w14:paraId="517EA429"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FA65A3" w:rsidRPr="00FA65A3" w14:paraId="5BBD0A5E" w14:textId="77777777" w:rsidTr="00FA65A3">
        <w:trPr>
          <w:trHeight w:val="20"/>
          <w:jc w:val="center"/>
        </w:trPr>
        <w:tc>
          <w:tcPr>
            <w:tcW w:w="10206" w:type="dxa"/>
            <w:gridSpan w:val="4"/>
            <w:shd w:val="clear" w:color="auto" w:fill="auto"/>
            <w:noWrap/>
            <w:hideMark/>
          </w:tcPr>
          <w:p w14:paraId="340916D0" w14:textId="2438A603" w:rsidR="00FA65A3" w:rsidRPr="00FA65A3" w:rsidRDefault="00FA65A3"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Previous treatment</w:t>
            </w:r>
          </w:p>
        </w:tc>
      </w:tr>
      <w:tr w:rsidR="00206998" w:rsidRPr="00FA65A3" w14:paraId="3A8CE171" w14:textId="77777777" w:rsidTr="00FA65A3">
        <w:trPr>
          <w:trHeight w:val="20"/>
          <w:jc w:val="center"/>
        </w:trPr>
        <w:tc>
          <w:tcPr>
            <w:tcW w:w="4253" w:type="dxa"/>
            <w:shd w:val="clear" w:color="auto" w:fill="auto"/>
            <w:noWrap/>
            <w:hideMark/>
          </w:tcPr>
          <w:p w14:paraId="7E43AC0F" w14:textId="63EBB9EE"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Primary tumor resection</w:t>
            </w:r>
          </w:p>
        </w:tc>
        <w:tc>
          <w:tcPr>
            <w:tcW w:w="2551" w:type="dxa"/>
            <w:shd w:val="clear" w:color="auto" w:fill="auto"/>
            <w:noWrap/>
          </w:tcPr>
          <w:p w14:paraId="052CBB95"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2024E79F"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42D683D9"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0.277</w:t>
            </w:r>
          </w:p>
        </w:tc>
      </w:tr>
      <w:tr w:rsidR="001E7E15" w:rsidRPr="00FA65A3" w14:paraId="4DAC1C57" w14:textId="77777777" w:rsidTr="00FA65A3">
        <w:trPr>
          <w:trHeight w:val="20"/>
          <w:jc w:val="center"/>
        </w:trPr>
        <w:tc>
          <w:tcPr>
            <w:tcW w:w="4253" w:type="dxa"/>
            <w:shd w:val="clear" w:color="auto" w:fill="auto"/>
            <w:noWrap/>
            <w:hideMark/>
          </w:tcPr>
          <w:p w14:paraId="38F1BE7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2D23D13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18 (14.5)</w:t>
            </w:r>
          </w:p>
        </w:tc>
        <w:tc>
          <w:tcPr>
            <w:tcW w:w="2410" w:type="dxa"/>
            <w:shd w:val="clear" w:color="auto" w:fill="auto"/>
          </w:tcPr>
          <w:p w14:paraId="521DEE7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17 (10.3)</w:t>
            </w:r>
          </w:p>
        </w:tc>
        <w:tc>
          <w:tcPr>
            <w:tcW w:w="992" w:type="dxa"/>
            <w:shd w:val="clear" w:color="auto" w:fill="auto"/>
            <w:noWrap/>
          </w:tcPr>
          <w:p w14:paraId="61532480"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25DB7CBE" w14:textId="77777777" w:rsidTr="00FA65A3">
        <w:trPr>
          <w:trHeight w:val="20"/>
          <w:jc w:val="center"/>
        </w:trPr>
        <w:tc>
          <w:tcPr>
            <w:tcW w:w="4253" w:type="dxa"/>
            <w:shd w:val="clear" w:color="auto" w:fill="auto"/>
            <w:noWrap/>
            <w:hideMark/>
          </w:tcPr>
          <w:p w14:paraId="3ACC082F"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4062C14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106 (85.5)</w:t>
            </w:r>
          </w:p>
        </w:tc>
        <w:tc>
          <w:tcPr>
            <w:tcW w:w="2410" w:type="dxa"/>
            <w:shd w:val="clear" w:color="auto" w:fill="auto"/>
          </w:tcPr>
          <w:p w14:paraId="279E72BA"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148 (89.7)</w:t>
            </w:r>
          </w:p>
        </w:tc>
        <w:tc>
          <w:tcPr>
            <w:tcW w:w="992" w:type="dxa"/>
            <w:shd w:val="clear" w:color="auto" w:fill="auto"/>
            <w:noWrap/>
          </w:tcPr>
          <w:p w14:paraId="04A4158D"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206998" w:rsidRPr="00FA65A3" w14:paraId="0A745AD2" w14:textId="77777777" w:rsidTr="00FA65A3">
        <w:trPr>
          <w:trHeight w:val="20"/>
          <w:jc w:val="center"/>
        </w:trPr>
        <w:tc>
          <w:tcPr>
            <w:tcW w:w="4253" w:type="dxa"/>
            <w:shd w:val="clear" w:color="auto" w:fill="auto"/>
            <w:noWrap/>
            <w:hideMark/>
          </w:tcPr>
          <w:p w14:paraId="704D598A" w14:textId="6548BA7F"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Adjuvant chemotherapy</w:t>
            </w:r>
          </w:p>
        </w:tc>
        <w:tc>
          <w:tcPr>
            <w:tcW w:w="2551" w:type="dxa"/>
            <w:shd w:val="clear" w:color="auto" w:fill="auto"/>
            <w:noWrap/>
          </w:tcPr>
          <w:p w14:paraId="6270FF23"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410" w:type="dxa"/>
            <w:shd w:val="clear" w:color="auto" w:fill="auto"/>
          </w:tcPr>
          <w:p w14:paraId="23F8D33C"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992" w:type="dxa"/>
            <w:shd w:val="clear" w:color="auto" w:fill="auto"/>
            <w:noWrap/>
          </w:tcPr>
          <w:p w14:paraId="1BCC5F65" w14:textId="77777777" w:rsidR="00206998" w:rsidRPr="00FA65A3" w:rsidRDefault="00206998"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0.865</w:t>
            </w:r>
          </w:p>
        </w:tc>
      </w:tr>
      <w:tr w:rsidR="001E7E15" w:rsidRPr="00FA65A3" w14:paraId="64C230D7" w14:textId="77777777" w:rsidTr="00FA65A3">
        <w:trPr>
          <w:trHeight w:val="20"/>
          <w:jc w:val="center"/>
        </w:trPr>
        <w:tc>
          <w:tcPr>
            <w:tcW w:w="4253" w:type="dxa"/>
            <w:shd w:val="clear" w:color="auto" w:fill="auto"/>
            <w:noWrap/>
            <w:hideMark/>
          </w:tcPr>
          <w:p w14:paraId="4925683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Yes</w:t>
            </w:r>
          </w:p>
        </w:tc>
        <w:tc>
          <w:tcPr>
            <w:tcW w:w="2551" w:type="dxa"/>
            <w:shd w:val="clear" w:color="auto" w:fill="auto"/>
            <w:noWrap/>
          </w:tcPr>
          <w:p w14:paraId="3B1C75E7"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12 (9.7)</w:t>
            </w:r>
          </w:p>
        </w:tc>
        <w:tc>
          <w:tcPr>
            <w:tcW w:w="2410" w:type="dxa"/>
            <w:shd w:val="clear" w:color="auto" w:fill="auto"/>
          </w:tcPr>
          <w:p w14:paraId="4DE3E9E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15 (9.1)</w:t>
            </w:r>
          </w:p>
        </w:tc>
        <w:tc>
          <w:tcPr>
            <w:tcW w:w="992" w:type="dxa"/>
            <w:shd w:val="clear" w:color="auto" w:fill="auto"/>
            <w:noWrap/>
          </w:tcPr>
          <w:p w14:paraId="3B91D5C1"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1E7E15" w:rsidRPr="00FA65A3" w14:paraId="65E62A76" w14:textId="77777777" w:rsidTr="00FA65A3">
        <w:trPr>
          <w:trHeight w:val="20"/>
          <w:jc w:val="center"/>
        </w:trPr>
        <w:tc>
          <w:tcPr>
            <w:tcW w:w="4253" w:type="dxa"/>
            <w:shd w:val="clear" w:color="auto" w:fill="auto"/>
            <w:noWrap/>
            <w:hideMark/>
          </w:tcPr>
          <w:p w14:paraId="7961E004"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No</w:t>
            </w:r>
          </w:p>
        </w:tc>
        <w:tc>
          <w:tcPr>
            <w:tcW w:w="2551" w:type="dxa"/>
            <w:shd w:val="clear" w:color="auto" w:fill="auto"/>
            <w:noWrap/>
          </w:tcPr>
          <w:p w14:paraId="3ADBF922"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112 (90.3)</w:t>
            </w:r>
          </w:p>
        </w:tc>
        <w:tc>
          <w:tcPr>
            <w:tcW w:w="2410" w:type="dxa"/>
            <w:shd w:val="clear" w:color="auto" w:fill="auto"/>
          </w:tcPr>
          <w:p w14:paraId="23F1549C"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150 (90.9)</w:t>
            </w:r>
          </w:p>
        </w:tc>
        <w:tc>
          <w:tcPr>
            <w:tcW w:w="992" w:type="dxa"/>
            <w:shd w:val="clear" w:color="auto" w:fill="auto"/>
            <w:noWrap/>
          </w:tcPr>
          <w:p w14:paraId="7C47B48B" w14:textId="77777777" w:rsidR="001E7E15" w:rsidRPr="00FA65A3" w:rsidRDefault="001E7E15" w:rsidP="00864BDB">
            <w:pPr>
              <w:snapToGrid w:val="0"/>
              <w:spacing w:line="360" w:lineRule="auto"/>
              <w:jc w:val="both"/>
              <w:rPr>
                <w:rFonts w:ascii="Book Antiqua" w:eastAsia="Times New Roman" w:hAnsi="Book Antiqua" w:cs="Times New Roman"/>
                <w:color w:val="000000"/>
                <w:lang w:val="en-US" w:eastAsia="fr-FR"/>
              </w:rPr>
            </w:pPr>
          </w:p>
        </w:tc>
      </w:tr>
      <w:tr w:rsidR="000F74AE" w:rsidRPr="00FA65A3" w14:paraId="4F40AA00" w14:textId="77777777" w:rsidTr="00FA65A3">
        <w:trPr>
          <w:trHeight w:val="20"/>
          <w:jc w:val="center"/>
        </w:trPr>
        <w:tc>
          <w:tcPr>
            <w:tcW w:w="4253" w:type="dxa"/>
            <w:tcBorders>
              <w:bottom w:val="single" w:sz="4" w:space="0" w:color="auto"/>
            </w:tcBorders>
            <w:shd w:val="clear" w:color="auto" w:fill="auto"/>
            <w:noWrap/>
            <w:hideMark/>
          </w:tcPr>
          <w:p w14:paraId="272C4E28" w14:textId="629F56D7" w:rsidR="000F74AE" w:rsidRPr="00FA65A3" w:rsidRDefault="000F74AE"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Median follow-up time (</w:t>
            </w:r>
            <w:r w:rsidR="009D1BBF" w:rsidRPr="00FA65A3">
              <w:rPr>
                <w:rFonts w:ascii="Book Antiqua" w:eastAsia="Times New Roman" w:hAnsi="Book Antiqua" w:cs="Times New Roman"/>
                <w:color w:val="000000"/>
                <w:lang w:val="en-US" w:eastAsia="fr-FR"/>
              </w:rPr>
              <w:t>95%CI</w:t>
            </w:r>
            <w:r w:rsidRPr="00FA65A3">
              <w:rPr>
                <w:rFonts w:ascii="Book Antiqua" w:eastAsia="Times New Roman" w:hAnsi="Book Antiqua" w:cs="Times New Roman"/>
                <w:color w:val="000000"/>
                <w:lang w:val="en-US" w:eastAsia="fr-FR"/>
              </w:rPr>
              <w:t>), mo</w:t>
            </w:r>
          </w:p>
        </w:tc>
        <w:tc>
          <w:tcPr>
            <w:tcW w:w="2551" w:type="dxa"/>
            <w:tcBorders>
              <w:bottom w:val="single" w:sz="4" w:space="0" w:color="auto"/>
            </w:tcBorders>
            <w:shd w:val="clear" w:color="auto" w:fill="auto"/>
            <w:noWrap/>
            <w:vAlign w:val="center"/>
          </w:tcPr>
          <w:p w14:paraId="69BF2201" w14:textId="713DFF71" w:rsidR="000F74AE" w:rsidRPr="00FA65A3" w:rsidRDefault="00DF24B1"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30.8 [23.0</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NA]</w:t>
            </w:r>
          </w:p>
        </w:tc>
        <w:tc>
          <w:tcPr>
            <w:tcW w:w="2410" w:type="dxa"/>
            <w:tcBorders>
              <w:bottom w:val="single" w:sz="4" w:space="0" w:color="auto"/>
            </w:tcBorders>
            <w:shd w:val="clear" w:color="auto" w:fill="auto"/>
            <w:vAlign w:val="center"/>
          </w:tcPr>
          <w:p w14:paraId="64887985" w14:textId="549D4DBD" w:rsidR="000F74AE" w:rsidRPr="00FA65A3" w:rsidRDefault="00DF24B1" w:rsidP="00864BDB">
            <w:pPr>
              <w:snapToGrid w:val="0"/>
              <w:spacing w:line="360" w:lineRule="auto"/>
              <w:jc w:val="both"/>
              <w:rPr>
                <w:rFonts w:ascii="Book Antiqua" w:eastAsia="Times New Roman" w:hAnsi="Book Antiqua" w:cs="Times New Roman"/>
                <w:color w:val="000000"/>
                <w:lang w:val="en-US" w:eastAsia="fr-FR"/>
              </w:rPr>
            </w:pPr>
            <w:r w:rsidRPr="00FA65A3">
              <w:rPr>
                <w:rFonts w:ascii="Book Antiqua" w:eastAsia="Times New Roman" w:hAnsi="Book Antiqua" w:cs="Times New Roman"/>
                <w:color w:val="000000"/>
                <w:lang w:val="en-US" w:eastAsia="fr-FR"/>
              </w:rPr>
              <w:t>61.4 [43.2</w:t>
            </w:r>
            <w:r w:rsidR="00FA65A3">
              <w:rPr>
                <w:rFonts w:ascii="Book Antiqua" w:eastAsia="Times New Roman" w:hAnsi="Book Antiqua" w:cs="Times New Roman"/>
                <w:color w:val="000000"/>
                <w:lang w:val="en-US" w:eastAsia="fr-FR"/>
              </w:rPr>
              <w:t>-</w:t>
            </w:r>
            <w:r w:rsidRPr="00FA65A3">
              <w:rPr>
                <w:rFonts w:ascii="Book Antiqua" w:eastAsia="Times New Roman" w:hAnsi="Book Antiqua" w:cs="Times New Roman"/>
                <w:color w:val="000000"/>
                <w:lang w:val="en-US" w:eastAsia="fr-FR"/>
              </w:rPr>
              <w:t>87.9]</w:t>
            </w:r>
          </w:p>
        </w:tc>
        <w:tc>
          <w:tcPr>
            <w:tcW w:w="992" w:type="dxa"/>
            <w:tcBorders>
              <w:bottom w:val="single" w:sz="4" w:space="0" w:color="auto"/>
            </w:tcBorders>
            <w:shd w:val="clear" w:color="auto" w:fill="auto"/>
            <w:noWrap/>
          </w:tcPr>
          <w:p w14:paraId="62AAD881" w14:textId="77777777" w:rsidR="000F74AE" w:rsidRPr="00FA65A3" w:rsidRDefault="000F74AE" w:rsidP="00864BDB">
            <w:pPr>
              <w:snapToGrid w:val="0"/>
              <w:spacing w:line="360" w:lineRule="auto"/>
              <w:jc w:val="both"/>
              <w:rPr>
                <w:rFonts w:ascii="Book Antiqua" w:eastAsia="Times New Roman" w:hAnsi="Book Antiqua" w:cs="Times New Roman"/>
                <w:color w:val="000000"/>
                <w:lang w:val="en-US" w:eastAsia="fr-FR"/>
              </w:rPr>
            </w:pPr>
          </w:p>
        </w:tc>
      </w:tr>
    </w:tbl>
    <w:p w14:paraId="0008AB2E" w14:textId="774CB520" w:rsidR="00FA65A3" w:rsidRDefault="00206998" w:rsidP="00864BDB">
      <w:pPr>
        <w:snapToGrid w:val="0"/>
        <w:spacing w:after="0" w:line="360" w:lineRule="auto"/>
        <w:jc w:val="both"/>
        <w:rPr>
          <w:rFonts w:ascii="Book Antiqua" w:eastAsia="Times New Roman" w:hAnsi="Book Antiqua" w:cs="Times New Roman"/>
          <w:color w:val="000000"/>
          <w:sz w:val="24"/>
          <w:szCs w:val="24"/>
          <w:lang w:val="en-US" w:eastAsia="fr-FR"/>
        </w:rPr>
      </w:pPr>
      <w:r w:rsidRPr="001E7E15">
        <w:rPr>
          <w:rFonts w:ascii="Book Antiqua" w:eastAsia="Times New Roman" w:hAnsi="Book Antiqua" w:cs="Times New Roman"/>
          <w:i/>
          <w:iCs/>
          <w:color w:val="000000"/>
          <w:sz w:val="24"/>
          <w:szCs w:val="24"/>
          <w:lang w:val="en-US" w:eastAsia="fr-FR"/>
        </w:rPr>
        <w:t>χ</w:t>
      </w:r>
      <w:r w:rsidRPr="002575A7">
        <w:rPr>
          <w:rFonts w:ascii="Book Antiqua" w:eastAsia="Times New Roman" w:hAnsi="Book Antiqua" w:cs="Times New Roman"/>
          <w:color w:val="000000"/>
          <w:sz w:val="24"/>
          <w:szCs w:val="24"/>
          <w:vertAlign w:val="superscript"/>
          <w:lang w:val="en-US" w:eastAsia="fr-FR"/>
        </w:rPr>
        <w:t>2</w:t>
      </w:r>
      <w:r w:rsidRPr="002575A7">
        <w:rPr>
          <w:rFonts w:ascii="Book Antiqua" w:eastAsia="Times New Roman" w:hAnsi="Book Antiqua" w:cs="Times New Roman"/>
          <w:color w:val="000000"/>
          <w:sz w:val="24"/>
          <w:szCs w:val="24"/>
          <w:lang w:val="en-US" w:eastAsia="fr-FR"/>
        </w:rPr>
        <w:t xml:space="preserve"> tests or Fisher’s exact tests </w:t>
      </w:r>
      <w:r w:rsidR="00CF2435">
        <w:rPr>
          <w:rFonts w:ascii="Book Antiqua" w:eastAsia="Times New Roman" w:hAnsi="Book Antiqua" w:cs="Times New Roman"/>
          <w:color w:val="000000"/>
          <w:sz w:val="24"/>
          <w:szCs w:val="24"/>
          <w:lang w:val="en-US" w:eastAsia="fr-FR"/>
        </w:rPr>
        <w:t xml:space="preserve">were </w:t>
      </w:r>
      <w:r w:rsidRPr="002575A7">
        <w:rPr>
          <w:rFonts w:ascii="Book Antiqua" w:eastAsia="Times New Roman" w:hAnsi="Book Antiqua" w:cs="Times New Roman"/>
          <w:color w:val="000000"/>
          <w:sz w:val="24"/>
          <w:szCs w:val="24"/>
          <w:lang w:val="en-US" w:eastAsia="fr-FR"/>
        </w:rPr>
        <w:t xml:space="preserve">used to compare proportions, and Wilcoxon tests </w:t>
      </w:r>
      <w:r w:rsidR="00CF2435">
        <w:rPr>
          <w:rFonts w:ascii="Book Antiqua" w:eastAsia="Times New Roman" w:hAnsi="Book Antiqua" w:cs="Times New Roman"/>
          <w:color w:val="000000"/>
          <w:sz w:val="24"/>
          <w:szCs w:val="24"/>
          <w:lang w:val="en-US" w:eastAsia="fr-FR"/>
        </w:rPr>
        <w:t xml:space="preserve">were </w:t>
      </w:r>
      <w:r w:rsidRPr="002575A7">
        <w:rPr>
          <w:rFonts w:ascii="Book Antiqua" w:eastAsia="Times New Roman" w:hAnsi="Book Antiqua" w:cs="Times New Roman"/>
          <w:color w:val="000000"/>
          <w:sz w:val="24"/>
          <w:szCs w:val="24"/>
          <w:lang w:val="en-US" w:eastAsia="fr-FR"/>
        </w:rPr>
        <w:t xml:space="preserve">used to compare continuous variables between </w:t>
      </w:r>
      <w:r w:rsidR="00CF2435">
        <w:rPr>
          <w:rFonts w:ascii="Book Antiqua" w:eastAsia="Times New Roman" w:hAnsi="Book Antiqua" w:cs="Times New Roman"/>
          <w:color w:val="000000"/>
          <w:sz w:val="24"/>
          <w:szCs w:val="24"/>
          <w:lang w:val="en-US" w:eastAsia="fr-FR"/>
        </w:rPr>
        <w:t xml:space="preserve">the </w:t>
      </w:r>
      <w:r w:rsidRPr="002575A7">
        <w:rPr>
          <w:rFonts w:ascii="Book Antiqua" w:eastAsia="Times New Roman" w:hAnsi="Book Antiqua" w:cs="Times New Roman"/>
          <w:color w:val="000000"/>
          <w:sz w:val="24"/>
          <w:szCs w:val="24"/>
          <w:lang w:val="en-US" w:eastAsia="fr-FR"/>
        </w:rPr>
        <w:t xml:space="preserve">FOLFIRINOX and FOLFOXIRI groups. All statistical tests were two-sided. </w:t>
      </w:r>
      <w:r w:rsidR="00FA65A3" w:rsidRPr="002575A7">
        <w:rPr>
          <w:rFonts w:ascii="Book Antiqua" w:eastAsia="Times New Roman" w:hAnsi="Book Antiqua" w:cs="Times New Roman"/>
          <w:color w:val="000000"/>
          <w:sz w:val="24"/>
          <w:szCs w:val="24"/>
          <w:lang w:val="en-US" w:eastAsia="fr-FR"/>
        </w:rPr>
        <w:t>CA19-9</w:t>
      </w:r>
      <w:r w:rsidR="00FA65A3">
        <w:rPr>
          <w:rFonts w:ascii="Book Antiqua" w:eastAsia="Times New Roman" w:hAnsi="Book Antiqua" w:cs="Times New Roman"/>
          <w:color w:val="000000"/>
          <w:sz w:val="24"/>
          <w:szCs w:val="24"/>
          <w:lang w:val="en-US" w:eastAsia="fr-FR"/>
        </w:rPr>
        <w:t xml:space="preserve">: </w:t>
      </w:r>
      <w:r w:rsidRPr="002575A7">
        <w:rPr>
          <w:rFonts w:ascii="Book Antiqua" w:eastAsia="Times New Roman" w:hAnsi="Book Antiqua" w:cs="Times New Roman"/>
          <w:color w:val="000000"/>
          <w:sz w:val="24"/>
          <w:szCs w:val="24"/>
          <w:lang w:val="en-US" w:eastAsia="fr-FR"/>
        </w:rPr>
        <w:t>Carbohydrate Antigen 19-9</w:t>
      </w:r>
      <w:r w:rsidR="00FA65A3">
        <w:rPr>
          <w:rFonts w:ascii="Book Antiqua" w:eastAsia="Times New Roman" w:hAnsi="Book Antiqua" w:cs="Times New Roman"/>
          <w:color w:val="000000"/>
          <w:sz w:val="24"/>
          <w:szCs w:val="24"/>
          <w:lang w:val="en-US" w:eastAsia="fr-FR"/>
        </w:rPr>
        <w:t xml:space="preserve">; </w:t>
      </w:r>
      <w:r w:rsidR="00FA65A3" w:rsidRPr="002575A7">
        <w:rPr>
          <w:rFonts w:ascii="Book Antiqua" w:eastAsia="Times New Roman" w:hAnsi="Book Antiqua" w:cs="Times New Roman"/>
          <w:color w:val="000000"/>
          <w:sz w:val="24"/>
          <w:szCs w:val="24"/>
          <w:lang w:val="en-US" w:eastAsia="fr-FR"/>
        </w:rPr>
        <w:t>IQR</w:t>
      </w:r>
      <w:r w:rsidR="00FA65A3">
        <w:rPr>
          <w:rFonts w:ascii="Book Antiqua" w:eastAsia="Times New Roman" w:hAnsi="Book Antiqua" w:cs="Times New Roman"/>
          <w:color w:val="000000"/>
          <w:sz w:val="24"/>
          <w:szCs w:val="24"/>
          <w:lang w:val="en-US" w:eastAsia="fr-FR"/>
        </w:rPr>
        <w:t>:</w:t>
      </w:r>
      <w:r w:rsidR="00FA65A3" w:rsidRPr="002575A7">
        <w:rPr>
          <w:rFonts w:ascii="Book Antiqua" w:eastAsia="Times New Roman" w:hAnsi="Book Antiqua" w:cs="Times New Roman"/>
          <w:color w:val="000000"/>
          <w:sz w:val="24"/>
          <w:szCs w:val="24"/>
          <w:lang w:val="en-US" w:eastAsia="fr-FR"/>
        </w:rPr>
        <w:t xml:space="preserve"> Interquartile </w:t>
      </w:r>
      <w:r w:rsidRPr="002575A7">
        <w:rPr>
          <w:rFonts w:ascii="Book Antiqua" w:eastAsia="Times New Roman" w:hAnsi="Book Antiqua" w:cs="Times New Roman"/>
          <w:color w:val="000000"/>
          <w:sz w:val="24"/>
          <w:szCs w:val="24"/>
          <w:lang w:val="en-US" w:eastAsia="fr-FR"/>
        </w:rPr>
        <w:t>range</w:t>
      </w:r>
      <w:r w:rsidR="00FA65A3">
        <w:rPr>
          <w:rFonts w:ascii="Book Antiqua" w:eastAsia="Times New Roman" w:hAnsi="Book Antiqua" w:cs="Times New Roman"/>
          <w:color w:val="000000"/>
          <w:sz w:val="24"/>
          <w:szCs w:val="24"/>
          <w:lang w:val="en-US" w:eastAsia="fr-FR"/>
        </w:rPr>
        <w:t>;</w:t>
      </w:r>
      <w:r w:rsidRPr="002575A7">
        <w:rPr>
          <w:rFonts w:ascii="Book Antiqua" w:eastAsia="Times New Roman" w:hAnsi="Book Antiqua" w:cs="Times New Roman"/>
          <w:color w:val="000000"/>
          <w:sz w:val="24"/>
          <w:szCs w:val="24"/>
          <w:lang w:val="en-US" w:eastAsia="fr-FR"/>
        </w:rPr>
        <w:t xml:space="preserve"> </w:t>
      </w:r>
      <w:r w:rsidR="00FA65A3" w:rsidRPr="002575A7">
        <w:rPr>
          <w:rFonts w:ascii="Book Antiqua" w:eastAsia="Times New Roman" w:hAnsi="Book Antiqua" w:cs="Times New Roman"/>
          <w:color w:val="000000"/>
          <w:sz w:val="24"/>
          <w:szCs w:val="24"/>
          <w:lang w:val="en-US" w:eastAsia="fr-FR"/>
        </w:rPr>
        <w:t>WHO</w:t>
      </w:r>
      <w:r w:rsidR="00FA65A3">
        <w:rPr>
          <w:rFonts w:ascii="Book Antiqua" w:eastAsia="Times New Roman" w:hAnsi="Book Antiqua" w:cs="Times New Roman"/>
          <w:color w:val="000000"/>
          <w:sz w:val="24"/>
          <w:szCs w:val="24"/>
          <w:lang w:val="en-US" w:eastAsia="fr-FR"/>
        </w:rPr>
        <w:t>:</w:t>
      </w:r>
      <w:r w:rsidR="00FA65A3" w:rsidRPr="002575A7">
        <w:rPr>
          <w:rFonts w:ascii="Book Antiqua" w:eastAsia="Times New Roman" w:hAnsi="Book Antiqua" w:cs="Times New Roman"/>
          <w:color w:val="000000"/>
          <w:sz w:val="24"/>
          <w:szCs w:val="24"/>
          <w:lang w:val="en-US" w:eastAsia="fr-FR"/>
        </w:rPr>
        <w:t xml:space="preserve"> </w:t>
      </w:r>
      <w:r w:rsidRPr="002575A7">
        <w:rPr>
          <w:rFonts w:ascii="Book Antiqua" w:eastAsia="Times New Roman" w:hAnsi="Book Antiqua" w:cs="Times New Roman"/>
          <w:color w:val="000000"/>
          <w:sz w:val="24"/>
          <w:szCs w:val="24"/>
          <w:lang w:val="en-US" w:eastAsia="fr-FR"/>
        </w:rPr>
        <w:t>World Health Organization.</w:t>
      </w:r>
      <w:r w:rsidR="001A7581" w:rsidRPr="002575A7">
        <w:rPr>
          <w:rFonts w:ascii="Book Antiqua" w:eastAsia="Times New Roman" w:hAnsi="Book Antiqua" w:cs="Times New Roman"/>
          <w:color w:val="000000"/>
          <w:sz w:val="24"/>
          <w:szCs w:val="24"/>
          <w:lang w:val="en-US" w:eastAsia="fr-FR"/>
        </w:rPr>
        <w:t xml:space="preserve"> </w:t>
      </w:r>
    </w:p>
    <w:p w14:paraId="5EA81437" w14:textId="1BD37C41" w:rsidR="000955AB" w:rsidRPr="002575A7" w:rsidRDefault="000955AB" w:rsidP="00864BDB">
      <w:pPr>
        <w:snapToGrid w:val="0"/>
        <w:spacing w:after="0" w:line="360" w:lineRule="auto"/>
        <w:jc w:val="both"/>
        <w:rPr>
          <w:rFonts w:ascii="Book Antiqua" w:hAnsi="Book Antiqua" w:cs="Times New Roman"/>
          <w:sz w:val="24"/>
          <w:szCs w:val="24"/>
          <w:lang w:val="en-US"/>
        </w:rPr>
        <w:sectPr w:rsidR="000955AB" w:rsidRPr="002575A7" w:rsidSect="00A83F3E">
          <w:footerReference w:type="default" r:id="rId10"/>
          <w:pgSz w:w="11906" w:h="16838"/>
          <w:pgMar w:top="1417" w:right="1417" w:bottom="1417" w:left="1417" w:header="709" w:footer="709" w:gutter="0"/>
          <w:cols w:space="708"/>
          <w:docGrid w:linePitch="360"/>
        </w:sectPr>
      </w:pPr>
    </w:p>
    <w:p w14:paraId="0EBE3916" w14:textId="1C6190E0" w:rsidR="00206998" w:rsidRPr="003F66D4" w:rsidRDefault="00206998" w:rsidP="00DB5B28">
      <w:pPr>
        <w:spacing w:line="360" w:lineRule="auto"/>
        <w:jc w:val="both"/>
        <w:rPr>
          <w:rFonts w:ascii="Book Antiqua" w:hAnsi="Book Antiqua"/>
          <w:b/>
          <w:bCs/>
          <w:sz w:val="24"/>
          <w:szCs w:val="24"/>
          <w:lang w:val="en-US"/>
        </w:rPr>
      </w:pPr>
      <w:r w:rsidRPr="003F66D4">
        <w:rPr>
          <w:rFonts w:ascii="Book Antiqua" w:hAnsi="Book Antiqua"/>
          <w:b/>
          <w:bCs/>
          <w:sz w:val="24"/>
          <w:szCs w:val="24"/>
          <w:lang w:val="en-US"/>
        </w:rPr>
        <w:lastRenderedPageBreak/>
        <w:t>Table 2</w:t>
      </w:r>
      <w:r w:rsidR="00FA65A3" w:rsidRPr="003F66D4">
        <w:rPr>
          <w:rFonts w:ascii="Book Antiqua" w:hAnsi="Book Antiqua"/>
          <w:b/>
          <w:bCs/>
          <w:sz w:val="24"/>
          <w:szCs w:val="24"/>
          <w:lang w:val="en-US"/>
        </w:rPr>
        <w:t xml:space="preserve"> </w:t>
      </w:r>
      <w:r w:rsidRPr="003F66D4">
        <w:rPr>
          <w:rFonts w:ascii="Book Antiqua" w:hAnsi="Book Antiqua"/>
          <w:b/>
          <w:bCs/>
          <w:sz w:val="24"/>
          <w:szCs w:val="24"/>
          <w:lang w:val="en-US"/>
        </w:rPr>
        <w:t xml:space="preserve">Outcomes </w:t>
      </w:r>
      <w:r w:rsidR="00864988" w:rsidRPr="003F66D4">
        <w:rPr>
          <w:rFonts w:ascii="Book Antiqua" w:hAnsi="Book Antiqua"/>
          <w:b/>
          <w:bCs/>
          <w:sz w:val="24"/>
          <w:szCs w:val="24"/>
          <w:lang w:val="en-US"/>
        </w:rPr>
        <w:t>in</w:t>
      </w:r>
      <w:r w:rsidRPr="003F66D4">
        <w:rPr>
          <w:rFonts w:ascii="Book Antiqua" w:hAnsi="Book Antiqua"/>
          <w:b/>
          <w:bCs/>
          <w:sz w:val="24"/>
          <w:szCs w:val="24"/>
          <w:lang w:val="en-US"/>
        </w:rPr>
        <w:t xml:space="preserve"> the </w:t>
      </w:r>
      <w:r w:rsidR="00864988" w:rsidRPr="003F66D4">
        <w:rPr>
          <w:rFonts w:ascii="Book Antiqua" w:hAnsi="Book Antiqua"/>
          <w:b/>
          <w:bCs/>
          <w:sz w:val="24"/>
          <w:szCs w:val="24"/>
          <w:lang w:val="en-US"/>
        </w:rPr>
        <w:t xml:space="preserve">overall </w:t>
      </w:r>
      <w:r w:rsidRPr="003F66D4">
        <w:rPr>
          <w:rFonts w:ascii="Book Antiqua" w:hAnsi="Book Antiqua"/>
          <w:b/>
          <w:bCs/>
          <w:sz w:val="24"/>
          <w:szCs w:val="24"/>
          <w:lang w:val="en-US"/>
        </w:rPr>
        <w:t xml:space="preserve">population </w:t>
      </w:r>
      <w:r w:rsidR="009C2DDF" w:rsidRPr="003F66D4">
        <w:rPr>
          <w:rFonts w:ascii="Book Antiqua" w:hAnsi="Book Antiqua"/>
          <w:b/>
          <w:bCs/>
          <w:sz w:val="24"/>
          <w:szCs w:val="24"/>
          <w:lang w:val="en-US"/>
        </w:rPr>
        <w:t xml:space="preserve">and </w:t>
      </w:r>
      <w:r w:rsidR="00FD142C" w:rsidRPr="003F66D4">
        <w:rPr>
          <w:rFonts w:ascii="Book Antiqua" w:hAnsi="Book Antiqua"/>
          <w:b/>
          <w:bCs/>
          <w:sz w:val="24"/>
          <w:szCs w:val="24"/>
          <w:lang w:val="en-US"/>
        </w:rPr>
        <w:t>propensity score</w:t>
      </w:r>
      <w:r w:rsidR="00DB5B28" w:rsidRPr="00DB5B28">
        <w:rPr>
          <w:rFonts w:ascii="Book Antiqua" w:hAnsi="Book Antiqua" w:cs="宋体"/>
          <w:b/>
          <w:bCs/>
          <w:sz w:val="24"/>
          <w:szCs w:val="24"/>
          <w:lang w:val="en-US" w:eastAsia="zh-CN"/>
        </w:rPr>
        <w:t>-</w:t>
      </w:r>
      <w:r w:rsidR="00FD142C" w:rsidRPr="003F66D4">
        <w:rPr>
          <w:rFonts w:ascii="Book Antiqua" w:hAnsi="Book Antiqua"/>
          <w:b/>
          <w:bCs/>
          <w:sz w:val="24"/>
          <w:szCs w:val="24"/>
          <w:lang w:val="en-US"/>
        </w:rPr>
        <w:t xml:space="preserve">matched population </w:t>
      </w:r>
      <w:r w:rsidRPr="003F66D4">
        <w:rPr>
          <w:rFonts w:ascii="Book Antiqua" w:hAnsi="Book Antiqua"/>
          <w:b/>
          <w:bCs/>
          <w:sz w:val="24"/>
          <w:szCs w:val="24"/>
          <w:lang w:val="en-US"/>
        </w:rPr>
        <w:t>according to first-line chemotherapy</w:t>
      </w:r>
      <w:r w:rsidR="00DB5B28">
        <w:rPr>
          <w:rFonts w:ascii="Book Antiqua" w:hAnsi="Book Antiqua"/>
          <w:b/>
          <w:bCs/>
          <w:sz w:val="24"/>
          <w:szCs w:val="24"/>
          <w:lang w:val="en-US"/>
        </w:rPr>
        <w:t xml:space="preserve">, </w:t>
      </w:r>
      <w:r w:rsidR="00DB5B28" w:rsidRPr="00DB5B28">
        <w:rPr>
          <w:rFonts w:ascii="Book Antiqua" w:hAnsi="Book Antiqua"/>
          <w:b/>
          <w:bCs/>
          <w:i/>
          <w:iCs/>
          <w:sz w:val="24"/>
          <w:szCs w:val="24"/>
          <w:lang w:val="en-US"/>
        </w:rPr>
        <w:t>n</w:t>
      </w:r>
      <w:r w:rsidR="00DB5B28">
        <w:rPr>
          <w:rFonts w:ascii="Book Antiqua" w:hAnsi="Book Antiqua"/>
          <w:b/>
          <w:bCs/>
          <w:sz w:val="24"/>
          <w:szCs w:val="24"/>
          <w:lang w:val="en-US"/>
        </w:rPr>
        <w:t xml:space="preserve"> (%)</w:t>
      </w:r>
    </w:p>
    <w:tbl>
      <w:tblPr>
        <w:tblStyle w:val="aa"/>
        <w:tblW w:w="137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842"/>
        <w:gridCol w:w="1701"/>
        <w:gridCol w:w="851"/>
        <w:gridCol w:w="1843"/>
        <w:gridCol w:w="1701"/>
        <w:gridCol w:w="850"/>
      </w:tblGrid>
      <w:tr w:rsidR="003F66D4" w:rsidRPr="002575A7" w14:paraId="7FAA236E" w14:textId="77777777" w:rsidTr="00D65174">
        <w:trPr>
          <w:trHeight w:val="20"/>
          <w:jc w:val="center"/>
        </w:trPr>
        <w:tc>
          <w:tcPr>
            <w:tcW w:w="4962" w:type="dxa"/>
            <w:vMerge w:val="restart"/>
            <w:tcBorders>
              <w:top w:val="single" w:sz="4" w:space="0" w:color="auto"/>
            </w:tcBorders>
            <w:shd w:val="clear" w:color="auto" w:fill="auto"/>
            <w:noWrap/>
            <w:vAlign w:val="center"/>
          </w:tcPr>
          <w:p w14:paraId="17A2FB9A" w14:textId="3B54047B" w:rsidR="003F66D4" w:rsidRPr="002575A7" w:rsidRDefault="003F66D4" w:rsidP="00864BDB">
            <w:pPr>
              <w:snapToGrid w:val="0"/>
              <w:spacing w:line="360" w:lineRule="auto"/>
              <w:jc w:val="both"/>
              <w:rPr>
                <w:rFonts w:ascii="Book Antiqua" w:eastAsia="Times New Roman" w:hAnsi="Book Antiqua" w:cs="Times New Roman"/>
                <w:b/>
                <w:bCs/>
                <w:color w:val="000000"/>
                <w:lang w:val="en-US" w:eastAsia="fr-FR"/>
              </w:rPr>
            </w:pPr>
            <w:r w:rsidRPr="002575A7">
              <w:rPr>
                <w:rFonts w:ascii="Book Antiqua" w:eastAsia="Times New Roman" w:hAnsi="Book Antiqua" w:cs="Times New Roman"/>
                <w:b/>
                <w:bCs/>
                <w:color w:val="000000"/>
                <w:lang w:val="en-US" w:eastAsia="fr-FR"/>
              </w:rPr>
              <w:t>Outcomes</w:t>
            </w:r>
          </w:p>
        </w:tc>
        <w:tc>
          <w:tcPr>
            <w:tcW w:w="4394" w:type="dxa"/>
            <w:gridSpan w:val="3"/>
            <w:tcBorders>
              <w:top w:val="single" w:sz="4" w:space="0" w:color="auto"/>
              <w:bottom w:val="single" w:sz="4" w:space="0" w:color="auto"/>
            </w:tcBorders>
            <w:shd w:val="clear" w:color="auto" w:fill="auto"/>
            <w:noWrap/>
          </w:tcPr>
          <w:p w14:paraId="1E1ADF9C" w14:textId="05284174"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Pr>
                <w:rFonts w:ascii="Book Antiqua" w:eastAsia="Times New Roman" w:hAnsi="Book Antiqua" w:cs="Times New Roman"/>
                <w:b/>
                <w:color w:val="000000"/>
                <w:lang w:val="en-US" w:eastAsia="fr-FR"/>
              </w:rPr>
              <w:t>Overall</w:t>
            </w:r>
            <w:r w:rsidRPr="002575A7">
              <w:rPr>
                <w:rFonts w:ascii="Book Antiqua" w:eastAsia="Times New Roman" w:hAnsi="Book Antiqua" w:cs="Times New Roman"/>
                <w:b/>
                <w:color w:val="000000"/>
                <w:lang w:val="en-US" w:eastAsia="fr-FR"/>
              </w:rPr>
              <w:t xml:space="preserve"> population</w:t>
            </w:r>
          </w:p>
        </w:tc>
        <w:tc>
          <w:tcPr>
            <w:tcW w:w="4394" w:type="dxa"/>
            <w:gridSpan w:val="3"/>
            <w:tcBorders>
              <w:top w:val="single" w:sz="4" w:space="0" w:color="auto"/>
              <w:bottom w:val="single" w:sz="4" w:space="0" w:color="auto"/>
            </w:tcBorders>
          </w:tcPr>
          <w:p w14:paraId="1D166840" w14:textId="18F6946C"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color w:val="000000"/>
                <w:lang w:val="en-US" w:eastAsia="fr-FR"/>
              </w:rPr>
              <w:t>Propensity score</w:t>
            </w:r>
            <w:r w:rsidRPr="002575A7">
              <w:rPr>
                <w:rFonts w:ascii="Times New Roman" w:eastAsia="Times New Roman" w:hAnsi="Times New Roman" w:cs="Times New Roman"/>
                <w:b/>
                <w:color w:val="000000"/>
                <w:lang w:val="en-US" w:eastAsia="fr-FR"/>
              </w:rPr>
              <w:t>‐</w:t>
            </w:r>
            <w:r w:rsidRPr="002575A7">
              <w:rPr>
                <w:rFonts w:ascii="Book Antiqua" w:eastAsia="Times New Roman" w:hAnsi="Book Antiqua" w:cs="Times New Roman"/>
                <w:b/>
                <w:color w:val="000000"/>
                <w:lang w:val="en-US" w:eastAsia="fr-FR"/>
              </w:rPr>
              <w:t>matched population</w:t>
            </w:r>
          </w:p>
        </w:tc>
      </w:tr>
      <w:tr w:rsidR="003F66D4" w:rsidRPr="002575A7" w14:paraId="7E9A20B2" w14:textId="4F573B82" w:rsidTr="00D65174">
        <w:trPr>
          <w:trHeight w:val="20"/>
          <w:jc w:val="center"/>
        </w:trPr>
        <w:tc>
          <w:tcPr>
            <w:tcW w:w="4962" w:type="dxa"/>
            <w:vMerge/>
            <w:tcBorders>
              <w:bottom w:val="single" w:sz="4" w:space="0" w:color="auto"/>
            </w:tcBorders>
            <w:shd w:val="clear" w:color="auto" w:fill="auto"/>
            <w:noWrap/>
            <w:vAlign w:val="center"/>
            <w:hideMark/>
          </w:tcPr>
          <w:p w14:paraId="32A0B0DF" w14:textId="5F7C36ED" w:rsidR="003F66D4" w:rsidRPr="002575A7" w:rsidRDefault="003F66D4" w:rsidP="00864BDB">
            <w:pPr>
              <w:snapToGrid w:val="0"/>
              <w:spacing w:line="360" w:lineRule="auto"/>
              <w:jc w:val="both"/>
              <w:rPr>
                <w:rFonts w:ascii="Book Antiqua" w:eastAsia="Times New Roman" w:hAnsi="Book Antiqua" w:cs="Times New Roman"/>
                <w:b/>
                <w:bCs/>
                <w:color w:val="000000"/>
                <w:lang w:val="en-US" w:eastAsia="fr-FR"/>
              </w:rPr>
            </w:pPr>
          </w:p>
        </w:tc>
        <w:tc>
          <w:tcPr>
            <w:tcW w:w="1842" w:type="dxa"/>
            <w:tcBorders>
              <w:top w:val="single" w:sz="4" w:space="0" w:color="auto"/>
              <w:bottom w:val="single" w:sz="4" w:space="0" w:color="auto"/>
            </w:tcBorders>
            <w:shd w:val="clear" w:color="auto" w:fill="auto"/>
            <w:noWrap/>
          </w:tcPr>
          <w:p w14:paraId="0B92FC58" w14:textId="7A705E66"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color w:val="000000"/>
                <w:lang w:val="en-US" w:eastAsia="fr-FR"/>
              </w:rPr>
              <w:t>FOLFIRINOX</w:t>
            </w:r>
            <w:r>
              <w:rPr>
                <w:rFonts w:ascii="Book Antiqua" w:hAnsi="Book Antiqua" w:cs="Times New Roman" w:hint="eastAsia"/>
                <w:b/>
                <w:color w:val="000000"/>
                <w:lang w:val="en-US" w:eastAsia="zh-CN"/>
              </w:rPr>
              <w:t xml:space="preserve"> </w:t>
            </w:r>
            <w:r w:rsidRPr="002575A7">
              <w:rPr>
                <w:rFonts w:ascii="Book Antiqua" w:eastAsia="Times New Roman" w:hAnsi="Book Antiqua" w:cs="Times New Roman"/>
                <w:b/>
                <w:color w:val="000000"/>
                <w:lang w:val="en-US" w:eastAsia="fr-FR"/>
              </w:rPr>
              <w:t>(</w:t>
            </w:r>
            <w:r w:rsidRPr="003F66D4">
              <w:rPr>
                <w:rFonts w:ascii="Book Antiqua" w:eastAsia="Times New Roman" w:hAnsi="Book Antiqua" w:cs="Times New Roman"/>
                <w:b/>
                <w:i/>
                <w:iCs/>
                <w:color w:val="000000"/>
                <w:lang w:val="en-US" w:eastAsia="fr-FR"/>
              </w:rPr>
              <w:t>n</w:t>
            </w:r>
            <w:r w:rsidRPr="002575A7">
              <w:rPr>
                <w:rFonts w:ascii="Book Antiqua" w:eastAsia="Times New Roman" w:hAnsi="Book Antiqua" w:cs="Times New Roman"/>
                <w:b/>
                <w:color w:val="000000"/>
                <w:lang w:val="en-US" w:eastAsia="fr-FR"/>
              </w:rPr>
              <w:t xml:space="preserve"> = 124)</w:t>
            </w:r>
          </w:p>
        </w:tc>
        <w:tc>
          <w:tcPr>
            <w:tcW w:w="1701" w:type="dxa"/>
            <w:tcBorders>
              <w:top w:val="single" w:sz="4" w:space="0" w:color="auto"/>
              <w:bottom w:val="single" w:sz="4" w:space="0" w:color="auto"/>
            </w:tcBorders>
            <w:shd w:val="clear" w:color="auto" w:fill="auto"/>
          </w:tcPr>
          <w:p w14:paraId="6AFB8AF4" w14:textId="61CA3D99"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color w:val="000000"/>
                <w:lang w:val="en-US" w:eastAsia="fr-FR"/>
              </w:rPr>
              <w:t>FOLFOXIRI</w:t>
            </w:r>
            <w:r>
              <w:rPr>
                <w:rFonts w:ascii="Book Antiqua" w:hAnsi="Book Antiqua" w:cs="Times New Roman" w:hint="eastAsia"/>
                <w:b/>
                <w:color w:val="000000"/>
                <w:lang w:val="en-US" w:eastAsia="zh-CN"/>
              </w:rPr>
              <w:t xml:space="preserve"> </w:t>
            </w:r>
            <w:r w:rsidRPr="002575A7">
              <w:rPr>
                <w:rFonts w:ascii="Book Antiqua" w:eastAsia="Times New Roman" w:hAnsi="Book Antiqua" w:cs="Times New Roman"/>
                <w:b/>
                <w:color w:val="000000"/>
                <w:lang w:val="en-US" w:eastAsia="fr-FR"/>
              </w:rPr>
              <w:t>(</w:t>
            </w:r>
            <w:r w:rsidRPr="003F66D4">
              <w:rPr>
                <w:rFonts w:ascii="Book Antiqua" w:eastAsia="Times New Roman" w:hAnsi="Book Antiqua" w:cs="Times New Roman"/>
                <w:b/>
                <w:i/>
                <w:iCs/>
                <w:color w:val="000000"/>
                <w:lang w:val="en-US" w:eastAsia="fr-FR"/>
              </w:rPr>
              <w:t>n</w:t>
            </w:r>
            <w:r w:rsidRPr="002575A7">
              <w:rPr>
                <w:rFonts w:ascii="Book Antiqua" w:eastAsia="Times New Roman" w:hAnsi="Book Antiqua" w:cs="Times New Roman"/>
                <w:b/>
                <w:color w:val="000000"/>
                <w:lang w:val="en-US" w:eastAsia="fr-FR"/>
              </w:rPr>
              <w:t xml:space="preserve"> = 165)</w:t>
            </w:r>
          </w:p>
        </w:tc>
        <w:tc>
          <w:tcPr>
            <w:tcW w:w="851" w:type="dxa"/>
            <w:tcBorders>
              <w:top w:val="single" w:sz="4" w:space="0" w:color="auto"/>
              <w:bottom w:val="single" w:sz="4" w:space="0" w:color="auto"/>
            </w:tcBorders>
            <w:shd w:val="clear" w:color="auto" w:fill="auto"/>
            <w:noWrap/>
            <w:vAlign w:val="center"/>
          </w:tcPr>
          <w:p w14:paraId="4F0E9C97" w14:textId="38D6F7F7"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bCs/>
                <w:i/>
                <w:color w:val="000000"/>
                <w:lang w:val="en-US" w:eastAsia="fr-FR"/>
              </w:rPr>
              <w:t>P</w:t>
            </w:r>
            <w:r>
              <w:rPr>
                <w:rFonts w:ascii="Book Antiqua" w:eastAsia="Times New Roman" w:hAnsi="Book Antiqua" w:cs="Times New Roman"/>
                <w:b/>
                <w:bCs/>
                <w:color w:val="000000"/>
                <w:lang w:val="en-US" w:eastAsia="fr-FR"/>
              </w:rPr>
              <w:t xml:space="preserve"> </w:t>
            </w:r>
            <w:r w:rsidRPr="002575A7">
              <w:rPr>
                <w:rFonts w:ascii="Book Antiqua" w:eastAsia="Times New Roman" w:hAnsi="Book Antiqua" w:cs="Times New Roman"/>
                <w:b/>
                <w:bCs/>
                <w:color w:val="000000"/>
                <w:lang w:val="en-US" w:eastAsia="fr-FR"/>
              </w:rPr>
              <w:t>value</w:t>
            </w:r>
          </w:p>
        </w:tc>
        <w:tc>
          <w:tcPr>
            <w:tcW w:w="1843" w:type="dxa"/>
            <w:tcBorders>
              <w:top w:val="single" w:sz="4" w:space="0" w:color="auto"/>
              <w:bottom w:val="single" w:sz="4" w:space="0" w:color="auto"/>
            </w:tcBorders>
          </w:tcPr>
          <w:p w14:paraId="6C4B270C" w14:textId="65D45337"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color w:val="000000"/>
                <w:lang w:val="en-US" w:eastAsia="fr-FR"/>
              </w:rPr>
              <w:t>FOLFIRINOX</w:t>
            </w:r>
            <w:r>
              <w:rPr>
                <w:rFonts w:ascii="Book Antiqua" w:hAnsi="Book Antiqua" w:cs="Times New Roman" w:hint="eastAsia"/>
                <w:b/>
                <w:color w:val="000000"/>
                <w:lang w:val="en-US" w:eastAsia="zh-CN"/>
              </w:rPr>
              <w:t xml:space="preserve"> </w:t>
            </w:r>
            <w:r w:rsidRPr="002575A7">
              <w:rPr>
                <w:rFonts w:ascii="Book Antiqua" w:eastAsia="Times New Roman" w:hAnsi="Book Antiqua" w:cs="Times New Roman"/>
                <w:b/>
                <w:color w:val="000000"/>
                <w:lang w:val="en-US" w:eastAsia="fr-FR"/>
              </w:rPr>
              <w:t>(</w:t>
            </w:r>
            <w:r w:rsidRPr="003F66D4">
              <w:rPr>
                <w:rFonts w:ascii="Book Antiqua" w:eastAsia="Times New Roman" w:hAnsi="Book Antiqua" w:cs="Times New Roman"/>
                <w:b/>
                <w:i/>
                <w:iCs/>
                <w:color w:val="000000"/>
                <w:lang w:val="en-US" w:eastAsia="fr-FR"/>
              </w:rPr>
              <w:t>n</w:t>
            </w:r>
            <w:r w:rsidRPr="002575A7">
              <w:rPr>
                <w:rFonts w:ascii="Book Antiqua" w:eastAsia="Times New Roman" w:hAnsi="Book Antiqua" w:cs="Times New Roman"/>
                <w:b/>
                <w:color w:val="000000"/>
                <w:lang w:val="en-US" w:eastAsia="fr-FR"/>
              </w:rPr>
              <w:t xml:space="preserve"> = 96)</w:t>
            </w:r>
          </w:p>
        </w:tc>
        <w:tc>
          <w:tcPr>
            <w:tcW w:w="1701" w:type="dxa"/>
            <w:tcBorders>
              <w:top w:val="single" w:sz="4" w:space="0" w:color="auto"/>
              <w:bottom w:val="single" w:sz="4" w:space="0" w:color="auto"/>
            </w:tcBorders>
          </w:tcPr>
          <w:p w14:paraId="18397788" w14:textId="3988BE6E"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color w:val="000000"/>
                <w:lang w:val="en-US" w:eastAsia="fr-FR"/>
              </w:rPr>
              <w:t>FOLFOXIRI</w:t>
            </w:r>
            <w:r>
              <w:rPr>
                <w:rFonts w:ascii="Book Antiqua" w:hAnsi="Book Antiqua" w:cs="Times New Roman" w:hint="eastAsia"/>
                <w:b/>
                <w:color w:val="000000"/>
                <w:lang w:val="en-US" w:eastAsia="zh-CN"/>
              </w:rPr>
              <w:t xml:space="preserve"> </w:t>
            </w:r>
            <w:r w:rsidRPr="002575A7">
              <w:rPr>
                <w:rFonts w:ascii="Book Antiqua" w:eastAsia="Times New Roman" w:hAnsi="Book Antiqua" w:cs="Times New Roman"/>
                <w:b/>
                <w:color w:val="000000"/>
                <w:lang w:val="en-US" w:eastAsia="fr-FR"/>
              </w:rPr>
              <w:t>(</w:t>
            </w:r>
            <w:r w:rsidRPr="003F66D4">
              <w:rPr>
                <w:rFonts w:ascii="Book Antiqua" w:eastAsia="Times New Roman" w:hAnsi="Book Antiqua" w:cs="Times New Roman"/>
                <w:b/>
                <w:i/>
                <w:iCs/>
                <w:color w:val="000000"/>
                <w:lang w:val="en-US" w:eastAsia="fr-FR"/>
              </w:rPr>
              <w:t>n</w:t>
            </w:r>
            <w:r w:rsidRPr="002575A7">
              <w:rPr>
                <w:rFonts w:ascii="Book Antiqua" w:eastAsia="Times New Roman" w:hAnsi="Book Antiqua" w:cs="Times New Roman"/>
                <w:b/>
                <w:color w:val="000000"/>
                <w:lang w:val="en-US" w:eastAsia="fr-FR"/>
              </w:rPr>
              <w:t xml:space="preserve"> = 96)</w:t>
            </w:r>
          </w:p>
        </w:tc>
        <w:tc>
          <w:tcPr>
            <w:tcW w:w="850" w:type="dxa"/>
            <w:tcBorders>
              <w:top w:val="single" w:sz="4" w:space="0" w:color="auto"/>
              <w:bottom w:val="single" w:sz="4" w:space="0" w:color="auto"/>
            </w:tcBorders>
            <w:vAlign w:val="center"/>
          </w:tcPr>
          <w:p w14:paraId="6092D7C5" w14:textId="7ECF8620" w:rsidR="003F66D4" w:rsidRPr="002575A7" w:rsidRDefault="003F66D4" w:rsidP="00864BDB">
            <w:pPr>
              <w:snapToGrid w:val="0"/>
              <w:spacing w:line="360" w:lineRule="auto"/>
              <w:jc w:val="both"/>
              <w:rPr>
                <w:rFonts w:ascii="Book Antiqua" w:eastAsia="Times New Roman" w:hAnsi="Book Antiqua" w:cs="Times New Roman"/>
                <w:b/>
                <w:color w:val="000000"/>
                <w:lang w:val="en-US" w:eastAsia="fr-FR"/>
              </w:rPr>
            </w:pPr>
            <w:r w:rsidRPr="002575A7">
              <w:rPr>
                <w:rFonts w:ascii="Book Antiqua" w:eastAsia="Times New Roman" w:hAnsi="Book Antiqua" w:cs="Times New Roman"/>
                <w:b/>
                <w:bCs/>
                <w:i/>
                <w:color w:val="000000"/>
                <w:lang w:val="en-US" w:eastAsia="fr-FR"/>
              </w:rPr>
              <w:t>P</w:t>
            </w:r>
            <w:r>
              <w:rPr>
                <w:rFonts w:ascii="Book Antiqua" w:eastAsia="Times New Roman" w:hAnsi="Book Antiqua" w:cs="Times New Roman"/>
                <w:b/>
                <w:bCs/>
                <w:color w:val="000000"/>
                <w:lang w:val="en-US" w:eastAsia="fr-FR"/>
              </w:rPr>
              <w:t xml:space="preserve"> </w:t>
            </w:r>
            <w:r w:rsidRPr="002575A7">
              <w:rPr>
                <w:rFonts w:ascii="Book Antiqua" w:eastAsia="Times New Roman" w:hAnsi="Book Antiqua" w:cs="Times New Roman"/>
                <w:b/>
                <w:bCs/>
                <w:color w:val="000000"/>
                <w:lang w:val="en-US" w:eastAsia="fr-FR"/>
              </w:rPr>
              <w:t>value</w:t>
            </w:r>
            <w:r w:rsidRPr="002575A7" w:rsidDel="000F3BEE">
              <w:rPr>
                <w:rFonts w:ascii="Book Antiqua" w:eastAsia="Times New Roman" w:hAnsi="Book Antiqua" w:cs="Times New Roman"/>
                <w:b/>
                <w:color w:val="000000"/>
                <w:lang w:val="en-US" w:eastAsia="fr-FR"/>
              </w:rPr>
              <w:t xml:space="preserve"> </w:t>
            </w:r>
          </w:p>
        </w:tc>
      </w:tr>
      <w:tr w:rsidR="000955AB" w:rsidRPr="002575A7" w14:paraId="1A658186" w14:textId="7C6C8FD5" w:rsidTr="001928D9">
        <w:trPr>
          <w:trHeight w:val="20"/>
          <w:jc w:val="center"/>
        </w:trPr>
        <w:tc>
          <w:tcPr>
            <w:tcW w:w="4962" w:type="dxa"/>
            <w:tcBorders>
              <w:top w:val="single" w:sz="4" w:space="0" w:color="auto"/>
            </w:tcBorders>
            <w:noWrap/>
            <w:hideMark/>
          </w:tcPr>
          <w:p w14:paraId="79E556AE" w14:textId="3ED74A33" w:rsidR="000955AB" w:rsidRPr="002575A7" w:rsidRDefault="000955AB" w:rsidP="00864BDB">
            <w:pPr>
              <w:snapToGrid w:val="0"/>
              <w:spacing w:line="360" w:lineRule="auto"/>
              <w:jc w:val="both"/>
              <w:rPr>
                <w:rFonts w:ascii="Book Antiqua" w:eastAsia="Times New Roman" w:hAnsi="Book Antiqua" w:cs="Times New Roman"/>
                <w:bCs/>
                <w:color w:val="000000"/>
                <w:lang w:val="en-US" w:eastAsia="fr-FR"/>
              </w:rPr>
            </w:pPr>
            <w:r w:rsidRPr="002575A7">
              <w:rPr>
                <w:rFonts w:ascii="Book Antiqua" w:eastAsia="Times New Roman" w:hAnsi="Book Antiqua" w:cs="Times New Roman"/>
                <w:bCs/>
                <w:color w:val="000000"/>
                <w:lang w:val="en-US" w:eastAsia="fr-FR"/>
              </w:rPr>
              <w:t xml:space="preserve">Number of </w:t>
            </w:r>
            <w:r w:rsidR="00982088" w:rsidRPr="002575A7">
              <w:rPr>
                <w:rFonts w:ascii="Book Antiqua" w:eastAsia="Times New Roman" w:hAnsi="Book Antiqua" w:cs="Times New Roman"/>
                <w:bCs/>
                <w:color w:val="000000"/>
                <w:lang w:val="en-US" w:eastAsia="fr-FR"/>
              </w:rPr>
              <w:t>cycles</w:t>
            </w:r>
            <w:r w:rsidRPr="002575A7">
              <w:rPr>
                <w:rFonts w:ascii="Book Antiqua" w:eastAsia="Times New Roman" w:hAnsi="Book Antiqua" w:cs="Times New Roman"/>
                <w:bCs/>
                <w:color w:val="000000"/>
                <w:lang w:val="en-US" w:eastAsia="fr-FR"/>
              </w:rPr>
              <w:t>, median [IQR]</w:t>
            </w:r>
          </w:p>
        </w:tc>
        <w:tc>
          <w:tcPr>
            <w:tcW w:w="1842" w:type="dxa"/>
            <w:tcBorders>
              <w:top w:val="single" w:sz="4" w:space="0" w:color="auto"/>
            </w:tcBorders>
            <w:noWrap/>
          </w:tcPr>
          <w:p w14:paraId="6E3B4187" w14:textId="7EDFA8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11.0 [6.0</w:t>
            </w:r>
            <w:r w:rsidR="00344D66">
              <w:rPr>
                <w:rFonts w:ascii="Book Antiqua" w:eastAsia="Times New Roman" w:hAnsi="Book Antiqua" w:cs="Times New Roman"/>
                <w:color w:val="000000"/>
                <w:lang w:val="en-US" w:eastAsia="fr-FR"/>
              </w:rPr>
              <w:t>-</w:t>
            </w:r>
            <w:r w:rsidRPr="002575A7">
              <w:rPr>
                <w:rFonts w:ascii="Book Antiqua" w:eastAsia="Times New Roman" w:hAnsi="Book Antiqua" w:cs="Times New Roman"/>
                <w:color w:val="000000"/>
                <w:lang w:val="en-US" w:eastAsia="fr-FR"/>
              </w:rPr>
              <w:t>13.0]</w:t>
            </w:r>
          </w:p>
        </w:tc>
        <w:tc>
          <w:tcPr>
            <w:tcW w:w="1701" w:type="dxa"/>
            <w:tcBorders>
              <w:top w:val="single" w:sz="4" w:space="0" w:color="auto"/>
            </w:tcBorders>
          </w:tcPr>
          <w:p w14:paraId="724DBCAB" w14:textId="1E176706" w:rsidR="000955AB" w:rsidRPr="002575A7" w:rsidRDefault="000955AB" w:rsidP="00864BDB">
            <w:pPr>
              <w:snapToGrid w:val="0"/>
              <w:spacing w:line="360" w:lineRule="auto"/>
              <w:jc w:val="both"/>
              <w:rPr>
                <w:rFonts w:ascii="Book Antiqua" w:eastAsia="Times New Roman" w:hAnsi="Book Antiqua" w:cs="Times New Roman"/>
                <w:color w:val="000000"/>
                <w:highlight w:val="cyan"/>
                <w:lang w:val="en-US" w:eastAsia="fr-FR"/>
              </w:rPr>
            </w:pPr>
            <w:r w:rsidRPr="002575A7">
              <w:rPr>
                <w:rFonts w:ascii="Book Antiqua" w:eastAsia="Times New Roman" w:hAnsi="Book Antiqua" w:cs="Times New Roman"/>
                <w:color w:val="000000"/>
                <w:lang w:val="en-US" w:eastAsia="fr-FR"/>
              </w:rPr>
              <w:t>7.0 [4.0</w:t>
            </w:r>
            <w:r w:rsidR="00344D66">
              <w:rPr>
                <w:rFonts w:ascii="Book Antiqua" w:eastAsia="Times New Roman" w:hAnsi="Book Antiqua" w:cs="Times New Roman"/>
                <w:color w:val="000000"/>
                <w:lang w:val="en-US" w:eastAsia="fr-FR"/>
              </w:rPr>
              <w:t>-</w:t>
            </w:r>
            <w:r w:rsidRPr="002575A7">
              <w:rPr>
                <w:rFonts w:ascii="Book Antiqua" w:eastAsia="Times New Roman" w:hAnsi="Book Antiqua" w:cs="Times New Roman"/>
                <w:color w:val="000000"/>
                <w:lang w:val="en-US" w:eastAsia="fr-FR"/>
              </w:rPr>
              <w:t>13.0]</w:t>
            </w:r>
          </w:p>
        </w:tc>
        <w:tc>
          <w:tcPr>
            <w:tcW w:w="851" w:type="dxa"/>
            <w:tcBorders>
              <w:top w:val="single" w:sz="4" w:space="0" w:color="auto"/>
            </w:tcBorders>
            <w:noWrap/>
          </w:tcPr>
          <w:p w14:paraId="2B4BEA3A"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0.027</w:t>
            </w:r>
          </w:p>
        </w:tc>
        <w:tc>
          <w:tcPr>
            <w:tcW w:w="1843" w:type="dxa"/>
            <w:tcBorders>
              <w:top w:val="single" w:sz="4" w:space="0" w:color="auto"/>
            </w:tcBorders>
          </w:tcPr>
          <w:p w14:paraId="3BD0F57E" w14:textId="34B30D25"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11.0 [6.0</w:t>
            </w:r>
            <w:r w:rsidR="00344D66">
              <w:rPr>
                <w:rFonts w:ascii="Book Antiqua" w:eastAsia="Times New Roman" w:hAnsi="Book Antiqua" w:cs="Times New Roman"/>
                <w:color w:val="000000"/>
                <w:lang w:val="en-US" w:eastAsia="fr-FR"/>
              </w:rPr>
              <w:t>-</w:t>
            </w:r>
            <w:r w:rsidRPr="002575A7">
              <w:rPr>
                <w:rFonts w:ascii="Book Antiqua" w:eastAsia="Times New Roman" w:hAnsi="Book Antiqua" w:cs="Times New Roman"/>
                <w:color w:val="000000"/>
                <w:lang w:val="en-US" w:eastAsia="fr-FR"/>
              </w:rPr>
              <w:t>14.0]</w:t>
            </w:r>
          </w:p>
        </w:tc>
        <w:tc>
          <w:tcPr>
            <w:tcW w:w="1701" w:type="dxa"/>
            <w:tcBorders>
              <w:top w:val="single" w:sz="4" w:space="0" w:color="auto"/>
            </w:tcBorders>
          </w:tcPr>
          <w:p w14:paraId="1DF2E270" w14:textId="6C52229A"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7.0 [4.0</w:t>
            </w:r>
            <w:r w:rsidR="00344D66">
              <w:rPr>
                <w:rFonts w:ascii="Book Antiqua" w:eastAsia="Times New Roman" w:hAnsi="Book Antiqua" w:cs="Times New Roman"/>
                <w:color w:val="000000"/>
                <w:lang w:val="en-US" w:eastAsia="fr-FR"/>
              </w:rPr>
              <w:t>-</w:t>
            </w:r>
            <w:r w:rsidRPr="002575A7">
              <w:rPr>
                <w:rFonts w:ascii="Book Antiqua" w:eastAsia="Times New Roman" w:hAnsi="Book Antiqua" w:cs="Times New Roman"/>
                <w:color w:val="000000"/>
                <w:lang w:val="en-US" w:eastAsia="fr-FR"/>
              </w:rPr>
              <w:t>14.5]</w:t>
            </w:r>
          </w:p>
        </w:tc>
        <w:tc>
          <w:tcPr>
            <w:tcW w:w="850" w:type="dxa"/>
            <w:tcBorders>
              <w:top w:val="single" w:sz="4" w:space="0" w:color="auto"/>
            </w:tcBorders>
          </w:tcPr>
          <w:p w14:paraId="6BD6D477" w14:textId="4EF181FC"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0.164</w:t>
            </w:r>
          </w:p>
        </w:tc>
      </w:tr>
      <w:tr w:rsidR="00344D66" w:rsidRPr="002575A7" w14:paraId="0EF60387" w14:textId="2BA1BD43" w:rsidTr="00D65174">
        <w:trPr>
          <w:trHeight w:val="20"/>
          <w:jc w:val="center"/>
        </w:trPr>
        <w:tc>
          <w:tcPr>
            <w:tcW w:w="4962" w:type="dxa"/>
            <w:noWrap/>
            <w:hideMark/>
          </w:tcPr>
          <w:p w14:paraId="3DA0556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Missing</w:t>
            </w:r>
          </w:p>
        </w:tc>
        <w:tc>
          <w:tcPr>
            <w:tcW w:w="1842" w:type="dxa"/>
            <w:noWrap/>
          </w:tcPr>
          <w:p w14:paraId="4AFA6555"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w:t>
            </w:r>
          </w:p>
        </w:tc>
        <w:tc>
          <w:tcPr>
            <w:tcW w:w="1701" w:type="dxa"/>
          </w:tcPr>
          <w:p w14:paraId="030E37D6"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w:t>
            </w:r>
          </w:p>
        </w:tc>
        <w:tc>
          <w:tcPr>
            <w:tcW w:w="851" w:type="dxa"/>
            <w:noWrap/>
          </w:tcPr>
          <w:p w14:paraId="5380CAE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3307B44" w14:textId="6B43D930"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w:t>
            </w:r>
          </w:p>
        </w:tc>
        <w:tc>
          <w:tcPr>
            <w:tcW w:w="1701" w:type="dxa"/>
          </w:tcPr>
          <w:p w14:paraId="477F5DC6" w14:textId="6975BE16"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w:t>
            </w:r>
          </w:p>
        </w:tc>
        <w:tc>
          <w:tcPr>
            <w:tcW w:w="850" w:type="dxa"/>
          </w:tcPr>
          <w:p w14:paraId="76E679B2" w14:textId="09E59485"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575A7" w14:paraId="2027CA08" w14:textId="02D79103" w:rsidTr="001928D9">
        <w:trPr>
          <w:trHeight w:val="20"/>
          <w:jc w:val="center"/>
        </w:trPr>
        <w:tc>
          <w:tcPr>
            <w:tcW w:w="4962" w:type="dxa"/>
            <w:noWrap/>
            <w:hideMark/>
          </w:tcPr>
          <w:p w14:paraId="0EF20E37" w14:textId="560E0737" w:rsidR="000955AB" w:rsidRPr="002575A7" w:rsidRDefault="000955AB" w:rsidP="00864BDB">
            <w:pPr>
              <w:snapToGrid w:val="0"/>
              <w:spacing w:line="360" w:lineRule="auto"/>
              <w:jc w:val="both"/>
              <w:rPr>
                <w:rFonts w:ascii="Book Antiqua" w:eastAsia="Times New Roman" w:hAnsi="Book Antiqua" w:cs="Times New Roman"/>
                <w:bCs/>
                <w:color w:val="000000"/>
                <w:lang w:val="en-US" w:eastAsia="fr-FR"/>
              </w:rPr>
            </w:pPr>
            <w:r w:rsidRPr="002575A7">
              <w:rPr>
                <w:rFonts w:ascii="Book Antiqua" w:eastAsia="Times New Roman" w:hAnsi="Book Antiqua" w:cs="Times New Roman"/>
                <w:bCs/>
                <w:color w:val="000000"/>
                <w:lang w:val="en-US" w:eastAsia="fr-FR"/>
              </w:rPr>
              <w:t>RECIST best response</w:t>
            </w:r>
          </w:p>
        </w:tc>
        <w:tc>
          <w:tcPr>
            <w:tcW w:w="1842" w:type="dxa"/>
            <w:noWrap/>
          </w:tcPr>
          <w:p w14:paraId="771801FC"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6F110E9D"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7C6A96CA"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0.187</w:t>
            </w:r>
          </w:p>
        </w:tc>
        <w:tc>
          <w:tcPr>
            <w:tcW w:w="1843" w:type="dxa"/>
          </w:tcPr>
          <w:p w14:paraId="1FB37179"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590915F5"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22E2D092" w14:textId="07244F4E"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0.079</w:t>
            </w:r>
          </w:p>
        </w:tc>
      </w:tr>
      <w:tr w:rsidR="00344D66" w:rsidRPr="002575A7" w14:paraId="64EBD228" w14:textId="72683885" w:rsidTr="00D65174">
        <w:trPr>
          <w:trHeight w:val="20"/>
          <w:jc w:val="center"/>
        </w:trPr>
        <w:tc>
          <w:tcPr>
            <w:tcW w:w="4962" w:type="dxa"/>
            <w:noWrap/>
            <w:hideMark/>
          </w:tcPr>
          <w:p w14:paraId="57074E1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Complete or partial response</w:t>
            </w:r>
          </w:p>
        </w:tc>
        <w:tc>
          <w:tcPr>
            <w:tcW w:w="1842" w:type="dxa"/>
            <w:noWrap/>
          </w:tcPr>
          <w:p w14:paraId="4E4C98DC"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53 (47.8)</w:t>
            </w:r>
          </w:p>
        </w:tc>
        <w:tc>
          <w:tcPr>
            <w:tcW w:w="1701" w:type="dxa"/>
          </w:tcPr>
          <w:p w14:paraId="6B91001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49 (37.1)</w:t>
            </w:r>
          </w:p>
        </w:tc>
        <w:tc>
          <w:tcPr>
            <w:tcW w:w="851" w:type="dxa"/>
            <w:noWrap/>
          </w:tcPr>
          <w:p w14:paraId="34BD8032"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5DAF286" w14:textId="5396371D"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41 (47.7)</w:t>
            </w:r>
          </w:p>
        </w:tc>
        <w:tc>
          <w:tcPr>
            <w:tcW w:w="1701" w:type="dxa"/>
          </w:tcPr>
          <w:p w14:paraId="22F6D1B0" w14:textId="6CCFFD79"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25 (32.5)</w:t>
            </w:r>
          </w:p>
        </w:tc>
        <w:tc>
          <w:tcPr>
            <w:tcW w:w="850" w:type="dxa"/>
          </w:tcPr>
          <w:p w14:paraId="234D421A" w14:textId="4C9C4B05"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2A8E644C" w14:textId="65ED959E" w:rsidTr="00D65174">
        <w:trPr>
          <w:trHeight w:val="20"/>
          <w:jc w:val="center"/>
        </w:trPr>
        <w:tc>
          <w:tcPr>
            <w:tcW w:w="4962" w:type="dxa"/>
            <w:noWrap/>
          </w:tcPr>
          <w:p w14:paraId="45C49F30"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Stability</w:t>
            </w:r>
          </w:p>
        </w:tc>
        <w:tc>
          <w:tcPr>
            <w:tcW w:w="1842" w:type="dxa"/>
            <w:noWrap/>
          </w:tcPr>
          <w:p w14:paraId="231BCBCE"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31 (27.9)</w:t>
            </w:r>
          </w:p>
        </w:tc>
        <w:tc>
          <w:tcPr>
            <w:tcW w:w="1701" w:type="dxa"/>
          </w:tcPr>
          <w:p w14:paraId="7C666FBB"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39 (29.6)</w:t>
            </w:r>
          </w:p>
        </w:tc>
        <w:tc>
          <w:tcPr>
            <w:tcW w:w="851" w:type="dxa"/>
            <w:noWrap/>
          </w:tcPr>
          <w:p w14:paraId="00D9473B"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538A68AC" w14:textId="44CD30E5"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24 (27.9)</w:t>
            </w:r>
          </w:p>
        </w:tc>
        <w:tc>
          <w:tcPr>
            <w:tcW w:w="1701" w:type="dxa"/>
          </w:tcPr>
          <w:p w14:paraId="655C38F2" w14:textId="023BEBC5"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22 (28.5)</w:t>
            </w:r>
          </w:p>
        </w:tc>
        <w:tc>
          <w:tcPr>
            <w:tcW w:w="850" w:type="dxa"/>
          </w:tcPr>
          <w:p w14:paraId="6691B4C0" w14:textId="71D722BA"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1094FCC3" w14:textId="7ED0083B" w:rsidTr="00D65174">
        <w:trPr>
          <w:trHeight w:val="20"/>
          <w:jc w:val="center"/>
        </w:trPr>
        <w:tc>
          <w:tcPr>
            <w:tcW w:w="4962" w:type="dxa"/>
            <w:noWrap/>
          </w:tcPr>
          <w:p w14:paraId="2FA97C53"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Progression</w:t>
            </w:r>
          </w:p>
        </w:tc>
        <w:tc>
          <w:tcPr>
            <w:tcW w:w="1842" w:type="dxa"/>
            <w:noWrap/>
          </w:tcPr>
          <w:p w14:paraId="1413543C"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27 (24.3)</w:t>
            </w:r>
          </w:p>
        </w:tc>
        <w:tc>
          <w:tcPr>
            <w:tcW w:w="1701" w:type="dxa"/>
          </w:tcPr>
          <w:p w14:paraId="449335FC"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44 (33.3)</w:t>
            </w:r>
          </w:p>
        </w:tc>
        <w:tc>
          <w:tcPr>
            <w:tcW w:w="851" w:type="dxa"/>
            <w:noWrap/>
          </w:tcPr>
          <w:p w14:paraId="5E8ADED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1171F40B" w14:textId="0ED9A779"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21 (24.4)</w:t>
            </w:r>
          </w:p>
        </w:tc>
        <w:tc>
          <w:tcPr>
            <w:tcW w:w="1701" w:type="dxa"/>
          </w:tcPr>
          <w:p w14:paraId="3D988A8A" w14:textId="4FD08BC1"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30 (39.0)</w:t>
            </w:r>
          </w:p>
        </w:tc>
        <w:tc>
          <w:tcPr>
            <w:tcW w:w="850" w:type="dxa"/>
          </w:tcPr>
          <w:p w14:paraId="0DD8C183" w14:textId="1E01940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6CD07C86" w14:textId="4F847EA7" w:rsidTr="00D65174">
        <w:trPr>
          <w:trHeight w:val="20"/>
          <w:jc w:val="center"/>
        </w:trPr>
        <w:tc>
          <w:tcPr>
            <w:tcW w:w="4962" w:type="dxa"/>
            <w:noWrap/>
            <w:hideMark/>
          </w:tcPr>
          <w:p w14:paraId="3A86BFE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Missing</w:t>
            </w:r>
          </w:p>
        </w:tc>
        <w:tc>
          <w:tcPr>
            <w:tcW w:w="1842" w:type="dxa"/>
            <w:noWrap/>
          </w:tcPr>
          <w:p w14:paraId="5E7D0251"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13</w:t>
            </w:r>
          </w:p>
        </w:tc>
        <w:tc>
          <w:tcPr>
            <w:tcW w:w="1701" w:type="dxa"/>
          </w:tcPr>
          <w:p w14:paraId="7CCED1DC"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33</w:t>
            </w:r>
          </w:p>
        </w:tc>
        <w:tc>
          <w:tcPr>
            <w:tcW w:w="851" w:type="dxa"/>
            <w:noWrap/>
          </w:tcPr>
          <w:p w14:paraId="2555EF77"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72E53D12" w14:textId="1B1F2B4B"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108</w:t>
            </w:r>
          </w:p>
        </w:tc>
        <w:tc>
          <w:tcPr>
            <w:tcW w:w="1701" w:type="dxa"/>
          </w:tcPr>
          <w:p w14:paraId="5EB4E249" w14:textId="0E8E44E2"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19</w:t>
            </w:r>
          </w:p>
        </w:tc>
        <w:tc>
          <w:tcPr>
            <w:tcW w:w="850" w:type="dxa"/>
          </w:tcPr>
          <w:p w14:paraId="28FBB21F" w14:textId="20079A3D"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575A7" w14:paraId="469640AB" w14:textId="5AED26DA" w:rsidTr="001928D9">
        <w:trPr>
          <w:trHeight w:val="20"/>
          <w:jc w:val="center"/>
        </w:trPr>
        <w:tc>
          <w:tcPr>
            <w:tcW w:w="4962" w:type="dxa"/>
            <w:noWrap/>
            <w:hideMark/>
          </w:tcPr>
          <w:p w14:paraId="154607C9" w14:textId="7337A165" w:rsidR="000955AB" w:rsidRPr="002575A7" w:rsidRDefault="000955AB" w:rsidP="00864BDB">
            <w:pPr>
              <w:snapToGrid w:val="0"/>
              <w:spacing w:line="360" w:lineRule="auto"/>
              <w:jc w:val="both"/>
              <w:rPr>
                <w:rFonts w:ascii="Book Antiqua" w:eastAsia="Times New Roman" w:hAnsi="Book Antiqua" w:cs="Times New Roman"/>
                <w:bCs/>
                <w:color w:val="000000"/>
                <w:lang w:val="en-US" w:eastAsia="fr-FR"/>
              </w:rPr>
            </w:pPr>
            <w:r w:rsidRPr="002575A7">
              <w:rPr>
                <w:rFonts w:ascii="Book Antiqua" w:eastAsia="Times New Roman" w:hAnsi="Book Antiqua" w:cs="Times New Roman"/>
                <w:bCs/>
                <w:color w:val="000000"/>
                <w:lang w:val="en-US" w:eastAsia="fr-FR"/>
              </w:rPr>
              <w:t>Toxicity of grade 3 or 4</w:t>
            </w:r>
          </w:p>
        </w:tc>
        <w:tc>
          <w:tcPr>
            <w:tcW w:w="1842" w:type="dxa"/>
            <w:noWrap/>
          </w:tcPr>
          <w:p w14:paraId="3AA55B19"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74A4A6F2"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6BA57C16"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0.079</w:t>
            </w:r>
          </w:p>
        </w:tc>
        <w:tc>
          <w:tcPr>
            <w:tcW w:w="1843" w:type="dxa"/>
          </w:tcPr>
          <w:p w14:paraId="3A072884"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02BF4AE3"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56F85FFF" w14:textId="5221FC0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0.148</w:t>
            </w:r>
          </w:p>
        </w:tc>
      </w:tr>
      <w:tr w:rsidR="00344D66" w:rsidRPr="002575A7" w14:paraId="3316D79D" w14:textId="11879B92" w:rsidTr="00D65174">
        <w:trPr>
          <w:trHeight w:val="20"/>
          <w:jc w:val="center"/>
        </w:trPr>
        <w:tc>
          <w:tcPr>
            <w:tcW w:w="4962" w:type="dxa"/>
            <w:noWrap/>
            <w:hideMark/>
          </w:tcPr>
          <w:p w14:paraId="45EFB456"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No</w:t>
            </w:r>
          </w:p>
        </w:tc>
        <w:tc>
          <w:tcPr>
            <w:tcW w:w="1842" w:type="dxa"/>
            <w:noWrap/>
          </w:tcPr>
          <w:p w14:paraId="17E60EC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95 (80.5)</w:t>
            </w:r>
          </w:p>
        </w:tc>
        <w:tc>
          <w:tcPr>
            <w:tcW w:w="1701" w:type="dxa"/>
          </w:tcPr>
          <w:p w14:paraId="6FD293DB"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117 (71.3)</w:t>
            </w:r>
          </w:p>
        </w:tc>
        <w:tc>
          <w:tcPr>
            <w:tcW w:w="851" w:type="dxa"/>
            <w:noWrap/>
          </w:tcPr>
          <w:p w14:paraId="7C7F1A09"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7AB6A915" w14:textId="13566594"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72 (80.0)</w:t>
            </w:r>
          </w:p>
        </w:tc>
        <w:tc>
          <w:tcPr>
            <w:tcW w:w="1701" w:type="dxa"/>
          </w:tcPr>
          <w:p w14:paraId="01A24A2E" w14:textId="02F54D73"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68 (70.8)</w:t>
            </w:r>
          </w:p>
        </w:tc>
        <w:tc>
          <w:tcPr>
            <w:tcW w:w="850" w:type="dxa"/>
          </w:tcPr>
          <w:p w14:paraId="1A67F307" w14:textId="7FA8967E"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7BC412FD" w14:textId="20E315DB" w:rsidTr="00D65174">
        <w:trPr>
          <w:trHeight w:val="20"/>
          <w:jc w:val="center"/>
        </w:trPr>
        <w:tc>
          <w:tcPr>
            <w:tcW w:w="4962" w:type="dxa"/>
            <w:noWrap/>
            <w:hideMark/>
          </w:tcPr>
          <w:p w14:paraId="3BCB8609"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Yes</w:t>
            </w:r>
          </w:p>
        </w:tc>
        <w:tc>
          <w:tcPr>
            <w:tcW w:w="1842" w:type="dxa"/>
            <w:noWrap/>
          </w:tcPr>
          <w:p w14:paraId="09E1E7B5"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23 (19.5)</w:t>
            </w:r>
          </w:p>
        </w:tc>
        <w:tc>
          <w:tcPr>
            <w:tcW w:w="1701" w:type="dxa"/>
          </w:tcPr>
          <w:p w14:paraId="3A82B577"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47 (28.7)</w:t>
            </w:r>
          </w:p>
        </w:tc>
        <w:tc>
          <w:tcPr>
            <w:tcW w:w="851" w:type="dxa"/>
            <w:noWrap/>
          </w:tcPr>
          <w:p w14:paraId="43785E3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2155F817" w14:textId="74839BD4"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18 (20.0)</w:t>
            </w:r>
          </w:p>
        </w:tc>
        <w:tc>
          <w:tcPr>
            <w:tcW w:w="1701" w:type="dxa"/>
          </w:tcPr>
          <w:p w14:paraId="261E7427" w14:textId="17A8E2DC"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28 (29.2)</w:t>
            </w:r>
          </w:p>
        </w:tc>
        <w:tc>
          <w:tcPr>
            <w:tcW w:w="850" w:type="dxa"/>
          </w:tcPr>
          <w:p w14:paraId="42CA42E2" w14:textId="4A046834"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3675008E" w14:textId="6474A726" w:rsidTr="00D65174">
        <w:trPr>
          <w:trHeight w:val="20"/>
          <w:jc w:val="center"/>
        </w:trPr>
        <w:tc>
          <w:tcPr>
            <w:tcW w:w="4962" w:type="dxa"/>
            <w:noWrap/>
            <w:hideMark/>
          </w:tcPr>
          <w:p w14:paraId="64F8EBC4"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Digestive</w:t>
            </w:r>
          </w:p>
        </w:tc>
        <w:tc>
          <w:tcPr>
            <w:tcW w:w="1842" w:type="dxa"/>
            <w:noWrap/>
          </w:tcPr>
          <w:p w14:paraId="3C79B172"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5 (4.2)</w:t>
            </w:r>
          </w:p>
        </w:tc>
        <w:tc>
          <w:tcPr>
            <w:tcW w:w="1701" w:type="dxa"/>
          </w:tcPr>
          <w:p w14:paraId="239923D4"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21 (12.8)</w:t>
            </w:r>
          </w:p>
        </w:tc>
        <w:tc>
          <w:tcPr>
            <w:tcW w:w="851" w:type="dxa"/>
            <w:noWrap/>
          </w:tcPr>
          <w:p w14:paraId="45004572"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04AC68B3" w14:textId="77FE15A3"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5 (5.6)</w:t>
            </w:r>
          </w:p>
        </w:tc>
        <w:tc>
          <w:tcPr>
            <w:tcW w:w="1701" w:type="dxa"/>
          </w:tcPr>
          <w:p w14:paraId="2775BA17" w14:textId="4513E099"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9 (9.4)</w:t>
            </w:r>
          </w:p>
        </w:tc>
        <w:tc>
          <w:tcPr>
            <w:tcW w:w="850" w:type="dxa"/>
          </w:tcPr>
          <w:p w14:paraId="6A3D4ED8" w14:textId="795AB243"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575A7" w14:paraId="678CDF35" w14:textId="4D069FD7" w:rsidTr="00D65174">
        <w:trPr>
          <w:trHeight w:val="20"/>
          <w:jc w:val="center"/>
        </w:trPr>
        <w:tc>
          <w:tcPr>
            <w:tcW w:w="4962" w:type="dxa"/>
            <w:noWrap/>
            <w:hideMark/>
          </w:tcPr>
          <w:p w14:paraId="277A6479"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Hematology</w:t>
            </w:r>
          </w:p>
        </w:tc>
        <w:tc>
          <w:tcPr>
            <w:tcW w:w="1842" w:type="dxa"/>
            <w:noWrap/>
          </w:tcPr>
          <w:p w14:paraId="1D6D45AF"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1 (0.9)</w:t>
            </w:r>
          </w:p>
        </w:tc>
        <w:tc>
          <w:tcPr>
            <w:tcW w:w="1701" w:type="dxa"/>
          </w:tcPr>
          <w:p w14:paraId="0417083F"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5 (3.1)</w:t>
            </w:r>
          </w:p>
        </w:tc>
        <w:tc>
          <w:tcPr>
            <w:tcW w:w="851" w:type="dxa"/>
            <w:noWrap/>
          </w:tcPr>
          <w:p w14:paraId="02A3F8CF"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6040D6A8" w14:textId="699117B5"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1 (1.0)</w:t>
            </w:r>
          </w:p>
        </w:tc>
        <w:tc>
          <w:tcPr>
            <w:tcW w:w="1701" w:type="dxa"/>
          </w:tcPr>
          <w:p w14:paraId="029C68CB" w14:textId="269C33C9"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4 (4.2)</w:t>
            </w:r>
          </w:p>
        </w:tc>
        <w:tc>
          <w:tcPr>
            <w:tcW w:w="850" w:type="dxa"/>
          </w:tcPr>
          <w:p w14:paraId="122EE01D" w14:textId="6A70C0AC"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575A7" w14:paraId="309CDD63" w14:textId="2B586651" w:rsidTr="00D65174">
        <w:trPr>
          <w:trHeight w:val="20"/>
          <w:jc w:val="center"/>
        </w:trPr>
        <w:tc>
          <w:tcPr>
            <w:tcW w:w="4962" w:type="dxa"/>
            <w:noWrap/>
            <w:hideMark/>
          </w:tcPr>
          <w:p w14:paraId="3CE3737F"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Neurology</w:t>
            </w:r>
          </w:p>
        </w:tc>
        <w:tc>
          <w:tcPr>
            <w:tcW w:w="1842" w:type="dxa"/>
            <w:noWrap/>
          </w:tcPr>
          <w:p w14:paraId="7CD2B69C"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9 (7.6)</w:t>
            </w:r>
          </w:p>
        </w:tc>
        <w:tc>
          <w:tcPr>
            <w:tcW w:w="1701" w:type="dxa"/>
          </w:tcPr>
          <w:p w14:paraId="3AB478F5"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14 (8.5)</w:t>
            </w:r>
          </w:p>
        </w:tc>
        <w:tc>
          <w:tcPr>
            <w:tcW w:w="851" w:type="dxa"/>
            <w:noWrap/>
          </w:tcPr>
          <w:p w14:paraId="38911344"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3BBC4329" w14:textId="7E476094"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6 (6.7)</w:t>
            </w:r>
          </w:p>
        </w:tc>
        <w:tc>
          <w:tcPr>
            <w:tcW w:w="1701" w:type="dxa"/>
          </w:tcPr>
          <w:p w14:paraId="7FBB32AF" w14:textId="517B7691"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9 (9.4)</w:t>
            </w:r>
          </w:p>
        </w:tc>
        <w:tc>
          <w:tcPr>
            <w:tcW w:w="850" w:type="dxa"/>
          </w:tcPr>
          <w:p w14:paraId="795A0A96" w14:textId="456CF336"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575A7" w14:paraId="4A170F50" w14:textId="0E55228B" w:rsidTr="00D65174">
        <w:trPr>
          <w:trHeight w:val="20"/>
          <w:jc w:val="center"/>
        </w:trPr>
        <w:tc>
          <w:tcPr>
            <w:tcW w:w="4962" w:type="dxa"/>
            <w:noWrap/>
          </w:tcPr>
          <w:p w14:paraId="6D198D6B"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Other</w:t>
            </w:r>
          </w:p>
        </w:tc>
        <w:tc>
          <w:tcPr>
            <w:tcW w:w="1842" w:type="dxa"/>
            <w:noWrap/>
          </w:tcPr>
          <w:p w14:paraId="085344C6"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8 (6.8)</w:t>
            </w:r>
          </w:p>
        </w:tc>
        <w:tc>
          <w:tcPr>
            <w:tcW w:w="1701" w:type="dxa"/>
          </w:tcPr>
          <w:p w14:paraId="7D821FFD"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7 (4.3)</w:t>
            </w:r>
          </w:p>
        </w:tc>
        <w:tc>
          <w:tcPr>
            <w:tcW w:w="851" w:type="dxa"/>
            <w:noWrap/>
          </w:tcPr>
          <w:p w14:paraId="041238BB" w14:textId="77777777"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c>
          <w:tcPr>
            <w:tcW w:w="1843" w:type="dxa"/>
          </w:tcPr>
          <w:p w14:paraId="250D9355" w14:textId="13510834"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6 (6.7)</w:t>
            </w:r>
          </w:p>
        </w:tc>
        <w:tc>
          <w:tcPr>
            <w:tcW w:w="1701" w:type="dxa"/>
          </w:tcPr>
          <w:p w14:paraId="1911E075" w14:textId="08807CA2"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r w:rsidRPr="002575A7">
              <w:rPr>
                <w:rFonts w:ascii="Book Antiqua" w:eastAsia="Times New Roman" w:hAnsi="Book Antiqua" w:cs="Times New Roman"/>
                <w:color w:val="000000"/>
                <w:sz w:val="20"/>
                <w:lang w:val="en-US" w:eastAsia="fr-FR"/>
              </w:rPr>
              <w:t>6 (6.2)</w:t>
            </w:r>
          </w:p>
        </w:tc>
        <w:tc>
          <w:tcPr>
            <w:tcW w:w="850" w:type="dxa"/>
          </w:tcPr>
          <w:p w14:paraId="731AE052" w14:textId="4B947323" w:rsidR="00344D66" w:rsidRPr="002575A7" w:rsidRDefault="00344D66" w:rsidP="00864BDB">
            <w:pPr>
              <w:snapToGrid w:val="0"/>
              <w:spacing w:line="360" w:lineRule="auto"/>
              <w:jc w:val="both"/>
              <w:rPr>
                <w:rFonts w:ascii="Book Antiqua" w:eastAsia="Times New Roman" w:hAnsi="Book Antiqua" w:cs="Times New Roman"/>
                <w:color w:val="000000"/>
                <w:sz w:val="20"/>
                <w:lang w:val="en-US" w:eastAsia="fr-FR"/>
              </w:rPr>
            </w:pPr>
          </w:p>
        </w:tc>
      </w:tr>
      <w:tr w:rsidR="00344D66" w:rsidRPr="002575A7" w14:paraId="6ACD5760" w14:textId="691CA1F9" w:rsidTr="00D65174">
        <w:trPr>
          <w:trHeight w:val="20"/>
          <w:jc w:val="center"/>
        </w:trPr>
        <w:tc>
          <w:tcPr>
            <w:tcW w:w="4962" w:type="dxa"/>
            <w:noWrap/>
            <w:hideMark/>
          </w:tcPr>
          <w:p w14:paraId="046F2861"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Missing</w:t>
            </w:r>
          </w:p>
        </w:tc>
        <w:tc>
          <w:tcPr>
            <w:tcW w:w="1842" w:type="dxa"/>
            <w:noWrap/>
          </w:tcPr>
          <w:p w14:paraId="376CD50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w:t>
            </w:r>
          </w:p>
        </w:tc>
        <w:tc>
          <w:tcPr>
            <w:tcW w:w="1701" w:type="dxa"/>
          </w:tcPr>
          <w:p w14:paraId="653615F5"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w:t>
            </w:r>
          </w:p>
        </w:tc>
        <w:tc>
          <w:tcPr>
            <w:tcW w:w="851" w:type="dxa"/>
            <w:noWrap/>
          </w:tcPr>
          <w:p w14:paraId="66F547B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05FEFA86" w14:textId="5DA1112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w:t>
            </w:r>
          </w:p>
        </w:tc>
        <w:tc>
          <w:tcPr>
            <w:tcW w:w="1701" w:type="dxa"/>
          </w:tcPr>
          <w:p w14:paraId="7327E00D" w14:textId="443A122B"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w:t>
            </w:r>
          </w:p>
        </w:tc>
        <w:tc>
          <w:tcPr>
            <w:tcW w:w="850" w:type="dxa"/>
          </w:tcPr>
          <w:p w14:paraId="0A7EB4C9" w14:textId="5DDC9AB4"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575A7" w14:paraId="5E73E3A4" w14:textId="39EA4901" w:rsidTr="001928D9">
        <w:trPr>
          <w:trHeight w:val="20"/>
          <w:jc w:val="center"/>
        </w:trPr>
        <w:tc>
          <w:tcPr>
            <w:tcW w:w="4962" w:type="dxa"/>
            <w:noWrap/>
            <w:hideMark/>
          </w:tcPr>
          <w:p w14:paraId="629DEF8A" w14:textId="3837866B" w:rsidR="000955AB" w:rsidRPr="002575A7" w:rsidRDefault="000955AB" w:rsidP="00864BDB">
            <w:pPr>
              <w:snapToGrid w:val="0"/>
              <w:spacing w:line="360" w:lineRule="auto"/>
              <w:jc w:val="both"/>
              <w:rPr>
                <w:rFonts w:ascii="Book Antiqua" w:eastAsia="Times New Roman" w:hAnsi="Book Antiqua" w:cs="Times New Roman"/>
                <w:bCs/>
                <w:color w:val="000000"/>
                <w:lang w:val="en-US" w:eastAsia="fr-FR"/>
              </w:rPr>
            </w:pPr>
            <w:r w:rsidRPr="002575A7">
              <w:rPr>
                <w:rFonts w:ascii="Book Antiqua" w:eastAsia="Times New Roman" w:hAnsi="Book Antiqua" w:cs="Times New Roman"/>
                <w:bCs/>
                <w:color w:val="000000"/>
                <w:lang w:val="en-US" w:eastAsia="fr-FR"/>
              </w:rPr>
              <w:t>Reason for discontinuation</w:t>
            </w:r>
          </w:p>
        </w:tc>
        <w:tc>
          <w:tcPr>
            <w:tcW w:w="1842" w:type="dxa"/>
            <w:noWrap/>
          </w:tcPr>
          <w:p w14:paraId="5FFB701A"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4C086FA9"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7AB0748B"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0.291</w:t>
            </w:r>
          </w:p>
        </w:tc>
        <w:tc>
          <w:tcPr>
            <w:tcW w:w="1843" w:type="dxa"/>
          </w:tcPr>
          <w:p w14:paraId="4F91E9A1"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21280C0F"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6BFF77DD" w14:textId="4F7A7AED"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0.441</w:t>
            </w:r>
          </w:p>
        </w:tc>
      </w:tr>
      <w:tr w:rsidR="00344D66" w:rsidRPr="002575A7" w14:paraId="6F3C5C22" w14:textId="42A64495" w:rsidTr="00D65174">
        <w:trPr>
          <w:trHeight w:val="20"/>
          <w:jc w:val="center"/>
        </w:trPr>
        <w:tc>
          <w:tcPr>
            <w:tcW w:w="4962" w:type="dxa"/>
            <w:noWrap/>
            <w:hideMark/>
          </w:tcPr>
          <w:p w14:paraId="1EC77CE2"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Progression</w:t>
            </w:r>
          </w:p>
        </w:tc>
        <w:tc>
          <w:tcPr>
            <w:tcW w:w="1842" w:type="dxa"/>
            <w:noWrap/>
          </w:tcPr>
          <w:p w14:paraId="660EB9E6"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83 (68.0)</w:t>
            </w:r>
          </w:p>
        </w:tc>
        <w:tc>
          <w:tcPr>
            <w:tcW w:w="1701" w:type="dxa"/>
          </w:tcPr>
          <w:p w14:paraId="5DFE978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108 (65.5)</w:t>
            </w:r>
          </w:p>
        </w:tc>
        <w:tc>
          <w:tcPr>
            <w:tcW w:w="851" w:type="dxa"/>
            <w:noWrap/>
          </w:tcPr>
          <w:p w14:paraId="0B08E4C0"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018C04E9" w14:textId="071BE2C2"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63 (67.0)</w:t>
            </w:r>
          </w:p>
        </w:tc>
        <w:tc>
          <w:tcPr>
            <w:tcW w:w="1701" w:type="dxa"/>
          </w:tcPr>
          <w:p w14:paraId="35F43EF8" w14:textId="02D7C1C2"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67 (69.8)</w:t>
            </w:r>
          </w:p>
        </w:tc>
        <w:tc>
          <w:tcPr>
            <w:tcW w:w="850" w:type="dxa"/>
          </w:tcPr>
          <w:p w14:paraId="7FA1E629" w14:textId="18635658"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15A6394C" w14:textId="0107B187" w:rsidTr="00D65174">
        <w:trPr>
          <w:trHeight w:val="20"/>
          <w:jc w:val="center"/>
        </w:trPr>
        <w:tc>
          <w:tcPr>
            <w:tcW w:w="4962" w:type="dxa"/>
            <w:noWrap/>
            <w:hideMark/>
          </w:tcPr>
          <w:p w14:paraId="2A3351BB"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Toxicity</w:t>
            </w:r>
          </w:p>
        </w:tc>
        <w:tc>
          <w:tcPr>
            <w:tcW w:w="1842" w:type="dxa"/>
            <w:noWrap/>
          </w:tcPr>
          <w:p w14:paraId="0DD3460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12 (9.9)</w:t>
            </w:r>
          </w:p>
        </w:tc>
        <w:tc>
          <w:tcPr>
            <w:tcW w:w="1701" w:type="dxa"/>
          </w:tcPr>
          <w:p w14:paraId="7D32653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10 (6.0)</w:t>
            </w:r>
          </w:p>
        </w:tc>
        <w:tc>
          <w:tcPr>
            <w:tcW w:w="851" w:type="dxa"/>
            <w:noWrap/>
          </w:tcPr>
          <w:p w14:paraId="1162C82E"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1FCEB443" w14:textId="53D6DAEE"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12 (12.8)</w:t>
            </w:r>
          </w:p>
        </w:tc>
        <w:tc>
          <w:tcPr>
            <w:tcW w:w="1701" w:type="dxa"/>
          </w:tcPr>
          <w:p w14:paraId="55A0F24D" w14:textId="2A30E38E"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7 (7.3)</w:t>
            </w:r>
          </w:p>
        </w:tc>
        <w:tc>
          <w:tcPr>
            <w:tcW w:w="850" w:type="dxa"/>
          </w:tcPr>
          <w:p w14:paraId="1F323A9F" w14:textId="76207121"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3AB13EE0" w14:textId="64FFB08A" w:rsidTr="00D65174">
        <w:trPr>
          <w:trHeight w:val="20"/>
          <w:jc w:val="center"/>
        </w:trPr>
        <w:tc>
          <w:tcPr>
            <w:tcW w:w="4962" w:type="dxa"/>
            <w:noWrap/>
            <w:hideMark/>
          </w:tcPr>
          <w:p w14:paraId="4542549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lastRenderedPageBreak/>
              <w:t>Other</w:t>
            </w:r>
          </w:p>
        </w:tc>
        <w:tc>
          <w:tcPr>
            <w:tcW w:w="1842" w:type="dxa"/>
            <w:noWrap/>
          </w:tcPr>
          <w:p w14:paraId="1CB529E3"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27 (22.1)</w:t>
            </w:r>
          </w:p>
        </w:tc>
        <w:tc>
          <w:tcPr>
            <w:tcW w:w="1701" w:type="dxa"/>
          </w:tcPr>
          <w:p w14:paraId="6D149FE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47 (28.5)</w:t>
            </w:r>
          </w:p>
        </w:tc>
        <w:tc>
          <w:tcPr>
            <w:tcW w:w="851" w:type="dxa"/>
            <w:noWrap/>
          </w:tcPr>
          <w:p w14:paraId="4B48960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70D2E29" w14:textId="7499CDF9"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19 (20.2)</w:t>
            </w:r>
          </w:p>
        </w:tc>
        <w:tc>
          <w:tcPr>
            <w:tcW w:w="1701" w:type="dxa"/>
          </w:tcPr>
          <w:p w14:paraId="30E6D206" w14:textId="30967B48"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22 (22.9)</w:t>
            </w:r>
          </w:p>
        </w:tc>
        <w:tc>
          <w:tcPr>
            <w:tcW w:w="850" w:type="dxa"/>
          </w:tcPr>
          <w:p w14:paraId="40248E1D" w14:textId="1A7C62CB"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6FE3385C" w14:textId="556CC6F3" w:rsidTr="00D65174">
        <w:trPr>
          <w:trHeight w:val="20"/>
          <w:jc w:val="center"/>
        </w:trPr>
        <w:tc>
          <w:tcPr>
            <w:tcW w:w="4962" w:type="dxa"/>
            <w:noWrap/>
            <w:hideMark/>
          </w:tcPr>
          <w:p w14:paraId="0D9BE0F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Missing</w:t>
            </w:r>
          </w:p>
        </w:tc>
        <w:tc>
          <w:tcPr>
            <w:tcW w:w="1842" w:type="dxa"/>
            <w:noWrap/>
          </w:tcPr>
          <w:p w14:paraId="301350C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w:t>
            </w:r>
          </w:p>
        </w:tc>
        <w:tc>
          <w:tcPr>
            <w:tcW w:w="1701" w:type="dxa"/>
          </w:tcPr>
          <w:p w14:paraId="700EE0B2"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w:t>
            </w:r>
          </w:p>
        </w:tc>
        <w:tc>
          <w:tcPr>
            <w:tcW w:w="851" w:type="dxa"/>
            <w:noWrap/>
          </w:tcPr>
          <w:p w14:paraId="05CEF6EB"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099C5BC4" w14:textId="4B7FD0C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w:t>
            </w:r>
          </w:p>
        </w:tc>
        <w:tc>
          <w:tcPr>
            <w:tcW w:w="1701" w:type="dxa"/>
          </w:tcPr>
          <w:p w14:paraId="754CF96F" w14:textId="18044895"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w:t>
            </w:r>
          </w:p>
        </w:tc>
        <w:tc>
          <w:tcPr>
            <w:tcW w:w="850" w:type="dxa"/>
          </w:tcPr>
          <w:p w14:paraId="49193F01" w14:textId="22140693"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575A7" w14:paraId="35C14CEE" w14:textId="6892E453" w:rsidTr="001928D9">
        <w:trPr>
          <w:trHeight w:val="20"/>
          <w:jc w:val="center"/>
        </w:trPr>
        <w:tc>
          <w:tcPr>
            <w:tcW w:w="4962" w:type="dxa"/>
            <w:noWrap/>
            <w:hideMark/>
          </w:tcPr>
          <w:p w14:paraId="7AF61AF4" w14:textId="452C91E9" w:rsidR="000955AB" w:rsidRPr="002575A7" w:rsidRDefault="000955AB" w:rsidP="00864BDB">
            <w:pPr>
              <w:snapToGrid w:val="0"/>
              <w:spacing w:line="360" w:lineRule="auto"/>
              <w:jc w:val="both"/>
              <w:rPr>
                <w:rFonts w:ascii="Book Antiqua" w:eastAsia="Times New Roman" w:hAnsi="Book Antiqua" w:cs="Times New Roman"/>
                <w:bCs/>
                <w:color w:val="000000"/>
                <w:lang w:val="en-US" w:eastAsia="fr-FR"/>
              </w:rPr>
            </w:pPr>
            <w:r w:rsidRPr="002575A7">
              <w:rPr>
                <w:rFonts w:ascii="Book Antiqua" w:eastAsia="Times New Roman" w:hAnsi="Book Antiqua" w:cs="Times New Roman"/>
                <w:bCs/>
                <w:color w:val="000000"/>
                <w:lang w:val="en-US" w:eastAsia="fr-FR"/>
              </w:rPr>
              <w:t>Maintenance</w:t>
            </w:r>
          </w:p>
        </w:tc>
        <w:tc>
          <w:tcPr>
            <w:tcW w:w="1842" w:type="dxa"/>
            <w:noWrap/>
          </w:tcPr>
          <w:p w14:paraId="4E74F475"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77D3030B"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7528B554"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0.194</w:t>
            </w:r>
          </w:p>
        </w:tc>
        <w:tc>
          <w:tcPr>
            <w:tcW w:w="1843" w:type="dxa"/>
          </w:tcPr>
          <w:p w14:paraId="1716AD02"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0ECDEC73"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664E319F" w14:textId="115EFCC1"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0.553</w:t>
            </w:r>
          </w:p>
        </w:tc>
      </w:tr>
      <w:tr w:rsidR="00344D66" w:rsidRPr="002575A7" w14:paraId="424C45E1" w14:textId="60D2890F" w:rsidTr="00D65174">
        <w:trPr>
          <w:trHeight w:val="20"/>
          <w:jc w:val="center"/>
        </w:trPr>
        <w:tc>
          <w:tcPr>
            <w:tcW w:w="4962" w:type="dxa"/>
            <w:noWrap/>
            <w:hideMark/>
          </w:tcPr>
          <w:p w14:paraId="4B1493F5"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Yes</w:t>
            </w:r>
          </w:p>
        </w:tc>
        <w:tc>
          <w:tcPr>
            <w:tcW w:w="1842" w:type="dxa"/>
            <w:noWrap/>
          </w:tcPr>
          <w:p w14:paraId="6F7CFEE2"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56 (45.2)</w:t>
            </w:r>
          </w:p>
        </w:tc>
        <w:tc>
          <w:tcPr>
            <w:tcW w:w="1701" w:type="dxa"/>
          </w:tcPr>
          <w:p w14:paraId="294B1EFC"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62 (37.6)</w:t>
            </w:r>
          </w:p>
        </w:tc>
        <w:tc>
          <w:tcPr>
            <w:tcW w:w="851" w:type="dxa"/>
            <w:noWrap/>
          </w:tcPr>
          <w:p w14:paraId="41F07F31"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4FA1E28F" w14:textId="01793DEF"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39 (40.6)</w:t>
            </w:r>
          </w:p>
        </w:tc>
        <w:tc>
          <w:tcPr>
            <w:tcW w:w="1701" w:type="dxa"/>
          </w:tcPr>
          <w:p w14:paraId="21914BD5" w14:textId="77614448"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35 (36.5)</w:t>
            </w:r>
          </w:p>
        </w:tc>
        <w:tc>
          <w:tcPr>
            <w:tcW w:w="850" w:type="dxa"/>
          </w:tcPr>
          <w:p w14:paraId="07E0FEA9" w14:textId="0CF4ACAE"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5AB9AA44" w14:textId="5D9656AF" w:rsidTr="00D65174">
        <w:trPr>
          <w:trHeight w:val="20"/>
          <w:jc w:val="center"/>
        </w:trPr>
        <w:tc>
          <w:tcPr>
            <w:tcW w:w="4962" w:type="dxa"/>
            <w:noWrap/>
            <w:hideMark/>
          </w:tcPr>
          <w:p w14:paraId="3C6C992E"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No</w:t>
            </w:r>
          </w:p>
        </w:tc>
        <w:tc>
          <w:tcPr>
            <w:tcW w:w="1842" w:type="dxa"/>
            <w:noWrap/>
          </w:tcPr>
          <w:p w14:paraId="2D3D4ADD"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68 (54.8)</w:t>
            </w:r>
          </w:p>
        </w:tc>
        <w:tc>
          <w:tcPr>
            <w:tcW w:w="1701" w:type="dxa"/>
          </w:tcPr>
          <w:p w14:paraId="236DBFE7"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103 (64.4)</w:t>
            </w:r>
          </w:p>
        </w:tc>
        <w:tc>
          <w:tcPr>
            <w:tcW w:w="851" w:type="dxa"/>
            <w:noWrap/>
          </w:tcPr>
          <w:p w14:paraId="4467BC90"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38257123" w14:textId="2349B2EC"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57 (59.4)</w:t>
            </w:r>
          </w:p>
        </w:tc>
        <w:tc>
          <w:tcPr>
            <w:tcW w:w="1701" w:type="dxa"/>
          </w:tcPr>
          <w:p w14:paraId="2DFC4FB9" w14:textId="69857B49"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61 (63.5)</w:t>
            </w:r>
          </w:p>
        </w:tc>
        <w:tc>
          <w:tcPr>
            <w:tcW w:w="850" w:type="dxa"/>
          </w:tcPr>
          <w:p w14:paraId="6B8867BD" w14:textId="5E16DBD4"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0955AB" w:rsidRPr="002575A7" w14:paraId="38D486F2" w14:textId="6B00BAA3" w:rsidTr="001928D9">
        <w:trPr>
          <w:trHeight w:val="20"/>
          <w:jc w:val="center"/>
        </w:trPr>
        <w:tc>
          <w:tcPr>
            <w:tcW w:w="4962" w:type="dxa"/>
            <w:noWrap/>
            <w:hideMark/>
          </w:tcPr>
          <w:p w14:paraId="1FC5D742" w14:textId="59E665B8" w:rsidR="000955AB" w:rsidRPr="002575A7" w:rsidRDefault="000955AB" w:rsidP="00864BDB">
            <w:pPr>
              <w:snapToGrid w:val="0"/>
              <w:spacing w:line="360" w:lineRule="auto"/>
              <w:jc w:val="both"/>
              <w:rPr>
                <w:rFonts w:ascii="Book Antiqua" w:eastAsia="Times New Roman" w:hAnsi="Book Antiqua" w:cs="Times New Roman"/>
                <w:bCs/>
                <w:color w:val="000000"/>
                <w:lang w:val="en-US" w:eastAsia="fr-FR"/>
              </w:rPr>
            </w:pPr>
            <w:r w:rsidRPr="002575A7">
              <w:rPr>
                <w:rFonts w:ascii="Book Antiqua" w:eastAsia="Times New Roman" w:hAnsi="Book Antiqua" w:cs="Times New Roman"/>
                <w:bCs/>
                <w:color w:val="000000"/>
                <w:lang w:val="en-US" w:eastAsia="fr-FR"/>
              </w:rPr>
              <w:t>Second-line chemotherapy administration</w:t>
            </w:r>
          </w:p>
        </w:tc>
        <w:tc>
          <w:tcPr>
            <w:tcW w:w="1842" w:type="dxa"/>
            <w:noWrap/>
          </w:tcPr>
          <w:p w14:paraId="03DFCFAE"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3C2EEB60"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1" w:type="dxa"/>
            <w:noWrap/>
          </w:tcPr>
          <w:p w14:paraId="6F089F4F"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0.643</w:t>
            </w:r>
          </w:p>
        </w:tc>
        <w:tc>
          <w:tcPr>
            <w:tcW w:w="1843" w:type="dxa"/>
          </w:tcPr>
          <w:p w14:paraId="29008B4B"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1701" w:type="dxa"/>
          </w:tcPr>
          <w:p w14:paraId="50673367" w14:textId="77777777"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p>
        </w:tc>
        <w:tc>
          <w:tcPr>
            <w:tcW w:w="850" w:type="dxa"/>
          </w:tcPr>
          <w:p w14:paraId="1604FE85" w14:textId="54E4A6B6" w:rsidR="000955AB" w:rsidRPr="002575A7" w:rsidRDefault="000955AB"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0.636</w:t>
            </w:r>
          </w:p>
        </w:tc>
      </w:tr>
      <w:tr w:rsidR="00344D66" w:rsidRPr="002575A7" w14:paraId="6BEF5E89" w14:textId="58A4FF2B" w:rsidTr="00D65174">
        <w:trPr>
          <w:trHeight w:val="20"/>
          <w:jc w:val="center"/>
        </w:trPr>
        <w:tc>
          <w:tcPr>
            <w:tcW w:w="4962" w:type="dxa"/>
            <w:noWrap/>
            <w:hideMark/>
          </w:tcPr>
          <w:p w14:paraId="452907A6"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Yes</w:t>
            </w:r>
          </w:p>
        </w:tc>
        <w:tc>
          <w:tcPr>
            <w:tcW w:w="1842" w:type="dxa"/>
            <w:noWrap/>
          </w:tcPr>
          <w:p w14:paraId="5217459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91 (73.4)</w:t>
            </w:r>
          </w:p>
        </w:tc>
        <w:tc>
          <w:tcPr>
            <w:tcW w:w="1701" w:type="dxa"/>
          </w:tcPr>
          <w:p w14:paraId="61D5AD56"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117 (70.9)</w:t>
            </w:r>
          </w:p>
        </w:tc>
        <w:tc>
          <w:tcPr>
            <w:tcW w:w="851" w:type="dxa"/>
            <w:noWrap/>
          </w:tcPr>
          <w:p w14:paraId="5D67A344"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Pr>
          <w:p w14:paraId="526665C0" w14:textId="5D61CAF2"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69 (71.9)</w:t>
            </w:r>
          </w:p>
        </w:tc>
        <w:tc>
          <w:tcPr>
            <w:tcW w:w="1701" w:type="dxa"/>
          </w:tcPr>
          <w:p w14:paraId="06851E48" w14:textId="40D7868C"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66 (68.8)</w:t>
            </w:r>
          </w:p>
        </w:tc>
        <w:tc>
          <w:tcPr>
            <w:tcW w:w="850" w:type="dxa"/>
          </w:tcPr>
          <w:p w14:paraId="4CDE0011" w14:textId="222BD488"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r w:rsidR="00344D66" w:rsidRPr="002575A7" w14:paraId="03A7B21E" w14:textId="7BB57825" w:rsidTr="00D65174">
        <w:trPr>
          <w:trHeight w:val="20"/>
          <w:jc w:val="center"/>
        </w:trPr>
        <w:tc>
          <w:tcPr>
            <w:tcW w:w="4962" w:type="dxa"/>
            <w:tcBorders>
              <w:bottom w:val="single" w:sz="4" w:space="0" w:color="auto"/>
            </w:tcBorders>
            <w:noWrap/>
            <w:hideMark/>
          </w:tcPr>
          <w:p w14:paraId="0A39B5C7"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No</w:t>
            </w:r>
          </w:p>
        </w:tc>
        <w:tc>
          <w:tcPr>
            <w:tcW w:w="1842" w:type="dxa"/>
            <w:tcBorders>
              <w:bottom w:val="single" w:sz="4" w:space="0" w:color="auto"/>
            </w:tcBorders>
            <w:noWrap/>
          </w:tcPr>
          <w:p w14:paraId="62FF39A8"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33 (26.6)</w:t>
            </w:r>
          </w:p>
        </w:tc>
        <w:tc>
          <w:tcPr>
            <w:tcW w:w="1701" w:type="dxa"/>
            <w:tcBorders>
              <w:bottom w:val="single" w:sz="4" w:space="0" w:color="auto"/>
            </w:tcBorders>
          </w:tcPr>
          <w:p w14:paraId="7453BBDE"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48 (29.1)</w:t>
            </w:r>
          </w:p>
        </w:tc>
        <w:tc>
          <w:tcPr>
            <w:tcW w:w="851" w:type="dxa"/>
            <w:tcBorders>
              <w:bottom w:val="single" w:sz="4" w:space="0" w:color="auto"/>
            </w:tcBorders>
            <w:noWrap/>
          </w:tcPr>
          <w:p w14:paraId="4B5B2BAF" w14:textId="77777777"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c>
          <w:tcPr>
            <w:tcW w:w="1843" w:type="dxa"/>
            <w:tcBorders>
              <w:bottom w:val="single" w:sz="4" w:space="0" w:color="auto"/>
            </w:tcBorders>
          </w:tcPr>
          <w:p w14:paraId="4EEEEA37" w14:textId="0BB388A3"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27 (28.1)</w:t>
            </w:r>
          </w:p>
        </w:tc>
        <w:tc>
          <w:tcPr>
            <w:tcW w:w="1701" w:type="dxa"/>
            <w:tcBorders>
              <w:bottom w:val="single" w:sz="4" w:space="0" w:color="auto"/>
            </w:tcBorders>
          </w:tcPr>
          <w:p w14:paraId="361FB873" w14:textId="27517956"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30 (31.2)</w:t>
            </w:r>
          </w:p>
        </w:tc>
        <w:tc>
          <w:tcPr>
            <w:tcW w:w="850" w:type="dxa"/>
            <w:tcBorders>
              <w:bottom w:val="single" w:sz="4" w:space="0" w:color="auto"/>
            </w:tcBorders>
          </w:tcPr>
          <w:p w14:paraId="7BCF19D3" w14:textId="3BE75E76" w:rsidR="00344D66" w:rsidRPr="002575A7" w:rsidRDefault="00344D66" w:rsidP="00864BDB">
            <w:pPr>
              <w:snapToGrid w:val="0"/>
              <w:spacing w:line="360" w:lineRule="auto"/>
              <w:jc w:val="both"/>
              <w:rPr>
                <w:rFonts w:ascii="Book Antiqua" w:eastAsia="Times New Roman" w:hAnsi="Book Antiqua" w:cs="Times New Roman"/>
                <w:color w:val="000000"/>
                <w:lang w:val="en-US" w:eastAsia="fr-FR"/>
              </w:rPr>
            </w:pPr>
          </w:p>
        </w:tc>
      </w:tr>
    </w:tbl>
    <w:p w14:paraId="07968EC0" w14:textId="40B13E11" w:rsidR="000955AB" w:rsidRPr="002575A7" w:rsidRDefault="00206998" w:rsidP="00864BDB">
      <w:pPr>
        <w:snapToGrid w:val="0"/>
        <w:spacing w:after="0" w:line="360" w:lineRule="auto"/>
        <w:jc w:val="both"/>
        <w:rPr>
          <w:rFonts w:ascii="Book Antiqua" w:hAnsi="Book Antiqua" w:cs="Times New Roman"/>
          <w:sz w:val="24"/>
          <w:szCs w:val="24"/>
          <w:lang w:val="en-US"/>
        </w:rPr>
      </w:pPr>
      <w:r w:rsidRPr="00DB5B28">
        <w:rPr>
          <w:rFonts w:ascii="Book Antiqua" w:eastAsia="Times New Roman" w:hAnsi="Book Antiqua" w:cs="Times New Roman"/>
          <w:i/>
          <w:iCs/>
          <w:color w:val="000000"/>
          <w:sz w:val="24"/>
          <w:szCs w:val="24"/>
          <w:lang w:val="en-US" w:eastAsia="fr-FR"/>
        </w:rPr>
        <w:t>χ</w:t>
      </w:r>
      <w:r w:rsidRPr="002575A7">
        <w:rPr>
          <w:rFonts w:ascii="Book Antiqua" w:eastAsia="Times New Roman" w:hAnsi="Book Antiqua" w:cs="Times New Roman"/>
          <w:color w:val="000000"/>
          <w:sz w:val="24"/>
          <w:szCs w:val="24"/>
          <w:vertAlign w:val="superscript"/>
          <w:lang w:val="en-US" w:eastAsia="fr-FR"/>
        </w:rPr>
        <w:t>2</w:t>
      </w:r>
      <w:r w:rsidRPr="002575A7">
        <w:rPr>
          <w:rFonts w:ascii="Book Antiqua" w:eastAsia="Times New Roman" w:hAnsi="Book Antiqua" w:cs="Times New Roman"/>
          <w:color w:val="000000"/>
          <w:sz w:val="24"/>
          <w:szCs w:val="24"/>
          <w:lang w:val="en-US" w:eastAsia="fr-FR"/>
        </w:rPr>
        <w:t xml:space="preserve"> tests or Fisher’s exact tests </w:t>
      </w:r>
      <w:r w:rsidR="00CF2435">
        <w:rPr>
          <w:rFonts w:ascii="Book Antiqua" w:eastAsia="Times New Roman" w:hAnsi="Book Antiqua" w:cs="Times New Roman"/>
          <w:color w:val="000000"/>
          <w:sz w:val="24"/>
          <w:szCs w:val="24"/>
          <w:lang w:val="en-US" w:eastAsia="fr-FR"/>
        </w:rPr>
        <w:t xml:space="preserve">were </w:t>
      </w:r>
      <w:r w:rsidRPr="002575A7">
        <w:rPr>
          <w:rFonts w:ascii="Book Antiqua" w:eastAsia="Times New Roman" w:hAnsi="Book Antiqua" w:cs="Times New Roman"/>
          <w:color w:val="000000"/>
          <w:sz w:val="24"/>
          <w:szCs w:val="24"/>
          <w:lang w:val="en-US" w:eastAsia="fr-FR"/>
        </w:rPr>
        <w:t xml:space="preserve">used to compare proportions, and Wilcoxon tests </w:t>
      </w:r>
      <w:r w:rsidR="00CF2435">
        <w:rPr>
          <w:rFonts w:ascii="Book Antiqua" w:eastAsia="Times New Roman" w:hAnsi="Book Antiqua" w:cs="Times New Roman"/>
          <w:color w:val="000000"/>
          <w:sz w:val="24"/>
          <w:szCs w:val="24"/>
          <w:lang w:val="en-US" w:eastAsia="fr-FR"/>
        </w:rPr>
        <w:t xml:space="preserve">were </w:t>
      </w:r>
      <w:r w:rsidRPr="002575A7">
        <w:rPr>
          <w:rFonts w:ascii="Book Antiqua" w:eastAsia="Times New Roman" w:hAnsi="Book Antiqua" w:cs="Times New Roman"/>
          <w:color w:val="000000"/>
          <w:sz w:val="24"/>
          <w:szCs w:val="24"/>
          <w:lang w:val="en-US" w:eastAsia="fr-FR"/>
        </w:rPr>
        <w:t xml:space="preserve">used to compare continuous variables between </w:t>
      </w:r>
      <w:r w:rsidR="00CF2435">
        <w:rPr>
          <w:rFonts w:ascii="Book Antiqua" w:eastAsia="Times New Roman" w:hAnsi="Book Antiqua" w:cs="Times New Roman"/>
          <w:color w:val="000000"/>
          <w:sz w:val="24"/>
          <w:szCs w:val="24"/>
          <w:lang w:val="en-US" w:eastAsia="fr-FR"/>
        </w:rPr>
        <w:t xml:space="preserve">the </w:t>
      </w:r>
      <w:r w:rsidRPr="002575A7">
        <w:rPr>
          <w:rFonts w:ascii="Book Antiqua" w:eastAsia="Times New Roman" w:hAnsi="Book Antiqua" w:cs="Times New Roman"/>
          <w:color w:val="000000"/>
          <w:sz w:val="24"/>
          <w:szCs w:val="24"/>
          <w:lang w:val="en-US" w:eastAsia="fr-FR"/>
        </w:rPr>
        <w:t xml:space="preserve">FOLFIRINOX and FOLFOXIRI groups. All statistical tests were two-sided. </w:t>
      </w:r>
      <w:r w:rsidR="00DB5B28" w:rsidRPr="002575A7">
        <w:rPr>
          <w:rFonts w:ascii="Book Antiqua" w:eastAsia="Times New Roman" w:hAnsi="Book Antiqua" w:cs="Times New Roman"/>
          <w:color w:val="000000"/>
          <w:sz w:val="24"/>
          <w:szCs w:val="24"/>
          <w:lang w:val="en-US" w:eastAsia="fr-FR"/>
        </w:rPr>
        <w:t>IQR</w:t>
      </w:r>
      <w:r w:rsidR="00DB5B28">
        <w:rPr>
          <w:rFonts w:ascii="Book Antiqua" w:eastAsia="Times New Roman" w:hAnsi="Book Antiqua" w:cs="Times New Roman"/>
          <w:color w:val="000000"/>
          <w:sz w:val="24"/>
          <w:szCs w:val="24"/>
          <w:lang w:val="en-US" w:eastAsia="fr-FR"/>
        </w:rPr>
        <w:t>:</w:t>
      </w:r>
      <w:r w:rsidR="00DB5B28" w:rsidRPr="002575A7">
        <w:rPr>
          <w:rFonts w:ascii="Book Antiqua" w:eastAsia="Times New Roman" w:hAnsi="Book Antiqua" w:cs="Times New Roman"/>
          <w:color w:val="000000"/>
          <w:sz w:val="24"/>
          <w:szCs w:val="24"/>
          <w:lang w:val="en-US" w:eastAsia="fr-FR"/>
        </w:rPr>
        <w:t xml:space="preserve"> Interquartile range</w:t>
      </w:r>
      <w:r w:rsidRPr="002575A7">
        <w:rPr>
          <w:rFonts w:ascii="Book Antiqua" w:eastAsia="Times New Roman" w:hAnsi="Book Antiqua" w:cs="Times New Roman"/>
          <w:color w:val="000000"/>
          <w:sz w:val="24"/>
          <w:szCs w:val="24"/>
          <w:lang w:val="en-US" w:eastAsia="fr-FR"/>
        </w:rPr>
        <w:t>.</w:t>
      </w:r>
      <w:r w:rsidR="001A7581" w:rsidRPr="002575A7">
        <w:rPr>
          <w:rFonts w:ascii="Book Antiqua" w:eastAsia="Times New Roman" w:hAnsi="Book Antiqua" w:cs="Times New Roman"/>
          <w:color w:val="000000"/>
          <w:sz w:val="24"/>
          <w:szCs w:val="24"/>
          <w:lang w:val="en-US" w:eastAsia="fr-FR"/>
        </w:rPr>
        <w:t xml:space="preserve"> </w:t>
      </w:r>
    </w:p>
    <w:p w14:paraId="2784437F" w14:textId="77777777" w:rsidR="00023A35" w:rsidRPr="002575A7" w:rsidRDefault="00023A35" w:rsidP="00864BDB">
      <w:pPr>
        <w:snapToGrid w:val="0"/>
        <w:spacing w:after="0" w:line="360" w:lineRule="auto"/>
        <w:jc w:val="both"/>
        <w:rPr>
          <w:rFonts w:ascii="Book Antiqua" w:hAnsi="Book Antiqua" w:cs="Times New Roman"/>
          <w:sz w:val="24"/>
          <w:szCs w:val="24"/>
          <w:lang w:val="en-US"/>
        </w:rPr>
      </w:pPr>
    </w:p>
    <w:p w14:paraId="27211FAC" w14:textId="77777777" w:rsidR="00023A35" w:rsidRPr="002575A7" w:rsidRDefault="00023A35" w:rsidP="00864BDB">
      <w:pPr>
        <w:snapToGrid w:val="0"/>
        <w:spacing w:after="0" w:line="360" w:lineRule="auto"/>
        <w:jc w:val="both"/>
        <w:rPr>
          <w:rFonts w:ascii="Book Antiqua" w:hAnsi="Book Antiqua" w:cs="Times New Roman"/>
          <w:sz w:val="24"/>
          <w:szCs w:val="24"/>
          <w:lang w:val="en-US"/>
        </w:rPr>
        <w:sectPr w:rsidR="00023A35" w:rsidRPr="002575A7" w:rsidSect="00172563">
          <w:pgSz w:w="16838" w:h="11906" w:orient="landscape"/>
          <w:pgMar w:top="1418" w:right="1418" w:bottom="1418" w:left="1418" w:header="709" w:footer="709" w:gutter="0"/>
          <w:cols w:space="708"/>
          <w:docGrid w:linePitch="360"/>
        </w:sectPr>
      </w:pPr>
    </w:p>
    <w:p w14:paraId="13C9D85E" w14:textId="6DCC3982" w:rsidR="00206998" w:rsidRPr="00DB5B28" w:rsidRDefault="00206998" w:rsidP="00DB5B28">
      <w:pPr>
        <w:spacing w:line="360" w:lineRule="auto"/>
        <w:jc w:val="both"/>
        <w:rPr>
          <w:rFonts w:ascii="Book Antiqua" w:hAnsi="Book Antiqua"/>
          <w:b/>
          <w:bCs/>
          <w:sz w:val="24"/>
          <w:szCs w:val="24"/>
          <w:lang w:val="en-US"/>
        </w:rPr>
      </w:pPr>
      <w:r w:rsidRPr="00DB5B28">
        <w:rPr>
          <w:rFonts w:ascii="Book Antiqua" w:hAnsi="Book Antiqua"/>
          <w:b/>
          <w:bCs/>
          <w:sz w:val="24"/>
          <w:szCs w:val="24"/>
          <w:lang w:val="en-US"/>
        </w:rPr>
        <w:lastRenderedPageBreak/>
        <w:t>Table 3</w:t>
      </w:r>
      <w:r w:rsidR="00DB5B28">
        <w:rPr>
          <w:rFonts w:ascii="Book Antiqua" w:hAnsi="Book Antiqua"/>
          <w:b/>
          <w:bCs/>
          <w:sz w:val="24"/>
          <w:szCs w:val="24"/>
          <w:lang w:val="en-US"/>
        </w:rPr>
        <w:t xml:space="preserve"> </w:t>
      </w:r>
      <w:r w:rsidRPr="00DB5B28">
        <w:rPr>
          <w:rFonts w:ascii="Book Antiqua" w:hAnsi="Book Antiqua"/>
          <w:b/>
          <w:bCs/>
          <w:sz w:val="24"/>
          <w:szCs w:val="24"/>
          <w:lang w:val="en-US"/>
        </w:rPr>
        <w:t xml:space="preserve">Patient characteristics </w:t>
      </w:r>
      <w:r w:rsidR="00864988" w:rsidRPr="00DB5B28">
        <w:rPr>
          <w:rFonts w:ascii="Book Antiqua" w:hAnsi="Book Antiqua"/>
          <w:b/>
          <w:bCs/>
          <w:sz w:val="24"/>
          <w:szCs w:val="24"/>
          <w:lang w:val="en-US"/>
        </w:rPr>
        <w:t>in</w:t>
      </w:r>
      <w:r w:rsidRPr="00DB5B28">
        <w:rPr>
          <w:rFonts w:ascii="Book Antiqua" w:hAnsi="Book Antiqua"/>
          <w:b/>
          <w:bCs/>
          <w:sz w:val="24"/>
          <w:szCs w:val="24"/>
          <w:lang w:val="en-US"/>
        </w:rPr>
        <w:t xml:space="preserve"> the propensity score</w:t>
      </w:r>
      <w:r w:rsidR="00DB5B28" w:rsidRPr="00DB5B28">
        <w:rPr>
          <w:rFonts w:ascii="Book Antiqua" w:hAnsi="Book Antiqua" w:cs="宋体"/>
          <w:b/>
          <w:bCs/>
          <w:sz w:val="24"/>
          <w:szCs w:val="24"/>
          <w:lang w:val="en-US" w:eastAsia="zh-CN"/>
        </w:rPr>
        <w:t>-</w:t>
      </w:r>
      <w:r w:rsidRPr="00DB5B28">
        <w:rPr>
          <w:rFonts w:ascii="Book Antiqua" w:hAnsi="Book Antiqua"/>
          <w:b/>
          <w:bCs/>
          <w:sz w:val="24"/>
          <w:szCs w:val="24"/>
          <w:lang w:val="en-US"/>
        </w:rPr>
        <w:t>matched population according to first-line chemotherapy</w:t>
      </w:r>
      <w:r w:rsidR="00014A52">
        <w:rPr>
          <w:rFonts w:ascii="Book Antiqua" w:hAnsi="Book Antiqua"/>
          <w:b/>
          <w:bCs/>
          <w:sz w:val="24"/>
          <w:szCs w:val="24"/>
          <w:lang w:val="en-US"/>
        </w:rPr>
        <w:t xml:space="preserve">, </w:t>
      </w:r>
      <w:r w:rsidR="00014A52" w:rsidRPr="00DB5B28">
        <w:rPr>
          <w:rFonts w:ascii="Book Antiqua" w:hAnsi="Book Antiqua"/>
          <w:b/>
          <w:bCs/>
          <w:i/>
          <w:iCs/>
          <w:sz w:val="24"/>
          <w:szCs w:val="24"/>
          <w:lang w:val="en-US"/>
        </w:rPr>
        <w:t>n</w:t>
      </w:r>
      <w:r w:rsidR="00014A52">
        <w:rPr>
          <w:rFonts w:ascii="Book Antiqua" w:hAnsi="Book Antiqua"/>
          <w:b/>
          <w:bCs/>
          <w:sz w:val="24"/>
          <w:szCs w:val="24"/>
          <w:lang w:val="en-US"/>
        </w:rPr>
        <w:t xml:space="preserve"> (%)</w:t>
      </w:r>
    </w:p>
    <w:tbl>
      <w:tblPr>
        <w:tblStyle w:val="a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126"/>
        <w:gridCol w:w="2268"/>
        <w:gridCol w:w="851"/>
      </w:tblGrid>
      <w:tr w:rsidR="00014A52" w:rsidRPr="002575A7" w14:paraId="601E66F7" w14:textId="77777777" w:rsidTr="00014A52">
        <w:trPr>
          <w:trHeight w:val="809"/>
          <w:jc w:val="center"/>
        </w:trPr>
        <w:tc>
          <w:tcPr>
            <w:tcW w:w="4820" w:type="dxa"/>
            <w:tcBorders>
              <w:top w:val="single" w:sz="4" w:space="0" w:color="auto"/>
              <w:bottom w:val="single" w:sz="4" w:space="0" w:color="auto"/>
            </w:tcBorders>
            <w:shd w:val="clear" w:color="auto" w:fill="auto"/>
            <w:vAlign w:val="center"/>
            <w:hideMark/>
          </w:tcPr>
          <w:p w14:paraId="417E42F9" w14:textId="77777777" w:rsidR="00014A52" w:rsidRPr="002575A7" w:rsidRDefault="00014A52" w:rsidP="00864BDB">
            <w:pPr>
              <w:snapToGrid w:val="0"/>
              <w:spacing w:line="360" w:lineRule="auto"/>
              <w:jc w:val="both"/>
              <w:rPr>
                <w:rFonts w:ascii="Book Antiqua" w:eastAsia="Times New Roman" w:hAnsi="Book Antiqua" w:cs="Times New Roman"/>
                <w:lang w:val="en-US" w:eastAsia="fr-FR"/>
              </w:rPr>
            </w:pPr>
            <w:r w:rsidRPr="002575A7">
              <w:rPr>
                <w:rFonts w:ascii="Book Antiqua" w:eastAsia="Times New Roman" w:hAnsi="Book Antiqua" w:cs="Times New Roman"/>
                <w:b/>
                <w:lang w:val="en-US" w:eastAsia="fr-FR"/>
              </w:rPr>
              <w:t>Characteristics</w:t>
            </w:r>
          </w:p>
        </w:tc>
        <w:tc>
          <w:tcPr>
            <w:tcW w:w="2126" w:type="dxa"/>
            <w:tcBorders>
              <w:top w:val="single" w:sz="4" w:space="0" w:color="auto"/>
              <w:bottom w:val="single" w:sz="4" w:space="0" w:color="auto"/>
            </w:tcBorders>
            <w:shd w:val="clear" w:color="auto" w:fill="auto"/>
            <w:vAlign w:val="center"/>
            <w:hideMark/>
          </w:tcPr>
          <w:p w14:paraId="23DC2679" w14:textId="7B0A00BA" w:rsidR="00014A52" w:rsidRPr="002575A7" w:rsidRDefault="00014A52" w:rsidP="00864BDB">
            <w:pPr>
              <w:snapToGrid w:val="0"/>
              <w:spacing w:line="360" w:lineRule="auto"/>
              <w:jc w:val="both"/>
              <w:rPr>
                <w:rFonts w:ascii="Book Antiqua" w:eastAsia="Times New Roman" w:hAnsi="Book Antiqua" w:cs="Times New Roman"/>
                <w:b/>
                <w:bCs/>
                <w:color w:val="000000"/>
                <w:lang w:val="en-US" w:eastAsia="fr-FR"/>
              </w:rPr>
            </w:pPr>
            <w:r w:rsidRPr="002575A7">
              <w:rPr>
                <w:rFonts w:ascii="Book Antiqua" w:eastAsia="Times New Roman" w:hAnsi="Book Antiqua" w:cs="Times New Roman"/>
                <w:b/>
                <w:bCs/>
                <w:color w:val="000000"/>
                <w:lang w:val="en-US" w:eastAsia="fr-FR"/>
              </w:rPr>
              <w:t>FOLFIRINOX</w:t>
            </w:r>
            <w:r>
              <w:rPr>
                <w:rFonts w:ascii="Book Antiqua" w:hAnsi="Book Antiqua" w:cs="Times New Roman" w:hint="eastAsia"/>
                <w:b/>
                <w:bCs/>
                <w:color w:val="000000"/>
                <w:lang w:val="en-US" w:eastAsia="zh-CN"/>
              </w:rPr>
              <w:t xml:space="preserve"> </w:t>
            </w:r>
            <w:r w:rsidRPr="002575A7">
              <w:rPr>
                <w:rFonts w:ascii="Book Antiqua" w:eastAsia="Times New Roman" w:hAnsi="Book Antiqua" w:cs="Times New Roman"/>
                <w:b/>
                <w:bCs/>
                <w:color w:val="000000"/>
                <w:lang w:val="en-US" w:eastAsia="fr-FR"/>
              </w:rPr>
              <w:t>(</w:t>
            </w:r>
            <w:r w:rsidRPr="00014A52">
              <w:rPr>
                <w:rFonts w:ascii="Book Antiqua" w:eastAsia="Times New Roman" w:hAnsi="Book Antiqua" w:cs="Times New Roman"/>
                <w:b/>
                <w:bCs/>
                <w:i/>
                <w:iCs/>
                <w:color w:val="000000"/>
                <w:lang w:val="en-US" w:eastAsia="fr-FR"/>
              </w:rPr>
              <w:t>n</w:t>
            </w:r>
            <w:r w:rsidRPr="002575A7">
              <w:rPr>
                <w:rFonts w:ascii="Book Antiqua" w:eastAsia="Times New Roman" w:hAnsi="Book Antiqua" w:cs="Times New Roman"/>
                <w:b/>
                <w:bCs/>
                <w:color w:val="000000"/>
                <w:lang w:val="en-US" w:eastAsia="fr-FR"/>
              </w:rPr>
              <w:t xml:space="preserve"> = 96)</w:t>
            </w:r>
          </w:p>
        </w:tc>
        <w:tc>
          <w:tcPr>
            <w:tcW w:w="2268" w:type="dxa"/>
            <w:tcBorders>
              <w:top w:val="single" w:sz="4" w:space="0" w:color="auto"/>
              <w:bottom w:val="single" w:sz="4" w:space="0" w:color="auto"/>
            </w:tcBorders>
            <w:shd w:val="clear" w:color="auto" w:fill="auto"/>
          </w:tcPr>
          <w:p w14:paraId="4FBCA588" w14:textId="6495A423" w:rsidR="00014A52" w:rsidRPr="002575A7" w:rsidRDefault="00014A52" w:rsidP="00864BDB">
            <w:pPr>
              <w:snapToGrid w:val="0"/>
              <w:spacing w:line="360" w:lineRule="auto"/>
              <w:jc w:val="both"/>
              <w:rPr>
                <w:rFonts w:ascii="Book Antiqua" w:eastAsia="Times New Roman" w:hAnsi="Book Antiqua" w:cs="Times New Roman"/>
                <w:b/>
                <w:bCs/>
                <w:color w:val="000000"/>
                <w:lang w:val="en-US" w:eastAsia="fr-FR"/>
              </w:rPr>
            </w:pPr>
            <w:r w:rsidRPr="002575A7">
              <w:rPr>
                <w:rFonts w:ascii="Book Antiqua" w:eastAsia="Times New Roman" w:hAnsi="Book Antiqua" w:cs="Times New Roman"/>
                <w:b/>
                <w:bCs/>
                <w:color w:val="000000"/>
                <w:lang w:val="en-US" w:eastAsia="fr-FR"/>
              </w:rPr>
              <w:t>FOLFOXIRI</w:t>
            </w:r>
            <w:r>
              <w:rPr>
                <w:rFonts w:ascii="Book Antiqua" w:hAnsi="Book Antiqua" w:cs="Times New Roman" w:hint="eastAsia"/>
                <w:b/>
                <w:bCs/>
                <w:color w:val="000000"/>
                <w:lang w:val="en-US" w:eastAsia="zh-CN"/>
              </w:rPr>
              <w:t xml:space="preserve"> </w:t>
            </w:r>
            <w:r w:rsidRPr="002575A7">
              <w:rPr>
                <w:rFonts w:ascii="Book Antiqua" w:eastAsia="Times New Roman" w:hAnsi="Book Antiqua" w:cs="Times New Roman"/>
                <w:b/>
                <w:bCs/>
                <w:color w:val="000000"/>
                <w:lang w:val="en-US" w:eastAsia="fr-FR"/>
              </w:rPr>
              <w:t>(</w:t>
            </w:r>
            <w:r w:rsidRPr="00014A52">
              <w:rPr>
                <w:rFonts w:ascii="Book Antiqua" w:eastAsia="Times New Roman" w:hAnsi="Book Antiqua" w:cs="Times New Roman"/>
                <w:b/>
                <w:bCs/>
                <w:i/>
                <w:iCs/>
                <w:color w:val="000000"/>
                <w:lang w:val="en-US" w:eastAsia="fr-FR"/>
              </w:rPr>
              <w:t>n</w:t>
            </w:r>
            <w:r w:rsidRPr="002575A7">
              <w:rPr>
                <w:rFonts w:ascii="Book Antiqua" w:eastAsia="Times New Roman" w:hAnsi="Book Antiqua" w:cs="Times New Roman"/>
                <w:b/>
                <w:bCs/>
                <w:color w:val="000000"/>
                <w:lang w:val="en-US" w:eastAsia="fr-FR"/>
              </w:rPr>
              <w:t xml:space="preserve"> = 96)</w:t>
            </w:r>
          </w:p>
        </w:tc>
        <w:tc>
          <w:tcPr>
            <w:tcW w:w="851" w:type="dxa"/>
            <w:tcBorders>
              <w:top w:val="single" w:sz="4" w:space="0" w:color="auto"/>
              <w:bottom w:val="single" w:sz="4" w:space="0" w:color="auto"/>
            </w:tcBorders>
            <w:shd w:val="clear" w:color="auto" w:fill="auto"/>
            <w:vAlign w:val="center"/>
            <w:hideMark/>
          </w:tcPr>
          <w:p w14:paraId="13272761" w14:textId="6FC27629" w:rsidR="00014A52" w:rsidRPr="002575A7" w:rsidRDefault="00014A52" w:rsidP="00864BDB">
            <w:pPr>
              <w:snapToGrid w:val="0"/>
              <w:spacing w:line="360" w:lineRule="auto"/>
              <w:jc w:val="both"/>
              <w:rPr>
                <w:rFonts w:ascii="Book Antiqua" w:eastAsia="Times New Roman" w:hAnsi="Book Antiqua" w:cs="Times New Roman"/>
                <w:b/>
                <w:bCs/>
                <w:color w:val="000000"/>
                <w:lang w:val="en-US" w:eastAsia="fr-FR"/>
              </w:rPr>
            </w:pPr>
            <w:r w:rsidRPr="002575A7">
              <w:rPr>
                <w:rFonts w:ascii="Book Antiqua" w:eastAsia="Times New Roman" w:hAnsi="Book Antiqua" w:cs="Times New Roman"/>
                <w:b/>
                <w:bCs/>
                <w:i/>
                <w:color w:val="000000"/>
                <w:lang w:val="en-US" w:eastAsia="fr-FR"/>
              </w:rPr>
              <w:t>P</w:t>
            </w:r>
            <w:r>
              <w:rPr>
                <w:rFonts w:ascii="Book Antiqua" w:eastAsia="Times New Roman" w:hAnsi="Book Antiqua" w:cs="Times New Roman"/>
                <w:b/>
                <w:bCs/>
                <w:color w:val="000000"/>
                <w:lang w:val="en-US" w:eastAsia="fr-FR"/>
              </w:rPr>
              <w:t xml:space="preserve"> </w:t>
            </w:r>
            <w:r w:rsidRPr="002575A7">
              <w:rPr>
                <w:rFonts w:ascii="Book Antiqua" w:eastAsia="Times New Roman" w:hAnsi="Book Antiqua" w:cs="Times New Roman"/>
                <w:b/>
                <w:bCs/>
                <w:color w:val="000000"/>
                <w:lang w:val="en-US" w:eastAsia="fr-FR"/>
              </w:rPr>
              <w:t>value</w:t>
            </w:r>
            <w:r w:rsidRPr="002575A7" w:rsidDel="000F3BEE">
              <w:rPr>
                <w:rFonts w:ascii="Book Antiqua" w:eastAsia="Times New Roman" w:hAnsi="Book Antiqua" w:cs="Times New Roman"/>
                <w:b/>
                <w:bCs/>
                <w:color w:val="000000"/>
                <w:lang w:val="en-US" w:eastAsia="fr-FR"/>
              </w:rPr>
              <w:t xml:space="preserve"> </w:t>
            </w:r>
          </w:p>
        </w:tc>
      </w:tr>
      <w:tr w:rsidR="00206998" w:rsidRPr="002575A7" w14:paraId="03350FD6" w14:textId="77777777" w:rsidTr="00014A52">
        <w:trPr>
          <w:trHeight w:val="20"/>
          <w:jc w:val="center"/>
        </w:trPr>
        <w:tc>
          <w:tcPr>
            <w:tcW w:w="4820" w:type="dxa"/>
            <w:tcBorders>
              <w:top w:val="single" w:sz="4" w:space="0" w:color="auto"/>
            </w:tcBorders>
            <w:shd w:val="clear" w:color="auto" w:fill="auto"/>
            <w:noWrap/>
            <w:hideMark/>
          </w:tcPr>
          <w:p w14:paraId="2A535793"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Demographic parameters</w:t>
            </w:r>
          </w:p>
        </w:tc>
        <w:tc>
          <w:tcPr>
            <w:tcW w:w="2126" w:type="dxa"/>
            <w:tcBorders>
              <w:top w:val="single" w:sz="4" w:space="0" w:color="auto"/>
            </w:tcBorders>
            <w:shd w:val="clear" w:color="auto" w:fill="auto"/>
            <w:noWrap/>
          </w:tcPr>
          <w:p w14:paraId="5A53672F"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tcBorders>
              <w:top w:val="single" w:sz="4" w:space="0" w:color="auto"/>
            </w:tcBorders>
            <w:shd w:val="clear" w:color="auto" w:fill="auto"/>
          </w:tcPr>
          <w:p w14:paraId="4CAA6C8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tcBorders>
              <w:top w:val="single" w:sz="4" w:space="0" w:color="auto"/>
            </w:tcBorders>
            <w:shd w:val="clear" w:color="auto" w:fill="auto"/>
            <w:noWrap/>
          </w:tcPr>
          <w:p w14:paraId="4112A447"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6166F6A9" w14:textId="77777777" w:rsidTr="00014A52">
        <w:trPr>
          <w:trHeight w:val="20"/>
          <w:jc w:val="center"/>
        </w:trPr>
        <w:tc>
          <w:tcPr>
            <w:tcW w:w="4820" w:type="dxa"/>
            <w:shd w:val="clear" w:color="auto" w:fill="auto"/>
            <w:noWrap/>
            <w:hideMark/>
          </w:tcPr>
          <w:p w14:paraId="25AD48A1"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Age, median [IQR], years</w:t>
            </w:r>
          </w:p>
        </w:tc>
        <w:tc>
          <w:tcPr>
            <w:tcW w:w="2126" w:type="dxa"/>
            <w:shd w:val="clear" w:color="auto" w:fill="auto"/>
            <w:noWrap/>
          </w:tcPr>
          <w:p w14:paraId="03C811B3" w14:textId="5C91DE05"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59.9 [53.0</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66.9]</w:t>
            </w:r>
          </w:p>
        </w:tc>
        <w:tc>
          <w:tcPr>
            <w:tcW w:w="2268" w:type="dxa"/>
            <w:shd w:val="clear" w:color="auto" w:fill="auto"/>
          </w:tcPr>
          <w:p w14:paraId="2D5BB5E7" w14:textId="77E3230D"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63.1 [55.2</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67.1]</w:t>
            </w:r>
          </w:p>
        </w:tc>
        <w:tc>
          <w:tcPr>
            <w:tcW w:w="851" w:type="dxa"/>
            <w:shd w:val="clear" w:color="auto" w:fill="auto"/>
            <w:noWrap/>
          </w:tcPr>
          <w:p w14:paraId="325E296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0.221</w:t>
            </w:r>
          </w:p>
        </w:tc>
      </w:tr>
      <w:tr w:rsidR="00014A52" w:rsidRPr="002575A7" w14:paraId="66A15113" w14:textId="77777777" w:rsidTr="00014A52">
        <w:trPr>
          <w:trHeight w:val="20"/>
          <w:jc w:val="center"/>
        </w:trPr>
        <w:tc>
          <w:tcPr>
            <w:tcW w:w="4820" w:type="dxa"/>
            <w:shd w:val="clear" w:color="auto" w:fill="auto"/>
            <w:noWrap/>
            <w:hideMark/>
          </w:tcPr>
          <w:p w14:paraId="2A25ADD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028A3C7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w:t>
            </w:r>
          </w:p>
        </w:tc>
        <w:tc>
          <w:tcPr>
            <w:tcW w:w="2268" w:type="dxa"/>
            <w:shd w:val="clear" w:color="auto" w:fill="auto"/>
          </w:tcPr>
          <w:p w14:paraId="0C3D64C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851" w:type="dxa"/>
            <w:shd w:val="clear" w:color="auto" w:fill="auto"/>
            <w:noWrap/>
          </w:tcPr>
          <w:p w14:paraId="2A50538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5D637E35" w14:textId="77777777" w:rsidTr="00014A52">
        <w:trPr>
          <w:trHeight w:val="20"/>
          <w:jc w:val="center"/>
        </w:trPr>
        <w:tc>
          <w:tcPr>
            <w:tcW w:w="4820" w:type="dxa"/>
            <w:shd w:val="clear" w:color="auto" w:fill="auto"/>
            <w:noWrap/>
            <w:hideMark/>
          </w:tcPr>
          <w:p w14:paraId="55B03E33" w14:textId="1D3A49E4"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Gender</w:t>
            </w:r>
          </w:p>
        </w:tc>
        <w:tc>
          <w:tcPr>
            <w:tcW w:w="2126" w:type="dxa"/>
            <w:shd w:val="clear" w:color="auto" w:fill="auto"/>
            <w:noWrap/>
          </w:tcPr>
          <w:p w14:paraId="654F0916" w14:textId="77777777" w:rsidR="00206998" w:rsidRPr="00014A52" w:rsidRDefault="00206998" w:rsidP="00864BDB">
            <w:pPr>
              <w:snapToGrid w:val="0"/>
              <w:spacing w:line="360" w:lineRule="auto"/>
              <w:jc w:val="both"/>
              <w:rPr>
                <w:rFonts w:ascii="Book Antiqua" w:eastAsia="Times New Roman" w:hAnsi="Book Antiqua" w:cs="Times New Roman"/>
                <w:lang w:val="en-US" w:eastAsia="fr-FR"/>
              </w:rPr>
            </w:pPr>
          </w:p>
        </w:tc>
        <w:tc>
          <w:tcPr>
            <w:tcW w:w="2268" w:type="dxa"/>
            <w:shd w:val="clear" w:color="auto" w:fill="auto"/>
          </w:tcPr>
          <w:p w14:paraId="241C73A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28E6FCA"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0.661</w:t>
            </w:r>
          </w:p>
        </w:tc>
      </w:tr>
      <w:tr w:rsidR="00014A52" w:rsidRPr="002575A7" w14:paraId="1052DB6F" w14:textId="77777777" w:rsidTr="00014A52">
        <w:trPr>
          <w:trHeight w:val="20"/>
          <w:jc w:val="center"/>
        </w:trPr>
        <w:tc>
          <w:tcPr>
            <w:tcW w:w="4820" w:type="dxa"/>
            <w:shd w:val="clear" w:color="auto" w:fill="auto"/>
            <w:noWrap/>
            <w:hideMark/>
          </w:tcPr>
          <w:p w14:paraId="55C95F0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Male</w:t>
            </w:r>
          </w:p>
        </w:tc>
        <w:tc>
          <w:tcPr>
            <w:tcW w:w="2126" w:type="dxa"/>
            <w:shd w:val="clear" w:color="auto" w:fill="auto"/>
            <w:noWrap/>
          </w:tcPr>
          <w:p w14:paraId="294E890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54 (56.3)</w:t>
            </w:r>
          </w:p>
        </w:tc>
        <w:tc>
          <w:tcPr>
            <w:tcW w:w="2268" w:type="dxa"/>
            <w:shd w:val="clear" w:color="auto" w:fill="auto"/>
          </w:tcPr>
          <w:p w14:paraId="44EC697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57 (59.4)</w:t>
            </w:r>
          </w:p>
        </w:tc>
        <w:tc>
          <w:tcPr>
            <w:tcW w:w="851" w:type="dxa"/>
            <w:shd w:val="clear" w:color="auto" w:fill="auto"/>
            <w:noWrap/>
          </w:tcPr>
          <w:p w14:paraId="3C97382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028F9227" w14:textId="77777777" w:rsidTr="00014A52">
        <w:trPr>
          <w:trHeight w:val="20"/>
          <w:jc w:val="center"/>
        </w:trPr>
        <w:tc>
          <w:tcPr>
            <w:tcW w:w="4820" w:type="dxa"/>
            <w:shd w:val="clear" w:color="auto" w:fill="auto"/>
            <w:noWrap/>
            <w:hideMark/>
          </w:tcPr>
          <w:p w14:paraId="33E5FED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Female</w:t>
            </w:r>
          </w:p>
        </w:tc>
        <w:tc>
          <w:tcPr>
            <w:tcW w:w="2126" w:type="dxa"/>
            <w:shd w:val="clear" w:color="auto" w:fill="auto"/>
            <w:noWrap/>
          </w:tcPr>
          <w:p w14:paraId="196EA46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42 (43.7)</w:t>
            </w:r>
          </w:p>
        </w:tc>
        <w:tc>
          <w:tcPr>
            <w:tcW w:w="2268" w:type="dxa"/>
            <w:shd w:val="clear" w:color="auto" w:fill="auto"/>
          </w:tcPr>
          <w:p w14:paraId="44A4ACA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39 (40.6)</w:t>
            </w:r>
          </w:p>
        </w:tc>
        <w:tc>
          <w:tcPr>
            <w:tcW w:w="851" w:type="dxa"/>
            <w:shd w:val="clear" w:color="auto" w:fill="auto"/>
            <w:noWrap/>
          </w:tcPr>
          <w:p w14:paraId="7C812C5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85AD9D7" w14:textId="77777777" w:rsidTr="00014A52">
        <w:trPr>
          <w:trHeight w:val="20"/>
          <w:jc w:val="center"/>
        </w:trPr>
        <w:tc>
          <w:tcPr>
            <w:tcW w:w="4820" w:type="dxa"/>
            <w:shd w:val="clear" w:color="auto" w:fill="auto"/>
            <w:noWrap/>
            <w:hideMark/>
          </w:tcPr>
          <w:p w14:paraId="58E695A4" w14:textId="60316853"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Familial history of cancer</w:t>
            </w:r>
          </w:p>
        </w:tc>
        <w:tc>
          <w:tcPr>
            <w:tcW w:w="2126" w:type="dxa"/>
            <w:shd w:val="clear" w:color="auto" w:fill="auto"/>
            <w:noWrap/>
          </w:tcPr>
          <w:p w14:paraId="2107AC9E"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E75F36E"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E08881F"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0.806</w:t>
            </w:r>
          </w:p>
        </w:tc>
      </w:tr>
      <w:tr w:rsidR="00014A52" w:rsidRPr="002575A7" w14:paraId="37A1DE73" w14:textId="77777777" w:rsidTr="00014A52">
        <w:trPr>
          <w:trHeight w:val="20"/>
          <w:jc w:val="center"/>
        </w:trPr>
        <w:tc>
          <w:tcPr>
            <w:tcW w:w="4820" w:type="dxa"/>
            <w:shd w:val="clear" w:color="auto" w:fill="auto"/>
            <w:noWrap/>
            <w:hideMark/>
          </w:tcPr>
          <w:p w14:paraId="6188FBA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5F2A9B3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31 (51.7)</w:t>
            </w:r>
          </w:p>
        </w:tc>
        <w:tc>
          <w:tcPr>
            <w:tcW w:w="2268" w:type="dxa"/>
            <w:shd w:val="clear" w:color="auto" w:fill="auto"/>
          </w:tcPr>
          <w:p w14:paraId="0091889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51 (53.7)</w:t>
            </w:r>
          </w:p>
        </w:tc>
        <w:tc>
          <w:tcPr>
            <w:tcW w:w="851" w:type="dxa"/>
            <w:shd w:val="clear" w:color="auto" w:fill="auto"/>
            <w:noWrap/>
          </w:tcPr>
          <w:p w14:paraId="6A32BDA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6067200" w14:textId="77777777" w:rsidTr="00014A52">
        <w:trPr>
          <w:trHeight w:val="20"/>
          <w:jc w:val="center"/>
        </w:trPr>
        <w:tc>
          <w:tcPr>
            <w:tcW w:w="4820" w:type="dxa"/>
            <w:shd w:val="clear" w:color="auto" w:fill="auto"/>
            <w:noWrap/>
            <w:hideMark/>
          </w:tcPr>
          <w:p w14:paraId="39BAF5C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5473857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29 (48.3)</w:t>
            </w:r>
          </w:p>
        </w:tc>
        <w:tc>
          <w:tcPr>
            <w:tcW w:w="2268" w:type="dxa"/>
            <w:shd w:val="clear" w:color="auto" w:fill="auto"/>
          </w:tcPr>
          <w:p w14:paraId="6ED5276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44 (46.3)</w:t>
            </w:r>
          </w:p>
        </w:tc>
        <w:tc>
          <w:tcPr>
            <w:tcW w:w="851" w:type="dxa"/>
            <w:shd w:val="clear" w:color="auto" w:fill="auto"/>
            <w:noWrap/>
          </w:tcPr>
          <w:p w14:paraId="0256C66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4F0CCD11" w14:textId="77777777" w:rsidTr="00014A52">
        <w:trPr>
          <w:trHeight w:val="20"/>
          <w:jc w:val="center"/>
        </w:trPr>
        <w:tc>
          <w:tcPr>
            <w:tcW w:w="4820" w:type="dxa"/>
            <w:shd w:val="clear" w:color="auto" w:fill="auto"/>
            <w:noWrap/>
            <w:hideMark/>
          </w:tcPr>
          <w:p w14:paraId="33640AF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2005F72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36</w:t>
            </w:r>
          </w:p>
        </w:tc>
        <w:tc>
          <w:tcPr>
            <w:tcW w:w="2268" w:type="dxa"/>
            <w:shd w:val="clear" w:color="auto" w:fill="auto"/>
          </w:tcPr>
          <w:p w14:paraId="1FE7874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w:t>
            </w:r>
          </w:p>
        </w:tc>
        <w:tc>
          <w:tcPr>
            <w:tcW w:w="851" w:type="dxa"/>
            <w:shd w:val="clear" w:color="auto" w:fill="auto"/>
            <w:noWrap/>
          </w:tcPr>
          <w:p w14:paraId="103EAA0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00DD495" w14:textId="77777777" w:rsidTr="00014A52">
        <w:trPr>
          <w:trHeight w:val="20"/>
          <w:jc w:val="center"/>
        </w:trPr>
        <w:tc>
          <w:tcPr>
            <w:tcW w:w="4820" w:type="dxa"/>
            <w:shd w:val="clear" w:color="auto" w:fill="auto"/>
            <w:noWrap/>
            <w:hideMark/>
          </w:tcPr>
          <w:p w14:paraId="3923E3D0" w14:textId="627C105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Personal history of cancer</w:t>
            </w:r>
          </w:p>
        </w:tc>
        <w:tc>
          <w:tcPr>
            <w:tcW w:w="2126" w:type="dxa"/>
            <w:shd w:val="clear" w:color="auto" w:fill="auto"/>
            <w:noWrap/>
          </w:tcPr>
          <w:p w14:paraId="30E765D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83B140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D7BC3A8"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0.824</w:t>
            </w:r>
          </w:p>
        </w:tc>
      </w:tr>
      <w:tr w:rsidR="00014A52" w:rsidRPr="002575A7" w14:paraId="6C40CFDE" w14:textId="77777777" w:rsidTr="00014A52">
        <w:trPr>
          <w:trHeight w:val="20"/>
          <w:jc w:val="center"/>
        </w:trPr>
        <w:tc>
          <w:tcPr>
            <w:tcW w:w="4820" w:type="dxa"/>
            <w:shd w:val="clear" w:color="auto" w:fill="auto"/>
            <w:noWrap/>
            <w:hideMark/>
          </w:tcPr>
          <w:p w14:paraId="37CB198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059EEFD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83 (88.3)</w:t>
            </w:r>
          </w:p>
        </w:tc>
        <w:tc>
          <w:tcPr>
            <w:tcW w:w="2268" w:type="dxa"/>
            <w:shd w:val="clear" w:color="auto" w:fill="auto"/>
          </w:tcPr>
          <w:p w14:paraId="3D62D90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82 (87.2)</w:t>
            </w:r>
          </w:p>
        </w:tc>
        <w:tc>
          <w:tcPr>
            <w:tcW w:w="851" w:type="dxa"/>
            <w:shd w:val="clear" w:color="auto" w:fill="auto"/>
            <w:noWrap/>
          </w:tcPr>
          <w:p w14:paraId="142BB80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6781F395" w14:textId="77777777" w:rsidTr="00014A52">
        <w:trPr>
          <w:trHeight w:val="20"/>
          <w:jc w:val="center"/>
        </w:trPr>
        <w:tc>
          <w:tcPr>
            <w:tcW w:w="4820" w:type="dxa"/>
            <w:shd w:val="clear" w:color="auto" w:fill="auto"/>
            <w:noWrap/>
            <w:hideMark/>
          </w:tcPr>
          <w:p w14:paraId="207F26B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48FE079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11 (11.7)</w:t>
            </w:r>
          </w:p>
        </w:tc>
        <w:tc>
          <w:tcPr>
            <w:tcW w:w="2268" w:type="dxa"/>
            <w:shd w:val="clear" w:color="auto" w:fill="auto"/>
          </w:tcPr>
          <w:p w14:paraId="5476DB8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12 (12.8)</w:t>
            </w:r>
          </w:p>
        </w:tc>
        <w:tc>
          <w:tcPr>
            <w:tcW w:w="851" w:type="dxa"/>
            <w:shd w:val="clear" w:color="auto" w:fill="auto"/>
            <w:noWrap/>
          </w:tcPr>
          <w:p w14:paraId="6ED11E3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149D4FB0" w14:textId="77777777" w:rsidTr="00014A52">
        <w:trPr>
          <w:trHeight w:val="20"/>
          <w:jc w:val="center"/>
        </w:trPr>
        <w:tc>
          <w:tcPr>
            <w:tcW w:w="4820" w:type="dxa"/>
            <w:shd w:val="clear" w:color="auto" w:fill="auto"/>
            <w:noWrap/>
            <w:hideMark/>
          </w:tcPr>
          <w:p w14:paraId="355D7A0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5E1E43D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w:t>
            </w:r>
          </w:p>
        </w:tc>
        <w:tc>
          <w:tcPr>
            <w:tcW w:w="2268" w:type="dxa"/>
            <w:shd w:val="clear" w:color="auto" w:fill="auto"/>
          </w:tcPr>
          <w:p w14:paraId="4A1C7F6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w:t>
            </w:r>
          </w:p>
        </w:tc>
        <w:tc>
          <w:tcPr>
            <w:tcW w:w="851" w:type="dxa"/>
            <w:shd w:val="clear" w:color="auto" w:fill="auto"/>
            <w:noWrap/>
          </w:tcPr>
          <w:p w14:paraId="425010B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B6CD1BA" w14:textId="77777777" w:rsidTr="00014A52">
        <w:trPr>
          <w:trHeight w:val="20"/>
          <w:jc w:val="center"/>
        </w:trPr>
        <w:tc>
          <w:tcPr>
            <w:tcW w:w="4820" w:type="dxa"/>
            <w:shd w:val="clear" w:color="auto" w:fill="auto"/>
            <w:noWrap/>
            <w:hideMark/>
          </w:tcPr>
          <w:p w14:paraId="7206D04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Pathologic parameters</w:t>
            </w:r>
          </w:p>
        </w:tc>
        <w:tc>
          <w:tcPr>
            <w:tcW w:w="2126" w:type="dxa"/>
            <w:shd w:val="clear" w:color="auto" w:fill="auto"/>
            <w:noWrap/>
          </w:tcPr>
          <w:p w14:paraId="0A72111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50731D1"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100F062E"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64BEEF08" w14:textId="77777777" w:rsidTr="00014A52">
        <w:trPr>
          <w:trHeight w:val="20"/>
          <w:jc w:val="center"/>
        </w:trPr>
        <w:tc>
          <w:tcPr>
            <w:tcW w:w="4820" w:type="dxa"/>
            <w:shd w:val="clear" w:color="auto" w:fill="auto"/>
            <w:noWrap/>
            <w:hideMark/>
          </w:tcPr>
          <w:p w14:paraId="08B69D32" w14:textId="4C8BD1CA"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Stage at diagnosis</w:t>
            </w:r>
          </w:p>
        </w:tc>
        <w:tc>
          <w:tcPr>
            <w:tcW w:w="2126" w:type="dxa"/>
            <w:shd w:val="clear" w:color="auto" w:fill="auto"/>
            <w:noWrap/>
          </w:tcPr>
          <w:p w14:paraId="60B94BB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F9AD9C4"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32A0FAB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0.598</w:t>
            </w:r>
          </w:p>
        </w:tc>
      </w:tr>
      <w:tr w:rsidR="00014A52" w:rsidRPr="002575A7" w14:paraId="572F7325" w14:textId="77777777" w:rsidTr="00014A52">
        <w:trPr>
          <w:trHeight w:val="20"/>
          <w:jc w:val="center"/>
        </w:trPr>
        <w:tc>
          <w:tcPr>
            <w:tcW w:w="4820" w:type="dxa"/>
            <w:shd w:val="clear" w:color="auto" w:fill="auto"/>
            <w:noWrap/>
            <w:hideMark/>
          </w:tcPr>
          <w:p w14:paraId="6A73458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Localized</w:t>
            </w:r>
          </w:p>
        </w:tc>
        <w:tc>
          <w:tcPr>
            <w:tcW w:w="2126" w:type="dxa"/>
            <w:shd w:val="clear" w:color="auto" w:fill="auto"/>
            <w:noWrap/>
          </w:tcPr>
          <w:p w14:paraId="633E257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14 (14.6)</w:t>
            </w:r>
          </w:p>
        </w:tc>
        <w:tc>
          <w:tcPr>
            <w:tcW w:w="2268" w:type="dxa"/>
            <w:shd w:val="clear" w:color="auto" w:fill="auto"/>
          </w:tcPr>
          <w:p w14:paraId="62309B5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12 (12.5)</w:t>
            </w:r>
          </w:p>
        </w:tc>
        <w:tc>
          <w:tcPr>
            <w:tcW w:w="851" w:type="dxa"/>
            <w:shd w:val="clear" w:color="auto" w:fill="auto"/>
            <w:noWrap/>
          </w:tcPr>
          <w:p w14:paraId="7DC3AF7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29A3B0E1" w14:textId="77777777" w:rsidTr="00014A52">
        <w:trPr>
          <w:trHeight w:val="20"/>
          <w:jc w:val="center"/>
        </w:trPr>
        <w:tc>
          <w:tcPr>
            <w:tcW w:w="4820" w:type="dxa"/>
            <w:shd w:val="clear" w:color="auto" w:fill="auto"/>
            <w:noWrap/>
            <w:hideMark/>
          </w:tcPr>
          <w:p w14:paraId="7953652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Locally advanced</w:t>
            </w:r>
          </w:p>
        </w:tc>
        <w:tc>
          <w:tcPr>
            <w:tcW w:w="2126" w:type="dxa"/>
            <w:shd w:val="clear" w:color="auto" w:fill="auto"/>
            <w:noWrap/>
          </w:tcPr>
          <w:p w14:paraId="0F5B9E8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13 (13.5)</w:t>
            </w:r>
          </w:p>
        </w:tc>
        <w:tc>
          <w:tcPr>
            <w:tcW w:w="2268" w:type="dxa"/>
            <w:shd w:val="clear" w:color="auto" w:fill="auto"/>
          </w:tcPr>
          <w:p w14:paraId="48DE289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18 (18.87</w:t>
            </w:r>
          </w:p>
        </w:tc>
        <w:tc>
          <w:tcPr>
            <w:tcW w:w="851" w:type="dxa"/>
            <w:shd w:val="clear" w:color="auto" w:fill="auto"/>
            <w:noWrap/>
          </w:tcPr>
          <w:p w14:paraId="0DC7160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0C15BCB" w14:textId="77777777" w:rsidTr="00014A52">
        <w:trPr>
          <w:trHeight w:val="20"/>
          <w:jc w:val="center"/>
        </w:trPr>
        <w:tc>
          <w:tcPr>
            <w:tcW w:w="4820" w:type="dxa"/>
            <w:shd w:val="clear" w:color="auto" w:fill="auto"/>
            <w:noWrap/>
            <w:hideMark/>
          </w:tcPr>
          <w:p w14:paraId="3B34A88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Metastatic</w:t>
            </w:r>
          </w:p>
        </w:tc>
        <w:tc>
          <w:tcPr>
            <w:tcW w:w="2126" w:type="dxa"/>
            <w:shd w:val="clear" w:color="auto" w:fill="auto"/>
            <w:noWrap/>
          </w:tcPr>
          <w:p w14:paraId="6E32815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69 (71.9)</w:t>
            </w:r>
          </w:p>
        </w:tc>
        <w:tc>
          <w:tcPr>
            <w:tcW w:w="2268" w:type="dxa"/>
            <w:shd w:val="clear" w:color="auto" w:fill="auto"/>
          </w:tcPr>
          <w:p w14:paraId="22998E5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66 (68.8)</w:t>
            </w:r>
          </w:p>
        </w:tc>
        <w:tc>
          <w:tcPr>
            <w:tcW w:w="851" w:type="dxa"/>
            <w:shd w:val="clear" w:color="auto" w:fill="auto"/>
            <w:noWrap/>
          </w:tcPr>
          <w:p w14:paraId="77F6C3C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1378AC36" w14:textId="77777777" w:rsidTr="00014A52">
        <w:trPr>
          <w:trHeight w:val="20"/>
          <w:jc w:val="center"/>
        </w:trPr>
        <w:tc>
          <w:tcPr>
            <w:tcW w:w="4820" w:type="dxa"/>
            <w:shd w:val="clear" w:color="auto" w:fill="auto"/>
            <w:noWrap/>
            <w:hideMark/>
          </w:tcPr>
          <w:p w14:paraId="24EB6512" w14:textId="2AFC19B6"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Primary tumor site</w:t>
            </w:r>
          </w:p>
        </w:tc>
        <w:tc>
          <w:tcPr>
            <w:tcW w:w="2126" w:type="dxa"/>
            <w:shd w:val="clear" w:color="auto" w:fill="auto"/>
            <w:noWrap/>
          </w:tcPr>
          <w:p w14:paraId="759133B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E79B497"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E11FF3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0.385</w:t>
            </w:r>
          </w:p>
        </w:tc>
      </w:tr>
      <w:tr w:rsidR="00014A52" w:rsidRPr="002575A7" w14:paraId="50B388B5" w14:textId="77777777" w:rsidTr="00014A52">
        <w:trPr>
          <w:trHeight w:val="20"/>
          <w:jc w:val="center"/>
        </w:trPr>
        <w:tc>
          <w:tcPr>
            <w:tcW w:w="4820" w:type="dxa"/>
            <w:shd w:val="clear" w:color="auto" w:fill="auto"/>
            <w:noWrap/>
            <w:hideMark/>
          </w:tcPr>
          <w:p w14:paraId="3E979D1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Head</w:t>
            </w:r>
          </w:p>
        </w:tc>
        <w:tc>
          <w:tcPr>
            <w:tcW w:w="2126" w:type="dxa"/>
            <w:shd w:val="clear" w:color="auto" w:fill="auto"/>
            <w:noWrap/>
          </w:tcPr>
          <w:p w14:paraId="5971DA2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41 (42.7)</w:t>
            </w:r>
          </w:p>
        </w:tc>
        <w:tc>
          <w:tcPr>
            <w:tcW w:w="2268" w:type="dxa"/>
            <w:shd w:val="clear" w:color="auto" w:fill="auto"/>
          </w:tcPr>
          <w:p w14:paraId="7FCB452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47 (49.0)</w:t>
            </w:r>
          </w:p>
        </w:tc>
        <w:tc>
          <w:tcPr>
            <w:tcW w:w="851" w:type="dxa"/>
            <w:shd w:val="clear" w:color="auto" w:fill="auto"/>
            <w:noWrap/>
          </w:tcPr>
          <w:p w14:paraId="342A2AA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6977B97D" w14:textId="77777777" w:rsidTr="00014A52">
        <w:trPr>
          <w:trHeight w:val="20"/>
          <w:jc w:val="center"/>
        </w:trPr>
        <w:tc>
          <w:tcPr>
            <w:tcW w:w="4820" w:type="dxa"/>
            <w:shd w:val="clear" w:color="auto" w:fill="auto"/>
            <w:noWrap/>
            <w:hideMark/>
          </w:tcPr>
          <w:p w14:paraId="4B1ED1C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Body and/or tail</w:t>
            </w:r>
          </w:p>
        </w:tc>
        <w:tc>
          <w:tcPr>
            <w:tcW w:w="2126" w:type="dxa"/>
            <w:shd w:val="clear" w:color="auto" w:fill="auto"/>
            <w:noWrap/>
          </w:tcPr>
          <w:p w14:paraId="7863CCB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55 (57.3)</w:t>
            </w:r>
          </w:p>
        </w:tc>
        <w:tc>
          <w:tcPr>
            <w:tcW w:w="2268" w:type="dxa"/>
            <w:shd w:val="clear" w:color="auto" w:fill="auto"/>
          </w:tcPr>
          <w:p w14:paraId="27B14C2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49 (51.0)</w:t>
            </w:r>
          </w:p>
        </w:tc>
        <w:tc>
          <w:tcPr>
            <w:tcW w:w="851" w:type="dxa"/>
            <w:shd w:val="clear" w:color="auto" w:fill="auto"/>
            <w:noWrap/>
          </w:tcPr>
          <w:p w14:paraId="57C2DBD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54C95B0C" w14:textId="77777777" w:rsidTr="00014A52">
        <w:trPr>
          <w:trHeight w:val="20"/>
          <w:jc w:val="center"/>
        </w:trPr>
        <w:tc>
          <w:tcPr>
            <w:tcW w:w="4820" w:type="dxa"/>
            <w:shd w:val="clear" w:color="auto" w:fill="auto"/>
            <w:noWrap/>
            <w:hideMark/>
          </w:tcPr>
          <w:p w14:paraId="3113E513" w14:textId="2473211A"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Histological grade</w:t>
            </w:r>
          </w:p>
        </w:tc>
        <w:tc>
          <w:tcPr>
            <w:tcW w:w="2126" w:type="dxa"/>
            <w:shd w:val="clear" w:color="auto" w:fill="auto"/>
            <w:noWrap/>
          </w:tcPr>
          <w:p w14:paraId="6347DC9F"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6E7ADFB" w14:textId="77777777" w:rsidR="00206998" w:rsidRPr="00014A52" w:rsidRDefault="00206998" w:rsidP="00864BDB">
            <w:pPr>
              <w:snapToGrid w:val="0"/>
              <w:spacing w:line="360" w:lineRule="auto"/>
              <w:jc w:val="both"/>
              <w:rPr>
                <w:rFonts w:ascii="Book Antiqua" w:eastAsia="Times New Roman" w:hAnsi="Book Antiqua" w:cs="Times New Roman"/>
                <w:color w:val="000000"/>
                <w:highlight w:val="cyan"/>
                <w:lang w:val="en-US" w:eastAsia="fr-FR"/>
              </w:rPr>
            </w:pPr>
          </w:p>
        </w:tc>
        <w:tc>
          <w:tcPr>
            <w:tcW w:w="851" w:type="dxa"/>
            <w:shd w:val="clear" w:color="auto" w:fill="auto"/>
            <w:noWrap/>
          </w:tcPr>
          <w:p w14:paraId="110A5772"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0.011</w:t>
            </w:r>
          </w:p>
        </w:tc>
      </w:tr>
      <w:tr w:rsidR="00014A52" w:rsidRPr="002575A7" w14:paraId="6E8A7748" w14:textId="77777777" w:rsidTr="00014A52">
        <w:trPr>
          <w:trHeight w:val="20"/>
          <w:jc w:val="center"/>
        </w:trPr>
        <w:tc>
          <w:tcPr>
            <w:tcW w:w="4820" w:type="dxa"/>
            <w:shd w:val="clear" w:color="auto" w:fill="auto"/>
            <w:noWrap/>
            <w:hideMark/>
          </w:tcPr>
          <w:p w14:paraId="3D5A7FCB" w14:textId="1512D9E8"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Well or moderately differentiated</w:t>
            </w:r>
          </w:p>
        </w:tc>
        <w:tc>
          <w:tcPr>
            <w:tcW w:w="2126" w:type="dxa"/>
            <w:shd w:val="clear" w:color="auto" w:fill="auto"/>
            <w:noWrap/>
          </w:tcPr>
          <w:p w14:paraId="53E5572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36 (83.7)</w:t>
            </w:r>
          </w:p>
        </w:tc>
        <w:tc>
          <w:tcPr>
            <w:tcW w:w="2268" w:type="dxa"/>
            <w:shd w:val="clear" w:color="auto" w:fill="auto"/>
          </w:tcPr>
          <w:p w14:paraId="204C524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24 (58.5)</w:t>
            </w:r>
          </w:p>
        </w:tc>
        <w:tc>
          <w:tcPr>
            <w:tcW w:w="851" w:type="dxa"/>
            <w:shd w:val="clear" w:color="auto" w:fill="auto"/>
            <w:noWrap/>
          </w:tcPr>
          <w:p w14:paraId="2AFE082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1A6209E3" w14:textId="77777777" w:rsidTr="00014A52">
        <w:trPr>
          <w:trHeight w:val="20"/>
          <w:jc w:val="center"/>
        </w:trPr>
        <w:tc>
          <w:tcPr>
            <w:tcW w:w="4820" w:type="dxa"/>
            <w:shd w:val="clear" w:color="auto" w:fill="auto"/>
            <w:noWrap/>
            <w:hideMark/>
          </w:tcPr>
          <w:p w14:paraId="486D0AD2" w14:textId="0F3E4651"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Poorly differentiated or undifferentiated</w:t>
            </w:r>
          </w:p>
        </w:tc>
        <w:tc>
          <w:tcPr>
            <w:tcW w:w="2126" w:type="dxa"/>
            <w:shd w:val="clear" w:color="auto" w:fill="auto"/>
            <w:noWrap/>
          </w:tcPr>
          <w:p w14:paraId="1A44FAA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 (16.3)</w:t>
            </w:r>
          </w:p>
        </w:tc>
        <w:tc>
          <w:tcPr>
            <w:tcW w:w="2268" w:type="dxa"/>
            <w:shd w:val="clear" w:color="auto" w:fill="auto"/>
          </w:tcPr>
          <w:p w14:paraId="63507C6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17 (41.5)</w:t>
            </w:r>
          </w:p>
        </w:tc>
        <w:tc>
          <w:tcPr>
            <w:tcW w:w="851" w:type="dxa"/>
            <w:shd w:val="clear" w:color="auto" w:fill="auto"/>
            <w:noWrap/>
          </w:tcPr>
          <w:p w14:paraId="21C1944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119A9E27" w14:textId="77777777" w:rsidTr="00014A52">
        <w:trPr>
          <w:trHeight w:val="20"/>
          <w:jc w:val="center"/>
        </w:trPr>
        <w:tc>
          <w:tcPr>
            <w:tcW w:w="4820" w:type="dxa"/>
            <w:shd w:val="clear" w:color="auto" w:fill="auto"/>
            <w:noWrap/>
            <w:hideMark/>
          </w:tcPr>
          <w:p w14:paraId="3CA8F06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381BFCE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24C2276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76F3D9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F6F4B9C" w14:textId="77777777" w:rsidTr="00014A52">
        <w:trPr>
          <w:trHeight w:val="20"/>
          <w:jc w:val="center"/>
        </w:trPr>
        <w:tc>
          <w:tcPr>
            <w:tcW w:w="4820" w:type="dxa"/>
            <w:shd w:val="clear" w:color="auto" w:fill="auto"/>
            <w:noWrap/>
            <w:hideMark/>
          </w:tcPr>
          <w:p w14:paraId="73B1FEE7"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 xml:space="preserve">Tumor extension </w:t>
            </w:r>
          </w:p>
        </w:tc>
        <w:tc>
          <w:tcPr>
            <w:tcW w:w="2126" w:type="dxa"/>
            <w:shd w:val="clear" w:color="auto" w:fill="auto"/>
            <w:noWrap/>
          </w:tcPr>
          <w:p w14:paraId="0E8CE1BA"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DBC4F2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C352F9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445A5750" w14:textId="77777777" w:rsidTr="00014A52">
        <w:trPr>
          <w:trHeight w:val="20"/>
          <w:jc w:val="center"/>
        </w:trPr>
        <w:tc>
          <w:tcPr>
            <w:tcW w:w="4820" w:type="dxa"/>
            <w:shd w:val="clear" w:color="auto" w:fill="auto"/>
            <w:noWrap/>
            <w:hideMark/>
          </w:tcPr>
          <w:p w14:paraId="5BB46966" w14:textId="6FC9AEF2"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Stage at chemotherapy initiation</w:t>
            </w:r>
          </w:p>
        </w:tc>
        <w:tc>
          <w:tcPr>
            <w:tcW w:w="2126" w:type="dxa"/>
            <w:shd w:val="clear" w:color="auto" w:fill="auto"/>
            <w:noWrap/>
          </w:tcPr>
          <w:p w14:paraId="333C6411"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2ED7BD3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25839791"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0.439</w:t>
            </w:r>
          </w:p>
        </w:tc>
      </w:tr>
      <w:tr w:rsidR="00014A52" w:rsidRPr="002575A7" w14:paraId="27A8BA40" w14:textId="77777777" w:rsidTr="00014A52">
        <w:trPr>
          <w:trHeight w:val="20"/>
          <w:jc w:val="center"/>
        </w:trPr>
        <w:tc>
          <w:tcPr>
            <w:tcW w:w="4820" w:type="dxa"/>
            <w:shd w:val="clear" w:color="auto" w:fill="auto"/>
            <w:noWrap/>
            <w:hideMark/>
          </w:tcPr>
          <w:p w14:paraId="69CEF4D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Locally advanced</w:t>
            </w:r>
          </w:p>
        </w:tc>
        <w:tc>
          <w:tcPr>
            <w:tcW w:w="2126" w:type="dxa"/>
            <w:shd w:val="clear" w:color="auto" w:fill="auto"/>
            <w:noWrap/>
          </w:tcPr>
          <w:p w14:paraId="439357A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14 (14.6)</w:t>
            </w:r>
          </w:p>
        </w:tc>
        <w:tc>
          <w:tcPr>
            <w:tcW w:w="2268" w:type="dxa"/>
            <w:shd w:val="clear" w:color="auto" w:fill="auto"/>
          </w:tcPr>
          <w:p w14:paraId="0697B94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18 (18.2)</w:t>
            </w:r>
          </w:p>
        </w:tc>
        <w:tc>
          <w:tcPr>
            <w:tcW w:w="851" w:type="dxa"/>
            <w:shd w:val="clear" w:color="auto" w:fill="auto"/>
            <w:noWrap/>
          </w:tcPr>
          <w:p w14:paraId="05ABB76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4110DC6" w14:textId="77777777" w:rsidTr="00014A52">
        <w:trPr>
          <w:trHeight w:val="20"/>
          <w:jc w:val="center"/>
        </w:trPr>
        <w:tc>
          <w:tcPr>
            <w:tcW w:w="4820" w:type="dxa"/>
            <w:shd w:val="clear" w:color="auto" w:fill="auto"/>
            <w:noWrap/>
            <w:hideMark/>
          </w:tcPr>
          <w:p w14:paraId="3CB055B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Metastatic</w:t>
            </w:r>
          </w:p>
        </w:tc>
        <w:tc>
          <w:tcPr>
            <w:tcW w:w="2126" w:type="dxa"/>
            <w:shd w:val="clear" w:color="auto" w:fill="auto"/>
            <w:noWrap/>
          </w:tcPr>
          <w:p w14:paraId="53D62A9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82 (85.4)</w:t>
            </w:r>
          </w:p>
        </w:tc>
        <w:tc>
          <w:tcPr>
            <w:tcW w:w="2268" w:type="dxa"/>
            <w:shd w:val="clear" w:color="auto" w:fill="auto"/>
          </w:tcPr>
          <w:p w14:paraId="5A2C06F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78 (81.3)</w:t>
            </w:r>
          </w:p>
        </w:tc>
        <w:tc>
          <w:tcPr>
            <w:tcW w:w="851" w:type="dxa"/>
            <w:shd w:val="clear" w:color="auto" w:fill="auto"/>
            <w:noWrap/>
          </w:tcPr>
          <w:p w14:paraId="661523F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61598B7B" w14:textId="77777777" w:rsidTr="00014A52">
        <w:trPr>
          <w:trHeight w:val="20"/>
          <w:jc w:val="center"/>
        </w:trPr>
        <w:tc>
          <w:tcPr>
            <w:tcW w:w="4820" w:type="dxa"/>
            <w:shd w:val="clear" w:color="auto" w:fill="auto"/>
            <w:noWrap/>
            <w:hideMark/>
          </w:tcPr>
          <w:p w14:paraId="2D4A3F5F" w14:textId="2749653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lastRenderedPageBreak/>
              <w:t>Number of metastatic sites</w:t>
            </w:r>
          </w:p>
        </w:tc>
        <w:tc>
          <w:tcPr>
            <w:tcW w:w="2126" w:type="dxa"/>
            <w:shd w:val="clear" w:color="auto" w:fill="auto"/>
            <w:noWrap/>
          </w:tcPr>
          <w:p w14:paraId="146DDC3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5A595A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C6BDF12"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0.724</w:t>
            </w:r>
          </w:p>
        </w:tc>
      </w:tr>
      <w:tr w:rsidR="00014A52" w:rsidRPr="002575A7" w14:paraId="3B3ED0D6" w14:textId="77777777" w:rsidTr="00014A52">
        <w:trPr>
          <w:trHeight w:val="20"/>
          <w:jc w:val="center"/>
        </w:trPr>
        <w:tc>
          <w:tcPr>
            <w:tcW w:w="4820" w:type="dxa"/>
            <w:shd w:val="clear" w:color="auto" w:fill="auto"/>
            <w:noWrap/>
            <w:hideMark/>
          </w:tcPr>
          <w:p w14:paraId="5C123AB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2126" w:type="dxa"/>
            <w:shd w:val="clear" w:color="auto" w:fill="auto"/>
            <w:noWrap/>
          </w:tcPr>
          <w:p w14:paraId="426385F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14 (14.6)</w:t>
            </w:r>
          </w:p>
        </w:tc>
        <w:tc>
          <w:tcPr>
            <w:tcW w:w="2268" w:type="dxa"/>
            <w:shd w:val="clear" w:color="auto" w:fill="auto"/>
          </w:tcPr>
          <w:p w14:paraId="7F16A4B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18 (18.8)</w:t>
            </w:r>
          </w:p>
        </w:tc>
        <w:tc>
          <w:tcPr>
            <w:tcW w:w="851" w:type="dxa"/>
            <w:shd w:val="clear" w:color="auto" w:fill="auto"/>
            <w:noWrap/>
          </w:tcPr>
          <w:p w14:paraId="22B956A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276E62C1" w14:textId="77777777" w:rsidTr="00014A52">
        <w:trPr>
          <w:trHeight w:val="20"/>
          <w:jc w:val="center"/>
        </w:trPr>
        <w:tc>
          <w:tcPr>
            <w:tcW w:w="4820" w:type="dxa"/>
            <w:shd w:val="clear" w:color="auto" w:fill="auto"/>
            <w:noWrap/>
            <w:hideMark/>
          </w:tcPr>
          <w:p w14:paraId="39BEEEB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w:t>
            </w:r>
          </w:p>
        </w:tc>
        <w:tc>
          <w:tcPr>
            <w:tcW w:w="2126" w:type="dxa"/>
            <w:shd w:val="clear" w:color="auto" w:fill="auto"/>
            <w:noWrap/>
          </w:tcPr>
          <w:p w14:paraId="6CD906C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57 (59.4)</w:t>
            </w:r>
          </w:p>
        </w:tc>
        <w:tc>
          <w:tcPr>
            <w:tcW w:w="2268" w:type="dxa"/>
            <w:shd w:val="clear" w:color="auto" w:fill="auto"/>
          </w:tcPr>
          <w:p w14:paraId="5CE6A6E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53 (55.2)</w:t>
            </w:r>
          </w:p>
        </w:tc>
        <w:tc>
          <w:tcPr>
            <w:tcW w:w="851" w:type="dxa"/>
            <w:shd w:val="clear" w:color="auto" w:fill="auto"/>
            <w:noWrap/>
          </w:tcPr>
          <w:p w14:paraId="179E1A9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63EA903" w14:textId="77777777" w:rsidTr="00014A52">
        <w:trPr>
          <w:trHeight w:val="20"/>
          <w:jc w:val="center"/>
        </w:trPr>
        <w:tc>
          <w:tcPr>
            <w:tcW w:w="4820" w:type="dxa"/>
            <w:shd w:val="clear" w:color="auto" w:fill="auto"/>
            <w:noWrap/>
            <w:hideMark/>
          </w:tcPr>
          <w:p w14:paraId="3B1A4DE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 2</w:t>
            </w:r>
          </w:p>
        </w:tc>
        <w:tc>
          <w:tcPr>
            <w:tcW w:w="2126" w:type="dxa"/>
            <w:shd w:val="clear" w:color="auto" w:fill="auto"/>
            <w:noWrap/>
          </w:tcPr>
          <w:p w14:paraId="7B2C25C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25 (26.0)</w:t>
            </w:r>
          </w:p>
        </w:tc>
        <w:tc>
          <w:tcPr>
            <w:tcW w:w="2268" w:type="dxa"/>
            <w:shd w:val="clear" w:color="auto" w:fill="auto"/>
          </w:tcPr>
          <w:p w14:paraId="67B25BB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25 (26.0)</w:t>
            </w:r>
          </w:p>
        </w:tc>
        <w:tc>
          <w:tcPr>
            <w:tcW w:w="851" w:type="dxa"/>
            <w:shd w:val="clear" w:color="auto" w:fill="auto"/>
            <w:noWrap/>
          </w:tcPr>
          <w:p w14:paraId="4074A73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1FD7762B" w14:textId="77777777" w:rsidTr="00014A52">
        <w:trPr>
          <w:trHeight w:val="20"/>
          <w:jc w:val="center"/>
        </w:trPr>
        <w:tc>
          <w:tcPr>
            <w:tcW w:w="4820" w:type="dxa"/>
            <w:shd w:val="clear" w:color="auto" w:fill="auto"/>
            <w:noWrap/>
            <w:hideMark/>
          </w:tcPr>
          <w:p w14:paraId="3CE6CA5B" w14:textId="45BCA6A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Lymph node metastases</w:t>
            </w:r>
          </w:p>
        </w:tc>
        <w:tc>
          <w:tcPr>
            <w:tcW w:w="2126" w:type="dxa"/>
            <w:shd w:val="clear" w:color="auto" w:fill="auto"/>
            <w:noWrap/>
          </w:tcPr>
          <w:p w14:paraId="7CEDDEF8"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C8FCF1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408C76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0.817</w:t>
            </w:r>
          </w:p>
        </w:tc>
      </w:tr>
      <w:tr w:rsidR="00014A52" w:rsidRPr="002575A7" w14:paraId="4FEA3461" w14:textId="77777777" w:rsidTr="00014A52">
        <w:trPr>
          <w:trHeight w:val="20"/>
          <w:jc w:val="center"/>
        </w:trPr>
        <w:tc>
          <w:tcPr>
            <w:tcW w:w="4820" w:type="dxa"/>
            <w:shd w:val="clear" w:color="auto" w:fill="auto"/>
            <w:noWrap/>
            <w:hideMark/>
          </w:tcPr>
          <w:p w14:paraId="674ACB0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3B5C443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86 (89.6)</w:t>
            </w:r>
          </w:p>
        </w:tc>
        <w:tc>
          <w:tcPr>
            <w:tcW w:w="2268" w:type="dxa"/>
            <w:shd w:val="clear" w:color="auto" w:fill="auto"/>
          </w:tcPr>
          <w:p w14:paraId="5DB2601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85 (88.5)</w:t>
            </w:r>
          </w:p>
        </w:tc>
        <w:tc>
          <w:tcPr>
            <w:tcW w:w="851" w:type="dxa"/>
            <w:shd w:val="clear" w:color="auto" w:fill="auto"/>
            <w:noWrap/>
          </w:tcPr>
          <w:p w14:paraId="1F1DA90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6D41FF49" w14:textId="77777777" w:rsidTr="00014A52">
        <w:trPr>
          <w:trHeight w:val="20"/>
          <w:jc w:val="center"/>
        </w:trPr>
        <w:tc>
          <w:tcPr>
            <w:tcW w:w="4820" w:type="dxa"/>
            <w:shd w:val="clear" w:color="auto" w:fill="auto"/>
            <w:noWrap/>
            <w:hideMark/>
          </w:tcPr>
          <w:p w14:paraId="781E1A6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35E7164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10 (10.4)</w:t>
            </w:r>
          </w:p>
        </w:tc>
        <w:tc>
          <w:tcPr>
            <w:tcW w:w="2268" w:type="dxa"/>
            <w:shd w:val="clear" w:color="auto" w:fill="auto"/>
          </w:tcPr>
          <w:p w14:paraId="7D4E017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11 (11.5)</w:t>
            </w:r>
          </w:p>
        </w:tc>
        <w:tc>
          <w:tcPr>
            <w:tcW w:w="851" w:type="dxa"/>
            <w:shd w:val="clear" w:color="auto" w:fill="auto"/>
            <w:noWrap/>
          </w:tcPr>
          <w:p w14:paraId="349C5A5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550E771" w14:textId="77777777" w:rsidTr="00014A52">
        <w:trPr>
          <w:trHeight w:val="20"/>
          <w:jc w:val="center"/>
        </w:trPr>
        <w:tc>
          <w:tcPr>
            <w:tcW w:w="4820" w:type="dxa"/>
            <w:shd w:val="clear" w:color="auto" w:fill="auto"/>
            <w:noWrap/>
            <w:hideMark/>
          </w:tcPr>
          <w:p w14:paraId="17EB8B42" w14:textId="71522CEE"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Liver metastases</w:t>
            </w:r>
          </w:p>
        </w:tc>
        <w:tc>
          <w:tcPr>
            <w:tcW w:w="2126" w:type="dxa"/>
            <w:shd w:val="clear" w:color="auto" w:fill="auto"/>
            <w:noWrap/>
          </w:tcPr>
          <w:p w14:paraId="424A20A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0D3203A"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2E88131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0.274</w:t>
            </w:r>
          </w:p>
        </w:tc>
      </w:tr>
      <w:tr w:rsidR="00014A52" w:rsidRPr="002575A7" w14:paraId="3EF96C61" w14:textId="77777777" w:rsidTr="00014A52">
        <w:trPr>
          <w:trHeight w:val="20"/>
          <w:jc w:val="center"/>
        </w:trPr>
        <w:tc>
          <w:tcPr>
            <w:tcW w:w="4820" w:type="dxa"/>
            <w:shd w:val="clear" w:color="auto" w:fill="auto"/>
            <w:noWrap/>
            <w:hideMark/>
          </w:tcPr>
          <w:p w14:paraId="519B79A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54978EB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26 (27.1)</w:t>
            </w:r>
          </w:p>
        </w:tc>
        <w:tc>
          <w:tcPr>
            <w:tcW w:w="2268" w:type="dxa"/>
            <w:shd w:val="clear" w:color="auto" w:fill="auto"/>
          </w:tcPr>
          <w:p w14:paraId="554B6E3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33 (34.4)</w:t>
            </w:r>
          </w:p>
        </w:tc>
        <w:tc>
          <w:tcPr>
            <w:tcW w:w="851" w:type="dxa"/>
            <w:shd w:val="clear" w:color="auto" w:fill="auto"/>
            <w:noWrap/>
          </w:tcPr>
          <w:p w14:paraId="49CFABA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4B7F4444" w14:textId="77777777" w:rsidTr="00014A52">
        <w:trPr>
          <w:trHeight w:val="20"/>
          <w:jc w:val="center"/>
        </w:trPr>
        <w:tc>
          <w:tcPr>
            <w:tcW w:w="4820" w:type="dxa"/>
            <w:shd w:val="clear" w:color="auto" w:fill="auto"/>
            <w:noWrap/>
            <w:hideMark/>
          </w:tcPr>
          <w:p w14:paraId="2D9D271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00F0FFC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70 (72.9)</w:t>
            </w:r>
          </w:p>
        </w:tc>
        <w:tc>
          <w:tcPr>
            <w:tcW w:w="2268" w:type="dxa"/>
            <w:shd w:val="clear" w:color="auto" w:fill="auto"/>
          </w:tcPr>
          <w:p w14:paraId="3890AFF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63 (65.6)</w:t>
            </w:r>
          </w:p>
        </w:tc>
        <w:tc>
          <w:tcPr>
            <w:tcW w:w="851" w:type="dxa"/>
            <w:shd w:val="clear" w:color="auto" w:fill="auto"/>
            <w:noWrap/>
          </w:tcPr>
          <w:p w14:paraId="21BC2FB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6A73FC27" w14:textId="77777777" w:rsidTr="00014A52">
        <w:trPr>
          <w:trHeight w:val="20"/>
          <w:jc w:val="center"/>
        </w:trPr>
        <w:tc>
          <w:tcPr>
            <w:tcW w:w="4820" w:type="dxa"/>
            <w:shd w:val="clear" w:color="auto" w:fill="auto"/>
            <w:noWrap/>
            <w:hideMark/>
          </w:tcPr>
          <w:p w14:paraId="08D888E5" w14:textId="7892A59C"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Peritoneal metastases</w:t>
            </w:r>
          </w:p>
        </w:tc>
        <w:tc>
          <w:tcPr>
            <w:tcW w:w="2126" w:type="dxa"/>
            <w:shd w:val="clear" w:color="auto" w:fill="auto"/>
            <w:noWrap/>
          </w:tcPr>
          <w:p w14:paraId="76087608"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3DA4FDA1"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DA2D28A"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0.059</w:t>
            </w:r>
          </w:p>
        </w:tc>
      </w:tr>
      <w:tr w:rsidR="00014A52" w:rsidRPr="002575A7" w14:paraId="626800A1" w14:textId="77777777" w:rsidTr="00014A52">
        <w:trPr>
          <w:trHeight w:val="20"/>
          <w:jc w:val="center"/>
        </w:trPr>
        <w:tc>
          <w:tcPr>
            <w:tcW w:w="4820" w:type="dxa"/>
            <w:shd w:val="clear" w:color="auto" w:fill="auto"/>
            <w:noWrap/>
            <w:hideMark/>
          </w:tcPr>
          <w:p w14:paraId="7770DE8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4017138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84 (87.5)</w:t>
            </w:r>
          </w:p>
        </w:tc>
        <w:tc>
          <w:tcPr>
            <w:tcW w:w="2268" w:type="dxa"/>
            <w:shd w:val="clear" w:color="auto" w:fill="auto"/>
          </w:tcPr>
          <w:p w14:paraId="5055EEF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74 (77.1)</w:t>
            </w:r>
          </w:p>
        </w:tc>
        <w:tc>
          <w:tcPr>
            <w:tcW w:w="851" w:type="dxa"/>
            <w:shd w:val="clear" w:color="auto" w:fill="auto"/>
            <w:noWrap/>
          </w:tcPr>
          <w:p w14:paraId="0BBCBB3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4384E02" w14:textId="77777777" w:rsidTr="00014A52">
        <w:trPr>
          <w:trHeight w:val="20"/>
          <w:jc w:val="center"/>
        </w:trPr>
        <w:tc>
          <w:tcPr>
            <w:tcW w:w="4820" w:type="dxa"/>
            <w:shd w:val="clear" w:color="auto" w:fill="auto"/>
            <w:noWrap/>
            <w:hideMark/>
          </w:tcPr>
          <w:p w14:paraId="0277013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2A76F1B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12 (12.5)</w:t>
            </w:r>
          </w:p>
        </w:tc>
        <w:tc>
          <w:tcPr>
            <w:tcW w:w="2268" w:type="dxa"/>
            <w:shd w:val="clear" w:color="auto" w:fill="auto"/>
          </w:tcPr>
          <w:p w14:paraId="3024366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22 (22.9)</w:t>
            </w:r>
          </w:p>
        </w:tc>
        <w:tc>
          <w:tcPr>
            <w:tcW w:w="851" w:type="dxa"/>
            <w:shd w:val="clear" w:color="auto" w:fill="auto"/>
            <w:noWrap/>
          </w:tcPr>
          <w:p w14:paraId="7846EE7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6C2DEBA1" w14:textId="77777777" w:rsidTr="00014A52">
        <w:trPr>
          <w:trHeight w:val="20"/>
          <w:jc w:val="center"/>
        </w:trPr>
        <w:tc>
          <w:tcPr>
            <w:tcW w:w="4820" w:type="dxa"/>
            <w:shd w:val="clear" w:color="auto" w:fill="auto"/>
            <w:noWrap/>
            <w:hideMark/>
          </w:tcPr>
          <w:p w14:paraId="0F1594D8" w14:textId="2CE85B51"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Lung metastases</w:t>
            </w:r>
          </w:p>
        </w:tc>
        <w:tc>
          <w:tcPr>
            <w:tcW w:w="2126" w:type="dxa"/>
            <w:shd w:val="clear" w:color="auto" w:fill="auto"/>
            <w:noWrap/>
          </w:tcPr>
          <w:p w14:paraId="49FBEE72"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60F76C4B"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F027422"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0.845</w:t>
            </w:r>
          </w:p>
        </w:tc>
      </w:tr>
      <w:tr w:rsidR="00014A52" w:rsidRPr="002575A7" w14:paraId="39075A0A" w14:textId="77777777" w:rsidTr="00014A52">
        <w:trPr>
          <w:trHeight w:val="20"/>
          <w:jc w:val="center"/>
        </w:trPr>
        <w:tc>
          <w:tcPr>
            <w:tcW w:w="4820" w:type="dxa"/>
            <w:shd w:val="clear" w:color="auto" w:fill="auto"/>
            <w:noWrap/>
            <w:hideMark/>
          </w:tcPr>
          <w:p w14:paraId="23BA349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3980BF2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81 (84.4)</w:t>
            </w:r>
          </w:p>
        </w:tc>
        <w:tc>
          <w:tcPr>
            <w:tcW w:w="2268" w:type="dxa"/>
            <w:shd w:val="clear" w:color="auto" w:fill="auto"/>
          </w:tcPr>
          <w:p w14:paraId="1B311DE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80 (83.3)</w:t>
            </w:r>
          </w:p>
        </w:tc>
        <w:tc>
          <w:tcPr>
            <w:tcW w:w="851" w:type="dxa"/>
            <w:shd w:val="clear" w:color="auto" w:fill="auto"/>
            <w:noWrap/>
          </w:tcPr>
          <w:p w14:paraId="4654A9E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792D3971" w14:textId="77777777" w:rsidTr="00014A52">
        <w:trPr>
          <w:trHeight w:val="20"/>
          <w:jc w:val="center"/>
        </w:trPr>
        <w:tc>
          <w:tcPr>
            <w:tcW w:w="4820" w:type="dxa"/>
            <w:shd w:val="clear" w:color="auto" w:fill="auto"/>
            <w:noWrap/>
            <w:hideMark/>
          </w:tcPr>
          <w:p w14:paraId="67D4B46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6618EE6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15 (15.6)</w:t>
            </w:r>
          </w:p>
        </w:tc>
        <w:tc>
          <w:tcPr>
            <w:tcW w:w="2268" w:type="dxa"/>
            <w:shd w:val="clear" w:color="auto" w:fill="auto"/>
          </w:tcPr>
          <w:p w14:paraId="657F380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16 (16.7)</w:t>
            </w:r>
          </w:p>
        </w:tc>
        <w:tc>
          <w:tcPr>
            <w:tcW w:w="851" w:type="dxa"/>
            <w:shd w:val="clear" w:color="auto" w:fill="auto"/>
            <w:noWrap/>
          </w:tcPr>
          <w:p w14:paraId="5C95C82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415DB9B" w14:textId="77777777" w:rsidTr="00014A52">
        <w:trPr>
          <w:trHeight w:val="20"/>
          <w:jc w:val="center"/>
        </w:trPr>
        <w:tc>
          <w:tcPr>
            <w:tcW w:w="4820" w:type="dxa"/>
            <w:shd w:val="clear" w:color="auto" w:fill="auto"/>
            <w:noWrap/>
            <w:hideMark/>
          </w:tcPr>
          <w:p w14:paraId="57018EBF" w14:textId="6903FFD3"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Other metastases</w:t>
            </w:r>
          </w:p>
        </w:tc>
        <w:tc>
          <w:tcPr>
            <w:tcW w:w="2126" w:type="dxa"/>
            <w:shd w:val="clear" w:color="auto" w:fill="auto"/>
            <w:noWrap/>
          </w:tcPr>
          <w:p w14:paraId="71CE286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0CF0CA4B"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C8D4ED4"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0.279</w:t>
            </w:r>
          </w:p>
        </w:tc>
      </w:tr>
      <w:tr w:rsidR="00014A52" w:rsidRPr="002575A7" w14:paraId="3C65AD52" w14:textId="77777777" w:rsidTr="00014A52">
        <w:trPr>
          <w:trHeight w:val="20"/>
          <w:jc w:val="center"/>
        </w:trPr>
        <w:tc>
          <w:tcPr>
            <w:tcW w:w="4820" w:type="dxa"/>
            <w:shd w:val="clear" w:color="auto" w:fill="auto"/>
            <w:noWrap/>
            <w:hideMark/>
          </w:tcPr>
          <w:p w14:paraId="2C8B16A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6EF1878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90 (93.8)</w:t>
            </w:r>
          </w:p>
        </w:tc>
        <w:tc>
          <w:tcPr>
            <w:tcW w:w="2268" w:type="dxa"/>
            <w:shd w:val="clear" w:color="auto" w:fill="auto"/>
          </w:tcPr>
          <w:p w14:paraId="42E9CF2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94 (97.9)</w:t>
            </w:r>
          </w:p>
        </w:tc>
        <w:tc>
          <w:tcPr>
            <w:tcW w:w="851" w:type="dxa"/>
            <w:shd w:val="clear" w:color="auto" w:fill="auto"/>
            <w:noWrap/>
          </w:tcPr>
          <w:p w14:paraId="1EBC646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8077486" w14:textId="77777777" w:rsidTr="00014A52">
        <w:trPr>
          <w:trHeight w:val="20"/>
          <w:jc w:val="center"/>
        </w:trPr>
        <w:tc>
          <w:tcPr>
            <w:tcW w:w="4820" w:type="dxa"/>
            <w:shd w:val="clear" w:color="auto" w:fill="auto"/>
            <w:noWrap/>
            <w:hideMark/>
          </w:tcPr>
          <w:p w14:paraId="3FE3A8B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1BCB6E2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 (6.2)</w:t>
            </w:r>
          </w:p>
        </w:tc>
        <w:tc>
          <w:tcPr>
            <w:tcW w:w="2268" w:type="dxa"/>
            <w:shd w:val="clear" w:color="auto" w:fill="auto"/>
          </w:tcPr>
          <w:p w14:paraId="664CF46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 (2.1)</w:t>
            </w:r>
          </w:p>
        </w:tc>
        <w:tc>
          <w:tcPr>
            <w:tcW w:w="851" w:type="dxa"/>
            <w:shd w:val="clear" w:color="auto" w:fill="auto"/>
            <w:noWrap/>
          </w:tcPr>
          <w:p w14:paraId="3148FC6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66172E4" w14:textId="77777777" w:rsidTr="00014A52">
        <w:trPr>
          <w:trHeight w:val="20"/>
          <w:jc w:val="center"/>
        </w:trPr>
        <w:tc>
          <w:tcPr>
            <w:tcW w:w="4820" w:type="dxa"/>
            <w:shd w:val="clear" w:color="auto" w:fill="auto"/>
            <w:noWrap/>
            <w:hideMark/>
          </w:tcPr>
          <w:p w14:paraId="310E1D9C"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Clinical parameters</w:t>
            </w:r>
          </w:p>
        </w:tc>
        <w:tc>
          <w:tcPr>
            <w:tcW w:w="2126" w:type="dxa"/>
            <w:shd w:val="clear" w:color="auto" w:fill="auto"/>
            <w:noWrap/>
          </w:tcPr>
          <w:p w14:paraId="0592B6DA"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687D801E"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31A8DE3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04858DFB" w14:textId="77777777" w:rsidTr="00014A52">
        <w:trPr>
          <w:trHeight w:val="20"/>
          <w:jc w:val="center"/>
        </w:trPr>
        <w:tc>
          <w:tcPr>
            <w:tcW w:w="4820" w:type="dxa"/>
            <w:shd w:val="clear" w:color="auto" w:fill="auto"/>
            <w:noWrap/>
            <w:hideMark/>
          </w:tcPr>
          <w:p w14:paraId="53817449" w14:textId="597A33D8"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Performance status (WHO)</w:t>
            </w:r>
          </w:p>
        </w:tc>
        <w:tc>
          <w:tcPr>
            <w:tcW w:w="2126" w:type="dxa"/>
            <w:shd w:val="clear" w:color="auto" w:fill="auto"/>
            <w:noWrap/>
          </w:tcPr>
          <w:p w14:paraId="2856FE18" w14:textId="77777777" w:rsidR="00206998" w:rsidRPr="00014A52" w:rsidRDefault="00206998" w:rsidP="00864BDB">
            <w:pPr>
              <w:snapToGrid w:val="0"/>
              <w:spacing w:line="360" w:lineRule="auto"/>
              <w:jc w:val="both"/>
              <w:rPr>
                <w:rFonts w:ascii="Book Antiqua" w:eastAsia="Times New Roman" w:hAnsi="Book Antiqua" w:cs="Times New Roman"/>
                <w:lang w:val="en-US" w:eastAsia="fr-FR"/>
              </w:rPr>
            </w:pPr>
          </w:p>
        </w:tc>
        <w:tc>
          <w:tcPr>
            <w:tcW w:w="2268" w:type="dxa"/>
            <w:shd w:val="clear" w:color="auto" w:fill="auto"/>
          </w:tcPr>
          <w:p w14:paraId="2C5EB5F0" w14:textId="77777777" w:rsidR="00206998" w:rsidRPr="00014A52" w:rsidRDefault="00206998" w:rsidP="00864BDB">
            <w:pPr>
              <w:snapToGrid w:val="0"/>
              <w:spacing w:line="360" w:lineRule="auto"/>
              <w:jc w:val="both"/>
              <w:rPr>
                <w:rFonts w:ascii="Book Antiqua" w:eastAsia="Times New Roman" w:hAnsi="Book Antiqua" w:cs="Times New Roman"/>
                <w:lang w:val="en-US" w:eastAsia="fr-FR"/>
              </w:rPr>
            </w:pPr>
          </w:p>
        </w:tc>
        <w:tc>
          <w:tcPr>
            <w:tcW w:w="851" w:type="dxa"/>
            <w:shd w:val="clear" w:color="auto" w:fill="auto"/>
            <w:noWrap/>
          </w:tcPr>
          <w:p w14:paraId="48767C26" w14:textId="77777777" w:rsidR="00206998" w:rsidRPr="00014A52" w:rsidRDefault="00206998" w:rsidP="00864BDB">
            <w:pPr>
              <w:snapToGrid w:val="0"/>
              <w:spacing w:line="360" w:lineRule="auto"/>
              <w:jc w:val="both"/>
              <w:rPr>
                <w:rFonts w:ascii="Book Antiqua" w:eastAsia="Times New Roman" w:hAnsi="Book Antiqua" w:cs="Times New Roman"/>
                <w:lang w:val="en-US" w:eastAsia="fr-FR"/>
              </w:rPr>
            </w:pPr>
            <w:r w:rsidRPr="00014A52">
              <w:rPr>
                <w:rFonts w:ascii="Book Antiqua" w:eastAsia="Times New Roman" w:hAnsi="Book Antiqua" w:cs="Times New Roman"/>
                <w:lang w:val="en-US" w:eastAsia="fr-FR"/>
              </w:rPr>
              <w:t>0.165</w:t>
            </w:r>
          </w:p>
        </w:tc>
      </w:tr>
      <w:tr w:rsidR="00014A52" w:rsidRPr="002575A7" w14:paraId="67591382" w14:textId="77777777" w:rsidTr="00014A52">
        <w:trPr>
          <w:trHeight w:val="20"/>
          <w:jc w:val="center"/>
        </w:trPr>
        <w:tc>
          <w:tcPr>
            <w:tcW w:w="4820" w:type="dxa"/>
            <w:shd w:val="clear" w:color="auto" w:fill="auto"/>
            <w:noWrap/>
            <w:hideMark/>
          </w:tcPr>
          <w:p w14:paraId="4F4D128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2126" w:type="dxa"/>
            <w:shd w:val="clear" w:color="auto" w:fill="auto"/>
            <w:noWrap/>
          </w:tcPr>
          <w:p w14:paraId="5ACCAFA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36 (39.1)</w:t>
            </w:r>
          </w:p>
        </w:tc>
        <w:tc>
          <w:tcPr>
            <w:tcW w:w="2268" w:type="dxa"/>
            <w:shd w:val="clear" w:color="auto" w:fill="auto"/>
          </w:tcPr>
          <w:p w14:paraId="797BF8C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35 (36.5)</w:t>
            </w:r>
          </w:p>
        </w:tc>
        <w:tc>
          <w:tcPr>
            <w:tcW w:w="851" w:type="dxa"/>
            <w:shd w:val="clear" w:color="auto" w:fill="auto"/>
            <w:noWrap/>
          </w:tcPr>
          <w:p w14:paraId="2404CDD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2CFBC3AD" w14:textId="77777777" w:rsidTr="00014A52">
        <w:trPr>
          <w:trHeight w:val="20"/>
          <w:jc w:val="center"/>
        </w:trPr>
        <w:tc>
          <w:tcPr>
            <w:tcW w:w="4820" w:type="dxa"/>
            <w:shd w:val="clear" w:color="auto" w:fill="auto"/>
            <w:noWrap/>
            <w:hideMark/>
          </w:tcPr>
          <w:p w14:paraId="58D5F92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w:t>
            </w:r>
          </w:p>
        </w:tc>
        <w:tc>
          <w:tcPr>
            <w:tcW w:w="2126" w:type="dxa"/>
            <w:shd w:val="clear" w:color="auto" w:fill="auto"/>
            <w:noWrap/>
          </w:tcPr>
          <w:p w14:paraId="23C49F1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49 (53.3)</w:t>
            </w:r>
          </w:p>
        </w:tc>
        <w:tc>
          <w:tcPr>
            <w:tcW w:w="2268" w:type="dxa"/>
            <w:shd w:val="clear" w:color="auto" w:fill="auto"/>
          </w:tcPr>
          <w:p w14:paraId="49191A1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59 (61.5)</w:t>
            </w:r>
          </w:p>
        </w:tc>
        <w:tc>
          <w:tcPr>
            <w:tcW w:w="851" w:type="dxa"/>
            <w:shd w:val="clear" w:color="auto" w:fill="auto"/>
            <w:noWrap/>
          </w:tcPr>
          <w:p w14:paraId="630AB62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05F5EEBD" w14:textId="77777777" w:rsidTr="00014A52">
        <w:trPr>
          <w:trHeight w:val="20"/>
          <w:jc w:val="center"/>
        </w:trPr>
        <w:tc>
          <w:tcPr>
            <w:tcW w:w="4820" w:type="dxa"/>
            <w:shd w:val="clear" w:color="auto" w:fill="auto"/>
            <w:noWrap/>
            <w:hideMark/>
          </w:tcPr>
          <w:p w14:paraId="644A7CE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 2</w:t>
            </w:r>
          </w:p>
        </w:tc>
        <w:tc>
          <w:tcPr>
            <w:tcW w:w="2126" w:type="dxa"/>
            <w:shd w:val="clear" w:color="auto" w:fill="auto"/>
            <w:noWrap/>
          </w:tcPr>
          <w:p w14:paraId="18A5AF0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 (7.6)</w:t>
            </w:r>
          </w:p>
        </w:tc>
        <w:tc>
          <w:tcPr>
            <w:tcW w:w="2268" w:type="dxa"/>
            <w:shd w:val="clear" w:color="auto" w:fill="auto"/>
          </w:tcPr>
          <w:p w14:paraId="2738CA4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 (2.0)</w:t>
            </w:r>
          </w:p>
        </w:tc>
        <w:tc>
          <w:tcPr>
            <w:tcW w:w="851" w:type="dxa"/>
            <w:shd w:val="clear" w:color="auto" w:fill="auto"/>
            <w:noWrap/>
          </w:tcPr>
          <w:p w14:paraId="48B5EA9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17F82096" w14:textId="77777777" w:rsidTr="00014A52">
        <w:trPr>
          <w:trHeight w:val="20"/>
          <w:jc w:val="center"/>
        </w:trPr>
        <w:tc>
          <w:tcPr>
            <w:tcW w:w="4820" w:type="dxa"/>
            <w:shd w:val="clear" w:color="auto" w:fill="auto"/>
            <w:noWrap/>
            <w:hideMark/>
          </w:tcPr>
          <w:p w14:paraId="62126C3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77CE8FA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w:t>
            </w:r>
          </w:p>
        </w:tc>
        <w:tc>
          <w:tcPr>
            <w:tcW w:w="2268" w:type="dxa"/>
            <w:shd w:val="clear" w:color="auto" w:fill="auto"/>
          </w:tcPr>
          <w:p w14:paraId="4A6B29A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851" w:type="dxa"/>
            <w:shd w:val="clear" w:color="auto" w:fill="auto"/>
            <w:noWrap/>
          </w:tcPr>
          <w:p w14:paraId="0C28E57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748EA41C" w14:textId="77777777" w:rsidTr="00014A52">
        <w:trPr>
          <w:trHeight w:val="20"/>
          <w:jc w:val="center"/>
        </w:trPr>
        <w:tc>
          <w:tcPr>
            <w:tcW w:w="4820" w:type="dxa"/>
            <w:shd w:val="clear" w:color="auto" w:fill="auto"/>
            <w:noWrap/>
            <w:hideMark/>
          </w:tcPr>
          <w:p w14:paraId="2506D4DD" w14:textId="4023B86A"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Body mass index, kg/m</w:t>
            </w:r>
            <w:r w:rsidRPr="00014A52">
              <w:rPr>
                <w:rFonts w:ascii="Book Antiqua" w:eastAsia="Times New Roman" w:hAnsi="Book Antiqua" w:cs="Times New Roman"/>
                <w:color w:val="000000"/>
                <w:vertAlign w:val="superscript"/>
                <w:lang w:val="en-US" w:eastAsia="fr-FR"/>
              </w:rPr>
              <w:t>2</w:t>
            </w:r>
          </w:p>
        </w:tc>
        <w:tc>
          <w:tcPr>
            <w:tcW w:w="2126" w:type="dxa"/>
            <w:shd w:val="clear" w:color="auto" w:fill="auto"/>
            <w:noWrap/>
          </w:tcPr>
          <w:p w14:paraId="1220E8DF" w14:textId="1402FA17" w:rsidR="00206998" w:rsidRPr="00014A52" w:rsidRDefault="00206998" w:rsidP="00864BDB">
            <w:pPr>
              <w:snapToGrid w:val="0"/>
              <w:spacing w:line="360" w:lineRule="auto"/>
              <w:jc w:val="both"/>
              <w:rPr>
                <w:rFonts w:ascii="Book Antiqua" w:eastAsia="Times New Roman" w:hAnsi="Book Antiqua" w:cs="Times New Roman"/>
                <w:lang w:val="en-US" w:eastAsia="fr-FR"/>
              </w:rPr>
            </w:pPr>
            <w:r w:rsidRPr="00014A52">
              <w:rPr>
                <w:rFonts w:ascii="Book Antiqua" w:eastAsia="Times New Roman" w:hAnsi="Book Antiqua" w:cs="Times New Roman"/>
                <w:lang w:val="en-US" w:eastAsia="fr-FR"/>
              </w:rPr>
              <w:t>23.9 [20.7</w:t>
            </w:r>
            <w:r w:rsidR="00344D66" w:rsidRPr="00014A52">
              <w:rPr>
                <w:rFonts w:ascii="Book Antiqua" w:eastAsia="Times New Roman" w:hAnsi="Book Antiqua" w:cs="Times New Roman"/>
                <w:lang w:val="en-US" w:eastAsia="fr-FR"/>
              </w:rPr>
              <w:t>-</w:t>
            </w:r>
            <w:r w:rsidRPr="00014A52">
              <w:rPr>
                <w:rFonts w:ascii="Book Antiqua" w:eastAsia="Times New Roman" w:hAnsi="Book Antiqua" w:cs="Times New Roman"/>
                <w:lang w:val="en-US" w:eastAsia="fr-FR"/>
              </w:rPr>
              <w:t>27.1]</w:t>
            </w:r>
          </w:p>
        </w:tc>
        <w:tc>
          <w:tcPr>
            <w:tcW w:w="2268" w:type="dxa"/>
            <w:shd w:val="clear" w:color="auto" w:fill="auto"/>
          </w:tcPr>
          <w:p w14:paraId="13926A89" w14:textId="45D20825" w:rsidR="00206998" w:rsidRPr="00014A52" w:rsidRDefault="00206998" w:rsidP="00864BDB">
            <w:pPr>
              <w:snapToGrid w:val="0"/>
              <w:spacing w:line="360" w:lineRule="auto"/>
              <w:jc w:val="both"/>
              <w:rPr>
                <w:rFonts w:ascii="Book Antiqua" w:eastAsia="Times New Roman" w:hAnsi="Book Antiqua" w:cs="Times New Roman"/>
                <w:lang w:val="en-US" w:eastAsia="fr-FR"/>
              </w:rPr>
            </w:pPr>
            <w:r w:rsidRPr="00014A52">
              <w:rPr>
                <w:rFonts w:ascii="Book Antiqua" w:eastAsia="Times New Roman" w:hAnsi="Book Antiqua" w:cs="Times New Roman"/>
                <w:color w:val="000000"/>
                <w:lang w:val="en-US" w:eastAsia="fr-FR"/>
              </w:rPr>
              <w:t>23.0 [21.2</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25.0]</w:t>
            </w:r>
          </w:p>
        </w:tc>
        <w:tc>
          <w:tcPr>
            <w:tcW w:w="851" w:type="dxa"/>
            <w:shd w:val="clear" w:color="auto" w:fill="auto"/>
            <w:noWrap/>
          </w:tcPr>
          <w:p w14:paraId="730DD418" w14:textId="77777777" w:rsidR="00206998" w:rsidRPr="00014A52" w:rsidRDefault="00206998" w:rsidP="00864BDB">
            <w:pPr>
              <w:snapToGrid w:val="0"/>
              <w:spacing w:line="360" w:lineRule="auto"/>
              <w:jc w:val="both"/>
              <w:rPr>
                <w:rFonts w:ascii="Book Antiqua" w:eastAsia="Times New Roman" w:hAnsi="Book Antiqua" w:cs="Times New Roman"/>
                <w:lang w:val="en-US" w:eastAsia="fr-FR"/>
              </w:rPr>
            </w:pPr>
            <w:r w:rsidRPr="00014A52">
              <w:rPr>
                <w:rFonts w:ascii="Book Antiqua" w:eastAsia="Times New Roman" w:hAnsi="Book Antiqua" w:cs="Times New Roman"/>
                <w:lang w:val="en-US" w:eastAsia="fr-FR"/>
              </w:rPr>
              <w:t>0.285</w:t>
            </w:r>
          </w:p>
        </w:tc>
      </w:tr>
      <w:tr w:rsidR="00014A52" w:rsidRPr="002575A7" w14:paraId="0FB0E278" w14:textId="77777777" w:rsidTr="00014A52">
        <w:trPr>
          <w:trHeight w:val="20"/>
          <w:jc w:val="center"/>
        </w:trPr>
        <w:tc>
          <w:tcPr>
            <w:tcW w:w="4820" w:type="dxa"/>
            <w:shd w:val="clear" w:color="auto" w:fill="auto"/>
            <w:noWrap/>
            <w:hideMark/>
          </w:tcPr>
          <w:p w14:paraId="222587A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14D19DA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w:t>
            </w:r>
          </w:p>
        </w:tc>
        <w:tc>
          <w:tcPr>
            <w:tcW w:w="2268" w:type="dxa"/>
            <w:shd w:val="clear" w:color="auto" w:fill="auto"/>
          </w:tcPr>
          <w:p w14:paraId="489A124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851" w:type="dxa"/>
            <w:shd w:val="clear" w:color="auto" w:fill="auto"/>
            <w:noWrap/>
          </w:tcPr>
          <w:p w14:paraId="59BBAB8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61EEE93D" w14:textId="77777777" w:rsidTr="00014A52">
        <w:trPr>
          <w:trHeight w:val="20"/>
          <w:jc w:val="center"/>
        </w:trPr>
        <w:tc>
          <w:tcPr>
            <w:tcW w:w="4820" w:type="dxa"/>
            <w:shd w:val="clear" w:color="auto" w:fill="auto"/>
            <w:noWrap/>
            <w:hideMark/>
          </w:tcPr>
          <w:p w14:paraId="0FECC973" w14:textId="35669745"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Pain</w:t>
            </w:r>
          </w:p>
        </w:tc>
        <w:tc>
          <w:tcPr>
            <w:tcW w:w="2126" w:type="dxa"/>
            <w:shd w:val="clear" w:color="auto" w:fill="auto"/>
            <w:noWrap/>
          </w:tcPr>
          <w:p w14:paraId="09F8E891"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2CFEC77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4536C9F7"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0.877</w:t>
            </w:r>
          </w:p>
        </w:tc>
      </w:tr>
      <w:tr w:rsidR="00014A52" w:rsidRPr="002575A7" w14:paraId="2C4E9640" w14:textId="77777777" w:rsidTr="00014A52">
        <w:trPr>
          <w:trHeight w:val="20"/>
          <w:jc w:val="center"/>
        </w:trPr>
        <w:tc>
          <w:tcPr>
            <w:tcW w:w="4820" w:type="dxa"/>
            <w:shd w:val="clear" w:color="auto" w:fill="auto"/>
            <w:noWrap/>
            <w:hideMark/>
          </w:tcPr>
          <w:p w14:paraId="53130BC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1CB79A8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65 (67.7)</w:t>
            </w:r>
          </w:p>
        </w:tc>
        <w:tc>
          <w:tcPr>
            <w:tcW w:w="2268" w:type="dxa"/>
            <w:shd w:val="clear" w:color="auto" w:fill="auto"/>
          </w:tcPr>
          <w:p w14:paraId="4AAEE5B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66 (68.8)</w:t>
            </w:r>
          </w:p>
        </w:tc>
        <w:tc>
          <w:tcPr>
            <w:tcW w:w="851" w:type="dxa"/>
            <w:shd w:val="clear" w:color="auto" w:fill="auto"/>
            <w:noWrap/>
          </w:tcPr>
          <w:p w14:paraId="32B030D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D0D0C7F" w14:textId="77777777" w:rsidTr="00014A52">
        <w:trPr>
          <w:trHeight w:val="20"/>
          <w:jc w:val="center"/>
        </w:trPr>
        <w:tc>
          <w:tcPr>
            <w:tcW w:w="4820" w:type="dxa"/>
            <w:shd w:val="clear" w:color="auto" w:fill="auto"/>
            <w:noWrap/>
            <w:hideMark/>
          </w:tcPr>
          <w:p w14:paraId="7F80563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7979BC4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31 (32.3)</w:t>
            </w:r>
          </w:p>
        </w:tc>
        <w:tc>
          <w:tcPr>
            <w:tcW w:w="2268" w:type="dxa"/>
            <w:shd w:val="clear" w:color="auto" w:fill="auto"/>
          </w:tcPr>
          <w:p w14:paraId="4E38C057"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30 (31.2)</w:t>
            </w:r>
          </w:p>
        </w:tc>
        <w:tc>
          <w:tcPr>
            <w:tcW w:w="851" w:type="dxa"/>
            <w:shd w:val="clear" w:color="auto" w:fill="auto"/>
            <w:noWrap/>
          </w:tcPr>
          <w:p w14:paraId="7237ADA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A906220" w14:textId="77777777" w:rsidTr="00014A52">
        <w:trPr>
          <w:trHeight w:val="20"/>
          <w:jc w:val="center"/>
        </w:trPr>
        <w:tc>
          <w:tcPr>
            <w:tcW w:w="4820" w:type="dxa"/>
            <w:shd w:val="clear" w:color="auto" w:fill="auto"/>
            <w:noWrap/>
            <w:hideMark/>
          </w:tcPr>
          <w:p w14:paraId="58A54CA9" w14:textId="3BC606F6"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Jaundice</w:t>
            </w:r>
          </w:p>
        </w:tc>
        <w:tc>
          <w:tcPr>
            <w:tcW w:w="2126" w:type="dxa"/>
            <w:shd w:val="clear" w:color="auto" w:fill="auto"/>
            <w:noWrap/>
          </w:tcPr>
          <w:p w14:paraId="587AD825" w14:textId="77777777" w:rsidR="00206998" w:rsidRPr="00014A52" w:rsidRDefault="00206998" w:rsidP="00864BDB">
            <w:pPr>
              <w:snapToGrid w:val="0"/>
              <w:spacing w:line="360" w:lineRule="auto"/>
              <w:jc w:val="both"/>
              <w:rPr>
                <w:rFonts w:ascii="Book Antiqua" w:eastAsia="Times New Roman" w:hAnsi="Book Antiqua" w:cs="Times New Roman"/>
                <w:lang w:val="en-US" w:eastAsia="fr-FR"/>
              </w:rPr>
            </w:pPr>
          </w:p>
        </w:tc>
        <w:tc>
          <w:tcPr>
            <w:tcW w:w="2268" w:type="dxa"/>
            <w:shd w:val="clear" w:color="auto" w:fill="auto"/>
          </w:tcPr>
          <w:p w14:paraId="7BC2DABB"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7D4E293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0.637</w:t>
            </w:r>
          </w:p>
        </w:tc>
      </w:tr>
      <w:tr w:rsidR="00014A52" w:rsidRPr="002575A7" w14:paraId="60646C7C" w14:textId="77777777" w:rsidTr="00014A52">
        <w:trPr>
          <w:trHeight w:val="20"/>
          <w:jc w:val="center"/>
        </w:trPr>
        <w:tc>
          <w:tcPr>
            <w:tcW w:w="4820" w:type="dxa"/>
            <w:shd w:val="clear" w:color="auto" w:fill="auto"/>
            <w:noWrap/>
            <w:hideMark/>
          </w:tcPr>
          <w:p w14:paraId="3D1933C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0AE537B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87 (91.6)</w:t>
            </w:r>
          </w:p>
        </w:tc>
        <w:tc>
          <w:tcPr>
            <w:tcW w:w="2268" w:type="dxa"/>
            <w:shd w:val="clear" w:color="auto" w:fill="auto"/>
          </w:tcPr>
          <w:p w14:paraId="1697EF3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86 (89.6)</w:t>
            </w:r>
          </w:p>
        </w:tc>
        <w:tc>
          <w:tcPr>
            <w:tcW w:w="851" w:type="dxa"/>
            <w:shd w:val="clear" w:color="auto" w:fill="auto"/>
            <w:noWrap/>
          </w:tcPr>
          <w:p w14:paraId="5DC16C4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480F3992" w14:textId="77777777" w:rsidTr="00014A52">
        <w:trPr>
          <w:trHeight w:val="20"/>
          <w:jc w:val="center"/>
        </w:trPr>
        <w:tc>
          <w:tcPr>
            <w:tcW w:w="4820" w:type="dxa"/>
            <w:shd w:val="clear" w:color="auto" w:fill="auto"/>
            <w:noWrap/>
            <w:hideMark/>
          </w:tcPr>
          <w:p w14:paraId="0899401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7A3C3FC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 (8.4)</w:t>
            </w:r>
          </w:p>
        </w:tc>
        <w:tc>
          <w:tcPr>
            <w:tcW w:w="2268" w:type="dxa"/>
            <w:shd w:val="clear" w:color="auto" w:fill="auto"/>
          </w:tcPr>
          <w:p w14:paraId="74672FB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10 (10.4)</w:t>
            </w:r>
          </w:p>
        </w:tc>
        <w:tc>
          <w:tcPr>
            <w:tcW w:w="851" w:type="dxa"/>
            <w:shd w:val="clear" w:color="auto" w:fill="auto"/>
            <w:noWrap/>
          </w:tcPr>
          <w:p w14:paraId="359FA1C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5003DE2C" w14:textId="77777777" w:rsidTr="00014A52">
        <w:trPr>
          <w:trHeight w:val="20"/>
          <w:jc w:val="center"/>
        </w:trPr>
        <w:tc>
          <w:tcPr>
            <w:tcW w:w="4820" w:type="dxa"/>
            <w:shd w:val="clear" w:color="auto" w:fill="auto"/>
            <w:noWrap/>
            <w:hideMark/>
          </w:tcPr>
          <w:p w14:paraId="77C6ED0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257FBA8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w:t>
            </w:r>
          </w:p>
        </w:tc>
        <w:tc>
          <w:tcPr>
            <w:tcW w:w="2268" w:type="dxa"/>
            <w:shd w:val="clear" w:color="auto" w:fill="auto"/>
          </w:tcPr>
          <w:p w14:paraId="30237B2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851" w:type="dxa"/>
            <w:shd w:val="clear" w:color="auto" w:fill="auto"/>
            <w:noWrap/>
          </w:tcPr>
          <w:p w14:paraId="5C37494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49A20DB" w14:textId="77777777" w:rsidTr="00014A52">
        <w:trPr>
          <w:trHeight w:val="20"/>
          <w:jc w:val="center"/>
        </w:trPr>
        <w:tc>
          <w:tcPr>
            <w:tcW w:w="4820" w:type="dxa"/>
            <w:shd w:val="clear" w:color="auto" w:fill="auto"/>
            <w:noWrap/>
            <w:hideMark/>
          </w:tcPr>
          <w:p w14:paraId="3F6F1799" w14:textId="3705DD7D"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Ascites</w:t>
            </w:r>
          </w:p>
        </w:tc>
        <w:tc>
          <w:tcPr>
            <w:tcW w:w="2126" w:type="dxa"/>
            <w:shd w:val="clear" w:color="auto" w:fill="auto"/>
            <w:noWrap/>
          </w:tcPr>
          <w:p w14:paraId="23E92BB7"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33ECADF"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5AF99A1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1.000</w:t>
            </w:r>
          </w:p>
        </w:tc>
      </w:tr>
      <w:tr w:rsidR="00014A52" w:rsidRPr="002575A7" w14:paraId="597F4E5C" w14:textId="77777777" w:rsidTr="00014A52">
        <w:trPr>
          <w:trHeight w:val="20"/>
          <w:jc w:val="center"/>
        </w:trPr>
        <w:tc>
          <w:tcPr>
            <w:tcW w:w="4820" w:type="dxa"/>
            <w:shd w:val="clear" w:color="auto" w:fill="auto"/>
            <w:noWrap/>
          </w:tcPr>
          <w:p w14:paraId="34688B6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lastRenderedPageBreak/>
              <w:t>No</w:t>
            </w:r>
          </w:p>
        </w:tc>
        <w:tc>
          <w:tcPr>
            <w:tcW w:w="2126" w:type="dxa"/>
            <w:shd w:val="clear" w:color="auto" w:fill="auto"/>
            <w:noWrap/>
          </w:tcPr>
          <w:p w14:paraId="29B837F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92 (96.8)</w:t>
            </w:r>
          </w:p>
        </w:tc>
        <w:tc>
          <w:tcPr>
            <w:tcW w:w="2268" w:type="dxa"/>
            <w:shd w:val="clear" w:color="auto" w:fill="auto"/>
          </w:tcPr>
          <w:p w14:paraId="1B4716B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92 (95.8)</w:t>
            </w:r>
          </w:p>
        </w:tc>
        <w:tc>
          <w:tcPr>
            <w:tcW w:w="851" w:type="dxa"/>
            <w:shd w:val="clear" w:color="auto" w:fill="auto"/>
            <w:noWrap/>
          </w:tcPr>
          <w:p w14:paraId="113FD94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7AF0F142" w14:textId="77777777" w:rsidTr="00014A52">
        <w:trPr>
          <w:trHeight w:val="20"/>
          <w:jc w:val="center"/>
        </w:trPr>
        <w:tc>
          <w:tcPr>
            <w:tcW w:w="4820" w:type="dxa"/>
            <w:shd w:val="clear" w:color="auto" w:fill="auto"/>
            <w:noWrap/>
          </w:tcPr>
          <w:p w14:paraId="5DFE744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05C08D3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 (3.2)</w:t>
            </w:r>
          </w:p>
        </w:tc>
        <w:tc>
          <w:tcPr>
            <w:tcW w:w="2268" w:type="dxa"/>
            <w:shd w:val="clear" w:color="auto" w:fill="auto"/>
          </w:tcPr>
          <w:p w14:paraId="46F5FEE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 (4.2)</w:t>
            </w:r>
          </w:p>
        </w:tc>
        <w:tc>
          <w:tcPr>
            <w:tcW w:w="851" w:type="dxa"/>
            <w:shd w:val="clear" w:color="auto" w:fill="auto"/>
            <w:noWrap/>
          </w:tcPr>
          <w:p w14:paraId="6641875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6C267ED6" w14:textId="77777777" w:rsidTr="00014A52">
        <w:trPr>
          <w:trHeight w:val="20"/>
          <w:jc w:val="center"/>
        </w:trPr>
        <w:tc>
          <w:tcPr>
            <w:tcW w:w="4820" w:type="dxa"/>
            <w:shd w:val="clear" w:color="auto" w:fill="auto"/>
            <w:noWrap/>
          </w:tcPr>
          <w:p w14:paraId="107941E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16E2368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w:t>
            </w:r>
          </w:p>
        </w:tc>
        <w:tc>
          <w:tcPr>
            <w:tcW w:w="2268" w:type="dxa"/>
            <w:shd w:val="clear" w:color="auto" w:fill="auto"/>
          </w:tcPr>
          <w:p w14:paraId="7F538DD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w:t>
            </w:r>
          </w:p>
        </w:tc>
        <w:tc>
          <w:tcPr>
            <w:tcW w:w="851" w:type="dxa"/>
            <w:shd w:val="clear" w:color="auto" w:fill="auto"/>
            <w:noWrap/>
          </w:tcPr>
          <w:p w14:paraId="43749FE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B76B966" w14:textId="77777777" w:rsidTr="00014A52">
        <w:trPr>
          <w:trHeight w:val="20"/>
          <w:jc w:val="center"/>
        </w:trPr>
        <w:tc>
          <w:tcPr>
            <w:tcW w:w="4820" w:type="dxa"/>
            <w:shd w:val="clear" w:color="auto" w:fill="auto"/>
            <w:noWrap/>
            <w:hideMark/>
          </w:tcPr>
          <w:p w14:paraId="1BDCBA80"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Biological parameters</w:t>
            </w:r>
          </w:p>
        </w:tc>
        <w:tc>
          <w:tcPr>
            <w:tcW w:w="2126" w:type="dxa"/>
            <w:shd w:val="clear" w:color="auto" w:fill="auto"/>
            <w:noWrap/>
          </w:tcPr>
          <w:p w14:paraId="7DEB838F"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4F22F497"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0B0E3793"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287E660" w14:textId="77777777" w:rsidTr="00014A52">
        <w:trPr>
          <w:trHeight w:val="20"/>
          <w:jc w:val="center"/>
        </w:trPr>
        <w:tc>
          <w:tcPr>
            <w:tcW w:w="4820" w:type="dxa"/>
            <w:shd w:val="clear" w:color="auto" w:fill="auto"/>
            <w:noWrap/>
            <w:hideMark/>
          </w:tcPr>
          <w:p w14:paraId="54B3645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Albumin, median [IQR], g/L</w:t>
            </w:r>
          </w:p>
        </w:tc>
        <w:tc>
          <w:tcPr>
            <w:tcW w:w="2126" w:type="dxa"/>
            <w:shd w:val="clear" w:color="auto" w:fill="auto"/>
            <w:noWrap/>
          </w:tcPr>
          <w:p w14:paraId="011CE866" w14:textId="044A03B4"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39.6 [37.0</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43.0]</w:t>
            </w:r>
          </w:p>
        </w:tc>
        <w:tc>
          <w:tcPr>
            <w:tcW w:w="2268" w:type="dxa"/>
            <w:shd w:val="clear" w:color="auto" w:fill="auto"/>
          </w:tcPr>
          <w:p w14:paraId="4D0C4A86" w14:textId="1D69F6B1" w:rsidR="00206998" w:rsidRPr="00014A52" w:rsidRDefault="00206998" w:rsidP="00864BDB">
            <w:pPr>
              <w:snapToGrid w:val="0"/>
              <w:spacing w:line="360" w:lineRule="auto"/>
              <w:jc w:val="both"/>
              <w:rPr>
                <w:rFonts w:ascii="Book Antiqua" w:eastAsia="Times New Roman" w:hAnsi="Book Antiqua" w:cs="Times New Roman"/>
                <w:color w:val="000000"/>
                <w:highlight w:val="cyan"/>
                <w:lang w:val="en-US" w:eastAsia="fr-FR"/>
              </w:rPr>
            </w:pPr>
            <w:r w:rsidRPr="00014A52">
              <w:rPr>
                <w:rFonts w:ascii="Book Antiqua" w:eastAsia="Times New Roman" w:hAnsi="Book Antiqua" w:cs="Times New Roman"/>
                <w:color w:val="000000"/>
                <w:lang w:val="en-US" w:eastAsia="fr-FR"/>
              </w:rPr>
              <w:t>34.6 [29.0</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40.0]</w:t>
            </w:r>
          </w:p>
        </w:tc>
        <w:tc>
          <w:tcPr>
            <w:tcW w:w="851" w:type="dxa"/>
            <w:shd w:val="clear" w:color="auto" w:fill="auto"/>
            <w:noWrap/>
          </w:tcPr>
          <w:p w14:paraId="6B93DCBB" w14:textId="77777777" w:rsidR="00206998" w:rsidRPr="00014A52" w:rsidRDefault="00206998" w:rsidP="00864BDB">
            <w:pPr>
              <w:snapToGrid w:val="0"/>
              <w:spacing w:line="360" w:lineRule="auto"/>
              <w:jc w:val="both"/>
              <w:rPr>
                <w:rFonts w:ascii="Book Antiqua" w:eastAsia="Times New Roman" w:hAnsi="Book Antiqua" w:cs="Times New Roman"/>
                <w:color w:val="000000"/>
                <w:highlight w:val="cyan"/>
                <w:lang w:val="en-US" w:eastAsia="fr-FR"/>
              </w:rPr>
            </w:pPr>
            <w:r w:rsidRPr="00014A52">
              <w:rPr>
                <w:rFonts w:ascii="Book Antiqua" w:eastAsia="Times New Roman" w:hAnsi="Book Antiqua" w:cs="Times New Roman"/>
                <w:color w:val="000000"/>
                <w:lang w:val="en-US" w:eastAsia="fr-FR"/>
              </w:rPr>
              <w:t>0.001</w:t>
            </w:r>
          </w:p>
        </w:tc>
      </w:tr>
      <w:tr w:rsidR="00014A52" w:rsidRPr="002575A7" w14:paraId="4517CB3A" w14:textId="77777777" w:rsidTr="00014A52">
        <w:trPr>
          <w:trHeight w:val="20"/>
          <w:jc w:val="center"/>
        </w:trPr>
        <w:tc>
          <w:tcPr>
            <w:tcW w:w="4820" w:type="dxa"/>
            <w:shd w:val="clear" w:color="auto" w:fill="auto"/>
            <w:noWrap/>
            <w:hideMark/>
          </w:tcPr>
          <w:p w14:paraId="0649504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4598F23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40</w:t>
            </w:r>
          </w:p>
        </w:tc>
        <w:tc>
          <w:tcPr>
            <w:tcW w:w="2268" w:type="dxa"/>
            <w:shd w:val="clear" w:color="auto" w:fill="auto"/>
          </w:tcPr>
          <w:p w14:paraId="17919DB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51</w:t>
            </w:r>
          </w:p>
        </w:tc>
        <w:tc>
          <w:tcPr>
            <w:tcW w:w="851" w:type="dxa"/>
            <w:shd w:val="clear" w:color="auto" w:fill="auto"/>
            <w:noWrap/>
          </w:tcPr>
          <w:p w14:paraId="485D79D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3DD1CE9C" w14:textId="77777777" w:rsidTr="00014A52">
        <w:trPr>
          <w:trHeight w:val="20"/>
          <w:jc w:val="center"/>
        </w:trPr>
        <w:tc>
          <w:tcPr>
            <w:tcW w:w="4820" w:type="dxa"/>
            <w:shd w:val="clear" w:color="auto" w:fill="auto"/>
            <w:noWrap/>
            <w:hideMark/>
          </w:tcPr>
          <w:p w14:paraId="3CDC4AA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Lymphocytes, median [IQR], mm</w:t>
            </w:r>
            <w:r w:rsidRPr="00014A52">
              <w:rPr>
                <w:rFonts w:ascii="Book Antiqua" w:eastAsia="Times New Roman" w:hAnsi="Book Antiqua" w:cs="Times New Roman"/>
                <w:color w:val="000000"/>
                <w:vertAlign w:val="superscript"/>
                <w:lang w:val="en-US" w:eastAsia="fr-FR"/>
              </w:rPr>
              <w:t>3</w:t>
            </w:r>
          </w:p>
        </w:tc>
        <w:tc>
          <w:tcPr>
            <w:tcW w:w="2126" w:type="dxa"/>
            <w:shd w:val="clear" w:color="auto" w:fill="auto"/>
            <w:noWrap/>
          </w:tcPr>
          <w:p w14:paraId="6A290005" w14:textId="77777777" w:rsidR="00206998" w:rsidRPr="00014A52" w:rsidRDefault="00206998" w:rsidP="00864BDB">
            <w:pPr>
              <w:snapToGrid w:val="0"/>
              <w:spacing w:line="360" w:lineRule="auto"/>
              <w:jc w:val="both"/>
              <w:rPr>
                <w:rFonts w:ascii="Book Antiqua" w:eastAsia="Times New Roman" w:hAnsi="Book Antiqua" w:cs="Times New Roman"/>
                <w:color w:val="000000"/>
                <w:highlight w:val="yellow"/>
                <w:lang w:val="en-US" w:eastAsia="fr-FR"/>
              </w:rPr>
            </w:pPr>
          </w:p>
        </w:tc>
        <w:tc>
          <w:tcPr>
            <w:tcW w:w="2268" w:type="dxa"/>
            <w:shd w:val="clear" w:color="auto" w:fill="auto"/>
          </w:tcPr>
          <w:p w14:paraId="41F2BCB9" w14:textId="77777777" w:rsidR="00206998" w:rsidRPr="00014A52" w:rsidRDefault="00206998" w:rsidP="00864BDB">
            <w:pPr>
              <w:snapToGrid w:val="0"/>
              <w:spacing w:line="360" w:lineRule="auto"/>
              <w:jc w:val="both"/>
              <w:rPr>
                <w:rFonts w:ascii="Book Antiqua" w:eastAsia="Times New Roman" w:hAnsi="Book Antiqua" w:cs="Times New Roman"/>
                <w:color w:val="000000"/>
                <w:highlight w:val="yellow"/>
                <w:lang w:val="en-US" w:eastAsia="fr-FR"/>
              </w:rPr>
            </w:pPr>
          </w:p>
        </w:tc>
        <w:tc>
          <w:tcPr>
            <w:tcW w:w="851" w:type="dxa"/>
            <w:shd w:val="clear" w:color="auto" w:fill="auto"/>
            <w:noWrap/>
          </w:tcPr>
          <w:p w14:paraId="183ED72E" w14:textId="0B296594" w:rsidR="00206998" w:rsidRPr="00014A52" w:rsidRDefault="005A0D50" w:rsidP="00864BDB">
            <w:pPr>
              <w:snapToGrid w:val="0"/>
              <w:spacing w:line="360" w:lineRule="auto"/>
              <w:jc w:val="both"/>
              <w:rPr>
                <w:rFonts w:ascii="Book Antiqua" w:eastAsia="Times New Roman" w:hAnsi="Book Antiqua" w:cs="Times New Roman"/>
                <w:color w:val="000000"/>
                <w:highlight w:val="yellow"/>
                <w:lang w:val="en-US" w:eastAsia="fr-FR"/>
              </w:rPr>
            </w:pPr>
            <w:r w:rsidRPr="00014A52">
              <w:rPr>
                <w:rFonts w:ascii="Book Antiqua" w:eastAsia="Times New Roman" w:hAnsi="Book Antiqua" w:cs="Times New Roman"/>
                <w:color w:val="000000"/>
                <w:lang w:val="en-US" w:eastAsia="fr-FR"/>
              </w:rPr>
              <w:t>0.157</w:t>
            </w:r>
          </w:p>
        </w:tc>
      </w:tr>
      <w:tr w:rsidR="00014A52" w:rsidRPr="002575A7" w14:paraId="430C1465" w14:textId="77777777" w:rsidTr="00014A52">
        <w:trPr>
          <w:trHeight w:val="20"/>
          <w:jc w:val="center"/>
        </w:trPr>
        <w:tc>
          <w:tcPr>
            <w:tcW w:w="4820" w:type="dxa"/>
            <w:shd w:val="clear" w:color="auto" w:fill="auto"/>
            <w:noWrap/>
          </w:tcPr>
          <w:p w14:paraId="7A40118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&lt; 1000</w:t>
            </w:r>
          </w:p>
        </w:tc>
        <w:tc>
          <w:tcPr>
            <w:tcW w:w="2126" w:type="dxa"/>
            <w:shd w:val="clear" w:color="auto" w:fill="auto"/>
            <w:noWrap/>
          </w:tcPr>
          <w:p w14:paraId="06EDE5C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9 (11.2)</w:t>
            </w:r>
          </w:p>
        </w:tc>
        <w:tc>
          <w:tcPr>
            <w:tcW w:w="2268" w:type="dxa"/>
            <w:shd w:val="clear" w:color="auto" w:fill="auto"/>
          </w:tcPr>
          <w:p w14:paraId="6F93D21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 (21.0)</w:t>
            </w:r>
          </w:p>
        </w:tc>
        <w:tc>
          <w:tcPr>
            <w:tcW w:w="851" w:type="dxa"/>
            <w:shd w:val="clear" w:color="auto" w:fill="auto"/>
            <w:noWrap/>
          </w:tcPr>
          <w:p w14:paraId="14EF7FF2" w14:textId="7BAF324B"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7CEAE6A5" w14:textId="77777777" w:rsidTr="00014A52">
        <w:trPr>
          <w:trHeight w:val="20"/>
          <w:jc w:val="center"/>
        </w:trPr>
        <w:tc>
          <w:tcPr>
            <w:tcW w:w="4820" w:type="dxa"/>
            <w:shd w:val="clear" w:color="auto" w:fill="auto"/>
            <w:noWrap/>
          </w:tcPr>
          <w:p w14:paraId="186C022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 1000</w:t>
            </w:r>
          </w:p>
        </w:tc>
        <w:tc>
          <w:tcPr>
            <w:tcW w:w="2126" w:type="dxa"/>
            <w:shd w:val="clear" w:color="auto" w:fill="auto"/>
            <w:noWrap/>
          </w:tcPr>
          <w:p w14:paraId="029ACF5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71 (88.8)</w:t>
            </w:r>
          </w:p>
        </w:tc>
        <w:tc>
          <w:tcPr>
            <w:tcW w:w="2268" w:type="dxa"/>
            <w:shd w:val="clear" w:color="auto" w:fill="auto"/>
          </w:tcPr>
          <w:p w14:paraId="0810C8D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30 (79.0)</w:t>
            </w:r>
          </w:p>
        </w:tc>
        <w:tc>
          <w:tcPr>
            <w:tcW w:w="851" w:type="dxa"/>
            <w:shd w:val="clear" w:color="auto" w:fill="auto"/>
            <w:noWrap/>
          </w:tcPr>
          <w:p w14:paraId="06F4EB13"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1ABE0DE4" w14:textId="77777777" w:rsidTr="00014A52">
        <w:trPr>
          <w:trHeight w:val="20"/>
          <w:jc w:val="center"/>
        </w:trPr>
        <w:tc>
          <w:tcPr>
            <w:tcW w:w="4820" w:type="dxa"/>
            <w:shd w:val="clear" w:color="auto" w:fill="auto"/>
            <w:noWrap/>
          </w:tcPr>
          <w:p w14:paraId="2B501CB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3B69B1A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16</w:t>
            </w:r>
          </w:p>
        </w:tc>
        <w:tc>
          <w:tcPr>
            <w:tcW w:w="2268" w:type="dxa"/>
            <w:shd w:val="clear" w:color="auto" w:fill="auto"/>
          </w:tcPr>
          <w:p w14:paraId="60D231F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58</w:t>
            </w:r>
          </w:p>
        </w:tc>
        <w:tc>
          <w:tcPr>
            <w:tcW w:w="851" w:type="dxa"/>
            <w:shd w:val="clear" w:color="auto" w:fill="auto"/>
            <w:noWrap/>
          </w:tcPr>
          <w:p w14:paraId="7AD3645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29FB705" w14:textId="77777777" w:rsidTr="00014A52">
        <w:trPr>
          <w:trHeight w:val="20"/>
          <w:jc w:val="center"/>
        </w:trPr>
        <w:tc>
          <w:tcPr>
            <w:tcW w:w="4820" w:type="dxa"/>
            <w:shd w:val="clear" w:color="auto" w:fill="auto"/>
            <w:noWrap/>
            <w:hideMark/>
          </w:tcPr>
          <w:p w14:paraId="0827B009"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Neutrophil-to-lymphocyte ratio, median [IQR]</w:t>
            </w:r>
          </w:p>
        </w:tc>
        <w:tc>
          <w:tcPr>
            <w:tcW w:w="2126" w:type="dxa"/>
            <w:shd w:val="clear" w:color="auto" w:fill="auto"/>
            <w:noWrap/>
          </w:tcPr>
          <w:p w14:paraId="7598F254" w14:textId="77777777" w:rsidR="00206998" w:rsidRPr="00014A52" w:rsidRDefault="00206998" w:rsidP="00864BDB">
            <w:pPr>
              <w:snapToGrid w:val="0"/>
              <w:spacing w:line="360" w:lineRule="auto"/>
              <w:jc w:val="both"/>
              <w:rPr>
                <w:rFonts w:ascii="Book Antiqua" w:eastAsia="Times New Roman" w:hAnsi="Book Antiqua" w:cs="Times New Roman"/>
                <w:color w:val="000000"/>
                <w:highlight w:val="yellow"/>
                <w:lang w:val="en-US" w:eastAsia="fr-FR"/>
              </w:rPr>
            </w:pPr>
          </w:p>
        </w:tc>
        <w:tc>
          <w:tcPr>
            <w:tcW w:w="2268" w:type="dxa"/>
            <w:shd w:val="clear" w:color="auto" w:fill="auto"/>
          </w:tcPr>
          <w:p w14:paraId="07956F0A" w14:textId="77777777" w:rsidR="00206998" w:rsidRPr="00014A52" w:rsidRDefault="00206998" w:rsidP="00864BDB">
            <w:pPr>
              <w:snapToGrid w:val="0"/>
              <w:spacing w:line="360" w:lineRule="auto"/>
              <w:jc w:val="both"/>
              <w:rPr>
                <w:rFonts w:ascii="Book Antiqua" w:eastAsia="Times New Roman" w:hAnsi="Book Antiqua" w:cs="Times New Roman"/>
                <w:color w:val="000000"/>
                <w:highlight w:val="yellow"/>
                <w:lang w:val="en-US" w:eastAsia="fr-FR"/>
              </w:rPr>
            </w:pPr>
          </w:p>
        </w:tc>
        <w:tc>
          <w:tcPr>
            <w:tcW w:w="851" w:type="dxa"/>
            <w:shd w:val="clear" w:color="auto" w:fill="auto"/>
            <w:noWrap/>
          </w:tcPr>
          <w:p w14:paraId="0AD1831D" w14:textId="3684A0C4" w:rsidR="00206998" w:rsidRPr="00014A52" w:rsidRDefault="005A0D50" w:rsidP="00864BDB">
            <w:pPr>
              <w:snapToGrid w:val="0"/>
              <w:spacing w:line="360" w:lineRule="auto"/>
              <w:jc w:val="both"/>
              <w:rPr>
                <w:rFonts w:ascii="Book Antiqua" w:eastAsia="Times New Roman" w:hAnsi="Book Antiqua" w:cs="Times New Roman"/>
                <w:color w:val="000000"/>
                <w:highlight w:val="yellow"/>
                <w:lang w:val="en-US" w:eastAsia="fr-FR"/>
              </w:rPr>
            </w:pPr>
            <w:r w:rsidRPr="00014A52">
              <w:rPr>
                <w:rFonts w:ascii="Book Antiqua" w:eastAsia="Times New Roman" w:hAnsi="Book Antiqua" w:cs="Times New Roman"/>
                <w:color w:val="000000"/>
                <w:lang w:val="en-US" w:eastAsia="fr-FR"/>
              </w:rPr>
              <w:t>0.072</w:t>
            </w:r>
          </w:p>
        </w:tc>
      </w:tr>
      <w:tr w:rsidR="00014A52" w:rsidRPr="002575A7" w14:paraId="350FCCC8" w14:textId="77777777" w:rsidTr="00014A52">
        <w:trPr>
          <w:trHeight w:val="20"/>
          <w:jc w:val="center"/>
        </w:trPr>
        <w:tc>
          <w:tcPr>
            <w:tcW w:w="4820" w:type="dxa"/>
            <w:shd w:val="clear" w:color="auto" w:fill="auto"/>
            <w:noWrap/>
          </w:tcPr>
          <w:p w14:paraId="1232320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&lt; 5</w:t>
            </w:r>
          </w:p>
        </w:tc>
        <w:tc>
          <w:tcPr>
            <w:tcW w:w="2126" w:type="dxa"/>
            <w:shd w:val="clear" w:color="auto" w:fill="auto"/>
            <w:noWrap/>
          </w:tcPr>
          <w:p w14:paraId="2AB668CD"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63 (78.8)</w:t>
            </w:r>
          </w:p>
        </w:tc>
        <w:tc>
          <w:tcPr>
            <w:tcW w:w="2268" w:type="dxa"/>
            <w:shd w:val="clear" w:color="auto" w:fill="auto"/>
          </w:tcPr>
          <w:p w14:paraId="32DF38A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24 (63.2)</w:t>
            </w:r>
          </w:p>
        </w:tc>
        <w:tc>
          <w:tcPr>
            <w:tcW w:w="851" w:type="dxa"/>
            <w:shd w:val="clear" w:color="auto" w:fill="auto"/>
            <w:noWrap/>
          </w:tcPr>
          <w:p w14:paraId="388DDACD" w14:textId="18B01790"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3B970583" w14:textId="77777777" w:rsidTr="00014A52">
        <w:trPr>
          <w:trHeight w:val="20"/>
          <w:jc w:val="center"/>
        </w:trPr>
        <w:tc>
          <w:tcPr>
            <w:tcW w:w="4820" w:type="dxa"/>
            <w:shd w:val="clear" w:color="auto" w:fill="auto"/>
            <w:noWrap/>
          </w:tcPr>
          <w:p w14:paraId="57E97D55"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 5</w:t>
            </w:r>
          </w:p>
        </w:tc>
        <w:tc>
          <w:tcPr>
            <w:tcW w:w="2126" w:type="dxa"/>
            <w:shd w:val="clear" w:color="auto" w:fill="auto"/>
            <w:noWrap/>
          </w:tcPr>
          <w:p w14:paraId="3379F81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17 (21.2)</w:t>
            </w:r>
          </w:p>
        </w:tc>
        <w:tc>
          <w:tcPr>
            <w:tcW w:w="2268" w:type="dxa"/>
            <w:shd w:val="clear" w:color="auto" w:fill="auto"/>
          </w:tcPr>
          <w:p w14:paraId="692ED4B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14 (36.8)</w:t>
            </w:r>
          </w:p>
        </w:tc>
        <w:tc>
          <w:tcPr>
            <w:tcW w:w="851" w:type="dxa"/>
            <w:shd w:val="clear" w:color="auto" w:fill="auto"/>
            <w:noWrap/>
          </w:tcPr>
          <w:p w14:paraId="44A2FB7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35D9F907" w14:textId="77777777" w:rsidTr="00014A52">
        <w:trPr>
          <w:trHeight w:val="20"/>
          <w:jc w:val="center"/>
        </w:trPr>
        <w:tc>
          <w:tcPr>
            <w:tcW w:w="4820" w:type="dxa"/>
            <w:shd w:val="clear" w:color="auto" w:fill="auto"/>
            <w:noWrap/>
          </w:tcPr>
          <w:p w14:paraId="4B6A29E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42D5F176"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16</w:t>
            </w:r>
          </w:p>
        </w:tc>
        <w:tc>
          <w:tcPr>
            <w:tcW w:w="2268" w:type="dxa"/>
            <w:shd w:val="clear" w:color="auto" w:fill="auto"/>
          </w:tcPr>
          <w:p w14:paraId="249D095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58</w:t>
            </w:r>
          </w:p>
        </w:tc>
        <w:tc>
          <w:tcPr>
            <w:tcW w:w="851" w:type="dxa"/>
            <w:shd w:val="clear" w:color="auto" w:fill="auto"/>
            <w:noWrap/>
          </w:tcPr>
          <w:p w14:paraId="377C47C4"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4AEE3BD0" w14:textId="77777777" w:rsidTr="00014A52">
        <w:trPr>
          <w:trHeight w:val="20"/>
          <w:jc w:val="center"/>
        </w:trPr>
        <w:tc>
          <w:tcPr>
            <w:tcW w:w="4820" w:type="dxa"/>
            <w:shd w:val="clear" w:color="auto" w:fill="auto"/>
            <w:noWrap/>
            <w:hideMark/>
          </w:tcPr>
          <w:p w14:paraId="06335EAF"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CA19-9, median [IQR], UI/mL</w:t>
            </w:r>
          </w:p>
        </w:tc>
        <w:tc>
          <w:tcPr>
            <w:tcW w:w="2126" w:type="dxa"/>
            <w:shd w:val="clear" w:color="auto" w:fill="auto"/>
            <w:noWrap/>
          </w:tcPr>
          <w:p w14:paraId="7BC40A94" w14:textId="28C7526C"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857.5 [69.0</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6210.0]</w:t>
            </w:r>
          </w:p>
        </w:tc>
        <w:tc>
          <w:tcPr>
            <w:tcW w:w="2268" w:type="dxa"/>
            <w:shd w:val="clear" w:color="auto" w:fill="auto"/>
          </w:tcPr>
          <w:p w14:paraId="2AD6DA03" w14:textId="1B800E28"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726.5 [152.0</w:t>
            </w:r>
            <w:r w:rsidR="00344D66" w:rsidRPr="00014A52">
              <w:rPr>
                <w:rFonts w:ascii="Book Antiqua" w:eastAsia="Times New Roman" w:hAnsi="Book Antiqua" w:cs="Times New Roman"/>
                <w:color w:val="000000"/>
                <w:lang w:val="en-US" w:eastAsia="fr-FR"/>
              </w:rPr>
              <w:t>-</w:t>
            </w:r>
            <w:r w:rsidRPr="00014A52">
              <w:rPr>
                <w:rFonts w:ascii="Book Antiqua" w:eastAsia="Times New Roman" w:hAnsi="Book Antiqua" w:cs="Times New Roman"/>
                <w:color w:val="000000"/>
                <w:lang w:val="en-US" w:eastAsia="fr-FR"/>
              </w:rPr>
              <w:t>5507.0]</w:t>
            </w:r>
          </w:p>
        </w:tc>
        <w:tc>
          <w:tcPr>
            <w:tcW w:w="851" w:type="dxa"/>
            <w:shd w:val="clear" w:color="auto" w:fill="auto"/>
            <w:noWrap/>
          </w:tcPr>
          <w:p w14:paraId="0F765D84"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0.500</w:t>
            </w:r>
          </w:p>
        </w:tc>
      </w:tr>
      <w:tr w:rsidR="00014A52" w:rsidRPr="002575A7" w14:paraId="7F84C539" w14:textId="77777777" w:rsidTr="00014A52">
        <w:trPr>
          <w:trHeight w:val="20"/>
          <w:jc w:val="center"/>
        </w:trPr>
        <w:tc>
          <w:tcPr>
            <w:tcW w:w="4820" w:type="dxa"/>
            <w:shd w:val="clear" w:color="auto" w:fill="auto"/>
            <w:noWrap/>
            <w:hideMark/>
          </w:tcPr>
          <w:p w14:paraId="3DDDEBD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Missing</w:t>
            </w:r>
          </w:p>
        </w:tc>
        <w:tc>
          <w:tcPr>
            <w:tcW w:w="2126" w:type="dxa"/>
            <w:shd w:val="clear" w:color="auto" w:fill="auto"/>
            <w:noWrap/>
          </w:tcPr>
          <w:p w14:paraId="05AC7A6F"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w:t>
            </w:r>
          </w:p>
        </w:tc>
        <w:tc>
          <w:tcPr>
            <w:tcW w:w="2268" w:type="dxa"/>
            <w:shd w:val="clear" w:color="auto" w:fill="auto"/>
          </w:tcPr>
          <w:p w14:paraId="44E1AF1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20</w:t>
            </w:r>
          </w:p>
        </w:tc>
        <w:tc>
          <w:tcPr>
            <w:tcW w:w="851" w:type="dxa"/>
            <w:shd w:val="clear" w:color="auto" w:fill="auto"/>
            <w:noWrap/>
          </w:tcPr>
          <w:p w14:paraId="2106089A"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52F809F7" w14:textId="77777777" w:rsidTr="00014A52">
        <w:trPr>
          <w:trHeight w:val="20"/>
          <w:jc w:val="center"/>
        </w:trPr>
        <w:tc>
          <w:tcPr>
            <w:tcW w:w="4820" w:type="dxa"/>
            <w:shd w:val="clear" w:color="auto" w:fill="auto"/>
            <w:noWrap/>
            <w:hideMark/>
          </w:tcPr>
          <w:p w14:paraId="238F0E4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Previous treatment</w:t>
            </w:r>
          </w:p>
        </w:tc>
        <w:tc>
          <w:tcPr>
            <w:tcW w:w="2126" w:type="dxa"/>
            <w:shd w:val="clear" w:color="auto" w:fill="auto"/>
            <w:noWrap/>
          </w:tcPr>
          <w:p w14:paraId="422362EE"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62971395"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58D73423"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206DD4B9" w14:textId="77777777" w:rsidTr="00014A52">
        <w:trPr>
          <w:trHeight w:val="20"/>
          <w:jc w:val="center"/>
        </w:trPr>
        <w:tc>
          <w:tcPr>
            <w:tcW w:w="4820" w:type="dxa"/>
            <w:shd w:val="clear" w:color="auto" w:fill="auto"/>
            <w:noWrap/>
            <w:hideMark/>
          </w:tcPr>
          <w:p w14:paraId="10A32E1D" w14:textId="770EE13E"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Primary tumor resection</w:t>
            </w:r>
          </w:p>
        </w:tc>
        <w:tc>
          <w:tcPr>
            <w:tcW w:w="2126" w:type="dxa"/>
            <w:shd w:val="clear" w:color="auto" w:fill="auto"/>
            <w:noWrap/>
          </w:tcPr>
          <w:p w14:paraId="5F2CB8CB"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1BA2EAB"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6E9D37AD"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0.284</w:t>
            </w:r>
          </w:p>
        </w:tc>
      </w:tr>
      <w:tr w:rsidR="00014A52" w:rsidRPr="002575A7" w14:paraId="4B56DC92" w14:textId="77777777" w:rsidTr="00014A52">
        <w:trPr>
          <w:trHeight w:val="20"/>
          <w:jc w:val="center"/>
        </w:trPr>
        <w:tc>
          <w:tcPr>
            <w:tcW w:w="4820" w:type="dxa"/>
            <w:shd w:val="clear" w:color="auto" w:fill="auto"/>
            <w:noWrap/>
          </w:tcPr>
          <w:p w14:paraId="30308029"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4FB1816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10 (10.4)</w:t>
            </w:r>
          </w:p>
        </w:tc>
        <w:tc>
          <w:tcPr>
            <w:tcW w:w="2268" w:type="dxa"/>
            <w:shd w:val="clear" w:color="auto" w:fill="auto"/>
          </w:tcPr>
          <w:p w14:paraId="67BF3F5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15 (15.6)</w:t>
            </w:r>
          </w:p>
        </w:tc>
        <w:tc>
          <w:tcPr>
            <w:tcW w:w="851" w:type="dxa"/>
            <w:shd w:val="clear" w:color="auto" w:fill="auto"/>
            <w:noWrap/>
          </w:tcPr>
          <w:p w14:paraId="2EECBE8C"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61059796" w14:textId="77777777" w:rsidTr="00014A52">
        <w:trPr>
          <w:trHeight w:val="20"/>
          <w:jc w:val="center"/>
        </w:trPr>
        <w:tc>
          <w:tcPr>
            <w:tcW w:w="4820" w:type="dxa"/>
            <w:shd w:val="clear" w:color="auto" w:fill="auto"/>
            <w:noWrap/>
          </w:tcPr>
          <w:p w14:paraId="0BE9C1B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No</w:t>
            </w:r>
          </w:p>
        </w:tc>
        <w:tc>
          <w:tcPr>
            <w:tcW w:w="2126" w:type="dxa"/>
            <w:shd w:val="clear" w:color="auto" w:fill="auto"/>
            <w:noWrap/>
          </w:tcPr>
          <w:p w14:paraId="21B82E2B"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86 (89.6)</w:t>
            </w:r>
          </w:p>
        </w:tc>
        <w:tc>
          <w:tcPr>
            <w:tcW w:w="2268" w:type="dxa"/>
            <w:shd w:val="clear" w:color="auto" w:fill="auto"/>
          </w:tcPr>
          <w:p w14:paraId="31CFE81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81 (84.4)</w:t>
            </w:r>
          </w:p>
        </w:tc>
        <w:tc>
          <w:tcPr>
            <w:tcW w:w="851" w:type="dxa"/>
            <w:shd w:val="clear" w:color="auto" w:fill="auto"/>
            <w:noWrap/>
          </w:tcPr>
          <w:p w14:paraId="10066962"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206998" w:rsidRPr="002575A7" w14:paraId="5BB1B927" w14:textId="77777777" w:rsidTr="00014A52">
        <w:trPr>
          <w:trHeight w:val="20"/>
          <w:jc w:val="center"/>
        </w:trPr>
        <w:tc>
          <w:tcPr>
            <w:tcW w:w="4820" w:type="dxa"/>
            <w:shd w:val="clear" w:color="auto" w:fill="auto"/>
            <w:noWrap/>
            <w:hideMark/>
          </w:tcPr>
          <w:p w14:paraId="2E953E2B" w14:textId="10E409C1"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Adjuvant chemotherapy</w:t>
            </w:r>
          </w:p>
        </w:tc>
        <w:tc>
          <w:tcPr>
            <w:tcW w:w="2126" w:type="dxa"/>
            <w:shd w:val="clear" w:color="auto" w:fill="auto"/>
            <w:noWrap/>
          </w:tcPr>
          <w:p w14:paraId="2E7EC7F2"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2268" w:type="dxa"/>
            <w:shd w:val="clear" w:color="auto" w:fill="auto"/>
          </w:tcPr>
          <w:p w14:paraId="50C95DF6"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p>
        </w:tc>
        <w:tc>
          <w:tcPr>
            <w:tcW w:w="851" w:type="dxa"/>
            <w:shd w:val="clear" w:color="auto" w:fill="auto"/>
            <w:noWrap/>
          </w:tcPr>
          <w:p w14:paraId="58269868" w14:textId="77777777" w:rsidR="00206998" w:rsidRPr="00014A52" w:rsidRDefault="00206998"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0.091</w:t>
            </w:r>
          </w:p>
        </w:tc>
      </w:tr>
      <w:tr w:rsidR="00014A52" w:rsidRPr="002575A7" w14:paraId="1F7D0EB3" w14:textId="77777777" w:rsidTr="00014A52">
        <w:trPr>
          <w:trHeight w:val="20"/>
          <w:jc w:val="center"/>
        </w:trPr>
        <w:tc>
          <w:tcPr>
            <w:tcW w:w="4820" w:type="dxa"/>
            <w:shd w:val="clear" w:color="auto" w:fill="auto"/>
            <w:noWrap/>
          </w:tcPr>
          <w:p w14:paraId="740F5620"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Yes</w:t>
            </w:r>
          </w:p>
        </w:tc>
        <w:tc>
          <w:tcPr>
            <w:tcW w:w="2126" w:type="dxa"/>
            <w:shd w:val="clear" w:color="auto" w:fill="auto"/>
            <w:noWrap/>
          </w:tcPr>
          <w:p w14:paraId="0B680928"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6 (6.2)</w:t>
            </w:r>
          </w:p>
        </w:tc>
        <w:tc>
          <w:tcPr>
            <w:tcW w:w="2268" w:type="dxa"/>
            <w:shd w:val="clear" w:color="auto" w:fill="auto"/>
          </w:tcPr>
          <w:p w14:paraId="3133FD01"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r w:rsidRPr="00014A52">
              <w:rPr>
                <w:rFonts w:ascii="Book Antiqua" w:eastAsia="Times New Roman" w:hAnsi="Book Antiqua" w:cs="Times New Roman"/>
                <w:color w:val="000000"/>
                <w:lang w:val="en-US" w:eastAsia="fr-FR"/>
              </w:rPr>
              <w:t>13 (13.5)</w:t>
            </w:r>
          </w:p>
        </w:tc>
        <w:tc>
          <w:tcPr>
            <w:tcW w:w="851" w:type="dxa"/>
            <w:shd w:val="clear" w:color="auto" w:fill="auto"/>
            <w:noWrap/>
          </w:tcPr>
          <w:p w14:paraId="327DCF0E" w14:textId="77777777" w:rsidR="00014A52" w:rsidRPr="00014A52" w:rsidRDefault="00014A52" w:rsidP="00864BDB">
            <w:pPr>
              <w:snapToGrid w:val="0"/>
              <w:spacing w:line="360" w:lineRule="auto"/>
              <w:jc w:val="both"/>
              <w:rPr>
                <w:rFonts w:ascii="Book Antiqua" w:eastAsia="Times New Roman" w:hAnsi="Book Antiqua" w:cs="Times New Roman"/>
                <w:color w:val="000000"/>
                <w:lang w:val="en-US" w:eastAsia="fr-FR"/>
              </w:rPr>
            </w:pPr>
          </w:p>
        </w:tc>
      </w:tr>
      <w:tr w:rsidR="00014A52" w:rsidRPr="002575A7" w14:paraId="72DC9C81" w14:textId="77777777" w:rsidTr="00014A52">
        <w:trPr>
          <w:trHeight w:val="20"/>
          <w:jc w:val="center"/>
        </w:trPr>
        <w:tc>
          <w:tcPr>
            <w:tcW w:w="4820" w:type="dxa"/>
            <w:tcBorders>
              <w:bottom w:val="single" w:sz="4" w:space="0" w:color="auto"/>
            </w:tcBorders>
            <w:shd w:val="clear" w:color="auto" w:fill="auto"/>
            <w:noWrap/>
          </w:tcPr>
          <w:p w14:paraId="57A612D9" w14:textId="77777777" w:rsidR="00014A52" w:rsidRPr="002575A7" w:rsidRDefault="00014A52"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No</w:t>
            </w:r>
          </w:p>
        </w:tc>
        <w:tc>
          <w:tcPr>
            <w:tcW w:w="2126" w:type="dxa"/>
            <w:tcBorders>
              <w:bottom w:val="single" w:sz="4" w:space="0" w:color="auto"/>
            </w:tcBorders>
            <w:shd w:val="clear" w:color="auto" w:fill="auto"/>
            <w:noWrap/>
          </w:tcPr>
          <w:p w14:paraId="192E0260" w14:textId="77777777" w:rsidR="00014A52" w:rsidRPr="002575A7" w:rsidRDefault="00014A52"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90 (93.8)</w:t>
            </w:r>
          </w:p>
        </w:tc>
        <w:tc>
          <w:tcPr>
            <w:tcW w:w="2268" w:type="dxa"/>
            <w:tcBorders>
              <w:bottom w:val="single" w:sz="4" w:space="0" w:color="auto"/>
            </w:tcBorders>
            <w:shd w:val="clear" w:color="auto" w:fill="auto"/>
          </w:tcPr>
          <w:p w14:paraId="151DD3CD" w14:textId="77777777" w:rsidR="00014A52" w:rsidRPr="002575A7" w:rsidRDefault="00014A52" w:rsidP="00864BDB">
            <w:pPr>
              <w:snapToGrid w:val="0"/>
              <w:spacing w:line="360" w:lineRule="auto"/>
              <w:jc w:val="both"/>
              <w:rPr>
                <w:rFonts w:ascii="Book Antiqua" w:eastAsia="Times New Roman" w:hAnsi="Book Antiqua" w:cs="Times New Roman"/>
                <w:color w:val="000000"/>
                <w:lang w:val="en-US" w:eastAsia="fr-FR"/>
              </w:rPr>
            </w:pPr>
            <w:r w:rsidRPr="002575A7">
              <w:rPr>
                <w:rFonts w:ascii="Book Antiqua" w:eastAsia="Times New Roman" w:hAnsi="Book Antiqua" w:cs="Times New Roman"/>
                <w:color w:val="000000"/>
                <w:lang w:val="en-US" w:eastAsia="fr-FR"/>
              </w:rPr>
              <w:t>83 (86.5)</w:t>
            </w:r>
          </w:p>
        </w:tc>
        <w:tc>
          <w:tcPr>
            <w:tcW w:w="851" w:type="dxa"/>
            <w:tcBorders>
              <w:bottom w:val="single" w:sz="4" w:space="0" w:color="auto"/>
            </w:tcBorders>
            <w:shd w:val="clear" w:color="auto" w:fill="auto"/>
            <w:noWrap/>
          </w:tcPr>
          <w:p w14:paraId="3453186B" w14:textId="77777777" w:rsidR="00014A52" w:rsidRPr="002575A7" w:rsidRDefault="00014A52" w:rsidP="00864BDB">
            <w:pPr>
              <w:snapToGrid w:val="0"/>
              <w:spacing w:line="360" w:lineRule="auto"/>
              <w:jc w:val="both"/>
              <w:rPr>
                <w:rFonts w:ascii="Book Antiqua" w:eastAsia="Times New Roman" w:hAnsi="Book Antiqua" w:cs="Times New Roman"/>
                <w:color w:val="000000"/>
                <w:lang w:val="en-US" w:eastAsia="fr-FR"/>
              </w:rPr>
            </w:pPr>
          </w:p>
        </w:tc>
      </w:tr>
    </w:tbl>
    <w:p w14:paraId="1449265E" w14:textId="004FF0A3" w:rsidR="000D20A2" w:rsidRPr="002575A7" w:rsidRDefault="00206998" w:rsidP="00864BDB">
      <w:pPr>
        <w:snapToGrid w:val="0"/>
        <w:spacing w:after="0" w:line="360" w:lineRule="auto"/>
        <w:jc w:val="both"/>
        <w:rPr>
          <w:rFonts w:ascii="Book Antiqua" w:eastAsia="Times New Roman" w:hAnsi="Book Antiqua" w:cs="Times New Roman"/>
          <w:color w:val="000000"/>
          <w:sz w:val="24"/>
          <w:szCs w:val="24"/>
          <w:lang w:val="en-US" w:eastAsia="fr-FR"/>
        </w:rPr>
      </w:pPr>
      <w:r w:rsidRPr="00014A52">
        <w:rPr>
          <w:rFonts w:ascii="Book Antiqua" w:eastAsia="Times New Roman" w:hAnsi="Book Antiqua" w:cs="Times New Roman"/>
          <w:i/>
          <w:iCs/>
          <w:color w:val="000000"/>
          <w:sz w:val="24"/>
          <w:szCs w:val="24"/>
          <w:lang w:val="en-US" w:eastAsia="fr-FR"/>
        </w:rPr>
        <w:t>χ</w:t>
      </w:r>
      <w:r w:rsidRPr="002575A7">
        <w:rPr>
          <w:rFonts w:ascii="Book Antiqua" w:eastAsia="Times New Roman" w:hAnsi="Book Antiqua" w:cs="Times New Roman"/>
          <w:color w:val="000000"/>
          <w:sz w:val="24"/>
          <w:szCs w:val="24"/>
          <w:vertAlign w:val="superscript"/>
          <w:lang w:val="en-US" w:eastAsia="fr-FR"/>
        </w:rPr>
        <w:t>2</w:t>
      </w:r>
      <w:r w:rsidRPr="002575A7">
        <w:rPr>
          <w:rFonts w:ascii="Book Antiqua" w:eastAsia="Times New Roman" w:hAnsi="Book Antiqua" w:cs="Times New Roman"/>
          <w:color w:val="000000"/>
          <w:sz w:val="24"/>
          <w:szCs w:val="24"/>
          <w:lang w:val="en-US" w:eastAsia="fr-FR"/>
        </w:rPr>
        <w:t xml:space="preserve"> tests or Fisher’s exact tests </w:t>
      </w:r>
      <w:r w:rsidR="00CF2435">
        <w:rPr>
          <w:rFonts w:ascii="Book Antiqua" w:eastAsia="Times New Roman" w:hAnsi="Book Antiqua" w:cs="Times New Roman"/>
          <w:color w:val="000000"/>
          <w:sz w:val="24"/>
          <w:szCs w:val="24"/>
          <w:lang w:val="en-US" w:eastAsia="fr-FR"/>
        </w:rPr>
        <w:t xml:space="preserve">were </w:t>
      </w:r>
      <w:r w:rsidRPr="002575A7">
        <w:rPr>
          <w:rFonts w:ascii="Book Antiqua" w:eastAsia="Times New Roman" w:hAnsi="Book Antiqua" w:cs="Times New Roman"/>
          <w:color w:val="000000"/>
          <w:sz w:val="24"/>
          <w:szCs w:val="24"/>
          <w:lang w:val="en-US" w:eastAsia="fr-FR"/>
        </w:rPr>
        <w:t xml:space="preserve">used to compare proportions, and Wilcoxon tests </w:t>
      </w:r>
      <w:r w:rsidR="00CF2435">
        <w:rPr>
          <w:rFonts w:ascii="Book Antiqua" w:eastAsia="Times New Roman" w:hAnsi="Book Antiqua" w:cs="Times New Roman"/>
          <w:color w:val="000000"/>
          <w:sz w:val="24"/>
          <w:szCs w:val="24"/>
          <w:lang w:val="en-US" w:eastAsia="fr-FR"/>
        </w:rPr>
        <w:t xml:space="preserve">were </w:t>
      </w:r>
      <w:r w:rsidRPr="002575A7">
        <w:rPr>
          <w:rFonts w:ascii="Book Antiqua" w:eastAsia="Times New Roman" w:hAnsi="Book Antiqua" w:cs="Times New Roman"/>
          <w:color w:val="000000"/>
          <w:sz w:val="24"/>
          <w:szCs w:val="24"/>
          <w:lang w:val="en-US" w:eastAsia="fr-FR"/>
        </w:rPr>
        <w:t xml:space="preserve">used to compare continuous variables between </w:t>
      </w:r>
      <w:r w:rsidR="00CF2435">
        <w:rPr>
          <w:rFonts w:ascii="Book Antiqua" w:eastAsia="Times New Roman" w:hAnsi="Book Antiqua" w:cs="Times New Roman"/>
          <w:color w:val="000000"/>
          <w:sz w:val="24"/>
          <w:szCs w:val="24"/>
          <w:lang w:val="en-US" w:eastAsia="fr-FR"/>
        </w:rPr>
        <w:t xml:space="preserve">the </w:t>
      </w:r>
      <w:r w:rsidRPr="002575A7">
        <w:rPr>
          <w:rFonts w:ascii="Book Antiqua" w:eastAsia="Times New Roman" w:hAnsi="Book Antiqua" w:cs="Times New Roman"/>
          <w:color w:val="000000"/>
          <w:sz w:val="24"/>
          <w:szCs w:val="24"/>
          <w:lang w:val="en-US" w:eastAsia="fr-FR"/>
        </w:rPr>
        <w:t xml:space="preserve">FOLFIRINOX and FOLFOXIRI groups. All statistical tests were two-sided. </w:t>
      </w:r>
      <w:r w:rsidR="00014A52" w:rsidRPr="002575A7">
        <w:rPr>
          <w:rFonts w:ascii="Book Antiqua" w:eastAsia="Times New Roman" w:hAnsi="Book Antiqua" w:cs="Times New Roman"/>
          <w:color w:val="000000"/>
          <w:sz w:val="24"/>
          <w:szCs w:val="24"/>
          <w:lang w:val="en-US" w:eastAsia="fr-FR"/>
        </w:rPr>
        <w:t>CA19-9</w:t>
      </w:r>
      <w:r w:rsidR="00014A52">
        <w:rPr>
          <w:rFonts w:ascii="Book Antiqua" w:eastAsia="Times New Roman" w:hAnsi="Book Antiqua" w:cs="Times New Roman"/>
          <w:color w:val="000000"/>
          <w:sz w:val="24"/>
          <w:szCs w:val="24"/>
          <w:lang w:val="en-US" w:eastAsia="fr-FR"/>
        </w:rPr>
        <w:t xml:space="preserve">: </w:t>
      </w:r>
      <w:r w:rsidR="00014A52" w:rsidRPr="002575A7">
        <w:rPr>
          <w:rFonts w:ascii="Book Antiqua" w:eastAsia="Times New Roman" w:hAnsi="Book Antiqua" w:cs="Times New Roman"/>
          <w:color w:val="000000"/>
          <w:sz w:val="24"/>
          <w:szCs w:val="24"/>
          <w:lang w:val="en-US" w:eastAsia="fr-FR"/>
        </w:rPr>
        <w:t>Carbohydrate Antigen 19-9</w:t>
      </w:r>
      <w:r w:rsidR="00014A52">
        <w:rPr>
          <w:rFonts w:ascii="Book Antiqua" w:eastAsia="Times New Roman" w:hAnsi="Book Antiqua" w:cs="Times New Roman"/>
          <w:color w:val="000000"/>
          <w:sz w:val="24"/>
          <w:szCs w:val="24"/>
          <w:lang w:val="en-US" w:eastAsia="fr-FR"/>
        </w:rPr>
        <w:t xml:space="preserve">; </w:t>
      </w:r>
      <w:r w:rsidR="00014A52" w:rsidRPr="002575A7">
        <w:rPr>
          <w:rFonts w:ascii="Book Antiqua" w:eastAsia="Times New Roman" w:hAnsi="Book Antiqua" w:cs="Times New Roman"/>
          <w:color w:val="000000"/>
          <w:sz w:val="24"/>
          <w:szCs w:val="24"/>
          <w:lang w:val="en-US" w:eastAsia="fr-FR"/>
        </w:rPr>
        <w:t>IQR</w:t>
      </w:r>
      <w:r w:rsidR="00014A52">
        <w:rPr>
          <w:rFonts w:ascii="Book Antiqua" w:eastAsia="Times New Roman" w:hAnsi="Book Antiqua" w:cs="Times New Roman"/>
          <w:color w:val="000000"/>
          <w:sz w:val="24"/>
          <w:szCs w:val="24"/>
          <w:lang w:val="en-US" w:eastAsia="fr-FR"/>
        </w:rPr>
        <w:t>:</w:t>
      </w:r>
      <w:r w:rsidR="00014A52" w:rsidRPr="002575A7">
        <w:rPr>
          <w:rFonts w:ascii="Book Antiqua" w:eastAsia="Times New Roman" w:hAnsi="Book Antiqua" w:cs="Times New Roman"/>
          <w:color w:val="000000"/>
          <w:sz w:val="24"/>
          <w:szCs w:val="24"/>
          <w:lang w:val="en-US" w:eastAsia="fr-FR"/>
        </w:rPr>
        <w:t xml:space="preserve"> Interquartile range</w:t>
      </w:r>
      <w:r w:rsidR="00014A52">
        <w:rPr>
          <w:rFonts w:ascii="Book Antiqua" w:eastAsia="Times New Roman" w:hAnsi="Book Antiqua" w:cs="Times New Roman"/>
          <w:color w:val="000000"/>
          <w:sz w:val="24"/>
          <w:szCs w:val="24"/>
          <w:lang w:val="en-US" w:eastAsia="fr-FR"/>
        </w:rPr>
        <w:t>;</w:t>
      </w:r>
      <w:r w:rsidR="00014A52" w:rsidRPr="002575A7">
        <w:rPr>
          <w:rFonts w:ascii="Book Antiqua" w:eastAsia="Times New Roman" w:hAnsi="Book Antiqua" w:cs="Times New Roman"/>
          <w:color w:val="000000"/>
          <w:sz w:val="24"/>
          <w:szCs w:val="24"/>
          <w:lang w:val="en-US" w:eastAsia="fr-FR"/>
        </w:rPr>
        <w:t xml:space="preserve"> WHO</w:t>
      </w:r>
      <w:r w:rsidR="00014A52">
        <w:rPr>
          <w:rFonts w:ascii="Book Antiqua" w:eastAsia="Times New Roman" w:hAnsi="Book Antiqua" w:cs="Times New Roman"/>
          <w:color w:val="000000"/>
          <w:sz w:val="24"/>
          <w:szCs w:val="24"/>
          <w:lang w:val="en-US" w:eastAsia="fr-FR"/>
        </w:rPr>
        <w:t>:</w:t>
      </w:r>
      <w:r w:rsidR="00014A52" w:rsidRPr="002575A7">
        <w:rPr>
          <w:rFonts w:ascii="Book Antiqua" w:eastAsia="Times New Roman" w:hAnsi="Book Antiqua" w:cs="Times New Roman"/>
          <w:color w:val="000000"/>
          <w:sz w:val="24"/>
          <w:szCs w:val="24"/>
          <w:lang w:val="en-US" w:eastAsia="fr-FR"/>
        </w:rPr>
        <w:t xml:space="preserve"> World Health Organization.</w:t>
      </w:r>
    </w:p>
    <w:sectPr w:rsidR="000D20A2" w:rsidRPr="002575A7" w:rsidSect="00DA25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3AAD" w14:textId="77777777" w:rsidR="00253065" w:rsidRDefault="00253065" w:rsidP="002F6B8D">
      <w:pPr>
        <w:spacing w:after="0" w:line="240" w:lineRule="auto"/>
      </w:pPr>
      <w:r>
        <w:separator/>
      </w:r>
    </w:p>
  </w:endnote>
  <w:endnote w:type="continuationSeparator" w:id="0">
    <w:p w14:paraId="6C52F954" w14:textId="77777777" w:rsidR="00253065" w:rsidRDefault="00253065" w:rsidP="002F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MS ??">
    <w:altName w:val="Times New Roman Uni"/>
    <w:panose1 w:val="020B0604020202020204"/>
    <w:charset w:val="80"/>
    <w:family w:val="auto"/>
    <w:notTrueType/>
    <w:pitch w:val="variable"/>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1239325"/>
      <w:docPartObj>
        <w:docPartGallery w:val="Page Numbers (Bottom of Page)"/>
        <w:docPartUnique/>
      </w:docPartObj>
    </w:sdtPr>
    <w:sdtEndPr>
      <w:rPr>
        <w:rFonts w:ascii="Book Antiqua" w:hAnsi="Book Antiqua"/>
      </w:rPr>
    </w:sdtEndPr>
    <w:sdtContent>
      <w:p w14:paraId="7DA0C4D4" w14:textId="77777777" w:rsidR="003E3E10" w:rsidRPr="008F5F75" w:rsidRDefault="003E3E10">
        <w:pPr>
          <w:pStyle w:val="a6"/>
          <w:jc w:val="center"/>
          <w:rPr>
            <w:rFonts w:ascii="Book Antiqua" w:hAnsi="Book Antiqua" w:cs="Times New Roman"/>
          </w:rPr>
        </w:pPr>
        <w:r w:rsidRPr="008F5F75">
          <w:rPr>
            <w:rFonts w:ascii="Book Antiqua" w:hAnsi="Book Antiqua" w:cs="Times New Roman"/>
          </w:rPr>
          <w:fldChar w:fldCharType="begin"/>
        </w:r>
        <w:r w:rsidRPr="008F5F75">
          <w:rPr>
            <w:rFonts w:ascii="Book Antiqua" w:hAnsi="Book Antiqua" w:cs="Times New Roman"/>
          </w:rPr>
          <w:instrText>PAGE   \* MERGEFORMAT</w:instrText>
        </w:r>
        <w:r w:rsidRPr="008F5F75">
          <w:rPr>
            <w:rFonts w:ascii="Book Antiqua" w:hAnsi="Book Antiqua" w:cs="Times New Roman"/>
          </w:rPr>
          <w:fldChar w:fldCharType="separate"/>
        </w:r>
        <w:r w:rsidR="00407FBF">
          <w:rPr>
            <w:rFonts w:ascii="Book Antiqua" w:hAnsi="Book Antiqua" w:cs="Times New Roman"/>
            <w:noProof/>
          </w:rPr>
          <w:t>4</w:t>
        </w:r>
        <w:r w:rsidRPr="008F5F75">
          <w:rPr>
            <w:rFonts w:ascii="Book Antiqua" w:hAnsi="Book Antiqua" w:cs="Times New Roman"/>
          </w:rPr>
          <w:fldChar w:fldCharType="end"/>
        </w:r>
      </w:p>
    </w:sdtContent>
  </w:sdt>
  <w:p w14:paraId="1BABF2C7" w14:textId="77777777" w:rsidR="003E3E10" w:rsidRPr="008F5F75" w:rsidRDefault="003E3E10">
    <w:pPr>
      <w:pStyle w:val="a6"/>
      <w:rPr>
        <w:rFonts w:ascii="Book Antiqua" w:hAnsi="Book Antiqua"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D1E7" w14:textId="77777777" w:rsidR="00253065" w:rsidRDefault="00253065" w:rsidP="002F6B8D">
      <w:pPr>
        <w:spacing w:after="0" w:line="240" w:lineRule="auto"/>
      </w:pPr>
      <w:r>
        <w:separator/>
      </w:r>
    </w:p>
  </w:footnote>
  <w:footnote w:type="continuationSeparator" w:id="0">
    <w:p w14:paraId="704AFF30" w14:textId="77777777" w:rsidR="00253065" w:rsidRDefault="00253065" w:rsidP="002F6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5D8"/>
    <w:multiLevelType w:val="hybridMultilevel"/>
    <w:tmpl w:val="D2F45EDA"/>
    <w:lvl w:ilvl="0" w:tplc="6B9251F0">
      <w:start w:val="1"/>
      <w:numFmt w:val="decimal"/>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B8A4F1A"/>
    <w:multiLevelType w:val="hybridMultilevel"/>
    <w:tmpl w:val="07360CD6"/>
    <w:lvl w:ilvl="0" w:tplc="EF309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32D31"/>
    <w:multiLevelType w:val="hybridMultilevel"/>
    <w:tmpl w:val="5528528A"/>
    <w:lvl w:ilvl="0" w:tplc="02827E30">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65B08"/>
    <w:multiLevelType w:val="hybridMultilevel"/>
    <w:tmpl w:val="FDAC7188"/>
    <w:lvl w:ilvl="0" w:tplc="3BEAD8C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0475A"/>
    <w:multiLevelType w:val="hybridMultilevel"/>
    <w:tmpl w:val="1CB228C4"/>
    <w:lvl w:ilvl="0" w:tplc="BF64146E">
      <w:start w:val="10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12CED"/>
    <w:multiLevelType w:val="hybridMultilevel"/>
    <w:tmpl w:val="DC705452"/>
    <w:lvl w:ilvl="0" w:tplc="1DEAFFB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34CE3"/>
    <w:multiLevelType w:val="hybridMultilevel"/>
    <w:tmpl w:val="94AAC05A"/>
    <w:lvl w:ilvl="0" w:tplc="39A275C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0F4701"/>
    <w:multiLevelType w:val="hybridMultilevel"/>
    <w:tmpl w:val="976A49EE"/>
    <w:lvl w:ilvl="0" w:tplc="3DB00C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00BEB"/>
    <w:multiLevelType w:val="hybridMultilevel"/>
    <w:tmpl w:val="48DA2CCC"/>
    <w:lvl w:ilvl="0" w:tplc="F224E792">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11795C"/>
    <w:multiLevelType w:val="hybridMultilevel"/>
    <w:tmpl w:val="09A20E02"/>
    <w:lvl w:ilvl="0" w:tplc="72C094EE">
      <w:start w:val="1"/>
      <w:numFmt w:val="decimal"/>
      <w:lvlText w:val="%1-"/>
      <w:lvlJc w:val="left"/>
      <w:pPr>
        <w:ind w:left="1068" w:hanging="360"/>
      </w:pPr>
      <w:rPr>
        <w:rFonts w:eastAsia="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BA63CBE"/>
    <w:multiLevelType w:val="hybridMultilevel"/>
    <w:tmpl w:val="6208212C"/>
    <w:lvl w:ilvl="0" w:tplc="35381768">
      <w:start w:val="24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A192F"/>
    <w:multiLevelType w:val="hybridMultilevel"/>
    <w:tmpl w:val="06F2DEC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0B3815"/>
    <w:multiLevelType w:val="hybridMultilevel"/>
    <w:tmpl w:val="224AD50C"/>
    <w:lvl w:ilvl="0" w:tplc="B0B0C63A">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656A61"/>
    <w:multiLevelType w:val="hybridMultilevel"/>
    <w:tmpl w:val="CD48F2EA"/>
    <w:lvl w:ilvl="0" w:tplc="7AD2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C01001"/>
    <w:multiLevelType w:val="hybridMultilevel"/>
    <w:tmpl w:val="1B10A0D0"/>
    <w:lvl w:ilvl="0" w:tplc="0BEA6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50855"/>
    <w:multiLevelType w:val="hybridMultilevel"/>
    <w:tmpl w:val="E9EEE5B0"/>
    <w:lvl w:ilvl="0" w:tplc="E250AA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DF010A"/>
    <w:multiLevelType w:val="hybridMultilevel"/>
    <w:tmpl w:val="A2401C82"/>
    <w:lvl w:ilvl="0" w:tplc="DC80BEB4">
      <w:numFmt w:val="bullet"/>
      <w:lvlText w:val=""/>
      <w:lvlJc w:val="left"/>
      <w:pPr>
        <w:ind w:left="408" w:hanging="360"/>
      </w:pPr>
      <w:rPr>
        <w:rFonts w:ascii="Wingdings" w:eastAsiaTheme="minorHAnsi" w:hAnsi="Wingdings"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7" w15:restartNumberingAfterBreak="0">
    <w:nsid w:val="58544F83"/>
    <w:multiLevelType w:val="hybridMultilevel"/>
    <w:tmpl w:val="DEF63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14079C"/>
    <w:multiLevelType w:val="hybridMultilevel"/>
    <w:tmpl w:val="1DEC5EC0"/>
    <w:lvl w:ilvl="0" w:tplc="789C639A">
      <w:start w:val="1"/>
      <w:numFmt w:val="bullet"/>
      <w:lvlText w:val=""/>
      <w:lvlJc w:val="left"/>
      <w:pPr>
        <w:tabs>
          <w:tab w:val="num" w:pos="720"/>
        </w:tabs>
        <w:ind w:left="720" w:hanging="360"/>
      </w:pPr>
      <w:rPr>
        <w:rFonts w:ascii="Wingdings" w:hAnsi="Wingdings" w:hint="default"/>
      </w:rPr>
    </w:lvl>
    <w:lvl w:ilvl="1" w:tplc="97123682" w:tentative="1">
      <w:start w:val="1"/>
      <w:numFmt w:val="bullet"/>
      <w:lvlText w:val=""/>
      <w:lvlJc w:val="left"/>
      <w:pPr>
        <w:tabs>
          <w:tab w:val="num" w:pos="1440"/>
        </w:tabs>
        <w:ind w:left="1440" w:hanging="360"/>
      </w:pPr>
      <w:rPr>
        <w:rFonts w:ascii="Wingdings" w:hAnsi="Wingdings" w:hint="default"/>
      </w:rPr>
    </w:lvl>
    <w:lvl w:ilvl="2" w:tplc="8684EA5C" w:tentative="1">
      <w:start w:val="1"/>
      <w:numFmt w:val="bullet"/>
      <w:lvlText w:val=""/>
      <w:lvlJc w:val="left"/>
      <w:pPr>
        <w:tabs>
          <w:tab w:val="num" w:pos="2160"/>
        </w:tabs>
        <w:ind w:left="2160" w:hanging="360"/>
      </w:pPr>
      <w:rPr>
        <w:rFonts w:ascii="Wingdings" w:hAnsi="Wingdings" w:hint="default"/>
      </w:rPr>
    </w:lvl>
    <w:lvl w:ilvl="3" w:tplc="5A26FE20" w:tentative="1">
      <w:start w:val="1"/>
      <w:numFmt w:val="bullet"/>
      <w:lvlText w:val=""/>
      <w:lvlJc w:val="left"/>
      <w:pPr>
        <w:tabs>
          <w:tab w:val="num" w:pos="2880"/>
        </w:tabs>
        <w:ind w:left="2880" w:hanging="360"/>
      </w:pPr>
      <w:rPr>
        <w:rFonts w:ascii="Wingdings" w:hAnsi="Wingdings" w:hint="default"/>
      </w:rPr>
    </w:lvl>
    <w:lvl w:ilvl="4" w:tplc="D1460FD2" w:tentative="1">
      <w:start w:val="1"/>
      <w:numFmt w:val="bullet"/>
      <w:lvlText w:val=""/>
      <w:lvlJc w:val="left"/>
      <w:pPr>
        <w:tabs>
          <w:tab w:val="num" w:pos="3600"/>
        </w:tabs>
        <w:ind w:left="3600" w:hanging="360"/>
      </w:pPr>
      <w:rPr>
        <w:rFonts w:ascii="Wingdings" w:hAnsi="Wingdings" w:hint="default"/>
      </w:rPr>
    </w:lvl>
    <w:lvl w:ilvl="5" w:tplc="637867D6" w:tentative="1">
      <w:start w:val="1"/>
      <w:numFmt w:val="bullet"/>
      <w:lvlText w:val=""/>
      <w:lvlJc w:val="left"/>
      <w:pPr>
        <w:tabs>
          <w:tab w:val="num" w:pos="4320"/>
        </w:tabs>
        <w:ind w:left="4320" w:hanging="360"/>
      </w:pPr>
      <w:rPr>
        <w:rFonts w:ascii="Wingdings" w:hAnsi="Wingdings" w:hint="default"/>
      </w:rPr>
    </w:lvl>
    <w:lvl w:ilvl="6" w:tplc="F3F8393C" w:tentative="1">
      <w:start w:val="1"/>
      <w:numFmt w:val="bullet"/>
      <w:lvlText w:val=""/>
      <w:lvlJc w:val="left"/>
      <w:pPr>
        <w:tabs>
          <w:tab w:val="num" w:pos="5040"/>
        </w:tabs>
        <w:ind w:left="5040" w:hanging="360"/>
      </w:pPr>
      <w:rPr>
        <w:rFonts w:ascii="Wingdings" w:hAnsi="Wingdings" w:hint="default"/>
      </w:rPr>
    </w:lvl>
    <w:lvl w:ilvl="7" w:tplc="005AB704" w:tentative="1">
      <w:start w:val="1"/>
      <w:numFmt w:val="bullet"/>
      <w:lvlText w:val=""/>
      <w:lvlJc w:val="left"/>
      <w:pPr>
        <w:tabs>
          <w:tab w:val="num" w:pos="5760"/>
        </w:tabs>
        <w:ind w:left="5760" w:hanging="360"/>
      </w:pPr>
      <w:rPr>
        <w:rFonts w:ascii="Wingdings" w:hAnsi="Wingdings" w:hint="default"/>
      </w:rPr>
    </w:lvl>
    <w:lvl w:ilvl="8" w:tplc="C3C26A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6225F"/>
    <w:multiLevelType w:val="hybridMultilevel"/>
    <w:tmpl w:val="0950C028"/>
    <w:lvl w:ilvl="0" w:tplc="B2A036FE">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36769E"/>
    <w:multiLevelType w:val="hybridMultilevel"/>
    <w:tmpl w:val="4B5C7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FB04E8"/>
    <w:multiLevelType w:val="hybridMultilevel"/>
    <w:tmpl w:val="9CB09200"/>
    <w:lvl w:ilvl="0" w:tplc="9912B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91128"/>
    <w:multiLevelType w:val="hybridMultilevel"/>
    <w:tmpl w:val="6F78E720"/>
    <w:lvl w:ilvl="0" w:tplc="EB3CE164">
      <w:start w:val="1"/>
      <w:numFmt w:val="decimal"/>
      <w:lvlText w:val="%1-"/>
      <w:lvlJc w:val="left"/>
      <w:pPr>
        <w:ind w:left="2115" w:hanging="705"/>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3" w15:restartNumberingAfterBreak="0">
    <w:nsid w:val="67475759"/>
    <w:multiLevelType w:val="hybridMultilevel"/>
    <w:tmpl w:val="513E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7E0105"/>
    <w:multiLevelType w:val="multilevel"/>
    <w:tmpl w:val="9230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8517C"/>
    <w:multiLevelType w:val="hybridMultilevel"/>
    <w:tmpl w:val="42703666"/>
    <w:lvl w:ilvl="0" w:tplc="F538FC30">
      <w:start w:val="1"/>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num w:numId="1">
    <w:abstractNumId w:val="20"/>
  </w:num>
  <w:num w:numId="2">
    <w:abstractNumId w:val="3"/>
  </w:num>
  <w:num w:numId="3">
    <w:abstractNumId w:val="16"/>
  </w:num>
  <w:num w:numId="4">
    <w:abstractNumId w:val="23"/>
  </w:num>
  <w:num w:numId="5">
    <w:abstractNumId w:val="1"/>
  </w:num>
  <w:num w:numId="6">
    <w:abstractNumId w:val="12"/>
  </w:num>
  <w:num w:numId="7">
    <w:abstractNumId w:val="15"/>
  </w:num>
  <w:num w:numId="8">
    <w:abstractNumId w:val="25"/>
  </w:num>
  <w:num w:numId="9">
    <w:abstractNumId w:val="11"/>
  </w:num>
  <w:num w:numId="10">
    <w:abstractNumId w:val="18"/>
  </w:num>
  <w:num w:numId="11">
    <w:abstractNumId w:val="13"/>
  </w:num>
  <w:num w:numId="12">
    <w:abstractNumId w:val="14"/>
  </w:num>
  <w:num w:numId="13">
    <w:abstractNumId w:val="21"/>
  </w:num>
  <w:num w:numId="14">
    <w:abstractNumId w:val="24"/>
    <w:lvlOverride w:ilvl="0">
      <w:startOverride w:val="6"/>
    </w:lvlOverride>
  </w:num>
  <w:num w:numId="15">
    <w:abstractNumId w:val="9"/>
  </w:num>
  <w:num w:numId="16">
    <w:abstractNumId w:val="4"/>
  </w:num>
  <w:num w:numId="17">
    <w:abstractNumId w:val="5"/>
  </w:num>
  <w:num w:numId="18">
    <w:abstractNumId w:val="19"/>
  </w:num>
  <w:num w:numId="19">
    <w:abstractNumId w:val="2"/>
  </w:num>
  <w:num w:numId="20">
    <w:abstractNumId w:val="8"/>
  </w:num>
  <w:num w:numId="21">
    <w:abstractNumId w:val="0"/>
  </w:num>
  <w:num w:numId="22">
    <w:abstractNumId w:val="22"/>
  </w:num>
  <w:num w:numId="23">
    <w:abstractNumId w:val="6"/>
  </w:num>
  <w:num w:numId="24">
    <w:abstractNumId w:val="17"/>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D7"/>
    <w:rsid w:val="00002A5C"/>
    <w:rsid w:val="00005CCC"/>
    <w:rsid w:val="00014A52"/>
    <w:rsid w:val="00014F9C"/>
    <w:rsid w:val="00017DFC"/>
    <w:rsid w:val="00023759"/>
    <w:rsid w:val="00023A35"/>
    <w:rsid w:val="000312B9"/>
    <w:rsid w:val="00033E36"/>
    <w:rsid w:val="000348F3"/>
    <w:rsid w:val="0004116A"/>
    <w:rsid w:val="00041989"/>
    <w:rsid w:val="0004425C"/>
    <w:rsid w:val="000450D1"/>
    <w:rsid w:val="00046774"/>
    <w:rsid w:val="00047C00"/>
    <w:rsid w:val="00050F8D"/>
    <w:rsid w:val="0005133F"/>
    <w:rsid w:val="0005292F"/>
    <w:rsid w:val="00054691"/>
    <w:rsid w:val="000612EB"/>
    <w:rsid w:val="0006198E"/>
    <w:rsid w:val="000712BE"/>
    <w:rsid w:val="00076689"/>
    <w:rsid w:val="000819C5"/>
    <w:rsid w:val="00082AFA"/>
    <w:rsid w:val="000836EB"/>
    <w:rsid w:val="000854D3"/>
    <w:rsid w:val="00085EF0"/>
    <w:rsid w:val="000876E3"/>
    <w:rsid w:val="00090BBD"/>
    <w:rsid w:val="000955AB"/>
    <w:rsid w:val="00096B8E"/>
    <w:rsid w:val="00097231"/>
    <w:rsid w:val="000A128F"/>
    <w:rsid w:val="000A38F6"/>
    <w:rsid w:val="000A6D8C"/>
    <w:rsid w:val="000B06CA"/>
    <w:rsid w:val="000B53A4"/>
    <w:rsid w:val="000C3A88"/>
    <w:rsid w:val="000C505E"/>
    <w:rsid w:val="000D20A2"/>
    <w:rsid w:val="000D2A7E"/>
    <w:rsid w:val="000D3982"/>
    <w:rsid w:val="000D3B70"/>
    <w:rsid w:val="000D5354"/>
    <w:rsid w:val="000D6325"/>
    <w:rsid w:val="000D6AC3"/>
    <w:rsid w:val="000E15E2"/>
    <w:rsid w:val="000E5CD7"/>
    <w:rsid w:val="000E6F5C"/>
    <w:rsid w:val="000F2DB5"/>
    <w:rsid w:val="000F3BEE"/>
    <w:rsid w:val="000F524A"/>
    <w:rsid w:val="000F74AE"/>
    <w:rsid w:val="001002E9"/>
    <w:rsid w:val="0010356E"/>
    <w:rsid w:val="00103C59"/>
    <w:rsid w:val="001041E1"/>
    <w:rsid w:val="0010482B"/>
    <w:rsid w:val="00104C56"/>
    <w:rsid w:val="0010721C"/>
    <w:rsid w:val="00113880"/>
    <w:rsid w:val="00114D56"/>
    <w:rsid w:val="00115711"/>
    <w:rsid w:val="001163E0"/>
    <w:rsid w:val="0012026A"/>
    <w:rsid w:val="00123C6D"/>
    <w:rsid w:val="00125106"/>
    <w:rsid w:val="001310D0"/>
    <w:rsid w:val="00136155"/>
    <w:rsid w:val="00140EBF"/>
    <w:rsid w:val="001419F0"/>
    <w:rsid w:val="00145FD4"/>
    <w:rsid w:val="00147152"/>
    <w:rsid w:val="00151865"/>
    <w:rsid w:val="001576FB"/>
    <w:rsid w:val="00163A91"/>
    <w:rsid w:val="001658E0"/>
    <w:rsid w:val="00170232"/>
    <w:rsid w:val="00170F04"/>
    <w:rsid w:val="00172563"/>
    <w:rsid w:val="00177245"/>
    <w:rsid w:val="001834B9"/>
    <w:rsid w:val="0018401A"/>
    <w:rsid w:val="0018401B"/>
    <w:rsid w:val="00185033"/>
    <w:rsid w:val="00185E71"/>
    <w:rsid w:val="001876F7"/>
    <w:rsid w:val="001878D1"/>
    <w:rsid w:val="00190938"/>
    <w:rsid w:val="00191822"/>
    <w:rsid w:val="001928D9"/>
    <w:rsid w:val="001956C6"/>
    <w:rsid w:val="001A02F6"/>
    <w:rsid w:val="001A32F0"/>
    <w:rsid w:val="001A748C"/>
    <w:rsid w:val="001A7581"/>
    <w:rsid w:val="001A7943"/>
    <w:rsid w:val="001B09D0"/>
    <w:rsid w:val="001B67C3"/>
    <w:rsid w:val="001B7E2D"/>
    <w:rsid w:val="001C0078"/>
    <w:rsid w:val="001C2DE2"/>
    <w:rsid w:val="001C3505"/>
    <w:rsid w:val="001D3976"/>
    <w:rsid w:val="001D3996"/>
    <w:rsid w:val="001D6988"/>
    <w:rsid w:val="001E020B"/>
    <w:rsid w:val="001E062F"/>
    <w:rsid w:val="001E2BA8"/>
    <w:rsid w:val="001E621A"/>
    <w:rsid w:val="001E6EFB"/>
    <w:rsid w:val="001E7E15"/>
    <w:rsid w:val="001F08FF"/>
    <w:rsid w:val="001F0B82"/>
    <w:rsid w:val="001F59FD"/>
    <w:rsid w:val="001F799B"/>
    <w:rsid w:val="0020556D"/>
    <w:rsid w:val="00206998"/>
    <w:rsid w:val="0021028F"/>
    <w:rsid w:val="00211688"/>
    <w:rsid w:val="0021634C"/>
    <w:rsid w:val="00220A60"/>
    <w:rsid w:val="002210C6"/>
    <w:rsid w:val="00221F08"/>
    <w:rsid w:val="00230249"/>
    <w:rsid w:val="00230401"/>
    <w:rsid w:val="00230468"/>
    <w:rsid w:val="00233DAC"/>
    <w:rsid w:val="002436A4"/>
    <w:rsid w:val="00245F85"/>
    <w:rsid w:val="0024618F"/>
    <w:rsid w:val="002465A0"/>
    <w:rsid w:val="00250F46"/>
    <w:rsid w:val="00250F7A"/>
    <w:rsid w:val="00251551"/>
    <w:rsid w:val="00253065"/>
    <w:rsid w:val="0025355F"/>
    <w:rsid w:val="002575A7"/>
    <w:rsid w:val="002609BD"/>
    <w:rsid w:val="00260F99"/>
    <w:rsid w:val="002624CD"/>
    <w:rsid w:val="00272D1A"/>
    <w:rsid w:val="00276001"/>
    <w:rsid w:val="00276361"/>
    <w:rsid w:val="0027748E"/>
    <w:rsid w:val="002808CB"/>
    <w:rsid w:val="002823F0"/>
    <w:rsid w:val="00283587"/>
    <w:rsid w:val="00283869"/>
    <w:rsid w:val="00286B98"/>
    <w:rsid w:val="002902CB"/>
    <w:rsid w:val="00291366"/>
    <w:rsid w:val="00294CC0"/>
    <w:rsid w:val="00297F08"/>
    <w:rsid w:val="002A2A8E"/>
    <w:rsid w:val="002A4125"/>
    <w:rsid w:val="002A437B"/>
    <w:rsid w:val="002A4DF5"/>
    <w:rsid w:val="002A5651"/>
    <w:rsid w:val="002B0365"/>
    <w:rsid w:val="002B22F4"/>
    <w:rsid w:val="002B5FA2"/>
    <w:rsid w:val="002B76B0"/>
    <w:rsid w:val="002C10DB"/>
    <w:rsid w:val="002C1EDE"/>
    <w:rsid w:val="002C2F7B"/>
    <w:rsid w:val="002C52A1"/>
    <w:rsid w:val="002D0EA6"/>
    <w:rsid w:val="002D237D"/>
    <w:rsid w:val="002D3F06"/>
    <w:rsid w:val="002D4B1F"/>
    <w:rsid w:val="002E229E"/>
    <w:rsid w:val="002E55CE"/>
    <w:rsid w:val="002F313E"/>
    <w:rsid w:val="002F342C"/>
    <w:rsid w:val="002F64D7"/>
    <w:rsid w:val="002F6B8D"/>
    <w:rsid w:val="002F6CD5"/>
    <w:rsid w:val="00301BC3"/>
    <w:rsid w:val="003105E8"/>
    <w:rsid w:val="00310E5F"/>
    <w:rsid w:val="003171FD"/>
    <w:rsid w:val="00321680"/>
    <w:rsid w:val="00322B91"/>
    <w:rsid w:val="00322FEA"/>
    <w:rsid w:val="003238E1"/>
    <w:rsid w:val="0032553C"/>
    <w:rsid w:val="00336939"/>
    <w:rsid w:val="003369BE"/>
    <w:rsid w:val="00336BE4"/>
    <w:rsid w:val="00340528"/>
    <w:rsid w:val="00344D66"/>
    <w:rsid w:val="00352251"/>
    <w:rsid w:val="00353A96"/>
    <w:rsid w:val="003549F0"/>
    <w:rsid w:val="00355701"/>
    <w:rsid w:val="00355944"/>
    <w:rsid w:val="00356750"/>
    <w:rsid w:val="0036573D"/>
    <w:rsid w:val="00367231"/>
    <w:rsid w:val="003721C3"/>
    <w:rsid w:val="00376974"/>
    <w:rsid w:val="00376997"/>
    <w:rsid w:val="00376A8C"/>
    <w:rsid w:val="00382D4E"/>
    <w:rsid w:val="003835CD"/>
    <w:rsid w:val="003839D9"/>
    <w:rsid w:val="00385FD4"/>
    <w:rsid w:val="00386E3D"/>
    <w:rsid w:val="00395D9E"/>
    <w:rsid w:val="00396B6E"/>
    <w:rsid w:val="003A4F94"/>
    <w:rsid w:val="003A78BB"/>
    <w:rsid w:val="003B17C4"/>
    <w:rsid w:val="003B21AE"/>
    <w:rsid w:val="003B51FC"/>
    <w:rsid w:val="003C0A6F"/>
    <w:rsid w:val="003C2DD4"/>
    <w:rsid w:val="003D2B7A"/>
    <w:rsid w:val="003D55B1"/>
    <w:rsid w:val="003D7792"/>
    <w:rsid w:val="003E21C6"/>
    <w:rsid w:val="003E3DEA"/>
    <w:rsid w:val="003E3E10"/>
    <w:rsid w:val="003F0126"/>
    <w:rsid w:val="003F041E"/>
    <w:rsid w:val="003F1868"/>
    <w:rsid w:val="003F3B8F"/>
    <w:rsid w:val="003F5023"/>
    <w:rsid w:val="003F5CA0"/>
    <w:rsid w:val="003F66D4"/>
    <w:rsid w:val="003F77E2"/>
    <w:rsid w:val="00402022"/>
    <w:rsid w:val="0040295D"/>
    <w:rsid w:val="00404D63"/>
    <w:rsid w:val="00407256"/>
    <w:rsid w:val="00407FBF"/>
    <w:rsid w:val="00411C2B"/>
    <w:rsid w:val="0042592D"/>
    <w:rsid w:val="0043027B"/>
    <w:rsid w:val="004308EE"/>
    <w:rsid w:val="00432554"/>
    <w:rsid w:val="00434702"/>
    <w:rsid w:val="00440112"/>
    <w:rsid w:val="004433B9"/>
    <w:rsid w:val="00444C86"/>
    <w:rsid w:val="004457B6"/>
    <w:rsid w:val="0044750C"/>
    <w:rsid w:val="00451068"/>
    <w:rsid w:val="004511A0"/>
    <w:rsid w:val="00451649"/>
    <w:rsid w:val="0045366A"/>
    <w:rsid w:val="00453AEB"/>
    <w:rsid w:val="00454F0B"/>
    <w:rsid w:val="00456325"/>
    <w:rsid w:val="00457D50"/>
    <w:rsid w:val="0046252B"/>
    <w:rsid w:val="00462A09"/>
    <w:rsid w:val="0046476E"/>
    <w:rsid w:val="00465ECA"/>
    <w:rsid w:val="00467752"/>
    <w:rsid w:val="004702CA"/>
    <w:rsid w:val="00471692"/>
    <w:rsid w:val="00472B50"/>
    <w:rsid w:val="00482127"/>
    <w:rsid w:val="00483A5B"/>
    <w:rsid w:val="00486DF1"/>
    <w:rsid w:val="004959F4"/>
    <w:rsid w:val="004972D1"/>
    <w:rsid w:val="004A0914"/>
    <w:rsid w:val="004A35C3"/>
    <w:rsid w:val="004A4743"/>
    <w:rsid w:val="004A6515"/>
    <w:rsid w:val="004B1338"/>
    <w:rsid w:val="004B2FAC"/>
    <w:rsid w:val="004B4E99"/>
    <w:rsid w:val="004B6609"/>
    <w:rsid w:val="004C0FFD"/>
    <w:rsid w:val="004C438C"/>
    <w:rsid w:val="004C7F12"/>
    <w:rsid w:val="004D01A0"/>
    <w:rsid w:val="004D0BF1"/>
    <w:rsid w:val="004D16C9"/>
    <w:rsid w:val="004D64E4"/>
    <w:rsid w:val="004E2274"/>
    <w:rsid w:val="004E3689"/>
    <w:rsid w:val="004E43B3"/>
    <w:rsid w:val="004E5879"/>
    <w:rsid w:val="004E5DFD"/>
    <w:rsid w:val="004E61C2"/>
    <w:rsid w:val="004F0F9E"/>
    <w:rsid w:val="004F7AAD"/>
    <w:rsid w:val="0050612F"/>
    <w:rsid w:val="00507472"/>
    <w:rsid w:val="005121FC"/>
    <w:rsid w:val="005124D9"/>
    <w:rsid w:val="00514D62"/>
    <w:rsid w:val="00517031"/>
    <w:rsid w:val="005231F0"/>
    <w:rsid w:val="005236D8"/>
    <w:rsid w:val="005247B3"/>
    <w:rsid w:val="00527BE9"/>
    <w:rsid w:val="00530526"/>
    <w:rsid w:val="00530A4E"/>
    <w:rsid w:val="00533EF2"/>
    <w:rsid w:val="00545E95"/>
    <w:rsid w:val="005503A9"/>
    <w:rsid w:val="005525BB"/>
    <w:rsid w:val="00561FC3"/>
    <w:rsid w:val="0056232F"/>
    <w:rsid w:val="00562D60"/>
    <w:rsid w:val="00563227"/>
    <w:rsid w:val="00563FB0"/>
    <w:rsid w:val="00564296"/>
    <w:rsid w:val="00565F94"/>
    <w:rsid w:val="00567A38"/>
    <w:rsid w:val="005719E3"/>
    <w:rsid w:val="00572276"/>
    <w:rsid w:val="005802E0"/>
    <w:rsid w:val="00582A41"/>
    <w:rsid w:val="00590198"/>
    <w:rsid w:val="00591369"/>
    <w:rsid w:val="005936C5"/>
    <w:rsid w:val="00594075"/>
    <w:rsid w:val="00594DA9"/>
    <w:rsid w:val="00595209"/>
    <w:rsid w:val="005968ED"/>
    <w:rsid w:val="005A0D50"/>
    <w:rsid w:val="005A26FE"/>
    <w:rsid w:val="005A3935"/>
    <w:rsid w:val="005A5AF6"/>
    <w:rsid w:val="005A5D37"/>
    <w:rsid w:val="005B029F"/>
    <w:rsid w:val="005B35A8"/>
    <w:rsid w:val="005C0F5A"/>
    <w:rsid w:val="005C177F"/>
    <w:rsid w:val="005C1D40"/>
    <w:rsid w:val="005C77BB"/>
    <w:rsid w:val="005D077E"/>
    <w:rsid w:val="005D1CE7"/>
    <w:rsid w:val="005D772E"/>
    <w:rsid w:val="005D7C06"/>
    <w:rsid w:val="005E61C1"/>
    <w:rsid w:val="005F3040"/>
    <w:rsid w:val="005F4A89"/>
    <w:rsid w:val="005F6824"/>
    <w:rsid w:val="005F73AB"/>
    <w:rsid w:val="00604677"/>
    <w:rsid w:val="006058CA"/>
    <w:rsid w:val="006075F8"/>
    <w:rsid w:val="00607A6E"/>
    <w:rsid w:val="00611438"/>
    <w:rsid w:val="00613754"/>
    <w:rsid w:val="0061548B"/>
    <w:rsid w:val="00616642"/>
    <w:rsid w:val="00620DC2"/>
    <w:rsid w:val="006227EF"/>
    <w:rsid w:val="006238FC"/>
    <w:rsid w:val="006258C4"/>
    <w:rsid w:val="0062652F"/>
    <w:rsid w:val="00626647"/>
    <w:rsid w:val="00631C3E"/>
    <w:rsid w:val="00640D8A"/>
    <w:rsid w:val="00644972"/>
    <w:rsid w:val="00645718"/>
    <w:rsid w:val="00646061"/>
    <w:rsid w:val="006472EE"/>
    <w:rsid w:val="00652E18"/>
    <w:rsid w:val="00660178"/>
    <w:rsid w:val="0066449F"/>
    <w:rsid w:val="00665CE8"/>
    <w:rsid w:val="00665DB6"/>
    <w:rsid w:val="00665E49"/>
    <w:rsid w:val="006711BC"/>
    <w:rsid w:val="00676CAC"/>
    <w:rsid w:val="00680764"/>
    <w:rsid w:val="00685471"/>
    <w:rsid w:val="0069134B"/>
    <w:rsid w:val="006917E0"/>
    <w:rsid w:val="00693E2E"/>
    <w:rsid w:val="006A40F9"/>
    <w:rsid w:val="006A411C"/>
    <w:rsid w:val="006A5275"/>
    <w:rsid w:val="006A741D"/>
    <w:rsid w:val="006B5385"/>
    <w:rsid w:val="006B5D60"/>
    <w:rsid w:val="006B72C2"/>
    <w:rsid w:val="006B7DBC"/>
    <w:rsid w:val="006C1113"/>
    <w:rsid w:val="006C7022"/>
    <w:rsid w:val="006D04CD"/>
    <w:rsid w:val="006D0763"/>
    <w:rsid w:val="006D11A9"/>
    <w:rsid w:val="006D1C84"/>
    <w:rsid w:val="006D539B"/>
    <w:rsid w:val="006D7301"/>
    <w:rsid w:val="006D77E0"/>
    <w:rsid w:val="006E1646"/>
    <w:rsid w:val="006E2B5D"/>
    <w:rsid w:val="006E2F3A"/>
    <w:rsid w:val="006E3D10"/>
    <w:rsid w:val="006E6641"/>
    <w:rsid w:val="006F2023"/>
    <w:rsid w:val="006F2693"/>
    <w:rsid w:val="006F34DF"/>
    <w:rsid w:val="006F3984"/>
    <w:rsid w:val="006F4750"/>
    <w:rsid w:val="006F7118"/>
    <w:rsid w:val="00704569"/>
    <w:rsid w:val="00705C07"/>
    <w:rsid w:val="007108DE"/>
    <w:rsid w:val="00717C5B"/>
    <w:rsid w:val="007217BF"/>
    <w:rsid w:val="00723C8B"/>
    <w:rsid w:val="00724507"/>
    <w:rsid w:val="00737695"/>
    <w:rsid w:val="00741975"/>
    <w:rsid w:val="007427F9"/>
    <w:rsid w:val="00742BB8"/>
    <w:rsid w:val="00743746"/>
    <w:rsid w:val="00746D62"/>
    <w:rsid w:val="00752618"/>
    <w:rsid w:val="00753166"/>
    <w:rsid w:val="00760034"/>
    <w:rsid w:val="0076057B"/>
    <w:rsid w:val="00760BF3"/>
    <w:rsid w:val="00761200"/>
    <w:rsid w:val="007620C2"/>
    <w:rsid w:val="00767D86"/>
    <w:rsid w:val="00772A81"/>
    <w:rsid w:val="0077371E"/>
    <w:rsid w:val="0077717C"/>
    <w:rsid w:val="00784214"/>
    <w:rsid w:val="007858E9"/>
    <w:rsid w:val="00785BFF"/>
    <w:rsid w:val="007866F5"/>
    <w:rsid w:val="00786F90"/>
    <w:rsid w:val="00795164"/>
    <w:rsid w:val="00795429"/>
    <w:rsid w:val="007A1AD9"/>
    <w:rsid w:val="007A20CD"/>
    <w:rsid w:val="007A343B"/>
    <w:rsid w:val="007A76C1"/>
    <w:rsid w:val="007B28FA"/>
    <w:rsid w:val="007B2F30"/>
    <w:rsid w:val="007B7635"/>
    <w:rsid w:val="007B77DF"/>
    <w:rsid w:val="007C3C70"/>
    <w:rsid w:val="007C55FB"/>
    <w:rsid w:val="007C7030"/>
    <w:rsid w:val="007D20E9"/>
    <w:rsid w:val="007D2B3A"/>
    <w:rsid w:val="007D3A08"/>
    <w:rsid w:val="007D6DFE"/>
    <w:rsid w:val="007D7011"/>
    <w:rsid w:val="007E5D60"/>
    <w:rsid w:val="007E7329"/>
    <w:rsid w:val="007E7943"/>
    <w:rsid w:val="007F47EA"/>
    <w:rsid w:val="007F74F6"/>
    <w:rsid w:val="00801A8C"/>
    <w:rsid w:val="00804F21"/>
    <w:rsid w:val="0080500A"/>
    <w:rsid w:val="0081120E"/>
    <w:rsid w:val="00811BF0"/>
    <w:rsid w:val="0081348D"/>
    <w:rsid w:val="00814C39"/>
    <w:rsid w:val="0081618A"/>
    <w:rsid w:val="0081664B"/>
    <w:rsid w:val="00817E61"/>
    <w:rsid w:val="00820594"/>
    <w:rsid w:val="00820E89"/>
    <w:rsid w:val="0082691F"/>
    <w:rsid w:val="00827314"/>
    <w:rsid w:val="00830955"/>
    <w:rsid w:val="00833FC1"/>
    <w:rsid w:val="008341A9"/>
    <w:rsid w:val="00840B5C"/>
    <w:rsid w:val="00841F6D"/>
    <w:rsid w:val="0084331E"/>
    <w:rsid w:val="00847C8C"/>
    <w:rsid w:val="00850C80"/>
    <w:rsid w:val="00851388"/>
    <w:rsid w:val="00852DA0"/>
    <w:rsid w:val="0085398F"/>
    <w:rsid w:val="00853C54"/>
    <w:rsid w:val="00857EF9"/>
    <w:rsid w:val="00861E9E"/>
    <w:rsid w:val="00863C17"/>
    <w:rsid w:val="0086426F"/>
    <w:rsid w:val="00864988"/>
    <w:rsid w:val="00864BDB"/>
    <w:rsid w:val="00867C4D"/>
    <w:rsid w:val="008706A7"/>
    <w:rsid w:val="00875C08"/>
    <w:rsid w:val="0087697F"/>
    <w:rsid w:val="00881AE6"/>
    <w:rsid w:val="00881DDB"/>
    <w:rsid w:val="00886B17"/>
    <w:rsid w:val="00893F4F"/>
    <w:rsid w:val="008975F2"/>
    <w:rsid w:val="008A4228"/>
    <w:rsid w:val="008A4B6C"/>
    <w:rsid w:val="008A4BED"/>
    <w:rsid w:val="008A5768"/>
    <w:rsid w:val="008A6BD2"/>
    <w:rsid w:val="008B0922"/>
    <w:rsid w:val="008B2D20"/>
    <w:rsid w:val="008B3C29"/>
    <w:rsid w:val="008C1FCC"/>
    <w:rsid w:val="008C22A3"/>
    <w:rsid w:val="008C592B"/>
    <w:rsid w:val="008C6478"/>
    <w:rsid w:val="008E1F72"/>
    <w:rsid w:val="008E3F46"/>
    <w:rsid w:val="008F3836"/>
    <w:rsid w:val="008F5D75"/>
    <w:rsid w:val="008F5F75"/>
    <w:rsid w:val="008F7188"/>
    <w:rsid w:val="008F7D65"/>
    <w:rsid w:val="008F7E8E"/>
    <w:rsid w:val="0090799D"/>
    <w:rsid w:val="009103A8"/>
    <w:rsid w:val="009142CC"/>
    <w:rsid w:val="00914E19"/>
    <w:rsid w:val="00914EFD"/>
    <w:rsid w:val="00916870"/>
    <w:rsid w:val="00920781"/>
    <w:rsid w:val="00921584"/>
    <w:rsid w:val="00922515"/>
    <w:rsid w:val="00930B55"/>
    <w:rsid w:val="00932596"/>
    <w:rsid w:val="00935631"/>
    <w:rsid w:val="00942222"/>
    <w:rsid w:val="0094272E"/>
    <w:rsid w:val="009569D4"/>
    <w:rsid w:val="009572B6"/>
    <w:rsid w:val="00957945"/>
    <w:rsid w:val="00961678"/>
    <w:rsid w:val="009617F6"/>
    <w:rsid w:val="009654E2"/>
    <w:rsid w:val="00967D25"/>
    <w:rsid w:val="00970323"/>
    <w:rsid w:val="00974608"/>
    <w:rsid w:val="00974DEA"/>
    <w:rsid w:val="00977336"/>
    <w:rsid w:val="00982088"/>
    <w:rsid w:val="0098260C"/>
    <w:rsid w:val="00983FF3"/>
    <w:rsid w:val="009A17EF"/>
    <w:rsid w:val="009A4065"/>
    <w:rsid w:val="009A4E37"/>
    <w:rsid w:val="009A55FD"/>
    <w:rsid w:val="009A76D2"/>
    <w:rsid w:val="009A7981"/>
    <w:rsid w:val="009B6A02"/>
    <w:rsid w:val="009B7385"/>
    <w:rsid w:val="009C028F"/>
    <w:rsid w:val="009C2500"/>
    <w:rsid w:val="009C2DDF"/>
    <w:rsid w:val="009C6E9E"/>
    <w:rsid w:val="009D0AD7"/>
    <w:rsid w:val="009D0B58"/>
    <w:rsid w:val="009D1BBF"/>
    <w:rsid w:val="009D344B"/>
    <w:rsid w:val="009E2874"/>
    <w:rsid w:val="009E33C2"/>
    <w:rsid w:val="009E3CB5"/>
    <w:rsid w:val="009E420E"/>
    <w:rsid w:val="009E5296"/>
    <w:rsid w:val="009F276E"/>
    <w:rsid w:val="009F4C1D"/>
    <w:rsid w:val="00A00D83"/>
    <w:rsid w:val="00A01983"/>
    <w:rsid w:val="00A01B17"/>
    <w:rsid w:val="00A0402F"/>
    <w:rsid w:val="00A106F3"/>
    <w:rsid w:val="00A13AC3"/>
    <w:rsid w:val="00A1519E"/>
    <w:rsid w:val="00A1595B"/>
    <w:rsid w:val="00A221B9"/>
    <w:rsid w:val="00A2336F"/>
    <w:rsid w:val="00A25A5E"/>
    <w:rsid w:val="00A31DAA"/>
    <w:rsid w:val="00A32065"/>
    <w:rsid w:val="00A32577"/>
    <w:rsid w:val="00A326EA"/>
    <w:rsid w:val="00A437D4"/>
    <w:rsid w:val="00A448D8"/>
    <w:rsid w:val="00A516FD"/>
    <w:rsid w:val="00A53025"/>
    <w:rsid w:val="00A532E2"/>
    <w:rsid w:val="00A5576F"/>
    <w:rsid w:val="00A55824"/>
    <w:rsid w:val="00A64B45"/>
    <w:rsid w:val="00A65730"/>
    <w:rsid w:val="00A67232"/>
    <w:rsid w:val="00A749AE"/>
    <w:rsid w:val="00A7749B"/>
    <w:rsid w:val="00A820C9"/>
    <w:rsid w:val="00A83F3E"/>
    <w:rsid w:val="00A84B11"/>
    <w:rsid w:val="00A84D8E"/>
    <w:rsid w:val="00A86C5D"/>
    <w:rsid w:val="00A90A29"/>
    <w:rsid w:val="00A92D7E"/>
    <w:rsid w:val="00A95B90"/>
    <w:rsid w:val="00AA3236"/>
    <w:rsid w:val="00AA6D3C"/>
    <w:rsid w:val="00AA79D0"/>
    <w:rsid w:val="00AA7D65"/>
    <w:rsid w:val="00AB326B"/>
    <w:rsid w:val="00AB43B9"/>
    <w:rsid w:val="00AB5087"/>
    <w:rsid w:val="00AB5937"/>
    <w:rsid w:val="00AC72E1"/>
    <w:rsid w:val="00AC7A92"/>
    <w:rsid w:val="00AD1011"/>
    <w:rsid w:val="00AD3D35"/>
    <w:rsid w:val="00AD4002"/>
    <w:rsid w:val="00AE15F4"/>
    <w:rsid w:val="00AE2D5A"/>
    <w:rsid w:val="00AE7646"/>
    <w:rsid w:val="00AE7BEA"/>
    <w:rsid w:val="00AF1416"/>
    <w:rsid w:val="00AF209E"/>
    <w:rsid w:val="00AF3892"/>
    <w:rsid w:val="00AF6E24"/>
    <w:rsid w:val="00B04451"/>
    <w:rsid w:val="00B06D34"/>
    <w:rsid w:val="00B127A9"/>
    <w:rsid w:val="00B1704E"/>
    <w:rsid w:val="00B2139D"/>
    <w:rsid w:val="00B233A1"/>
    <w:rsid w:val="00B2343B"/>
    <w:rsid w:val="00B3290B"/>
    <w:rsid w:val="00B36D5C"/>
    <w:rsid w:val="00B40578"/>
    <w:rsid w:val="00B41F1F"/>
    <w:rsid w:val="00B4388C"/>
    <w:rsid w:val="00B454FC"/>
    <w:rsid w:val="00B45EB4"/>
    <w:rsid w:val="00B5504F"/>
    <w:rsid w:val="00B576F4"/>
    <w:rsid w:val="00B57FE9"/>
    <w:rsid w:val="00B60AE3"/>
    <w:rsid w:val="00B62A29"/>
    <w:rsid w:val="00B62BE8"/>
    <w:rsid w:val="00B654D5"/>
    <w:rsid w:val="00B67C7B"/>
    <w:rsid w:val="00B7253F"/>
    <w:rsid w:val="00B7460D"/>
    <w:rsid w:val="00B80E28"/>
    <w:rsid w:val="00B82D92"/>
    <w:rsid w:val="00B855B0"/>
    <w:rsid w:val="00B86D0C"/>
    <w:rsid w:val="00B87937"/>
    <w:rsid w:val="00B91546"/>
    <w:rsid w:val="00B921EB"/>
    <w:rsid w:val="00B9418D"/>
    <w:rsid w:val="00B95C19"/>
    <w:rsid w:val="00B97554"/>
    <w:rsid w:val="00B976D8"/>
    <w:rsid w:val="00BA01B2"/>
    <w:rsid w:val="00BA2FE3"/>
    <w:rsid w:val="00BA5233"/>
    <w:rsid w:val="00BB124E"/>
    <w:rsid w:val="00BB15EF"/>
    <w:rsid w:val="00BB26AC"/>
    <w:rsid w:val="00BC0E20"/>
    <w:rsid w:val="00BC291B"/>
    <w:rsid w:val="00BC45C3"/>
    <w:rsid w:val="00BC5AB5"/>
    <w:rsid w:val="00BC6E35"/>
    <w:rsid w:val="00BD0433"/>
    <w:rsid w:val="00BD5049"/>
    <w:rsid w:val="00BE006C"/>
    <w:rsid w:val="00BE093D"/>
    <w:rsid w:val="00BE107E"/>
    <w:rsid w:val="00BE1ACF"/>
    <w:rsid w:val="00BE22EB"/>
    <w:rsid w:val="00BE3DF8"/>
    <w:rsid w:val="00BE5B2B"/>
    <w:rsid w:val="00BE73B7"/>
    <w:rsid w:val="00BF3843"/>
    <w:rsid w:val="00C02CE6"/>
    <w:rsid w:val="00C11535"/>
    <w:rsid w:val="00C13311"/>
    <w:rsid w:val="00C15AC6"/>
    <w:rsid w:val="00C16F95"/>
    <w:rsid w:val="00C21B0A"/>
    <w:rsid w:val="00C21B51"/>
    <w:rsid w:val="00C239AD"/>
    <w:rsid w:val="00C242F8"/>
    <w:rsid w:val="00C24DFF"/>
    <w:rsid w:val="00C251FC"/>
    <w:rsid w:val="00C25A86"/>
    <w:rsid w:val="00C26F97"/>
    <w:rsid w:val="00C3146E"/>
    <w:rsid w:val="00C3193D"/>
    <w:rsid w:val="00C34C17"/>
    <w:rsid w:val="00C3583B"/>
    <w:rsid w:val="00C40278"/>
    <w:rsid w:val="00C41D79"/>
    <w:rsid w:val="00C45934"/>
    <w:rsid w:val="00C5249B"/>
    <w:rsid w:val="00C52E40"/>
    <w:rsid w:val="00C54829"/>
    <w:rsid w:val="00C65D87"/>
    <w:rsid w:val="00C66221"/>
    <w:rsid w:val="00C670FB"/>
    <w:rsid w:val="00C71343"/>
    <w:rsid w:val="00C8067B"/>
    <w:rsid w:val="00C83DC3"/>
    <w:rsid w:val="00C86752"/>
    <w:rsid w:val="00C87CD1"/>
    <w:rsid w:val="00C929FA"/>
    <w:rsid w:val="00C9596B"/>
    <w:rsid w:val="00C95BE9"/>
    <w:rsid w:val="00C961AD"/>
    <w:rsid w:val="00CA01A6"/>
    <w:rsid w:val="00CA2ED5"/>
    <w:rsid w:val="00CA3022"/>
    <w:rsid w:val="00CA30C2"/>
    <w:rsid w:val="00CB047C"/>
    <w:rsid w:val="00CB07E9"/>
    <w:rsid w:val="00CC111A"/>
    <w:rsid w:val="00CC1F57"/>
    <w:rsid w:val="00CC5F38"/>
    <w:rsid w:val="00CC68A3"/>
    <w:rsid w:val="00CD05C5"/>
    <w:rsid w:val="00CD07BE"/>
    <w:rsid w:val="00CD467E"/>
    <w:rsid w:val="00CD5CCD"/>
    <w:rsid w:val="00CE085B"/>
    <w:rsid w:val="00CE1858"/>
    <w:rsid w:val="00CE2E6F"/>
    <w:rsid w:val="00CE3879"/>
    <w:rsid w:val="00CE3B5B"/>
    <w:rsid w:val="00CE5B66"/>
    <w:rsid w:val="00CE768F"/>
    <w:rsid w:val="00CF1927"/>
    <w:rsid w:val="00CF2435"/>
    <w:rsid w:val="00CF2512"/>
    <w:rsid w:val="00CF3788"/>
    <w:rsid w:val="00CF38EA"/>
    <w:rsid w:val="00CF3C40"/>
    <w:rsid w:val="00CF639C"/>
    <w:rsid w:val="00CF6FBE"/>
    <w:rsid w:val="00CF73C8"/>
    <w:rsid w:val="00CF78DC"/>
    <w:rsid w:val="00D012F8"/>
    <w:rsid w:val="00D01983"/>
    <w:rsid w:val="00D036F2"/>
    <w:rsid w:val="00D03DB9"/>
    <w:rsid w:val="00D1047E"/>
    <w:rsid w:val="00D11382"/>
    <w:rsid w:val="00D14453"/>
    <w:rsid w:val="00D16D88"/>
    <w:rsid w:val="00D1762C"/>
    <w:rsid w:val="00D20568"/>
    <w:rsid w:val="00D20D05"/>
    <w:rsid w:val="00D24B23"/>
    <w:rsid w:val="00D25F2B"/>
    <w:rsid w:val="00D27360"/>
    <w:rsid w:val="00D343DA"/>
    <w:rsid w:val="00D349BB"/>
    <w:rsid w:val="00D3776A"/>
    <w:rsid w:val="00D450CF"/>
    <w:rsid w:val="00D474D3"/>
    <w:rsid w:val="00D47BC9"/>
    <w:rsid w:val="00D52353"/>
    <w:rsid w:val="00D53D4A"/>
    <w:rsid w:val="00D62E40"/>
    <w:rsid w:val="00D65174"/>
    <w:rsid w:val="00D67661"/>
    <w:rsid w:val="00D701F5"/>
    <w:rsid w:val="00D75AF4"/>
    <w:rsid w:val="00D76B22"/>
    <w:rsid w:val="00D820DA"/>
    <w:rsid w:val="00D82D3E"/>
    <w:rsid w:val="00D94A6B"/>
    <w:rsid w:val="00DA1491"/>
    <w:rsid w:val="00DA2507"/>
    <w:rsid w:val="00DA360E"/>
    <w:rsid w:val="00DA4552"/>
    <w:rsid w:val="00DA49AF"/>
    <w:rsid w:val="00DA5C5E"/>
    <w:rsid w:val="00DA7620"/>
    <w:rsid w:val="00DA7673"/>
    <w:rsid w:val="00DB00D9"/>
    <w:rsid w:val="00DB5B28"/>
    <w:rsid w:val="00DB7711"/>
    <w:rsid w:val="00DC2251"/>
    <w:rsid w:val="00DC3E46"/>
    <w:rsid w:val="00DC5214"/>
    <w:rsid w:val="00DC6981"/>
    <w:rsid w:val="00DC7492"/>
    <w:rsid w:val="00DE08CA"/>
    <w:rsid w:val="00DE3716"/>
    <w:rsid w:val="00DF24B1"/>
    <w:rsid w:val="00DF2E6E"/>
    <w:rsid w:val="00E00EFE"/>
    <w:rsid w:val="00E03E3C"/>
    <w:rsid w:val="00E149A4"/>
    <w:rsid w:val="00E21754"/>
    <w:rsid w:val="00E22755"/>
    <w:rsid w:val="00E22B16"/>
    <w:rsid w:val="00E26946"/>
    <w:rsid w:val="00E324E1"/>
    <w:rsid w:val="00E32F2C"/>
    <w:rsid w:val="00E33C4E"/>
    <w:rsid w:val="00E37F53"/>
    <w:rsid w:val="00E4554D"/>
    <w:rsid w:val="00E46C7A"/>
    <w:rsid w:val="00E46E24"/>
    <w:rsid w:val="00E537DE"/>
    <w:rsid w:val="00E55906"/>
    <w:rsid w:val="00E61C28"/>
    <w:rsid w:val="00E61E46"/>
    <w:rsid w:val="00E62D71"/>
    <w:rsid w:val="00E63A6E"/>
    <w:rsid w:val="00E65A77"/>
    <w:rsid w:val="00E66B2C"/>
    <w:rsid w:val="00E7284C"/>
    <w:rsid w:val="00E72C0F"/>
    <w:rsid w:val="00E72E06"/>
    <w:rsid w:val="00E72FA8"/>
    <w:rsid w:val="00E7350C"/>
    <w:rsid w:val="00E73B0A"/>
    <w:rsid w:val="00E75135"/>
    <w:rsid w:val="00E84A30"/>
    <w:rsid w:val="00E920A8"/>
    <w:rsid w:val="00E940B4"/>
    <w:rsid w:val="00E95128"/>
    <w:rsid w:val="00E97C72"/>
    <w:rsid w:val="00EA2684"/>
    <w:rsid w:val="00EA3A6A"/>
    <w:rsid w:val="00EA5D7E"/>
    <w:rsid w:val="00EA757E"/>
    <w:rsid w:val="00EA7FA7"/>
    <w:rsid w:val="00EB33CD"/>
    <w:rsid w:val="00EC04E7"/>
    <w:rsid w:val="00EC05A6"/>
    <w:rsid w:val="00EC2B2F"/>
    <w:rsid w:val="00EC33E7"/>
    <w:rsid w:val="00EC3A0C"/>
    <w:rsid w:val="00EC72FA"/>
    <w:rsid w:val="00ED085B"/>
    <w:rsid w:val="00ED16CB"/>
    <w:rsid w:val="00ED1D2C"/>
    <w:rsid w:val="00ED732A"/>
    <w:rsid w:val="00EE31B4"/>
    <w:rsid w:val="00EE336B"/>
    <w:rsid w:val="00EF1CD7"/>
    <w:rsid w:val="00EF1DB8"/>
    <w:rsid w:val="00EF3280"/>
    <w:rsid w:val="00EF551F"/>
    <w:rsid w:val="00EF5797"/>
    <w:rsid w:val="00F11850"/>
    <w:rsid w:val="00F13D5C"/>
    <w:rsid w:val="00F14954"/>
    <w:rsid w:val="00F14DA7"/>
    <w:rsid w:val="00F15C8D"/>
    <w:rsid w:val="00F161A9"/>
    <w:rsid w:val="00F17312"/>
    <w:rsid w:val="00F2273D"/>
    <w:rsid w:val="00F30A51"/>
    <w:rsid w:val="00F31D64"/>
    <w:rsid w:val="00F32207"/>
    <w:rsid w:val="00F32A3F"/>
    <w:rsid w:val="00F3719B"/>
    <w:rsid w:val="00F432F9"/>
    <w:rsid w:val="00F45754"/>
    <w:rsid w:val="00F4690B"/>
    <w:rsid w:val="00F50C93"/>
    <w:rsid w:val="00F54C32"/>
    <w:rsid w:val="00F55D64"/>
    <w:rsid w:val="00F65D1B"/>
    <w:rsid w:val="00F7204C"/>
    <w:rsid w:val="00F722AB"/>
    <w:rsid w:val="00F749D5"/>
    <w:rsid w:val="00F8304D"/>
    <w:rsid w:val="00F925A2"/>
    <w:rsid w:val="00F945C7"/>
    <w:rsid w:val="00F9493A"/>
    <w:rsid w:val="00F969B8"/>
    <w:rsid w:val="00FA65A3"/>
    <w:rsid w:val="00FA7A1A"/>
    <w:rsid w:val="00FB1584"/>
    <w:rsid w:val="00FB301E"/>
    <w:rsid w:val="00FC1112"/>
    <w:rsid w:val="00FC2985"/>
    <w:rsid w:val="00FC2BAE"/>
    <w:rsid w:val="00FC5C35"/>
    <w:rsid w:val="00FC7A0E"/>
    <w:rsid w:val="00FD10CE"/>
    <w:rsid w:val="00FD142C"/>
    <w:rsid w:val="00FD14D5"/>
    <w:rsid w:val="00FD2C2C"/>
    <w:rsid w:val="00FD4112"/>
    <w:rsid w:val="00FD4493"/>
    <w:rsid w:val="00FD72B5"/>
    <w:rsid w:val="00FE0779"/>
    <w:rsid w:val="00FE4225"/>
    <w:rsid w:val="00FE4FD4"/>
    <w:rsid w:val="00FE713E"/>
    <w:rsid w:val="00FF09EB"/>
    <w:rsid w:val="00FF3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443E3"/>
  <w15:docId w15:val="{511A07FF-76E6-4F80-81A1-A862A727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AD7"/>
  </w:style>
  <w:style w:type="paragraph" w:styleId="1">
    <w:name w:val="heading 1"/>
    <w:basedOn w:val="a"/>
    <w:next w:val="a"/>
    <w:link w:val="10"/>
    <w:uiPriority w:val="9"/>
    <w:qFormat/>
    <w:rsid w:val="002069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0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D7"/>
    <w:pPr>
      <w:ind w:left="720"/>
      <w:contextualSpacing/>
    </w:pPr>
  </w:style>
  <w:style w:type="paragraph" w:styleId="a4">
    <w:name w:val="header"/>
    <w:basedOn w:val="a"/>
    <w:link w:val="a5"/>
    <w:uiPriority w:val="99"/>
    <w:unhideWhenUsed/>
    <w:rsid w:val="002F6B8D"/>
    <w:pPr>
      <w:tabs>
        <w:tab w:val="center" w:pos="4536"/>
        <w:tab w:val="right" w:pos="9072"/>
      </w:tabs>
      <w:spacing w:after="0" w:line="240" w:lineRule="auto"/>
    </w:pPr>
  </w:style>
  <w:style w:type="character" w:customStyle="1" w:styleId="a5">
    <w:name w:val="页眉 字符"/>
    <w:basedOn w:val="a0"/>
    <w:link w:val="a4"/>
    <w:uiPriority w:val="99"/>
    <w:rsid w:val="002F6B8D"/>
  </w:style>
  <w:style w:type="paragraph" w:styleId="a6">
    <w:name w:val="footer"/>
    <w:basedOn w:val="a"/>
    <w:link w:val="a7"/>
    <w:uiPriority w:val="99"/>
    <w:unhideWhenUsed/>
    <w:rsid w:val="002F6B8D"/>
    <w:pPr>
      <w:tabs>
        <w:tab w:val="center" w:pos="4536"/>
        <w:tab w:val="right" w:pos="9072"/>
      </w:tabs>
      <w:spacing w:after="0" w:line="240" w:lineRule="auto"/>
    </w:pPr>
  </w:style>
  <w:style w:type="character" w:customStyle="1" w:styleId="a7">
    <w:name w:val="页脚 字符"/>
    <w:basedOn w:val="a0"/>
    <w:link w:val="a6"/>
    <w:uiPriority w:val="99"/>
    <w:rsid w:val="002F6B8D"/>
  </w:style>
  <w:style w:type="character" w:styleId="a8">
    <w:name w:val="line number"/>
    <w:basedOn w:val="a0"/>
    <w:uiPriority w:val="99"/>
    <w:semiHidden/>
    <w:unhideWhenUsed/>
    <w:rsid w:val="002F6B8D"/>
  </w:style>
  <w:style w:type="paragraph" w:styleId="a9">
    <w:name w:val="Bibliography"/>
    <w:basedOn w:val="a"/>
    <w:next w:val="a"/>
    <w:uiPriority w:val="37"/>
    <w:unhideWhenUsed/>
    <w:rsid w:val="00961678"/>
    <w:pPr>
      <w:tabs>
        <w:tab w:val="left" w:pos="504"/>
      </w:tabs>
      <w:spacing w:after="240" w:line="240" w:lineRule="auto"/>
      <w:ind w:left="504" w:hanging="504"/>
    </w:pPr>
  </w:style>
  <w:style w:type="table" w:styleId="aa">
    <w:name w:val="Table Grid"/>
    <w:basedOn w:val="a1"/>
    <w:uiPriority w:val="39"/>
    <w:rsid w:val="00BC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61C28"/>
    <w:rPr>
      <w:sz w:val="16"/>
      <w:szCs w:val="16"/>
    </w:rPr>
  </w:style>
  <w:style w:type="paragraph" w:styleId="ac">
    <w:name w:val="annotation text"/>
    <w:basedOn w:val="a"/>
    <w:link w:val="ad"/>
    <w:uiPriority w:val="99"/>
    <w:semiHidden/>
    <w:unhideWhenUsed/>
    <w:rsid w:val="00E61C28"/>
    <w:pPr>
      <w:spacing w:line="240" w:lineRule="auto"/>
    </w:pPr>
    <w:rPr>
      <w:sz w:val="20"/>
      <w:szCs w:val="20"/>
    </w:rPr>
  </w:style>
  <w:style w:type="character" w:customStyle="1" w:styleId="ad">
    <w:name w:val="批注文字 字符"/>
    <w:basedOn w:val="a0"/>
    <w:link w:val="ac"/>
    <w:uiPriority w:val="99"/>
    <w:semiHidden/>
    <w:rsid w:val="00E61C28"/>
    <w:rPr>
      <w:sz w:val="20"/>
      <w:szCs w:val="20"/>
    </w:rPr>
  </w:style>
  <w:style w:type="paragraph" w:styleId="ae">
    <w:name w:val="annotation subject"/>
    <w:basedOn w:val="ac"/>
    <w:next w:val="ac"/>
    <w:link w:val="af"/>
    <w:uiPriority w:val="99"/>
    <w:semiHidden/>
    <w:unhideWhenUsed/>
    <w:rsid w:val="00E61C28"/>
    <w:rPr>
      <w:b/>
      <w:bCs/>
    </w:rPr>
  </w:style>
  <w:style w:type="character" w:customStyle="1" w:styleId="af">
    <w:name w:val="批注主题 字符"/>
    <w:basedOn w:val="ad"/>
    <w:link w:val="ae"/>
    <w:uiPriority w:val="99"/>
    <w:semiHidden/>
    <w:rsid w:val="00E61C28"/>
    <w:rPr>
      <w:b/>
      <w:bCs/>
      <w:sz w:val="20"/>
      <w:szCs w:val="20"/>
    </w:rPr>
  </w:style>
  <w:style w:type="paragraph" w:styleId="af0">
    <w:name w:val="Balloon Text"/>
    <w:basedOn w:val="a"/>
    <w:link w:val="af1"/>
    <w:uiPriority w:val="99"/>
    <w:semiHidden/>
    <w:unhideWhenUsed/>
    <w:rsid w:val="00E61C28"/>
    <w:pPr>
      <w:spacing w:after="0" w:line="240" w:lineRule="auto"/>
    </w:pPr>
    <w:rPr>
      <w:rFonts w:ascii="Segoe UI" w:hAnsi="Segoe UI" w:cs="Segoe UI"/>
      <w:sz w:val="18"/>
      <w:szCs w:val="18"/>
    </w:rPr>
  </w:style>
  <w:style w:type="character" w:customStyle="1" w:styleId="af1">
    <w:name w:val="批注框文本 字符"/>
    <w:basedOn w:val="a0"/>
    <w:link w:val="af0"/>
    <w:uiPriority w:val="99"/>
    <w:semiHidden/>
    <w:rsid w:val="00E61C28"/>
    <w:rPr>
      <w:rFonts w:ascii="Segoe UI" w:hAnsi="Segoe UI" w:cs="Segoe UI"/>
      <w:sz w:val="18"/>
      <w:szCs w:val="18"/>
    </w:rPr>
  </w:style>
  <w:style w:type="paragraph" w:styleId="af2">
    <w:name w:val="endnote text"/>
    <w:basedOn w:val="a"/>
    <w:link w:val="af3"/>
    <w:uiPriority w:val="99"/>
    <w:semiHidden/>
    <w:unhideWhenUsed/>
    <w:rsid w:val="00AF1416"/>
    <w:pPr>
      <w:spacing w:after="0" w:line="240" w:lineRule="auto"/>
    </w:pPr>
    <w:rPr>
      <w:sz w:val="20"/>
      <w:szCs w:val="20"/>
    </w:rPr>
  </w:style>
  <w:style w:type="character" w:customStyle="1" w:styleId="af3">
    <w:name w:val="尾注文本 字符"/>
    <w:basedOn w:val="a0"/>
    <w:link w:val="af2"/>
    <w:uiPriority w:val="99"/>
    <w:semiHidden/>
    <w:rsid w:val="00AF1416"/>
    <w:rPr>
      <w:sz w:val="20"/>
      <w:szCs w:val="20"/>
    </w:rPr>
  </w:style>
  <w:style w:type="character" w:styleId="af4">
    <w:name w:val="endnote reference"/>
    <w:basedOn w:val="a0"/>
    <w:uiPriority w:val="99"/>
    <w:semiHidden/>
    <w:unhideWhenUsed/>
    <w:rsid w:val="00AF1416"/>
    <w:rPr>
      <w:vertAlign w:val="superscript"/>
    </w:rPr>
  </w:style>
  <w:style w:type="character" w:styleId="af5">
    <w:name w:val="Hyperlink"/>
    <w:basedOn w:val="a0"/>
    <w:uiPriority w:val="99"/>
    <w:unhideWhenUsed/>
    <w:rsid w:val="006F3984"/>
    <w:rPr>
      <w:color w:val="0563C1" w:themeColor="hyperlink"/>
      <w:u w:val="single"/>
    </w:rPr>
  </w:style>
  <w:style w:type="character" w:customStyle="1" w:styleId="10">
    <w:name w:val="标题 1 字符"/>
    <w:basedOn w:val="a0"/>
    <w:link w:val="1"/>
    <w:uiPriority w:val="9"/>
    <w:rsid w:val="00206998"/>
    <w:rPr>
      <w:rFonts w:asciiTheme="majorHAnsi" w:eastAsiaTheme="majorEastAsia" w:hAnsiTheme="majorHAnsi" w:cstheme="majorBidi"/>
      <w:color w:val="2E74B5" w:themeColor="accent1" w:themeShade="BF"/>
      <w:sz w:val="32"/>
      <w:szCs w:val="32"/>
    </w:rPr>
  </w:style>
  <w:style w:type="character" w:customStyle="1" w:styleId="af6">
    <w:name w:val="标题 字符"/>
    <w:basedOn w:val="a0"/>
    <w:link w:val="af7"/>
    <w:uiPriority w:val="10"/>
    <w:rsid w:val="00C16F95"/>
    <w:rPr>
      <w:rFonts w:ascii="Calibri Light" w:eastAsia="等线 Light" w:hAnsi="Calibri Light" w:cs="Times New Roman"/>
      <w:spacing w:val="-10"/>
      <w:kern w:val="28"/>
      <w:sz w:val="56"/>
      <w:szCs w:val="56"/>
    </w:rPr>
  </w:style>
  <w:style w:type="paragraph" w:styleId="af7">
    <w:name w:val="Title"/>
    <w:basedOn w:val="a"/>
    <w:next w:val="a"/>
    <w:link w:val="af6"/>
    <w:uiPriority w:val="10"/>
    <w:qFormat/>
    <w:rsid w:val="00C16F95"/>
    <w:pPr>
      <w:spacing w:after="0" w:line="240" w:lineRule="auto"/>
      <w:contextualSpacing/>
    </w:pPr>
    <w:rPr>
      <w:rFonts w:ascii="Calibri Light" w:eastAsia="等线 Light" w:hAnsi="Calibri Light" w:cs="Times New Roman"/>
      <w:spacing w:val="-10"/>
      <w:kern w:val="28"/>
      <w:sz w:val="56"/>
      <w:szCs w:val="56"/>
    </w:rPr>
  </w:style>
  <w:style w:type="character" w:customStyle="1" w:styleId="TitreCar1">
    <w:name w:val="Titre Car1"/>
    <w:basedOn w:val="a0"/>
    <w:uiPriority w:val="10"/>
    <w:rsid w:val="00C16F95"/>
    <w:rPr>
      <w:rFonts w:asciiTheme="majorHAnsi" w:eastAsiaTheme="majorEastAsia" w:hAnsiTheme="majorHAnsi" w:cstheme="majorBidi"/>
      <w:spacing w:val="-10"/>
      <w:kern w:val="28"/>
      <w:sz w:val="56"/>
      <w:szCs w:val="56"/>
    </w:rPr>
  </w:style>
  <w:style w:type="paragraph" w:styleId="af8">
    <w:name w:val="footnote text"/>
    <w:basedOn w:val="a"/>
    <w:link w:val="af9"/>
    <w:uiPriority w:val="99"/>
    <w:semiHidden/>
    <w:unhideWhenUsed/>
    <w:rsid w:val="00561FC3"/>
    <w:pPr>
      <w:spacing w:after="0" w:line="240" w:lineRule="auto"/>
    </w:pPr>
    <w:rPr>
      <w:sz w:val="20"/>
      <w:szCs w:val="20"/>
    </w:rPr>
  </w:style>
  <w:style w:type="character" w:customStyle="1" w:styleId="af9">
    <w:name w:val="脚注文本 字符"/>
    <w:basedOn w:val="a0"/>
    <w:link w:val="af8"/>
    <w:uiPriority w:val="99"/>
    <w:semiHidden/>
    <w:rsid w:val="00561FC3"/>
    <w:rPr>
      <w:sz w:val="20"/>
      <w:szCs w:val="20"/>
    </w:rPr>
  </w:style>
  <w:style w:type="character" w:styleId="afa">
    <w:name w:val="footnote reference"/>
    <w:basedOn w:val="a0"/>
    <w:uiPriority w:val="99"/>
    <w:semiHidden/>
    <w:unhideWhenUsed/>
    <w:rsid w:val="00561FC3"/>
    <w:rPr>
      <w:vertAlign w:val="superscript"/>
    </w:rPr>
  </w:style>
  <w:style w:type="character" w:customStyle="1" w:styleId="20">
    <w:name w:val="标题 2 字符"/>
    <w:basedOn w:val="a0"/>
    <w:link w:val="2"/>
    <w:uiPriority w:val="9"/>
    <w:semiHidden/>
    <w:rsid w:val="00BC0E20"/>
    <w:rPr>
      <w:rFonts w:asciiTheme="majorHAnsi" w:eastAsiaTheme="majorEastAsia" w:hAnsiTheme="majorHAnsi" w:cstheme="majorBidi"/>
      <w:color w:val="2E74B5" w:themeColor="accent1" w:themeShade="BF"/>
      <w:sz w:val="26"/>
      <w:szCs w:val="26"/>
    </w:rPr>
  </w:style>
  <w:style w:type="paragraph" w:styleId="afb">
    <w:name w:val="Normal (Web)"/>
    <w:basedOn w:val="a"/>
    <w:uiPriority w:val="99"/>
    <w:semiHidden/>
    <w:unhideWhenUsed/>
    <w:rsid w:val="00BC0E2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afc">
    <w:name w:val="FollowedHyperlink"/>
    <w:basedOn w:val="a0"/>
    <w:uiPriority w:val="99"/>
    <w:semiHidden/>
    <w:unhideWhenUsed/>
    <w:rsid w:val="00BC0E20"/>
    <w:rPr>
      <w:color w:val="954F72"/>
      <w:u w:val="single"/>
    </w:rPr>
  </w:style>
  <w:style w:type="paragraph" w:customStyle="1" w:styleId="font0">
    <w:name w:val="font0"/>
    <w:basedOn w:val="a"/>
    <w:rsid w:val="00BC0E2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5">
    <w:name w:val="font5"/>
    <w:basedOn w:val="a"/>
    <w:rsid w:val="00BC0E2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font6">
    <w:name w:val="font6"/>
    <w:basedOn w:val="a"/>
    <w:rsid w:val="00BC0E20"/>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7">
    <w:name w:val="font7"/>
    <w:basedOn w:val="a"/>
    <w:rsid w:val="00BC0E20"/>
    <w:pPr>
      <w:spacing w:before="100" w:beforeAutospacing="1" w:after="100" w:afterAutospacing="1" w:line="240" w:lineRule="auto"/>
    </w:pPr>
    <w:rPr>
      <w:rFonts w:ascii="Calibri" w:eastAsia="Times New Roman" w:hAnsi="Calibri" w:cs="Times New Roman"/>
      <w:b/>
      <w:bCs/>
      <w:color w:val="000000"/>
      <w:lang w:eastAsia="fr-FR"/>
    </w:rPr>
  </w:style>
  <w:style w:type="paragraph" w:customStyle="1" w:styleId="xl65">
    <w:name w:val="xl65"/>
    <w:basedOn w:val="a"/>
    <w:rsid w:val="00BC0E2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6">
    <w:name w:val="xl66"/>
    <w:basedOn w:val="a"/>
    <w:rsid w:val="00BC0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a"/>
    <w:rsid w:val="00BC0E20"/>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a"/>
    <w:rsid w:val="00BC0E2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0">
    <w:name w:val="xl70"/>
    <w:basedOn w:val="a"/>
    <w:rsid w:val="00BC0E2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1">
    <w:name w:val="xl71"/>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a"/>
    <w:rsid w:val="00BC0E2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a"/>
    <w:rsid w:val="00BC0E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4">
    <w:name w:val="xl74"/>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5">
    <w:name w:val="xl75"/>
    <w:basedOn w:val="a"/>
    <w:rsid w:val="00BC0E2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6">
    <w:name w:val="xl76"/>
    <w:basedOn w:val="a"/>
    <w:rsid w:val="00BC0E20"/>
    <w:pP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7">
    <w:name w:val="xl77"/>
    <w:basedOn w:val="a"/>
    <w:rsid w:val="00BC0E20"/>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8">
    <w:name w:val="xl78"/>
    <w:basedOn w:val="a"/>
    <w:rsid w:val="00BC0E20"/>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9">
    <w:name w:val="xl79"/>
    <w:basedOn w:val="a"/>
    <w:rsid w:val="00BC0E20"/>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0">
    <w:name w:val="xl80"/>
    <w:basedOn w:val="a"/>
    <w:rsid w:val="00BC0E20"/>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2">
    <w:name w:val="xl82"/>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3">
    <w:name w:val="xl83"/>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a"/>
    <w:rsid w:val="00BC0E2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5">
    <w:name w:val="xl85"/>
    <w:basedOn w:val="a"/>
    <w:rsid w:val="00BC0E20"/>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6">
    <w:name w:val="xl86"/>
    <w:basedOn w:val="a"/>
    <w:rsid w:val="00BC0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7">
    <w:name w:val="xl87"/>
    <w:basedOn w:val="a"/>
    <w:rsid w:val="00BC0E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8">
    <w:name w:val="xl88"/>
    <w:basedOn w:val="a"/>
    <w:rsid w:val="00BC0E20"/>
    <w:pPr>
      <w:pBdr>
        <w:bottom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9">
    <w:name w:val="xl89"/>
    <w:basedOn w:val="a"/>
    <w:rsid w:val="00BC0E20"/>
    <w:pPr>
      <w:pBdr>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90">
    <w:name w:val="xl90"/>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a"/>
    <w:rsid w:val="00BC0E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2">
    <w:name w:val="xl92"/>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3">
    <w:name w:val="xl93"/>
    <w:basedOn w:val="a"/>
    <w:rsid w:val="00BC0E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4">
    <w:name w:val="xl94"/>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5">
    <w:name w:val="xl95"/>
    <w:basedOn w:val="a"/>
    <w:rsid w:val="00BC0E2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6">
    <w:name w:val="xl96"/>
    <w:basedOn w:val="a"/>
    <w:rsid w:val="00BC0E2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a"/>
    <w:rsid w:val="00BC0E2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8">
    <w:name w:val="xl98"/>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a"/>
    <w:rsid w:val="00BC0E20"/>
    <w:pP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0">
    <w:name w:val="xl100"/>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1">
    <w:name w:val="xl101"/>
    <w:basedOn w:val="a"/>
    <w:rsid w:val="00BC0E2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2">
    <w:name w:val="xl102"/>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03">
    <w:name w:val="xl103"/>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4">
    <w:name w:val="xl104"/>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5">
    <w:name w:val="xl105"/>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6">
    <w:name w:val="xl106"/>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7">
    <w:name w:val="xl107"/>
    <w:basedOn w:val="a"/>
    <w:rsid w:val="00BC0E2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8">
    <w:name w:val="xl108"/>
    <w:basedOn w:val="a"/>
    <w:rsid w:val="00BC0E20"/>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09">
    <w:name w:val="xl109"/>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0">
    <w:name w:val="xl110"/>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1">
    <w:name w:val="xl111"/>
    <w:basedOn w:val="a"/>
    <w:rsid w:val="00BC0E20"/>
    <w:pPr>
      <w:pBdr>
        <w:top w:val="single" w:sz="8"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2">
    <w:name w:val="xl112"/>
    <w:basedOn w:val="a"/>
    <w:rsid w:val="00BC0E20"/>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3">
    <w:name w:val="xl113"/>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4">
    <w:name w:val="xl114"/>
    <w:basedOn w:val="a"/>
    <w:rsid w:val="00BC0E2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15">
    <w:name w:val="xl115"/>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6">
    <w:name w:val="xl116"/>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a"/>
    <w:rsid w:val="00BC0E20"/>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18">
    <w:name w:val="xl118"/>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9">
    <w:name w:val="xl119"/>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0">
    <w:name w:val="xl120"/>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1">
    <w:name w:val="xl121"/>
    <w:basedOn w:val="a"/>
    <w:rsid w:val="00BC0E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2">
    <w:name w:val="xl122"/>
    <w:basedOn w:val="a"/>
    <w:rsid w:val="00BC0E2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3">
    <w:name w:val="xl123"/>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4">
    <w:name w:val="xl124"/>
    <w:basedOn w:val="a"/>
    <w:rsid w:val="00BC0E20"/>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5">
    <w:name w:val="xl125"/>
    <w:basedOn w:val="a"/>
    <w:rsid w:val="00BC0E2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6">
    <w:name w:val="xl126"/>
    <w:basedOn w:val="a"/>
    <w:rsid w:val="00BC0E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7">
    <w:name w:val="xl127"/>
    <w:basedOn w:val="a"/>
    <w:rsid w:val="00BC0E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28">
    <w:name w:val="xl128"/>
    <w:basedOn w:val="a"/>
    <w:rsid w:val="00BC0E2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29">
    <w:name w:val="xl129"/>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0">
    <w:name w:val="xl130"/>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1">
    <w:name w:val="xl131"/>
    <w:basedOn w:val="a"/>
    <w:rsid w:val="00BC0E2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2">
    <w:name w:val="xl132"/>
    <w:basedOn w:val="a"/>
    <w:rsid w:val="00BC0E20"/>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3">
    <w:name w:val="xl133"/>
    <w:basedOn w:val="a"/>
    <w:rsid w:val="00BC0E20"/>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4">
    <w:name w:val="xl134"/>
    <w:basedOn w:val="a"/>
    <w:rsid w:val="00BC0E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5">
    <w:name w:val="xl135"/>
    <w:basedOn w:val="a"/>
    <w:rsid w:val="00BC0E20"/>
    <w:pPr>
      <w:pBdr>
        <w:top w:val="single" w:sz="8"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6">
    <w:name w:val="xl136"/>
    <w:basedOn w:val="a"/>
    <w:rsid w:val="00BC0E20"/>
    <w:pPr>
      <w:pBdr>
        <w:top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7">
    <w:name w:val="xl137"/>
    <w:basedOn w:val="a"/>
    <w:rsid w:val="00BC0E20"/>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38">
    <w:name w:val="xl138"/>
    <w:basedOn w:val="a"/>
    <w:rsid w:val="00BC0E20"/>
    <w:pPr>
      <w:shd w:val="clear" w:color="000000"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9">
    <w:name w:val="xl139"/>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0">
    <w:name w:val="xl140"/>
    <w:basedOn w:val="a"/>
    <w:rsid w:val="00BC0E20"/>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41">
    <w:name w:val="xl141"/>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2">
    <w:name w:val="xl142"/>
    <w:basedOn w:val="a"/>
    <w:rsid w:val="00BC0E20"/>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3">
    <w:name w:val="xl143"/>
    <w:basedOn w:val="a"/>
    <w:rsid w:val="00BC0E20"/>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4">
    <w:name w:val="xl144"/>
    <w:basedOn w:val="a"/>
    <w:rsid w:val="00BC0E20"/>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45">
    <w:name w:val="xl145"/>
    <w:basedOn w:val="a"/>
    <w:rsid w:val="00BC0E20"/>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En-tt">
    <w:name w:val="En-têt"/>
    <w:basedOn w:val="a"/>
    <w:uiPriority w:val="99"/>
    <w:rsid w:val="00BC0E20"/>
    <w:pPr>
      <w:tabs>
        <w:tab w:val="center" w:pos="4153"/>
        <w:tab w:val="right" w:pos="8306"/>
      </w:tabs>
      <w:spacing w:after="0" w:line="240" w:lineRule="auto"/>
    </w:pPr>
    <w:rPr>
      <w:rFonts w:ascii="Times New Roman" w:eastAsia="MS ??" w:hAnsi="Times New Roman" w:cs="Times New Roman"/>
      <w:sz w:val="24"/>
      <w:szCs w:val="24"/>
      <w:lang w:eastAsia="fr-FR"/>
    </w:rPr>
  </w:style>
  <w:style w:type="paragraph" w:customStyle="1" w:styleId="Piedd">
    <w:name w:val="Pied d"/>
    <w:basedOn w:val="a"/>
    <w:uiPriority w:val="99"/>
    <w:rsid w:val="00BC0E20"/>
    <w:pPr>
      <w:tabs>
        <w:tab w:val="center" w:pos="4153"/>
        <w:tab w:val="right" w:pos="8306"/>
      </w:tabs>
      <w:spacing w:after="0" w:line="240" w:lineRule="auto"/>
    </w:pPr>
    <w:rPr>
      <w:rFonts w:ascii="Times New Roman" w:eastAsia="MS ??" w:hAnsi="Times New Roman" w:cs="Times New Roman"/>
      <w:sz w:val="24"/>
      <w:szCs w:val="24"/>
      <w:lang w:eastAsia="fr-FR"/>
    </w:rPr>
  </w:style>
  <w:style w:type="character" w:customStyle="1" w:styleId="Numrodep">
    <w:name w:val="Numéro de p"/>
    <w:basedOn w:val="a0"/>
    <w:uiPriority w:val="99"/>
    <w:semiHidden/>
    <w:rsid w:val="00BC0E20"/>
    <w:rPr>
      <w:rFonts w:cs="Times New Roman"/>
    </w:rPr>
  </w:style>
  <w:style w:type="paragraph" w:styleId="TOC">
    <w:name w:val="TOC Heading"/>
    <w:basedOn w:val="1"/>
    <w:next w:val="a"/>
    <w:uiPriority w:val="39"/>
    <w:unhideWhenUsed/>
    <w:qFormat/>
    <w:rsid w:val="00BC0E20"/>
    <w:pPr>
      <w:outlineLvl w:val="9"/>
    </w:pPr>
    <w:rPr>
      <w:lang w:eastAsia="fr-FR"/>
    </w:rPr>
  </w:style>
  <w:style w:type="paragraph" w:styleId="TOC1">
    <w:name w:val="toc 1"/>
    <w:basedOn w:val="a"/>
    <w:next w:val="a"/>
    <w:autoRedefine/>
    <w:uiPriority w:val="39"/>
    <w:unhideWhenUsed/>
    <w:rsid w:val="00BC0E20"/>
    <w:pPr>
      <w:spacing w:after="100"/>
    </w:pPr>
  </w:style>
  <w:style w:type="paragraph" w:customStyle="1" w:styleId="xl146">
    <w:name w:val="xl146"/>
    <w:basedOn w:val="a"/>
    <w:rsid w:val="00BC0E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7">
    <w:name w:val="xl147"/>
    <w:basedOn w:val="a"/>
    <w:rsid w:val="00BC0E2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8">
    <w:name w:val="xl148"/>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9">
    <w:name w:val="xl149"/>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0">
    <w:name w:val="xl150"/>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1">
    <w:name w:val="xl151"/>
    <w:basedOn w:val="a"/>
    <w:rsid w:val="00BC0E2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2">
    <w:name w:val="xl152"/>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3">
    <w:name w:val="xl153"/>
    <w:basedOn w:val="a"/>
    <w:rsid w:val="00BC0E2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4">
    <w:name w:val="xl154"/>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5">
    <w:name w:val="xl155"/>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6">
    <w:name w:val="xl156"/>
    <w:basedOn w:val="a"/>
    <w:rsid w:val="00BC0E2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7">
    <w:name w:val="xl157"/>
    <w:basedOn w:val="a"/>
    <w:rsid w:val="00BC0E20"/>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58">
    <w:name w:val="xl158"/>
    <w:basedOn w:val="a"/>
    <w:rsid w:val="00BC0E2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59">
    <w:name w:val="xl159"/>
    <w:basedOn w:val="a"/>
    <w:rsid w:val="00BC0E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0">
    <w:name w:val="xl160"/>
    <w:basedOn w:val="a"/>
    <w:rsid w:val="00BC0E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1">
    <w:name w:val="xl161"/>
    <w:basedOn w:val="a"/>
    <w:rsid w:val="00BC0E20"/>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62">
    <w:name w:val="xl162"/>
    <w:basedOn w:val="a"/>
    <w:rsid w:val="00BC0E20"/>
    <w:pPr>
      <w:pBdr>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63">
    <w:name w:val="xl163"/>
    <w:basedOn w:val="a"/>
    <w:rsid w:val="00BC0E2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4">
    <w:name w:val="xl164"/>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5">
    <w:name w:val="xl165"/>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6">
    <w:name w:val="xl166"/>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7">
    <w:name w:val="xl167"/>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8">
    <w:name w:val="xl168"/>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69">
    <w:name w:val="xl169"/>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0">
    <w:name w:val="xl170"/>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1">
    <w:name w:val="xl171"/>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2">
    <w:name w:val="xl172"/>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173">
    <w:name w:val="xl173"/>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74">
    <w:name w:val="xl174"/>
    <w:basedOn w:val="a"/>
    <w:rsid w:val="00BC0E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75">
    <w:name w:val="xl175"/>
    <w:basedOn w:val="a"/>
    <w:rsid w:val="00BC0E20"/>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fr-FR"/>
    </w:rPr>
  </w:style>
  <w:style w:type="paragraph" w:customStyle="1" w:styleId="xl176">
    <w:name w:val="xl176"/>
    <w:basedOn w:val="a"/>
    <w:rsid w:val="00BC0E20"/>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fr-FR"/>
    </w:rPr>
  </w:style>
  <w:style w:type="paragraph" w:customStyle="1" w:styleId="xl177">
    <w:name w:val="xl177"/>
    <w:basedOn w:val="a"/>
    <w:rsid w:val="00BC0E20"/>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8">
    <w:name w:val="xl178"/>
    <w:basedOn w:val="a"/>
    <w:rsid w:val="00BC0E20"/>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9">
    <w:name w:val="xl179"/>
    <w:basedOn w:val="a"/>
    <w:rsid w:val="00BC0E2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0">
    <w:name w:val="xl180"/>
    <w:basedOn w:val="a"/>
    <w:rsid w:val="00BC0E20"/>
    <w:pPr>
      <w:pBdr>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1">
    <w:name w:val="xl181"/>
    <w:basedOn w:val="a"/>
    <w:rsid w:val="00BC0E2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2">
    <w:name w:val="xl182"/>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3">
    <w:name w:val="xl183"/>
    <w:basedOn w:val="a"/>
    <w:rsid w:val="00BC0E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fr-FR"/>
    </w:rPr>
  </w:style>
  <w:style w:type="paragraph" w:customStyle="1" w:styleId="xl184">
    <w:name w:val="xl184"/>
    <w:basedOn w:val="a"/>
    <w:rsid w:val="00BC0E2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5">
    <w:name w:val="xl185"/>
    <w:basedOn w:val="a"/>
    <w:rsid w:val="00BC0E2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6">
    <w:name w:val="xl186"/>
    <w:basedOn w:val="a"/>
    <w:rsid w:val="00BC0E2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7">
    <w:name w:val="xl187"/>
    <w:basedOn w:val="a"/>
    <w:rsid w:val="00BC0E20"/>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8">
    <w:name w:val="xl188"/>
    <w:basedOn w:val="a"/>
    <w:rsid w:val="00BC0E20"/>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89">
    <w:name w:val="xl189"/>
    <w:basedOn w:val="a"/>
    <w:rsid w:val="00BC0E20"/>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0">
    <w:name w:val="xl190"/>
    <w:basedOn w:val="a"/>
    <w:rsid w:val="00BC0E2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1">
    <w:name w:val="xl191"/>
    <w:basedOn w:val="a"/>
    <w:rsid w:val="00BC0E2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2">
    <w:name w:val="xl192"/>
    <w:basedOn w:val="a"/>
    <w:rsid w:val="00BC0E2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3">
    <w:name w:val="xl193"/>
    <w:basedOn w:val="a"/>
    <w:rsid w:val="00BC0E2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94">
    <w:name w:val="xl194"/>
    <w:basedOn w:val="a"/>
    <w:rsid w:val="00BC0E2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5">
    <w:name w:val="xl195"/>
    <w:basedOn w:val="a"/>
    <w:rsid w:val="00BC0E20"/>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6">
    <w:name w:val="xl196"/>
    <w:basedOn w:val="a"/>
    <w:rsid w:val="00BC0E2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7">
    <w:name w:val="xl197"/>
    <w:basedOn w:val="a"/>
    <w:rsid w:val="00BC0E20"/>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8">
    <w:name w:val="xl198"/>
    <w:basedOn w:val="a"/>
    <w:rsid w:val="00BC0E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styleId="afd">
    <w:name w:val="Revision"/>
    <w:hidden/>
    <w:uiPriority w:val="99"/>
    <w:semiHidden/>
    <w:rsid w:val="00BC0E20"/>
    <w:pPr>
      <w:spacing w:after="0" w:line="240" w:lineRule="auto"/>
    </w:pPr>
  </w:style>
  <w:style w:type="character" w:customStyle="1" w:styleId="shorttext">
    <w:name w:val="short_text"/>
    <w:basedOn w:val="a0"/>
    <w:rsid w:val="00BC0E20"/>
  </w:style>
  <w:style w:type="paragraph" w:styleId="TOC2">
    <w:name w:val="toc 2"/>
    <w:basedOn w:val="a"/>
    <w:next w:val="a"/>
    <w:autoRedefine/>
    <w:uiPriority w:val="39"/>
    <w:unhideWhenUsed/>
    <w:rsid w:val="00BC0E20"/>
    <w:pPr>
      <w:spacing w:after="100"/>
      <w:ind w:left="220"/>
    </w:pPr>
  </w:style>
  <w:style w:type="numbering" w:customStyle="1" w:styleId="Aucuneliste1">
    <w:name w:val="Aucune liste1"/>
    <w:next w:val="a2"/>
    <w:uiPriority w:val="99"/>
    <w:semiHidden/>
    <w:unhideWhenUsed/>
    <w:rsid w:val="00BC0E20"/>
  </w:style>
  <w:style w:type="character" w:customStyle="1" w:styleId="apple-converted-space">
    <w:name w:val="apple-converted-space"/>
    <w:basedOn w:val="a0"/>
    <w:rsid w:val="00BC0E20"/>
  </w:style>
  <w:style w:type="paragraph" w:styleId="afe">
    <w:name w:val="Document Map"/>
    <w:basedOn w:val="a"/>
    <w:link w:val="aff"/>
    <w:uiPriority w:val="99"/>
    <w:semiHidden/>
    <w:unhideWhenUsed/>
    <w:rsid w:val="00BC0E20"/>
    <w:pPr>
      <w:spacing w:after="0" w:line="240" w:lineRule="auto"/>
    </w:pPr>
    <w:rPr>
      <w:rFonts w:ascii="Lucida Grande" w:eastAsia="Calibri" w:hAnsi="Lucida Grande" w:cs="Lucida Grande"/>
      <w:sz w:val="24"/>
      <w:szCs w:val="24"/>
    </w:rPr>
  </w:style>
  <w:style w:type="character" w:customStyle="1" w:styleId="aff">
    <w:name w:val="文档结构图 字符"/>
    <w:basedOn w:val="a0"/>
    <w:link w:val="afe"/>
    <w:uiPriority w:val="99"/>
    <w:semiHidden/>
    <w:rsid w:val="00BC0E20"/>
    <w:rPr>
      <w:rFonts w:ascii="Lucida Grande" w:eastAsia="Calibri" w:hAnsi="Lucida Grande" w:cs="Lucida Grande"/>
      <w:sz w:val="24"/>
      <w:szCs w:val="24"/>
    </w:rPr>
  </w:style>
  <w:style w:type="character" w:customStyle="1" w:styleId="lang-en">
    <w:name w:val="lang-en"/>
    <w:basedOn w:val="a0"/>
    <w:rsid w:val="00BC0E20"/>
  </w:style>
  <w:style w:type="character" w:customStyle="1" w:styleId="xbe">
    <w:name w:val="_xbe"/>
    <w:basedOn w:val="a0"/>
    <w:rsid w:val="00BC0E20"/>
  </w:style>
  <w:style w:type="character" w:customStyle="1" w:styleId="Aucun">
    <w:name w:val="Aucun"/>
    <w:rsid w:val="00E7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897">
      <w:bodyDiv w:val="1"/>
      <w:marLeft w:val="0"/>
      <w:marRight w:val="0"/>
      <w:marTop w:val="0"/>
      <w:marBottom w:val="0"/>
      <w:divBdr>
        <w:top w:val="none" w:sz="0" w:space="0" w:color="auto"/>
        <w:left w:val="none" w:sz="0" w:space="0" w:color="auto"/>
        <w:bottom w:val="none" w:sz="0" w:space="0" w:color="auto"/>
        <w:right w:val="none" w:sz="0" w:space="0" w:color="auto"/>
      </w:divBdr>
    </w:div>
    <w:div w:id="1246113214">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45A6-1120-D942-BB30-97F939C1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36880</Words>
  <Characters>210221</Characters>
  <Application>Microsoft Office Word</Application>
  <DocSecurity>0</DocSecurity>
  <Lines>1751</Lines>
  <Paragraphs>493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Vienot</dc:creator>
  <cp:lastModifiedBy>마 유림</cp:lastModifiedBy>
  <cp:revision>3</cp:revision>
  <cp:lastPrinted>2019-10-27T19:31:00Z</cp:lastPrinted>
  <dcterms:created xsi:type="dcterms:W3CDTF">2020-01-21T08:08:00Z</dcterms:created>
  <dcterms:modified xsi:type="dcterms:W3CDTF">2020-02-03T09:29:00Z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id="cWUxgrwK"/&gt;&lt;style id="http://www.zotero.org/styles/american-medical-association" hasBibliography="1" bibliographyStyleHasBeenSet="1"/&gt;&lt;prefs&gt;&lt;pref name="fieldType" value="Field"/&gt;&lt;/prefs&gt;&lt;/data&gt;</vt:lpwstr>
  </property>
</Properties>
</file>