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41EA7" w14:textId="77777777" w:rsidR="003357F5" w:rsidRPr="00474499" w:rsidRDefault="003357F5" w:rsidP="00E96499">
      <w:pPr>
        <w:adjustRightInd w:val="0"/>
        <w:snapToGrid w:val="0"/>
        <w:spacing w:line="360" w:lineRule="auto"/>
        <w:rPr>
          <w:rFonts w:ascii="Book Antiqua" w:hAnsi="Book Antiqua" w:cs="Arial"/>
          <w:b/>
          <w:color w:val="000000"/>
          <w:sz w:val="24"/>
          <w:szCs w:val="24"/>
          <w:shd w:val="clear" w:color="auto" w:fill="FFFFFF"/>
        </w:rPr>
      </w:pPr>
      <w:r w:rsidRPr="00474499">
        <w:rPr>
          <w:rFonts w:ascii="Book Antiqua" w:hAnsi="Book Antiqua" w:cs="Arial"/>
          <w:b/>
          <w:color w:val="000000"/>
          <w:sz w:val="24"/>
          <w:szCs w:val="24"/>
          <w:shd w:val="clear" w:color="auto" w:fill="FFFFFF"/>
        </w:rPr>
        <w:t xml:space="preserve">Name of Journal: </w:t>
      </w:r>
      <w:r w:rsidRPr="00474499">
        <w:rPr>
          <w:rFonts w:ascii="Book Antiqua" w:hAnsi="Book Antiqua" w:cs="Arial"/>
          <w:i/>
          <w:color w:val="000000"/>
          <w:sz w:val="24"/>
          <w:szCs w:val="24"/>
          <w:shd w:val="clear" w:color="auto" w:fill="FFFFFF"/>
        </w:rPr>
        <w:t>World Journal of Gastrointestinal Oncology</w:t>
      </w:r>
    </w:p>
    <w:p w14:paraId="37A8D246" w14:textId="77777777" w:rsidR="003357F5" w:rsidRPr="00474499" w:rsidRDefault="003357F5" w:rsidP="00E96499">
      <w:pPr>
        <w:adjustRightInd w:val="0"/>
        <w:snapToGrid w:val="0"/>
        <w:spacing w:line="360" w:lineRule="auto"/>
        <w:rPr>
          <w:rFonts w:ascii="Book Antiqua" w:hAnsi="Book Antiqua" w:cs="Arial"/>
          <w:b/>
          <w:color w:val="000000"/>
          <w:sz w:val="24"/>
          <w:szCs w:val="24"/>
          <w:shd w:val="clear" w:color="auto" w:fill="FFFFFF"/>
        </w:rPr>
      </w:pPr>
      <w:r w:rsidRPr="00474499">
        <w:rPr>
          <w:rFonts w:ascii="Book Antiqua" w:hAnsi="Book Antiqua" w:cs="Arial"/>
          <w:b/>
          <w:color w:val="000000"/>
          <w:sz w:val="24"/>
          <w:szCs w:val="24"/>
          <w:shd w:val="clear" w:color="auto" w:fill="FFFFFF"/>
        </w:rPr>
        <w:t xml:space="preserve">Manuscript NO: </w:t>
      </w:r>
      <w:r w:rsidRPr="00474499">
        <w:rPr>
          <w:rFonts w:ascii="Book Antiqua" w:hAnsi="Book Antiqua" w:cs="Arial"/>
          <w:color w:val="000000"/>
          <w:sz w:val="24"/>
          <w:szCs w:val="24"/>
          <w:shd w:val="clear" w:color="auto" w:fill="FFFFFF"/>
        </w:rPr>
        <w:t>51106</w:t>
      </w:r>
      <w:bookmarkStart w:id="0" w:name="_GoBack"/>
      <w:bookmarkEnd w:id="0"/>
    </w:p>
    <w:p w14:paraId="62978698" w14:textId="6813A719" w:rsidR="003357F5" w:rsidRPr="00474499" w:rsidRDefault="003357F5" w:rsidP="00E96499">
      <w:pPr>
        <w:adjustRightInd w:val="0"/>
        <w:snapToGrid w:val="0"/>
        <w:spacing w:line="360" w:lineRule="auto"/>
        <w:rPr>
          <w:rFonts w:ascii="Book Antiqua" w:eastAsia="YouYuan" w:hAnsi="Book Antiqua"/>
          <w:b/>
          <w:i/>
          <w:color w:val="000000"/>
          <w:sz w:val="24"/>
          <w:szCs w:val="24"/>
        </w:rPr>
      </w:pPr>
      <w:bookmarkStart w:id="1" w:name="OLE_LINK3"/>
      <w:bookmarkStart w:id="2" w:name="OLE_LINK4"/>
      <w:r w:rsidRPr="00474499">
        <w:rPr>
          <w:rFonts w:ascii="Book Antiqua" w:hAnsi="Book Antiqua"/>
          <w:b/>
          <w:color w:val="000000"/>
          <w:sz w:val="24"/>
          <w:szCs w:val="24"/>
          <w:shd w:val="clear" w:color="auto" w:fill="FFFFFF"/>
        </w:rPr>
        <w:t>Manuscript Type</w:t>
      </w:r>
      <w:r w:rsidRPr="00474499">
        <w:rPr>
          <w:rFonts w:ascii="Book Antiqua" w:hAnsi="Book Antiqua"/>
          <w:b/>
          <w:color w:val="000000"/>
          <w:sz w:val="24"/>
          <w:szCs w:val="24"/>
        </w:rPr>
        <w:t>:</w:t>
      </w:r>
      <w:bookmarkEnd w:id="1"/>
      <w:bookmarkEnd w:id="2"/>
      <w:r w:rsidRPr="00474499">
        <w:rPr>
          <w:rFonts w:ascii="Book Antiqua" w:hAnsi="Book Antiqua" w:cs="Arial"/>
          <w:b/>
          <w:color w:val="000000"/>
          <w:sz w:val="24"/>
          <w:szCs w:val="24"/>
          <w:shd w:val="clear" w:color="auto" w:fill="FFFFFF"/>
        </w:rPr>
        <w:t xml:space="preserve"> </w:t>
      </w:r>
      <w:r w:rsidR="00E51DE2" w:rsidRPr="00474499">
        <w:rPr>
          <w:rFonts w:ascii="Book Antiqua" w:hAnsi="Book Antiqua" w:cs="Arial"/>
          <w:color w:val="000000"/>
          <w:sz w:val="24"/>
          <w:szCs w:val="24"/>
          <w:shd w:val="clear" w:color="auto" w:fill="FFFFFF"/>
        </w:rPr>
        <w:t>ORIGINAL ARTICLE</w:t>
      </w:r>
    </w:p>
    <w:p w14:paraId="6A1353C7" w14:textId="77777777" w:rsidR="003357F5" w:rsidRPr="00474499" w:rsidRDefault="003357F5" w:rsidP="00E96499">
      <w:pPr>
        <w:adjustRightInd w:val="0"/>
        <w:snapToGrid w:val="0"/>
        <w:spacing w:line="360" w:lineRule="auto"/>
        <w:rPr>
          <w:rFonts w:ascii="Book Antiqua" w:hAnsi="Book Antiqua"/>
          <w:b/>
          <w:bCs/>
          <w:color w:val="000000"/>
          <w:sz w:val="24"/>
          <w:szCs w:val="24"/>
        </w:rPr>
      </w:pPr>
    </w:p>
    <w:p w14:paraId="4ED1AB09" w14:textId="40514F45" w:rsidR="00332D68" w:rsidRPr="00E96499" w:rsidRDefault="00332D68" w:rsidP="00E96499">
      <w:pPr>
        <w:adjustRightInd w:val="0"/>
        <w:snapToGrid w:val="0"/>
        <w:spacing w:line="360" w:lineRule="auto"/>
        <w:rPr>
          <w:rFonts w:ascii="Book Antiqua" w:hAnsi="Book Antiqua"/>
          <w:b/>
          <w:bCs/>
          <w:i/>
          <w:color w:val="000000"/>
          <w:sz w:val="24"/>
          <w:szCs w:val="24"/>
        </w:rPr>
      </w:pPr>
      <w:r w:rsidRPr="00E96499">
        <w:rPr>
          <w:rFonts w:ascii="Book Antiqua" w:eastAsia="YouYuan" w:hAnsi="Book Antiqua"/>
          <w:b/>
          <w:i/>
          <w:color w:val="000000"/>
          <w:sz w:val="24"/>
          <w:szCs w:val="24"/>
        </w:rPr>
        <w:t>Retrospective Study</w:t>
      </w:r>
    </w:p>
    <w:p w14:paraId="0281DBFA" w14:textId="5E4D3CBD" w:rsidR="003357F5" w:rsidRPr="00474499" w:rsidRDefault="003357F5" w:rsidP="00E96499">
      <w:pPr>
        <w:adjustRightInd w:val="0"/>
        <w:snapToGrid w:val="0"/>
        <w:spacing w:line="360" w:lineRule="auto"/>
        <w:rPr>
          <w:rFonts w:ascii="Book Antiqua" w:hAnsi="Book Antiqua"/>
          <w:b/>
          <w:bCs/>
          <w:color w:val="000000"/>
          <w:sz w:val="24"/>
          <w:szCs w:val="24"/>
        </w:rPr>
      </w:pPr>
      <w:r w:rsidRPr="00474499">
        <w:rPr>
          <w:rFonts w:ascii="Book Antiqua" w:hAnsi="Book Antiqua"/>
          <w:b/>
          <w:bCs/>
          <w:color w:val="000000"/>
          <w:sz w:val="24"/>
          <w:szCs w:val="24"/>
        </w:rPr>
        <w:t xml:space="preserve">Simultaneous </w:t>
      </w:r>
      <w:proofErr w:type="spellStart"/>
      <w:r w:rsidRPr="00474499">
        <w:rPr>
          <w:rFonts w:ascii="Book Antiqua" w:hAnsi="Book Antiqua"/>
          <w:b/>
          <w:bCs/>
          <w:color w:val="000000"/>
          <w:sz w:val="24"/>
          <w:szCs w:val="24"/>
        </w:rPr>
        <w:t>transarterial</w:t>
      </w:r>
      <w:proofErr w:type="spellEnd"/>
      <w:r w:rsidRPr="00474499">
        <w:rPr>
          <w:rFonts w:ascii="Book Antiqua" w:hAnsi="Book Antiqua"/>
          <w:b/>
          <w:bCs/>
          <w:color w:val="000000"/>
          <w:sz w:val="24"/>
          <w:szCs w:val="24"/>
        </w:rPr>
        <w:t xml:space="preserve"> chemoembolization and radiofrequency ablation for</w:t>
      </w:r>
      <w:r w:rsidR="00332D68" w:rsidRPr="00474499">
        <w:rPr>
          <w:rFonts w:ascii="Book Antiqua" w:hAnsi="Book Antiqua"/>
          <w:b/>
          <w:bCs/>
          <w:color w:val="000000"/>
          <w:sz w:val="24"/>
          <w:szCs w:val="24"/>
        </w:rPr>
        <w:t xml:space="preserve"> large hepatocellular carcinoma</w:t>
      </w:r>
    </w:p>
    <w:p w14:paraId="542016D8" w14:textId="77777777" w:rsidR="00332D68" w:rsidRPr="00474499" w:rsidRDefault="00332D68" w:rsidP="00E96499">
      <w:pPr>
        <w:adjustRightInd w:val="0"/>
        <w:snapToGrid w:val="0"/>
        <w:spacing w:line="360" w:lineRule="auto"/>
        <w:rPr>
          <w:rFonts w:ascii="Book Antiqua" w:hAnsi="Book Antiqua"/>
          <w:b/>
          <w:bCs/>
          <w:color w:val="000000"/>
          <w:kern w:val="0"/>
          <w:sz w:val="24"/>
          <w:szCs w:val="24"/>
        </w:rPr>
      </w:pPr>
    </w:p>
    <w:p w14:paraId="4AE0C1C3" w14:textId="3DD2E49E" w:rsidR="003357F5" w:rsidRPr="00474499" w:rsidRDefault="00332D68" w:rsidP="00E96499">
      <w:pPr>
        <w:widowControl/>
        <w:adjustRightInd w:val="0"/>
        <w:snapToGrid w:val="0"/>
        <w:spacing w:line="360" w:lineRule="auto"/>
        <w:rPr>
          <w:rFonts w:ascii="Book Antiqua" w:hAnsi="Book Antiqua"/>
          <w:color w:val="000000"/>
          <w:kern w:val="0"/>
          <w:sz w:val="24"/>
          <w:szCs w:val="24"/>
        </w:rPr>
      </w:pPr>
      <w:proofErr w:type="spellStart"/>
      <w:r w:rsidRPr="00474499">
        <w:rPr>
          <w:rFonts w:ascii="Book Antiqua" w:hAnsi="Book Antiqua"/>
          <w:color w:val="000000"/>
          <w:kern w:val="0"/>
          <w:sz w:val="24"/>
          <w:szCs w:val="24"/>
        </w:rPr>
        <w:t>Duan</w:t>
      </w:r>
      <w:proofErr w:type="spellEnd"/>
      <w:r w:rsidRPr="00474499">
        <w:rPr>
          <w:rFonts w:ascii="Book Antiqua" w:hAnsi="Book Antiqua"/>
          <w:color w:val="000000"/>
          <w:kern w:val="0"/>
          <w:sz w:val="24"/>
          <w:szCs w:val="24"/>
        </w:rPr>
        <w:t xml:space="preserve"> F </w:t>
      </w:r>
      <w:r w:rsidRPr="00474499">
        <w:rPr>
          <w:rFonts w:ascii="Book Antiqua" w:hAnsi="Book Antiqua"/>
          <w:i/>
          <w:color w:val="000000"/>
          <w:kern w:val="0"/>
          <w:sz w:val="24"/>
          <w:szCs w:val="24"/>
        </w:rPr>
        <w:t>et al</w:t>
      </w:r>
      <w:r w:rsidRPr="00474499">
        <w:rPr>
          <w:rFonts w:ascii="Book Antiqua" w:hAnsi="Book Antiqua"/>
          <w:color w:val="000000"/>
          <w:kern w:val="0"/>
          <w:sz w:val="24"/>
          <w:szCs w:val="24"/>
        </w:rPr>
        <w:t xml:space="preserve">. </w:t>
      </w:r>
      <w:r w:rsidR="003357F5" w:rsidRPr="00474499">
        <w:rPr>
          <w:rFonts w:ascii="Book Antiqua" w:hAnsi="Book Antiqua"/>
          <w:color w:val="000000"/>
          <w:kern w:val="0"/>
          <w:sz w:val="24"/>
          <w:szCs w:val="24"/>
        </w:rPr>
        <w:t>Simultaneous TACE and RFA for large HCC</w:t>
      </w:r>
    </w:p>
    <w:p w14:paraId="5E995E75" w14:textId="77777777" w:rsidR="00332D68" w:rsidRPr="00474499" w:rsidRDefault="00332D68" w:rsidP="00E96499">
      <w:pPr>
        <w:widowControl/>
        <w:adjustRightInd w:val="0"/>
        <w:snapToGrid w:val="0"/>
        <w:spacing w:line="360" w:lineRule="auto"/>
        <w:rPr>
          <w:rFonts w:ascii="Book Antiqua" w:hAnsi="Book Antiqua"/>
          <w:color w:val="000000"/>
          <w:kern w:val="0"/>
          <w:sz w:val="24"/>
          <w:szCs w:val="24"/>
        </w:rPr>
      </w:pPr>
    </w:p>
    <w:p w14:paraId="2B763BAC" w14:textId="6ECE881A" w:rsidR="003357F5" w:rsidRPr="00474499" w:rsidRDefault="003357F5" w:rsidP="00E96499">
      <w:pPr>
        <w:widowControl/>
        <w:adjustRightInd w:val="0"/>
        <w:snapToGrid w:val="0"/>
        <w:spacing w:line="360" w:lineRule="auto"/>
        <w:ind w:left="1"/>
        <w:rPr>
          <w:rFonts w:ascii="Book Antiqua" w:hAnsi="Book Antiqua"/>
          <w:bCs/>
          <w:color w:val="000000"/>
          <w:sz w:val="24"/>
          <w:szCs w:val="24"/>
        </w:rPr>
      </w:pPr>
      <w:r w:rsidRPr="00474499">
        <w:rPr>
          <w:rFonts w:ascii="Book Antiqua" w:hAnsi="Book Antiqua"/>
          <w:bCs/>
          <w:color w:val="000000"/>
          <w:sz w:val="24"/>
          <w:szCs w:val="24"/>
        </w:rPr>
        <w:t xml:space="preserve">Feng </w:t>
      </w:r>
      <w:proofErr w:type="spellStart"/>
      <w:r w:rsidRPr="00474499">
        <w:rPr>
          <w:rFonts w:ascii="Book Antiqua" w:hAnsi="Book Antiqua"/>
          <w:bCs/>
          <w:color w:val="000000"/>
          <w:sz w:val="24"/>
          <w:szCs w:val="24"/>
        </w:rPr>
        <w:t>Duan</w:t>
      </w:r>
      <w:proofErr w:type="spellEnd"/>
      <w:r w:rsidRPr="00474499">
        <w:rPr>
          <w:rFonts w:ascii="Book Antiqua" w:hAnsi="Book Antiqua"/>
          <w:bCs/>
          <w:color w:val="000000"/>
          <w:sz w:val="24"/>
          <w:szCs w:val="24"/>
        </w:rPr>
        <w:t xml:space="preserve">, Yan-Hua Bai, Li Cui, Xiao-Hui Li, </w:t>
      </w:r>
      <w:proofErr w:type="spellStart"/>
      <w:r w:rsidRPr="00474499">
        <w:rPr>
          <w:rFonts w:ascii="Book Antiqua" w:hAnsi="Book Antiqua"/>
          <w:bCs/>
          <w:color w:val="000000"/>
          <w:sz w:val="24"/>
          <w:szCs w:val="24"/>
        </w:rPr>
        <w:t>Jie</w:t>
      </w:r>
      <w:proofErr w:type="spellEnd"/>
      <w:r w:rsidRPr="00474499">
        <w:rPr>
          <w:rFonts w:ascii="Book Antiqua" w:hAnsi="Book Antiqua"/>
          <w:bCs/>
          <w:color w:val="000000"/>
          <w:sz w:val="24"/>
          <w:szCs w:val="24"/>
        </w:rPr>
        <w:t>-</w:t>
      </w:r>
      <w:r w:rsidR="00332D68" w:rsidRPr="00474499">
        <w:rPr>
          <w:rFonts w:ascii="Book Antiqua" w:hAnsi="Book Antiqua"/>
          <w:bCs/>
          <w:color w:val="000000"/>
          <w:sz w:val="24"/>
          <w:szCs w:val="24"/>
        </w:rPr>
        <w:t xml:space="preserve">Yu </w:t>
      </w:r>
      <w:r w:rsidRPr="00474499">
        <w:rPr>
          <w:rFonts w:ascii="Book Antiqua" w:hAnsi="Book Antiqua"/>
          <w:bCs/>
          <w:color w:val="000000"/>
          <w:sz w:val="24"/>
          <w:szCs w:val="24"/>
        </w:rPr>
        <w:t>Yan, Mao</w:t>
      </w:r>
      <w:r w:rsidR="00332D68" w:rsidRPr="00474499">
        <w:rPr>
          <w:rFonts w:ascii="Book Antiqua" w:hAnsi="Book Antiqua" w:cs="SimSun"/>
          <w:bCs/>
          <w:color w:val="000000"/>
          <w:sz w:val="24"/>
          <w:szCs w:val="24"/>
        </w:rPr>
        <w:t>-</w:t>
      </w:r>
      <w:proofErr w:type="spellStart"/>
      <w:r w:rsidRPr="00474499">
        <w:rPr>
          <w:rFonts w:ascii="Book Antiqua" w:hAnsi="Book Antiqua"/>
          <w:bCs/>
          <w:color w:val="000000"/>
          <w:sz w:val="24"/>
          <w:szCs w:val="24"/>
        </w:rPr>
        <w:t>Qiang</w:t>
      </w:r>
      <w:proofErr w:type="spellEnd"/>
      <w:r w:rsidRPr="00474499">
        <w:rPr>
          <w:rFonts w:ascii="Book Antiqua" w:hAnsi="Book Antiqua"/>
          <w:bCs/>
          <w:color w:val="000000"/>
          <w:sz w:val="24"/>
          <w:szCs w:val="24"/>
        </w:rPr>
        <w:t xml:space="preserve"> Wang</w:t>
      </w:r>
    </w:p>
    <w:p w14:paraId="39F97574" w14:textId="77777777" w:rsidR="00332D68" w:rsidRPr="00474499" w:rsidRDefault="00332D68" w:rsidP="00E96499">
      <w:pPr>
        <w:widowControl/>
        <w:adjustRightInd w:val="0"/>
        <w:snapToGrid w:val="0"/>
        <w:spacing w:line="360" w:lineRule="auto"/>
        <w:ind w:left="1"/>
        <w:rPr>
          <w:rFonts w:ascii="Book Antiqua" w:hAnsi="Book Antiqua"/>
          <w:bCs/>
          <w:color w:val="000000"/>
          <w:sz w:val="24"/>
          <w:szCs w:val="24"/>
        </w:rPr>
      </w:pPr>
    </w:p>
    <w:p w14:paraId="71DBFA31" w14:textId="7C1D6227" w:rsidR="003357F5" w:rsidRPr="00474499" w:rsidRDefault="00332D68" w:rsidP="00E96499">
      <w:pPr>
        <w:widowControl/>
        <w:adjustRightInd w:val="0"/>
        <w:snapToGrid w:val="0"/>
        <w:spacing w:line="360" w:lineRule="auto"/>
        <w:ind w:left="1"/>
        <w:rPr>
          <w:rFonts w:ascii="Book Antiqua" w:hAnsi="Book Antiqua"/>
          <w:color w:val="000000"/>
          <w:sz w:val="24"/>
          <w:szCs w:val="24"/>
        </w:rPr>
      </w:pPr>
      <w:r w:rsidRPr="00E96499">
        <w:rPr>
          <w:rFonts w:ascii="Book Antiqua" w:hAnsi="Book Antiqua"/>
          <w:b/>
          <w:bCs/>
          <w:color w:val="000000"/>
          <w:sz w:val="24"/>
          <w:szCs w:val="24"/>
        </w:rPr>
        <w:t xml:space="preserve">Feng </w:t>
      </w:r>
      <w:proofErr w:type="spellStart"/>
      <w:r w:rsidRPr="00E96499">
        <w:rPr>
          <w:rFonts w:ascii="Book Antiqua" w:hAnsi="Book Antiqua"/>
          <w:b/>
          <w:bCs/>
          <w:color w:val="000000"/>
          <w:sz w:val="24"/>
          <w:szCs w:val="24"/>
        </w:rPr>
        <w:t>Duan</w:t>
      </w:r>
      <w:proofErr w:type="spellEnd"/>
      <w:r w:rsidRPr="00E96499">
        <w:rPr>
          <w:rFonts w:ascii="Book Antiqua" w:hAnsi="Book Antiqua"/>
          <w:b/>
          <w:bCs/>
          <w:color w:val="000000"/>
          <w:sz w:val="24"/>
          <w:szCs w:val="24"/>
        </w:rPr>
        <w:t xml:space="preserve">, Yan-Hua Bai, Li Cui, Xiao-Hui Li, </w:t>
      </w:r>
      <w:proofErr w:type="spellStart"/>
      <w:r w:rsidRPr="00E96499">
        <w:rPr>
          <w:rFonts w:ascii="Book Antiqua" w:hAnsi="Book Antiqua"/>
          <w:b/>
          <w:bCs/>
          <w:color w:val="000000"/>
          <w:sz w:val="24"/>
          <w:szCs w:val="24"/>
        </w:rPr>
        <w:t>Jie</w:t>
      </w:r>
      <w:proofErr w:type="spellEnd"/>
      <w:r w:rsidRPr="00E96499">
        <w:rPr>
          <w:rFonts w:ascii="Book Antiqua" w:hAnsi="Book Antiqua"/>
          <w:b/>
          <w:bCs/>
          <w:color w:val="000000"/>
          <w:sz w:val="24"/>
          <w:szCs w:val="24"/>
        </w:rPr>
        <w:t>-Yu Yan, Mao</w:t>
      </w:r>
      <w:r w:rsidRPr="00E96499">
        <w:rPr>
          <w:rFonts w:ascii="Book Antiqua" w:hAnsi="Book Antiqua" w:cs="SimSun"/>
          <w:b/>
          <w:bCs/>
          <w:color w:val="000000"/>
          <w:sz w:val="24"/>
          <w:szCs w:val="24"/>
        </w:rPr>
        <w:t>-</w:t>
      </w:r>
      <w:proofErr w:type="spellStart"/>
      <w:r w:rsidRPr="00E96499">
        <w:rPr>
          <w:rFonts w:ascii="Book Antiqua" w:hAnsi="Book Antiqua"/>
          <w:b/>
          <w:bCs/>
          <w:color w:val="000000"/>
          <w:sz w:val="24"/>
          <w:szCs w:val="24"/>
        </w:rPr>
        <w:t>Qiang</w:t>
      </w:r>
      <w:proofErr w:type="spellEnd"/>
      <w:r w:rsidRPr="00E96499">
        <w:rPr>
          <w:rFonts w:ascii="Book Antiqua" w:hAnsi="Book Antiqua"/>
          <w:b/>
          <w:bCs/>
          <w:color w:val="000000"/>
          <w:sz w:val="24"/>
          <w:szCs w:val="24"/>
        </w:rPr>
        <w:t xml:space="preserve"> Wang, </w:t>
      </w:r>
      <w:r w:rsidR="003357F5" w:rsidRPr="00474499">
        <w:rPr>
          <w:rFonts w:ascii="Book Antiqua" w:hAnsi="Book Antiqua"/>
          <w:color w:val="000000"/>
          <w:sz w:val="24"/>
          <w:szCs w:val="24"/>
        </w:rPr>
        <w:t>Department of Interventional Radiology, General Hospital of Chinese People’s Liberation Army, Beijing 100853, China</w:t>
      </w:r>
    </w:p>
    <w:p w14:paraId="2B668B2C" w14:textId="77777777" w:rsidR="00332D68" w:rsidRPr="00474499" w:rsidRDefault="00332D68" w:rsidP="00E96499">
      <w:pPr>
        <w:widowControl/>
        <w:adjustRightInd w:val="0"/>
        <w:snapToGrid w:val="0"/>
        <w:spacing w:line="360" w:lineRule="auto"/>
        <w:ind w:left="1"/>
        <w:rPr>
          <w:rFonts w:ascii="Book Antiqua" w:hAnsi="Book Antiqua"/>
          <w:color w:val="000000"/>
          <w:sz w:val="24"/>
          <w:szCs w:val="24"/>
        </w:rPr>
      </w:pPr>
    </w:p>
    <w:p w14:paraId="1081368D" w14:textId="4C0A3E9A" w:rsidR="00332D68" w:rsidRPr="00E96499" w:rsidRDefault="003357F5" w:rsidP="00E96499">
      <w:pPr>
        <w:widowControl/>
        <w:adjustRightInd w:val="0"/>
        <w:snapToGrid w:val="0"/>
        <w:spacing w:line="360" w:lineRule="auto"/>
        <w:ind w:left="1"/>
        <w:rPr>
          <w:rFonts w:ascii="Book Antiqua" w:hAnsi="Book Antiqua"/>
          <w:bCs/>
          <w:color w:val="000000"/>
          <w:sz w:val="24"/>
          <w:szCs w:val="24"/>
        </w:rPr>
      </w:pPr>
      <w:r w:rsidRPr="00474499">
        <w:rPr>
          <w:rFonts w:ascii="Book Antiqua" w:hAnsi="Book Antiqua"/>
          <w:b/>
          <w:color w:val="000000"/>
          <w:sz w:val="24"/>
          <w:szCs w:val="24"/>
          <w:shd w:val="clear" w:color="auto" w:fill="FFFFFF"/>
        </w:rPr>
        <w:t>ORCID number</w:t>
      </w:r>
      <w:r w:rsidRPr="00474499">
        <w:rPr>
          <w:rFonts w:ascii="Book Antiqua" w:hAnsi="Book Antiqua"/>
          <w:b/>
          <w:color w:val="000000"/>
          <w:sz w:val="24"/>
          <w:szCs w:val="24"/>
          <w:lang w:val="en-GB"/>
        </w:rPr>
        <w:t>:</w:t>
      </w:r>
      <w:r w:rsidR="00332D68" w:rsidRPr="00474499">
        <w:rPr>
          <w:rFonts w:ascii="Book Antiqua" w:hAnsi="Book Antiqua"/>
          <w:bCs/>
          <w:color w:val="000000"/>
          <w:sz w:val="24"/>
          <w:szCs w:val="24"/>
        </w:rPr>
        <w:t xml:space="preserve"> </w:t>
      </w:r>
      <w:r w:rsidR="00332D68" w:rsidRPr="00E96499">
        <w:rPr>
          <w:rFonts w:ascii="Book Antiqua" w:hAnsi="Book Antiqua"/>
          <w:bCs/>
          <w:color w:val="000000"/>
          <w:sz w:val="24"/>
          <w:szCs w:val="24"/>
        </w:rPr>
        <w:t xml:space="preserve">Feng </w:t>
      </w:r>
      <w:proofErr w:type="spellStart"/>
      <w:r w:rsidR="00332D68" w:rsidRPr="00E96499">
        <w:rPr>
          <w:rFonts w:ascii="Book Antiqua" w:hAnsi="Book Antiqua"/>
          <w:bCs/>
          <w:color w:val="000000"/>
          <w:sz w:val="24"/>
          <w:szCs w:val="24"/>
        </w:rPr>
        <w:t>Duan</w:t>
      </w:r>
      <w:proofErr w:type="spellEnd"/>
      <w:r w:rsidR="00332D68" w:rsidRPr="00E96499">
        <w:rPr>
          <w:rFonts w:ascii="Book Antiqua" w:hAnsi="Book Antiqua"/>
          <w:bCs/>
          <w:color w:val="000000"/>
          <w:sz w:val="24"/>
          <w:szCs w:val="24"/>
        </w:rPr>
        <w:t xml:space="preserve"> (0000-0001-8432-590X); Yan-Hua Bai (0000-0002-7331-7194); Li Cui (0000-0001-6161-6958); Xiao-Hui Li (0000-0002-1172-5707); </w:t>
      </w:r>
      <w:proofErr w:type="spellStart"/>
      <w:r w:rsidR="00332D68" w:rsidRPr="00E96499">
        <w:rPr>
          <w:rFonts w:ascii="Book Antiqua" w:hAnsi="Book Antiqua"/>
          <w:bCs/>
          <w:color w:val="000000"/>
          <w:sz w:val="24"/>
          <w:szCs w:val="24"/>
        </w:rPr>
        <w:t>Jie</w:t>
      </w:r>
      <w:proofErr w:type="spellEnd"/>
      <w:r w:rsidR="00332D68" w:rsidRPr="00E96499">
        <w:rPr>
          <w:rFonts w:ascii="Book Antiqua" w:hAnsi="Book Antiqua"/>
          <w:bCs/>
          <w:color w:val="000000"/>
          <w:sz w:val="24"/>
          <w:szCs w:val="24"/>
        </w:rPr>
        <w:t>-Yu Yan (0000-0003-1142-7248); Mao</w:t>
      </w:r>
      <w:r w:rsidR="00332D68" w:rsidRPr="00E96499">
        <w:rPr>
          <w:rFonts w:ascii="Book Antiqua" w:hAnsi="Book Antiqua" w:cs="SimSun"/>
          <w:bCs/>
          <w:color w:val="000000"/>
          <w:sz w:val="24"/>
          <w:szCs w:val="24"/>
        </w:rPr>
        <w:t>-</w:t>
      </w:r>
      <w:proofErr w:type="spellStart"/>
      <w:r w:rsidR="00332D68" w:rsidRPr="00E96499">
        <w:rPr>
          <w:rFonts w:ascii="Book Antiqua" w:hAnsi="Book Antiqua"/>
          <w:bCs/>
          <w:color w:val="000000"/>
          <w:sz w:val="24"/>
          <w:szCs w:val="24"/>
        </w:rPr>
        <w:t>Qiang</w:t>
      </w:r>
      <w:proofErr w:type="spellEnd"/>
      <w:r w:rsidR="00332D68" w:rsidRPr="00E96499">
        <w:rPr>
          <w:rFonts w:ascii="Book Antiqua" w:hAnsi="Book Antiqua"/>
          <w:bCs/>
          <w:color w:val="000000"/>
          <w:sz w:val="24"/>
          <w:szCs w:val="24"/>
        </w:rPr>
        <w:t xml:space="preserve"> Wang (0000-0002-0299-5289).</w:t>
      </w:r>
    </w:p>
    <w:p w14:paraId="1F1A194C" w14:textId="77777777" w:rsidR="003357F5" w:rsidRPr="00474499" w:rsidRDefault="003357F5" w:rsidP="00E96499">
      <w:pPr>
        <w:widowControl/>
        <w:adjustRightInd w:val="0"/>
        <w:snapToGrid w:val="0"/>
        <w:spacing w:line="360" w:lineRule="auto"/>
        <w:ind w:left="241" w:hangingChars="100" w:hanging="241"/>
        <w:rPr>
          <w:rFonts w:ascii="Book Antiqua" w:hAnsi="Book Antiqua"/>
          <w:b/>
          <w:color w:val="000000"/>
          <w:sz w:val="24"/>
          <w:szCs w:val="24"/>
        </w:rPr>
      </w:pPr>
    </w:p>
    <w:p w14:paraId="2DD9F867" w14:textId="2CB1BC7F" w:rsidR="003357F5" w:rsidRPr="00474499" w:rsidRDefault="00F87D35" w:rsidP="00E96499">
      <w:pPr>
        <w:widowControl/>
        <w:adjustRightInd w:val="0"/>
        <w:snapToGrid w:val="0"/>
        <w:spacing w:line="360" w:lineRule="auto"/>
        <w:rPr>
          <w:rFonts w:ascii="Book Antiqua" w:hAnsi="Book Antiqua"/>
          <w:color w:val="000000"/>
          <w:sz w:val="24"/>
          <w:szCs w:val="24"/>
        </w:rPr>
      </w:pPr>
      <w:r w:rsidRPr="00474499">
        <w:rPr>
          <w:rFonts w:ascii="Book Antiqua" w:hAnsi="Book Antiqua"/>
          <w:b/>
          <w:color w:val="000000"/>
          <w:sz w:val="24"/>
          <w:szCs w:val="24"/>
        </w:rPr>
        <w:t xml:space="preserve">Author contributions: </w:t>
      </w:r>
      <w:proofErr w:type="spellStart"/>
      <w:r w:rsidR="003357F5" w:rsidRPr="00474499">
        <w:rPr>
          <w:rFonts w:ascii="Book Antiqua" w:hAnsi="Book Antiqua"/>
          <w:color w:val="000000"/>
          <w:sz w:val="24"/>
          <w:szCs w:val="24"/>
        </w:rPr>
        <w:t>D</w:t>
      </w:r>
      <w:r w:rsidRPr="00474499">
        <w:rPr>
          <w:rFonts w:ascii="Book Antiqua" w:hAnsi="Book Antiqua"/>
          <w:color w:val="000000"/>
          <w:sz w:val="24"/>
          <w:szCs w:val="24"/>
        </w:rPr>
        <w:t>uan</w:t>
      </w:r>
      <w:proofErr w:type="spellEnd"/>
      <w:r w:rsidRPr="00474499">
        <w:rPr>
          <w:rFonts w:ascii="Book Antiqua" w:hAnsi="Book Antiqua"/>
          <w:color w:val="000000"/>
          <w:sz w:val="24"/>
          <w:szCs w:val="24"/>
        </w:rPr>
        <w:t xml:space="preserve"> </w:t>
      </w:r>
      <w:r w:rsidR="003357F5" w:rsidRPr="00474499">
        <w:rPr>
          <w:rFonts w:ascii="Book Antiqua" w:hAnsi="Book Antiqua"/>
          <w:color w:val="000000"/>
          <w:sz w:val="24"/>
          <w:szCs w:val="24"/>
        </w:rPr>
        <w:t>F and W</w:t>
      </w:r>
      <w:r w:rsidRPr="00474499">
        <w:rPr>
          <w:rFonts w:ascii="Book Antiqua" w:hAnsi="Book Antiqua"/>
          <w:color w:val="000000"/>
          <w:sz w:val="24"/>
          <w:szCs w:val="24"/>
        </w:rPr>
        <w:t xml:space="preserve">ang </w:t>
      </w:r>
      <w:r w:rsidR="003357F5" w:rsidRPr="00474499">
        <w:rPr>
          <w:rFonts w:ascii="Book Antiqua" w:hAnsi="Book Antiqua"/>
          <w:color w:val="000000"/>
          <w:sz w:val="24"/>
          <w:szCs w:val="24"/>
        </w:rPr>
        <w:t xml:space="preserve">MQ designed research; </w:t>
      </w:r>
      <w:proofErr w:type="spellStart"/>
      <w:r w:rsidR="003357F5" w:rsidRPr="00474499">
        <w:rPr>
          <w:rFonts w:ascii="Book Antiqua" w:hAnsi="Book Antiqua"/>
          <w:color w:val="000000"/>
          <w:sz w:val="24"/>
          <w:szCs w:val="24"/>
        </w:rPr>
        <w:t>D</w:t>
      </w:r>
      <w:r w:rsidRPr="00474499">
        <w:rPr>
          <w:rFonts w:ascii="Book Antiqua" w:hAnsi="Book Antiqua"/>
          <w:color w:val="000000"/>
          <w:sz w:val="24"/>
          <w:szCs w:val="24"/>
        </w:rPr>
        <w:t>uan</w:t>
      </w:r>
      <w:proofErr w:type="spellEnd"/>
      <w:r w:rsidRPr="00474499">
        <w:rPr>
          <w:rFonts w:ascii="Book Antiqua" w:hAnsi="Book Antiqua"/>
          <w:color w:val="000000"/>
          <w:sz w:val="24"/>
          <w:szCs w:val="24"/>
        </w:rPr>
        <w:t xml:space="preserve"> </w:t>
      </w:r>
      <w:r w:rsidR="003357F5" w:rsidRPr="00474499">
        <w:rPr>
          <w:rFonts w:ascii="Book Antiqua" w:hAnsi="Book Antiqua"/>
          <w:color w:val="000000"/>
          <w:sz w:val="24"/>
          <w:szCs w:val="24"/>
        </w:rPr>
        <w:t>F, L</w:t>
      </w:r>
      <w:r w:rsidRPr="00474499">
        <w:rPr>
          <w:rFonts w:ascii="Book Antiqua" w:hAnsi="Book Antiqua"/>
          <w:color w:val="000000"/>
          <w:sz w:val="24"/>
          <w:szCs w:val="24"/>
        </w:rPr>
        <w:t xml:space="preserve">i </w:t>
      </w:r>
      <w:r w:rsidR="003357F5" w:rsidRPr="00474499">
        <w:rPr>
          <w:rFonts w:ascii="Book Antiqua" w:hAnsi="Book Antiqua"/>
          <w:color w:val="000000"/>
          <w:sz w:val="24"/>
          <w:szCs w:val="24"/>
        </w:rPr>
        <w:t>XH, Y</w:t>
      </w:r>
      <w:r w:rsidRPr="00474499">
        <w:rPr>
          <w:rFonts w:ascii="Book Antiqua" w:hAnsi="Book Antiqua"/>
          <w:color w:val="000000"/>
          <w:sz w:val="24"/>
          <w:szCs w:val="24"/>
        </w:rPr>
        <w:t xml:space="preserve">an </w:t>
      </w:r>
      <w:r w:rsidR="003357F5" w:rsidRPr="00474499">
        <w:rPr>
          <w:rFonts w:ascii="Book Antiqua" w:hAnsi="Book Antiqua"/>
          <w:color w:val="000000"/>
          <w:sz w:val="24"/>
          <w:szCs w:val="24"/>
        </w:rPr>
        <w:t>JY, W</w:t>
      </w:r>
      <w:r w:rsidRPr="00474499">
        <w:rPr>
          <w:rFonts w:ascii="Book Antiqua" w:hAnsi="Book Antiqua"/>
          <w:color w:val="000000"/>
          <w:sz w:val="24"/>
          <w:szCs w:val="24"/>
        </w:rPr>
        <w:t xml:space="preserve">ang </w:t>
      </w:r>
      <w:r w:rsidR="003357F5" w:rsidRPr="00474499">
        <w:rPr>
          <w:rFonts w:ascii="Book Antiqua" w:hAnsi="Book Antiqua"/>
          <w:color w:val="000000"/>
          <w:sz w:val="24"/>
          <w:szCs w:val="24"/>
        </w:rPr>
        <w:t>MQ performed clinical research; B</w:t>
      </w:r>
      <w:r w:rsidRPr="00474499">
        <w:rPr>
          <w:rFonts w:ascii="Book Antiqua" w:hAnsi="Book Antiqua"/>
          <w:color w:val="000000"/>
          <w:sz w:val="24"/>
          <w:szCs w:val="24"/>
        </w:rPr>
        <w:t xml:space="preserve">ai </w:t>
      </w:r>
      <w:r w:rsidR="003357F5" w:rsidRPr="00474499">
        <w:rPr>
          <w:rFonts w:ascii="Book Antiqua" w:hAnsi="Book Antiqua"/>
          <w:color w:val="000000"/>
          <w:sz w:val="24"/>
          <w:szCs w:val="24"/>
        </w:rPr>
        <w:t>YH and C</w:t>
      </w:r>
      <w:r w:rsidRPr="00474499">
        <w:rPr>
          <w:rFonts w:ascii="Book Antiqua" w:hAnsi="Book Antiqua"/>
          <w:color w:val="000000"/>
          <w:sz w:val="24"/>
          <w:szCs w:val="24"/>
        </w:rPr>
        <w:t xml:space="preserve">ui </w:t>
      </w:r>
      <w:r w:rsidR="003357F5" w:rsidRPr="00474499">
        <w:rPr>
          <w:rFonts w:ascii="Book Antiqua" w:hAnsi="Book Antiqua"/>
          <w:color w:val="000000"/>
          <w:sz w:val="24"/>
          <w:szCs w:val="24"/>
        </w:rPr>
        <w:t xml:space="preserve">L analyzed data; </w:t>
      </w:r>
      <w:proofErr w:type="spellStart"/>
      <w:r w:rsidR="003357F5" w:rsidRPr="00474499">
        <w:rPr>
          <w:rFonts w:ascii="Book Antiqua" w:hAnsi="Book Antiqua"/>
          <w:color w:val="000000"/>
          <w:sz w:val="24"/>
          <w:szCs w:val="24"/>
        </w:rPr>
        <w:t>D</w:t>
      </w:r>
      <w:r w:rsidRPr="00474499">
        <w:rPr>
          <w:rFonts w:ascii="Book Antiqua" w:hAnsi="Book Antiqua"/>
          <w:color w:val="000000"/>
          <w:sz w:val="24"/>
          <w:szCs w:val="24"/>
        </w:rPr>
        <w:t>uan</w:t>
      </w:r>
      <w:proofErr w:type="spellEnd"/>
      <w:r w:rsidRPr="00474499">
        <w:rPr>
          <w:rFonts w:ascii="Book Antiqua" w:hAnsi="Book Antiqua"/>
          <w:color w:val="000000"/>
          <w:sz w:val="24"/>
          <w:szCs w:val="24"/>
        </w:rPr>
        <w:t xml:space="preserve"> </w:t>
      </w:r>
      <w:r w:rsidR="003357F5" w:rsidRPr="00474499">
        <w:rPr>
          <w:rFonts w:ascii="Book Antiqua" w:hAnsi="Book Antiqua"/>
          <w:color w:val="000000"/>
          <w:sz w:val="24"/>
          <w:szCs w:val="24"/>
        </w:rPr>
        <w:t>F and C</w:t>
      </w:r>
      <w:r w:rsidRPr="00474499">
        <w:rPr>
          <w:rFonts w:ascii="Book Antiqua" w:hAnsi="Book Antiqua"/>
          <w:color w:val="000000"/>
          <w:sz w:val="24"/>
          <w:szCs w:val="24"/>
        </w:rPr>
        <w:t xml:space="preserve">ui </w:t>
      </w:r>
      <w:r w:rsidR="003357F5" w:rsidRPr="00474499">
        <w:rPr>
          <w:rFonts w:ascii="Book Antiqua" w:hAnsi="Book Antiqua"/>
          <w:color w:val="000000"/>
          <w:sz w:val="24"/>
          <w:szCs w:val="24"/>
        </w:rPr>
        <w:t>L wrote the paper, all authors read and approved the final manuscript.</w:t>
      </w:r>
    </w:p>
    <w:p w14:paraId="2979B4FD" w14:textId="77777777" w:rsidR="00F87D35" w:rsidRPr="00474499" w:rsidRDefault="00F87D35" w:rsidP="00E96499">
      <w:pPr>
        <w:widowControl/>
        <w:adjustRightInd w:val="0"/>
        <w:snapToGrid w:val="0"/>
        <w:spacing w:line="360" w:lineRule="auto"/>
        <w:rPr>
          <w:rFonts w:ascii="Book Antiqua" w:hAnsi="Book Antiqua"/>
          <w:color w:val="000000"/>
          <w:sz w:val="24"/>
          <w:szCs w:val="24"/>
        </w:rPr>
      </w:pPr>
    </w:p>
    <w:p w14:paraId="1C074BCC" w14:textId="41412720" w:rsidR="003357F5" w:rsidRPr="00474499" w:rsidRDefault="003357F5" w:rsidP="00E96499">
      <w:pPr>
        <w:adjustRightInd w:val="0"/>
        <w:snapToGrid w:val="0"/>
        <w:spacing w:line="360" w:lineRule="auto"/>
        <w:rPr>
          <w:rFonts w:ascii="Book Antiqua" w:hAnsi="Book Antiqua"/>
          <w:color w:val="000000"/>
          <w:sz w:val="24"/>
          <w:szCs w:val="24"/>
        </w:rPr>
      </w:pPr>
      <w:r w:rsidRPr="00474499">
        <w:rPr>
          <w:rFonts w:ascii="Book Antiqua" w:hAnsi="Book Antiqua"/>
          <w:b/>
          <w:color w:val="000000"/>
          <w:sz w:val="24"/>
          <w:szCs w:val="24"/>
        </w:rPr>
        <w:t>Institutional review board statement</w:t>
      </w:r>
      <w:r w:rsidRPr="00474499">
        <w:rPr>
          <w:rFonts w:ascii="Book Antiqua" w:hAnsi="Book Antiqua"/>
          <w:b/>
          <w:iCs/>
          <w:color w:val="000000"/>
          <w:kern w:val="0"/>
          <w:sz w:val="24"/>
          <w:szCs w:val="24"/>
        </w:rPr>
        <w:t>:</w:t>
      </w:r>
      <w:r w:rsidR="00F87D35" w:rsidRPr="00474499">
        <w:rPr>
          <w:rFonts w:ascii="Book Antiqua" w:hAnsi="Book Antiqua"/>
          <w:b/>
          <w:iCs/>
          <w:color w:val="000000"/>
          <w:kern w:val="0"/>
          <w:sz w:val="24"/>
          <w:szCs w:val="24"/>
        </w:rPr>
        <w:t xml:space="preserve"> </w:t>
      </w:r>
      <w:r w:rsidRPr="00474499">
        <w:rPr>
          <w:rFonts w:ascii="Book Antiqua" w:hAnsi="Book Antiqua"/>
          <w:color w:val="000000"/>
          <w:sz w:val="24"/>
          <w:szCs w:val="24"/>
        </w:rPr>
        <w:t>This study was reviewed and approved by the General Hospital of People’s Liberation Army Institutional Review Board.</w:t>
      </w:r>
    </w:p>
    <w:p w14:paraId="61B8828C" w14:textId="77777777" w:rsidR="00F87D35" w:rsidRPr="00474499" w:rsidRDefault="00F87D35" w:rsidP="00E96499">
      <w:pPr>
        <w:adjustRightInd w:val="0"/>
        <w:snapToGrid w:val="0"/>
        <w:spacing w:line="360" w:lineRule="auto"/>
        <w:rPr>
          <w:rFonts w:ascii="Book Antiqua" w:hAnsi="Book Antiqua"/>
          <w:b/>
          <w:iCs/>
          <w:color w:val="000000"/>
          <w:kern w:val="0"/>
          <w:sz w:val="24"/>
          <w:szCs w:val="24"/>
        </w:rPr>
      </w:pPr>
    </w:p>
    <w:p w14:paraId="0E93F226" w14:textId="65359339" w:rsidR="00F87D35" w:rsidRPr="00E96499" w:rsidRDefault="003357F5" w:rsidP="00E96499">
      <w:pPr>
        <w:autoSpaceDE w:val="0"/>
        <w:autoSpaceDN w:val="0"/>
        <w:adjustRightInd w:val="0"/>
        <w:snapToGrid w:val="0"/>
        <w:spacing w:line="360" w:lineRule="auto"/>
        <w:rPr>
          <w:rFonts w:ascii="Book Antiqua" w:hAnsi="Book Antiqua" w:cs="TimesNewRomanPSMT"/>
          <w:kern w:val="0"/>
          <w:sz w:val="24"/>
          <w:szCs w:val="24"/>
        </w:rPr>
      </w:pPr>
      <w:r w:rsidRPr="00474499">
        <w:rPr>
          <w:rFonts w:ascii="Book Antiqua" w:hAnsi="Book Antiqua"/>
          <w:b/>
          <w:color w:val="000000"/>
          <w:sz w:val="24"/>
          <w:szCs w:val="24"/>
        </w:rPr>
        <w:t>Informed consent statement</w:t>
      </w:r>
      <w:r w:rsidRPr="00474499">
        <w:rPr>
          <w:rFonts w:ascii="Book Antiqua" w:hAnsi="Book Antiqua"/>
          <w:b/>
          <w:iCs/>
          <w:color w:val="000000"/>
          <w:sz w:val="24"/>
          <w:szCs w:val="24"/>
        </w:rPr>
        <w:t>:</w:t>
      </w:r>
      <w:r w:rsidR="00F87D35" w:rsidRPr="00474499">
        <w:rPr>
          <w:rFonts w:ascii="Book Antiqua" w:hAnsi="Book Antiqua"/>
          <w:b/>
          <w:iCs/>
          <w:color w:val="000000"/>
          <w:kern w:val="0"/>
          <w:sz w:val="24"/>
          <w:szCs w:val="24"/>
        </w:rPr>
        <w:t xml:space="preserve"> </w:t>
      </w:r>
      <w:r w:rsidR="00F87D35" w:rsidRPr="00E96499">
        <w:rPr>
          <w:rFonts w:ascii="Book Antiqua" w:hAnsi="Book Antiqua" w:cs="TimesNewRomanPSMT"/>
          <w:kern w:val="0"/>
          <w:sz w:val="24"/>
          <w:szCs w:val="24"/>
        </w:rPr>
        <w:t>Patients were not required to give informed consent to the study because the analysis used anonymous data.</w:t>
      </w:r>
    </w:p>
    <w:p w14:paraId="0481FD9B" w14:textId="77777777" w:rsidR="00F87D35" w:rsidRPr="00E96499" w:rsidRDefault="00F87D35" w:rsidP="00E96499">
      <w:pPr>
        <w:autoSpaceDE w:val="0"/>
        <w:autoSpaceDN w:val="0"/>
        <w:adjustRightInd w:val="0"/>
        <w:snapToGrid w:val="0"/>
        <w:spacing w:line="360" w:lineRule="auto"/>
        <w:rPr>
          <w:rFonts w:ascii="Book Antiqua" w:hAnsi="Book Antiqua" w:cs="TimesNewRomanPSMT"/>
          <w:kern w:val="0"/>
          <w:sz w:val="24"/>
          <w:szCs w:val="24"/>
        </w:rPr>
      </w:pPr>
    </w:p>
    <w:p w14:paraId="32295126" w14:textId="09EAC58E" w:rsidR="003357F5" w:rsidRPr="00474499" w:rsidRDefault="003357F5" w:rsidP="00E96499">
      <w:pPr>
        <w:autoSpaceDE w:val="0"/>
        <w:autoSpaceDN w:val="0"/>
        <w:adjustRightInd w:val="0"/>
        <w:snapToGrid w:val="0"/>
        <w:spacing w:line="360" w:lineRule="auto"/>
        <w:rPr>
          <w:rFonts w:ascii="Book Antiqua" w:hAnsi="Book Antiqua"/>
          <w:color w:val="000000"/>
          <w:sz w:val="24"/>
          <w:szCs w:val="24"/>
        </w:rPr>
      </w:pPr>
      <w:r w:rsidRPr="00474499">
        <w:rPr>
          <w:rFonts w:ascii="Book Antiqua" w:hAnsi="Book Antiqua"/>
          <w:b/>
          <w:color w:val="000000"/>
          <w:sz w:val="24"/>
          <w:szCs w:val="24"/>
        </w:rPr>
        <w:lastRenderedPageBreak/>
        <w:t>Conflict-of-interest statement</w:t>
      </w:r>
      <w:r w:rsidRPr="00474499">
        <w:rPr>
          <w:rFonts w:ascii="Book Antiqua" w:hAnsi="Book Antiqua" w:cs="TimesNewRomanPS-BoldItalicMT"/>
          <w:b/>
          <w:iCs/>
          <w:color w:val="000000"/>
          <w:sz w:val="24"/>
          <w:szCs w:val="24"/>
        </w:rPr>
        <w:t xml:space="preserve">: </w:t>
      </w:r>
      <w:r w:rsidRPr="00474499">
        <w:rPr>
          <w:rFonts w:ascii="Book Antiqua" w:hAnsi="Book Antiqua"/>
          <w:color w:val="000000"/>
          <w:sz w:val="24"/>
          <w:szCs w:val="24"/>
        </w:rPr>
        <w:t>The authors declare that there are no conflicts of interest related to this article.</w:t>
      </w:r>
    </w:p>
    <w:p w14:paraId="0EA98C71" w14:textId="77777777" w:rsidR="00F87D35" w:rsidRPr="00474499" w:rsidRDefault="00F87D35" w:rsidP="00E96499">
      <w:pPr>
        <w:autoSpaceDE w:val="0"/>
        <w:autoSpaceDN w:val="0"/>
        <w:adjustRightInd w:val="0"/>
        <w:snapToGrid w:val="0"/>
        <w:spacing w:line="360" w:lineRule="auto"/>
        <w:rPr>
          <w:rFonts w:ascii="Book Antiqua" w:hAnsi="Book Antiqua" w:cs="TimesNewRomanPS-BoldItalicMT"/>
          <w:b/>
          <w:iCs/>
          <w:color w:val="000000"/>
          <w:sz w:val="24"/>
          <w:szCs w:val="24"/>
        </w:rPr>
      </w:pPr>
    </w:p>
    <w:p w14:paraId="027152C0" w14:textId="197D72D7" w:rsidR="003357F5" w:rsidRPr="00474499" w:rsidRDefault="003357F5" w:rsidP="00E96499">
      <w:pPr>
        <w:adjustRightInd w:val="0"/>
        <w:snapToGrid w:val="0"/>
        <w:spacing w:line="360" w:lineRule="auto"/>
        <w:rPr>
          <w:rFonts w:ascii="Book Antiqua" w:hAnsi="Book Antiqua"/>
          <w:color w:val="000000"/>
          <w:sz w:val="24"/>
          <w:szCs w:val="24"/>
        </w:rPr>
      </w:pPr>
      <w:r w:rsidRPr="00474499">
        <w:rPr>
          <w:rFonts w:ascii="Book Antiqua" w:hAnsi="Book Antiqua"/>
          <w:b/>
          <w:color w:val="000000"/>
          <w:sz w:val="24"/>
          <w:szCs w:val="24"/>
        </w:rPr>
        <w:t>Data sharing statement</w:t>
      </w:r>
      <w:r w:rsidRPr="00474499">
        <w:rPr>
          <w:rFonts w:ascii="Book Antiqua" w:hAnsi="Book Antiqua" w:cs="TimesNewRomanPS-BoldItalicMT"/>
          <w:b/>
          <w:iCs/>
          <w:color w:val="000000"/>
          <w:sz w:val="24"/>
          <w:szCs w:val="24"/>
        </w:rPr>
        <w:t>:</w:t>
      </w:r>
      <w:r w:rsidRPr="00474499">
        <w:rPr>
          <w:rFonts w:ascii="Book Antiqua" w:hAnsi="Book Antiqua"/>
          <w:b/>
          <w:color w:val="000000"/>
          <w:sz w:val="24"/>
          <w:szCs w:val="24"/>
        </w:rPr>
        <w:t xml:space="preserve"> </w:t>
      </w:r>
      <w:r w:rsidRPr="00474499">
        <w:rPr>
          <w:rFonts w:ascii="Book Antiqua" w:hAnsi="Book Antiqua"/>
          <w:color w:val="000000"/>
          <w:sz w:val="24"/>
          <w:szCs w:val="24"/>
        </w:rPr>
        <w:t>No additional unpublished data are available.</w:t>
      </w:r>
    </w:p>
    <w:p w14:paraId="7CAB66E3" w14:textId="77777777" w:rsidR="00F87D35" w:rsidRPr="00474499" w:rsidRDefault="00F87D35" w:rsidP="00E96499">
      <w:pPr>
        <w:adjustRightInd w:val="0"/>
        <w:snapToGrid w:val="0"/>
        <w:spacing w:line="360" w:lineRule="auto"/>
        <w:rPr>
          <w:rFonts w:ascii="Book Antiqua" w:hAnsi="Book Antiqua"/>
          <w:color w:val="000000"/>
          <w:sz w:val="24"/>
          <w:szCs w:val="24"/>
        </w:rPr>
      </w:pPr>
    </w:p>
    <w:p w14:paraId="383F83F5" w14:textId="77777777" w:rsidR="00E77711" w:rsidRPr="00E96499" w:rsidRDefault="00E77711" w:rsidP="00E96499">
      <w:pPr>
        <w:widowControl/>
        <w:adjustRightInd w:val="0"/>
        <w:snapToGrid w:val="0"/>
        <w:spacing w:line="360" w:lineRule="auto"/>
        <w:rPr>
          <w:rFonts w:ascii="Book Antiqua" w:hAnsi="Book Antiqua" w:cs="SimSun"/>
          <w:kern w:val="0"/>
          <w:sz w:val="24"/>
          <w:szCs w:val="24"/>
        </w:rPr>
      </w:pPr>
      <w:r w:rsidRPr="00E96499">
        <w:rPr>
          <w:rFonts w:ascii="Book Antiqua" w:hAnsi="Book Antiqua"/>
          <w:b/>
          <w:color w:val="000000"/>
          <w:kern w:val="0"/>
          <w:sz w:val="24"/>
          <w:szCs w:val="24"/>
        </w:rPr>
        <w:t xml:space="preserve">Open-Access: </w:t>
      </w:r>
      <w:r w:rsidRPr="00E96499">
        <w:rPr>
          <w:rFonts w:ascii="Book Antiqua" w:hAnsi="Book Antiqua"/>
          <w:color w:val="000000"/>
          <w:kern w:val="0"/>
          <w:sz w:val="24"/>
          <w:szCs w:val="24"/>
        </w:rPr>
        <w:t xml:space="preserve">This is an </w:t>
      </w:r>
      <w:r w:rsidRPr="00E96499">
        <w:rPr>
          <w:rFonts w:ascii="Book Antiqua" w:hAnsi="Book Antiqua" w:cs="SimSun"/>
          <w:kern w:val="0"/>
          <w:sz w:val="24"/>
          <w:szCs w:val="24"/>
        </w:rPr>
        <w:t xml:space="preserve">open-access article that was </w:t>
      </w:r>
      <w:r w:rsidRPr="00E96499">
        <w:rPr>
          <w:rFonts w:ascii="Book Antiqua" w:hAnsi="Book Antiqua"/>
          <w:kern w:val="0"/>
          <w:sz w:val="24"/>
          <w:szCs w:val="24"/>
        </w:rPr>
        <w:t xml:space="preserve">selected by an in-house editor and fully peer-reviewed by external reviewers. It is </w:t>
      </w:r>
      <w:r w:rsidRPr="00E96499">
        <w:rPr>
          <w:rFonts w:ascii="Book Antiqua" w:hAnsi="Book Antiqua" w:cs="SimSun"/>
          <w:kern w:val="0"/>
          <w:sz w:val="24"/>
          <w:szCs w:val="24"/>
        </w:rPr>
        <w:t xml:space="preserve">distributed in accordance with </w:t>
      </w:r>
      <w:r w:rsidRPr="00E96499">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B63254" w14:textId="77777777" w:rsidR="00E77711" w:rsidRPr="00474499" w:rsidRDefault="00E77711" w:rsidP="00E96499">
      <w:pPr>
        <w:widowControl/>
        <w:adjustRightInd w:val="0"/>
        <w:snapToGrid w:val="0"/>
        <w:spacing w:line="360" w:lineRule="auto"/>
        <w:ind w:left="1"/>
        <w:rPr>
          <w:rFonts w:ascii="Book Antiqua" w:hAnsi="Book Antiqua"/>
          <w:b/>
          <w:color w:val="000000"/>
          <w:sz w:val="24"/>
          <w:szCs w:val="24"/>
        </w:rPr>
      </w:pPr>
    </w:p>
    <w:p w14:paraId="72BFAB6E" w14:textId="1E29F456" w:rsidR="00E77711" w:rsidRPr="00E96499" w:rsidRDefault="00E77711" w:rsidP="00E96499">
      <w:pPr>
        <w:widowControl/>
        <w:adjustRightInd w:val="0"/>
        <w:snapToGrid w:val="0"/>
        <w:spacing w:line="360" w:lineRule="auto"/>
        <w:ind w:left="1"/>
        <w:rPr>
          <w:rFonts w:ascii="Book Antiqua" w:hAnsi="Book Antiqua"/>
          <w:sz w:val="24"/>
          <w:szCs w:val="24"/>
        </w:rPr>
      </w:pPr>
      <w:r w:rsidRPr="00E96499">
        <w:rPr>
          <w:rFonts w:ascii="Book Antiqua" w:hAnsi="Book Antiqua"/>
          <w:b/>
          <w:sz w:val="24"/>
          <w:szCs w:val="24"/>
        </w:rPr>
        <w:t>Manuscript source:</w:t>
      </w:r>
      <w:r w:rsidRPr="00E96499">
        <w:rPr>
          <w:rFonts w:ascii="Book Antiqua" w:hAnsi="Book Antiqua"/>
          <w:sz w:val="24"/>
          <w:szCs w:val="24"/>
        </w:rPr>
        <w:t xml:space="preserve"> Unsolicited manuscript</w:t>
      </w:r>
    </w:p>
    <w:p w14:paraId="4A8F42A9" w14:textId="77777777" w:rsidR="00E77711" w:rsidRPr="00E96499" w:rsidRDefault="00E77711" w:rsidP="00E96499">
      <w:pPr>
        <w:widowControl/>
        <w:adjustRightInd w:val="0"/>
        <w:snapToGrid w:val="0"/>
        <w:spacing w:line="360" w:lineRule="auto"/>
        <w:ind w:left="1"/>
        <w:rPr>
          <w:rFonts w:ascii="Book Antiqua" w:hAnsi="Book Antiqua"/>
          <w:b/>
          <w:sz w:val="24"/>
          <w:szCs w:val="24"/>
        </w:rPr>
      </w:pPr>
    </w:p>
    <w:p w14:paraId="5080324B" w14:textId="751B57BD" w:rsidR="003357F5" w:rsidRPr="00474499" w:rsidRDefault="003357F5" w:rsidP="00E96499">
      <w:pPr>
        <w:widowControl/>
        <w:adjustRightInd w:val="0"/>
        <w:snapToGrid w:val="0"/>
        <w:spacing w:line="360" w:lineRule="auto"/>
        <w:ind w:left="1"/>
        <w:rPr>
          <w:rFonts w:ascii="Book Antiqua" w:hAnsi="Book Antiqua"/>
          <w:color w:val="000000"/>
          <w:sz w:val="24"/>
          <w:szCs w:val="24"/>
        </w:rPr>
      </w:pPr>
      <w:r w:rsidRPr="00474499">
        <w:rPr>
          <w:rFonts w:ascii="Book Antiqua" w:hAnsi="Book Antiqua"/>
          <w:b/>
          <w:color w:val="000000"/>
          <w:sz w:val="24"/>
          <w:szCs w:val="24"/>
        </w:rPr>
        <w:t>Corresponding author: Mao-</w:t>
      </w:r>
      <w:proofErr w:type="spellStart"/>
      <w:r w:rsidRPr="00474499">
        <w:rPr>
          <w:rFonts w:ascii="Book Antiqua" w:hAnsi="Book Antiqua"/>
          <w:b/>
          <w:color w:val="000000"/>
          <w:sz w:val="24"/>
          <w:szCs w:val="24"/>
        </w:rPr>
        <w:t>Qiang</w:t>
      </w:r>
      <w:proofErr w:type="spellEnd"/>
      <w:r w:rsidRPr="00474499">
        <w:rPr>
          <w:rFonts w:ascii="Book Antiqua" w:hAnsi="Book Antiqua"/>
          <w:b/>
          <w:color w:val="000000"/>
          <w:sz w:val="24"/>
          <w:szCs w:val="24"/>
        </w:rPr>
        <w:t xml:space="preserve"> Wang, MD, PhD, Professor</w:t>
      </w:r>
      <w:r w:rsidRPr="00474499">
        <w:rPr>
          <w:rFonts w:ascii="Book Antiqua" w:hAnsi="Book Antiqua"/>
          <w:color w:val="000000"/>
          <w:sz w:val="24"/>
          <w:szCs w:val="24"/>
        </w:rPr>
        <w:t xml:space="preserve">, Department of Interventional Radiology, </w:t>
      </w:r>
      <w:r w:rsidR="00E77711" w:rsidRPr="00E96499">
        <w:rPr>
          <w:rFonts w:ascii="Book Antiqua" w:hAnsi="Book Antiqua"/>
          <w:color w:val="000000"/>
          <w:sz w:val="24"/>
          <w:szCs w:val="24"/>
        </w:rPr>
        <w:t>General Hospital of Chinese People’s Liberation Army</w:t>
      </w:r>
      <w:r w:rsidRPr="00474499">
        <w:rPr>
          <w:rFonts w:ascii="Book Antiqua" w:hAnsi="Book Antiqua"/>
          <w:color w:val="000000"/>
          <w:sz w:val="24"/>
          <w:szCs w:val="24"/>
        </w:rPr>
        <w:t>, No.</w:t>
      </w:r>
      <w:r w:rsidR="00E77711" w:rsidRPr="00474499">
        <w:rPr>
          <w:rFonts w:ascii="Book Antiqua" w:hAnsi="Book Antiqua"/>
          <w:color w:val="000000"/>
          <w:sz w:val="24"/>
          <w:szCs w:val="24"/>
        </w:rPr>
        <w:t xml:space="preserve"> </w:t>
      </w:r>
      <w:r w:rsidRPr="00474499">
        <w:rPr>
          <w:rFonts w:ascii="Book Antiqua" w:hAnsi="Book Antiqua"/>
          <w:color w:val="000000"/>
          <w:sz w:val="24"/>
          <w:szCs w:val="24"/>
        </w:rPr>
        <w:t xml:space="preserve">28 </w:t>
      </w:r>
      <w:proofErr w:type="spellStart"/>
      <w:r w:rsidRPr="00474499">
        <w:rPr>
          <w:rFonts w:ascii="Book Antiqua" w:hAnsi="Book Antiqua"/>
          <w:color w:val="000000"/>
          <w:sz w:val="24"/>
          <w:szCs w:val="24"/>
        </w:rPr>
        <w:t>Fuxing</w:t>
      </w:r>
      <w:proofErr w:type="spellEnd"/>
      <w:r w:rsidRPr="00474499">
        <w:rPr>
          <w:rFonts w:ascii="Book Antiqua" w:hAnsi="Book Antiqua"/>
          <w:color w:val="000000"/>
          <w:sz w:val="24"/>
          <w:szCs w:val="24"/>
        </w:rPr>
        <w:t xml:space="preserve"> Road, </w:t>
      </w:r>
      <w:proofErr w:type="spellStart"/>
      <w:r w:rsidRPr="00474499">
        <w:rPr>
          <w:rFonts w:ascii="Book Antiqua" w:hAnsi="Book Antiqua"/>
          <w:color w:val="000000"/>
          <w:sz w:val="24"/>
          <w:szCs w:val="24"/>
        </w:rPr>
        <w:t>Haidian</w:t>
      </w:r>
      <w:proofErr w:type="spellEnd"/>
      <w:r w:rsidRPr="00474499">
        <w:rPr>
          <w:rFonts w:ascii="Book Antiqua" w:hAnsi="Book Antiqua"/>
          <w:color w:val="000000"/>
          <w:sz w:val="24"/>
          <w:szCs w:val="24"/>
        </w:rPr>
        <w:t xml:space="preserve"> District, Beijing 100853, China. </w:t>
      </w:r>
      <w:hyperlink r:id="rId7" w:history="1">
        <w:r w:rsidR="00E77711" w:rsidRPr="00E96499">
          <w:rPr>
            <w:rStyle w:val="Hyperlink"/>
            <w:rFonts w:ascii="Book Antiqua" w:hAnsi="Book Antiqua"/>
            <w:sz w:val="24"/>
            <w:szCs w:val="24"/>
          </w:rPr>
          <w:t>wangmq@vip.sina.com</w:t>
        </w:r>
      </w:hyperlink>
    </w:p>
    <w:p w14:paraId="2C47C321" w14:textId="09D004CE" w:rsidR="003357F5" w:rsidRPr="00474499" w:rsidRDefault="003357F5" w:rsidP="00E96499">
      <w:pPr>
        <w:adjustRightInd w:val="0"/>
        <w:snapToGrid w:val="0"/>
        <w:spacing w:line="360" w:lineRule="auto"/>
        <w:rPr>
          <w:rFonts w:ascii="Book Antiqua" w:hAnsi="Book Antiqua"/>
          <w:color w:val="000000"/>
          <w:sz w:val="24"/>
          <w:szCs w:val="24"/>
        </w:rPr>
      </w:pPr>
      <w:r w:rsidRPr="00474499">
        <w:rPr>
          <w:rFonts w:ascii="Book Antiqua" w:hAnsi="Book Antiqua"/>
          <w:b/>
          <w:color w:val="000000"/>
          <w:sz w:val="24"/>
          <w:szCs w:val="24"/>
        </w:rPr>
        <w:t>Telephone:</w:t>
      </w:r>
      <w:r w:rsidRPr="00474499">
        <w:rPr>
          <w:rFonts w:ascii="Book Antiqua" w:hAnsi="Book Antiqua"/>
          <w:color w:val="000000"/>
          <w:sz w:val="24"/>
          <w:szCs w:val="24"/>
        </w:rPr>
        <w:t xml:space="preserve"> </w:t>
      </w:r>
      <w:r w:rsidR="00E77711" w:rsidRPr="00474499">
        <w:rPr>
          <w:rFonts w:ascii="Book Antiqua" w:hAnsi="Book Antiqua"/>
          <w:color w:val="000000"/>
          <w:sz w:val="24"/>
          <w:szCs w:val="24"/>
        </w:rPr>
        <w:t>+86-</w:t>
      </w:r>
      <w:r w:rsidRPr="00474499">
        <w:rPr>
          <w:rFonts w:ascii="Book Antiqua" w:hAnsi="Book Antiqua"/>
          <w:color w:val="000000"/>
          <w:sz w:val="24"/>
          <w:szCs w:val="24"/>
        </w:rPr>
        <w:t>10-66936746</w:t>
      </w:r>
    </w:p>
    <w:p w14:paraId="58158634" w14:textId="369AA8D2" w:rsidR="003357F5" w:rsidRPr="00474499" w:rsidRDefault="003357F5" w:rsidP="00E96499">
      <w:pPr>
        <w:adjustRightInd w:val="0"/>
        <w:snapToGrid w:val="0"/>
        <w:spacing w:line="360" w:lineRule="auto"/>
        <w:rPr>
          <w:rFonts w:ascii="Book Antiqua" w:hAnsi="Book Antiqua"/>
          <w:color w:val="000000"/>
          <w:sz w:val="24"/>
          <w:szCs w:val="24"/>
        </w:rPr>
      </w:pPr>
      <w:r w:rsidRPr="00474499">
        <w:rPr>
          <w:rFonts w:ascii="Book Antiqua" w:hAnsi="Book Antiqua"/>
          <w:b/>
          <w:color w:val="000000"/>
          <w:sz w:val="24"/>
          <w:szCs w:val="24"/>
        </w:rPr>
        <w:t>Fax:</w:t>
      </w:r>
      <w:r w:rsidRPr="00474499">
        <w:rPr>
          <w:rFonts w:ascii="Book Antiqua" w:hAnsi="Book Antiqua"/>
          <w:color w:val="000000"/>
          <w:sz w:val="24"/>
          <w:szCs w:val="24"/>
        </w:rPr>
        <w:t xml:space="preserve"> </w:t>
      </w:r>
      <w:r w:rsidR="00E77711" w:rsidRPr="00474499">
        <w:rPr>
          <w:rFonts w:ascii="Book Antiqua" w:hAnsi="Book Antiqua"/>
          <w:color w:val="000000"/>
          <w:sz w:val="24"/>
          <w:szCs w:val="24"/>
        </w:rPr>
        <w:t>+86-</w:t>
      </w:r>
      <w:r w:rsidRPr="00474499">
        <w:rPr>
          <w:rFonts w:ascii="Book Antiqua" w:hAnsi="Book Antiqua"/>
          <w:color w:val="000000"/>
          <w:sz w:val="24"/>
          <w:szCs w:val="24"/>
        </w:rPr>
        <w:t>10-66937990</w:t>
      </w:r>
    </w:p>
    <w:p w14:paraId="6460156B" w14:textId="77777777" w:rsidR="00E77711" w:rsidRPr="00474499" w:rsidRDefault="00E77711" w:rsidP="00E96499">
      <w:pPr>
        <w:adjustRightInd w:val="0"/>
        <w:snapToGrid w:val="0"/>
        <w:spacing w:line="360" w:lineRule="auto"/>
        <w:rPr>
          <w:rFonts w:ascii="Book Antiqua" w:hAnsi="Book Antiqua"/>
          <w:color w:val="000000"/>
          <w:sz w:val="24"/>
          <w:szCs w:val="24"/>
        </w:rPr>
      </w:pPr>
    </w:p>
    <w:p w14:paraId="62D8B7CC" w14:textId="34A00DEC" w:rsidR="00E77711" w:rsidRPr="00E96499" w:rsidRDefault="00E77711" w:rsidP="00E96499">
      <w:pPr>
        <w:widowControl/>
        <w:adjustRightInd w:val="0"/>
        <w:snapToGrid w:val="0"/>
        <w:spacing w:line="360" w:lineRule="auto"/>
        <w:rPr>
          <w:rFonts w:ascii="Book Antiqua" w:hAnsi="Book Antiqua"/>
          <w:b/>
          <w:sz w:val="24"/>
          <w:szCs w:val="24"/>
        </w:rPr>
      </w:pPr>
      <w:r w:rsidRPr="00E96499">
        <w:rPr>
          <w:rFonts w:ascii="Book Antiqua" w:hAnsi="Book Antiqua"/>
          <w:b/>
          <w:sz w:val="24"/>
          <w:szCs w:val="24"/>
        </w:rPr>
        <w:t xml:space="preserve">Received: </w:t>
      </w:r>
      <w:r w:rsidRPr="00E96499">
        <w:rPr>
          <w:rFonts w:ascii="Book Antiqua" w:hAnsi="Book Antiqua"/>
          <w:sz w:val="24"/>
          <w:szCs w:val="24"/>
        </w:rPr>
        <w:t>September 5, 2019</w:t>
      </w:r>
    </w:p>
    <w:p w14:paraId="2F0FEE71" w14:textId="79AAC8C8" w:rsidR="00E77711" w:rsidRPr="00E96499" w:rsidRDefault="00E77711" w:rsidP="00E96499">
      <w:pPr>
        <w:widowControl/>
        <w:adjustRightInd w:val="0"/>
        <w:snapToGrid w:val="0"/>
        <w:spacing w:line="360" w:lineRule="auto"/>
        <w:rPr>
          <w:rFonts w:ascii="Book Antiqua" w:hAnsi="Book Antiqua"/>
          <w:b/>
          <w:sz w:val="24"/>
          <w:szCs w:val="24"/>
        </w:rPr>
      </w:pPr>
      <w:r w:rsidRPr="00E96499">
        <w:rPr>
          <w:rFonts w:ascii="Book Antiqua" w:hAnsi="Book Antiqua"/>
          <w:b/>
          <w:sz w:val="24"/>
          <w:szCs w:val="24"/>
        </w:rPr>
        <w:t xml:space="preserve">Peer-review started: </w:t>
      </w:r>
      <w:r w:rsidRPr="00E96499">
        <w:rPr>
          <w:rFonts w:ascii="Book Antiqua" w:hAnsi="Book Antiqua"/>
          <w:sz w:val="24"/>
          <w:szCs w:val="24"/>
        </w:rPr>
        <w:t>September 5, 2019</w:t>
      </w:r>
    </w:p>
    <w:p w14:paraId="113B3D05" w14:textId="31E48B79" w:rsidR="00E77711" w:rsidRPr="00E96499" w:rsidRDefault="00E77711" w:rsidP="00E96499">
      <w:pPr>
        <w:widowControl/>
        <w:adjustRightInd w:val="0"/>
        <w:snapToGrid w:val="0"/>
        <w:spacing w:line="360" w:lineRule="auto"/>
        <w:rPr>
          <w:rFonts w:ascii="Book Antiqua" w:hAnsi="Book Antiqua"/>
          <w:b/>
          <w:sz w:val="24"/>
          <w:szCs w:val="24"/>
        </w:rPr>
      </w:pPr>
      <w:r w:rsidRPr="00E96499">
        <w:rPr>
          <w:rFonts w:ascii="Book Antiqua" w:hAnsi="Book Antiqua"/>
          <w:b/>
          <w:sz w:val="24"/>
          <w:szCs w:val="24"/>
        </w:rPr>
        <w:t xml:space="preserve">First decision: </w:t>
      </w:r>
      <w:r w:rsidRPr="00E96499">
        <w:rPr>
          <w:rFonts w:ascii="Book Antiqua" w:hAnsi="Book Antiqua"/>
          <w:sz w:val="24"/>
          <w:szCs w:val="24"/>
        </w:rPr>
        <w:t>October 18, 2019</w:t>
      </w:r>
    </w:p>
    <w:p w14:paraId="28A0A5BC" w14:textId="388D303C" w:rsidR="00E77711" w:rsidRPr="00E96499" w:rsidRDefault="00E77711" w:rsidP="00E96499">
      <w:pPr>
        <w:widowControl/>
        <w:adjustRightInd w:val="0"/>
        <w:snapToGrid w:val="0"/>
        <w:spacing w:line="360" w:lineRule="auto"/>
        <w:rPr>
          <w:rFonts w:ascii="Book Antiqua" w:hAnsi="Book Antiqua"/>
          <w:b/>
          <w:sz w:val="24"/>
          <w:szCs w:val="24"/>
        </w:rPr>
      </w:pPr>
      <w:r w:rsidRPr="00E96499">
        <w:rPr>
          <w:rFonts w:ascii="Book Antiqua" w:hAnsi="Book Antiqua"/>
          <w:b/>
          <w:sz w:val="24"/>
          <w:szCs w:val="24"/>
        </w:rPr>
        <w:t xml:space="preserve">Revised: </w:t>
      </w:r>
      <w:r w:rsidRPr="00E96499">
        <w:rPr>
          <w:rFonts w:ascii="Book Antiqua" w:hAnsi="Book Antiqua"/>
          <w:sz w:val="24"/>
          <w:szCs w:val="24"/>
        </w:rPr>
        <w:t>October 25, 2019</w:t>
      </w:r>
    </w:p>
    <w:p w14:paraId="3602EAA0" w14:textId="2DFD590D" w:rsidR="00E77711" w:rsidRPr="00E96499" w:rsidRDefault="00E77711" w:rsidP="00E96499">
      <w:pPr>
        <w:widowControl/>
        <w:adjustRightInd w:val="0"/>
        <w:snapToGrid w:val="0"/>
        <w:spacing w:line="360" w:lineRule="auto"/>
        <w:rPr>
          <w:rFonts w:ascii="Book Antiqua" w:hAnsi="Book Antiqua"/>
          <w:b/>
          <w:sz w:val="24"/>
          <w:szCs w:val="24"/>
        </w:rPr>
      </w:pPr>
      <w:r w:rsidRPr="00E96499">
        <w:rPr>
          <w:rFonts w:ascii="Book Antiqua" w:hAnsi="Book Antiqua"/>
          <w:b/>
          <w:sz w:val="24"/>
          <w:szCs w:val="24"/>
        </w:rPr>
        <w:t>Accepted:</w:t>
      </w:r>
      <w:r w:rsidR="00CD5A72">
        <w:rPr>
          <w:rFonts w:ascii="Book Antiqua" w:hAnsi="Book Antiqua"/>
          <w:b/>
          <w:sz w:val="24"/>
          <w:szCs w:val="24"/>
        </w:rPr>
        <w:t xml:space="preserve"> </w:t>
      </w:r>
      <w:r w:rsidR="00CD5A72" w:rsidRPr="007D6393">
        <w:rPr>
          <w:rFonts w:ascii="Book Antiqua" w:hAnsi="Book Antiqua"/>
          <w:bCs/>
          <w:sz w:val="24"/>
          <w:szCs w:val="24"/>
        </w:rPr>
        <w:t>December 6, 2019</w:t>
      </w:r>
      <w:r w:rsidRPr="00E96499">
        <w:rPr>
          <w:rFonts w:ascii="Book Antiqua" w:hAnsi="Book Antiqua"/>
          <w:b/>
          <w:sz w:val="24"/>
          <w:szCs w:val="24"/>
        </w:rPr>
        <w:t xml:space="preserve"> </w:t>
      </w:r>
    </w:p>
    <w:p w14:paraId="28EFC0FC" w14:textId="77777777" w:rsidR="00E77711" w:rsidRPr="00E96499" w:rsidRDefault="00E77711" w:rsidP="00E96499">
      <w:pPr>
        <w:widowControl/>
        <w:adjustRightInd w:val="0"/>
        <w:snapToGrid w:val="0"/>
        <w:spacing w:line="360" w:lineRule="auto"/>
        <w:rPr>
          <w:rFonts w:ascii="Book Antiqua" w:hAnsi="Book Antiqua"/>
          <w:b/>
          <w:sz w:val="24"/>
          <w:szCs w:val="24"/>
        </w:rPr>
      </w:pPr>
      <w:r w:rsidRPr="00E96499">
        <w:rPr>
          <w:rFonts w:ascii="Book Antiqua" w:hAnsi="Book Antiqua"/>
          <w:b/>
          <w:sz w:val="24"/>
          <w:szCs w:val="24"/>
        </w:rPr>
        <w:t>Article in press:</w:t>
      </w:r>
    </w:p>
    <w:p w14:paraId="10CB5A9E" w14:textId="77777777" w:rsidR="00E77711" w:rsidRPr="00E96499" w:rsidRDefault="00E77711" w:rsidP="00E96499">
      <w:pPr>
        <w:widowControl/>
        <w:adjustRightInd w:val="0"/>
        <w:snapToGrid w:val="0"/>
        <w:spacing w:line="360" w:lineRule="auto"/>
        <w:rPr>
          <w:rFonts w:ascii="Book Antiqua" w:hAnsi="Book Antiqua"/>
          <w:b/>
          <w:sz w:val="24"/>
          <w:szCs w:val="24"/>
        </w:rPr>
      </w:pPr>
      <w:r w:rsidRPr="00E96499">
        <w:rPr>
          <w:rFonts w:ascii="Book Antiqua" w:hAnsi="Book Antiqua"/>
          <w:b/>
          <w:sz w:val="24"/>
          <w:szCs w:val="24"/>
        </w:rPr>
        <w:t>Published online:</w:t>
      </w:r>
    </w:p>
    <w:p w14:paraId="4CCA6217" w14:textId="7346FEC6" w:rsidR="003357F5" w:rsidRPr="00474499" w:rsidRDefault="00E77711" w:rsidP="00E96499">
      <w:pPr>
        <w:widowControl/>
        <w:adjustRightInd w:val="0"/>
        <w:snapToGrid w:val="0"/>
        <w:spacing w:line="360" w:lineRule="auto"/>
        <w:rPr>
          <w:rFonts w:ascii="Book Antiqua" w:hAnsi="Book Antiqua"/>
          <w:b/>
          <w:color w:val="000000"/>
          <w:sz w:val="24"/>
          <w:szCs w:val="24"/>
        </w:rPr>
      </w:pPr>
      <w:r w:rsidRPr="00474499">
        <w:rPr>
          <w:rFonts w:ascii="Book Antiqua" w:hAnsi="Book Antiqua"/>
          <w:color w:val="000000"/>
          <w:sz w:val="24"/>
          <w:szCs w:val="24"/>
        </w:rPr>
        <w:br w:type="page"/>
      </w:r>
      <w:r w:rsidRPr="00474499">
        <w:rPr>
          <w:rFonts w:ascii="Book Antiqua" w:hAnsi="Book Antiqua"/>
          <w:b/>
          <w:color w:val="000000"/>
          <w:sz w:val="24"/>
          <w:szCs w:val="24"/>
          <w:lang w:eastAsia="en-US"/>
        </w:rPr>
        <w:lastRenderedPageBreak/>
        <w:t>Abstract</w:t>
      </w:r>
    </w:p>
    <w:p w14:paraId="0B21E719" w14:textId="77777777" w:rsidR="003357F5" w:rsidRPr="00474499" w:rsidRDefault="003357F5" w:rsidP="00E96499">
      <w:pPr>
        <w:adjustRightInd w:val="0"/>
        <w:snapToGrid w:val="0"/>
        <w:spacing w:line="360" w:lineRule="auto"/>
        <w:rPr>
          <w:rFonts w:ascii="Book Antiqua" w:hAnsi="Book Antiqua"/>
          <w:b/>
          <w:bCs/>
          <w:i/>
          <w:color w:val="000000"/>
          <w:kern w:val="0"/>
          <w:sz w:val="24"/>
          <w:szCs w:val="24"/>
        </w:rPr>
      </w:pPr>
      <w:r w:rsidRPr="00474499">
        <w:rPr>
          <w:rFonts w:ascii="Book Antiqua" w:hAnsi="Book Antiqua"/>
          <w:b/>
          <w:bCs/>
          <w:i/>
          <w:color w:val="000000"/>
          <w:kern w:val="0"/>
          <w:sz w:val="24"/>
          <w:szCs w:val="24"/>
        </w:rPr>
        <w:t>BACKGROUND</w:t>
      </w:r>
    </w:p>
    <w:p w14:paraId="2EAB5C49" w14:textId="77777777" w:rsidR="003357F5" w:rsidRPr="00474499" w:rsidRDefault="003357F5" w:rsidP="00E96499">
      <w:pPr>
        <w:adjustRightInd w:val="0"/>
        <w:snapToGrid w:val="0"/>
        <w:spacing w:line="360" w:lineRule="auto"/>
        <w:rPr>
          <w:rFonts w:ascii="Book Antiqua" w:hAnsi="Book Antiqua"/>
          <w:color w:val="000000"/>
          <w:kern w:val="0"/>
          <w:sz w:val="24"/>
          <w:szCs w:val="24"/>
        </w:rPr>
      </w:pPr>
      <w:r w:rsidRPr="00474499">
        <w:rPr>
          <w:rFonts w:ascii="Book Antiqua" w:hAnsi="Book Antiqua"/>
          <w:color w:val="000000"/>
          <w:kern w:val="0"/>
          <w:sz w:val="24"/>
          <w:szCs w:val="24"/>
        </w:rPr>
        <w:t>Hepatocellular carcinoma (HCC) is a common cancer and a leading cause of tumor-related death. Patients with large HCC (≥ 8 cm) are at an advanced stage and have poor prognosis, and hepatic resection may not be suitable, and the incidence of postoperative recurrence is high.</w:t>
      </w:r>
    </w:p>
    <w:p w14:paraId="17E693DD" w14:textId="77777777" w:rsidR="00E77711" w:rsidRPr="00474499" w:rsidRDefault="00E77711" w:rsidP="00E96499">
      <w:pPr>
        <w:adjustRightInd w:val="0"/>
        <w:snapToGrid w:val="0"/>
        <w:spacing w:line="360" w:lineRule="auto"/>
        <w:rPr>
          <w:rFonts w:ascii="Book Antiqua" w:hAnsi="Book Antiqua"/>
          <w:bCs/>
          <w:i/>
          <w:color w:val="000000"/>
          <w:kern w:val="0"/>
          <w:sz w:val="24"/>
          <w:szCs w:val="24"/>
        </w:rPr>
      </w:pPr>
    </w:p>
    <w:p w14:paraId="7F002AD1" w14:textId="77777777" w:rsidR="003357F5" w:rsidRPr="00474499" w:rsidRDefault="003357F5" w:rsidP="00E96499">
      <w:pPr>
        <w:adjustRightInd w:val="0"/>
        <w:snapToGrid w:val="0"/>
        <w:spacing w:line="360" w:lineRule="auto"/>
        <w:rPr>
          <w:rFonts w:ascii="Book Antiqua" w:hAnsi="Book Antiqua"/>
          <w:b/>
          <w:i/>
          <w:color w:val="000000"/>
          <w:kern w:val="0"/>
          <w:sz w:val="24"/>
          <w:szCs w:val="24"/>
        </w:rPr>
      </w:pPr>
      <w:r w:rsidRPr="00474499">
        <w:rPr>
          <w:rFonts w:ascii="Book Antiqua" w:hAnsi="Book Antiqua"/>
          <w:b/>
          <w:bCs/>
          <w:i/>
          <w:color w:val="000000"/>
          <w:kern w:val="0"/>
          <w:sz w:val="24"/>
          <w:szCs w:val="24"/>
        </w:rPr>
        <w:t>AIM</w:t>
      </w:r>
    </w:p>
    <w:p w14:paraId="44778D03" w14:textId="77777777" w:rsidR="003357F5" w:rsidRPr="00474499" w:rsidRDefault="003357F5" w:rsidP="00E96499">
      <w:pPr>
        <w:adjustRightInd w:val="0"/>
        <w:snapToGrid w:val="0"/>
        <w:spacing w:line="360" w:lineRule="auto"/>
        <w:rPr>
          <w:rFonts w:ascii="Book Antiqua" w:hAnsi="Book Antiqua"/>
          <w:color w:val="000000"/>
          <w:kern w:val="0"/>
          <w:sz w:val="24"/>
          <w:szCs w:val="24"/>
        </w:rPr>
      </w:pPr>
      <w:r w:rsidRPr="00474499">
        <w:rPr>
          <w:rFonts w:ascii="Book Antiqua" w:hAnsi="Book Antiqua"/>
          <w:color w:val="000000"/>
          <w:kern w:val="0"/>
          <w:sz w:val="24"/>
          <w:szCs w:val="24"/>
        </w:rPr>
        <w:t>To evaluate recurrence and mid-term survival of patients with large HCC treated by transcatheter arterial chemoembolization (TACE) and radiofrequency ablation (RFA).</w:t>
      </w:r>
    </w:p>
    <w:p w14:paraId="03C34CB2" w14:textId="77777777" w:rsidR="00E77711" w:rsidRPr="00474499" w:rsidRDefault="00E77711" w:rsidP="00E96499">
      <w:pPr>
        <w:adjustRightInd w:val="0"/>
        <w:snapToGrid w:val="0"/>
        <w:spacing w:line="360" w:lineRule="auto"/>
        <w:rPr>
          <w:rFonts w:ascii="Book Antiqua" w:hAnsi="Book Antiqua"/>
          <w:color w:val="000000"/>
          <w:kern w:val="0"/>
          <w:sz w:val="24"/>
          <w:szCs w:val="24"/>
        </w:rPr>
      </w:pPr>
    </w:p>
    <w:p w14:paraId="396973F2" w14:textId="77777777" w:rsidR="003357F5" w:rsidRPr="00474499" w:rsidRDefault="003357F5" w:rsidP="00E96499">
      <w:pPr>
        <w:adjustRightInd w:val="0"/>
        <w:snapToGrid w:val="0"/>
        <w:spacing w:line="360" w:lineRule="auto"/>
        <w:rPr>
          <w:rFonts w:ascii="Book Antiqua" w:hAnsi="Book Antiqua"/>
          <w:b/>
          <w:bCs/>
          <w:i/>
          <w:color w:val="000000"/>
          <w:kern w:val="0"/>
          <w:sz w:val="24"/>
          <w:szCs w:val="24"/>
        </w:rPr>
      </w:pPr>
      <w:r w:rsidRPr="00474499">
        <w:rPr>
          <w:rFonts w:ascii="Book Antiqua" w:hAnsi="Book Antiqua"/>
          <w:b/>
          <w:bCs/>
          <w:i/>
          <w:color w:val="000000"/>
          <w:kern w:val="0"/>
          <w:sz w:val="24"/>
          <w:szCs w:val="24"/>
        </w:rPr>
        <w:t>METHODS</w:t>
      </w:r>
    </w:p>
    <w:p w14:paraId="1D91EC2C" w14:textId="77777777" w:rsidR="003357F5" w:rsidRPr="00474499" w:rsidRDefault="003357F5" w:rsidP="00E96499">
      <w:pPr>
        <w:adjustRightInd w:val="0"/>
        <w:snapToGrid w:val="0"/>
        <w:spacing w:line="360" w:lineRule="auto"/>
        <w:rPr>
          <w:rFonts w:ascii="Book Antiqua" w:hAnsi="Book Antiqua"/>
          <w:color w:val="000000"/>
          <w:kern w:val="0"/>
          <w:sz w:val="24"/>
          <w:szCs w:val="24"/>
        </w:rPr>
      </w:pPr>
      <w:r w:rsidRPr="00474499">
        <w:rPr>
          <w:rFonts w:ascii="Book Antiqua" w:hAnsi="Book Antiqua"/>
          <w:color w:val="000000"/>
          <w:kern w:val="0"/>
          <w:sz w:val="24"/>
          <w:szCs w:val="24"/>
        </w:rPr>
        <w:t xml:space="preserve">This was a retrospective study. From 2010 to 2013, 46 consecutive patients with large HCC were treated with simultaneous TACE and RFA. Thirty-five of 46 patients had a single tumor. Progression-free survival (PFS) and overall survival (OS) were analyzed at 2 years and 3 years, respectively. </w:t>
      </w:r>
    </w:p>
    <w:p w14:paraId="7662001C" w14:textId="77777777" w:rsidR="00E77711" w:rsidRPr="00474499" w:rsidRDefault="00E77711" w:rsidP="00E96499">
      <w:pPr>
        <w:adjustRightInd w:val="0"/>
        <w:snapToGrid w:val="0"/>
        <w:spacing w:line="360" w:lineRule="auto"/>
        <w:rPr>
          <w:rFonts w:ascii="Book Antiqua" w:hAnsi="Book Antiqua"/>
          <w:color w:val="000000"/>
          <w:kern w:val="0"/>
          <w:sz w:val="24"/>
          <w:szCs w:val="24"/>
        </w:rPr>
      </w:pPr>
    </w:p>
    <w:p w14:paraId="021E24FC" w14:textId="77777777" w:rsidR="003357F5" w:rsidRPr="00474499" w:rsidRDefault="003357F5" w:rsidP="00E96499">
      <w:pPr>
        <w:adjustRightInd w:val="0"/>
        <w:snapToGrid w:val="0"/>
        <w:spacing w:line="360" w:lineRule="auto"/>
        <w:rPr>
          <w:rFonts w:ascii="Book Antiqua" w:hAnsi="Book Antiqua"/>
          <w:b/>
          <w:bCs/>
          <w:i/>
          <w:color w:val="000000"/>
          <w:kern w:val="0"/>
          <w:sz w:val="24"/>
          <w:szCs w:val="24"/>
        </w:rPr>
      </w:pPr>
      <w:r w:rsidRPr="00474499">
        <w:rPr>
          <w:rFonts w:ascii="Book Antiqua" w:hAnsi="Book Antiqua"/>
          <w:b/>
          <w:bCs/>
          <w:i/>
          <w:color w:val="000000"/>
          <w:kern w:val="0"/>
          <w:sz w:val="24"/>
          <w:szCs w:val="24"/>
        </w:rPr>
        <w:t>RESULTS</w:t>
      </w:r>
    </w:p>
    <w:p w14:paraId="597D9895" w14:textId="2AD7B113" w:rsidR="003357F5" w:rsidRPr="00474499" w:rsidRDefault="003357F5" w:rsidP="00E96499">
      <w:pPr>
        <w:adjustRightInd w:val="0"/>
        <w:snapToGrid w:val="0"/>
        <w:spacing w:line="360" w:lineRule="auto"/>
        <w:rPr>
          <w:rFonts w:ascii="Book Antiqua" w:hAnsi="Book Antiqua"/>
          <w:color w:val="000000"/>
          <w:kern w:val="0"/>
          <w:sz w:val="24"/>
          <w:szCs w:val="24"/>
        </w:rPr>
      </w:pPr>
      <w:r w:rsidRPr="00474499">
        <w:rPr>
          <w:rFonts w:ascii="Book Antiqua" w:hAnsi="Book Antiqua"/>
          <w:color w:val="000000"/>
          <w:kern w:val="0"/>
          <w:sz w:val="24"/>
          <w:szCs w:val="24"/>
        </w:rPr>
        <w:t xml:space="preserve">Forty-six patients treated by simultaneous TACE and RFA had no significant complications and treatment was successful. After 3 years, median PFS and OS were 10.21 ± 1.58 </w:t>
      </w:r>
      <w:proofErr w:type="spellStart"/>
      <w:r w:rsidR="00081EAA" w:rsidRPr="00474499">
        <w:rPr>
          <w:rFonts w:ascii="Book Antiqua" w:hAnsi="Book Antiqua"/>
          <w:color w:val="000000"/>
          <w:kern w:val="0"/>
          <w:sz w:val="24"/>
          <w:szCs w:val="24"/>
        </w:rPr>
        <w:t>mo</w:t>
      </w:r>
      <w:proofErr w:type="spellEnd"/>
      <w:r w:rsidR="00081EAA" w:rsidRPr="00474499">
        <w:rPr>
          <w:rFonts w:ascii="Book Antiqua" w:hAnsi="Book Antiqua"/>
          <w:color w:val="000000"/>
          <w:kern w:val="0"/>
          <w:sz w:val="24"/>
          <w:szCs w:val="24"/>
        </w:rPr>
        <w:t xml:space="preserve"> </w:t>
      </w:r>
      <w:r w:rsidRPr="00474499">
        <w:rPr>
          <w:rFonts w:ascii="Book Antiqua" w:hAnsi="Book Antiqua"/>
          <w:color w:val="000000"/>
          <w:kern w:val="0"/>
          <w:sz w:val="24"/>
          <w:szCs w:val="24"/>
        </w:rPr>
        <w:t xml:space="preserve">and 26.44 ± 2.26 </w:t>
      </w:r>
      <w:proofErr w:type="spellStart"/>
      <w:r w:rsidR="00AA4759" w:rsidRPr="00474499">
        <w:rPr>
          <w:rFonts w:ascii="Book Antiqua" w:hAnsi="Book Antiqua"/>
          <w:color w:val="000000"/>
          <w:kern w:val="0"/>
          <w:sz w:val="24"/>
          <w:szCs w:val="24"/>
        </w:rPr>
        <w:t>mo</w:t>
      </w:r>
      <w:proofErr w:type="spellEnd"/>
      <w:r w:rsidRPr="00474499">
        <w:rPr>
          <w:rFonts w:ascii="Book Antiqua" w:hAnsi="Book Antiqua"/>
          <w:color w:val="000000"/>
          <w:kern w:val="0"/>
          <w:sz w:val="24"/>
          <w:szCs w:val="24"/>
        </w:rPr>
        <w:t xml:space="preserve">, retrospectively. The survival rate was 67.5% after 2 years and 55.67% </w:t>
      </w:r>
      <w:r w:rsidR="00AA4759" w:rsidRPr="00474499">
        <w:rPr>
          <w:rFonts w:ascii="Book Antiqua" w:hAnsi="Book Antiqua"/>
          <w:color w:val="000000"/>
          <w:kern w:val="0"/>
          <w:sz w:val="24"/>
          <w:szCs w:val="24"/>
        </w:rPr>
        <w:t>after 3 years.</w:t>
      </w:r>
    </w:p>
    <w:p w14:paraId="702CFC93" w14:textId="77777777" w:rsidR="00AA4759" w:rsidRPr="00474499" w:rsidRDefault="00AA4759" w:rsidP="00E96499">
      <w:pPr>
        <w:adjustRightInd w:val="0"/>
        <w:snapToGrid w:val="0"/>
        <w:spacing w:line="360" w:lineRule="auto"/>
        <w:rPr>
          <w:rFonts w:ascii="Book Antiqua" w:hAnsi="Book Antiqua"/>
          <w:color w:val="000000"/>
          <w:kern w:val="0"/>
          <w:sz w:val="24"/>
          <w:szCs w:val="24"/>
        </w:rPr>
      </w:pPr>
    </w:p>
    <w:p w14:paraId="42537F72" w14:textId="77777777" w:rsidR="003357F5" w:rsidRPr="00474499" w:rsidRDefault="003357F5" w:rsidP="00E96499">
      <w:pPr>
        <w:adjustRightInd w:val="0"/>
        <w:snapToGrid w:val="0"/>
        <w:spacing w:line="360" w:lineRule="auto"/>
        <w:rPr>
          <w:rFonts w:ascii="Book Antiqua" w:hAnsi="Book Antiqua"/>
          <w:b/>
          <w:bCs/>
          <w:i/>
          <w:color w:val="000000"/>
          <w:kern w:val="0"/>
          <w:sz w:val="24"/>
          <w:szCs w:val="24"/>
        </w:rPr>
      </w:pPr>
      <w:r w:rsidRPr="00474499">
        <w:rPr>
          <w:rFonts w:ascii="Book Antiqua" w:hAnsi="Book Antiqua"/>
          <w:b/>
          <w:bCs/>
          <w:i/>
          <w:color w:val="000000"/>
          <w:kern w:val="0"/>
          <w:sz w:val="24"/>
          <w:szCs w:val="24"/>
        </w:rPr>
        <w:t>CONCLUSION</w:t>
      </w:r>
    </w:p>
    <w:p w14:paraId="184D17CD" w14:textId="77777777" w:rsidR="003357F5" w:rsidRPr="00474499" w:rsidRDefault="003357F5" w:rsidP="00E96499">
      <w:pPr>
        <w:adjustRightInd w:val="0"/>
        <w:snapToGrid w:val="0"/>
        <w:spacing w:line="360" w:lineRule="auto"/>
        <w:rPr>
          <w:rFonts w:ascii="Book Antiqua" w:hAnsi="Book Antiqua"/>
          <w:color w:val="000000"/>
          <w:kern w:val="0"/>
          <w:sz w:val="24"/>
          <w:szCs w:val="24"/>
        </w:rPr>
      </w:pPr>
      <w:r w:rsidRPr="00474499">
        <w:rPr>
          <w:rFonts w:ascii="Book Antiqua" w:hAnsi="Book Antiqua"/>
          <w:color w:val="000000"/>
          <w:kern w:val="0"/>
          <w:sz w:val="24"/>
          <w:szCs w:val="24"/>
        </w:rPr>
        <w:t>These preliminary data show that simultaneous TACE and RFA are safe and effective for large HCC.</w:t>
      </w:r>
    </w:p>
    <w:p w14:paraId="6096CFB7" w14:textId="77777777" w:rsidR="003357F5" w:rsidRPr="00474499" w:rsidRDefault="003357F5" w:rsidP="00E96499">
      <w:pPr>
        <w:adjustRightInd w:val="0"/>
        <w:snapToGrid w:val="0"/>
        <w:spacing w:line="360" w:lineRule="auto"/>
        <w:rPr>
          <w:rFonts w:ascii="Book Antiqua" w:hAnsi="Book Antiqua"/>
          <w:color w:val="000000"/>
          <w:kern w:val="0"/>
          <w:sz w:val="24"/>
          <w:szCs w:val="24"/>
        </w:rPr>
      </w:pPr>
    </w:p>
    <w:p w14:paraId="14AB7AD2" w14:textId="332FE41C" w:rsidR="003357F5" w:rsidRPr="00474499" w:rsidRDefault="003357F5" w:rsidP="00E96499">
      <w:pPr>
        <w:autoSpaceDE w:val="0"/>
        <w:autoSpaceDN w:val="0"/>
        <w:adjustRightInd w:val="0"/>
        <w:snapToGrid w:val="0"/>
        <w:spacing w:line="360" w:lineRule="auto"/>
        <w:rPr>
          <w:rFonts w:ascii="Book Antiqua" w:hAnsi="Book Antiqua"/>
          <w:color w:val="000000"/>
          <w:kern w:val="0"/>
          <w:sz w:val="24"/>
          <w:szCs w:val="24"/>
        </w:rPr>
      </w:pPr>
      <w:r w:rsidRPr="00474499">
        <w:rPr>
          <w:rFonts w:ascii="Book Antiqua" w:hAnsi="Book Antiqua"/>
          <w:b/>
          <w:color w:val="000000"/>
          <w:sz w:val="24"/>
          <w:szCs w:val="24"/>
        </w:rPr>
        <w:t>Key words:</w:t>
      </w:r>
      <w:r w:rsidRPr="00474499">
        <w:rPr>
          <w:rFonts w:ascii="Book Antiqua" w:hAnsi="Book Antiqua"/>
          <w:color w:val="000000"/>
          <w:kern w:val="0"/>
          <w:sz w:val="24"/>
          <w:szCs w:val="24"/>
        </w:rPr>
        <w:t xml:space="preserve"> </w:t>
      </w:r>
      <w:r w:rsidRPr="00474499">
        <w:rPr>
          <w:rFonts w:ascii="Book Antiqua" w:hAnsi="Book Antiqua"/>
          <w:color w:val="000000"/>
          <w:sz w:val="24"/>
          <w:szCs w:val="24"/>
        </w:rPr>
        <w:t>Chemoembolization; Radiofrequency ablation; Hepatocellular ca</w:t>
      </w:r>
      <w:r w:rsidR="009446E3" w:rsidRPr="00474499">
        <w:rPr>
          <w:rFonts w:ascii="Book Antiqua" w:hAnsi="Book Antiqua"/>
          <w:color w:val="000000"/>
          <w:sz w:val="24"/>
          <w:szCs w:val="24"/>
        </w:rPr>
        <w:t>rcinoma; Simultaneous treatment</w:t>
      </w:r>
      <w:r w:rsidR="00F11A5D" w:rsidRPr="00474499">
        <w:rPr>
          <w:rFonts w:ascii="Book Antiqua" w:hAnsi="Book Antiqua" w:hint="eastAsia"/>
          <w:color w:val="000000"/>
          <w:sz w:val="24"/>
          <w:szCs w:val="24"/>
        </w:rPr>
        <w:t>;</w:t>
      </w:r>
      <w:r w:rsidR="00F11A5D" w:rsidRPr="00474499">
        <w:rPr>
          <w:rFonts w:ascii="Book Antiqua" w:hAnsi="Book Antiqua"/>
          <w:color w:val="000000"/>
          <w:kern w:val="0"/>
          <w:sz w:val="24"/>
          <w:szCs w:val="24"/>
        </w:rPr>
        <w:t xml:space="preserve"> </w:t>
      </w:r>
      <w:r w:rsidR="00F11A5D" w:rsidRPr="00F11A5D">
        <w:rPr>
          <w:rFonts w:ascii="Book Antiqua" w:hAnsi="Book Antiqua"/>
          <w:color w:val="000000"/>
          <w:kern w:val="0"/>
          <w:sz w:val="24"/>
          <w:szCs w:val="24"/>
        </w:rPr>
        <w:t>Transcatheter arterial chemoembolization</w:t>
      </w:r>
      <w:r w:rsidR="00F11A5D">
        <w:rPr>
          <w:rFonts w:ascii="Book Antiqua" w:hAnsi="Book Antiqua" w:hint="eastAsia"/>
          <w:color w:val="000000"/>
          <w:kern w:val="0"/>
          <w:sz w:val="24"/>
          <w:szCs w:val="24"/>
        </w:rPr>
        <w:t>;</w:t>
      </w:r>
      <w:r w:rsidR="00F11A5D" w:rsidRPr="00474499">
        <w:rPr>
          <w:rFonts w:ascii="Book Antiqua" w:hAnsi="Book Antiqua"/>
          <w:color w:val="000000"/>
          <w:kern w:val="0"/>
          <w:sz w:val="24"/>
          <w:szCs w:val="24"/>
        </w:rPr>
        <w:t xml:space="preserve"> </w:t>
      </w:r>
      <w:r w:rsidR="00F11A5D" w:rsidRPr="00F11A5D">
        <w:rPr>
          <w:rFonts w:ascii="Book Antiqua" w:hAnsi="Book Antiqua"/>
          <w:color w:val="000000"/>
          <w:kern w:val="0"/>
          <w:sz w:val="24"/>
          <w:szCs w:val="24"/>
        </w:rPr>
        <w:t>Radiofrequency ablation</w:t>
      </w:r>
    </w:p>
    <w:p w14:paraId="11938DE1" w14:textId="77777777" w:rsidR="003357F5" w:rsidRPr="00474499" w:rsidRDefault="003357F5" w:rsidP="00E96499">
      <w:pPr>
        <w:adjustRightInd w:val="0"/>
        <w:snapToGrid w:val="0"/>
        <w:spacing w:line="360" w:lineRule="auto"/>
        <w:rPr>
          <w:rFonts w:ascii="Book Antiqua" w:hAnsi="Book Antiqua"/>
          <w:color w:val="000000"/>
          <w:kern w:val="0"/>
          <w:sz w:val="24"/>
          <w:szCs w:val="24"/>
        </w:rPr>
      </w:pPr>
    </w:p>
    <w:p w14:paraId="64B69E11" w14:textId="77777777" w:rsidR="003357F5" w:rsidRPr="00474499" w:rsidRDefault="003357F5" w:rsidP="00E96499">
      <w:pPr>
        <w:adjustRightInd w:val="0"/>
        <w:snapToGrid w:val="0"/>
        <w:spacing w:line="360" w:lineRule="auto"/>
        <w:rPr>
          <w:rFonts w:ascii="Book Antiqua" w:hAnsi="Book Antiqua" w:cs="Tahoma"/>
          <w:color w:val="000000"/>
          <w:sz w:val="24"/>
          <w:szCs w:val="24"/>
          <w:lang w:eastAsia="ja-JP"/>
        </w:rPr>
      </w:pPr>
      <w:bookmarkStart w:id="3" w:name="OLE_LINK149"/>
      <w:bookmarkStart w:id="4" w:name="OLE_LINK682"/>
      <w:bookmarkStart w:id="5" w:name="OLE_LINK288"/>
      <w:bookmarkStart w:id="6" w:name="OLE_LINK306"/>
      <w:bookmarkStart w:id="7" w:name="OLE_LINK569"/>
      <w:bookmarkStart w:id="8" w:name="OLE_LINK1864"/>
      <w:bookmarkStart w:id="9" w:name="OLE_LINK382"/>
      <w:bookmarkStart w:id="10" w:name="OLE_LINK200"/>
      <w:bookmarkStart w:id="11" w:name="OLE_LINK148"/>
      <w:r w:rsidRPr="00474499">
        <w:rPr>
          <w:rFonts w:ascii="Book Antiqua" w:hAnsi="Book Antiqua" w:cs="Tahoma"/>
          <w:b/>
          <w:color w:val="000000"/>
          <w:sz w:val="24"/>
          <w:szCs w:val="24"/>
          <w:lang w:eastAsia="ja-JP"/>
        </w:rPr>
        <w:lastRenderedPageBreak/>
        <w:t>© The Author(s) 201</w:t>
      </w:r>
      <w:r w:rsidRPr="00474499">
        <w:rPr>
          <w:rFonts w:ascii="Book Antiqua" w:hAnsi="Book Antiqua" w:cs="Tahoma"/>
          <w:b/>
          <w:color w:val="000000"/>
          <w:sz w:val="24"/>
          <w:szCs w:val="24"/>
        </w:rPr>
        <w:t>9</w:t>
      </w:r>
      <w:r w:rsidRPr="00474499">
        <w:rPr>
          <w:rFonts w:ascii="Book Antiqua" w:hAnsi="Book Antiqua" w:cs="Tahoma"/>
          <w:b/>
          <w:color w:val="000000"/>
          <w:sz w:val="24"/>
          <w:szCs w:val="24"/>
          <w:lang w:eastAsia="ja-JP"/>
        </w:rPr>
        <w:t>.</w:t>
      </w:r>
      <w:r w:rsidRPr="00474499">
        <w:rPr>
          <w:rFonts w:ascii="Book Antiqua" w:hAnsi="Book Antiqua" w:cs="Tahoma"/>
          <w:color w:val="000000"/>
          <w:sz w:val="24"/>
          <w:szCs w:val="24"/>
          <w:lang w:eastAsia="ja-JP"/>
        </w:rPr>
        <w:t xml:space="preserve"> Published by </w:t>
      </w:r>
      <w:proofErr w:type="spellStart"/>
      <w:r w:rsidRPr="00474499">
        <w:rPr>
          <w:rFonts w:ascii="Book Antiqua" w:hAnsi="Book Antiqua" w:cs="Tahoma"/>
          <w:color w:val="000000"/>
          <w:sz w:val="24"/>
          <w:szCs w:val="24"/>
          <w:lang w:eastAsia="ja-JP"/>
        </w:rPr>
        <w:t>Baishideng</w:t>
      </w:r>
      <w:proofErr w:type="spellEnd"/>
      <w:r w:rsidRPr="00474499">
        <w:rPr>
          <w:rFonts w:ascii="Book Antiqua" w:hAnsi="Book Antiqua" w:cs="Tahoma"/>
          <w:color w:val="000000"/>
          <w:sz w:val="24"/>
          <w:szCs w:val="24"/>
          <w:lang w:eastAsia="ja-JP"/>
        </w:rPr>
        <w:t xml:space="preserve"> Publishing Group Inc. All rights reserved.</w:t>
      </w:r>
      <w:bookmarkEnd w:id="3"/>
      <w:bookmarkEnd w:id="4"/>
      <w:bookmarkEnd w:id="5"/>
      <w:bookmarkEnd w:id="6"/>
      <w:bookmarkEnd w:id="7"/>
      <w:bookmarkEnd w:id="8"/>
      <w:bookmarkEnd w:id="9"/>
      <w:bookmarkEnd w:id="10"/>
      <w:bookmarkEnd w:id="11"/>
    </w:p>
    <w:p w14:paraId="4CDAEE42" w14:textId="77777777" w:rsidR="003357F5" w:rsidRPr="00474499" w:rsidRDefault="003357F5" w:rsidP="00E96499">
      <w:pPr>
        <w:adjustRightInd w:val="0"/>
        <w:snapToGrid w:val="0"/>
        <w:spacing w:line="360" w:lineRule="auto"/>
        <w:rPr>
          <w:rFonts w:ascii="Book Antiqua" w:hAnsi="Book Antiqua"/>
          <w:color w:val="000000"/>
          <w:kern w:val="0"/>
          <w:sz w:val="24"/>
          <w:szCs w:val="24"/>
        </w:rPr>
      </w:pPr>
    </w:p>
    <w:p w14:paraId="05F32C07" w14:textId="24387CDB"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b/>
          <w:color w:val="000000"/>
          <w:kern w:val="0"/>
          <w:sz w:val="24"/>
          <w:szCs w:val="24"/>
        </w:rPr>
        <w:t>Core tip</w:t>
      </w:r>
      <w:r w:rsidRPr="00474499">
        <w:rPr>
          <w:rFonts w:ascii="Book Antiqua" w:hAnsi="Book Antiqua"/>
          <w:color w:val="000000"/>
          <w:sz w:val="24"/>
          <w:szCs w:val="24"/>
        </w:rPr>
        <w:t xml:space="preserve">: </w:t>
      </w:r>
      <w:r w:rsidRPr="00474499">
        <w:rPr>
          <w:rFonts w:ascii="Book Antiqua" w:hAnsi="Book Antiqua" w:cs="TimesNewRoman"/>
          <w:color w:val="000000"/>
          <w:kern w:val="0"/>
          <w:sz w:val="24"/>
          <w:szCs w:val="24"/>
        </w:rPr>
        <w:t xml:space="preserve">Hepatocellular carcinoma (HCC) is a common cancer and a leading cause of tumor-related death. Patients who have large HCC (≥ 8 cm) are at advanced stages and have poor prognosis. </w:t>
      </w:r>
      <w:r w:rsidRPr="00474499">
        <w:rPr>
          <w:rFonts w:ascii="Book Antiqua" w:hAnsi="Book Antiqua" w:cs="TimesNewRoman"/>
          <w:color w:val="000000"/>
          <w:sz w:val="24"/>
          <w:szCs w:val="24"/>
        </w:rPr>
        <w:t xml:space="preserve">Interventional treatment including </w:t>
      </w:r>
      <w:r w:rsidRPr="00474499">
        <w:rPr>
          <w:rFonts w:ascii="Book Antiqua" w:hAnsi="Book Antiqua" w:cs="TimesNewRoman"/>
          <w:color w:val="000000"/>
          <w:kern w:val="0"/>
          <w:sz w:val="24"/>
          <w:szCs w:val="24"/>
        </w:rPr>
        <w:t>transcatheter arterial chemoembolization (TACE) and radiofrequency ablation (RFA) are commonly used for HCC. However, for patients with large HCC, the use of TACE alone and RFA alone can only lead to partial tumor necrosis with poor local control. Our study showed that simultaneous combination of TACE and RFA may improve therapeutic efficacy and surviv</w:t>
      </w:r>
      <w:r w:rsidR="009446E3" w:rsidRPr="00474499">
        <w:rPr>
          <w:rFonts w:ascii="Book Antiqua" w:hAnsi="Book Antiqua" w:cs="TimesNewRoman"/>
          <w:color w:val="000000"/>
          <w:kern w:val="0"/>
          <w:sz w:val="24"/>
          <w:szCs w:val="24"/>
        </w:rPr>
        <w:t>al for patients with large HCC.</w:t>
      </w:r>
    </w:p>
    <w:p w14:paraId="0C6314F5" w14:textId="77777777" w:rsidR="00334504" w:rsidRPr="00474499" w:rsidRDefault="00334504" w:rsidP="00E96499">
      <w:pPr>
        <w:adjustRightInd w:val="0"/>
        <w:snapToGrid w:val="0"/>
        <w:spacing w:line="360" w:lineRule="auto"/>
        <w:rPr>
          <w:rFonts w:ascii="Book Antiqua" w:hAnsi="Book Antiqua" w:cs="TimesNewRoman"/>
          <w:color w:val="000000"/>
          <w:kern w:val="0"/>
          <w:sz w:val="24"/>
          <w:szCs w:val="24"/>
        </w:rPr>
      </w:pPr>
    </w:p>
    <w:p w14:paraId="6A1A4201" w14:textId="0830A430" w:rsidR="00334504" w:rsidRPr="00E96499" w:rsidRDefault="00334504" w:rsidP="00E96499">
      <w:pPr>
        <w:widowControl/>
        <w:adjustRightInd w:val="0"/>
        <w:snapToGrid w:val="0"/>
        <w:spacing w:line="360" w:lineRule="auto"/>
        <w:ind w:left="1"/>
        <w:rPr>
          <w:rFonts w:ascii="Book Antiqua" w:hAnsi="Book Antiqua"/>
          <w:bCs/>
          <w:color w:val="000000"/>
          <w:sz w:val="24"/>
          <w:szCs w:val="24"/>
        </w:rPr>
      </w:pPr>
      <w:proofErr w:type="spellStart"/>
      <w:r w:rsidRPr="00E96499">
        <w:rPr>
          <w:rFonts w:ascii="Book Antiqua" w:hAnsi="Book Antiqua"/>
          <w:bCs/>
          <w:color w:val="000000"/>
          <w:sz w:val="24"/>
          <w:szCs w:val="24"/>
        </w:rPr>
        <w:t>Duan</w:t>
      </w:r>
      <w:proofErr w:type="spellEnd"/>
      <w:r w:rsidRPr="00E96499">
        <w:rPr>
          <w:rFonts w:ascii="Book Antiqua" w:hAnsi="Book Antiqua"/>
          <w:bCs/>
          <w:color w:val="000000"/>
          <w:sz w:val="24"/>
          <w:szCs w:val="24"/>
        </w:rPr>
        <w:t xml:space="preserve"> F, Bai YH, Cui L, Li XH, Yan JY, Wang MQ. Simultaneous </w:t>
      </w:r>
      <w:proofErr w:type="spellStart"/>
      <w:r w:rsidRPr="00E96499">
        <w:rPr>
          <w:rFonts w:ascii="Book Antiqua" w:hAnsi="Book Antiqua"/>
          <w:bCs/>
          <w:color w:val="000000"/>
          <w:sz w:val="24"/>
          <w:szCs w:val="24"/>
        </w:rPr>
        <w:t>transarterial</w:t>
      </w:r>
      <w:proofErr w:type="spellEnd"/>
      <w:r w:rsidRPr="00E96499">
        <w:rPr>
          <w:rFonts w:ascii="Book Antiqua" w:hAnsi="Book Antiqua"/>
          <w:bCs/>
          <w:color w:val="000000"/>
          <w:sz w:val="24"/>
          <w:szCs w:val="24"/>
        </w:rPr>
        <w:t xml:space="preserve"> chemoembolization and radiofrequency ablation for large hepatocellular carcinoma.</w:t>
      </w:r>
      <w:r w:rsidRPr="00E96499">
        <w:rPr>
          <w:rFonts w:ascii="Book Antiqua" w:hAnsi="Book Antiqua"/>
          <w:i/>
          <w:sz w:val="24"/>
          <w:szCs w:val="24"/>
        </w:rPr>
        <w:t xml:space="preserve"> World J </w:t>
      </w:r>
      <w:proofErr w:type="spellStart"/>
      <w:r w:rsidRPr="00E96499">
        <w:rPr>
          <w:rFonts w:ascii="Book Antiqua" w:hAnsi="Book Antiqua"/>
          <w:i/>
          <w:sz w:val="24"/>
          <w:szCs w:val="24"/>
        </w:rPr>
        <w:t>Gastrointest</w:t>
      </w:r>
      <w:proofErr w:type="spellEnd"/>
      <w:r w:rsidRPr="00E96499">
        <w:rPr>
          <w:rFonts w:ascii="Book Antiqua" w:hAnsi="Book Antiqua"/>
          <w:i/>
          <w:sz w:val="24"/>
          <w:szCs w:val="24"/>
        </w:rPr>
        <w:t xml:space="preserve"> Oncol </w:t>
      </w:r>
      <w:r w:rsidRPr="00E96499">
        <w:rPr>
          <w:rFonts w:ascii="Book Antiqua" w:eastAsia="Book Antiqua" w:hAnsi="Book Antiqua" w:cs="Book Antiqua"/>
          <w:sz w:val="24"/>
          <w:szCs w:val="24"/>
        </w:rPr>
        <w:t>2019; In pre</w:t>
      </w:r>
      <w:r w:rsidRPr="00E96499">
        <w:rPr>
          <w:rFonts w:ascii="Book Antiqua" w:hAnsi="Book Antiqua" w:cs="Book Antiqua"/>
          <w:sz w:val="24"/>
          <w:szCs w:val="24"/>
        </w:rPr>
        <w:t>ss</w:t>
      </w:r>
    </w:p>
    <w:p w14:paraId="005D8459" w14:textId="1E5159BF" w:rsidR="003357F5" w:rsidRPr="00474499" w:rsidRDefault="001847AD" w:rsidP="00E96499">
      <w:pPr>
        <w:adjustRightInd w:val="0"/>
        <w:snapToGrid w:val="0"/>
        <w:spacing w:line="360" w:lineRule="auto"/>
        <w:rPr>
          <w:rFonts w:ascii="Book Antiqua" w:hAnsi="Book Antiqua"/>
          <w:b/>
          <w:color w:val="000000"/>
          <w:sz w:val="24"/>
          <w:szCs w:val="24"/>
        </w:rPr>
      </w:pPr>
      <w:r w:rsidRPr="00474499">
        <w:rPr>
          <w:rFonts w:ascii="Book Antiqua" w:hAnsi="Book Antiqua" w:cs="TimesNewRoman"/>
          <w:color w:val="000000"/>
          <w:kern w:val="0"/>
          <w:sz w:val="24"/>
          <w:szCs w:val="24"/>
        </w:rPr>
        <w:br w:type="page"/>
      </w:r>
      <w:r w:rsidR="003357F5" w:rsidRPr="00474499">
        <w:rPr>
          <w:rFonts w:ascii="Book Antiqua" w:hAnsi="Book Antiqua"/>
          <w:b/>
          <w:color w:val="000000"/>
          <w:sz w:val="24"/>
          <w:szCs w:val="24"/>
        </w:rPr>
        <w:lastRenderedPageBreak/>
        <w:t>INTRODUCTION</w:t>
      </w:r>
    </w:p>
    <w:p w14:paraId="1EAAF199" w14:textId="7C283341" w:rsidR="003357F5" w:rsidRPr="00474499" w:rsidRDefault="003357F5" w:rsidP="00E96499">
      <w:pPr>
        <w:adjustRightInd w:val="0"/>
        <w:snapToGrid w:val="0"/>
        <w:spacing w:line="360" w:lineRule="auto"/>
        <w:rPr>
          <w:rFonts w:ascii="Book Antiqua" w:hAnsi="Book Antiqua" w:cs="TimesNewRoman"/>
          <w:color w:val="000000"/>
          <w:sz w:val="24"/>
          <w:szCs w:val="24"/>
        </w:rPr>
      </w:pPr>
      <w:r w:rsidRPr="00474499">
        <w:rPr>
          <w:rFonts w:ascii="Book Antiqua" w:hAnsi="Book Antiqua" w:cs="TimesNewRoman"/>
          <w:color w:val="000000"/>
          <w:kern w:val="0"/>
          <w:sz w:val="24"/>
          <w:szCs w:val="24"/>
        </w:rPr>
        <w:t>Hepatocellular carcinoma (HCC) is a common cancer and a leading cause of tumor</w:t>
      </w:r>
      <w:r w:rsidR="001847AD" w:rsidRPr="00474499">
        <w:rPr>
          <w:rFonts w:ascii="Book Antiqua" w:hAnsi="Book Antiqua" w:cs="TimesNewRoman"/>
          <w:color w:val="000000"/>
          <w:kern w:val="0"/>
          <w:sz w:val="24"/>
          <w:szCs w:val="24"/>
        </w:rPr>
        <w:t xml:space="preserve">-related </w:t>
      </w:r>
      <w:proofErr w:type="gramStart"/>
      <w:r w:rsidR="001847AD" w:rsidRPr="00474499">
        <w:rPr>
          <w:rFonts w:ascii="Book Antiqua" w:hAnsi="Book Antiqua" w:cs="TimesNewRoman"/>
          <w:color w:val="000000"/>
          <w:kern w:val="0"/>
          <w:sz w:val="24"/>
          <w:szCs w:val="24"/>
        </w:rPr>
        <w:t>death</w:t>
      </w:r>
      <w:r w:rsidRPr="00474499">
        <w:rPr>
          <w:rFonts w:ascii="Book Antiqua" w:hAnsi="Book Antiqua" w:cs="TimesNewRoman"/>
          <w:color w:val="000000"/>
          <w:kern w:val="0"/>
          <w:sz w:val="24"/>
          <w:szCs w:val="24"/>
          <w:vertAlign w:val="superscript"/>
        </w:rPr>
        <w:t>[</w:t>
      </w:r>
      <w:proofErr w:type="gramEnd"/>
      <w:r w:rsidRPr="00474499">
        <w:rPr>
          <w:rFonts w:ascii="Book Antiqua" w:hAnsi="Book Antiqua" w:cs="TimesNewRoman"/>
          <w:color w:val="000000"/>
          <w:kern w:val="0"/>
          <w:sz w:val="24"/>
          <w:szCs w:val="24"/>
          <w:vertAlign w:val="superscript"/>
        </w:rPr>
        <w:t>1,2]</w:t>
      </w:r>
      <w:r w:rsidRPr="00474499">
        <w:rPr>
          <w:rFonts w:ascii="Book Antiqua" w:hAnsi="Book Antiqua" w:cs="TimesNewRoman"/>
          <w:color w:val="000000"/>
          <w:kern w:val="0"/>
          <w:sz w:val="24"/>
          <w:szCs w:val="24"/>
        </w:rPr>
        <w:t>. Patients who have large HCC (≥ 8 cm) are generally at advanced</w:t>
      </w:r>
      <w:r w:rsidR="001847AD" w:rsidRPr="00474499">
        <w:rPr>
          <w:rFonts w:ascii="Book Antiqua" w:hAnsi="Book Antiqua" w:cs="TimesNewRoman"/>
          <w:color w:val="000000"/>
          <w:kern w:val="0"/>
          <w:sz w:val="24"/>
          <w:szCs w:val="24"/>
        </w:rPr>
        <w:t xml:space="preserve"> stages and have poor </w:t>
      </w:r>
      <w:proofErr w:type="gramStart"/>
      <w:r w:rsidR="001847AD" w:rsidRPr="00474499">
        <w:rPr>
          <w:rFonts w:ascii="Book Antiqua" w:hAnsi="Book Antiqua" w:cs="TimesNewRoman"/>
          <w:color w:val="000000"/>
          <w:kern w:val="0"/>
          <w:sz w:val="24"/>
          <w:szCs w:val="24"/>
        </w:rPr>
        <w:t>prognosis</w:t>
      </w:r>
      <w:r w:rsidRPr="00474499">
        <w:rPr>
          <w:rFonts w:ascii="Book Antiqua" w:hAnsi="Book Antiqua"/>
          <w:color w:val="000000"/>
          <w:sz w:val="24"/>
          <w:szCs w:val="24"/>
          <w:vertAlign w:val="superscript"/>
        </w:rPr>
        <w:t>[</w:t>
      </w:r>
      <w:proofErr w:type="gramEnd"/>
      <w:r w:rsidRPr="00474499">
        <w:rPr>
          <w:rFonts w:ascii="Book Antiqua" w:hAnsi="Book Antiqua"/>
          <w:color w:val="000000"/>
          <w:sz w:val="24"/>
          <w:szCs w:val="24"/>
          <w:vertAlign w:val="superscript"/>
        </w:rPr>
        <w:t>3,4]</w:t>
      </w:r>
      <w:r w:rsidRPr="00474499">
        <w:rPr>
          <w:rFonts w:ascii="Book Antiqua" w:hAnsi="Book Antiqua" w:cs="TimesNewRoman"/>
          <w:color w:val="000000"/>
          <w:kern w:val="0"/>
          <w:sz w:val="24"/>
          <w:szCs w:val="24"/>
        </w:rPr>
        <w:t xml:space="preserve">. Hepatectomy may not suitable for patients who have large HCC or dysfunction of liver </w:t>
      </w:r>
      <w:r w:rsidR="001847AD" w:rsidRPr="00474499">
        <w:rPr>
          <w:rFonts w:ascii="Book Antiqua" w:hAnsi="Book Antiqua" w:cs="TimesNewRoman"/>
          <w:color w:val="000000"/>
          <w:kern w:val="0"/>
          <w:sz w:val="24"/>
          <w:szCs w:val="24"/>
        </w:rPr>
        <w:t>reserve</w:t>
      </w:r>
      <w:r w:rsidRPr="00474499">
        <w:rPr>
          <w:rFonts w:ascii="Book Antiqua" w:hAnsi="Book Antiqua" w:cs="TimesNewRoman"/>
          <w:color w:val="000000"/>
          <w:kern w:val="0"/>
          <w:sz w:val="24"/>
          <w:szCs w:val="24"/>
        </w:rPr>
        <w:t xml:space="preserve"> </w:t>
      </w:r>
      <w:r w:rsidRPr="00474499">
        <w:rPr>
          <w:rFonts w:ascii="Book Antiqua" w:hAnsi="Book Antiqua" w:cs="TimesNewRoman"/>
          <w:color w:val="000000"/>
          <w:sz w:val="24"/>
          <w:szCs w:val="24"/>
        </w:rPr>
        <w:t xml:space="preserve">and few patients are suitable for surgery. Besides, the postoperative recurrence is </w:t>
      </w:r>
      <w:proofErr w:type="gramStart"/>
      <w:r w:rsidRPr="00474499">
        <w:rPr>
          <w:rFonts w:ascii="Book Antiqua" w:hAnsi="Book Antiqua" w:cs="TimesNewRoman"/>
          <w:color w:val="000000"/>
          <w:sz w:val="24"/>
          <w:szCs w:val="24"/>
        </w:rPr>
        <w:t>high</w:t>
      </w:r>
      <w:r w:rsidRPr="00474499">
        <w:rPr>
          <w:rFonts w:ascii="Book Antiqua" w:hAnsi="Book Antiqua"/>
          <w:color w:val="000000"/>
          <w:sz w:val="24"/>
          <w:szCs w:val="24"/>
          <w:vertAlign w:val="superscript"/>
        </w:rPr>
        <w:t>[</w:t>
      </w:r>
      <w:proofErr w:type="gramEnd"/>
      <w:r w:rsidRPr="00474499">
        <w:rPr>
          <w:rFonts w:ascii="Book Antiqua" w:hAnsi="Book Antiqua"/>
          <w:color w:val="000000"/>
          <w:sz w:val="24"/>
          <w:szCs w:val="24"/>
          <w:vertAlign w:val="superscript"/>
        </w:rPr>
        <w:t>5]</w:t>
      </w:r>
      <w:r w:rsidRPr="00474499">
        <w:rPr>
          <w:rFonts w:ascii="Book Antiqua" w:hAnsi="Book Antiqua" w:cs="TimesNewRoman"/>
          <w:color w:val="000000"/>
          <w:sz w:val="24"/>
          <w:szCs w:val="24"/>
        </w:rPr>
        <w:t>.</w:t>
      </w:r>
    </w:p>
    <w:p w14:paraId="1F0334F4" w14:textId="6AA76EBE" w:rsidR="003357F5" w:rsidRPr="00474499"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Transcatheter arterial chemoembolization (TACE) and radiofrequency ablation (RFA) is commonly used for liver cancer. For TACE, the best candidates are patients with no symptoms and well-preserved liver function, as well as multifocal tumors with no vascular invasion or extrahepatic spread. However, TACE alone only leads to partial tumor necrosis. For small liver cancers (&lt; 3 cm), RFA and surgery are comparable when i</w:t>
      </w:r>
      <w:r w:rsidR="001847AD" w:rsidRPr="00474499">
        <w:rPr>
          <w:rFonts w:ascii="Book Antiqua" w:hAnsi="Book Antiqua" w:cs="TimesNewRoman"/>
          <w:color w:val="000000"/>
          <w:kern w:val="0"/>
          <w:sz w:val="24"/>
          <w:szCs w:val="24"/>
        </w:rPr>
        <w:t xml:space="preserve">t comes to therapeutic </w:t>
      </w:r>
      <w:proofErr w:type="gramStart"/>
      <w:r w:rsidR="001847AD" w:rsidRPr="00474499">
        <w:rPr>
          <w:rFonts w:ascii="Book Antiqua" w:hAnsi="Book Antiqua" w:cs="TimesNewRoman"/>
          <w:color w:val="000000"/>
          <w:kern w:val="0"/>
          <w:sz w:val="24"/>
          <w:szCs w:val="24"/>
        </w:rPr>
        <w:t>efficacy</w:t>
      </w:r>
      <w:r w:rsidRPr="00474499">
        <w:rPr>
          <w:rFonts w:ascii="Book Antiqua" w:hAnsi="Book Antiqua" w:cs="TimesNewRoman"/>
          <w:color w:val="000000"/>
          <w:kern w:val="0"/>
          <w:sz w:val="24"/>
          <w:szCs w:val="24"/>
          <w:vertAlign w:val="superscript"/>
        </w:rPr>
        <w:t>[</w:t>
      </w:r>
      <w:proofErr w:type="gramEnd"/>
      <w:r w:rsidRPr="00474499">
        <w:rPr>
          <w:rFonts w:ascii="Book Antiqua" w:hAnsi="Book Antiqua" w:cs="TimesNewRoman"/>
          <w:color w:val="000000"/>
          <w:kern w:val="0"/>
          <w:sz w:val="24"/>
          <w:szCs w:val="24"/>
          <w:vertAlign w:val="superscript"/>
        </w:rPr>
        <w:t>6,7]</w:t>
      </w:r>
      <w:r w:rsidRPr="00474499">
        <w:rPr>
          <w:rFonts w:ascii="Book Antiqua" w:hAnsi="Book Antiqua" w:cs="TimesNewRoman"/>
          <w:color w:val="000000"/>
          <w:kern w:val="0"/>
          <w:sz w:val="24"/>
          <w:szCs w:val="24"/>
        </w:rPr>
        <w:t>, but for tumors &gt; 3 cm, R</w:t>
      </w:r>
      <w:r w:rsidR="001847AD" w:rsidRPr="00474499">
        <w:rPr>
          <w:rFonts w:ascii="Book Antiqua" w:hAnsi="Book Antiqua" w:cs="TimesNewRoman"/>
          <w:color w:val="000000"/>
          <w:kern w:val="0"/>
          <w:sz w:val="24"/>
          <w:szCs w:val="24"/>
        </w:rPr>
        <w:t>FA has poor local tumor control</w:t>
      </w:r>
      <w:r w:rsidRPr="00474499">
        <w:rPr>
          <w:rFonts w:ascii="Book Antiqua" w:hAnsi="Book Antiqua" w:cs="TimesNewRoman"/>
          <w:color w:val="000000"/>
          <w:kern w:val="0"/>
          <w:sz w:val="24"/>
          <w:szCs w:val="24"/>
          <w:vertAlign w:val="superscript"/>
        </w:rPr>
        <w:t>[8,9]</w:t>
      </w:r>
      <w:r w:rsidRPr="00474499">
        <w:rPr>
          <w:rFonts w:ascii="Book Antiqua" w:hAnsi="Book Antiqua" w:cs="TimesNewRoman"/>
          <w:color w:val="000000"/>
          <w:kern w:val="0"/>
          <w:sz w:val="24"/>
          <w:szCs w:val="24"/>
        </w:rPr>
        <w:t>. Therefore, combination of TACE and RFA may improve therapeutic effi</w:t>
      </w:r>
      <w:r w:rsidR="001847AD" w:rsidRPr="00474499">
        <w:rPr>
          <w:rFonts w:ascii="Book Antiqua" w:hAnsi="Book Antiqua" w:cs="TimesNewRoman"/>
          <w:color w:val="000000"/>
          <w:kern w:val="0"/>
          <w:sz w:val="24"/>
          <w:szCs w:val="24"/>
        </w:rPr>
        <w:t>cacy and extend survival time.</w:t>
      </w:r>
    </w:p>
    <w:p w14:paraId="5913499C" w14:textId="77777777" w:rsidR="003357F5" w:rsidRPr="00474499"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In the present study, we evaluated the efficacy of combined TACE and RFA for large HCC. We retrospectively followed up 46 patients who received the combination treatment from March 2010 to November 2013 and assessed mid-term efficacy of the combination treatment modality as a novel strategy.</w:t>
      </w:r>
    </w:p>
    <w:p w14:paraId="53FBBEC3" w14:textId="77777777" w:rsidR="003357F5" w:rsidRPr="00474499" w:rsidRDefault="003357F5" w:rsidP="00E96499">
      <w:pPr>
        <w:pStyle w:val="BodyText"/>
        <w:adjustRightInd w:val="0"/>
        <w:snapToGrid w:val="0"/>
        <w:rPr>
          <w:rFonts w:ascii="Book Antiqua" w:hAnsi="Book Antiqua" w:cs="TimesNewRoman"/>
          <w:color w:val="000000"/>
          <w:sz w:val="24"/>
          <w:szCs w:val="24"/>
        </w:rPr>
      </w:pPr>
    </w:p>
    <w:p w14:paraId="7BD2178D" w14:textId="0CBF3622" w:rsidR="003357F5" w:rsidRPr="00474499" w:rsidRDefault="003357F5" w:rsidP="00E96499">
      <w:pPr>
        <w:pStyle w:val="08SectionHeader1"/>
        <w:numPr>
          <w:ilvl w:val="0"/>
          <w:numId w:val="0"/>
        </w:numPr>
        <w:adjustRightInd w:val="0"/>
        <w:snapToGrid w:val="0"/>
        <w:spacing w:before="0" w:line="360" w:lineRule="auto"/>
        <w:jc w:val="both"/>
        <w:rPr>
          <w:rFonts w:ascii="Book Antiqua" w:hAnsi="Book Antiqua"/>
          <w:color w:val="000000"/>
          <w:sz w:val="24"/>
          <w:szCs w:val="24"/>
          <w:lang w:eastAsia="zh-CN"/>
        </w:rPr>
      </w:pPr>
      <w:r w:rsidRPr="00474499">
        <w:rPr>
          <w:rFonts w:ascii="Book Antiqua" w:hAnsi="Book Antiqua"/>
          <w:color w:val="000000"/>
          <w:sz w:val="24"/>
          <w:szCs w:val="24"/>
          <w:lang w:eastAsia="zh-CN"/>
        </w:rPr>
        <w:t xml:space="preserve">MATERIALS AND </w:t>
      </w:r>
      <w:r w:rsidR="001847AD" w:rsidRPr="00474499">
        <w:rPr>
          <w:rFonts w:ascii="Book Antiqua" w:hAnsi="Book Antiqua"/>
          <w:color w:val="000000"/>
          <w:sz w:val="24"/>
          <w:szCs w:val="24"/>
        </w:rPr>
        <w:t>METHODS</w:t>
      </w:r>
    </w:p>
    <w:p w14:paraId="45DE7ED3" w14:textId="77777777" w:rsidR="003357F5" w:rsidRPr="00474499" w:rsidRDefault="003357F5" w:rsidP="00E96499">
      <w:pPr>
        <w:pStyle w:val="NormalWeb"/>
        <w:adjustRightInd w:val="0"/>
        <w:snapToGrid w:val="0"/>
        <w:spacing w:before="0" w:beforeAutospacing="0" w:after="0" w:afterAutospacing="0" w:line="360" w:lineRule="auto"/>
        <w:jc w:val="both"/>
        <w:rPr>
          <w:rFonts w:ascii="Book Antiqua" w:hAnsi="Book Antiqua"/>
          <w:b/>
          <w:i/>
          <w:iCs/>
          <w:color w:val="000000"/>
          <w:sz w:val="24"/>
          <w:szCs w:val="24"/>
        </w:rPr>
      </w:pPr>
      <w:r w:rsidRPr="00474499">
        <w:rPr>
          <w:rFonts w:ascii="Book Antiqua" w:hAnsi="Book Antiqua"/>
          <w:b/>
          <w:i/>
          <w:iCs/>
          <w:color w:val="000000"/>
          <w:sz w:val="24"/>
          <w:szCs w:val="24"/>
        </w:rPr>
        <w:t>Patient data</w:t>
      </w:r>
    </w:p>
    <w:p w14:paraId="03B42F36" w14:textId="31A20640"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 xml:space="preserve">A total of 46 consecutively identified patients with large HCCs (at least one lesion diameter ≥ 8 cm) were enrolled. The baseline characteristics of these patients were as follows: (1) 42 men and four women; (2) median age: 53.5 years (range 36–70 years); </w:t>
      </w:r>
      <w:r w:rsidR="001847AD" w:rsidRPr="00474499">
        <w:rPr>
          <w:rFonts w:ascii="Book Antiqua" w:hAnsi="Book Antiqua" w:cs="TimesNewRoman"/>
          <w:color w:val="000000"/>
          <w:kern w:val="0"/>
          <w:sz w:val="24"/>
          <w:szCs w:val="24"/>
        </w:rPr>
        <w:t xml:space="preserve">and </w:t>
      </w:r>
      <w:r w:rsidRPr="00474499">
        <w:rPr>
          <w:rFonts w:ascii="Book Antiqua" w:hAnsi="Book Antiqua" w:cs="TimesNewRoman"/>
          <w:color w:val="000000"/>
          <w:kern w:val="0"/>
          <w:sz w:val="24"/>
          <w:szCs w:val="24"/>
        </w:rPr>
        <w:t>(3) according to the Barcelona Clinic Liver Cancer (BCLC) staging classification, advanced HCC was classified as B/C (42/4); liver function: Child–Pugh class A (</w:t>
      </w:r>
      <w:r w:rsidRPr="00474499">
        <w:rPr>
          <w:rFonts w:ascii="Book Antiqua" w:hAnsi="Book Antiqua" w:cs="TimesNewRoman"/>
          <w:i/>
          <w:iCs/>
          <w:color w:val="000000"/>
          <w:kern w:val="0"/>
          <w:sz w:val="24"/>
          <w:szCs w:val="24"/>
        </w:rPr>
        <w:t xml:space="preserve">n </w:t>
      </w:r>
      <w:r w:rsidRPr="00474499">
        <w:rPr>
          <w:rFonts w:ascii="Book Antiqua" w:hAnsi="Book Antiqua" w:cs="TimesNewRoman"/>
          <w:color w:val="000000"/>
          <w:kern w:val="0"/>
          <w:sz w:val="24"/>
          <w:szCs w:val="24"/>
        </w:rPr>
        <w:t>= 45) and class B (</w:t>
      </w:r>
      <w:r w:rsidRPr="00474499">
        <w:rPr>
          <w:rFonts w:ascii="Book Antiqua" w:hAnsi="Book Antiqua" w:cs="TimesNewRoman"/>
          <w:i/>
          <w:iCs/>
          <w:color w:val="000000"/>
          <w:kern w:val="0"/>
          <w:sz w:val="24"/>
          <w:szCs w:val="24"/>
        </w:rPr>
        <w:t xml:space="preserve">n </w:t>
      </w:r>
      <w:r w:rsidRPr="00474499">
        <w:rPr>
          <w:rFonts w:ascii="Book Antiqua" w:hAnsi="Book Antiqua" w:cs="TimesNewRoman"/>
          <w:color w:val="000000"/>
          <w:kern w:val="0"/>
          <w:sz w:val="24"/>
          <w:szCs w:val="24"/>
        </w:rPr>
        <w:t>= 1). The mean tumor size was 8.1</w:t>
      </w:r>
      <w:r w:rsidR="001847AD" w:rsidRPr="00474499">
        <w:rPr>
          <w:rFonts w:ascii="Book Antiqua" w:hAnsi="Book Antiqua" w:cs="TimesNewRoman"/>
          <w:color w:val="000000"/>
          <w:kern w:val="0"/>
          <w:sz w:val="24"/>
          <w:szCs w:val="24"/>
        </w:rPr>
        <w:t>7 cm (range 8.0–14.0 cm) (Table</w:t>
      </w:r>
      <w:r w:rsidR="006A3EDF">
        <w:rPr>
          <w:rFonts w:ascii="Book Antiqua" w:hAnsi="Book Antiqua" w:cs="TimesNewRoman" w:hint="eastAsia"/>
          <w:color w:val="000000"/>
          <w:kern w:val="0"/>
          <w:sz w:val="24"/>
          <w:szCs w:val="24"/>
        </w:rPr>
        <w:t>s</w:t>
      </w:r>
      <w:r w:rsidRPr="00474499">
        <w:rPr>
          <w:rFonts w:ascii="Book Antiqua" w:hAnsi="Book Antiqua" w:cs="TimesNewRoman"/>
          <w:color w:val="000000"/>
          <w:kern w:val="0"/>
          <w:sz w:val="24"/>
          <w:szCs w:val="24"/>
        </w:rPr>
        <w:t xml:space="preserve"> 1 and 2). Sex, age, tumor stage, tumor size, number of tumors, Child–Pugh score, vascular invasion (tumor thrombus in the first branch or trunk of the portal vein) and </w:t>
      </w:r>
      <w:proofErr w:type="spellStart"/>
      <w:r w:rsidRPr="00474499">
        <w:rPr>
          <w:rFonts w:ascii="Book Antiqua" w:hAnsi="Book Antiqua" w:cs="TimesNewRoman"/>
          <w:color w:val="000000"/>
          <w:kern w:val="0"/>
          <w:sz w:val="24"/>
          <w:szCs w:val="24"/>
        </w:rPr>
        <w:t>pseudocapsule</w:t>
      </w:r>
      <w:proofErr w:type="spellEnd"/>
      <w:r w:rsidRPr="00474499">
        <w:rPr>
          <w:rFonts w:ascii="Book Antiqua" w:hAnsi="Book Antiqua" w:cs="TimesNewRoman"/>
          <w:color w:val="000000"/>
          <w:kern w:val="0"/>
          <w:sz w:val="24"/>
          <w:szCs w:val="24"/>
        </w:rPr>
        <w:t xml:space="preserve"> were taken into consideration as factors for subgroup analysis. This study was approved </w:t>
      </w:r>
      <w:r w:rsidRPr="00474499">
        <w:rPr>
          <w:rFonts w:ascii="Book Antiqua" w:hAnsi="Book Antiqua" w:cs="TimesNewRoman"/>
          <w:color w:val="000000"/>
          <w:kern w:val="0"/>
          <w:sz w:val="24"/>
          <w:szCs w:val="24"/>
        </w:rPr>
        <w:lastRenderedPageBreak/>
        <w:t xml:space="preserve">by the Ethics Committee of the Chinese </w:t>
      </w:r>
      <w:r w:rsidR="001847AD" w:rsidRPr="00E96499">
        <w:rPr>
          <w:rFonts w:ascii="Book Antiqua" w:hAnsi="Book Antiqua"/>
          <w:color w:val="000000"/>
          <w:sz w:val="24"/>
          <w:szCs w:val="24"/>
        </w:rPr>
        <w:t>People’s Liberation Army</w:t>
      </w:r>
      <w:r w:rsidR="001847AD" w:rsidRPr="00E96499">
        <w:rPr>
          <w:rFonts w:ascii="Book Antiqua" w:hAnsi="Book Antiqua" w:cs="TimesNewRoman"/>
          <w:color w:val="000000"/>
          <w:kern w:val="0"/>
          <w:sz w:val="24"/>
          <w:szCs w:val="24"/>
        </w:rPr>
        <w:t xml:space="preserve"> </w:t>
      </w:r>
      <w:r w:rsidRPr="00474499">
        <w:rPr>
          <w:rFonts w:ascii="Book Antiqua" w:hAnsi="Book Antiqua" w:cs="TimesNewRoman"/>
          <w:color w:val="000000"/>
          <w:kern w:val="0"/>
          <w:sz w:val="24"/>
          <w:szCs w:val="24"/>
        </w:rPr>
        <w:t xml:space="preserve">General Hospital, and patients’ informed consent was obtained. The diagnosis of HCC was based on imaging ﬁndings and/or </w:t>
      </w:r>
      <w:r w:rsidRPr="00474499">
        <w:rPr>
          <w:rFonts w:ascii="Book Antiqua" w:hAnsi="Book Antiqua" w:cs="TimesNewRoman"/>
          <w:color w:val="000000"/>
          <w:kern w:val="0"/>
          <w:sz w:val="24"/>
          <w:szCs w:val="24"/>
        </w:rPr>
        <w:sym w:font="Symbol" w:char="F061"/>
      </w:r>
      <w:r w:rsidRPr="00474499">
        <w:rPr>
          <w:rFonts w:ascii="Book Antiqua" w:hAnsi="Book Antiqua" w:cs="TimesNewRoman"/>
          <w:color w:val="000000"/>
          <w:kern w:val="0"/>
          <w:sz w:val="24"/>
          <w:szCs w:val="24"/>
        </w:rPr>
        <w:t>-fetoprotein (AFP) levels. Tumor stage was classified according to the BCLC classification system. The patients were surgically unsuitable, and without ar</w:t>
      </w:r>
      <w:r w:rsidR="007A44D1" w:rsidRPr="00474499">
        <w:rPr>
          <w:rFonts w:ascii="Book Antiqua" w:hAnsi="Book Antiqua" w:cs="TimesNewRoman"/>
          <w:color w:val="000000"/>
          <w:kern w:val="0"/>
          <w:sz w:val="24"/>
          <w:szCs w:val="24"/>
        </w:rPr>
        <w:t>teriovenous fistula or ascites.</w:t>
      </w:r>
    </w:p>
    <w:p w14:paraId="3283D3D4" w14:textId="77777777"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p>
    <w:p w14:paraId="0662421D" w14:textId="77777777" w:rsidR="003357F5" w:rsidRPr="00474499" w:rsidRDefault="003357F5" w:rsidP="00E96499">
      <w:pPr>
        <w:pStyle w:val="NormalWeb"/>
        <w:adjustRightInd w:val="0"/>
        <w:snapToGrid w:val="0"/>
        <w:spacing w:before="0" w:beforeAutospacing="0" w:after="0" w:afterAutospacing="0" w:line="360" w:lineRule="auto"/>
        <w:jc w:val="both"/>
        <w:rPr>
          <w:rFonts w:ascii="Book Antiqua" w:hAnsi="Book Antiqua"/>
          <w:b/>
          <w:i/>
          <w:iCs/>
          <w:color w:val="000000"/>
          <w:sz w:val="24"/>
          <w:szCs w:val="24"/>
        </w:rPr>
      </w:pPr>
      <w:r w:rsidRPr="00474499">
        <w:rPr>
          <w:rFonts w:ascii="Book Antiqua" w:hAnsi="Book Antiqua"/>
          <w:b/>
          <w:i/>
          <w:iCs/>
          <w:color w:val="000000"/>
          <w:sz w:val="24"/>
          <w:szCs w:val="24"/>
        </w:rPr>
        <w:t>Treatment protocol</w:t>
      </w:r>
    </w:p>
    <w:p w14:paraId="028EFAB3" w14:textId="7330F297"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After routine preoperative preparation, TACE was performed first, under sterile co</w:t>
      </w:r>
      <w:r w:rsidR="007A44D1" w:rsidRPr="00474499">
        <w:rPr>
          <w:rFonts w:ascii="Book Antiqua" w:hAnsi="Book Antiqua" w:cs="TimesNewRoman"/>
          <w:color w:val="000000"/>
          <w:kern w:val="0"/>
          <w:sz w:val="24"/>
          <w:szCs w:val="24"/>
        </w:rPr>
        <w:t xml:space="preserve">nditions and general </w:t>
      </w:r>
      <w:proofErr w:type="gramStart"/>
      <w:r w:rsidR="007A44D1" w:rsidRPr="00474499">
        <w:rPr>
          <w:rFonts w:ascii="Book Antiqua" w:hAnsi="Book Antiqua" w:cs="TimesNewRoman"/>
          <w:color w:val="000000"/>
          <w:kern w:val="0"/>
          <w:sz w:val="24"/>
          <w:szCs w:val="24"/>
        </w:rPr>
        <w:t>anesthesia</w:t>
      </w:r>
      <w:r w:rsidRPr="00474499">
        <w:rPr>
          <w:rFonts w:ascii="Book Antiqua" w:hAnsi="Book Antiqua" w:cs="TimesNewRoman"/>
          <w:color w:val="000000"/>
          <w:kern w:val="0"/>
          <w:sz w:val="24"/>
          <w:szCs w:val="24"/>
          <w:vertAlign w:val="superscript"/>
        </w:rPr>
        <w:t>[</w:t>
      </w:r>
      <w:proofErr w:type="gramEnd"/>
      <w:r w:rsidRPr="00474499">
        <w:rPr>
          <w:rFonts w:ascii="Book Antiqua" w:hAnsi="Book Antiqua" w:cs="TimesNewRoman"/>
          <w:color w:val="000000"/>
          <w:kern w:val="0"/>
          <w:sz w:val="24"/>
          <w:szCs w:val="24"/>
          <w:vertAlign w:val="superscript"/>
        </w:rPr>
        <w:t>10]</w:t>
      </w:r>
      <w:r w:rsidRPr="00474499">
        <w:rPr>
          <w:rFonts w:ascii="Book Antiqua" w:hAnsi="Book Antiqua" w:cs="TimesNewRoman"/>
          <w:color w:val="000000"/>
          <w:kern w:val="0"/>
          <w:sz w:val="24"/>
          <w:szCs w:val="24"/>
        </w:rPr>
        <w:t xml:space="preserve">. The right femoral artery was cannulated by a 4F vascular sheath (Radifocus Introducer II; Terumo Corp., Japan) and </w:t>
      </w:r>
      <w:proofErr w:type="spellStart"/>
      <w:r w:rsidRPr="00474499">
        <w:rPr>
          <w:rFonts w:ascii="Book Antiqua" w:hAnsi="Book Antiqua" w:cs="TimesNewRoman"/>
          <w:color w:val="000000"/>
          <w:kern w:val="0"/>
          <w:sz w:val="24"/>
          <w:szCs w:val="24"/>
        </w:rPr>
        <w:t>Seldinger’s</w:t>
      </w:r>
      <w:proofErr w:type="spellEnd"/>
      <w:r w:rsidRPr="00474499">
        <w:rPr>
          <w:rFonts w:ascii="Book Antiqua" w:hAnsi="Book Antiqua" w:cs="TimesNewRoman"/>
          <w:color w:val="000000"/>
          <w:kern w:val="0"/>
          <w:sz w:val="24"/>
          <w:szCs w:val="24"/>
        </w:rPr>
        <w:t xml:space="preserve"> technique. Selective celiac artery and superior mesenteric artery angiography was performed by 4F hepatic artery catheter (HA; Terumo), which was through the vascular sheath. Maximum catheter selectivity of the hepatic artery was achieved using a microcatheter (</w:t>
      </w:r>
      <w:proofErr w:type="spellStart"/>
      <w:r w:rsidRPr="00474499">
        <w:rPr>
          <w:rFonts w:ascii="Book Antiqua" w:hAnsi="Book Antiqua" w:cs="TimesNewRoman"/>
          <w:color w:val="000000"/>
          <w:kern w:val="0"/>
          <w:sz w:val="24"/>
          <w:szCs w:val="24"/>
        </w:rPr>
        <w:t>Progreat</w:t>
      </w:r>
      <w:proofErr w:type="spellEnd"/>
      <w:r w:rsidRPr="00474499">
        <w:rPr>
          <w:rFonts w:ascii="Book Antiqua" w:hAnsi="Book Antiqua" w:cs="TimesNewRoman"/>
          <w:color w:val="000000"/>
          <w:kern w:val="0"/>
          <w:sz w:val="24"/>
          <w:szCs w:val="24"/>
        </w:rPr>
        <w:t>; Terumo), with administration of an embolic agent into the tumor feeding arteries. Drug dose varied from 15 to 20 mL lipiodol (</w:t>
      </w:r>
      <w:proofErr w:type="spellStart"/>
      <w:r w:rsidRPr="00474499">
        <w:rPr>
          <w:rFonts w:ascii="Book Antiqua" w:hAnsi="Book Antiqua" w:cs="TimesNewRoman"/>
          <w:color w:val="000000"/>
          <w:kern w:val="0"/>
          <w:sz w:val="24"/>
          <w:szCs w:val="24"/>
        </w:rPr>
        <w:t>Guerbet</w:t>
      </w:r>
      <w:proofErr w:type="spellEnd"/>
      <w:r w:rsidRPr="00474499">
        <w:rPr>
          <w:rFonts w:ascii="Book Antiqua" w:hAnsi="Book Antiqua" w:cs="TimesNewRoman"/>
          <w:color w:val="000000"/>
          <w:kern w:val="0"/>
          <w:sz w:val="24"/>
          <w:szCs w:val="24"/>
        </w:rPr>
        <w:t xml:space="preserve"> Corp., France) each procedure, 30–50 mg doxorubicin (Pfizer Pharmaceuticals Ltd., U</w:t>
      </w:r>
      <w:r w:rsidR="004955CD">
        <w:rPr>
          <w:rFonts w:ascii="Book Antiqua" w:hAnsi="Book Antiqua" w:cs="TimesNewRoman"/>
          <w:color w:val="000000"/>
          <w:kern w:val="0"/>
          <w:sz w:val="24"/>
          <w:szCs w:val="24"/>
        </w:rPr>
        <w:t>nited States</w:t>
      </w:r>
      <w:r w:rsidRPr="00474499">
        <w:rPr>
          <w:rFonts w:ascii="Book Antiqua" w:hAnsi="Book Antiqua" w:cs="TimesNewRoman"/>
          <w:color w:val="000000"/>
          <w:kern w:val="0"/>
          <w:sz w:val="24"/>
          <w:szCs w:val="24"/>
        </w:rPr>
        <w:t>), 100–150 mg oxaliplatin (Sanofi Pharmaceuticals Co. Ltd., France), depending on the tumor size, patient’s weight and laboratory results. Lipiodol chemotherapeutic agents were injected until stasis to minimize reflux into nontarget vessels. Administration of agents continued until quiescence, and was observed in the arteries that directly fed the tumor (</w:t>
      </w:r>
      <w:r w:rsidRPr="00474499">
        <w:rPr>
          <w:rFonts w:ascii="Book Antiqua" w:hAnsi="Book Antiqua" w:cs="TimesNewRoman"/>
          <w:i/>
          <w:color w:val="000000"/>
          <w:kern w:val="0"/>
          <w:sz w:val="24"/>
          <w:szCs w:val="24"/>
        </w:rPr>
        <w:t>i.e.</w:t>
      </w:r>
      <w:r w:rsidRPr="00474499">
        <w:rPr>
          <w:rFonts w:ascii="Book Antiqua" w:hAnsi="Book Antiqua" w:cs="TimesNewRoman"/>
          <w:color w:val="000000"/>
          <w:kern w:val="0"/>
          <w:sz w:val="24"/>
          <w:szCs w:val="24"/>
        </w:rPr>
        <w:t xml:space="preserve">, the control column was fully cleared in five </w:t>
      </w:r>
      <w:proofErr w:type="spellStart"/>
      <w:r w:rsidRPr="00474499">
        <w:rPr>
          <w:rFonts w:ascii="Book Antiqua" w:hAnsi="Book Antiqua" w:cs="TimesNewRoman"/>
          <w:color w:val="000000"/>
          <w:kern w:val="0"/>
          <w:sz w:val="24"/>
          <w:szCs w:val="24"/>
        </w:rPr>
        <w:t>heart beats</w:t>
      </w:r>
      <w:proofErr w:type="spellEnd"/>
      <w:r w:rsidRPr="00474499">
        <w:rPr>
          <w:rFonts w:ascii="Book Antiqua" w:hAnsi="Book Antiqua" w:cs="TimesNewRoman"/>
          <w:color w:val="000000"/>
          <w:kern w:val="0"/>
          <w:sz w:val="24"/>
          <w:szCs w:val="24"/>
        </w:rPr>
        <w:t>). After administration of 20 mL lipiodol, gelatin sponge, which served as a supplement, was injected if stasis was not achieved. If the inferior phrenic, internal thoracic artery branches and omental branches fed the tumor, these coll</w:t>
      </w:r>
      <w:r w:rsidR="007A44D1" w:rsidRPr="00474499">
        <w:rPr>
          <w:rFonts w:ascii="Book Antiqua" w:hAnsi="Book Antiqua" w:cs="TimesNewRoman"/>
          <w:color w:val="000000"/>
          <w:kern w:val="0"/>
          <w:sz w:val="24"/>
          <w:szCs w:val="24"/>
        </w:rPr>
        <w:t xml:space="preserve">ateral arteries were embolized </w:t>
      </w:r>
      <w:r w:rsidRPr="00474499">
        <w:rPr>
          <w:rFonts w:ascii="Book Antiqua" w:hAnsi="Book Antiqua" w:cs="TimesNewRoman"/>
          <w:color w:val="000000"/>
          <w:kern w:val="0"/>
          <w:sz w:val="24"/>
          <w:szCs w:val="24"/>
        </w:rPr>
        <w:t>accordingly.</w:t>
      </w:r>
    </w:p>
    <w:p w14:paraId="4234664A" w14:textId="37D78CA2" w:rsidR="003357F5" w:rsidRPr="00474499"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Percutaneous RFA was immediately performed after TACE. It was under general anesthesia and with the guidance of digital subtraction angiography (DSA) combined with cone-</w:t>
      </w:r>
      <w:r w:rsidR="008A61D0" w:rsidRPr="00474499">
        <w:rPr>
          <w:rFonts w:ascii="Book Antiqua" w:hAnsi="Book Antiqua" w:cs="TimesNewRoman"/>
          <w:color w:val="000000"/>
          <w:kern w:val="0"/>
          <w:sz w:val="24"/>
          <w:szCs w:val="24"/>
        </w:rPr>
        <w:t>beam computed tomography (CBCT</w:t>
      </w:r>
      <w:proofErr w:type="gramStart"/>
      <w:r w:rsidR="008A61D0" w:rsidRPr="00474499">
        <w:rPr>
          <w:rFonts w:ascii="Book Antiqua" w:hAnsi="Book Antiqua" w:cs="TimesNewRoman"/>
          <w:color w:val="000000"/>
          <w:kern w:val="0"/>
          <w:sz w:val="24"/>
          <w:szCs w:val="24"/>
        </w:rPr>
        <w:t>)</w:t>
      </w:r>
      <w:r w:rsidRPr="00474499">
        <w:rPr>
          <w:rFonts w:ascii="Book Antiqua" w:hAnsi="Book Antiqua" w:cs="TimesNewRoman"/>
          <w:color w:val="000000"/>
          <w:kern w:val="0"/>
          <w:sz w:val="24"/>
          <w:szCs w:val="24"/>
          <w:vertAlign w:val="superscript"/>
        </w:rPr>
        <w:t>[</w:t>
      </w:r>
      <w:proofErr w:type="gramEnd"/>
      <w:r w:rsidRPr="00474499">
        <w:rPr>
          <w:rFonts w:ascii="Book Antiqua" w:hAnsi="Book Antiqua" w:cs="TimesNewRoman"/>
          <w:color w:val="000000"/>
          <w:kern w:val="0"/>
          <w:sz w:val="24"/>
          <w:szCs w:val="24"/>
          <w:vertAlign w:val="superscript"/>
        </w:rPr>
        <w:t>11]</w:t>
      </w:r>
      <w:r w:rsidRPr="00474499">
        <w:rPr>
          <w:rFonts w:ascii="Book Antiqua" w:hAnsi="Book Antiqua" w:cs="TimesNewRoman"/>
          <w:color w:val="000000"/>
          <w:kern w:val="0"/>
          <w:sz w:val="24"/>
          <w:szCs w:val="24"/>
        </w:rPr>
        <w:t xml:space="preserve">. One multipolar RF probe (RITA Co., Crystal Lake, IL, USA) with 5–7 cm maximum ablation diameter and 10–15 cm length was used during RFA. Guided by fluoroscopy, the RF probe was inserted into the center of the tumor. During </w:t>
      </w:r>
      <w:r w:rsidRPr="00474499">
        <w:rPr>
          <w:rFonts w:ascii="Book Antiqua" w:hAnsi="Book Antiqua" w:cs="TimesNewRoman"/>
          <w:color w:val="000000"/>
          <w:kern w:val="0"/>
          <w:sz w:val="24"/>
          <w:szCs w:val="24"/>
        </w:rPr>
        <w:lastRenderedPageBreak/>
        <w:t>puncture, both the lateral and postural views were obtained. CBCT was then performed to confirm the position of the RF probe (Figure 1). Ablation began when the target position was reached. The operation parameters were power, 150–200 W; and ablation time, 15 min when temperature rose until 105</w:t>
      </w:r>
      <w:r w:rsidR="004955CD">
        <w:rPr>
          <w:rFonts w:ascii="Book Antiqua" w:hAnsi="Book Antiqua" w:cs="TimesNewRoman"/>
          <w:color w:val="000000"/>
          <w:kern w:val="0"/>
          <w:sz w:val="24"/>
          <w:szCs w:val="24"/>
        </w:rPr>
        <w:t xml:space="preserve"> </w:t>
      </w:r>
      <w:r w:rsidRPr="00474499">
        <w:rPr>
          <w:rFonts w:ascii="Book Antiqua" w:hAnsi="Book Antiqua" w:cs="TimesNewRoman"/>
          <w:color w:val="000000"/>
          <w:kern w:val="0"/>
          <w:sz w:val="24"/>
          <w:szCs w:val="24"/>
        </w:rPr>
        <w:t xml:space="preserve">°C. According to tumor size and maximum ablation diameter, RFA was performed 2–5 times. Puncture tract ablation was carried out to avoid bleeding and tumor seeding. </w:t>
      </w:r>
    </w:p>
    <w:p w14:paraId="6F4506BD" w14:textId="77777777" w:rsidR="003357F5" w:rsidRPr="00474499" w:rsidRDefault="003357F5" w:rsidP="00E96499">
      <w:pPr>
        <w:pStyle w:val="NormalWeb"/>
        <w:adjustRightInd w:val="0"/>
        <w:snapToGrid w:val="0"/>
        <w:spacing w:before="0" w:beforeAutospacing="0" w:after="0" w:afterAutospacing="0" w:line="360" w:lineRule="auto"/>
        <w:jc w:val="both"/>
        <w:rPr>
          <w:rFonts w:ascii="Book Antiqua" w:hAnsi="Book Antiqua"/>
          <w:b/>
          <w:i/>
          <w:iCs/>
          <w:color w:val="000000"/>
          <w:sz w:val="24"/>
          <w:szCs w:val="24"/>
        </w:rPr>
      </w:pPr>
    </w:p>
    <w:p w14:paraId="46207A0B" w14:textId="77777777" w:rsidR="003357F5" w:rsidRPr="00474499" w:rsidRDefault="003357F5" w:rsidP="00E96499">
      <w:pPr>
        <w:pStyle w:val="NormalWeb"/>
        <w:adjustRightInd w:val="0"/>
        <w:snapToGrid w:val="0"/>
        <w:spacing w:before="0" w:beforeAutospacing="0" w:after="0" w:afterAutospacing="0" w:line="360" w:lineRule="auto"/>
        <w:jc w:val="both"/>
        <w:rPr>
          <w:rFonts w:ascii="Book Antiqua" w:hAnsi="Book Antiqua"/>
          <w:b/>
          <w:i/>
          <w:iCs/>
          <w:color w:val="000000"/>
          <w:sz w:val="24"/>
          <w:szCs w:val="24"/>
        </w:rPr>
      </w:pPr>
      <w:r w:rsidRPr="00474499">
        <w:rPr>
          <w:rFonts w:ascii="Book Antiqua" w:hAnsi="Book Antiqua"/>
          <w:b/>
          <w:i/>
          <w:iCs/>
          <w:color w:val="000000"/>
          <w:sz w:val="24"/>
          <w:szCs w:val="24"/>
        </w:rPr>
        <w:t>Patient follow-up and clinical data collection</w:t>
      </w:r>
    </w:p>
    <w:p w14:paraId="66F6DBB9" w14:textId="5503EE02"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 xml:space="preserve">Enhanced magnetic resonance imaging was used for follow-up every 1–2 </w:t>
      </w:r>
      <w:proofErr w:type="spellStart"/>
      <w:r w:rsidR="008A61D0" w:rsidRPr="00474499">
        <w:rPr>
          <w:rFonts w:ascii="Book Antiqua" w:hAnsi="Book Antiqua" w:cs="TimesNewRoman"/>
          <w:color w:val="000000"/>
          <w:kern w:val="0"/>
          <w:sz w:val="24"/>
          <w:szCs w:val="24"/>
        </w:rPr>
        <w:t>mo</w:t>
      </w:r>
      <w:proofErr w:type="spellEnd"/>
      <w:r w:rsidRPr="00474499">
        <w:rPr>
          <w:rFonts w:ascii="Book Antiqua" w:hAnsi="Book Antiqua" w:cs="TimesNewRoman"/>
          <w:color w:val="000000"/>
          <w:kern w:val="0"/>
          <w:sz w:val="24"/>
          <w:szCs w:val="24"/>
        </w:rPr>
        <w:t xml:space="preserve"> during the first year, and every 2–4 months afterwards. Tumor recurrence or metastasis was recognized as disease progression. Comprehensive treatment including TACE, RFA, radiotherapy, and sorafenib was performed on patients with disease progression. Two independent authors followed up all the clinic</w:t>
      </w:r>
      <w:r w:rsidR="008A61D0" w:rsidRPr="00474499">
        <w:rPr>
          <w:rFonts w:ascii="Book Antiqua" w:hAnsi="Book Antiqua" w:cs="TimesNewRoman"/>
          <w:color w:val="000000"/>
          <w:kern w:val="0"/>
          <w:sz w:val="24"/>
          <w:szCs w:val="24"/>
        </w:rPr>
        <w:t>al data and follow-up outcomes.</w:t>
      </w:r>
    </w:p>
    <w:p w14:paraId="27583F58" w14:textId="77777777"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p>
    <w:p w14:paraId="7F82E576" w14:textId="77777777" w:rsidR="003357F5" w:rsidRPr="00474499" w:rsidRDefault="003357F5" w:rsidP="00E96499">
      <w:pPr>
        <w:pStyle w:val="NormalWeb"/>
        <w:adjustRightInd w:val="0"/>
        <w:snapToGrid w:val="0"/>
        <w:spacing w:before="0" w:beforeAutospacing="0" w:after="0" w:afterAutospacing="0" w:line="360" w:lineRule="auto"/>
        <w:jc w:val="both"/>
        <w:rPr>
          <w:rFonts w:ascii="Book Antiqua" w:hAnsi="Book Antiqua"/>
          <w:b/>
          <w:i/>
          <w:iCs/>
          <w:color w:val="000000"/>
          <w:sz w:val="24"/>
          <w:szCs w:val="24"/>
        </w:rPr>
      </w:pPr>
      <w:r w:rsidRPr="00474499">
        <w:rPr>
          <w:rFonts w:ascii="Book Antiqua" w:hAnsi="Book Antiqua"/>
          <w:b/>
          <w:i/>
          <w:iCs/>
          <w:color w:val="000000"/>
          <w:sz w:val="24"/>
          <w:szCs w:val="24"/>
        </w:rPr>
        <w:t>Statistical analysis</w:t>
      </w:r>
    </w:p>
    <w:p w14:paraId="5BA9DF8B" w14:textId="1D896F23"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SPSS for Windows (SPSS Inc., Chicago, IL, U</w:t>
      </w:r>
      <w:r w:rsidR="004955CD">
        <w:rPr>
          <w:rFonts w:ascii="Book Antiqua" w:hAnsi="Book Antiqua" w:cs="TimesNewRoman"/>
          <w:color w:val="000000"/>
          <w:kern w:val="0"/>
          <w:sz w:val="24"/>
          <w:szCs w:val="24"/>
        </w:rPr>
        <w:t>nited States</w:t>
      </w:r>
      <w:r w:rsidRPr="00474499">
        <w:rPr>
          <w:rFonts w:ascii="Book Antiqua" w:hAnsi="Book Antiqua" w:cs="TimesNewRoman"/>
          <w:color w:val="000000"/>
          <w:kern w:val="0"/>
          <w:sz w:val="24"/>
          <w:szCs w:val="24"/>
        </w:rPr>
        <w:t xml:space="preserve">) was used for analyzing data. The estimated local tumor progression and overall survival (OS) rates were compared by the Kaplan–Meier method. Cox proportional hazards model was used to fit survival time for each variable. </w:t>
      </w:r>
      <w:r w:rsidRPr="00474499">
        <w:rPr>
          <w:rFonts w:ascii="Book Antiqua" w:hAnsi="Book Antiqua" w:cs="TimesNewRoman"/>
          <w:i/>
          <w:iCs/>
          <w:color w:val="000000"/>
          <w:kern w:val="0"/>
          <w:sz w:val="24"/>
          <w:szCs w:val="24"/>
        </w:rPr>
        <w:t>P</w:t>
      </w:r>
      <w:r w:rsidRPr="00474499">
        <w:rPr>
          <w:rFonts w:ascii="Book Antiqua" w:hAnsi="Book Antiqua" w:cs="TimesNewRoman"/>
          <w:color w:val="000000"/>
          <w:kern w:val="0"/>
          <w:sz w:val="24"/>
          <w:szCs w:val="24"/>
        </w:rPr>
        <w:t xml:space="preserve"> &lt; 0.05 was considered to be a significant difference.</w:t>
      </w:r>
    </w:p>
    <w:p w14:paraId="1EF1C51E" w14:textId="77777777" w:rsidR="003357F5" w:rsidRPr="00474499" w:rsidRDefault="003357F5" w:rsidP="00E96499">
      <w:pPr>
        <w:adjustRightInd w:val="0"/>
        <w:snapToGrid w:val="0"/>
        <w:spacing w:line="360" w:lineRule="auto"/>
        <w:rPr>
          <w:rFonts w:ascii="Book Antiqua" w:hAnsi="Book Antiqua"/>
          <w:b/>
          <w:color w:val="000000"/>
          <w:sz w:val="24"/>
          <w:szCs w:val="24"/>
        </w:rPr>
      </w:pPr>
    </w:p>
    <w:p w14:paraId="3C23DFC6" w14:textId="77777777" w:rsidR="003357F5" w:rsidRPr="00474499" w:rsidRDefault="003357F5" w:rsidP="00E96499">
      <w:pPr>
        <w:pStyle w:val="08SectionHeader1"/>
        <w:numPr>
          <w:ilvl w:val="0"/>
          <w:numId w:val="0"/>
        </w:numPr>
        <w:adjustRightInd w:val="0"/>
        <w:snapToGrid w:val="0"/>
        <w:spacing w:before="0" w:line="360" w:lineRule="auto"/>
        <w:jc w:val="both"/>
        <w:rPr>
          <w:rFonts w:ascii="Book Antiqua" w:hAnsi="Book Antiqua"/>
          <w:color w:val="000000"/>
          <w:sz w:val="24"/>
          <w:szCs w:val="24"/>
        </w:rPr>
      </w:pPr>
      <w:r w:rsidRPr="00474499">
        <w:rPr>
          <w:rFonts w:ascii="Book Antiqua" w:hAnsi="Book Antiqua"/>
          <w:color w:val="000000"/>
          <w:sz w:val="24"/>
          <w:szCs w:val="24"/>
        </w:rPr>
        <w:t>RESULTS</w:t>
      </w:r>
    </w:p>
    <w:p w14:paraId="474C7A88" w14:textId="77777777" w:rsidR="003357F5" w:rsidRPr="00474499" w:rsidRDefault="003357F5" w:rsidP="00E96499">
      <w:pPr>
        <w:autoSpaceDE w:val="0"/>
        <w:autoSpaceDN w:val="0"/>
        <w:adjustRightInd w:val="0"/>
        <w:snapToGrid w:val="0"/>
        <w:spacing w:line="360" w:lineRule="auto"/>
        <w:rPr>
          <w:rFonts w:ascii="Book Antiqua" w:hAnsi="Book Antiqua"/>
          <w:b/>
          <w:i/>
          <w:color w:val="000000"/>
          <w:sz w:val="24"/>
          <w:szCs w:val="24"/>
        </w:rPr>
      </w:pPr>
      <w:r w:rsidRPr="00474499">
        <w:rPr>
          <w:rFonts w:ascii="Book Antiqua" w:hAnsi="Book Antiqua"/>
          <w:b/>
          <w:i/>
          <w:color w:val="000000"/>
          <w:sz w:val="24"/>
          <w:szCs w:val="24"/>
        </w:rPr>
        <w:t>Treatment response</w:t>
      </w:r>
    </w:p>
    <w:p w14:paraId="5C0597CF" w14:textId="169095BF"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 xml:space="preserve">Figure 2 shows a representative condition after TACE and RFA combination </w:t>
      </w:r>
      <w:r w:rsidR="008A61D0" w:rsidRPr="00474499">
        <w:rPr>
          <w:rFonts w:ascii="Book Antiqua" w:hAnsi="Book Antiqua" w:cs="TimesNewRoman"/>
          <w:color w:val="000000"/>
          <w:kern w:val="0"/>
          <w:sz w:val="24"/>
          <w:szCs w:val="24"/>
        </w:rPr>
        <w:t>treatment. As shown in Table</w:t>
      </w:r>
      <w:r w:rsidR="004955CD">
        <w:rPr>
          <w:rFonts w:ascii="Book Antiqua" w:hAnsi="Book Antiqua" w:cs="TimesNewRoman"/>
          <w:color w:val="000000"/>
          <w:kern w:val="0"/>
          <w:sz w:val="24"/>
          <w:szCs w:val="24"/>
        </w:rPr>
        <w:t>s</w:t>
      </w:r>
      <w:r w:rsidRPr="00474499">
        <w:rPr>
          <w:rFonts w:ascii="Book Antiqua" w:hAnsi="Book Antiqua" w:cs="TimesNewRoman"/>
          <w:color w:val="000000"/>
          <w:kern w:val="0"/>
          <w:sz w:val="24"/>
          <w:szCs w:val="24"/>
        </w:rPr>
        <w:t xml:space="preserve"> 1 and 2, there were no significant differences between laboratory results before and 3 d after treatment. After 2 years, OS was 18.43 ± 1.34 </w:t>
      </w:r>
      <w:proofErr w:type="spellStart"/>
      <w:r w:rsidR="008A61D0" w:rsidRPr="00474499">
        <w:rPr>
          <w:rFonts w:ascii="Book Antiqua" w:hAnsi="Book Antiqua" w:cs="TimesNewRoman"/>
          <w:color w:val="000000"/>
          <w:kern w:val="0"/>
          <w:sz w:val="24"/>
          <w:szCs w:val="24"/>
        </w:rPr>
        <w:t>mo</w:t>
      </w:r>
      <w:proofErr w:type="spellEnd"/>
      <w:r w:rsidRPr="00474499">
        <w:rPr>
          <w:rFonts w:ascii="Book Antiqua" w:hAnsi="Book Antiqua" w:cs="TimesNewRoman"/>
          <w:color w:val="000000"/>
          <w:kern w:val="0"/>
          <w:sz w:val="24"/>
          <w:szCs w:val="24"/>
        </w:rPr>
        <w:t xml:space="preserve"> and progression-free survival (PFS) was 9.40 ± 1.31 </w:t>
      </w:r>
      <w:proofErr w:type="spellStart"/>
      <w:r w:rsidR="008A61D0" w:rsidRPr="00474499">
        <w:rPr>
          <w:rFonts w:ascii="Book Antiqua" w:hAnsi="Book Antiqua" w:cs="TimesNewRoman"/>
          <w:color w:val="000000"/>
          <w:kern w:val="0"/>
          <w:sz w:val="24"/>
          <w:szCs w:val="24"/>
        </w:rPr>
        <w:t>mo</w:t>
      </w:r>
      <w:proofErr w:type="spellEnd"/>
      <w:r w:rsidRPr="00474499">
        <w:rPr>
          <w:rFonts w:ascii="Book Antiqua" w:hAnsi="Book Antiqua" w:cs="TimesNewRoman"/>
          <w:color w:val="000000"/>
          <w:kern w:val="0"/>
          <w:sz w:val="24"/>
          <w:szCs w:val="24"/>
        </w:rPr>
        <w:t xml:space="preserve">; however, after 3 years, OS was 26.44 ± 2.26 </w:t>
      </w:r>
      <w:proofErr w:type="spellStart"/>
      <w:r w:rsidR="008A61D0" w:rsidRPr="00474499">
        <w:rPr>
          <w:rFonts w:ascii="Book Antiqua" w:hAnsi="Book Antiqua" w:cs="TimesNewRoman"/>
          <w:color w:val="000000"/>
          <w:kern w:val="0"/>
          <w:sz w:val="24"/>
          <w:szCs w:val="24"/>
        </w:rPr>
        <w:t>mo</w:t>
      </w:r>
      <w:proofErr w:type="spellEnd"/>
      <w:r w:rsidRPr="00474499">
        <w:rPr>
          <w:rFonts w:ascii="Book Antiqua" w:hAnsi="Book Antiqua" w:cs="TimesNewRoman"/>
          <w:color w:val="000000"/>
          <w:kern w:val="0"/>
          <w:sz w:val="24"/>
          <w:szCs w:val="24"/>
        </w:rPr>
        <w:t xml:space="preserve"> and PFS was 10.21 ± 1.58 </w:t>
      </w:r>
      <w:r w:rsidR="008A61D0" w:rsidRPr="00474499">
        <w:rPr>
          <w:rFonts w:ascii="Book Antiqua" w:hAnsi="Book Antiqua" w:cs="TimesNewRoman"/>
          <w:color w:val="000000"/>
          <w:kern w:val="0"/>
          <w:sz w:val="24"/>
          <w:szCs w:val="24"/>
        </w:rPr>
        <w:t>mo</w:t>
      </w:r>
      <w:r w:rsidRPr="00474499">
        <w:rPr>
          <w:rFonts w:ascii="Book Antiqua" w:hAnsi="Book Antiqua" w:cs="TimesNewRoman"/>
          <w:color w:val="000000"/>
          <w:kern w:val="0"/>
          <w:sz w:val="24"/>
          <w:szCs w:val="24"/>
        </w:rPr>
        <w:t xml:space="preserve">. Figure </w:t>
      </w:r>
      <w:r w:rsidR="008A61D0" w:rsidRPr="00474499">
        <w:rPr>
          <w:rFonts w:ascii="Book Antiqua" w:hAnsi="Book Antiqua" w:cs="TimesNewRoman"/>
          <w:color w:val="000000"/>
          <w:kern w:val="0"/>
          <w:sz w:val="24"/>
          <w:szCs w:val="24"/>
        </w:rPr>
        <w:t>3 shows the OS and PFS results.</w:t>
      </w:r>
    </w:p>
    <w:p w14:paraId="5D9DC952" w14:textId="77777777" w:rsidR="003357F5" w:rsidRPr="00474499" w:rsidRDefault="003357F5" w:rsidP="00E96499">
      <w:pPr>
        <w:adjustRightInd w:val="0"/>
        <w:snapToGrid w:val="0"/>
        <w:spacing w:line="360" w:lineRule="auto"/>
        <w:ind w:firstLine="420"/>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 xml:space="preserve">Subset analysis showed similar OS and PFS (Table 3). Among these subsets, </w:t>
      </w:r>
      <w:r w:rsidRPr="00474499">
        <w:rPr>
          <w:rFonts w:ascii="Book Antiqua" w:hAnsi="Book Antiqua" w:cs="TimesNewRoman"/>
          <w:color w:val="000000"/>
          <w:kern w:val="0"/>
          <w:sz w:val="24"/>
          <w:szCs w:val="24"/>
        </w:rPr>
        <w:lastRenderedPageBreak/>
        <w:t xml:space="preserve">four groups showed different results, which were the vascular invasion group, non-vascular invasion group, male group, and female group (marked as A, B, C and D, respectively). OS in the A and D groups was shorter than in the B and C groups. The </w:t>
      </w:r>
      <w:r w:rsidRPr="00474499">
        <w:rPr>
          <w:rFonts w:ascii="Book Antiqua" w:hAnsi="Book Antiqua" w:cs="TimesNewRoman"/>
          <w:i/>
          <w:iCs/>
          <w:color w:val="000000"/>
          <w:kern w:val="0"/>
          <w:sz w:val="24"/>
          <w:szCs w:val="24"/>
        </w:rPr>
        <w:t>P</w:t>
      </w:r>
      <w:r w:rsidRPr="00474499">
        <w:rPr>
          <w:rFonts w:ascii="Book Antiqua" w:hAnsi="Book Antiqua" w:cs="TimesNewRoman"/>
          <w:color w:val="000000"/>
          <w:kern w:val="0"/>
          <w:sz w:val="24"/>
          <w:szCs w:val="24"/>
        </w:rPr>
        <w:t xml:space="preserve"> values for B and C were 0.019 and 0.031, respectively.</w:t>
      </w:r>
    </w:p>
    <w:p w14:paraId="094148ED" w14:textId="77777777" w:rsidR="003357F5" w:rsidRPr="00474499" w:rsidRDefault="003357F5" w:rsidP="00E96499">
      <w:pPr>
        <w:adjustRightInd w:val="0"/>
        <w:snapToGrid w:val="0"/>
        <w:spacing w:line="360" w:lineRule="auto"/>
        <w:ind w:firstLineChars="150" w:firstLine="360"/>
        <w:rPr>
          <w:rFonts w:ascii="Book Antiqua" w:hAnsi="Book Antiqua" w:cs="TimesNewRoman"/>
          <w:color w:val="000000"/>
          <w:kern w:val="0"/>
          <w:sz w:val="24"/>
          <w:szCs w:val="24"/>
        </w:rPr>
      </w:pPr>
    </w:p>
    <w:p w14:paraId="2897626C" w14:textId="77777777" w:rsidR="003357F5" w:rsidRPr="00474499" w:rsidRDefault="003357F5" w:rsidP="00E96499">
      <w:pPr>
        <w:autoSpaceDE w:val="0"/>
        <w:autoSpaceDN w:val="0"/>
        <w:adjustRightInd w:val="0"/>
        <w:snapToGrid w:val="0"/>
        <w:spacing w:line="360" w:lineRule="auto"/>
        <w:rPr>
          <w:rFonts w:ascii="Book Antiqua" w:hAnsi="Book Antiqua"/>
          <w:b/>
          <w:i/>
          <w:color w:val="000000"/>
          <w:sz w:val="24"/>
          <w:szCs w:val="24"/>
        </w:rPr>
      </w:pPr>
      <w:r w:rsidRPr="00474499">
        <w:rPr>
          <w:rFonts w:ascii="Book Antiqua" w:hAnsi="Book Antiqua"/>
          <w:b/>
          <w:i/>
          <w:color w:val="000000"/>
          <w:sz w:val="24"/>
          <w:szCs w:val="24"/>
        </w:rPr>
        <w:t>Adverse effects and complications</w:t>
      </w:r>
    </w:p>
    <w:p w14:paraId="52A79729" w14:textId="11A24DCA"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 xml:space="preserve">Clinical adverse events included fever, pain, nausea, fatigue, transient reduction in blood counts and transient elevations of aspartate aminotransferase </w:t>
      </w:r>
      <w:r w:rsidR="002F2F43" w:rsidRPr="00474499">
        <w:rPr>
          <w:rFonts w:ascii="Book Antiqua" w:hAnsi="Book Antiqua" w:cs="TimesNewRoman"/>
          <w:color w:val="000000"/>
          <w:kern w:val="0"/>
          <w:sz w:val="24"/>
          <w:szCs w:val="24"/>
        </w:rPr>
        <w:t>and alanine aminotransferase</w:t>
      </w:r>
      <w:r w:rsidRPr="00474499">
        <w:rPr>
          <w:rFonts w:ascii="Book Antiqua" w:hAnsi="Book Antiqua" w:cs="TimesNewRoman"/>
          <w:color w:val="000000"/>
          <w:kern w:val="0"/>
          <w:sz w:val="24"/>
          <w:szCs w:val="24"/>
        </w:rPr>
        <w:t xml:space="preserve"> levels, but were mostly limited to grade 1 and 2 (Table 2). No severe complications associated with our treatment protocol were noted.</w:t>
      </w:r>
    </w:p>
    <w:p w14:paraId="025ED624" w14:textId="77777777" w:rsidR="003357F5" w:rsidRPr="00474499" w:rsidRDefault="003357F5" w:rsidP="00E96499">
      <w:pPr>
        <w:adjustRightInd w:val="0"/>
        <w:snapToGrid w:val="0"/>
        <w:spacing w:line="360" w:lineRule="auto"/>
        <w:rPr>
          <w:rFonts w:ascii="Book Antiqua" w:hAnsi="Book Antiqua"/>
          <w:color w:val="000000"/>
          <w:sz w:val="24"/>
          <w:szCs w:val="24"/>
        </w:rPr>
      </w:pPr>
    </w:p>
    <w:p w14:paraId="0B49D92E" w14:textId="77777777" w:rsidR="003357F5" w:rsidRPr="00474499" w:rsidRDefault="003357F5" w:rsidP="00E96499">
      <w:pPr>
        <w:pStyle w:val="08SectionHeader10"/>
        <w:adjustRightInd w:val="0"/>
        <w:snapToGrid w:val="0"/>
        <w:spacing w:before="0" w:line="360" w:lineRule="auto"/>
        <w:ind w:left="0" w:firstLine="0"/>
        <w:jc w:val="both"/>
        <w:rPr>
          <w:rFonts w:ascii="Book Antiqua" w:hAnsi="Book Antiqua"/>
          <w:color w:val="000000"/>
          <w:sz w:val="24"/>
          <w:szCs w:val="24"/>
        </w:rPr>
      </w:pPr>
      <w:r w:rsidRPr="00474499">
        <w:rPr>
          <w:rFonts w:ascii="Book Antiqua" w:hAnsi="Book Antiqua"/>
          <w:color w:val="000000"/>
          <w:sz w:val="24"/>
          <w:szCs w:val="24"/>
        </w:rPr>
        <w:t>DISCUSSION</w:t>
      </w:r>
    </w:p>
    <w:p w14:paraId="2B1D72BC" w14:textId="77777777"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HCC is a leading cause of liver-disease-related mortality. Although rapid progress in treatment for large liver cancer has been made in the past few years, neither the prognosis nor postoperative outcomes are satisfactory.</w:t>
      </w:r>
    </w:p>
    <w:p w14:paraId="23C76989" w14:textId="392BAA6C" w:rsidR="003357F5" w:rsidRPr="00474499"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According to a previous report, the combination of TACE and RFA has a synergi</w:t>
      </w:r>
      <w:r w:rsidR="002F2F43" w:rsidRPr="00474499">
        <w:rPr>
          <w:rFonts w:ascii="Book Antiqua" w:hAnsi="Book Antiqua" w:cs="TimesNewRoman"/>
          <w:color w:val="000000"/>
          <w:kern w:val="0"/>
          <w:sz w:val="24"/>
          <w:szCs w:val="24"/>
        </w:rPr>
        <w:t xml:space="preserve">stic effect on HCC </w:t>
      </w:r>
      <w:proofErr w:type="gramStart"/>
      <w:r w:rsidR="002F2F43" w:rsidRPr="00474499">
        <w:rPr>
          <w:rFonts w:ascii="Book Antiqua" w:hAnsi="Book Antiqua" w:cs="TimesNewRoman"/>
          <w:color w:val="000000"/>
          <w:kern w:val="0"/>
          <w:sz w:val="24"/>
          <w:szCs w:val="24"/>
        </w:rPr>
        <w:t>inactivation</w:t>
      </w:r>
      <w:r w:rsidRPr="00474499">
        <w:rPr>
          <w:rFonts w:ascii="Book Antiqua" w:hAnsi="Book Antiqua" w:cs="TimesNewRoman"/>
          <w:color w:val="000000"/>
          <w:kern w:val="0"/>
          <w:sz w:val="24"/>
          <w:szCs w:val="24"/>
          <w:vertAlign w:val="superscript"/>
        </w:rPr>
        <w:t>[</w:t>
      </w:r>
      <w:proofErr w:type="gramEnd"/>
      <w:r w:rsidRPr="00474499">
        <w:rPr>
          <w:rFonts w:ascii="Book Antiqua" w:hAnsi="Book Antiqua" w:cs="TimesNewRoman"/>
          <w:color w:val="000000"/>
          <w:kern w:val="0"/>
          <w:sz w:val="24"/>
          <w:szCs w:val="24"/>
          <w:vertAlign w:val="superscript"/>
        </w:rPr>
        <w:t>12]</w:t>
      </w:r>
      <w:r w:rsidRPr="00474499">
        <w:rPr>
          <w:rFonts w:ascii="Book Antiqua" w:hAnsi="Book Antiqua" w:cs="TimesNewRoman"/>
          <w:color w:val="000000"/>
          <w:kern w:val="0"/>
          <w:sz w:val="24"/>
          <w:szCs w:val="24"/>
        </w:rPr>
        <w:t>. The combination improves treatment efficacy, prolongs survival, and reduces recurrence rate. Thus, the combined treatment i</w:t>
      </w:r>
      <w:r w:rsidR="002F2F43" w:rsidRPr="00474499">
        <w:rPr>
          <w:rFonts w:ascii="Book Antiqua" w:hAnsi="Book Antiqua" w:cs="TimesNewRoman"/>
          <w:color w:val="000000"/>
          <w:kern w:val="0"/>
          <w:sz w:val="24"/>
          <w:szCs w:val="24"/>
        </w:rPr>
        <w:t xml:space="preserve">s superior to TACE or RFA </w:t>
      </w:r>
      <w:proofErr w:type="gramStart"/>
      <w:r w:rsidR="002F2F43" w:rsidRPr="00474499">
        <w:rPr>
          <w:rFonts w:ascii="Book Antiqua" w:hAnsi="Book Antiqua" w:cs="TimesNewRoman"/>
          <w:color w:val="000000"/>
          <w:kern w:val="0"/>
          <w:sz w:val="24"/>
          <w:szCs w:val="24"/>
        </w:rPr>
        <w:t>alone</w:t>
      </w:r>
      <w:r w:rsidRPr="00474499">
        <w:rPr>
          <w:rFonts w:ascii="Book Antiqua" w:hAnsi="Book Antiqua" w:cs="TimesNewRoman"/>
          <w:color w:val="000000"/>
          <w:kern w:val="0"/>
          <w:sz w:val="24"/>
          <w:szCs w:val="24"/>
          <w:vertAlign w:val="superscript"/>
        </w:rPr>
        <w:t>[</w:t>
      </w:r>
      <w:proofErr w:type="gramEnd"/>
      <w:r w:rsidRPr="00474499">
        <w:rPr>
          <w:rFonts w:ascii="Book Antiqua" w:hAnsi="Book Antiqua" w:cs="TimesNewRoman"/>
          <w:color w:val="000000"/>
          <w:kern w:val="0"/>
          <w:sz w:val="24"/>
          <w:szCs w:val="24"/>
          <w:vertAlign w:val="superscript"/>
        </w:rPr>
        <w:t>5,13]</w:t>
      </w:r>
      <w:r w:rsidRPr="00474499">
        <w:rPr>
          <w:rFonts w:ascii="Book Antiqua" w:hAnsi="Book Antiqua" w:cs="TimesNewRoman"/>
          <w:color w:val="000000"/>
          <w:kern w:val="0"/>
          <w:sz w:val="24"/>
          <w:szCs w:val="24"/>
        </w:rPr>
        <w:t>. So far, treatments are generally launched separately in practice. The time interval between the two modalities was 1 d to 4 wk. Because of the possible collateral formation and elimination of lipiodol chemotherapeutic agents after embolism, the effects of TACE o</w:t>
      </w:r>
      <w:r w:rsidR="002F2F43" w:rsidRPr="00474499">
        <w:rPr>
          <w:rFonts w:ascii="Book Antiqua" w:hAnsi="Book Antiqua" w:cs="TimesNewRoman"/>
          <w:color w:val="000000"/>
          <w:kern w:val="0"/>
          <w:sz w:val="24"/>
          <w:szCs w:val="24"/>
        </w:rPr>
        <w:t xml:space="preserve">r RFA alone are not </w:t>
      </w:r>
      <w:proofErr w:type="gramStart"/>
      <w:r w:rsidR="002F2F43" w:rsidRPr="00474499">
        <w:rPr>
          <w:rFonts w:ascii="Book Antiqua" w:hAnsi="Book Antiqua" w:cs="TimesNewRoman"/>
          <w:color w:val="000000"/>
          <w:kern w:val="0"/>
          <w:sz w:val="24"/>
          <w:szCs w:val="24"/>
        </w:rPr>
        <w:t>synergistic</w:t>
      </w:r>
      <w:r w:rsidRPr="00474499">
        <w:rPr>
          <w:rFonts w:ascii="Book Antiqua" w:hAnsi="Book Antiqua" w:cs="TimesNewRoman"/>
          <w:color w:val="000000"/>
          <w:kern w:val="0"/>
          <w:sz w:val="24"/>
          <w:szCs w:val="24"/>
          <w:vertAlign w:val="superscript"/>
        </w:rPr>
        <w:t>[</w:t>
      </w:r>
      <w:proofErr w:type="gramEnd"/>
      <w:r w:rsidRPr="00474499">
        <w:rPr>
          <w:rFonts w:ascii="Book Antiqua" w:hAnsi="Book Antiqua" w:cs="TimesNewRoman"/>
          <w:color w:val="000000"/>
          <w:kern w:val="0"/>
          <w:sz w:val="24"/>
          <w:szCs w:val="24"/>
          <w:vertAlign w:val="superscript"/>
        </w:rPr>
        <w:t>6,14,15]</w:t>
      </w:r>
      <w:r w:rsidRPr="00474499">
        <w:rPr>
          <w:rFonts w:ascii="Book Antiqua" w:hAnsi="Book Antiqua" w:cs="TimesNewRoman"/>
          <w:color w:val="000000"/>
          <w:kern w:val="0"/>
          <w:sz w:val="24"/>
          <w:szCs w:val="24"/>
        </w:rPr>
        <w:t>. Therefore, evaluating the effect of the combined treatment is necessary.</w:t>
      </w:r>
    </w:p>
    <w:p w14:paraId="34286FCB" w14:textId="79D20328" w:rsidR="003357F5" w:rsidRPr="00474499" w:rsidRDefault="003357F5" w:rsidP="00E96499">
      <w:pPr>
        <w:adjustRightInd w:val="0"/>
        <w:snapToGrid w:val="0"/>
        <w:spacing w:line="360" w:lineRule="auto"/>
        <w:ind w:firstLineChars="137" w:firstLine="329"/>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The present study involved 3-year</w:t>
      </w:r>
      <w:r w:rsidR="00FE016C">
        <w:rPr>
          <w:rFonts w:ascii="Book Antiqua" w:hAnsi="Book Antiqua" w:cs="TimesNewRoman"/>
          <w:color w:val="000000"/>
          <w:kern w:val="0"/>
          <w:sz w:val="24"/>
          <w:szCs w:val="24"/>
        </w:rPr>
        <w:t xml:space="preserve"> </w:t>
      </w:r>
      <w:r w:rsidRPr="00474499">
        <w:rPr>
          <w:rFonts w:ascii="Book Antiqua" w:hAnsi="Book Antiqua" w:cs="TimesNewRoman"/>
          <w:color w:val="000000"/>
          <w:kern w:val="0"/>
          <w:sz w:val="24"/>
          <w:szCs w:val="24"/>
        </w:rPr>
        <w:t>follow-up of the efficacy of simultaneous TACE and RFA in patients with large HCC. This combination treatment may have the following advantages. First, DSA or CBCT can clearly show blood vessels. Both imaging modalities allow successful puncture of the liver and can verify treatment efficacy du</w:t>
      </w:r>
      <w:r w:rsidR="00BF0C9E" w:rsidRPr="00474499">
        <w:rPr>
          <w:rFonts w:ascii="Book Antiqua" w:hAnsi="Book Antiqua" w:cs="TimesNewRoman"/>
          <w:color w:val="000000"/>
          <w:kern w:val="0"/>
          <w:sz w:val="24"/>
          <w:szCs w:val="24"/>
        </w:rPr>
        <w:t xml:space="preserve">ring the treatment in real </w:t>
      </w:r>
      <w:proofErr w:type="gramStart"/>
      <w:r w:rsidR="00BF0C9E" w:rsidRPr="00474499">
        <w:rPr>
          <w:rFonts w:ascii="Book Antiqua" w:hAnsi="Book Antiqua" w:cs="TimesNewRoman"/>
          <w:color w:val="000000"/>
          <w:kern w:val="0"/>
          <w:sz w:val="24"/>
          <w:szCs w:val="24"/>
        </w:rPr>
        <w:t>time</w:t>
      </w:r>
      <w:r w:rsidR="00BF0C9E" w:rsidRPr="00474499">
        <w:rPr>
          <w:rFonts w:ascii="Book Antiqua" w:hAnsi="Book Antiqua" w:cs="TimesNewRoman"/>
          <w:color w:val="000000"/>
          <w:kern w:val="0"/>
          <w:sz w:val="24"/>
          <w:szCs w:val="24"/>
          <w:vertAlign w:val="superscript"/>
        </w:rPr>
        <w:t>[</w:t>
      </w:r>
      <w:proofErr w:type="gramEnd"/>
      <w:r w:rsidR="00BF0C9E" w:rsidRPr="00474499">
        <w:rPr>
          <w:rFonts w:ascii="Book Antiqua" w:hAnsi="Book Antiqua" w:cs="TimesNewRoman"/>
          <w:color w:val="000000"/>
          <w:kern w:val="0"/>
          <w:sz w:val="24"/>
          <w:szCs w:val="24"/>
          <w:vertAlign w:val="superscript"/>
        </w:rPr>
        <w:t>16,</w:t>
      </w:r>
      <w:r w:rsidRPr="00474499">
        <w:rPr>
          <w:rFonts w:ascii="Book Antiqua" w:hAnsi="Book Antiqua" w:cs="TimesNewRoman"/>
          <w:color w:val="000000"/>
          <w:kern w:val="0"/>
          <w:sz w:val="24"/>
          <w:szCs w:val="24"/>
          <w:vertAlign w:val="superscript"/>
        </w:rPr>
        <w:t>17]</w:t>
      </w:r>
      <w:r w:rsidRPr="00474499">
        <w:rPr>
          <w:rFonts w:ascii="Book Antiqua" w:hAnsi="Book Antiqua" w:cs="TimesNewRoman"/>
          <w:color w:val="000000"/>
          <w:kern w:val="0"/>
          <w:sz w:val="24"/>
          <w:szCs w:val="24"/>
        </w:rPr>
        <w:t xml:space="preserve">. Second, during combination treatment, iodine oil precipitates around the lesions. Thus, it can be used as a heat-transmitting medium to improve ablation efficiency and </w:t>
      </w:r>
      <w:r w:rsidRPr="00474499">
        <w:rPr>
          <w:rFonts w:ascii="Book Antiqua" w:hAnsi="Book Antiqua" w:cs="TimesNewRoman"/>
          <w:color w:val="000000"/>
          <w:kern w:val="0"/>
          <w:sz w:val="24"/>
          <w:szCs w:val="24"/>
        </w:rPr>
        <w:lastRenderedPageBreak/>
        <w:t>make the surroundin</w:t>
      </w:r>
      <w:r w:rsidR="00BF0C9E" w:rsidRPr="00474499">
        <w:rPr>
          <w:rFonts w:ascii="Book Antiqua" w:hAnsi="Book Antiqua" w:cs="TimesNewRoman"/>
          <w:color w:val="000000"/>
          <w:kern w:val="0"/>
          <w:sz w:val="24"/>
          <w:szCs w:val="24"/>
        </w:rPr>
        <w:t xml:space="preserve">g HCC microenvironment </w:t>
      </w:r>
      <w:proofErr w:type="gramStart"/>
      <w:r w:rsidR="00BF0C9E" w:rsidRPr="00474499">
        <w:rPr>
          <w:rFonts w:ascii="Book Antiqua" w:hAnsi="Book Antiqua" w:cs="TimesNewRoman"/>
          <w:color w:val="000000"/>
          <w:kern w:val="0"/>
          <w:sz w:val="24"/>
          <w:szCs w:val="24"/>
        </w:rPr>
        <w:t>inactive</w:t>
      </w:r>
      <w:r w:rsidRPr="00474499">
        <w:rPr>
          <w:rFonts w:ascii="Book Antiqua" w:hAnsi="Book Antiqua" w:cs="TimesNewRoman"/>
          <w:color w:val="000000"/>
          <w:kern w:val="0"/>
          <w:sz w:val="24"/>
          <w:szCs w:val="24"/>
          <w:vertAlign w:val="superscript"/>
        </w:rPr>
        <w:t>[</w:t>
      </w:r>
      <w:proofErr w:type="gramEnd"/>
      <w:r w:rsidRPr="00474499">
        <w:rPr>
          <w:rFonts w:ascii="Book Antiqua" w:hAnsi="Book Antiqua" w:cs="TimesNewRoman"/>
          <w:color w:val="000000"/>
          <w:kern w:val="0"/>
          <w:sz w:val="24"/>
          <w:szCs w:val="24"/>
          <w:vertAlign w:val="superscript"/>
        </w:rPr>
        <w:t>18]</w:t>
      </w:r>
      <w:r w:rsidRPr="00474499">
        <w:rPr>
          <w:rFonts w:ascii="Book Antiqua" w:hAnsi="Book Antiqua" w:cs="TimesNewRoman"/>
          <w:color w:val="000000"/>
          <w:kern w:val="0"/>
          <w:sz w:val="24"/>
          <w:szCs w:val="24"/>
        </w:rPr>
        <w:t>. This can reduce tumor recurrence by improving ablation efficacy. Third, TACE can block blood flow into the tumor, thereb</w:t>
      </w:r>
      <w:r w:rsidR="00BF0C9E" w:rsidRPr="00474499">
        <w:rPr>
          <w:rFonts w:ascii="Book Antiqua" w:hAnsi="Book Antiqua" w:cs="TimesNewRoman"/>
          <w:color w:val="000000"/>
          <w:kern w:val="0"/>
          <w:sz w:val="24"/>
          <w:szCs w:val="24"/>
        </w:rPr>
        <w:t xml:space="preserve">y reducing heat loss during </w:t>
      </w:r>
      <w:proofErr w:type="gramStart"/>
      <w:r w:rsidR="00BF0C9E" w:rsidRPr="00474499">
        <w:rPr>
          <w:rFonts w:ascii="Book Antiqua" w:hAnsi="Book Antiqua" w:cs="TimesNewRoman"/>
          <w:color w:val="000000"/>
          <w:kern w:val="0"/>
          <w:sz w:val="24"/>
          <w:szCs w:val="24"/>
        </w:rPr>
        <w:t>RFA</w:t>
      </w:r>
      <w:r w:rsidRPr="00474499">
        <w:rPr>
          <w:rFonts w:ascii="Book Antiqua" w:hAnsi="Book Antiqua" w:cs="TimesNewRoman"/>
          <w:color w:val="000000"/>
          <w:kern w:val="0"/>
          <w:sz w:val="24"/>
          <w:szCs w:val="24"/>
          <w:vertAlign w:val="superscript"/>
        </w:rPr>
        <w:t>[</w:t>
      </w:r>
      <w:proofErr w:type="gramEnd"/>
      <w:r w:rsidRPr="00474499">
        <w:rPr>
          <w:rFonts w:ascii="Book Antiqua" w:hAnsi="Book Antiqua" w:cs="TimesNewRoman"/>
          <w:color w:val="000000"/>
          <w:kern w:val="0"/>
          <w:sz w:val="24"/>
          <w:szCs w:val="24"/>
          <w:vertAlign w:val="superscript"/>
        </w:rPr>
        <w:t>19]</w:t>
      </w:r>
      <w:r w:rsidRPr="00474499">
        <w:rPr>
          <w:rFonts w:ascii="Book Antiqua" w:hAnsi="Book Antiqua" w:cs="TimesNewRoman"/>
          <w:color w:val="000000"/>
          <w:kern w:val="0"/>
          <w:sz w:val="24"/>
          <w:szCs w:val="24"/>
        </w:rPr>
        <w:t xml:space="preserve">. Fourth, after TACE, ablation can be performed immediately, which may also localize damage such as liquefaction necrosis as well as coagulation sclerosis. Moreover, the immediate combination procedure is considered to reduce </w:t>
      </w:r>
      <w:r w:rsidR="00BF0C9E" w:rsidRPr="00474499">
        <w:rPr>
          <w:rFonts w:ascii="Book Antiqua" w:hAnsi="Book Antiqua" w:cs="TimesNewRoman"/>
          <w:color w:val="000000"/>
          <w:kern w:val="0"/>
          <w:sz w:val="24"/>
          <w:szCs w:val="24"/>
        </w:rPr>
        <w:t xml:space="preserve">the side effects of </w:t>
      </w:r>
      <w:proofErr w:type="gramStart"/>
      <w:r w:rsidR="00BF0C9E" w:rsidRPr="00474499">
        <w:rPr>
          <w:rFonts w:ascii="Book Antiqua" w:hAnsi="Book Antiqua" w:cs="TimesNewRoman"/>
          <w:color w:val="000000"/>
          <w:kern w:val="0"/>
          <w:sz w:val="24"/>
          <w:szCs w:val="24"/>
        </w:rPr>
        <w:t>TACE</w:t>
      </w:r>
      <w:r w:rsidRPr="00474499">
        <w:rPr>
          <w:rFonts w:ascii="Book Antiqua" w:hAnsi="Book Antiqua" w:cs="TimesNewRoman"/>
          <w:color w:val="000000"/>
          <w:kern w:val="0"/>
          <w:sz w:val="24"/>
          <w:szCs w:val="24"/>
          <w:vertAlign w:val="superscript"/>
        </w:rPr>
        <w:t>[</w:t>
      </w:r>
      <w:proofErr w:type="gramEnd"/>
      <w:r w:rsidRPr="00474499">
        <w:rPr>
          <w:rFonts w:ascii="Book Antiqua" w:hAnsi="Book Antiqua" w:cs="TimesNewRoman"/>
          <w:color w:val="000000"/>
          <w:kern w:val="0"/>
          <w:sz w:val="24"/>
          <w:szCs w:val="24"/>
          <w:vertAlign w:val="superscript"/>
        </w:rPr>
        <w:t>20]</w:t>
      </w:r>
      <w:r w:rsidRPr="00474499">
        <w:rPr>
          <w:rFonts w:ascii="Book Antiqua" w:hAnsi="Book Antiqua" w:cs="TimesNewRoman"/>
          <w:color w:val="000000"/>
          <w:kern w:val="0"/>
          <w:sz w:val="24"/>
          <w:szCs w:val="24"/>
        </w:rPr>
        <w:t>. Finally, in one session of treatment, combination of TACE and RFA can be performed, which may reduce financial burden for the patient. In general, TACE with simultaneous RFA leads to synergistic effects of thermal ablation and chemotherapy. No significant adverse effects were observed in our study. In short, for the efficacy and survival of patients with large HCCs, TACE with simultaneous RFA may be a useful and novel tactic.</w:t>
      </w:r>
    </w:p>
    <w:p w14:paraId="0E5597BA" w14:textId="77777777" w:rsidR="003357F5" w:rsidRPr="00474499"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 xml:space="preserve">During our follow-up, the incidence of intrahepatic and extrahepatic metastases was higher in patients with vascular invasion than in those without vascular invasion. This indicates that tumor thrombus exhibits poor response to treatment. Multivariate Cox proportional hazard analysis also demonstrated that vascular invasion was an important prognostic factor. In addition, the male and female patients showed significant differences in OS and PFS. The cause of the false-positive result may be the small size of the female group. The </w:t>
      </w:r>
      <w:proofErr w:type="spellStart"/>
      <w:r w:rsidRPr="00474499">
        <w:rPr>
          <w:rFonts w:ascii="Book Antiqua" w:hAnsi="Book Antiqua" w:cs="TimesNewRoman"/>
          <w:color w:val="000000"/>
          <w:kern w:val="0"/>
          <w:sz w:val="24"/>
          <w:szCs w:val="24"/>
        </w:rPr>
        <w:t>pseudocapsule</w:t>
      </w:r>
      <w:proofErr w:type="spellEnd"/>
      <w:r w:rsidRPr="00474499">
        <w:rPr>
          <w:rFonts w:ascii="Book Antiqua" w:hAnsi="Book Antiqua" w:cs="TimesNewRoman"/>
          <w:color w:val="000000"/>
          <w:kern w:val="0"/>
          <w:sz w:val="24"/>
          <w:szCs w:val="24"/>
        </w:rPr>
        <w:t xml:space="preserve"> group showed better treatment efficacy mainly because the </w:t>
      </w:r>
      <w:proofErr w:type="spellStart"/>
      <w:r w:rsidRPr="00474499">
        <w:rPr>
          <w:rFonts w:ascii="Book Antiqua" w:hAnsi="Book Antiqua" w:cs="TimesNewRoman"/>
          <w:color w:val="000000"/>
          <w:kern w:val="0"/>
          <w:sz w:val="24"/>
          <w:szCs w:val="24"/>
        </w:rPr>
        <w:t>pseudocapsule</w:t>
      </w:r>
      <w:proofErr w:type="spellEnd"/>
      <w:r w:rsidRPr="00474499">
        <w:rPr>
          <w:rFonts w:ascii="Book Antiqua" w:hAnsi="Book Antiqua" w:cs="TimesNewRoman"/>
          <w:color w:val="000000"/>
          <w:kern w:val="0"/>
          <w:sz w:val="24"/>
          <w:szCs w:val="24"/>
        </w:rPr>
        <w:t xml:space="preserve"> may enhance the thermal aggregation effect of ablation, resulting in greater tumor inactivation. However, it was not significant, possibly because of the small sample size. The other subgroups did not show significant differences.</w:t>
      </w:r>
    </w:p>
    <w:p w14:paraId="04AA75A8" w14:textId="77777777" w:rsidR="003357F5" w:rsidRPr="00474499" w:rsidRDefault="003357F5" w:rsidP="00E96499">
      <w:pPr>
        <w:adjustRightInd w:val="0"/>
        <w:snapToGrid w:val="0"/>
        <w:spacing w:line="360" w:lineRule="auto"/>
        <w:ind w:firstLineChars="100" w:firstLine="240"/>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The main limitation of our study was that it was retrospective. Thus, a multicenter prospective study, with a large sample size should be conducted to evaluate further the outcome of TACE and RFA combination treatment in patients with large HCCs.</w:t>
      </w:r>
    </w:p>
    <w:p w14:paraId="66208E6A" w14:textId="672227FB" w:rsidR="003357F5" w:rsidRPr="00474499" w:rsidRDefault="00BF0C9E" w:rsidP="00E96499">
      <w:pPr>
        <w:pStyle w:val="08SectionHeader10"/>
        <w:adjustRightInd w:val="0"/>
        <w:snapToGrid w:val="0"/>
        <w:spacing w:before="0" w:line="360" w:lineRule="auto"/>
        <w:ind w:left="0" w:firstLineChars="100" w:firstLine="240"/>
        <w:jc w:val="both"/>
        <w:rPr>
          <w:rFonts w:ascii="Book Antiqua" w:hAnsi="Book Antiqua" w:cs="TimesNewRoman"/>
          <w:b w:val="0"/>
          <w:color w:val="000000"/>
          <w:sz w:val="24"/>
          <w:szCs w:val="24"/>
        </w:rPr>
      </w:pPr>
      <w:r w:rsidRPr="00474499">
        <w:rPr>
          <w:rFonts w:ascii="Book Antiqua" w:hAnsi="Book Antiqua"/>
          <w:b w:val="0"/>
          <w:color w:val="000000"/>
          <w:sz w:val="24"/>
          <w:szCs w:val="24"/>
          <w:lang w:eastAsia="zh-CN"/>
        </w:rPr>
        <w:t xml:space="preserve">In </w:t>
      </w:r>
      <w:r w:rsidRPr="00474499">
        <w:rPr>
          <w:rFonts w:ascii="Book Antiqua" w:hAnsi="Book Antiqua"/>
          <w:b w:val="0"/>
          <w:color w:val="000000"/>
          <w:sz w:val="24"/>
          <w:szCs w:val="24"/>
        </w:rPr>
        <w:t>conclusion</w:t>
      </w:r>
      <w:r w:rsidRPr="00474499">
        <w:rPr>
          <w:rFonts w:ascii="Book Antiqua" w:hAnsi="Book Antiqua"/>
          <w:b w:val="0"/>
          <w:color w:val="000000"/>
          <w:sz w:val="24"/>
          <w:szCs w:val="24"/>
          <w:lang w:eastAsia="zh-CN"/>
        </w:rPr>
        <w:t xml:space="preserve">, </w:t>
      </w:r>
      <w:r w:rsidRPr="00474499">
        <w:rPr>
          <w:rFonts w:ascii="Book Antiqua" w:hAnsi="Book Antiqua" w:cs="TimesNewRoman"/>
          <w:b w:val="0"/>
          <w:color w:val="000000"/>
          <w:sz w:val="24"/>
          <w:szCs w:val="24"/>
        </w:rPr>
        <w:t xml:space="preserve">these </w:t>
      </w:r>
      <w:r w:rsidR="003357F5" w:rsidRPr="00474499">
        <w:rPr>
          <w:rFonts w:ascii="Book Antiqua" w:hAnsi="Book Antiqua" w:cs="TimesNewRoman"/>
          <w:b w:val="0"/>
          <w:color w:val="000000"/>
          <w:sz w:val="24"/>
          <w:szCs w:val="24"/>
        </w:rPr>
        <w:t>preliminary data show that the simultaneous TACE and RFA is a safe, effective and valuable strategy for large HCC, as it improves efficacy and prognosis.</w:t>
      </w:r>
    </w:p>
    <w:p w14:paraId="0A045E6A" w14:textId="77777777"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p>
    <w:p w14:paraId="64A6BD2E" w14:textId="45AA2085" w:rsidR="003357F5" w:rsidRPr="00474499" w:rsidRDefault="00116BF7" w:rsidP="00E96499">
      <w:pPr>
        <w:adjustRightInd w:val="0"/>
        <w:snapToGrid w:val="0"/>
        <w:spacing w:line="360" w:lineRule="auto"/>
        <w:rPr>
          <w:rFonts w:ascii="Book Antiqua" w:hAnsi="Book Antiqua"/>
          <w:b/>
          <w:color w:val="000000"/>
          <w:sz w:val="24"/>
          <w:szCs w:val="24"/>
        </w:rPr>
      </w:pPr>
      <w:r w:rsidRPr="00474499">
        <w:rPr>
          <w:rFonts w:ascii="Book Antiqua" w:hAnsi="Book Antiqua"/>
          <w:b/>
          <w:color w:val="000000"/>
          <w:sz w:val="24"/>
          <w:szCs w:val="24"/>
        </w:rPr>
        <w:lastRenderedPageBreak/>
        <w:t>ARTICLE HIGHLIGHTS</w:t>
      </w:r>
    </w:p>
    <w:p w14:paraId="6BB48226" w14:textId="77777777" w:rsidR="003357F5" w:rsidRPr="00474499" w:rsidRDefault="003357F5" w:rsidP="00E96499">
      <w:pPr>
        <w:adjustRightInd w:val="0"/>
        <w:snapToGrid w:val="0"/>
        <w:spacing w:line="360" w:lineRule="auto"/>
        <w:rPr>
          <w:rFonts w:ascii="Book Antiqua" w:hAnsi="Book Antiqua"/>
          <w:b/>
          <w:i/>
          <w:color w:val="000000"/>
          <w:sz w:val="24"/>
          <w:szCs w:val="24"/>
        </w:rPr>
      </w:pPr>
      <w:r w:rsidRPr="00474499">
        <w:rPr>
          <w:rFonts w:ascii="Book Antiqua" w:hAnsi="Book Antiqua"/>
          <w:b/>
          <w:i/>
          <w:color w:val="000000"/>
          <w:sz w:val="24"/>
          <w:szCs w:val="24"/>
        </w:rPr>
        <w:t>Research background</w:t>
      </w:r>
    </w:p>
    <w:p w14:paraId="06F1CFFD" w14:textId="77777777"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Hepatocellular carcinoma (HCC) is a common cancer and a leading cause of tumor-related death. Patients who have large HCC (≥ 8 cm) are at advanced stages and have poor prognosis.</w:t>
      </w:r>
      <w:r w:rsidRPr="00474499">
        <w:rPr>
          <w:rFonts w:ascii="Book Antiqua" w:hAnsi="Book Antiqua"/>
          <w:color w:val="000000"/>
          <w:sz w:val="24"/>
          <w:szCs w:val="24"/>
        </w:rPr>
        <w:t xml:space="preserve"> </w:t>
      </w:r>
      <w:r w:rsidRPr="00474499">
        <w:rPr>
          <w:rFonts w:ascii="Book Antiqua" w:hAnsi="Book Antiqua" w:cs="TimesNewRoman"/>
          <w:color w:val="000000"/>
          <w:kern w:val="0"/>
          <w:sz w:val="24"/>
          <w:szCs w:val="24"/>
        </w:rPr>
        <w:t xml:space="preserve">Transcatheter arterial chemoembolization (TACE) and radiofrequency ablation (RFA) is commonly used for patients with large HCC, however, both treatments has their own limitation. Recently study showed that combination of TACE and RFA may improve therapeutic efficacy, but how to combine these two treatment modalities is still a controversial topic. </w:t>
      </w:r>
    </w:p>
    <w:p w14:paraId="2AAE7485" w14:textId="77777777" w:rsidR="00116BF7" w:rsidRPr="00474499" w:rsidRDefault="00116BF7" w:rsidP="00E96499">
      <w:pPr>
        <w:adjustRightInd w:val="0"/>
        <w:snapToGrid w:val="0"/>
        <w:spacing w:line="360" w:lineRule="auto"/>
        <w:rPr>
          <w:rFonts w:ascii="Book Antiqua" w:hAnsi="Book Antiqua"/>
          <w:color w:val="000000"/>
          <w:sz w:val="24"/>
          <w:szCs w:val="24"/>
        </w:rPr>
      </w:pPr>
    </w:p>
    <w:p w14:paraId="05C4CAD8" w14:textId="77777777" w:rsidR="003357F5" w:rsidRPr="00474499" w:rsidRDefault="003357F5" w:rsidP="00E96499">
      <w:pPr>
        <w:adjustRightInd w:val="0"/>
        <w:snapToGrid w:val="0"/>
        <w:spacing w:line="360" w:lineRule="auto"/>
        <w:rPr>
          <w:rFonts w:ascii="Book Antiqua" w:hAnsi="Book Antiqua"/>
          <w:b/>
          <w:i/>
          <w:color w:val="000000"/>
          <w:sz w:val="24"/>
          <w:szCs w:val="24"/>
        </w:rPr>
      </w:pPr>
      <w:r w:rsidRPr="00474499">
        <w:rPr>
          <w:rFonts w:ascii="Book Antiqua" w:hAnsi="Book Antiqua"/>
          <w:b/>
          <w:i/>
          <w:color w:val="000000"/>
          <w:sz w:val="24"/>
          <w:szCs w:val="24"/>
        </w:rPr>
        <w:t>Research motivation</w:t>
      </w:r>
    </w:p>
    <w:p w14:paraId="69A68134" w14:textId="77777777"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The combination of TACE and RFA has a synergistic effect on HCC inactivation; however, most treatments are generally launched separately in practice, the effects of TACE or RFA alone are not synergistic very well. Therefore, evaluating the effect of the simultaneous combined treatment is necessary.</w:t>
      </w:r>
    </w:p>
    <w:p w14:paraId="01B8E2DE" w14:textId="77777777" w:rsidR="00116BF7" w:rsidRPr="00474499" w:rsidRDefault="00116BF7" w:rsidP="00E96499">
      <w:pPr>
        <w:adjustRightInd w:val="0"/>
        <w:snapToGrid w:val="0"/>
        <w:spacing w:line="360" w:lineRule="auto"/>
        <w:rPr>
          <w:rFonts w:ascii="Book Antiqua" w:hAnsi="Book Antiqua" w:cs="TimesNewRoman"/>
          <w:color w:val="000000"/>
          <w:kern w:val="0"/>
          <w:sz w:val="24"/>
          <w:szCs w:val="24"/>
        </w:rPr>
      </w:pPr>
    </w:p>
    <w:p w14:paraId="33B7A5B2" w14:textId="461C35D7" w:rsidR="003357F5" w:rsidRPr="00474499" w:rsidRDefault="003357F5" w:rsidP="00E96499">
      <w:pPr>
        <w:adjustRightInd w:val="0"/>
        <w:snapToGrid w:val="0"/>
        <w:spacing w:line="360" w:lineRule="auto"/>
        <w:rPr>
          <w:rFonts w:ascii="Book Antiqua" w:hAnsi="Book Antiqua"/>
          <w:b/>
          <w:i/>
          <w:color w:val="000000"/>
          <w:sz w:val="24"/>
          <w:szCs w:val="24"/>
        </w:rPr>
      </w:pPr>
      <w:r w:rsidRPr="00474499">
        <w:rPr>
          <w:rFonts w:ascii="Book Antiqua" w:hAnsi="Book Antiqua"/>
          <w:b/>
          <w:i/>
          <w:color w:val="000000"/>
          <w:sz w:val="24"/>
          <w:szCs w:val="24"/>
        </w:rPr>
        <w:t>Research objective</w:t>
      </w:r>
      <w:r w:rsidR="00116BF7" w:rsidRPr="00474499">
        <w:rPr>
          <w:rFonts w:ascii="Book Antiqua" w:hAnsi="Book Antiqua"/>
          <w:b/>
          <w:i/>
          <w:color w:val="000000"/>
          <w:sz w:val="24"/>
          <w:szCs w:val="24"/>
        </w:rPr>
        <w:t>s</w:t>
      </w:r>
    </w:p>
    <w:p w14:paraId="275C7688" w14:textId="434A563E" w:rsidR="003357F5" w:rsidRPr="00474499" w:rsidRDefault="003357F5" w:rsidP="00E96499">
      <w:pPr>
        <w:adjustRightInd w:val="0"/>
        <w:snapToGrid w:val="0"/>
        <w:spacing w:line="360" w:lineRule="auto"/>
        <w:rPr>
          <w:rFonts w:ascii="Book Antiqua" w:hAnsi="Book Antiqua"/>
          <w:color w:val="000000"/>
          <w:sz w:val="24"/>
          <w:szCs w:val="24"/>
        </w:rPr>
      </w:pPr>
      <w:r w:rsidRPr="00474499">
        <w:rPr>
          <w:rFonts w:ascii="Book Antiqua" w:hAnsi="Book Antiqua" w:cs="TimesNewRoman"/>
          <w:color w:val="000000"/>
          <w:kern w:val="0"/>
          <w:sz w:val="24"/>
          <w:szCs w:val="24"/>
        </w:rPr>
        <w:t>In the present study, we evaluated the efficacy and safety of simultaneous combined TACE and RFA for large HCC, to figure out how to combine these two treatment modalities.</w:t>
      </w:r>
    </w:p>
    <w:p w14:paraId="15DB59E6" w14:textId="77777777" w:rsidR="00116BF7" w:rsidRPr="00474499" w:rsidRDefault="00116BF7" w:rsidP="00E96499">
      <w:pPr>
        <w:adjustRightInd w:val="0"/>
        <w:snapToGrid w:val="0"/>
        <w:spacing w:line="360" w:lineRule="auto"/>
        <w:rPr>
          <w:rFonts w:ascii="Book Antiqua" w:hAnsi="Book Antiqua"/>
          <w:color w:val="000000"/>
          <w:sz w:val="24"/>
          <w:szCs w:val="24"/>
        </w:rPr>
      </w:pPr>
    </w:p>
    <w:p w14:paraId="213C0338" w14:textId="77777777" w:rsidR="003357F5" w:rsidRPr="00474499" w:rsidRDefault="003357F5" w:rsidP="00E96499">
      <w:pPr>
        <w:adjustRightInd w:val="0"/>
        <w:snapToGrid w:val="0"/>
        <w:spacing w:line="360" w:lineRule="auto"/>
        <w:rPr>
          <w:rFonts w:ascii="Book Antiqua" w:hAnsi="Book Antiqua"/>
          <w:b/>
          <w:i/>
          <w:color w:val="000000"/>
          <w:sz w:val="24"/>
          <w:szCs w:val="24"/>
        </w:rPr>
      </w:pPr>
      <w:r w:rsidRPr="00474499">
        <w:rPr>
          <w:rFonts w:ascii="Book Antiqua" w:hAnsi="Book Antiqua"/>
          <w:b/>
          <w:i/>
          <w:color w:val="000000"/>
          <w:sz w:val="24"/>
          <w:szCs w:val="24"/>
        </w:rPr>
        <w:t>Research methods</w:t>
      </w:r>
    </w:p>
    <w:p w14:paraId="16543D95" w14:textId="77777777" w:rsidR="003357F5" w:rsidRPr="00474499" w:rsidRDefault="003357F5" w:rsidP="00E96499">
      <w:pPr>
        <w:adjustRightInd w:val="0"/>
        <w:snapToGrid w:val="0"/>
        <w:spacing w:line="360" w:lineRule="auto"/>
        <w:rPr>
          <w:rFonts w:ascii="Book Antiqua" w:hAnsi="Book Antiqua"/>
          <w:color w:val="000000"/>
          <w:kern w:val="0"/>
          <w:sz w:val="24"/>
          <w:szCs w:val="24"/>
        </w:rPr>
      </w:pPr>
      <w:r w:rsidRPr="00474499">
        <w:rPr>
          <w:rFonts w:ascii="Book Antiqua" w:hAnsi="Book Antiqua"/>
          <w:color w:val="000000"/>
          <w:kern w:val="0"/>
          <w:sz w:val="24"/>
          <w:szCs w:val="24"/>
        </w:rPr>
        <w:t>A retrospective study was conducted. From 2010 to 2013, 46 consecutive patients with large HCC were treated with simultaneous TACE and RFA. Thirty-five of 46 patients had a single tumor. Progression-free survival (PFS) and overall survival (OS) were analyzed at 2 years and 3 years, respectively.</w:t>
      </w:r>
    </w:p>
    <w:p w14:paraId="1B148A13" w14:textId="77777777" w:rsidR="00116BF7" w:rsidRPr="00474499" w:rsidRDefault="00116BF7" w:rsidP="00E96499">
      <w:pPr>
        <w:adjustRightInd w:val="0"/>
        <w:snapToGrid w:val="0"/>
        <w:spacing w:line="360" w:lineRule="auto"/>
        <w:rPr>
          <w:rFonts w:ascii="Book Antiqua" w:hAnsi="Book Antiqua"/>
          <w:color w:val="000000"/>
          <w:sz w:val="24"/>
          <w:szCs w:val="24"/>
        </w:rPr>
      </w:pPr>
    </w:p>
    <w:p w14:paraId="38CB467C" w14:textId="77777777" w:rsidR="003357F5" w:rsidRPr="00474499" w:rsidRDefault="003357F5" w:rsidP="00E96499">
      <w:pPr>
        <w:adjustRightInd w:val="0"/>
        <w:snapToGrid w:val="0"/>
        <w:spacing w:line="360" w:lineRule="auto"/>
        <w:rPr>
          <w:rFonts w:ascii="Book Antiqua" w:hAnsi="Book Antiqua"/>
          <w:b/>
          <w:i/>
          <w:color w:val="000000"/>
          <w:sz w:val="24"/>
          <w:szCs w:val="24"/>
        </w:rPr>
      </w:pPr>
      <w:r w:rsidRPr="00474499">
        <w:rPr>
          <w:rFonts w:ascii="Book Antiqua" w:hAnsi="Book Antiqua"/>
          <w:b/>
          <w:i/>
          <w:color w:val="000000"/>
          <w:sz w:val="24"/>
          <w:szCs w:val="24"/>
        </w:rPr>
        <w:t>Research results</w:t>
      </w:r>
    </w:p>
    <w:p w14:paraId="695BD637" w14:textId="4D2B04EE" w:rsidR="003357F5" w:rsidRPr="00474499" w:rsidRDefault="003357F5" w:rsidP="00E96499">
      <w:pPr>
        <w:adjustRightInd w:val="0"/>
        <w:snapToGrid w:val="0"/>
        <w:spacing w:line="360" w:lineRule="auto"/>
        <w:rPr>
          <w:rFonts w:ascii="Book Antiqua" w:hAnsi="Book Antiqua"/>
          <w:color w:val="000000"/>
          <w:kern w:val="0"/>
          <w:sz w:val="24"/>
          <w:szCs w:val="24"/>
        </w:rPr>
      </w:pPr>
      <w:r w:rsidRPr="00474499">
        <w:rPr>
          <w:rFonts w:ascii="Book Antiqua" w:hAnsi="Book Antiqua"/>
          <w:color w:val="000000"/>
          <w:kern w:val="0"/>
          <w:sz w:val="24"/>
          <w:szCs w:val="24"/>
        </w:rPr>
        <w:t xml:space="preserve">Forty-six patients treated by simultaneous TACE and RFA had no significant complications and treatment was successful. After 3 years, median PFS and OS were 10.21 ± 1.58 and 26.44 ± 2.26 </w:t>
      </w:r>
      <w:proofErr w:type="spellStart"/>
      <w:r w:rsidR="00116BF7" w:rsidRPr="00474499">
        <w:rPr>
          <w:rFonts w:ascii="Book Antiqua" w:hAnsi="Book Antiqua"/>
          <w:color w:val="000000"/>
          <w:kern w:val="0"/>
          <w:sz w:val="24"/>
          <w:szCs w:val="24"/>
        </w:rPr>
        <w:t>mo</w:t>
      </w:r>
      <w:proofErr w:type="spellEnd"/>
      <w:r w:rsidRPr="00474499">
        <w:rPr>
          <w:rFonts w:ascii="Book Antiqua" w:hAnsi="Book Antiqua"/>
          <w:color w:val="000000"/>
          <w:kern w:val="0"/>
          <w:sz w:val="24"/>
          <w:szCs w:val="24"/>
        </w:rPr>
        <w:t>, retrospectively. The survival rate was 67.5% after 2 years and 55</w:t>
      </w:r>
      <w:r w:rsidR="00116BF7" w:rsidRPr="00474499">
        <w:rPr>
          <w:rFonts w:ascii="Book Antiqua" w:hAnsi="Book Antiqua"/>
          <w:color w:val="000000"/>
          <w:kern w:val="0"/>
          <w:sz w:val="24"/>
          <w:szCs w:val="24"/>
        </w:rPr>
        <w:t>.67% after 3 years.</w:t>
      </w:r>
    </w:p>
    <w:p w14:paraId="0223F702" w14:textId="77777777" w:rsidR="00116BF7" w:rsidRPr="00474499" w:rsidRDefault="00116BF7" w:rsidP="00E96499">
      <w:pPr>
        <w:adjustRightInd w:val="0"/>
        <w:snapToGrid w:val="0"/>
        <w:spacing w:line="360" w:lineRule="auto"/>
        <w:rPr>
          <w:rFonts w:ascii="Book Antiqua" w:hAnsi="Book Antiqua"/>
          <w:color w:val="000000"/>
          <w:kern w:val="0"/>
          <w:sz w:val="24"/>
          <w:szCs w:val="24"/>
        </w:rPr>
      </w:pPr>
    </w:p>
    <w:p w14:paraId="0335EDA7" w14:textId="77777777" w:rsidR="003357F5" w:rsidRPr="00474499" w:rsidRDefault="003357F5" w:rsidP="00E96499">
      <w:pPr>
        <w:adjustRightInd w:val="0"/>
        <w:snapToGrid w:val="0"/>
        <w:spacing w:line="360" w:lineRule="auto"/>
        <w:rPr>
          <w:rFonts w:ascii="Book Antiqua" w:hAnsi="Book Antiqua"/>
          <w:b/>
          <w:i/>
          <w:color w:val="000000"/>
          <w:sz w:val="24"/>
          <w:szCs w:val="24"/>
        </w:rPr>
      </w:pPr>
      <w:r w:rsidRPr="00474499">
        <w:rPr>
          <w:rFonts w:ascii="Book Antiqua" w:hAnsi="Book Antiqua"/>
          <w:b/>
          <w:i/>
          <w:color w:val="000000"/>
          <w:sz w:val="24"/>
          <w:szCs w:val="24"/>
        </w:rPr>
        <w:t>Research conclusions</w:t>
      </w:r>
    </w:p>
    <w:p w14:paraId="46EAC1D6" w14:textId="77777777"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These preliminary data show that simultaneous TACE and RFA are safe and effective for large HCC.</w:t>
      </w:r>
    </w:p>
    <w:p w14:paraId="0668F96D" w14:textId="77777777" w:rsidR="00116BF7" w:rsidRPr="00474499" w:rsidRDefault="00116BF7" w:rsidP="00E96499">
      <w:pPr>
        <w:adjustRightInd w:val="0"/>
        <w:snapToGrid w:val="0"/>
        <w:spacing w:line="360" w:lineRule="auto"/>
        <w:rPr>
          <w:rFonts w:ascii="Book Antiqua" w:hAnsi="Book Antiqua" w:cs="TimesNewRoman"/>
          <w:color w:val="000000"/>
          <w:kern w:val="0"/>
          <w:sz w:val="24"/>
          <w:szCs w:val="24"/>
        </w:rPr>
      </w:pPr>
    </w:p>
    <w:p w14:paraId="371B01FE" w14:textId="77777777" w:rsidR="003357F5" w:rsidRPr="00474499" w:rsidRDefault="003357F5" w:rsidP="00E96499">
      <w:pPr>
        <w:adjustRightInd w:val="0"/>
        <w:snapToGrid w:val="0"/>
        <w:spacing w:line="360" w:lineRule="auto"/>
        <w:rPr>
          <w:rFonts w:ascii="Book Antiqua" w:hAnsi="Book Antiqua"/>
          <w:b/>
          <w:i/>
          <w:color w:val="000000"/>
          <w:sz w:val="24"/>
          <w:szCs w:val="24"/>
        </w:rPr>
      </w:pPr>
      <w:r w:rsidRPr="00474499">
        <w:rPr>
          <w:rFonts w:ascii="Book Antiqua" w:hAnsi="Book Antiqua"/>
          <w:b/>
          <w:i/>
          <w:color w:val="000000"/>
          <w:sz w:val="24"/>
          <w:szCs w:val="24"/>
        </w:rPr>
        <w:t>Research perspectives</w:t>
      </w:r>
    </w:p>
    <w:p w14:paraId="22283030" w14:textId="77777777" w:rsidR="003357F5" w:rsidRPr="00474499" w:rsidRDefault="003357F5"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s="TimesNewRoman"/>
          <w:color w:val="000000"/>
          <w:kern w:val="0"/>
          <w:sz w:val="24"/>
          <w:szCs w:val="24"/>
        </w:rPr>
        <w:t xml:space="preserve">With the simultaneous combination of TACE and RFA, it is expected to bring us a better treatment for large HCC. </w:t>
      </w:r>
    </w:p>
    <w:p w14:paraId="7ACD5CC7" w14:textId="77777777" w:rsidR="003357F5" w:rsidRPr="00474499" w:rsidRDefault="003357F5" w:rsidP="00E96499">
      <w:pPr>
        <w:adjustRightInd w:val="0"/>
        <w:snapToGrid w:val="0"/>
        <w:spacing w:line="360" w:lineRule="auto"/>
        <w:rPr>
          <w:rFonts w:ascii="Book Antiqua" w:hAnsi="Book Antiqua"/>
          <w:b/>
          <w:color w:val="000000"/>
          <w:sz w:val="24"/>
          <w:szCs w:val="24"/>
        </w:rPr>
      </w:pPr>
    </w:p>
    <w:p w14:paraId="336D391A" w14:textId="18C4D08D" w:rsidR="003357F5" w:rsidRPr="00474499" w:rsidRDefault="00CD2EE1" w:rsidP="00E96499">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br w:type="page"/>
      </w:r>
      <w:r w:rsidR="003357F5" w:rsidRPr="00474499">
        <w:rPr>
          <w:rFonts w:ascii="Book Antiqua" w:hAnsi="Book Antiqua"/>
          <w:b/>
          <w:color w:val="000000"/>
          <w:sz w:val="24"/>
          <w:szCs w:val="24"/>
        </w:rPr>
        <w:lastRenderedPageBreak/>
        <w:t>REFERENCES</w:t>
      </w:r>
    </w:p>
    <w:p w14:paraId="79DFE7F8" w14:textId="6CDAEA90" w:rsidR="00E96499" w:rsidRPr="00E96499" w:rsidRDefault="00E96499" w:rsidP="00E96499">
      <w:pPr>
        <w:adjustRightInd w:val="0"/>
        <w:snapToGrid w:val="0"/>
        <w:spacing w:line="360" w:lineRule="auto"/>
        <w:rPr>
          <w:rFonts w:ascii="Book Antiqua" w:hAnsi="Book Antiqua"/>
          <w:sz w:val="24"/>
          <w:szCs w:val="24"/>
        </w:rPr>
      </w:pPr>
      <w:bookmarkStart w:id="12" w:name="OLE_LINK502"/>
      <w:bookmarkStart w:id="13" w:name="OLE_LINK480"/>
      <w:bookmarkStart w:id="14" w:name="OLE_LINK2090"/>
      <w:bookmarkStart w:id="15" w:name="OLE_LINK2200"/>
      <w:bookmarkStart w:id="16" w:name="OLE_LINK2199"/>
      <w:bookmarkStart w:id="17" w:name="OLE_LINK2198"/>
      <w:bookmarkStart w:id="18" w:name="OLE_LINK2162"/>
      <w:bookmarkStart w:id="19" w:name="OLE_LINK1963"/>
      <w:bookmarkStart w:id="20" w:name="OLE_LINK1962"/>
      <w:bookmarkStart w:id="21" w:name="OLE_LINK1813"/>
      <w:bookmarkStart w:id="22" w:name="OLE_LINK1812"/>
      <w:bookmarkStart w:id="23" w:name="OLE_LINK1811"/>
      <w:bookmarkStart w:id="24" w:name="OLE_LINK1807"/>
      <w:bookmarkStart w:id="25" w:name="OLE_LINK1806"/>
      <w:bookmarkStart w:id="26" w:name="OLE_LINK1755"/>
      <w:bookmarkStart w:id="27" w:name="OLE_LINK1636"/>
      <w:bookmarkStart w:id="28" w:name="OLE_LINK1845"/>
      <w:bookmarkStart w:id="29" w:name="OLE_LINK1844"/>
      <w:bookmarkStart w:id="30" w:name="OLE_LINK1843"/>
      <w:bookmarkStart w:id="31" w:name="OLE_LINK1803"/>
      <w:bookmarkStart w:id="32" w:name="OLE_LINK1802"/>
      <w:bookmarkStart w:id="33" w:name="OLE_LINK1801"/>
      <w:bookmarkStart w:id="34" w:name="OLE_LINK1800"/>
      <w:bookmarkStart w:id="35" w:name="OLE_LINK1282"/>
      <w:bookmarkStart w:id="36" w:name="OLE_LINK1266"/>
      <w:bookmarkStart w:id="37" w:name="OLE_LINK1264"/>
      <w:bookmarkStart w:id="38" w:name="OLE_LINK1261"/>
      <w:bookmarkStart w:id="39" w:name="OLE_LINK1260"/>
      <w:bookmarkStart w:id="40" w:name="OLE_LINK968"/>
      <w:bookmarkStart w:id="41" w:name="OLE_LINK1072"/>
      <w:bookmarkStart w:id="42" w:name="OLE_LINK1071"/>
      <w:bookmarkStart w:id="43" w:name="OLE_LINK1044"/>
      <w:bookmarkStart w:id="44" w:name="OLE_LINK1043"/>
      <w:bookmarkStart w:id="45" w:name="OLE_LINK1042"/>
      <w:bookmarkStart w:id="46" w:name="OLE_LINK1041"/>
      <w:bookmarkStart w:id="47" w:name="OLE_LINK1040"/>
      <w:bookmarkStart w:id="48" w:name="OLE_LINK1039"/>
      <w:bookmarkStart w:id="49" w:name="OLE_LINK1038"/>
      <w:bookmarkStart w:id="50" w:name="OLE_LINK1037"/>
      <w:bookmarkStart w:id="51" w:name="OLE_LINK1036"/>
      <w:bookmarkStart w:id="52" w:name="OLE_LINK1035"/>
      <w:bookmarkStart w:id="53" w:name="OLE_LINK987"/>
      <w:bookmarkStart w:id="54" w:name="OLE_LINK947"/>
      <w:bookmarkStart w:id="55" w:name="OLE_LINK946"/>
      <w:bookmarkStart w:id="56" w:name="OLE_LINK945"/>
      <w:bookmarkStart w:id="57" w:name="OLE_LINK1127"/>
      <w:bookmarkStart w:id="58" w:name="OLE_LINK962"/>
      <w:bookmarkStart w:id="59" w:name="OLE_LINK959"/>
      <w:bookmarkStart w:id="60" w:name="OLE_LINK958"/>
      <w:bookmarkStart w:id="61" w:name="OLE_LINK1185"/>
      <w:bookmarkStart w:id="62" w:name="OLE_LINK1159"/>
      <w:bookmarkStart w:id="63" w:name="OLE_LINK1158"/>
      <w:bookmarkStart w:id="64" w:name="OLE_LINK1157"/>
      <w:bookmarkStart w:id="65" w:name="OLE_LINK1156"/>
      <w:bookmarkStart w:id="66" w:name="OLE_LINK1065"/>
      <w:bookmarkStart w:id="67" w:name="OLE_LINK1064"/>
      <w:bookmarkStart w:id="68" w:name="OLE_LINK1023"/>
      <w:bookmarkStart w:id="69" w:name="OLE_LINK1022"/>
      <w:bookmarkStart w:id="70" w:name="OLE_LINK1021"/>
      <w:bookmarkStart w:id="71" w:name="OLE_LINK2183"/>
      <w:bookmarkStart w:id="72" w:name="OLE_LINK2182"/>
      <w:bookmarkStart w:id="73" w:name="OLE_LINK2181"/>
      <w:r w:rsidRPr="00E96499">
        <w:rPr>
          <w:rFonts w:ascii="Book Antiqua" w:hAnsi="Book Antiqua"/>
          <w:sz w:val="24"/>
          <w:szCs w:val="24"/>
        </w:rPr>
        <w:t xml:space="preserve">1 </w:t>
      </w:r>
      <w:r w:rsidRPr="00E96499">
        <w:rPr>
          <w:rFonts w:ascii="Book Antiqua" w:hAnsi="Book Antiqua"/>
          <w:b/>
          <w:sz w:val="24"/>
          <w:szCs w:val="24"/>
        </w:rPr>
        <w:t>European Associa</w:t>
      </w:r>
      <w:r w:rsidR="008F63AB">
        <w:rPr>
          <w:rFonts w:ascii="Book Antiqua" w:hAnsi="Book Antiqua"/>
          <w:b/>
          <w:sz w:val="24"/>
          <w:szCs w:val="24"/>
        </w:rPr>
        <w:t xml:space="preserve">tion </w:t>
      </w:r>
      <w:proofErr w:type="gramStart"/>
      <w:r w:rsidR="008F63AB">
        <w:rPr>
          <w:rFonts w:ascii="Book Antiqua" w:hAnsi="Book Antiqua"/>
          <w:b/>
          <w:sz w:val="24"/>
          <w:szCs w:val="24"/>
        </w:rPr>
        <w:t>For</w:t>
      </w:r>
      <w:proofErr w:type="gramEnd"/>
      <w:r w:rsidR="008F63AB">
        <w:rPr>
          <w:rFonts w:ascii="Book Antiqua" w:hAnsi="Book Antiqua"/>
          <w:b/>
          <w:sz w:val="24"/>
          <w:szCs w:val="24"/>
        </w:rPr>
        <w:t xml:space="preserve"> The Study Of The Liver</w:t>
      </w:r>
      <w:r w:rsidRPr="00E96499">
        <w:rPr>
          <w:rFonts w:ascii="Book Antiqua" w:hAnsi="Book Antiqua"/>
          <w:sz w:val="24"/>
          <w:szCs w:val="24"/>
        </w:rPr>
        <w:t xml:space="preserve">; European </w:t>
      </w:r>
      <w:proofErr w:type="spellStart"/>
      <w:r w:rsidRPr="00E96499">
        <w:rPr>
          <w:rFonts w:ascii="Book Antiqua" w:hAnsi="Book Antiqua"/>
          <w:sz w:val="24"/>
          <w:szCs w:val="24"/>
        </w:rPr>
        <w:t>Organisation</w:t>
      </w:r>
      <w:proofErr w:type="spellEnd"/>
      <w:r w:rsidRPr="00E96499">
        <w:rPr>
          <w:rFonts w:ascii="Book Antiqua" w:hAnsi="Book Antiqua"/>
          <w:sz w:val="24"/>
          <w:szCs w:val="24"/>
        </w:rPr>
        <w:t xml:space="preserve"> For Research And Treatment Of Cancer. EASL-EORTC clinical practice guidelines: management of hepatocellular carcinoma. </w:t>
      </w:r>
      <w:r w:rsidRPr="00E96499">
        <w:rPr>
          <w:rFonts w:ascii="Book Antiqua" w:hAnsi="Book Antiqua"/>
          <w:i/>
          <w:sz w:val="24"/>
          <w:szCs w:val="24"/>
        </w:rPr>
        <w:t xml:space="preserve">J </w:t>
      </w:r>
      <w:proofErr w:type="spellStart"/>
      <w:r w:rsidRPr="00E96499">
        <w:rPr>
          <w:rFonts w:ascii="Book Antiqua" w:hAnsi="Book Antiqua"/>
          <w:i/>
          <w:sz w:val="24"/>
          <w:szCs w:val="24"/>
        </w:rPr>
        <w:t>Hepatol</w:t>
      </w:r>
      <w:proofErr w:type="spellEnd"/>
      <w:r w:rsidRPr="00E96499">
        <w:rPr>
          <w:rFonts w:ascii="Book Antiqua" w:hAnsi="Book Antiqua"/>
          <w:sz w:val="24"/>
          <w:szCs w:val="24"/>
        </w:rPr>
        <w:t xml:space="preserve"> 2012; </w:t>
      </w:r>
      <w:r w:rsidRPr="00E96499">
        <w:rPr>
          <w:rFonts w:ascii="Book Antiqua" w:hAnsi="Book Antiqua"/>
          <w:b/>
          <w:sz w:val="24"/>
          <w:szCs w:val="24"/>
        </w:rPr>
        <w:t>56</w:t>
      </w:r>
      <w:r w:rsidRPr="00E96499">
        <w:rPr>
          <w:rFonts w:ascii="Book Antiqua" w:hAnsi="Book Antiqua"/>
          <w:sz w:val="24"/>
          <w:szCs w:val="24"/>
        </w:rPr>
        <w:t>: 908-943 [PMID: 22424438 DOI: 10.1016/j.jhep.2011.12.001]</w:t>
      </w:r>
    </w:p>
    <w:p w14:paraId="1DD30AE2"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2 </w:t>
      </w:r>
      <w:r w:rsidRPr="00E96499">
        <w:rPr>
          <w:rFonts w:ascii="Book Antiqua" w:hAnsi="Book Antiqua"/>
          <w:b/>
          <w:sz w:val="24"/>
          <w:szCs w:val="24"/>
        </w:rPr>
        <w:t>Wang FS</w:t>
      </w:r>
      <w:r w:rsidRPr="00E96499">
        <w:rPr>
          <w:rFonts w:ascii="Book Antiqua" w:hAnsi="Book Antiqua"/>
          <w:sz w:val="24"/>
          <w:szCs w:val="24"/>
        </w:rPr>
        <w:t xml:space="preserve">, Fan JG, Zhang Z, Gao B, Wang HY. The global burden of liver disease: the major impact of China. </w:t>
      </w:r>
      <w:r w:rsidRPr="00E96499">
        <w:rPr>
          <w:rFonts w:ascii="Book Antiqua" w:hAnsi="Book Antiqua"/>
          <w:i/>
          <w:sz w:val="24"/>
          <w:szCs w:val="24"/>
        </w:rPr>
        <w:t>Hepatology</w:t>
      </w:r>
      <w:r w:rsidRPr="00E96499">
        <w:rPr>
          <w:rFonts w:ascii="Book Antiqua" w:hAnsi="Book Antiqua"/>
          <w:sz w:val="24"/>
          <w:szCs w:val="24"/>
        </w:rPr>
        <w:t xml:space="preserve"> 2014; </w:t>
      </w:r>
      <w:r w:rsidRPr="00E96499">
        <w:rPr>
          <w:rFonts w:ascii="Book Antiqua" w:hAnsi="Book Antiqua"/>
          <w:b/>
          <w:sz w:val="24"/>
          <w:szCs w:val="24"/>
        </w:rPr>
        <w:t>60</w:t>
      </w:r>
      <w:r w:rsidRPr="00E96499">
        <w:rPr>
          <w:rFonts w:ascii="Book Antiqua" w:hAnsi="Book Antiqua"/>
          <w:sz w:val="24"/>
          <w:szCs w:val="24"/>
        </w:rPr>
        <w:t>: 2099-2108 [PMID: 25164003 DOI: 10.1002/hep.27406]</w:t>
      </w:r>
    </w:p>
    <w:p w14:paraId="44554842"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3 </w:t>
      </w:r>
      <w:proofErr w:type="spellStart"/>
      <w:r w:rsidRPr="00E96499">
        <w:rPr>
          <w:rFonts w:ascii="Book Antiqua" w:hAnsi="Book Antiqua"/>
          <w:b/>
          <w:sz w:val="24"/>
          <w:szCs w:val="24"/>
        </w:rPr>
        <w:t>Alnaggar</w:t>
      </w:r>
      <w:proofErr w:type="spellEnd"/>
      <w:r w:rsidRPr="00E96499">
        <w:rPr>
          <w:rFonts w:ascii="Book Antiqua" w:hAnsi="Book Antiqua"/>
          <w:b/>
          <w:sz w:val="24"/>
          <w:szCs w:val="24"/>
        </w:rPr>
        <w:t xml:space="preserve"> M</w:t>
      </w:r>
      <w:r w:rsidRPr="00E96499">
        <w:rPr>
          <w:rFonts w:ascii="Book Antiqua" w:hAnsi="Book Antiqua"/>
          <w:sz w:val="24"/>
          <w:szCs w:val="24"/>
        </w:rPr>
        <w:t xml:space="preserve">, </w:t>
      </w:r>
      <w:proofErr w:type="spellStart"/>
      <w:r w:rsidRPr="00E96499">
        <w:rPr>
          <w:rFonts w:ascii="Book Antiqua" w:hAnsi="Book Antiqua"/>
          <w:sz w:val="24"/>
          <w:szCs w:val="24"/>
        </w:rPr>
        <w:t>Niu</w:t>
      </w:r>
      <w:proofErr w:type="spellEnd"/>
      <w:r w:rsidRPr="00E96499">
        <w:rPr>
          <w:rFonts w:ascii="Book Antiqua" w:hAnsi="Book Antiqua"/>
          <w:sz w:val="24"/>
          <w:szCs w:val="24"/>
        </w:rPr>
        <w:t xml:space="preserve"> L, Li J, Yao F, Wang Y, Zeng J, Ye J, Chen J, Mu F, Xu K. Cryoprotective therapy for huge hepatocellular carcinoma: a study of 14 patients with a single lesion. </w:t>
      </w:r>
      <w:r w:rsidRPr="00E96499">
        <w:rPr>
          <w:rFonts w:ascii="Book Antiqua" w:hAnsi="Book Antiqua"/>
          <w:i/>
          <w:sz w:val="24"/>
          <w:szCs w:val="24"/>
        </w:rPr>
        <w:t>Cryobiology</w:t>
      </w:r>
      <w:r w:rsidRPr="00E96499">
        <w:rPr>
          <w:rFonts w:ascii="Book Antiqua" w:hAnsi="Book Antiqua"/>
          <w:sz w:val="24"/>
          <w:szCs w:val="24"/>
        </w:rPr>
        <w:t xml:space="preserve"> 2014; </w:t>
      </w:r>
      <w:r w:rsidRPr="00E96499">
        <w:rPr>
          <w:rFonts w:ascii="Book Antiqua" w:hAnsi="Book Antiqua"/>
          <w:b/>
          <w:sz w:val="24"/>
          <w:szCs w:val="24"/>
        </w:rPr>
        <w:t>69</w:t>
      </w:r>
      <w:r w:rsidRPr="00E96499">
        <w:rPr>
          <w:rFonts w:ascii="Book Antiqua" w:hAnsi="Book Antiqua"/>
          <w:sz w:val="24"/>
          <w:szCs w:val="24"/>
        </w:rPr>
        <w:t>: 457-461 [PMID: 25445461 DOI: 10.1016/j.cryobiol.2014.10.004]</w:t>
      </w:r>
    </w:p>
    <w:p w14:paraId="16C1E2BF" w14:textId="110E0E3E"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4 </w:t>
      </w:r>
      <w:proofErr w:type="spellStart"/>
      <w:r w:rsidRPr="00E96499">
        <w:rPr>
          <w:rFonts w:ascii="Book Antiqua" w:hAnsi="Book Antiqua"/>
          <w:b/>
          <w:sz w:val="24"/>
          <w:szCs w:val="24"/>
        </w:rPr>
        <w:t>Xue</w:t>
      </w:r>
      <w:proofErr w:type="spellEnd"/>
      <w:r w:rsidRPr="00E96499">
        <w:rPr>
          <w:rFonts w:ascii="Book Antiqua" w:hAnsi="Book Antiqua"/>
          <w:b/>
          <w:sz w:val="24"/>
          <w:szCs w:val="24"/>
        </w:rPr>
        <w:t xml:space="preserve"> TC,</w:t>
      </w:r>
      <w:r w:rsidR="00E51DE2">
        <w:rPr>
          <w:rFonts w:ascii="Book Antiqua" w:hAnsi="Book Antiqua"/>
          <w:sz w:val="24"/>
          <w:szCs w:val="24"/>
        </w:rPr>
        <w:t xml:space="preserve"> </w:t>
      </w:r>
      <w:r w:rsidRPr="00E96499">
        <w:rPr>
          <w:rFonts w:ascii="Book Antiqua" w:hAnsi="Book Antiqua"/>
          <w:sz w:val="24"/>
          <w:szCs w:val="24"/>
        </w:rPr>
        <w:t xml:space="preserve">Jia QA, Ge NL, Chen Y, Zhang BH, Ye SL. </w:t>
      </w:r>
      <w:r w:rsidR="00E51DE2" w:rsidRPr="00E51DE2">
        <w:rPr>
          <w:rFonts w:ascii="Book Antiqua" w:hAnsi="Book Antiqua"/>
          <w:sz w:val="24"/>
          <w:szCs w:val="24"/>
        </w:rPr>
        <w:t xml:space="preserve">Imbalance in systemic inflammation and immune response following </w:t>
      </w:r>
      <w:proofErr w:type="spellStart"/>
      <w:r w:rsidR="00E51DE2" w:rsidRPr="00E51DE2">
        <w:rPr>
          <w:rFonts w:ascii="Book Antiqua" w:hAnsi="Book Antiqua"/>
          <w:sz w:val="24"/>
          <w:szCs w:val="24"/>
        </w:rPr>
        <w:t>transarterial</w:t>
      </w:r>
      <w:proofErr w:type="spellEnd"/>
      <w:r w:rsidR="00E51DE2" w:rsidRPr="00E51DE2">
        <w:rPr>
          <w:rFonts w:ascii="Book Antiqua" w:hAnsi="Book Antiqua"/>
          <w:sz w:val="24"/>
          <w:szCs w:val="24"/>
        </w:rPr>
        <w:t xml:space="preserve"> chemoembolization potentially increases metastatic risk in huge hepatocellular carcinoma</w:t>
      </w:r>
      <w:r w:rsidRPr="00E96499">
        <w:rPr>
          <w:rFonts w:ascii="Book Antiqua" w:hAnsi="Book Antiqua"/>
          <w:sz w:val="24"/>
          <w:szCs w:val="24"/>
        </w:rPr>
        <w:t xml:space="preserve">. </w:t>
      </w:r>
      <w:proofErr w:type="spellStart"/>
      <w:r w:rsidRPr="00E51DE2">
        <w:rPr>
          <w:rFonts w:ascii="Book Antiqua" w:hAnsi="Book Antiqua"/>
          <w:i/>
          <w:sz w:val="24"/>
          <w:szCs w:val="24"/>
        </w:rPr>
        <w:t>Tumour</w:t>
      </w:r>
      <w:proofErr w:type="spellEnd"/>
      <w:r w:rsidRPr="00E51DE2">
        <w:rPr>
          <w:rFonts w:ascii="Book Antiqua" w:hAnsi="Book Antiqua"/>
          <w:i/>
          <w:sz w:val="24"/>
          <w:szCs w:val="24"/>
        </w:rPr>
        <w:t xml:space="preserve"> Biol</w:t>
      </w:r>
      <w:r w:rsidRPr="00E96499">
        <w:rPr>
          <w:rFonts w:ascii="Book Antiqua" w:hAnsi="Book Antiqua"/>
          <w:sz w:val="24"/>
          <w:szCs w:val="24"/>
        </w:rPr>
        <w:t xml:space="preserve"> 2015</w:t>
      </w:r>
      <w:r w:rsidR="00E51DE2">
        <w:rPr>
          <w:rFonts w:ascii="Book Antiqua" w:hAnsi="Book Antiqua" w:hint="eastAsia"/>
          <w:sz w:val="24"/>
          <w:szCs w:val="24"/>
        </w:rPr>
        <w:t xml:space="preserve">; </w:t>
      </w:r>
      <w:r w:rsidR="00E51DE2" w:rsidRPr="00E51DE2">
        <w:rPr>
          <w:rFonts w:ascii="Book Antiqua" w:hAnsi="Book Antiqua"/>
          <w:b/>
          <w:sz w:val="24"/>
          <w:szCs w:val="24"/>
        </w:rPr>
        <w:t>36</w:t>
      </w:r>
      <w:r w:rsidRPr="00E96499">
        <w:rPr>
          <w:rFonts w:ascii="Book Antiqua" w:hAnsi="Book Antiqua"/>
          <w:sz w:val="24"/>
          <w:szCs w:val="24"/>
        </w:rPr>
        <w:t>:</w:t>
      </w:r>
      <w:r w:rsidR="00E51DE2">
        <w:rPr>
          <w:rFonts w:ascii="Book Antiqua" w:hAnsi="Book Antiqua" w:hint="eastAsia"/>
          <w:sz w:val="24"/>
          <w:szCs w:val="24"/>
        </w:rPr>
        <w:t xml:space="preserve"> </w:t>
      </w:r>
      <w:r w:rsidRPr="00E96499">
        <w:rPr>
          <w:rFonts w:ascii="Book Antiqua" w:hAnsi="Book Antiqua"/>
          <w:sz w:val="24"/>
          <w:szCs w:val="24"/>
        </w:rPr>
        <w:t>8797-</w:t>
      </w:r>
      <w:r w:rsidR="00E51DE2">
        <w:rPr>
          <w:rFonts w:ascii="Book Antiqua" w:hAnsi="Book Antiqua" w:hint="eastAsia"/>
          <w:sz w:val="24"/>
          <w:szCs w:val="24"/>
        </w:rPr>
        <w:t>8</w:t>
      </w:r>
      <w:r w:rsidRPr="00E96499">
        <w:rPr>
          <w:rFonts w:ascii="Book Antiqua" w:hAnsi="Book Antiqua"/>
          <w:sz w:val="24"/>
          <w:szCs w:val="24"/>
        </w:rPr>
        <w:t>803 [</w:t>
      </w:r>
      <w:r w:rsidR="00E51DE2">
        <w:rPr>
          <w:rFonts w:ascii="Book Antiqua" w:hAnsi="Book Antiqua" w:hint="eastAsia"/>
          <w:sz w:val="24"/>
          <w:szCs w:val="24"/>
        </w:rPr>
        <w:t xml:space="preserve">PMID: </w:t>
      </w:r>
      <w:r w:rsidR="00E51DE2" w:rsidRPr="00E51DE2">
        <w:rPr>
          <w:rFonts w:ascii="Book Antiqua" w:hAnsi="Book Antiqua"/>
          <w:sz w:val="24"/>
          <w:szCs w:val="24"/>
        </w:rPr>
        <w:t>26058874</w:t>
      </w:r>
      <w:r w:rsidR="00E51DE2">
        <w:rPr>
          <w:rFonts w:ascii="Book Antiqua" w:hAnsi="Book Antiqua" w:hint="eastAsia"/>
          <w:sz w:val="24"/>
          <w:szCs w:val="24"/>
        </w:rPr>
        <w:t xml:space="preserve"> </w:t>
      </w:r>
      <w:r w:rsidR="00E51DE2" w:rsidRPr="00E96499">
        <w:rPr>
          <w:rFonts w:ascii="Book Antiqua" w:hAnsi="Book Antiqua"/>
          <w:sz w:val="24"/>
          <w:szCs w:val="24"/>
        </w:rPr>
        <w:t>DOI</w:t>
      </w:r>
      <w:r w:rsidRPr="00E96499">
        <w:rPr>
          <w:rFonts w:ascii="Book Antiqua" w:hAnsi="Book Antiqua"/>
          <w:sz w:val="24"/>
          <w:szCs w:val="24"/>
        </w:rPr>
        <w:t>:</w:t>
      </w:r>
      <w:r w:rsidR="00E51DE2">
        <w:rPr>
          <w:rFonts w:ascii="Book Antiqua" w:hAnsi="Book Antiqua" w:hint="eastAsia"/>
          <w:sz w:val="24"/>
          <w:szCs w:val="24"/>
        </w:rPr>
        <w:t xml:space="preserve"> </w:t>
      </w:r>
      <w:r w:rsidRPr="00E96499">
        <w:rPr>
          <w:rFonts w:ascii="Book Antiqua" w:hAnsi="Book Antiqua"/>
          <w:sz w:val="24"/>
          <w:szCs w:val="24"/>
        </w:rPr>
        <w:t>10.1007/s13277-015-3632-7]</w:t>
      </w:r>
    </w:p>
    <w:p w14:paraId="272479E7"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5 </w:t>
      </w:r>
      <w:r w:rsidRPr="00E96499">
        <w:rPr>
          <w:rFonts w:ascii="Book Antiqua" w:hAnsi="Book Antiqua"/>
          <w:b/>
          <w:sz w:val="24"/>
          <w:szCs w:val="24"/>
        </w:rPr>
        <w:t>Kim JW</w:t>
      </w:r>
      <w:r w:rsidRPr="00E96499">
        <w:rPr>
          <w:rFonts w:ascii="Book Antiqua" w:hAnsi="Book Antiqua"/>
          <w:sz w:val="24"/>
          <w:szCs w:val="24"/>
        </w:rPr>
        <w:t xml:space="preserve">, Shin SS, Kim JK, Choi SK, </w:t>
      </w:r>
      <w:proofErr w:type="spellStart"/>
      <w:r w:rsidRPr="00E96499">
        <w:rPr>
          <w:rFonts w:ascii="Book Antiqua" w:hAnsi="Book Antiqua"/>
          <w:sz w:val="24"/>
          <w:szCs w:val="24"/>
        </w:rPr>
        <w:t>Heo</w:t>
      </w:r>
      <w:proofErr w:type="spellEnd"/>
      <w:r w:rsidRPr="00E96499">
        <w:rPr>
          <w:rFonts w:ascii="Book Antiqua" w:hAnsi="Book Antiqua"/>
          <w:sz w:val="24"/>
          <w:szCs w:val="24"/>
        </w:rPr>
        <w:t xml:space="preserve"> SH, Lim HS, </w:t>
      </w:r>
      <w:proofErr w:type="spellStart"/>
      <w:r w:rsidRPr="00E96499">
        <w:rPr>
          <w:rFonts w:ascii="Book Antiqua" w:hAnsi="Book Antiqua"/>
          <w:sz w:val="24"/>
          <w:szCs w:val="24"/>
        </w:rPr>
        <w:t>Hur</w:t>
      </w:r>
      <w:proofErr w:type="spellEnd"/>
      <w:r w:rsidRPr="00E96499">
        <w:rPr>
          <w:rFonts w:ascii="Book Antiqua" w:hAnsi="Book Antiqua"/>
          <w:sz w:val="24"/>
          <w:szCs w:val="24"/>
        </w:rPr>
        <w:t xml:space="preserve"> YH, Cho CK, </w:t>
      </w:r>
      <w:proofErr w:type="spellStart"/>
      <w:r w:rsidRPr="00E96499">
        <w:rPr>
          <w:rFonts w:ascii="Book Antiqua" w:hAnsi="Book Antiqua"/>
          <w:sz w:val="24"/>
          <w:szCs w:val="24"/>
        </w:rPr>
        <w:t>Jeong</w:t>
      </w:r>
      <w:proofErr w:type="spellEnd"/>
      <w:r w:rsidRPr="00E96499">
        <w:rPr>
          <w:rFonts w:ascii="Book Antiqua" w:hAnsi="Book Antiqua"/>
          <w:sz w:val="24"/>
          <w:szCs w:val="24"/>
        </w:rPr>
        <w:t xml:space="preserve"> YY, Kang HK. Radiofrequency ablation combined with transcatheter arterial chemoembolization for the treatment of single hepatocellular carcinoma of 2 to 5 cm in diameter: comparison with surgical resection. </w:t>
      </w:r>
      <w:r w:rsidRPr="00E96499">
        <w:rPr>
          <w:rFonts w:ascii="Book Antiqua" w:hAnsi="Book Antiqua"/>
          <w:i/>
          <w:sz w:val="24"/>
          <w:szCs w:val="24"/>
        </w:rPr>
        <w:t xml:space="preserve">Korean J </w:t>
      </w:r>
      <w:proofErr w:type="spellStart"/>
      <w:r w:rsidRPr="00E96499">
        <w:rPr>
          <w:rFonts w:ascii="Book Antiqua" w:hAnsi="Book Antiqua"/>
          <w:i/>
          <w:sz w:val="24"/>
          <w:szCs w:val="24"/>
        </w:rPr>
        <w:t>Radiol</w:t>
      </w:r>
      <w:proofErr w:type="spellEnd"/>
      <w:r w:rsidRPr="00E96499">
        <w:rPr>
          <w:rFonts w:ascii="Book Antiqua" w:hAnsi="Book Antiqua"/>
          <w:sz w:val="24"/>
          <w:szCs w:val="24"/>
        </w:rPr>
        <w:t xml:space="preserve"> 2013; </w:t>
      </w:r>
      <w:r w:rsidRPr="00E96499">
        <w:rPr>
          <w:rFonts w:ascii="Book Antiqua" w:hAnsi="Book Antiqua"/>
          <w:b/>
          <w:sz w:val="24"/>
          <w:szCs w:val="24"/>
        </w:rPr>
        <w:t>14</w:t>
      </w:r>
      <w:r w:rsidRPr="00E96499">
        <w:rPr>
          <w:rFonts w:ascii="Book Antiqua" w:hAnsi="Book Antiqua"/>
          <w:sz w:val="24"/>
          <w:szCs w:val="24"/>
        </w:rPr>
        <w:t>: 626-635 [PMID: 23901320 DOI: 10.3348/kjr.2013.14.4.626]</w:t>
      </w:r>
    </w:p>
    <w:p w14:paraId="3D655574"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6 </w:t>
      </w:r>
      <w:r w:rsidRPr="00E96499">
        <w:rPr>
          <w:rFonts w:ascii="Book Antiqua" w:hAnsi="Book Antiqua"/>
          <w:b/>
          <w:sz w:val="24"/>
          <w:szCs w:val="24"/>
        </w:rPr>
        <w:t>Min JH</w:t>
      </w:r>
      <w:r w:rsidRPr="00E96499">
        <w:rPr>
          <w:rFonts w:ascii="Book Antiqua" w:hAnsi="Book Antiqua"/>
          <w:sz w:val="24"/>
          <w:szCs w:val="24"/>
        </w:rPr>
        <w:t xml:space="preserve">, Lee MW, Cha DI, Jeon YH, Shin SW, Cho SK, </w:t>
      </w:r>
      <w:proofErr w:type="spellStart"/>
      <w:r w:rsidRPr="00E96499">
        <w:rPr>
          <w:rFonts w:ascii="Book Antiqua" w:hAnsi="Book Antiqua"/>
          <w:sz w:val="24"/>
          <w:szCs w:val="24"/>
        </w:rPr>
        <w:t>Rhim</w:t>
      </w:r>
      <w:proofErr w:type="spellEnd"/>
      <w:r w:rsidRPr="00E96499">
        <w:rPr>
          <w:rFonts w:ascii="Book Antiqua" w:hAnsi="Book Antiqua"/>
          <w:sz w:val="24"/>
          <w:szCs w:val="24"/>
        </w:rPr>
        <w:t xml:space="preserve"> H, Lim HK. Radiofrequency ablation combined with chemoembolization for intermediate-sized (3-5 cm) hepatocellular carcinomas under dual guidance of biplane fluoroscopy and ultrasonography. </w:t>
      </w:r>
      <w:r w:rsidRPr="00E96499">
        <w:rPr>
          <w:rFonts w:ascii="Book Antiqua" w:hAnsi="Book Antiqua"/>
          <w:i/>
          <w:sz w:val="24"/>
          <w:szCs w:val="24"/>
        </w:rPr>
        <w:t xml:space="preserve">Korean J </w:t>
      </w:r>
      <w:proofErr w:type="spellStart"/>
      <w:r w:rsidRPr="00E96499">
        <w:rPr>
          <w:rFonts w:ascii="Book Antiqua" w:hAnsi="Book Antiqua"/>
          <w:i/>
          <w:sz w:val="24"/>
          <w:szCs w:val="24"/>
        </w:rPr>
        <w:t>Radiol</w:t>
      </w:r>
      <w:proofErr w:type="spellEnd"/>
      <w:r w:rsidRPr="00E96499">
        <w:rPr>
          <w:rFonts w:ascii="Book Antiqua" w:hAnsi="Book Antiqua"/>
          <w:sz w:val="24"/>
          <w:szCs w:val="24"/>
        </w:rPr>
        <w:t xml:space="preserve"> 2013; </w:t>
      </w:r>
      <w:r w:rsidRPr="00E96499">
        <w:rPr>
          <w:rFonts w:ascii="Book Antiqua" w:hAnsi="Book Antiqua"/>
          <w:b/>
          <w:sz w:val="24"/>
          <w:szCs w:val="24"/>
        </w:rPr>
        <w:t>14</w:t>
      </w:r>
      <w:r w:rsidRPr="00E96499">
        <w:rPr>
          <w:rFonts w:ascii="Book Antiqua" w:hAnsi="Book Antiqua"/>
          <w:sz w:val="24"/>
          <w:szCs w:val="24"/>
        </w:rPr>
        <w:t>: 248-258 [PMID: 23483753 DOI: 10.3348/kjr.2013.14.2.248]</w:t>
      </w:r>
    </w:p>
    <w:p w14:paraId="738C285E"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7 </w:t>
      </w:r>
      <w:r w:rsidRPr="00E96499">
        <w:rPr>
          <w:rFonts w:ascii="Book Antiqua" w:hAnsi="Book Antiqua"/>
          <w:b/>
          <w:sz w:val="24"/>
          <w:szCs w:val="24"/>
        </w:rPr>
        <w:t>Song MJ</w:t>
      </w:r>
      <w:r w:rsidRPr="00E96499">
        <w:rPr>
          <w:rFonts w:ascii="Book Antiqua" w:hAnsi="Book Antiqua"/>
          <w:sz w:val="24"/>
          <w:szCs w:val="24"/>
        </w:rPr>
        <w:t xml:space="preserve">, Bae SH, Lee JS, Lee SW, Song DS, You CR, Choi JY, Yoon SK. Combination </w:t>
      </w:r>
      <w:proofErr w:type="spellStart"/>
      <w:r w:rsidRPr="00E96499">
        <w:rPr>
          <w:rFonts w:ascii="Book Antiqua" w:hAnsi="Book Antiqua"/>
          <w:sz w:val="24"/>
          <w:szCs w:val="24"/>
        </w:rPr>
        <w:t>transarterial</w:t>
      </w:r>
      <w:proofErr w:type="spellEnd"/>
      <w:r w:rsidRPr="00E96499">
        <w:rPr>
          <w:rFonts w:ascii="Book Antiqua" w:hAnsi="Book Antiqua"/>
          <w:sz w:val="24"/>
          <w:szCs w:val="24"/>
        </w:rPr>
        <w:t xml:space="preserve"> chemoembolization and radiofrequency ablation therapy for early hepatocellular carcinoma. </w:t>
      </w:r>
      <w:r w:rsidRPr="00E96499">
        <w:rPr>
          <w:rFonts w:ascii="Book Antiqua" w:hAnsi="Book Antiqua"/>
          <w:i/>
          <w:sz w:val="24"/>
          <w:szCs w:val="24"/>
        </w:rPr>
        <w:t>Korean J Intern Med</w:t>
      </w:r>
      <w:r w:rsidRPr="00E96499">
        <w:rPr>
          <w:rFonts w:ascii="Book Antiqua" w:hAnsi="Book Antiqua"/>
          <w:sz w:val="24"/>
          <w:szCs w:val="24"/>
        </w:rPr>
        <w:t xml:space="preserve"> 2016; </w:t>
      </w:r>
      <w:r w:rsidRPr="00E96499">
        <w:rPr>
          <w:rFonts w:ascii="Book Antiqua" w:hAnsi="Book Antiqua"/>
          <w:b/>
          <w:sz w:val="24"/>
          <w:szCs w:val="24"/>
        </w:rPr>
        <w:t>31</w:t>
      </w:r>
      <w:r w:rsidRPr="00E96499">
        <w:rPr>
          <w:rFonts w:ascii="Book Antiqua" w:hAnsi="Book Antiqua"/>
          <w:sz w:val="24"/>
          <w:szCs w:val="24"/>
        </w:rPr>
        <w:t>: 242-252 [PMID: 26874512 DOI: 10.3904/kjim.2015.112]</w:t>
      </w:r>
    </w:p>
    <w:p w14:paraId="62F58732"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8 </w:t>
      </w:r>
      <w:r w:rsidRPr="00E96499">
        <w:rPr>
          <w:rFonts w:ascii="Book Antiqua" w:hAnsi="Book Antiqua"/>
          <w:b/>
          <w:sz w:val="24"/>
          <w:szCs w:val="24"/>
        </w:rPr>
        <w:t>Guo W</w:t>
      </w:r>
      <w:r w:rsidRPr="00E96499">
        <w:rPr>
          <w:rFonts w:ascii="Book Antiqua" w:hAnsi="Book Antiqua"/>
          <w:sz w:val="24"/>
          <w:szCs w:val="24"/>
        </w:rPr>
        <w:t xml:space="preserve">, He X, Li Z, Li Y. Combination of </w:t>
      </w:r>
      <w:proofErr w:type="spellStart"/>
      <w:r w:rsidRPr="00E96499">
        <w:rPr>
          <w:rFonts w:ascii="Book Antiqua" w:hAnsi="Book Antiqua"/>
          <w:sz w:val="24"/>
          <w:szCs w:val="24"/>
        </w:rPr>
        <w:t>Transarterial</w:t>
      </w:r>
      <w:proofErr w:type="spellEnd"/>
      <w:r w:rsidRPr="00E96499">
        <w:rPr>
          <w:rFonts w:ascii="Book Antiqua" w:hAnsi="Book Antiqua"/>
          <w:sz w:val="24"/>
          <w:szCs w:val="24"/>
        </w:rPr>
        <w:t xml:space="preserve"> Chemoembolization </w:t>
      </w:r>
      <w:r w:rsidRPr="00E96499">
        <w:rPr>
          <w:rFonts w:ascii="Book Antiqua" w:hAnsi="Book Antiqua"/>
          <w:sz w:val="24"/>
          <w:szCs w:val="24"/>
        </w:rPr>
        <w:lastRenderedPageBreak/>
        <w:t xml:space="preserve">(TACE) and Radiofrequency Ablation (RFA) vs. Surgical Resection (SR) on Survival Outcome of Early Hepatocellular Carcinoma: A Meta-Analysis. </w:t>
      </w:r>
      <w:proofErr w:type="spellStart"/>
      <w:r w:rsidRPr="00E96499">
        <w:rPr>
          <w:rFonts w:ascii="Book Antiqua" w:hAnsi="Book Antiqua"/>
          <w:i/>
          <w:sz w:val="24"/>
          <w:szCs w:val="24"/>
        </w:rPr>
        <w:t>Hepatogastroenterology</w:t>
      </w:r>
      <w:proofErr w:type="spellEnd"/>
      <w:r w:rsidRPr="00E96499">
        <w:rPr>
          <w:rFonts w:ascii="Book Antiqua" w:hAnsi="Book Antiqua"/>
          <w:sz w:val="24"/>
          <w:szCs w:val="24"/>
        </w:rPr>
        <w:t xml:space="preserve"> 2015; </w:t>
      </w:r>
      <w:r w:rsidRPr="00E96499">
        <w:rPr>
          <w:rFonts w:ascii="Book Antiqua" w:hAnsi="Book Antiqua"/>
          <w:b/>
          <w:sz w:val="24"/>
          <w:szCs w:val="24"/>
        </w:rPr>
        <w:t>62</w:t>
      </w:r>
      <w:r w:rsidRPr="00E96499">
        <w:rPr>
          <w:rFonts w:ascii="Book Antiqua" w:hAnsi="Book Antiqua"/>
          <w:sz w:val="24"/>
          <w:szCs w:val="24"/>
        </w:rPr>
        <w:t>: 710-714 [PMID: 26897959]</w:t>
      </w:r>
    </w:p>
    <w:p w14:paraId="00507C55"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9 </w:t>
      </w:r>
      <w:r w:rsidRPr="00E96499">
        <w:rPr>
          <w:rFonts w:ascii="Book Antiqua" w:hAnsi="Book Antiqua"/>
          <w:b/>
          <w:sz w:val="24"/>
          <w:szCs w:val="24"/>
        </w:rPr>
        <w:t>Dai WC</w:t>
      </w:r>
      <w:r w:rsidRPr="00E96499">
        <w:rPr>
          <w:rFonts w:ascii="Book Antiqua" w:hAnsi="Book Antiqua"/>
          <w:sz w:val="24"/>
          <w:szCs w:val="24"/>
        </w:rPr>
        <w:t xml:space="preserve">, Cheung TT, </w:t>
      </w:r>
      <w:proofErr w:type="spellStart"/>
      <w:r w:rsidRPr="00E96499">
        <w:rPr>
          <w:rFonts w:ascii="Book Antiqua" w:hAnsi="Book Antiqua"/>
          <w:sz w:val="24"/>
          <w:szCs w:val="24"/>
        </w:rPr>
        <w:t>Chok</w:t>
      </w:r>
      <w:proofErr w:type="spellEnd"/>
      <w:r w:rsidRPr="00E96499">
        <w:rPr>
          <w:rFonts w:ascii="Book Antiqua" w:hAnsi="Book Antiqua"/>
          <w:sz w:val="24"/>
          <w:szCs w:val="24"/>
        </w:rPr>
        <w:t xml:space="preserve"> KS, Chan AC, </w:t>
      </w:r>
      <w:proofErr w:type="spellStart"/>
      <w:r w:rsidRPr="00E96499">
        <w:rPr>
          <w:rFonts w:ascii="Book Antiqua" w:hAnsi="Book Antiqua"/>
          <w:sz w:val="24"/>
          <w:szCs w:val="24"/>
        </w:rPr>
        <w:t>Sharr</w:t>
      </w:r>
      <w:proofErr w:type="spellEnd"/>
      <w:r w:rsidRPr="00E96499">
        <w:rPr>
          <w:rFonts w:ascii="Book Antiqua" w:hAnsi="Book Antiqua"/>
          <w:sz w:val="24"/>
          <w:szCs w:val="24"/>
        </w:rPr>
        <w:t xml:space="preserve"> WW, Tsang SH, Yuen WK, Chan SC, Fan ST, Lo CM, Poon RT. Radiofrequency ablation versus </w:t>
      </w:r>
      <w:proofErr w:type="spellStart"/>
      <w:r w:rsidRPr="00E96499">
        <w:rPr>
          <w:rFonts w:ascii="Book Antiqua" w:hAnsi="Book Antiqua"/>
          <w:sz w:val="24"/>
          <w:szCs w:val="24"/>
        </w:rPr>
        <w:t>transarterial</w:t>
      </w:r>
      <w:proofErr w:type="spellEnd"/>
      <w:r w:rsidRPr="00E96499">
        <w:rPr>
          <w:rFonts w:ascii="Book Antiqua" w:hAnsi="Book Antiqua"/>
          <w:sz w:val="24"/>
          <w:szCs w:val="24"/>
        </w:rPr>
        <w:t xml:space="preserve"> chemoembolization for unresectable solitary hepatocellular carcinomas sized 5-8</w:t>
      </w:r>
      <w:r w:rsidRPr="00E96499">
        <w:rPr>
          <w:rFonts w:ascii="Times New Roman" w:hAnsi="Times New Roman"/>
          <w:sz w:val="24"/>
          <w:szCs w:val="24"/>
        </w:rPr>
        <w:t> </w:t>
      </w:r>
      <w:r w:rsidRPr="00E96499">
        <w:rPr>
          <w:rFonts w:ascii="Book Antiqua" w:hAnsi="Book Antiqua"/>
          <w:sz w:val="24"/>
          <w:szCs w:val="24"/>
        </w:rPr>
        <w:t xml:space="preserve">cm. </w:t>
      </w:r>
      <w:r w:rsidRPr="00E96499">
        <w:rPr>
          <w:rFonts w:ascii="Book Antiqua" w:hAnsi="Book Antiqua"/>
          <w:i/>
          <w:sz w:val="24"/>
          <w:szCs w:val="24"/>
        </w:rPr>
        <w:t>HPB (Oxford)</w:t>
      </w:r>
      <w:r w:rsidRPr="00E96499">
        <w:rPr>
          <w:rFonts w:ascii="Book Antiqua" w:hAnsi="Book Antiqua"/>
          <w:sz w:val="24"/>
          <w:szCs w:val="24"/>
        </w:rPr>
        <w:t xml:space="preserve"> 2015; </w:t>
      </w:r>
      <w:r w:rsidRPr="00E96499">
        <w:rPr>
          <w:rFonts w:ascii="Book Antiqua" w:hAnsi="Book Antiqua"/>
          <w:b/>
          <w:sz w:val="24"/>
          <w:szCs w:val="24"/>
        </w:rPr>
        <w:t>17</w:t>
      </w:r>
      <w:r w:rsidRPr="00E96499">
        <w:rPr>
          <w:rFonts w:ascii="Book Antiqua" w:hAnsi="Book Antiqua"/>
          <w:sz w:val="24"/>
          <w:szCs w:val="24"/>
        </w:rPr>
        <w:t>: 226-231 [PMID: 25284590 DOI: 10.1111/hpb.12324]</w:t>
      </w:r>
    </w:p>
    <w:p w14:paraId="2ABE8353"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10 </w:t>
      </w:r>
      <w:proofErr w:type="spellStart"/>
      <w:r w:rsidRPr="00E96499">
        <w:rPr>
          <w:rFonts w:ascii="Book Antiqua" w:hAnsi="Book Antiqua"/>
          <w:b/>
          <w:sz w:val="24"/>
          <w:szCs w:val="24"/>
        </w:rPr>
        <w:t>Duan</w:t>
      </w:r>
      <w:proofErr w:type="spellEnd"/>
      <w:r w:rsidRPr="00E96499">
        <w:rPr>
          <w:rFonts w:ascii="Book Antiqua" w:hAnsi="Book Antiqua"/>
          <w:b/>
          <w:sz w:val="24"/>
          <w:szCs w:val="24"/>
        </w:rPr>
        <w:t xml:space="preserve"> F</w:t>
      </w:r>
      <w:r w:rsidRPr="00E96499">
        <w:rPr>
          <w:rFonts w:ascii="Book Antiqua" w:hAnsi="Book Antiqua"/>
          <w:sz w:val="24"/>
          <w:szCs w:val="24"/>
        </w:rPr>
        <w:t xml:space="preserve">, Yu W, Wang Y, Liu FY, Song P, Wang ZJ, Yan JY, Yuan K, Wang MQ. Trans-arterial chemoembolization and external beam radiation therapy for treatment of hepatocellular carcinoma with a tumor thrombus in the inferior vena cava and right atrium. </w:t>
      </w:r>
      <w:r w:rsidRPr="00E96499">
        <w:rPr>
          <w:rFonts w:ascii="Book Antiqua" w:hAnsi="Book Antiqua"/>
          <w:i/>
          <w:sz w:val="24"/>
          <w:szCs w:val="24"/>
        </w:rPr>
        <w:t>Cancer Imaging</w:t>
      </w:r>
      <w:r w:rsidRPr="00E96499">
        <w:rPr>
          <w:rFonts w:ascii="Book Antiqua" w:hAnsi="Book Antiqua"/>
          <w:sz w:val="24"/>
          <w:szCs w:val="24"/>
        </w:rPr>
        <w:t xml:space="preserve"> 2015; </w:t>
      </w:r>
      <w:r w:rsidRPr="00E96499">
        <w:rPr>
          <w:rFonts w:ascii="Book Antiqua" w:hAnsi="Book Antiqua"/>
          <w:b/>
          <w:sz w:val="24"/>
          <w:szCs w:val="24"/>
        </w:rPr>
        <w:t>15</w:t>
      </w:r>
      <w:r w:rsidRPr="00E96499">
        <w:rPr>
          <w:rFonts w:ascii="Book Antiqua" w:hAnsi="Book Antiqua"/>
          <w:sz w:val="24"/>
          <w:szCs w:val="24"/>
        </w:rPr>
        <w:t>: 7 [PMID: 26007646 DOI: 10.1186/s40644-015-0043-3]</w:t>
      </w:r>
    </w:p>
    <w:p w14:paraId="69C0D4B4"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11 </w:t>
      </w:r>
      <w:r w:rsidRPr="00E96499">
        <w:rPr>
          <w:rFonts w:ascii="Book Antiqua" w:hAnsi="Book Antiqua"/>
          <w:b/>
          <w:sz w:val="24"/>
          <w:szCs w:val="24"/>
        </w:rPr>
        <w:t>Wang ZJ</w:t>
      </w:r>
      <w:r w:rsidRPr="00E96499">
        <w:rPr>
          <w:rFonts w:ascii="Book Antiqua" w:hAnsi="Book Antiqua"/>
          <w:sz w:val="24"/>
          <w:szCs w:val="24"/>
        </w:rPr>
        <w:t xml:space="preserve">, Wang MQ, </w:t>
      </w:r>
      <w:proofErr w:type="spellStart"/>
      <w:r w:rsidRPr="00E96499">
        <w:rPr>
          <w:rFonts w:ascii="Book Antiqua" w:hAnsi="Book Antiqua"/>
          <w:sz w:val="24"/>
          <w:szCs w:val="24"/>
        </w:rPr>
        <w:t>Duan</w:t>
      </w:r>
      <w:proofErr w:type="spellEnd"/>
      <w:r w:rsidRPr="00E96499">
        <w:rPr>
          <w:rFonts w:ascii="Book Antiqua" w:hAnsi="Book Antiqua"/>
          <w:sz w:val="24"/>
          <w:szCs w:val="24"/>
        </w:rPr>
        <w:t xml:space="preserve"> F, Song P, Liu FY, Chang ZF, Wang Y, Yan JY, Li K. Transcatheter arterial chemoembolization followed by immediate radiofrequency ablation for large solitary hepatocellular carcinomas. </w:t>
      </w:r>
      <w:r w:rsidRPr="00E96499">
        <w:rPr>
          <w:rFonts w:ascii="Book Antiqua" w:hAnsi="Book Antiqua"/>
          <w:i/>
          <w:sz w:val="24"/>
          <w:szCs w:val="24"/>
        </w:rPr>
        <w:t>World J Gastroenterol</w:t>
      </w:r>
      <w:r w:rsidRPr="00E96499">
        <w:rPr>
          <w:rFonts w:ascii="Book Antiqua" w:hAnsi="Book Antiqua"/>
          <w:sz w:val="24"/>
          <w:szCs w:val="24"/>
        </w:rPr>
        <w:t xml:space="preserve"> 2013; </w:t>
      </w:r>
      <w:r w:rsidRPr="00E96499">
        <w:rPr>
          <w:rFonts w:ascii="Book Antiqua" w:hAnsi="Book Antiqua"/>
          <w:b/>
          <w:sz w:val="24"/>
          <w:szCs w:val="24"/>
        </w:rPr>
        <w:t>19</w:t>
      </w:r>
      <w:r w:rsidRPr="00E96499">
        <w:rPr>
          <w:rFonts w:ascii="Book Antiqua" w:hAnsi="Book Antiqua"/>
          <w:sz w:val="24"/>
          <w:szCs w:val="24"/>
        </w:rPr>
        <w:t>: 4192-4199 [PMID: 23864783 DOI: 10.3748/wjg.v19.i26.4192]</w:t>
      </w:r>
    </w:p>
    <w:p w14:paraId="25ACE58B"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12 </w:t>
      </w:r>
      <w:r w:rsidRPr="00E96499">
        <w:rPr>
          <w:rFonts w:ascii="Book Antiqua" w:hAnsi="Book Antiqua"/>
          <w:b/>
          <w:sz w:val="24"/>
          <w:szCs w:val="24"/>
        </w:rPr>
        <w:t>Ginsburg M</w:t>
      </w:r>
      <w:r w:rsidRPr="00E96499">
        <w:rPr>
          <w:rFonts w:ascii="Book Antiqua" w:hAnsi="Book Antiqua"/>
          <w:sz w:val="24"/>
          <w:szCs w:val="24"/>
        </w:rPr>
        <w:t xml:space="preserve">, </w:t>
      </w:r>
      <w:proofErr w:type="spellStart"/>
      <w:r w:rsidRPr="00E96499">
        <w:rPr>
          <w:rFonts w:ascii="Book Antiqua" w:hAnsi="Book Antiqua"/>
          <w:sz w:val="24"/>
          <w:szCs w:val="24"/>
        </w:rPr>
        <w:t>Zivin</w:t>
      </w:r>
      <w:proofErr w:type="spellEnd"/>
      <w:r w:rsidRPr="00E96499">
        <w:rPr>
          <w:rFonts w:ascii="Book Antiqua" w:hAnsi="Book Antiqua"/>
          <w:sz w:val="24"/>
          <w:szCs w:val="24"/>
        </w:rPr>
        <w:t xml:space="preserve"> SP, </w:t>
      </w:r>
      <w:proofErr w:type="spellStart"/>
      <w:r w:rsidRPr="00E96499">
        <w:rPr>
          <w:rFonts w:ascii="Book Antiqua" w:hAnsi="Book Antiqua"/>
          <w:sz w:val="24"/>
          <w:szCs w:val="24"/>
        </w:rPr>
        <w:t>Wroblewski</w:t>
      </w:r>
      <w:proofErr w:type="spellEnd"/>
      <w:r w:rsidRPr="00E96499">
        <w:rPr>
          <w:rFonts w:ascii="Book Antiqua" w:hAnsi="Book Antiqua"/>
          <w:sz w:val="24"/>
          <w:szCs w:val="24"/>
        </w:rPr>
        <w:t xml:space="preserve"> K, Doshi T, </w:t>
      </w:r>
      <w:proofErr w:type="spellStart"/>
      <w:r w:rsidRPr="00E96499">
        <w:rPr>
          <w:rFonts w:ascii="Book Antiqua" w:hAnsi="Book Antiqua"/>
          <w:sz w:val="24"/>
          <w:szCs w:val="24"/>
        </w:rPr>
        <w:t>Vasnani</w:t>
      </w:r>
      <w:proofErr w:type="spellEnd"/>
      <w:r w:rsidRPr="00E96499">
        <w:rPr>
          <w:rFonts w:ascii="Book Antiqua" w:hAnsi="Book Antiqua"/>
          <w:sz w:val="24"/>
          <w:szCs w:val="24"/>
        </w:rPr>
        <w:t xml:space="preserve"> RJ, Van Ha TG. Comparison of combination therapies in the management of hepatocellular carcinoma: </w:t>
      </w:r>
      <w:proofErr w:type="spellStart"/>
      <w:r w:rsidRPr="00E96499">
        <w:rPr>
          <w:rFonts w:ascii="Book Antiqua" w:hAnsi="Book Antiqua"/>
          <w:sz w:val="24"/>
          <w:szCs w:val="24"/>
        </w:rPr>
        <w:t>transarterial</w:t>
      </w:r>
      <w:proofErr w:type="spellEnd"/>
      <w:r w:rsidRPr="00E96499">
        <w:rPr>
          <w:rFonts w:ascii="Book Antiqua" w:hAnsi="Book Antiqua"/>
          <w:sz w:val="24"/>
          <w:szCs w:val="24"/>
        </w:rPr>
        <w:t xml:space="preserve"> chemoembolization with radiofrequency ablation versus microwave ablation. </w:t>
      </w:r>
      <w:r w:rsidRPr="00E96499">
        <w:rPr>
          <w:rFonts w:ascii="Book Antiqua" w:hAnsi="Book Antiqua"/>
          <w:i/>
          <w:sz w:val="24"/>
          <w:szCs w:val="24"/>
        </w:rPr>
        <w:t xml:space="preserve">J </w:t>
      </w:r>
      <w:proofErr w:type="spellStart"/>
      <w:r w:rsidRPr="00E96499">
        <w:rPr>
          <w:rFonts w:ascii="Book Antiqua" w:hAnsi="Book Antiqua"/>
          <w:i/>
          <w:sz w:val="24"/>
          <w:szCs w:val="24"/>
        </w:rPr>
        <w:t>Vasc</w:t>
      </w:r>
      <w:proofErr w:type="spellEnd"/>
      <w:r w:rsidRPr="00E96499">
        <w:rPr>
          <w:rFonts w:ascii="Book Antiqua" w:hAnsi="Book Antiqua"/>
          <w:i/>
          <w:sz w:val="24"/>
          <w:szCs w:val="24"/>
        </w:rPr>
        <w:t xml:space="preserve"> </w:t>
      </w:r>
      <w:proofErr w:type="spellStart"/>
      <w:r w:rsidRPr="00E96499">
        <w:rPr>
          <w:rFonts w:ascii="Book Antiqua" w:hAnsi="Book Antiqua"/>
          <w:i/>
          <w:sz w:val="24"/>
          <w:szCs w:val="24"/>
        </w:rPr>
        <w:t>Interv</w:t>
      </w:r>
      <w:proofErr w:type="spellEnd"/>
      <w:r w:rsidRPr="00E96499">
        <w:rPr>
          <w:rFonts w:ascii="Book Antiqua" w:hAnsi="Book Antiqua"/>
          <w:i/>
          <w:sz w:val="24"/>
          <w:szCs w:val="24"/>
        </w:rPr>
        <w:t xml:space="preserve"> </w:t>
      </w:r>
      <w:proofErr w:type="spellStart"/>
      <w:r w:rsidRPr="00E96499">
        <w:rPr>
          <w:rFonts w:ascii="Book Antiqua" w:hAnsi="Book Antiqua"/>
          <w:i/>
          <w:sz w:val="24"/>
          <w:szCs w:val="24"/>
        </w:rPr>
        <w:t>Radiol</w:t>
      </w:r>
      <w:proofErr w:type="spellEnd"/>
      <w:r w:rsidRPr="00E96499">
        <w:rPr>
          <w:rFonts w:ascii="Book Antiqua" w:hAnsi="Book Antiqua"/>
          <w:sz w:val="24"/>
          <w:szCs w:val="24"/>
        </w:rPr>
        <w:t xml:space="preserve"> 2015; </w:t>
      </w:r>
      <w:r w:rsidRPr="00E96499">
        <w:rPr>
          <w:rFonts w:ascii="Book Antiqua" w:hAnsi="Book Antiqua"/>
          <w:b/>
          <w:sz w:val="24"/>
          <w:szCs w:val="24"/>
        </w:rPr>
        <w:t>26</w:t>
      </w:r>
      <w:r w:rsidRPr="00E96499">
        <w:rPr>
          <w:rFonts w:ascii="Book Antiqua" w:hAnsi="Book Antiqua"/>
          <w:sz w:val="24"/>
          <w:szCs w:val="24"/>
        </w:rPr>
        <w:t>: 330-341 [PMID: 25534635 DOI: 10.1016/j.jvir.2014.10.047]</w:t>
      </w:r>
    </w:p>
    <w:p w14:paraId="74EECB67" w14:textId="104351F5"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13 </w:t>
      </w:r>
      <w:r w:rsidRPr="00E96499">
        <w:rPr>
          <w:rFonts w:ascii="Book Antiqua" w:hAnsi="Book Antiqua"/>
          <w:b/>
          <w:sz w:val="24"/>
          <w:szCs w:val="24"/>
        </w:rPr>
        <w:t>Hou YF</w:t>
      </w:r>
      <w:r w:rsidRPr="00E96499">
        <w:rPr>
          <w:rFonts w:ascii="Book Antiqua" w:hAnsi="Book Antiqua"/>
          <w:sz w:val="24"/>
          <w:szCs w:val="24"/>
        </w:rPr>
        <w:t xml:space="preserve">, Wei YG, Yang JY, Wen TF, Xu MQ, Yan LN, Li B. Combined hepatectomy and radiofrequency ablation versus TACE in improving survival of patients with unresectable BCLC stage B HCC. </w:t>
      </w:r>
      <w:r w:rsidRPr="00E96499">
        <w:rPr>
          <w:rFonts w:ascii="Book Antiqua" w:hAnsi="Book Antiqua"/>
          <w:i/>
          <w:sz w:val="24"/>
          <w:szCs w:val="24"/>
        </w:rPr>
        <w:t xml:space="preserve">Hepatobiliary </w:t>
      </w:r>
      <w:proofErr w:type="spellStart"/>
      <w:r w:rsidRPr="00E96499">
        <w:rPr>
          <w:rFonts w:ascii="Book Antiqua" w:hAnsi="Book Antiqua"/>
          <w:i/>
          <w:sz w:val="24"/>
          <w:szCs w:val="24"/>
        </w:rPr>
        <w:t>Pancreat</w:t>
      </w:r>
      <w:proofErr w:type="spellEnd"/>
      <w:r w:rsidRPr="00E96499">
        <w:rPr>
          <w:rFonts w:ascii="Book Antiqua" w:hAnsi="Book Antiqua"/>
          <w:i/>
          <w:sz w:val="24"/>
          <w:szCs w:val="24"/>
        </w:rPr>
        <w:t xml:space="preserve"> Dis Int</w:t>
      </w:r>
      <w:r w:rsidRPr="00E96499">
        <w:rPr>
          <w:rFonts w:ascii="Book Antiqua" w:hAnsi="Book Antiqua"/>
          <w:sz w:val="24"/>
          <w:szCs w:val="24"/>
        </w:rPr>
        <w:t xml:space="preserve"> 2016; </w:t>
      </w:r>
      <w:r w:rsidRPr="00E96499">
        <w:rPr>
          <w:rFonts w:ascii="Book Antiqua" w:hAnsi="Book Antiqua"/>
          <w:b/>
          <w:sz w:val="24"/>
          <w:szCs w:val="24"/>
        </w:rPr>
        <w:t>15</w:t>
      </w:r>
      <w:r w:rsidRPr="00E96499">
        <w:rPr>
          <w:rFonts w:ascii="Book Antiqua" w:hAnsi="Book Antiqua"/>
          <w:sz w:val="24"/>
          <w:szCs w:val="24"/>
        </w:rPr>
        <w:t>: 378-385 [PMID: 27498577</w:t>
      </w:r>
      <w:r w:rsidR="008F63AB">
        <w:rPr>
          <w:rFonts w:ascii="Book Antiqua" w:hAnsi="Book Antiqua" w:hint="eastAsia"/>
          <w:sz w:val="24"/>
          <w:szCs w:val="24"/>
        </w:rPr>
        <w:t xml:space="preserve"> DOI: </w:t>
      </w:r>
      <w:r w:rsidR="008F63AB" w:rsidRPr="008F63AB">
        <w:rPr>
          <w:rFonts w:ascii="Book Antiqua" w:hAnsi="Book Antiqua"/>
          <w:sz w:val="24"/>
          <w:szCs w:val="24"/>
        </w:rPr>
        <w:t>10.1016/S1499-3872(16)60089-9</w:t>
      </w:r>
      <w:r w:rsidRPr="00E96499">
        <w:rPr>
          <w:rFonts w:ascii="Book Antiqua" w:hAnsi="Book Antiqua"/>
          <w:sz w:val="24"/>
          <w:szCs w:val="24"/>
        </w:rPr>
        <w:t>]</w:t>
      </w:r>
    </w:p>
    <w:p w14:paraId="07FE1A52"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14 </w:t>
      </w:r>
      <w:r w:rsidRPr="00E96499">
        <w:rPr>
          <w:rFonts w:ascii="Book Antiqua" w:hAnsi="Book Antiqua"/>
          <w:b/>
          <w:sz w:val="24"/>
          <w:szCs w:val="24"/>
        </w:rPr>
        <w:t>Choe WH</w:t>
      </w:r>
      <w:r w:rsidRPr="00E96499">
        <w:rPr>
          <w:rFonts w:ascii="Book Antiqua" w:hAnsi="Book Antiqua"/>
          <w:sz w:val="24"/>
          <w:szCs w:val="24"/>
        </w:rPr>
        <w:t xml:space="preserve">, Kim YJ, Park HS, Park SW, Kim JH, Kwon SY. Short-term interval combined chemoembolization and radiofrequency ablation for hepatocellular carcinoma. </w:t>
      </w:r>
      <w:r w:rsidRPr="00E96499">
        <w:rPr>
          <w:rFonts w:ascii="Book Antiqua" w:hAnsi="Book Antiqua"/>
          <w:i/>
          <w:sz w:val="24"/>
          <w:szCs w:val="24"/>
        </w:rPr>
        <w:t>World J Gastroenterol</w:t>
      </w:r>
      <w:r w:rsidRPr="00E96499">
        <w:rPr>
          <w:rFonts w:ascii="Book Antiqua" w:hAnsi="Book Antiqua"/>
          <w:sz w:val="24"/>
          <w:szCs w:val="24"/>
        </w:rPr>
        <w:t xml:space="preserve"> 2014; </w:t>
      </w:r>
      <w:r w:rsidRPr="00E96499">
        <w:rPr>
          <w:rFonts w:ascii="Book Antiqua" w:hAnsi="Book Antiqua"/>
          <w:b/>
          <w:sz w:val="24"/>
          <w:szCs w:val="24"/>
        </w:rPr>
        <w:t>20</w:t>
      </w:r>
      <w:r w:rsidRPr="00E96499">
        <w:rPr>
          <w:rFonts w:ascii="Book Antiqua" w:hAnsi="Book Antiqua"/>
          <w:sz w:val="24"/>
          <w:szCs w:val="24"/>
        </w:rPr>
        <w:t>: 12588-12594 [PMID: 25253962 DOI: 10.3748/wjg.v20.i35.12588]</w:t>
      </w:r>
    </w:p>
    <w:p w14:paraId="3A445E7B"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15 </w:t>
      </w:r>
      <w:proofErr w:type="spellStart"/>
      <w:r w:rsidRPr="00E96499">
        <w:rPr>
          <w:rFonts w:ascii="Book Antiqua" w:hAnsi="Book Antiqua"/>
          <w:b/>
          <w:sz w:val="24"/>
          <w:szCs w:val="24"/>
        </w:rPr>
        <w:t>Gadaleta</w:t>
      </w:r>
      <w:proofErr w:type="spellEnd"/>
      <w:r w:rsidRPr="00E96499">
        <w:rPr>
          <w:rFonts w:ascii="Book Antiqua" w:hAnsi="Book Antiqua"/>
          <w:b/>
          <w:sz w:val="24"/>
          <w:szCs w:val="24"/>
        </w:rPr>
        <w:t xml:space="preserve"> C</w:t>
      </w:r>
      <w:r w:rsidRPr="00E96499">
        <w:rPr>
          <w:rFonts w:ascii="Book Antiqua" w:hAnsi="Book Antiqua"/>
          <w:sz w:val="24"/>
          <w:szCs w:val="24"/>
        </w:rPr>
        <w:t xml:space="preserve">, </w:t>
      </w:r>
      <w:proofErr w:type="spellStart"/>
      <w:r w:rsidRPr="00E96499">
        <w:rPr>
          <w:rFonts w:ascii="Book Antiqua" w:hAnsi="Book Antiqua"/>
          <w:sz w:val="24"/>
          <w:szCs w:val="24"/>
        </w:rPr>
        <w:t>Catino</w:t>
      </w:r>
      <w:proofErr w:type="spellEnd"/>
      <w:r w:rsidRPr="00E96499">
        <w:rPr>
          <w:rFonts w:ascii="Book Antiqua" w:hAnsi="Book Antiqua"/>
          <w:sz w:val="24"/>
          <w:szCs w:val="24"/>
        </w:rPr>
        <w:t xml:space="preserve"> A, Ranieri G, Fazio V, </w:t>
      </w:r>
      <w:proofErr w:type="spellStart"/>
      <w:r w:rsidRPr="00E96499">
        <w:rPr>
          <w:rFonts w:ascii="Book Antiqua" w:hAnsi="Book Antiqua"/>
          <w:sz w:val="24"/>
          <w:szCs w:val="24"/>
        </w:rPr>
        <w:t>Gadaleta-Caldarola</w:t>
      </w:r>
      <w:proofErr w:type="spellEnd"/>
      <w:r w:rsidRPr="00E96499">
        <w:rPr>
          <w:rFonts w:ascii="Book Antiqua" w:hAnsi="Book Antiqua"/>
          <w:sz w:val="24"/>
          <w:szCs w:val="24"/>
        </w:rPr>
        <w:t xml:space="preserve"> G, </w:t>
      </w:r>
      <w:proofErr w:type="spellStart"/>
      <w:r w:rsidRPr="00E96499">
        <w:rPr>
          <w:rFonts w:ascii="Book Antiqua" w:hAnsi="Book Antiqua"/>
          <w:sz w:val="24"/>
          <w:szCs w:val="24"/>
        </w:rPr>
        <w:lastRenderedPageBreak/>
        <w:t>Cramarossa</w:t>
      </w:r>
      <w:proofErr w:type="spellEnd"/>
      <w:r w:rsidRPr="00E96499">
        <w:rPr>
          <w:rFonts w:ascii="Book Antiqua" w:hAnsi="Book Antiqua"/>
          <w:sz w:val="24"/>
          <w:szCs w:val="24"/>
        </w:rPr>
        <w:t xml:space="preserve"> A, </w:t>
      </w:r>
      <w:proofErr w:type="spellStart"/>
      <w:r w:rsidRPr="00E96499">
        <w:rPr>
          <w:rFonts w:ascii="Book Antiqua" w:hAnsi="Book Antiqua"/>
          <w:sz w:val="24"/>
          <w:szCs w:val="24"/>
        </w:rPr>
        <w:t>Armenise</w:t>
      </w:r>
      <w:proofErr w:type="spellEnd"/>
      <w:r w:rsidRPr="00E96499">
        <w:rPr>
          <w:rFonts w:ascii="Book Antiqua" w:hAnsi="Book Antiqua"/>
          <w:sz w:val="24"/>
          <w:szCs w:val="24"/>
        </w:rPr>
        <w:t xml:space="preserve"> F, </w:t>
      </w:r>
      <w:proofErr w:type="spellStart"/>
      <w:r w:rsidRPr="00E96499">
        <w:rPr>
          <w:rFonts w:ascii="Book Antiqua" w:hAnsi="Book Antiqua"/>
          <w:sz w:val="24"/>
          <w:szCs w:val="24"/>
        </w:rPr>
        <w:t>Canniello</w:t>
      </w:r>
      <w:proofErr w:type="spellEnd"/>
      <w:r w:rsidRPr="00E96499">
        <w:rPr>
          <w:rFonts w:ascii="Book Antiqua" w:hAnsi="Book Antiqua"/>
          <w:sz w:val="24"/>
          <w:szCs w:val="24"/>
        </w:rPr>
        <w:t xml:space="preserve"> E, </w:t>
      </w:r>
      <w:proofErr w:type="spellStart"/>
      <w:r w:rsidRPr="00E96499">
        <w:rPr>
          <w:rFonts w:ascii="Book Antiqua" w:hAnsi="Book Antiqua"/>
          <w:sz w:val="24"/>
          <w:szCs w:val="24"/>
        </w:rPr>
        <w:t>Vinciarelli</w:t>
      </w:r>
      <w:proofErr w:type="spellEnd"/>
      <w:r w:rsidRPr="00E96499">
        <w:rPr>
          <w:rFonts w:ascii="Book Antiqua" w:hAnsi="Book Antiqua"/>
          <w:sz w:val="24"/>
          <w:szCs w:val="24"/>
        </w:rPr>
        <w:t xml:space="preserve"> G, </w:t>
      </w:r>
      <w:proofErr w:type="spellStart"/>
      <w:r w:rsidRPr="00E96499">
        <w:rPr>
          <w:rFonts w:ascii="Book Antiqua" w:hAnsi="Book Antiqua"/>
          <w:sz w:val="24"/>
          <w:szCs w:val="24"/>
        </w:rPr>
        <w:t>Laricchia</w:t>
      </w:r>
      <w:proofErr w:type="spellEnd"/>
      <w:r w:rsidRPr="00E96499">
        <w:rPr>
          <w:rFonts w:ascii="Book Antiqua" w:hAnsi="Book Antiqua"/>
          <w:sz w:val="24"/>
          <w:szCs w:val="24"/>
        </w:rPr>
        <w:t xml:space="preserve"> G, Mattioli V. Single-step therapy -- feasibility and safety of simultaneous </w:t>
      </w:r>
      <w:proofErr w:type="spellStart"/>
      <w:r w:rsidRPr="00E96499">
        <w:rPr>
          <w:rFonts w:ascii="Book Antiqua" w:hAnsi="Book Antiqua"/>
          <w:sz w:val="24"/>
          <w:szCs w:val="24"/>
        </w:rPr>
        <w:t>transarterial</w:t>
      </w:r>
      <w:proofErr w:type="spellEnd"/>
      <w:r w:rsidRPr="00E96499">
        <w:rPr>
          <w:rFonts w:ascii="Book Antiqua" w:hAnsi="Book Antiqua"/>
          <w:sz w:val="24"/>
          <w:szCs w:val="24"/>
        </w:rPr>
        <w:t xml:space="preserve"> chemoembolization and radiofrequency ablation for hepatic malignancies. </w:t>
      </w:r>
      <w:r w:rsidRPr="00E96499">
        <w:rPr>
          <w:rFonts w:ascii="Book Antiqua" w:hAnsi="Book Antiqua"/>
          <w:i/>
          <w:sz w:val="24"/>
          <w:szCs w:val="24"/>
        </w:rPr>
        <w:t>In Vivo</w:t>
      </w:r>
      <w:r w:rsidRPr="00E96499">
        <w:rPr>
          <w:rFonts w:ascii="Book Antiqua" w:hAnsi="Book Antiqua"/>
          <w:sz w:val="24"/>
          <w:szCs w:val="24"/>
        </w:rPr>
        <w:t xml:space="preserve"> 2009; </w:t>
      </w:r>
      <w:r w:rsidRPr="00E96499">
        <w:rPr>
          <w:rFonts w:ascii="Book Antiqua" w:hAnsi="Book Antiqua"/>
          <w:b/>
          <w:sz w:val="24"/>
          <w:szCs w:val="24"/>
        </w:rPr>
        <w:t>23</w:t>
      </w:r>
      <w:r w:rsidRPr="00E96499">
        <w:rPr>
          <w:rFonts w:ascii="Book Antiqua" w:hAnsi="Book Antiqua"/>
          <w:sz w:val="24"/>
          <w:szCs w:val="24"/>
        </w:rPr>
        <w:t>: 813-820 [PMID: 19779117]</w:t>
      </w:r>
    </w:p>
    <w:p w14:paraId="6BE97257"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16 </w:t>
      </w:r>
      <w:r w:rsidRPr="00E96499">
        <w:rPr>
          <w:rFonts w:ascii="Book Antiqua" w:hAnsi="Book Antiqua"/>
          <w:b/>
          <w:sz w:val="24"/>
          <w:szCs w:val="24"/>
        </w:rPr>
        <w:t>Shibata T</w:t>
      </w:r>
      <w:r w:rsidRPr="00E96499">
        <w:rPr>
          <w:rFonts w:ascii="Book Antiqua" w:hAnsi="Book Antiqua"/>
          <w:sz w:val="24"/>
          <w:szCs w:val="24"/>
        </w:rPr>
        <w:t xml:space="preserve">, Shibata T, </w:t>
      </w:r>
      <w:proofErr w:type="spellStart"/>
      <w:r w:rsidRPr="00E96499">
        <w:rPr>
          <w:rFonts w:ascii="Book Antiqua" w:hAnsi="Book Antiqua"/>
          <w:sz w:val="24"/>
          <w:szCs w:val="24"/>
        </w:rPr>
        <w:t>Maetani</w:t>
      </w:r>
      <w:proofErr w:type="spellEnd"/>
      <w:r w:rsidRPr="00E96499">
        <w:rPr>
          <w:rFonts w:ascii="Book Antiqua" w:hAnsi="Book Antiqua"/>
          <w:sz w:val="24"/>
          <w:szCs w:val="24"/>
        </w:rPr>
        <w:t xml:space="preserve"> Y, Kubo T, Itoh K, </w:t>
      </w:r>
      <w:proofErr w:type="spellStart"/>
      <w:r w:rsidRPr="00E96499">
        <w:rPr>
          <w:rFonts w:ascii="Book Antiqua" w:hAnsi="Book Antiqua"/>
          <w:sz w:val="24"/>
          <w:szCs w:val="24"/>
        </w:rPr>
        <w:t>Togashi</w:t>
      </w:r>
      <w:proofErr w:type="spellEnd"/>
      <w:r w:rsidRPr="00E96499">
        <w:rPr>
          <w:rFonts w:ascii="Book Antiqua" w:hAnsi="Book Antiqua"/>
          <w:sz w:val="24"/>
          <w:szCs w:val="24"/>
        </w:rPr>
        <w:t xml:space="preserve"> K, </w:t>
      </w:r>
      <w:proofErr w:type="spellStart"/>
      <w:r w:rsidRPr="00E96499">
        <w:rPr>
          <w:rFonts w:ascii="Book Antiqua" w:hAnsi="Book Antiqua"/>
          <w:sz w:val="24"/>
          <w:szCs w:val="24"/>
        </w:rPr>
        <w:t>Hiraoka</w:t>
      </w:r>
      <w:proofErr w:type="spellEnd"/>
      <w:r w:rsidRPr="00E96499">
        <w:rPr>
          <w:rFonts w:ascii="Book Antiqua" w:hAnsi="Book Antiqua"/>
          <w:sz w:val="24"/>
          <w:szCs w:val="24"/>
        </w:rPr>
        <w:t xml:space="preserve"> M. Transthoracic percutaneous radiofrequency ablation for liver tumors in the hepatic dome. </w:t>
      </w:r>
      <w:r w:rsidRPr="00E96499">
        <w:rPr>
          <w:rFonts w:ascii="Book Antiqua" w:hAnsi="Book Antiqua"/>
          <w:i/>
          <w:sz w:val="24"/>
          <w:szCs w:val="24"/>
        </w:rPr>
        <w:t xml:space="preserve">J </w:t>
      </w:r>
      <w:proofErr w:type="spellStart"/>
      <w:r w:rsidRPr="00E96499">
        <w:rPr>
          <w:rFonts w:ascii="Book Antiqua" w:hAnsi="Book Antiqua"/>
          <w:i/>
          <w:sz w:val="24"/>
          <w:szCs w:val="24"/>
        </w:rPr>
        <w:t>Vasc</w:t>
      </w:r>
      <w:proofErr w:type="spellEnd"/>
      <w:r w:rsidRPr="00E96499">
        <w:rPr>
          <w:rFonts w:ascii="Book Antiqua" w:hAnsi="Book Antiqua"/>
          <w:i/>
          <w:sz w:val="24"/>
          <w:szCs w:val="24"/>
        </w:rPr>
        <w:t xml:space="preserve"> </w:t>
      </w:r>
      <w:proofErr w:type="spellStart"/>
      <w:r w:rsidRPr="00E96499">
        <w:rPr>
          <w:rFonts w:ascii="Book Antiqua" w:hAnsi="Book Antiqua"/>
          <w:i/>
          <w:sz w:val="24"/>
          <w:szCs w:val="24"/>
        </w:rPr>
        <w:t>Interv</w:t>
      </w:r>
      <w:proofErr w:type="spellEnd"/>
      <w:r w:rsidRPr="00E96499">
        <w:rPr>
          <w:rFonts w:ascii="Book Antiqua" w:hAnsi="Book Antiqua"/>
          <w:i/>
          <w:sz w:val="24"/>
          <w:szCs w:val="24"/>
        </w:rPr>
        <w:t xml:space="preserve"> </w:t>
      </w:r>
      <w:proofErr w:type="spellStart"/>
      <w:r w:rsidRPr="00E96499">
        <w:rPr>
          <w:rFonts w:ascii="Book Antiqua" w:hAnsi="Book Antiqua"/>
          <w:i/>
          <w:sz w:val="24"/>
          <w:szCs w:val="24"/>
        </w:rPr>
        <w:t>Radiol</w:t>
      </w:r>
      <w:proofErr w:type="spellEnd"/>
      <w:r w:rsidRPr="00E96499">
        <w:rPr>
          <w:rFonts w:ascii="Book Antiqua" w:hAnsi="Book Antiqua"/>
          <w:sz w:val="24"/>
          <w:szCs w:val="24"/>
        </w:rPr>
        <w:t xml:space="preserve"> 2004; </w:t>
      </w:r>
      <w:r w:rsidRPr="00E96499">
        <w:rPr>
          <w:rFonts w:ascii="Book Antiqua" w:hAnsi="Book Antiqua"/>
          <w:b/>
          <w:sz w:val="24"/>
          <w:szCs w:val="24"/>
        </w:rPr>
        <w:t>15</w:t>
      </w:r>
      <w:r w:rsidRPr="00E96499">
        <w:rPr>
          <w:rFonts w:ascii="Book Antiqua" w:hAnsi="Book Antiqua"/>
          <w:sz w:val="24"/>
          <w:szCs w:val="24"/>
        </w:rPr>
        <w:t>: 1323-1327 [PMID: 15525754 DOI: 10.1097/01.RVI.0000132297.97113.C4]</w:t>
      </w:r>
    </w:p>
    <w:p w14:paraId="75D475C1" w14:textId="483C009B"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17 </w:t>
      </w:r>
      <w:r w:rsidRPr="00E96499">
        <w:rPr>
          <w:rFonts w:ascii="Book Antiqua" w:hAnsi="Book Antiqua"/>
          <w:b/>
          <w:sz w:val="24"/>
          <w:szCs w:val="24"/>
        </w:rPr>
        <w:t>Kato T</w:t>
      </w:r>
      <w:r w:rsidRPr="00E96499">
        <w:rPr>
          <w:rFonts w:ascii="Book Antiqua" w:hAnsi="Book Antiqua"/>
          <w:sz w:val="24"/>
          <w:szCs w:val="24"/>
        </w:rPr>
        <w:t xml:space="preserve">, </w:t>
      </w:r>
      <w:proofErr w:type="spellStart"/>
      <w:r w:rsidRPr="00E96499">
        <w:rPr>
          <w:rFonts w:ascii="Book Antiqua" w:hAnsi="Book Antiqua"/>
          <w:sz w:val="24"/>
          <w:szCs w:val="24"/>
        </w:rPr>
        <w:t>Yamagami</w:t>
      </w:r>
      <w:proofErr w:type="spellEnd"/>
      <w:r w:rsidRPr="00E96499">
        <w:rPr>
          <w:rFonts w:ascii="Book Antiqua" w:hAnsi="Book Antiqua"/>
          <w:sz w:val="24"/>
          <w:szCs w:val="24"/>
        </w:rPr>
        <w:t xml:space="preserve"> T, </w:t>
      </w:r>
      <w:proofErr w:type="spellStart"/>
      <w:r w:rsidRPr="00E96499">
        <w:rPr>
          <w:rFonts w:ascii="Book Antiqua" w:hAnsi="Book Antiqua"/>
          <w:sz w:val="24"/>
          <w:szCs w:val="24"/>
        </w:rPr>
        <w:t>Hirota</w:t>
      </w:r>
      <w:proofErr w:type="spellEnd"/>
      <w:r w:rsidRPr="00E96499">
        <w:rPr>
          <w:rFonts w:ascii="Book Antiqua" w:hAnsi="Book Antiqua"/>
          <w:sz w:val="24"/>
          <w:szCs w:val="24"/>
        </w:rPr>
        <w:t xml:space="preserve"> T, Matsumoto T, Yoshimatsu R, Nishimura T. Transpulmonary radiofrequency ablation for hepatocellular carcinoma under real-time computed tomography-fluoroscopic guidance. </w:t>
      </w:r>
      <w:proofErr w:type="spellStart"/>
      <w:r w:rsidRPr="00E96499">
        <w:rPr>
          <w:rFonts w:ascii="Book Antiqua" w:hAnsi="Book Antiqua"/>
          <w:i/>
          <w:sz w:val="24"/>
          <w:szCs w:val="24"/>
        </w:rPr>
        <w:t>Hepatogastroenterology</w:t>
      </w:r>
      <w:proofErr w:type="spellEnd"/>
      <w:r w:rsidR="006A0B05">
        <w:rPr>
          <w:rFonts w:ascii="Book Antiqua" w:hAnsi="Book Antiqua"/>
          <w:sz w:val="24"/>
          <w:szCs w:val="24"/>
        </w:rPr>
        <w:t xml:space="preserve"> </w:t>
      </w:r>
      <w:r w:rsidRPr="00E96499">
        <w:rPr>
          <w:rFonts w:ascii="Book Antiqua" w:hAnsi="Book Antiqua"/>
          <w:sz w:val="24"/>
          <w:szCs w:val="24"/>
        </w:rPr>
        <w:t xml:space="preserve">2008; </w:t>
      </w:r>
      <w:r w:rsidRPr="00E96499">
        <w:rPr>
          <w:rFonts w:ascii="Book Antiqua" w:hAnsi="Book Antiqua"/>
          <w:b/>
          <w:sz w:val="24"/>
          <w:szCs w:val="24"/>
        </w:rPr>
        <w:t>55</w:t>
      </w:r>
      <w:r w:rsidRPr="00E96499">
        <w:rPr>
          <w:rFonts w:ascii="Book Antiqua" w:hAnsi="Book Antiqua"/>
          <w:sz w:val="24"/>
          <w:szCs w:val="24"/>
        </w:rPr>
        <w:t>: 1450-1453 [PMID: 18795709]</w:t>
      </w:r>
    </w:p>
    <w:p w14:paraId="72B65A95"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18 </w:t>
      </w:r>
      <w:r w:rsidRPr="00E96499">
        <w:rPr>
          <w:rFonts w:ascii="Book Antiqua" w:hAnsi="Book Antiqua"/>
          <w:b/>
          <w:sz w:val="24"/>
          <w:szCs w:val="24"/>
        </w:rPr>
        <w:t>Tamai T</w:t>
      </w:r>
      <w:r w:rsidRPr="00E96499">
        <w:rPr>
          <w:rFonts w:ascii="Book Antiqua" w:hAnsi="Book Antiqua"/>
          <w:sz w:val="24"/>
          <w:szCs w:val="24"/>
        </w:rPr>
        <w:t xml:space="preserve">, </w:t>
      </w:r>
      <w:proofErr w:type="spellStart"/>
      <w:r w:rsidRPr="00E96499">
        <w:rPr>
          <w:rFonts w:ascii="Book Antiqua" w:hAnsi="Book Antiqua"/>
          <w:sz w:val="24"/>
          <w:szCs w:val="24"/>
        </w:rPr>
        <w:t>Oshige</w:t>
      </w:r>
      <w:proofErr w:type="spellEnd"/>
      <w:r w:rsidRPr="00E96499">
        <w:rPr>
          <w:rFonts w:ascii="Book Antiqua" w:hAnsi="Book Antiqua"/>
          <w:sz w:val="24"/>
          <w:szCs w:val="24"/>
        </w:rPr>
        <w:t xml:space="preserve"> A, </w:t>
      </w:r>
      <w:proofErr w:type="spellStart"/>
      <w:r w:rsidRPr="00E96499">
        <w:rPr>
          <w:rFonts w:ascii="Book Antiqua" w:hAnsi="Book Antiqua"/>
          <w:sz w:val="24"/>
          <w:szCs w:val="24"/>
        </w:rPr>
        <w:t>Tabu</w:t>
      </w:r>
      <w:proofErr w:type="spellEnd"/>
      <w:r w:rsidRPr="00E96499">
        <w:rPr>
          <w:rFonts w:ascii="Book Antiqua" w:hAnsi="Book Antiqua"/>
          <w:sz w:val="24"/>
          <w:szCs w:val="24"/>
        </w:rPr>
        <w:t xml:space="preserve"> K, </w:t>
      </w:r>
      <w:proofErr w:type="spellStart"/>
      <w:r w:rsidRPr="00E96499">
        <w:rPr>
          <w:rFonts w:ascii="Book Antiqua" w:hAnsi="Book Antiqua"/>
          <w:sz w:val="24"/>
          <w:szCs w:val="24"/>
        </w:rPr>
        <w:t>Tabu</w:t>
      </w:r>
      <w:proofErr w:type="spellEnd"/>
      <w:r w:rsidRPr="00E96499">
        <w:rPr>
          <w:rFonts w:ascii="Book Antiqua" w:hAnsi="Book Antiqua"/>
          <w:sz w:val="24"/>
          <w:szCs w:val="24"/>
        </w:rPr>
        <w:t xml:space="preserve"> E, </w:t>
      </w:r>
      <w:proofErr w:type="spellStart"/>
      <w:r w:rsidRPr="00E96499">
        <w:rPr>
          <w:rFonts w:ascii="Book Antiqua" w:hAnsi="Book Antiqua"/>
          <w:sz w:val="24"/>
          <w:szCs w:val="24"/>
        </w:rPr>
        <w:t>Ijyuin</w:t>
      </w:r>
      <w:proofErr w:type="spellEnd"/>
      <w:r w:rsidRPr="00E96499">
        <w:rPr>
          <w:rFonts w:ascii="Book Antiqua" w:hAnsi="Book Antiqua"/>
          <w:sz w:val="24"/>
          <w:szCs w:val="24"/>
        </w:rPr>
        <w:t xml:space="preserve"> S, Sakae H, </w:t>
      </w:r>
      <w:proofErr w:type="spellStart"/>
      <w:r w:rsidRPr="00E96499">
        <w:rPr>
          <w:rFonts w:ascii="Book Antiqua" w:hAnsi="Book Antiqua"/>
          <w:sz w:val="24"/>
          <w:szCs w:val="24"/>
        </w:rPr>
        <w:t>Onishi</w:t>
      </w:r>
      <w:proofErr w:type="spellEnd"/>
      <w:r w:rsidRPr="00E96499">
        <w:rPr>
          <w:rFonts w:ascii="Book Antiqua" w:hAnsi="Book Antiqua"/>
          <w:sz w:val="24"/>
          <w:szCs w:val="24"/>
        </w:rPr>
        <w:t xml:space="preserve"> H, </w:t>
      </w:r>
      <w:proofErr w:type="spellStart"/>
      <w:r w:rsidRPr="00E96499">
        <w:rPr>
          <w:rFonts w:ascii="Book Antiqua" w:hAnsi="Book Antiqua"/>
          <w:sz w:val="24"/>
          <w:szCs w:val="24"/>
        </w:rPr>
        <w:t>Muromachi</w:t>
      </w:r>
      <w:proofErr w:type="spellEnd"/>
      <w:r w:rsidRPr="00E96499">
        <w:rPr>
          <w:rFonts w:ascii="Book Antiqua" w:hAnsi="Book Antiqua"/>
          <w:sz w:val="24"/>
          <w:szCs w:val="24"/>
        </w:rPr>
        <w:t xml:space="preserve"> K, </w:t>
      </w:r>
      <w:proofErr w:type="spellStart"/>
      <w:r w:rsidRPr="00E96499">
        <w:rPr>
          <w:rFonts w:ascii="Book Antiqua" w:hAnsi="Book Antiqua"/>
          <w:sz w:val="24"/>
          <w:szCs w:val="24"/>
        </w:rPr>
        <w:t>Saisyoji</w:t>
      </w:r>
      <w:proofErr w:type="spellEnd"/>
      <w:r w:rsidRPr="00E96499">
        <w:rPr>
          <w:rFonts w:ascii="Book Antiqua" w:hAnsi="Book Antiqua"/>
          <w:sz w:val="24"/>
          <w:szCs w:val="24"/>
        </w:rPr>
        <w:t xml:space="preserve"> A, Oda K, </w:t>
      </w:r>
      <w:proofErr w:type="spellStart"/>
      <w:r w:rsidRPr="00E96499">
        <w:rPr>
          <w:rFonts w:ascii="Book Antiqua" w:hAnsi="Book Antiqua"/>
          <w:sz w:val="24"/>
          <w:szCs w:val="24"/>
        </w:rPr>
        <w:t>Kumagai</w:t>
      </w:r>
      <w:proofErr w:type="spellEnd"/>
      <w:r w:rsidRPr="00E96499">
        <w:rPr>
          <w:rFonts w:ascii="Book Antiqua" w:hAnsi="Book Antiqua"/>
          <w:sz w:val="24"/>
          <w:szCs w:val="24"/>
        </w:rPr>
        <w:t xml:space="preserve"> K, </w:t>
      </w:r>
      <w:proofErr w:type="spellStart"/>
      <w:r w:rsidRPr="00E96499">
        <w:rPr>
          <w:rFonts w:ascii="Book Antiqua" w:hAnsi="Book Antiqua"/>
          <w:sz w:val="24"/>
          <w:szCs w:val="24"/>
        </w:rPr>
        <w:t>Mawatari</w:t>
      </w:r>
      <w:proofErr w:type="spellEnd"/>
      <w:r w:rsidRPr="00E96499">
        <w:rPr>
          <w:rFonts w:ascii="Book Antiqua" w:hAnsi="Book Antiqua"/>
          <w:sz w:val="24"/>
          <w:szCs w:val="24"/>
        </w:rPr>
        <w:t xml:space="preserve"> S, </w:t>
      </w:r>
      <w:proofErr w:type="spellStart"/>
      <w:r w:rsidRPr="00E96499">
        <w:rPr>
          <w:rFonts w:ascii="Book Antiqua" w:hAnsi="Book Antiqua"/>
          <w:sz w:val="24"/>
          <w:szCs w:val="24"/>
        </w:rPr>
        <w:t>Moriuchi</w:t>
      </w:r>
      <w:proofErr w:type="spellEnd"/>
      <w:r w:rsidRPr="00E96499">
        <w:rPr>
          <w:rFonts w:ascii="Book Antiqua" w:hAnsi="Book Antiqua"/>
          <w:sz w:val="24"/>
          <w:szCs w:val="24"/>
        </w:rPr>
        <w:t xml:space="preserve"> A, Sakurai K, Hori T, </w:t>
      </w:r>
      <w:proofErr w:type="spellStart"/>
      <w:r w:rsidRPr="00E96499">
        <w:rPr>
          <w:rFonts w:ascii="Book Antiqua" w:hAnsi="Book Antiqua"/>
          <w:sz w:val="24"/>
          <w:szCs w:val="24"/>
        </w:rPr>
        <w:t>Ido</w:t>
      </w:r>
      <w:proofErr w:type="spellEnd"/>
      <w:r w:rsidRPr="00E96499">
        <w:rPr>
          <w:rFonts w:ascii="Book Antiqua" w:hAnsi="Book Antiqua"/>
          <w:sz w:val="24"/>
          <w:szCs w:val="24"/>
        </w:rPr>
        <w:t xml:space="preserve"> A. Utility of percutaneous radiofrequency ablation alone or combined with </w:t>
      </w:r>
      <w:proofErr w:type="spellStart"/>
      <w:r w:rsidRPr="00E96499">
        <w:rPr>
          <w:rFonts w:ascii="Book Antiqua" w:hAnsi="Book Antiqua"/>
          <w:sz w:val="24"/>
          <w:szCs w:val="24"/>
        </w:rPr>
        <w:t>transarterial</w:t>
      </w:r>
      <w:proofErr w:type="spellEnd"/>
      <w:r w:rsidRPr="00E96499">
        <w:rPr>
          <w:rFonts w:ascii="Book Antiqua" w:hAnsi="Book Antiqua"/>
          <w:sz w:val="24"/>
          <w:szCs w:val="24"/>
        </w:rPr>
        <w:t xml:space="preserve"> chemoembolization for early hepatocellular carcinoma. </w:t>
      </w:r>
      <w:r w:rsidRPr="00E96499">
        <w:rPr>
          <w:rFonts w:ascii="Book Antiqua" w:hAnsi="Book Antiqua"/>
          <w:i/>
          <w:sz w:val="24"/>
          <w:szCs w:val="24"/>
        </w:rPr>
        <w:t>Oncol Lett</w:t>
      </w:r>
      <w:r w:rsidRPr="00E96499">
        <w:rPr>
          <w:rFonts w:ascii="Book Antiqua" w:hAnsi="Book Antiqua"/>
          <w:sz w:val="24"/>
          <w:szCs w:val="24"/>
        </w:rPr>
        <w:t xml:space="preserve"> 2017; </w:t>
      </w:r>
      <w:r w:rsidRPr="00E96499">
        <w:rPr>
          <w:rFonts w:ascii="Book Antiqua" w:hAnsi="Book Antiqua"/>
          <w:b/>
          <w:sz w:val="24"/>
          <w:szCs w:val="24"/>
        </w:rPr>
        <w:t>14</w:t>
      </w:r>
      <w:r w:rsidRPr="00E96499">
        <w:rPr>
          <w:rFonts w:ascii="Book Antiqua" w:hAnsi="Book Antiqua"/>
          <w:sz w:val="24"/>
          <w:szCs w:val="24"/>
        </w:rPr>
        <w:t>: 3199-3206 [PMID: 28927066 DOI: 10.3892/ol.2017.6476]</w:t>
      </w:r>
    </w:p>
    <w:p w14:paraId="58BDEE81"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19 </w:t>
      </w:r>
      <w:proofErr w:type="spellStart"/>
      <w:r w:rsidRPr="00E96499">
        <w:rPr>
          <w:rFonts w:ascii="Book Antiqua" w:hAnsi="Book Antiqua"/>
          <w:b/>
          <w:sz w:val="24"/>
          <w:szCs w:val="24"/>
        </w:rPr>
        <w:t>Bholee</w:t>
      </w:r>
      <w:proofErr w:type="spellEnd"/>
      <w:r w:rsidRPr="00E96499">
        <w:rPr>
          <w:rFonts w:ascii="Book Antiqua" w:hAnsi="Book Antiqua"/>
          <w:b/>
          <w:sz w:val="24"/>
          <w:szCs w:val="24"/>
        </w:rPr>
        <w:t xml:space="preserve"> AK</w:t>
      </w:r>
      <w:r w:rsidRPr="00E96499">
        <w:rPr>
          <w:rFonts w:ascii="Book Antiqua" w:hAnsi="Book Antiqua"/>
          <w:sz w:val="24"/>
          <w:szCs w:val="24"/>
        </w:rPr>
        <w:t xml:space="preserve">, Peng K, Zhou Z, Chen J, Xu L, Zhang Y, Chen M. Radiofrequency ablation combined with </w:t>
      </w:r>
      <w:proofErr w:type="spellStart"/>
      <w:r w:rsidRPr="00E96499">
        <w:rPr>
          <w:rFonts w:ascii="Book Antiqua" w:hAnsi="Book Antiqua"/>
          <w:sz w:val="24"/>
          <w:szCs w:val="24"/>
        </w:rPr>
        <w:t>transarterial</w:t>
      </w:r>
      <w:proofErr w:type="spellEnd"/>
      <w:r w:rsidRPr="00E96499">
        <w:rPr>
          <w:rFonts w:ascii="Book Antiqua" w:hAnsi="Book Antiqua"/>
          <w:sz w:val="24"/>
          <w:szCs w:val="24"/>
        </w:rPr>
        <w:t xml:space="preserve"> chemoembolization versus hepatectomy for patients with hepatocellular carcinoma within Milan criteria: a retrospective case-control study. </w:t>
      </w:r>
      <w:r w:rsidRPr="00E96499">
        <w:rPr>
          <w:rFonts w:ascii="Book Antiqua" w:hAnsi="Book Antiqua"/>
          <w:i/>
          <w:sz w:val="24"/>
          <w:szCs w:val="24"/>
        </w:rPr>
        <w:t xml:space="preserve">Clin </w:t>
      </w:r>
      <w:proofErr w:type="spellStart"/>
      <w:r w:rsidRPr="00E96499">
        <w:rPr>
          <w:rFonts w:ascii="Book Antiqua" w:hAnsi="Book Antiqua"/>
          <w:i/>
          <w:sz w:val="24"/>
          <w:szCs w:val="24"/>
        </w:rPr>
        <w:t>Transl</w:t>
      </w:r>
      <w:proofErr w:type="spellEnd"/>
      <w:r w:rsidRPr="00E96499">
        <w:rPr>
          <w:rFonts w:ascii="Book Antiqua" w:hAnsi="Book Antiqua"/>
          <w:i/>
          <w:sz w:val="24"/>
          <w:szCs w:val="24"/>
        </w:rPr>
        <w:t xml:space="preserve"> Oncol</w:t>
      </w:r>
      <w:r w:rsidRPr="00E96499">
        <w:rPr>
          <w:rFonts w:ascii="Book Antiqua" w:hAnsi="Book Antiqua"/>
          <w:sz w:val="24"/>
          <w:szCs w:val="24"/>
        </w:rPr>
        <w:t xml:space="preserve"> 2017; </w:t>
      </w:r>
      <w:r w:rsidRPr="00E96499">
        <w:rPr>
          <w:rFonts w:ascii="Book Antiqua" w:hAnsi="Book Antiqua"/>
          <w:b/>
          <w:sz w:val="24"/>
          <w:szCs w:val="24"/>
        </w:rPr>
        <w:t>19</w:t>
      </w:r>
      <w:r w:rsidRPr="00E96499">
        <w:rPr>
          <w:rFonts w:ascii="Book Antiqua" w:hAnsi="Book Antiqua"/>
          <w:sz w:val="24"/>
          <w:szCs w:val="24"/>
        </w:rPr>
        <w:t>: 844-852 [PMID: 28070766 DOI: 10.1007/s12094-016-1611-0]</w:t>
      </w:r>
    </w:p>
    <w:p w14:paraId="0973A5C1" w14:textId="77777777" w:rsidR="00E96499" w:rsidRPr="00E96499" w:rsidRDefault="00E96499" w:rsidP="00E96499">
      <w:pPr>
        <w:adjustRightInd w:val="0"/>
        <w:snapToGrid w:val="0"/>
        <w:spacing w:line="360" w:lineRule="auto"/>
        <w:rPr>
          <w:rFonts w:ascii="Book Antiqua" w:hAnsi="Book Antiqua"/>
          <w:sz w:val="24"/>
          <w:szCs w:val="24"/>
        </w:rPr>
      </w:pPr>
      <w:r w:rsidRPr="00E96499">
        <w:rPr>
          <w:rFonts w:ascii="Book Antiqua" w:hAnsi="Book Antiqua"/>
          <w:sz w:val="24"/>
          <w:szCs w:val="24"/>
        </w:rPr>
        <w:t xml:space="preserve">20 </w:t>
      </w:r>
      <w:r w:rsidRPr="00E96499">
        <w:rPr>
          <w:rFonts w:ascii="Book Antiqua" w:hAnsi="Book Antiqua"/>
          <w:b/>
          <w:sz w:val="24"/>
          <w:szCs w:val="24"/>
        </w:rPr>
        <w:t>Chen L</w:t>
      </w:r>
      <w:r w:rsidRPr="00E96499">
        <w:rPr>
          <w:rFonts w:ascii="Book Antiqua" w:hAnsi="Book Antiqua"/>
          <w:sz w:val="24"/>
          <w:szCs w:val="24"/>
        </w:rPr>
        <w:t xml:space="preserve">, Sun J, Yang X. Radiofrequency ablation-combined </w:t>
      </w:r>
      <w:proofErr w:type="spellStart"/>
      <w:r w:rsidRPr="00E96499">
        <w:rPr>
          <w:rFonts w:ascii="Book Antiqua" w:hAnsi="Book Antiqua"/>
          <w:sz w:val="24"/>
          <w:szCs w:val="24"/>
        </w:rPr>
        <w:t>multimodel</w:t>
      </w:r>
      <w:proofErr w:type="spellEnd"/>
      <w:r w:rsidRPr="00E96499">
        <w:rPr>
          <w:rFonts w:ascii="Book Antiqua" w:hAnsi="Book Antiqua"/>
          <w:sz w:val="24"/>
          <w:szCs w:val="24"/>
        </w:rPr>
        <w:t xml:space="preserve"> therapies for hepatocellular carcinoma: Current status. </w:t>
      </w:r>
      <w:r w:rsidRPr="00E96499">
        <w:rPr>
          <w:rFonts w:ascii="Book Antiqua" w:hAnsi="Book Antiqua"/>
          <w:i/>
          <w:sz w:val="24"/>
          <w:szCs w:val="24"/>
        </w:rPr>
        <w:t>Cancer Lett</w:t>
      </w:r>
      <w:r w:rsidRPr="00E96499">
        <w:rPr>
          <w:rFonts w:ascii="Book Antiqua" w:hAnsi="Book Antiqua"/>
          <w:sz w:val="24"/>
          <w:szCs w:val="24"/>
        </w:rPr>
        <w:t xml:space="preserve"> 2016; </w:t>
      </w:r>
      <w:r w:rsidRPr="00E96499">
        <w:rPr>
          <w:rFonts w:ascii="Book Antiqua" w:hAnsi="Book Antiqua"/>
          <w:b/>
          <w:sz w:val="24"/>
          <w:szCs w:val="24"/>
        </w:rPr>
        <w:t>370</w:t>
      </w:r>
      <w:r w:rsidRPr="00E96499">
        <w:rPr>
          <w:rFonts w:ascii="Book Antiqua" w:hAnsi="Book Antiqua"/>
          <w:sz w:val="24"/>
          <w:szCs w:val="24"/>
        </w:rPr>
        <w:t>: 78-84 [PMID: 26472630 DOI: 10.1016/j.canlet.2015.09.020]</w:t>
      </w:r>
    </w:p>
    <w:p w14:paraId="1A15C750" w14:textId="77777777" w:rsidR="007D6393" w:rsidRDefault="007D6393" w:rsidP="009E01B5">
      <w:pPr>
        <w:suppressAutoHyphens/>
        <w:adjustRightInd w:val="0"/>
        <w:snapToGrid w:val="0"/>
        <w:spacing w:line="360" w:lineRule="auto"/>
        <w:jc w:val="right"/>
        <w:rPr>
          <w:rFonts w:ascii="Book Antiqua" w:eastAsia="Lucida Sans Unicode" w:hAnsi="Book Antiqua" w:cs="Arial"/>
          <w:b/>
          <w:noProof/>
          <w:sz w:val="24"/>
          <w:szCs w:val="24"/>
          <w:lang w:val="it-IT" w:eastAsia="hi-IN" w:bidi="hi-IN"/>
        </w:rPr>
      </w:pPr>
    </w:p>
    <w:p w14:paraId="54B89ADF" w14:textId="420A240C" w:rsidR="00334504" w:rsidRPr="00E96499" w:rsidRDefault="00334504" w:rsidP="009E01B5">
      <w:pPr>
        <w:suppressAutoHyphens/>
        <w:adjustRightInd w:val="0"/>
        <w:snapToGrid w:val="0"/>
        <w:spacing w:line="360" w:lineRule="auto"/>
        <w:jc w:val="right"/>
        <w:rPr>
          <w:rFonts w:ascii="Book Antiqua" w:hAnsi="Book Antiqua" w:cs="Mangal"/>
          <w:b/>
          <w:bCs/>
          <w:sz w:val="24"/>
          <w:szCs w:val="24"/>
          <w:lang w:val="it-IT" w:bidi="hi-IN"/>
        </w:rPr>
      </w:pPr>
      <w:r w:rsidRPr="00E96499">
        <w:rPr>
          <w:rFonts w:ascii="Book Antiqua" w:eastAsia="Lucida Sans Unicode" w:hAnsi="Book Antiqua" w:cs="Arial"/>
          <w:b/>
          <w:noProof/>
          <w:sz w:val="24"/>
          <w:szCs w:val="24"/>
          <w:lang w:val="it-IT" w:eastAsia="hi-IN" w:bidi="hi-IN"/>
        </w:rPr>
        <w:t>P-Reviewer</w:t>
      </w:r>
      <w:r w:rsidRPr="00E96499">
        <w:rPr>
          <w:rFonts w:ascii="Book Antiqua" w:hAnsi="Book Antiqua" w:cs="Arial"/>
          <w:b/>
          <w:noProof/>
          <w:sz w:val="24"/>
          <w:szCs w:val="24"/>
          <w:lang w:val="it-IT" w:bidi="hi-IN"/>
        </w:rPr>
        <w:t>:</w:t>
      </w:r>
      <w:r w:rsidRPr="00E96499">
        <w:rPr>
          <w:rFonts w:ascii="Book Antiqua" w:hAnsi="Book Antiqua"/>
          <w:sz w:val="24"/>
          <w:szCs w:val="24"/>
        </w:rPr>
        <w:t xml:space="preserve"> </w:t>
      </w:r>
      <w:proofErr w:type="spellStart"/>
      <w:r w:rsidR="001847AD" w:rsidRPr="00E96499">
        <w:rPr>
          <w:rFonts w:ascii="Book Antiqua" w:hAnsi="Book Antiqua"/>
          <w:sz w:val="24"/>
          <w:szCs w:val="24"/>
        </w:rPr>
        <w:t>Alsina</w:t>
      </w:r>
      <w:proofErr w:type="spellEnd"/>
      <w:r w:rsidR="001847AD" w:rsidRPr="00E96499">
        <w:rPr>
          <w:rFonts w:ascii="Book Antiqua" w:hAnsi="Book Antiqua"/>
          <w:sz w:val="24"/>
          <w:szCs w:val="24"/>
        </w:rPr>
        <w:t xml:space="preserve"> A, Mathur A, Ko E</w:t>
      </w:r>
      <w:r w:rsidRPr="00E96499">
        <w:rPr>
          <w:rFonts w:ascii="Book Antiqua" w:hAnsi="Book Antiqua"/>
          <w:sz w:val="24"/>
          <w:szCs w:val="24"/>
        </w:rPr>
        <w:t xml:space="preserve"> </w:t>
      </w:r>
      <w:r w:rsidRPr="00E96499">
        <w:rPr>
          <w:rFonts w:ascii="Book Antiqua" w:eastAsia="Lucida Sans Unicode" w:hAnsi="Book Antiqua" w:cs="Mangal"/>
          <w:b/>
          <w:bCs/>
          <w:sz w:val="24"/>
          <w:szCs w:val="24"/>
          <w:lang w:val="it-IT" w:eastAsia="hi-IN" w:bidi="hi-IN"/>
        </w:rPr>
        <w:t>S-Editor</w:t>
      </w:r>
      <w:r w:rsidRPr="00E96499">
        <w:rPr>
          <w:rFonts w:ascii="Book Antiqua" w:hAnsi="Book Antiqua" w:cs="Mangal"/>
          <w:b/>
          <w:bCs/>
          <w:sz w:val="24"/>
          <w:szCs w:val="24"/>
          <w:lang w:val="it-IT" w:bidi="hi-IN"/>
        </w:rPr>
        <w:t>:</w:t>
      </w:r>
      <w:r w:rsidRPr="00E96499">
        <w:rPr>
          <w:rFonts w:ascii="Book Antiqua" w:eastAsia="Lucida Sans Unicode" w:hAnsi="Book Antiqua" w:cs="Mangal"/>
          <w:bCs/>
          <w:sz w:val="24"/>
          <w:szCs w:val="24"/>
          <w:lang w:val="it-IT" w:eastAsia="hi-IN" w:bidi="hi-IN"/>
        </w:rPr>
        <w:t xml:space="preserve"> </w:t>
      </w:r>
      <w:r w:rsidRPr="00E96499">
        <w:rPr>
          <w:rFonts w:ascii="Book Antiqua" w:hAnsi="Book Antiqua" w:cs="Mangal"/>
          <w:bCs/>
          <w:sz w:val="24"/>
          <w:szCs w:val="24"/>
          <w:lang w:val="it-IT" w:bidi="hi-IN"/>
        </w:rPr>
        <w:t>Wang JL</w:t>
      </w:r>
      <w:r w:rsidRPr="00E96499">
        <w:rPr>
          <w:rFonts w:ascii="Book Antiqua" w:eastAsia="Lucida Sans Unicode" w:hAnsi="Book Antiqua" w:cs="Mangal"/>
          <w:b/>
          <w:bCs/>
          <w:sz w:val="24"/>
          <w:szCs w:val="24"/>
          <w:lang w:val="it-IT" w:eastAsia="hi-IN" w:bidi="hi-IN"/>
        </w:rPr>
        <w:t xml:space="preserve"> L-Editor</w:t>
      </w:r>
      <w:r w:rsidRPr="00E96499">
        <w:rPr>
          <w:rFonts w:ascii="Book Antiqua" w:hAnsi="Book Antiqua" w:cs="Mangal"/>
          <w:b/>
          <w:bCs/>
          <w:sz w:val="24"/>
          <w:szCs w:val="24"/>
          <w:lang w:val="it-IT" w:bidi="hi-IN"/>
        </w:rPr>
        <w:t>:</w:t>
      </w:r>
      <w:r w:rsidRPr="00E96499">
        <w:rPr>
          <w:rFonts w:ascii="Book Antiqua" w:eastAsia="Lucida Sans Unicode" w:hAnsi="Book Antiqua" w:cs="Mangal"/>
          <w:b/>
          <w:bCs/>
          <w:sz w:val="24"/>
          <w:szCs w:val="24"/>
          <w:lang w:val="it-IT" w:eastAsia="hi-IN" w:bidi="hi-IN"/>
        </w:rPr>
        <w:t xml:space="preserve"> E-Editor</w:t>
      </w:r>
      <w:r w:rsidRPr="00E96499">
        <w:rPr>
          <w:rFonts w:ascii="Book Antiqua" w:hAnsi="Book Antiqua" w:cs="Mangal"/>
          <w:b/>
          <w:bCs/>
          <w:sz w:val="24"/>
          <w:szCs w:val="24"/>
          <w:lang w:val="it-IT" w:bidi="hi-IN"/>
        </w:rPr>
        <w:t>:</w:t>
      </w:r>
    </w:p>
    <w:p w14:paraId="288AC8C9" w14:textId="77777777" w:rsidR="007D6393" w:rsidRDefault="007D6393" w:rsidP="00E96499">
      <w:pPr>
        <w:shd w:val="clear" w:color="auto" w:fill="FFFFFF"/>
        <w:adjustRightInd w:val="0"/>
        <w:snapToGrid w:val="0"/>
        <w:spacing w:line="360" w:lineRule="auto"/>
        <w:rPr>
          <w:rFonts w:ascii="Book Antiqua" w:hAnsi="Book Antiqua" w:cs="Helvetica"/>
          <w:b/>
          <w:sz w:val="24"/>
          <w:szCs w:val="24"/>
        </w:rPr>
      </w:pPr>
    </w:p>
    <w:p w14:paraId="0EAB6FE1" w14:textId="508C1191" w:rsidR="00334504" w:rsidRPr="00E96499" w:rsidRDefault="00334504" w:rsidP="00E96499">
      <w:pPr>
        <w:shd w:val="clear" w:color="auto" w:fill="FFFFFF"/>
        <w:adjustRightInd w:val="0"/>
        <w:snapToGrid w:val="0"/>
        <w:spacing w:line="360" w:lineRule="auto"/>
        <w:rPr>
          <w:rFonts w:ascii="Book Antiqua" w:hAnsi="Book Antiqua" w:cs="Helvetica"/>
          <w:b/>
          <w:sz w:val="24"/>
          <w:szCs w:val="24"/>
        </w:rPr>
      </w:pPr>
      <w:r w:rsidRPr="00E96499">
        <w:rPr>
          <w:rFonts w:ascii="Book Antiqua" w:hAnsi="Book Antiqua" w:cs="Helvetica"/>
          <w:b/>
          <w:sz w:val="24"/>
          <w:szCs w:val="24"/>
        </w:rPr>
        <w:t xml:space="preserve">Specialty type: </w:t>
      </w:r>
      <w:r w:rsidRPr="00E96499">
        <w:rPr>
          <w:rFonts w:ascii="Book Antiqua" w:eastAsia="Microsoft YaHei" w:hAnsi="Book Antiqua" w:cs="SimSun"/>
          <w:kern w:val="0"/>
          <w:sz w:val="24"/>
          <w:szCs w:val="24"/>
        </w:rPr>
        <w:t>Oncology</w:t>
      </w:r>
    </w:p>
    <w:p w14:paraId="61EFB8BE" w14:textId="77777777" w:rsidR="00334504" w:rsidRPr="00E96499" w:rsidRDefault="00334504" w:rsidP="00E96499">
      <w:pPr>
        <w:shd w:val="clear" w:color="auto" w:fill="FFFFFF"/>
        <w:adjustRightInd w:val="0"/>
        <w:snapToGrid w:val="0"/>
        <w:spacing w:line="360" w:lineRule="auto"/>
        <w:rPr>
          <w:rFonts w:ascii="Book Antiqua" w:hAnsi="Book Antiqua" w:cs="Helvetica"/>
          <w:b/>
          <w:sz w:val="24"/>
          <w:szCs w:val="24"/>
        </w:rPr>
      </w:pPr>
      <w:r w:rsidRPr="00E96499">
        <w:rPr>
          <w:rFonts w:ascii="Book Antiqua" w:hAnsi="Book Antiqua" w:cs="Helvetica"/>
          <w:b/>
          <w:sz w:val="24"/>
          <w:szCs w:val="24"/>
        </w:rPr>
        <w:t xml:space="preserve">Country of origin: </w:t>
      </w:r>
      <w:r w:rsidRPr="00E96499">
        <w:rPr>
          <w:rFonts w:ascii="Book Antiqua" w:hAnsi="Book Antiqua" w:cs="Helvetica"/>
          <w:bCs/>
          <w:sz w:val="24"/>
          <w:szCs w:val="24"/>
        </w:rPr>
        <w:t>China</w:t>
      </w:r>
    </w:p>
    <w:p w14:paraId="448F3F18" w14:textId="77777777" w:rsidR="00334504" w:rsidRPr="00E96499" w:rsidRDefault="00334504" w:rsidP="00E96499">
      <w:pPr>
        <w:shd w:val="clear" w:color="auto" w:fill="FFFFFF"/>
        <w:adjustRightInd w:val="0"/>
        <w:snapToGrid w:val="0"/>
        <w:spacing w:line="360" w:lineRule="auto"/>
        <w:rPr>
          <w:rFonts w:ascii="Book Antiqua" w:hAnsi="Book Antiqua" w:cs="Helvetica"/>
          <w:b/>
          <w:sz w:val="24"/>
          <w:szCs w:val="24"/>
        </w:rPr>
      </w:pPr>
      <w:r w:rsidRPr="00E96499">
        <w:rPr>
          <w:rFonts w:ascii="Book Antiqua" w:hAnsi="Book Antiqua" w:cs="Helvetica"/>
          <w:b/>
          <w:sz w:val="24"/>
          <w:szCs w:val="24"/>
        </w:rPr>
        <w:t>Peer-review report classification</w:t>
      </w:r>
    </w:p>
    <w:p w14:paraId="46744F0A" w14:textId="75CC1511" w:rsidR="00334504" w:rsidRPr="00E96499" w:rsidRDefault="001847AD" w:rsidP="00E96499">
      <w:pPr>
        <w:shd w:val="clear" w:color="auto" w:fill="FFFFFF"/>
        <w:adjustRightInd w:val="0"/>
        <w:snapToGrid w:val="0"/>
        <w:spacing w:line="360" w:lineRule="auto"/>
        <w:rPr>
          <w:rFonts w:ascii="Book Antiqua" w:hAnsi="Book Antiqua" w:cs="Helvetica"/>
          <w:sz w:val="24"/>
          <w:szCs w:val="24"/>
        </w:rPr>
      </w:pPr>
      <w:r w:rsidRPr="00E96499">
        <w:rPr>
          <w:rFonts w:ascii="Book Antiqua" w:hAnsi="Book Antiqua" w:cs="Helvetica"/>
          <w:sz w:val="24"/>
          <w:szCs w:val="24"/>
        </w:rPr>
        <w:t>Grade A (Excellent): A</w:t>
      </w:r>
    </w:p>
    <w:p w14:paraId="77090BDF" w14:textId="39C21D6E" w:rsidR="00334504" w:rsidRPr="00E96499" w:rsidRDefault="001847AD" w:rsidP="00E96499">
      <w:pPr>
        <w:shd w:val="clear" w:color="auto" w:fill="FFFFFF"/>
        <w:adjustRightInd w:val="0"/>
        <w:snapToGrid w:val="0"/>
        <w:spacing w:line="360" w:lineRule="auto"/>
        <w:rPr>
          <w:rFonts w:ascii="Book Antiqua" w:hAnsi="Book Antiqua" w:cs="Helvetica"/>
          <w:sz w:val="24"/>
          <w:szCs w:val="24"/>
        </w:rPr>
      </w:pPr>
      <w:r w:rsidRPr="00E96499">
        <w:rPr>
          <w:rFonts w:ascii="Book Antiqua" w:hAnsi="Book Antiqua" w:cs="Helvetica"/>
          <w:sz w:val="24"/>
          <w:szCs w:val="24"/>
        </w:rPr>
        <w:lastRenderedPageBreak/>
        <w:t>Grade B (Very good): B, B</w:t>
      </w:r>
    </w:p>
    <w:p w14:paraId="311950AA" w14:textId="77777777" w:rsidR="00334504" w:rsidRPr="00E96499" w:rsidRDefault="00334504" w:rsidP="00E96499">
      <w:pPr>
        <w:shd w:val="clear" w:color="auto" w:fill="FFFFFF"/>
        <w:adjustRightInd w:val="0"/>
        <w:snapToGrid w:val="0"/>
        <w:spacing w:line="360" w:lineRule="auto"/>
        <w:rPr>
          <w:rFonts w:ascii="Book Antiqua" w:hAnsi="Book Antiqua" w:cs="Helvetica"/>
          <w:sz w:val="24"/>
          <w:szCs w:val="24"/>
        </w:rPr>
      </w:pPr>
      <w:r w:rsidRPr="00E96499">
        <w:rPr>
          <w:rFonts w:ascii="Book Antiqua" w:hAnsi="Book Antiqua" w:cs="Helvetica"/>
          <w:sz w:val="24"/>
          <w:szCs w:val="24"/>
        </w:rPr>
        <w:t>Grade C (Good): 0</w:t>
      </w:r>
    </w:p>
    <w:p w14:paraId="33385DC1" w14:textId="77777777" w:rsidR="00334504" w:rsidRPr="00E96499" w:rsidRDefault="00334504" w:rsidP="00E96499">
      <w:pPr>
        <w:shd w:val="clear" w:color="auto" w:fill="FFFFFF"/>
        <w:adjustRightInd w:val="0"/>
        <w:snapToGrid w:val="0"/>
        <w:spacing w:line="360" w:lineRule="auto"/>
        <w:rPr>
          <w:rFonts w:ascii="Book Antiqua" w:hAnsi="Book Antiqua" w:cs="Helvetica"/>
          <w:sz w:val="24"/>
          <w:szCs w:val="24"/>
        </w:rPr>
      </w:pPr>
      <w:r w:rsidRPr="00E96499">
        <w:rPr>
          <w:rFonts w:ascii="Book Antiqua" w:hAnsi="Book Antiqua" w:cs="Helvetica"/>
          <w:sz w:val="24"/>
          <w:szCs w:val="24"/>
        </w:rPr>
        <w:t xml:space="preserve">Grade D (Fair): </w:t>
      </w:r>
      <w:bookmarkEnd w:id="12"/>
      <w:bookmarkEnd w:id="13"/>
      <w:r w:rsidRPr="00E96499">
        <w:rPr>
          <w:rFonts w:ascii="Book Antiqua" w:hAnsi="Book Antiqua" w:cs="Helvetica"/>
          <w:sz w:val="24"/>
          <w:szCs w:val="24"/>
        </w:rPr>
        <w:t>0</w:t>
      </w:r>
    </w:p>
    <w:p w14:paraId="14718058" w14:textId="77777777" w:rsidR="00334504" w:rsidRPr="00E96499" w:rsidRDefault="00334504" w:rsidP="00E96499">
      <w:pPr>
        <w:shd w:val="clear" w:color="auto" w:fill="FFFFFF"/>
        <w:adjustRightInd w:val="0"/>
        <w:snapToGrid w:val="0"/>
        <w:spacing w:line="360" w:lineRule="auto"/>
        <w:rPr>
          <w:rFonts w:ascii="Book Antiqua" w:hAnsi="Book Antiqua" w:cs="Helvetica"/>
          <w:sz w:val="24"/>
          <w:szCs w:val="24"/>
          <w:lang w:val="de-DE"/>
        </w:rPr>
      </w:pPr>
      <w:r w:rsidRPr="00E96499">
        <w:rPr>
          <w:rFonts w:ascii="Book Antiqua" w:hAnsi="Book Antiqua" w:cs="Helvetica"/>
          <w:sz w:val="24"/>
          <w:szCs w:val="24"/>
        </w:rPr>
        <w:t>Grade E (Poor): 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59D9EAD" w14:textId="77777777" w:rsidR="003357F5" w:rsidRPr="00474499" w:rsidRDefault="003357F5" w:rsidP="00E96499">
      <w:pPr>
        <w:adjustRightInd w:val="0"/>
        <w:snapToGrid w:val="0"/>
        <w:spacing w:line="360" w:lineRule="auto"/>
        <w:rPr>
          <w:rFonts w:ascii="Book Antiqua" w:hAnsi="Book Antiqua" w:cs="TimesNewRoman"/>
          <w:b/>
          <w:bCs/>
          <w:color w:val="000000"/>
          <w:kern w:val="0"/>
          <w:sz w:val="24"/>
          <w:szCs w:val="24"/>
        </w:rPr>
      </w:pPr>
    </w:p>
    <w:p w14:paraId="2E95FEC8" w14:textId="778142E8" w:rsidR="003357F5" w:rsidRPr="00474499" w:rsidRDefault="003357F5" w:rsidP="00E96499">
      <w:pPr>
        <w:adjustRightInd w:val="0"/>
        <w:snapToGrid w:val="0"/>
        <w:spacing w:line="360" w:lineRule="auto"/>
        <w:rPr>
          <w:rFonts w:ascii="Book Antiqua" w:hAnsi="Book Antiqua"/>
          <w:b/>
          <w:color w:val="000000"/>
          <w:sz w:val="24"/>
          <w:szCs w:val="24"/>
          <w:lang w:val="en-GB"/>
        </w:rPr>
      </w:pPr>
      <w:r w:rsidRPr="00474499">
        <w:rPr>
          <w:rFonts w:ascii="Book Antiqua" w:hAnsi="Book Antiqua"/>
          <w:bCs/>
          <w:color w:val="000000"/>
          <w:sz w:val="24"/>
          <w:szCs w:val="24"/>
        </w:rPr>
        <w:br w:type="page"/>
      </w:r>
      <w:r w:rsidRPr="00474499">
        <w:rPr>
          <w:rFonts w:ascii="Book Antiqua" w:hAnsi="Book Antiqua"/>
          <w:b/>
          <w:color w:val="000000"/>
          <w:sz w:val="24"/>
          <w:szCs w:val="24"/>
          <w:lang w:val="en-GB"/>
        </w:rPr>
        <w:lastRenderedPageBreak/>
        <w:t>Table 1 Baseline characteristi</w:t>
      </w:r>
      <w:r w:rsidR="00116BF7" w:rsidRPr="00474499">
        <w:rPr>
          <w:rFonts w:ascii="Book Antiqua" w:hAnsi="Book Antiqua"/>
          <w:b/>
          <w:color w:val="000000"/>
          <w:sz w:val="24"/>
          <w:szCs w:val="24"/>
          <w:lang w:val="en-GB"/>
        </w:rPr>
        <w:t>cs of patients before treatment</w:t>
      </w:r>
    </w:p>
    <w:tbl>
      <w:tblPr>
        <w:tblpPr w:leftFromText="180" w:rightFromText="180" w:vertAnchor="text" w:tblpY="1"/>
        <w:tblOverlap w:val="never"/>
        <w:tblW w:w="8617" w:type="dxa"/>
        <w:tblBorders>
          <w:top w:val="single" w:sz="4" w:space="0" w:color="auto"/>
          <w:bottom w:val="single" w:sz="4" w:space="0" w:color="auto"/>
        </w:tblBorders>
        <w:tblLayout w:type="fixed"/>
        <w:tblLook w:val="00A0" w:firstRow="1" w:lastRow="0" w:firstColumn="1" w:lastColumn="0" w:noHBand="0" w:noVBand="0"/>
      </w:tblPr>
      <w:tblGrid>
        <w:gridCol w:w="5102"/>
        <w:gridCol w:w="3515"/>
      </w:tblGrid>
      <w:tr w:rsidR="00E43532" w:rsidRPr="00474499" w14:paraId="27A5653A" w14:textId="77777777" w:rsidTr="00BC5596">
        <w:trPr>
          <w:trHeight w:val="20"/>
        </w:trPr>
        <w:tc>
          <w:tcPr>
            <w:tcW w:w="5102" w:type="dxa"/>
            <w:tcBorders>
              <w:top w:val="single" w:sz="4" w:space="0" w:color="auto"/>
              <w:bottom w:val="single" w:sz="4" w:space="0" w:color="auto"/>
            </w:tcBorders>
            <w:vAlign w:val="center"/>
          </w:tcPr>
          <w:p w14:paraId="4B5C0DC8" w14:textId="77777777" w:rsidR="003357F5" w:rsidRPr="00474499" w:rsidRDefault="003357F5" w:rsidP="00E96499">
            <w:pPr>
              <w:adjustRightInd w:val="0"/>
              <w:snapToGrid w:val="0"/>
              <w:spacing w:line="360" w:lineRule="auto"/>
              <w:rPr>
                <w:rFonts w:ascii="Book Antiqua" w:hAnsi="Book Antiqua"/>
                <w:b/>
                <w:bCs/>
                <w:color w:val="000000"/>
                <w:sz w:val="24"/>
                <w:szCs w:val="24"/>
                <w:lang w:val="en-GB"/>
              </w:rPr>
            </w:pPr>
            <w:r w:rsidRPr="00474499">
              <w:rPr>
                <w:rFonts w:ascii="Book Antiqua" w:hAnsi="Book Antiqua"/>
                <w:b/>
                <w:color w:val="000000"/>
                <w:sz w:val="24"/>
                <w:szCs w:val="24"/>
              </w:rPr>
              <w:t>Characteristics</w:t>
            </w:r>
          </w:p>
        </w:tc>
        <w:tc>
          <w:tcPr>
            <w:tcW w:w="3515" w:type="dxa"/>
            <w:tcBorders>
              <w:top w:val="single" w:sz="4" w:space="0" w:color="auto"/>
              <w:bottom w:val="single" w:sz="4" w:space="0" w:color="auto"/>
            </w:tcBorders>
            <w:vAlign w:val="center"/>
          </w:tcPr>
          <w:p w14:paraId="2589844E" w14:textId="77777777" w:rsidR="003357F5" w:rsidRPr="00474499" w:rsidRDefault="003357F5" w:rsidP="00E96499">
            <w:pPr>
              <w:adjustRightInd w:val="0"/>
              <w:snapToGrid w:val="0"/>
              <w:spacing w:line="360" w:lineRule="auto"/>
              <w:rPr>
                <w:rFonts w:ascii="Book Antiqua" w:hAnsi="Book Antiqua"/>
                <w:b/>
                <w:color w:val="000000"/>
                <w:sz w:val="24"/>
                <w:szCs w:val="24"/>
              </w:rPr>
            </w:pPr>
            <w:r w:rsidRPr="00474499">
              <w:rPr>
                <w:rFonts w:ascii="Book Antiqua" w:hAnsi="Book Antiqua"/>
                <w:b/>
                <w:color w:val="000000"/>
                <w:sz w:val="24"/>
                <w:szCs w:val="24"/>
              </w:rPr>
              <w:t>Before treatment</w:t>
            </w:r>
          </w:p>
        </w:tc>
      </w:tr>
      <w:tr w:rsidR="00E43532" w:rsidRPr="00474499" w14:paraId="50E3F735" w14:textId="77777777" w:rsidTr="00BC5596">
        <w:trPr>
          <w:trHeight w:val="403"/>
        </w:trPr>
        <w:tc>
          <w:tcPr>
            <w:tcW w:w="5102" w:type="dxa"/>
            <w:tcBorders>
              <w:top w:val="single" w:sz="4" w:space="0" w:color="auto"/>
            </w:tcBorders>
            <w:vAlign w:val="center"/>
          </w:tcPr>
          <w:p w14:paraId="091C4690"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Sex, M/F</w:t>
            </w:r>
          </w:p>
        </w:tc>
        <w:tc>
          <w:tcPr>
            <w:tcW w:w="3515" w:type="dxa"/>
            <w:tcBorders>
              <w:top w:val="single" w:sz="4" w:space="0" w:color="auto"/>
            </w:tcBorders>
            <w:vAlign w:val="center"/>
          </w:tcPr>
          <w:p w14:paraId="1CCBC8D3"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42/4</w:t>
            </w:r>
          </w:p>
        </w:tc>
      </w:tr>
      <w:tr w:rsidR="00E43532" w:rsidRPr="00474499" w14:paraId="3A9DAE56" w14:textId="77777777" w:rsidTr="00BC5596">
        <w:trPr>
          <w:trHeight w:val="20"/>
        </w:trPr>
        <w:tc>
          <w:tcPr>
            <w:tcW w:w="5102" w:type="dxa"/>
            <w:vAlign w:val="center"/>
          </w:tcPr>
          <w:p w14:paraId="548F7AB4" w14:textId="06703C10" w:rsidR="003357F5" w:rsidRPr="00474499" w:rsidRDefault="00C53294" w:rsidP="00E96499">
            <w:pPr>
              <w:adjustRightInd w:val="0"/>
              <w:snapToGrid w:val="0"/>
              <w:spacing w:line="360" w:lineRule="auto"/>
              <w:rPr>
                <w:rFonts w:ascii="Book Antiqua" w:hAnsi="Book Antiqua"/>
                <w:b/>
                <w:color w:val="000000"/>
                <w:sz w:val="24"/>
                <w:szCs w:val="24"/>
                <w:lang w:val="en-GB"/>
              </w:rPr>
            </w:pPr>
            <w:r w:rsidRPr="00474499">
              <w:rPr>
                <w:rFonts w:ascii="Book Antiqua" w:hAnsi="Book Antiqua"/>
                <w:color w:val="000000"/>
                <w:sz w:val="24"/>
                <w:szCs w:val="24"/>
                <w:lang w:val="en-GB"/>
              </w:rPr>
              <w:t xml:space="preserve">Age, </w:t>
            </w:r>
            <w:proofErr w:type="spellStart"/>
            <w:r w:rsidRPr="00474499">
              <w:rPr>
                <w:rFonts w:ascii="Book Antiqua" w:hAnsi="Book Antiqua"/>
                <w:color w:val="000000"/>
                <w:sz w:val="24"/>
                <w:szCs w:val="24"/>
                <w:lang w:val="en-GB"/>
              </w:rPr>
              <w:t>yr</w:t>
            </w:r>
            <w:proofErr w:type="spellEnd"/>
            <w:r w:rsidR="003357F5" w:rsidRPr="00474499">
              <w:rPr>
                <w:rFonts w:ascii="Book Antiqua" w:hAnsi="Book Antiqua"/>
                <w:color w:val="000000"/>
                <w:sz w:val="24"/>
                <w:szCs w:val="24"/>
                <w:lang w:val="en-GB"/>
              </w:rPr>
              <w:t>, median (range)</w:t>
            </w:r>
          </w:p>
        </w:tc>
        <w:tc>
          <w:tcPr>
            <w:tcW w:w="3515" w:type="dxa"/>
            <w:vAlign w:val="center"/>
          </w:tcPr>
          <w:p w14:paraId="1F632C0D"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53.5 (36-70)</w:t>
            </w:r>
          </w:p>
        </w:tc>
      </w:tr>
      <w:tr w:rsidR="00E43532" w:rsidRPr="00474499" w14:paraId="4C4CFF72" w14:textId="77777777" w:rsidTr="00BC5596">
        <w:trPr>
          <w:trHeight w:val="20"/>
        </w:trPr>
        <w:tc>
          <w:tcPr>
            <w:tcW w:w="5102" w:type="dxa"/>
            <w:vAlign w:val="center"/>
          </w:tcPr>
          <w:p w14:paraId="4E35FB3F" w14:textId="6E6AFEBF"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BCLC stage B/C</w:t>
            </w:r>
            <w:r w:rsidRPr="00474499">
              <w:rPr>
                <w:rFonts w:ascii="Book Antiqua" w:hAnsi="Book Antiqua"/>
                <w:color w:val="000000"/>
                <w:sz w:val="24"/>
                <w:szCs w:val="24"/>
                <w:vertAlign w:val="superscript"/>
                <w:lang w:val="en-GB"/>
              </w:rPr>
              <w:t xml:space="preserve"> </w:t>
            </w:r>
            <w:r w:rsidR="00C53294" w:rsidRPr="00474499">
              <w:rPr>
                <w:rFonts w:ascii="Book Antiqua" w:hAnsi="Book Antiqua"/>
                <w:color w:val="000000"/>
                <w:sz w:val="24"/>
                <w:szCs w:val="24"/>
                <w:vertAlign w:val="superscript"/>
                <w:lang w:val="en-GB"/>
              </w:rPr>
              <w:t>1</w:t>
            </w:r>
          </w:p>
        </w:tc>
        <w:tc>
          <w:tcPr>
            <w:tcW w:w="3515" w:type="dxa"/>
            <w:vAlign w:val="center"/>
          </w:tcPr>
          <w:p w14:paraId="07F49035" w14:textId="77777777" w:rsidR="003357F5" w:rsidRPr="00474499" w:rsidRDefault="003357F5" w:rsidP="00E96499">
            <w:pPr>
              <w:adjustRightInd w:val="0"/>
              <w:snapToGrid w:val="0"/>
              <w:spacing w:line="360" w:lineRule="auto"/>
              <w:rPr>
                <w:rFonts w:ascii="Book Antiqua" w:hAnsi="Book Antiqua"/>
                <w:b/>
                <w:color w:val="000000"/>
                <w:sz w:val="24"/>
                <w:szCs w:val="24"/>
                <w:lang w:val="en-GB"/>
              </w:rPr>
            </w:pPr>
            <w:r w:rsidRPr="00474499">
              <w:rPr>
                <w:rFonts w:ascii="Book Antiqua" w:hAnsi="Book Antiqua"/>
                <w:color w:val="000000"/>
                <w:sz w:val="24"/>
                <w:szCs w:val="24"/>
                <w:lang w:val="en-GB"/>
              </w:rPr>
              <w:t>42/4</w:t>
            </w:r>
          </w:p>
        </w:tc>
      </w:tr>
      <w:tr w:rsidR="00E43532" w:rsidRPr="00474499" w14:paraId="44A1E840" w14:textId="77777777" w:rsidTr="00BC5596">
        <w:trPr>
          <w:trHeight w:val="20"/>
        </w:trPr>
        <w:tc>
          <w:tcPr>
            <w:tcW w:w="5102" w:type="dxa"/>
            <w:vAlign w:val="center"/>
          </w:tcPr>
          <w:p w14:paraId="40F0891D"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Child–Pugh class A/B/C</w:t>
            </w:r>
          </w:p>
        </w:tc>
        <w:tc>
          <w:tcPr>
            <w:tcW w:w="3515" w:type="dxa"/>
            <w:vAlign w:val="center"/>
          </w:tcPr>
          <w:p w14:paraId="66C8E910"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45/1/0</w:t>
            </w:r>
          </w:p>
        </w:tc>
      </w:tr>
      <w:tr w:rsidR="00E43532" w:rsidRPr="00474499" w14:paraId="0FED3499" w14:textId="77777777" w:rsidTr="00BC5596">
        <w:trPr>
          <w:trHeight w:val="20"/>
        </w:trPr>
        <w:tc>
          <w:tcPr>
            <w:tcW w:w="5102" w:type="dxa"/>
            <w:vAlign w:val="center"/>
          </w:tcPr>
          <w:p w14:paraId="1257A623" w14:textId="575E0F4B"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ECOG performance status 0/1</w:t>
            </w:r>
            <w:r w:rsidR="00C53294" w:rsidRPr="00474499">
              <w:rPr>
                <w:rFonts w:ascii="Book Antiqua" w:hAnsi="Book Antiqua"/>
                <w:color w:val="000000"/>
                <w:sz w:val="24"/>
                <w:szCs w:val="24"/>
                <w:vertAlign w:val="superscript"/>
                <w:lang w:val="en-GB"/>
              </w:rPr>
              <w:t>2</w:t>
            </w:r>
          </w:p>
        </w:tc>
        <w:tc>
          <w:tcPr>
            <w:tcW w:w="3515" w:type="dxa"/>
            <w:vAlign w:val="center"/>
          </w:tcPr>
          <w:p w14:paraId="478D39BF" w14:textId="190A2737" w:rsidR="003357F5" w:rsidRPr="00474499" w:rsidRDefault="00C53294" w:rsidP="00E96499">
            <w:pPr>
              <w:adjustRightInd w:val="0"/>
              <w:snapToGrid w:val="0"/>
              <w:spacing w:line="360" w:lineRule="auto"/>
              <w:rPr>
                <w:rFonts w:ascii="Book Antiqua" w:hAnsi="Book Antiqua"/>
                <w:b/>
                <w:color w:val="000000"/>
                <w:sz w:val="24"/>
                <w:szCs w:val="24"/>
                <w:lang w:val="en-GB"/>
              </w:rPr>
            </w:pPr>
            <w:r w:rsidRPr="00474499">
              <w:rPr>
                <w:rFonts w:ascii="Book Antiqua" w:hAnsi="Book Antiqua"/>
                <w:color w:val="000000"/>
                <w:sz w:val="24"/>
                <w:szCs w:val="24"/>
                <w:lang w:val="en-GB"/>
              </w:rPr>
              <w:t>42/4/0</w:t>
            </w:r>
          </w:p>
        </w:tc>
      </w:tr>
      <w:tr w:rsidR="00C53294" w:rsidRPr="00474499" w14:paraId="5C1113F7" w14:textId="77777777" w:rsidTr="00BC5596">
        <w:trPr>
          <w:trHeight w:val="20"/>
        </w:trPr>
        <w:tc>
          <w:tcPr>
            <w:tcW w:w="8617" w:type="dxa"/>
            <w:gridSpan w:val="2"/>
            <w:vAlign w:val="center"/>
          </w:tcPr>
          <w:p w14:paraId="2ED5D31F" w14:textId="2B9D953E" w:rsidR="00C53294" w:rsidRPr="00474499" w:rsidRDefault="00C53294" w:rsidP="00E96499">
            <w:pPr>
              <w:adjustRightInd w:val="0"/>
              <w:snapToGrid w:val="0"/>
              <w:spacing w:line="360" w:lineRule="auto"/>
              <w:rPr>
                <w:rFonts w:ascii="Book Antiqua" w:hAnsi="Book Antiqua"/>
                <w:b/>
                <w:color w:val="000000"/>
                <w:sz w:val="24"/>
                <w:szCs w:val="24"/>
                <w:lang w:val="en-GB"/>
              </w:rPr>
            </w:pPr>
            <w:r w:rsidRPr="00474499">
              <w:rPr>
                <w:rFonts w:ascii="Book Antiqua" w:hAnsi="Book Antiqua"/>
                <w:color w:val="000000"/>
                <w:sz w:val="24"/>
                <w:szCs w:val="24"/>
                <w:lang w:val="en-GB"/>
              </w:rPr>
              <w:t>Laboratory values, median (range)</w:t>
            </w:r>
          </w:p>
        </w:tc>
      </w:tr>
      <w:tr w:rsidR="00E43532" w:rsidRPr="00474499" w14:paraId="0991790B" w14:textId="77777777" w:rsidTr="00BC5596">
        <w:trPr>
          <w:trHeight w:val="20"/>
        </w:trPr>
        <w:tc>
          <w:tcPr>
            <w:tcW w:w="5102" w:type="dxa"/>
            <w:vAlign w:val="center"/>
          </w:tcPr>
          <w:p w14:paraId="1637E46B" w14:textId="77777777" w:rsidR="003357F5" w:rsidRPr="00474499" w:rsidRDefault="003357F5" w:rsidP="00E96499">
            <w:pPr>
              <w:adjustRightInd w:val="0"/>
              <w:snapToGrid w:val="0"/>
              <w:spacing w:line="360" w:lineRule="auto"/>
              <w:ind w:firstLine="240"/>
              <w:rPr>
                <w:rFonts w:ascii="Book Antiqua" w:hAnsi="Book Antiqua"/>
                <w:b/>
                <w:color w:val="000000"/>
                <w:sz w:val="24"/>
                <w:szCs w:val="24"/>
                <w:lang w:val="en-GB"/>
              </w:rPr>
            </w:pPr>
            <w:r w:rsidRPr="00474499">
              <w:rPr>
                <w:rFonts w:ascii="Book Antiqua" w:hAnsi="Book Antiqua"/>
                <w:color w:val="000000"/>
                <w:sz w:val="24"/>
                <w:szCs w:val="24"/>
                <w:lang w:val="en-GB"/>
              </w:rPr>
              <w:t>WBC count, 10</w:t>
            </w:r>
            <w:r w:rsidRPr="00474499">
              <w:rPr>
                <w:rFonts w:ascii="Book Antiqua" w:hAnsi="Book Antiqua"/>
                <w:color w:val="000000"/>
                <w:sz w:val="24"/>
                <w:szCs w:val="24"/>
                <w:vertAlign w:val="superscript"/>
                <w:lang w:val="en-GB"/>
              </w:rPr>
              <w:t>9</w:t>
            </w:r>
            <w:r w:rsidRPr="00474499">
              <w:rPr>
                <w:rFonts w:ascii="Book Antiqua" w:hAnsi="Book Antiqua"/>
                <w:color w:val="000000"/>
                <w:sz w:val="24"/>
                <w:szCs w:val="24"/>
                <w:lang w:val="en-GB"/>
              </w:rPr>
              <w:t>/L</w:t>
            </w:r>
          </w:p>
        </w:tc>
        <w:tc>
          <w:tcPr>
            <w:tcW w:w="3515" w:type="dxa"/>
            <w:vAlign w:val="center"/>
          </w:tcPr>
          <w:p w14:paraId="79428FBF"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 xml:space="preserve">4.98 (2.23-10.09) </w:t>
            </w:r>
          </w:p>
        </w:tc>
      </w:tr>
      <w:tr w:rsidR="00E43532" w:rsidRPr="00474499" w14:paraId="1EE60F31" w14:textId="77777777" w:rsidTr="00BC5596">
        <w:trPr>
          <w:trHeight w:val="20"/>
        </w:trPr>
        <w:tc>
          <w:tcPr>
            <w:tcW w:w="5102" w:type="dxa"/>
            <w:vAlign w:val="center"/>
          </w:tcPr>
          <w:p w14:paraId="2CDD48C7" w14:textId="77777777" w:rsidR="003357F5" w:rsidRPr="00474499" w:rsidRDefault="003357F5" w:rsidP="00E96499">
            <w:pPr>
              <w:adjustRightInd w:val="0"/>
              <w:snapToGrid w:val="0"/>
              <w:spacing w:line="360" w:lineRule="auto"/>
              <w:ind w:firstLine="240"/>
              <w:rPr>
                <w:rFonts w:ascii="Book Antiqua" w:hAnsi="Book Antiqua"/>
                <w:b/>
                <w:color w:val="000000"/>
                <w:sz w:val="24"/>
                <w:szCs w:val="24"/>
                <w:lang w:val="en-GB"/>
              </w:rPr>
            </w:pPr>
            <w:r w:rsidRPr="00474499">
              <w:rPr>
                <w:rFonts w:ascii="Book Antiqua" w:hAnsi="Book Antiqua"/>
                <w:color w:val="000000"/>
                <w:sz w:val="24"/>
                <w:szCs w:val="24"/>
                <w:lang w:val="en-GB"/>
              </w:rPr>
              <w:t>Platelet count, 10</w:t>
            </w:r>
            <w:r w:rsidRPr="00474499">
              <w:rPr>
                <w:rFonts w:ascii="Book Antiqua" w:hAnsi="Book Antiqua"/>
                <w:color w:val="000000"/>
                <w:sz w:val="24"/>
                <w:szCs w:val="24"/>
                <w:vertAlign w:val="superscript"/>
                <w:lang w:val="en-GB"/>
              </w:rPr>
              <w:t>9</w:t>
            </w:r>
            <w:r w:rsidRPr="00474499">
              <w:rPr>
                <w:rFonts w:ascii="Book Antiqua" w:hAnsi="Book Antiqua"/>
                <w:color w:val="000000"/>
                <w:sz w:val="24"/>
                <w:szCs w:val="24"/>
                <w:lang w:val="en-GB"/>
              </w:rPr>
              <w:t>/L</w:t>
            </w:r>
          </w:p>
        </w:tc>
        <w:tc>
          <w:tcPr>
            <w:tcW w:w="3515" w:type="dxa"/>
            <w:vAlign w:val="center"/>
          </w:tcPr>
          <w:p w14:paraId="403DD375"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 xml:space="preserve">158 (49-371) </w:t>
            </w:r>
          </w:p>
        </w:tc>
      </w:tr>
      <w:tr w:rsidR="00E43532" w:rsidRPr="00474499" w14:paraId="7CC09A35" w14:textId="77777777" w:rsidTr="00BC5596">
        <w:trPr>
          <w:trHeight w:val="20"/>
        </w:trPr>
        <w:tc>
          <w:tcPr>
            <w:tcW w:w="5102" w:type="dxa"/>
            <w:vAlign w:val="center"/>
          </w:tcPr>
          <w:p w14:paraId="7AE17C8D" w14:textId="77777777" w:rsidR="003357F5" w:rsidRPr="00474499" w:rsidRDefault="003357F5" w:rsidP="00E96499">
            <w:pPr>
              <w:adjustRightInd w:val="0"/>
              <w:snapToGrid w:val="0"/>
              <w:spacing w:line="360" w:lineRule="auto"/>
              <w:ind w:firstLine="240"/>
              <w:rPr>
                <w:rFonts w:ascii="Book Antiqua" w:hAnsi="Book Antiqua"/>
                <w:b/>
                <w:color w:val="000000"/>
                <w:sz w:val="24"/>
                <w:szCs w:val="24"/>
                <w:lang w:val="en-GB"/>
              </w:rPr>
            </w:pPr>
            <w:proofErr w:type="spellStart"/>
            <w:r w:rsidRPr="00474499">
              <w:rPr>
                <w:rFonts w:ascii="Book Antiqua" w:hAnsi="Book Antiqua"/>
                <w:color w:val="000000"/>
                <w:sz w:val="24"/>
                <w:szCs w:val="24"/>
                <w:lang w:val="en-GB"/>
              </w:rPr>
              <w:t>Hemoglobin</w:t>
            </w:r>
            <w:proofErr w:type="spellEnd"/>
            <w:r w:rsidRPr="00474499">
              <w:rPr>
                <w:rFonts w:ascii="Book Antiqua" w:hAnsi="Book Antiqua"/>
                <w:color w:val="000000"/>
                <w:sz w:val="24"/>
                <w:szCs w:val="24"/>
                <w:lang w:val="en-GB"/>
              </w:rPr>
              <w:t>, g/dL</w:t>
            </w:r>
          </w:p>
        </w:tc>
        <w:tc>
          <w:tcPr>
            <w:tcW w:w="3515" w:type="dxa"/>
            <w:vAlign w:val="center"/>
          </w:tcPr>
          <w:p w14:paraId="37741E71"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 xml:space="preserve">135 (76-159) </w:t>
            </w:r>
          </w:p>
        </w:tc>
      </w:tr>
      <w:tr w:rsidR="00E43532" w:rsidRPr="00474499" w14:paraId="163E0DD5" w14:textId="77777777" w:rsidTr="00BC5596">
        <w:trPr>
          <w:trHeight w:val="20"/>
        </w:trPr>
        <w:tc>
          <w:tcPr>
            <w:tcW w:w="5102" w:type="dxa"/>
            <w:vAlign w:val="center"/>
          </w:tcPr>
          <w:p w14:paraId="03E8D633" w14:textId="77777777" w:rsidR="003357F5" w:rsidRPr="00474499" w:rsidRDefault="003357F5" w:rsidP="00E96499">
            <w:pPr>
              <w:adjustRightInd w:val="0"/>
              <w:snapToGrid w:val="0"/>
              <w:spacing w:line="360" w:lineRule="auto"/>
              <w:ind w:firstLine="240"/>
              <w:rPr>
                <w:rFonts w:ascii="Book Antiqua" w:hAnsi="Book Antiqua"/>
                <w:b/>
                <w:color w:val="000000"/>
                <w:sz w:val="24"/>
                <w:szCs w:val="24"/>
                <w:lang w:val="en-GB"/>
              </w:rPr>
            </w:pPr>
            <w:r w:rsidRPr="00474499">
              <w:rPr>
                <w:rFonts w:ascii="Book Antiqua" w:hAnsi="Book Antiqua"/>
                <w:color w:val="000000"/>
                <w:sz w:val="24"/>
                <w:szCs w:val="24"/>
                <w:lang w:val="en-GB"/>
              </w:rPr>
              <w:t>Serum AST, IU/L</w:t>
            </w:r>
          </w:p>
        </w:tc>
        <w:tc>
          <w:tcPr>
            <w:tcW w:w="3515" w:type="dxa"/>
            <w:vAlign w:val="center"/>
          </w:tcPr>
          <w:p w14:paraId="166E0838"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 xml:space="preserve">18.85 (16.20-101.60) </w:t>
            </w:r>
          </w:p>
        </w:tc>
      </w:tr>
      <w:tr w:rsidR="00E43532" w:rsidRPr="00474499" w14:paraId="5013E09E" w14:textId="77777777" w:rsidTr="00BC5596">
        <w:trPr>
          <w:trHeight w:val="20"/>
        </w:trPr>
        <w:tc>
          <w:tcPr>
            <w:tcW w:w="5102" w:type="dxa"/>
            <w:vAlign w:val="center"/>
          </w:tcPr>
          <w:p w14:paraId="65A574C6" w14:textId="77777777" w:rsidR="003357F5" w:rsidRPr="00474499" w:rsidRDefault="003357F5" w:rsidP="00E96499">
            <w:pPr>
              <w:adjustRightInd w:val="0"/>
              <w:snapToGrid w:val="0"/>
              <w:spacing w:line="360" w:lineRule="auto"/>
              <w:ind w:firstLine="240"/>
              <w:rPr>
                <w:rFonts w:ascii="Book Antiqua" w:hAnsi="Book Antiqua"/>
                <w:b/>
                <w:color w:val="000000"/>
                <w:sz w:val="24"/>
                <w:szCs w:val="24"/>
                <w:lang w:val="en-GB"/>
              </w:rPr>
            </w:pPr>
            <w:r w:rsidRPr="00474499">
              <w:rPr>
                <w:rFonts w:ascii="Book Antiqua" w:hAnsi="Book Antiqua"/>
                <w:color w:val="000000"/>
                <w:sz w:val="24"/>
                <w:szCs w:val="24"/>
                <w:lang w:val="en-GB"/>
              </w:rPr>
              <w:t>Serum ALT, IU/L</w:t>
            </w:r>
          </w:p>
        </w:tc>
        <w:tc>
          <w:tcPr>
            <w:tcW w:w="3515" w:type="dxa"/>
            <w:vAlign w:val="center"/>
          </w:tcPr>
          <w:p w14:paraId="177DCC50"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 xml:space="preserve">28.7 (9.6-178.8) </w:t>
            </w:r>
          </w:p>
        </w:tc>
      </w:tr>
      <w:tr w:rsidR="00E43532" w:rsidRPr="00474499" w14:paraId="5FFE00A3" w14:textId="77777777" w:rsidTr="00BC5596">
        <w:trPr>
          <w:trHeight w:val="20"/>
        </w:trPr>
        <w:tc>
          <w:tcPr>
            <w:tcW w:w="5102" w:type="dxa"/>
            <w:vAlign w:val="center"/>
          </w:tcPr>
          <w:p w14:paraId="259CF926" w14:textId="77777777" w:rsidR="003357F5" w:rsidRPr="00474499" w:rsidRDefault="003357F5" w:rsidP="00E96499">
            <w:pPr>
              <w:adjustRightInd w:val="0"/>
              <w:snapToGrid w:val="0"/>
              <w:spacing w:line="360" w:lineRule="auto"/>
              <w:ind w:firstLine="240"/>
              <w:rPr>
                <w:rFonts w:ascii="Book Antiqua" w:hAnsi="Book Antiqua"/>
                <w:b/>
                <w:color w:val="000000"/>
                <w:sz w:val="24"/>
                <w:szCs w:val="24"/>
                <w:lang w:val="en-GB"/>
              </w:rPr>
            </w:pPr>
            <w:r w:rsidRPr="00474499">
              <w:rPr>
                <w:rFonts w:ascii="Book Antiqua" w:hAnsi="Book Antiqua"/>
                <w:color w:val="000000"/>
                <w:sz w:val="24"/>
                <w:szCs w:val="24"/>
                <w:lang w:val="en-GB"/>
              </w:rPr>
              <w:t>Serum total bilirubin, mg/dL</w:t>
            </w:r>
          </w:p>
        </w:tc>
        <w:tc>
          <w:tcPr>
            <w:tcW w:w="3515" w:type="dxa"/>
            <w:vAlign w:val="center"/>
          </w:tcPr>
          <w:p w14:paraId="120EE1ED"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 xml:space="preserve">13.2 (5.0-41.4) </w:t>
            </w:r>
          </w:p>
        </w:tc>
      </w:tr>
      <w:tr w:rsidR="00E43532" w:rsidRPr="00474499" w14:paraId="295D4B1E" w14:textId="77777777" w:rsidTr="00BC5596">
        <w:trPr>
          <w:trHeight w:val="20"/>
        </w:trPr>
        <w:tc>
          <w:tcPr>
            <w:tcW w:w="5102" w:type="dxa"/>
            <w:vAlign w:val="center"/>
          </w:tcPr>
          <w:p w14:paraId="2E6B4841" w14:textId="77777777" w:rsidR="003357F5" w:rsidRPr="00474499" w:rsidRDefault="003357F5" w:rsidP="00E96499">
            <w:pPr>
              <w:adjustRightInd w:val="0"/>
              <w:snapToGrid w:val="0"/>
              <w:spacing w:line="360" w:lineRule="auto"/>
              <w:ind w:firstLine="240"/>
              <w:rPr>
                <w:rFonts w:ascii="Book Antiqua" w:hAnsi="Book Antiqua"/>
                <w:b/>
                <w:color w:val="000000"/>
                <w:sz w:val="24"/>
                <w:szCs w:val="24"/>
                <w:lang w:val="en-GB"/>
              </w:rPr>
            </w:pPr>
            <w:r w:rsidRPr="00474499">
              <w:rPr>
                <w:rFonts w:ascii="Book Antiqua" w:hAnsi="Book Antiqua"/>
                <w:color w:val="000000"/>
                <w:sz w:val="24"/>
                <w:szCs w:val="24"/>
                <w:lang w:val="en-GB"/>
              </w:rPr>
              <w:t>Serum albumin, g/dL</w:t>
            </w:r>
          </w:p>
        </w:tc>
        <w:tc>
          <w:tcPr>
            <w:tcW w:w="3515" w:type="dxa"/>
            <w:vAlign w:val="center"/>
          </w:tcPr>
          <w:p w14:paraId="64BFB3B0"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 xml:space="preserve">38.45 (28.8-45.1) </w:t>
            </w:r>
          </w:p>
        </w:tc>
      </w:tr>
      <w:tr w:rsidR="00E43532" w:rsidRPr="00474499" w14:paraId="7EC3338A" w14:textId="77777777" w:rsidTr="00BC5596">
        <w:trPr>
          <w:trHeight w:val="20"/>
        </w:trPr>
        <w:tc>
          <w:tcPr>
            <w:tcW w:w="5102" w:type="dxa"/>
            <w:vAlign w:val="center"/>
          </w:tcPr>
          <w:p w14:paraId="7B17921D" w14:textId="77777777" w:rsidR="003357F5" w:rsidRPr="00474499" w:rsidRDefault="003357F5" w:rsidP="00E96499">
            <w:pPr>
              <w:adjustRightInd w:val="0"/>
              <w:snapToGrid w:val="0"/>
              <w:spacing w:line="360" w:lineRule="auto"/>
              <w:ind w:firstLine="240"/>
              <w:rPr>
                <w:rFonts w:ascii="Book Antiqua" w:hAnsi="Book Antiqua"/>
                <w:b/>
                <w:color w:val="000000"/>
                <w:sz w:val="24"/>
                <w:szCs w:val="24"/>
                <w:lang w:val="en-GB"/>
              </w:rPr>
            </w:pPr>
            <w:r w:rsidRPr="00474499">
              <w:rPr>
                <w:rFonts w:ascii="Book Antiqua" w:hAnsi="Book Antiqua"/>
                <w:color w:val="000000"/>
                <w:sz w:val="24"/>
                <w:szCs w:val="24"/>
                <w:lang w:val="en-GB"/>
              </w:rPr>
              <w:t>INR</w:t>
            </w:r>
          </w:p>
        </w:tc>
        <w:tc>
          <w:tcPr>
            <w:tcW w:w="3515" w:type="dxa"/>
            <w:vAlign w:val="center"/>
          </w:tcPr>
          <w:p w14:paraId="524D6908"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 xml:space="preserve">1.10 (0.92-1.33) </w:t>
            </w:r>
          </w:p>
        </w:tc>
      </w:tr>
      <w:tr w:rsidR="00E43532" w:rsidRPr="00474499" w14:paraId="1274B0F1" w14:textId="77777777" w:rsidTr="00BC5596">
        <w:trPr>
          <w:trHeight w:val="20"/>
        </w:trPr>
        <w:tc>
          <w:tcPr>
            <w:tcW w:w="5102" w:type="dxa"/>
            <w:vAlign w:val="center"/>
          </w:tcPr>
          <w:p w14:paraId="219D3AF5" w14:textId="77777777" w:rsidR="003357F5" w:rsidRPr="00474499" w:rsidRDefault="003357F5" w:rsidP="00E96499">
            <w:pPr>
              <w:adjustRightInd w:val="0"/>
              <w:snapToGrid w:val="0"/>
              <w:spacing w:line="360" w:lineRule="auto"/>
              <w:ind w:firstLine="240"/>
              <w:rPr>
                <w:rFonts w:ascii="Book Antiqua" w:hAnsi="Book Antiqua"/>
                <w:b/>
                <w:color w:val="000000"/>
                <w:sz w:val="24"/>
                <w:szCs w:val="24"/>
                <w:lang w:val="en-GB"/>
              </w:rPr>
            </w:pPr>
            <w:r w:rsidRPr="00474499">
              <w:rPr>
                <w:rFonts w:ascii="Book Antiqua" w:hAnsi="Book Antiqua"/>
                <w:color w:val="000000"/>
                <w:sz w:val="24"/>
                <w:szCs w:val="24"/>
                <w:lang w:val="en-GB"/>
              </w:rPr>
              <w:t>Serum creatinine, mg/dL</w:t>
            </w:r>
          </w:p>
        </w:tc>
        <w:tc>
          <w:tcPr>
            <w:tcW w:w="3515" w:type="dxa"/>
            <w:vAlign w:val="center"/>
          </w:tcPr>
          <w:p w14:paraId="27EB8C5E"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 xml:space="preserve">65.05 (40.30-106.20) </w:t>
            </w:r>
          </w:p>
        </w:tc>
      </w:tr>
      <w:tr w:rsidR="00E43532" w:rsidRPr="00474499" w14:paraId="48BCC658" w14:textId="77777777" w:rsidTr="00BC5596">
        <w:trPr>
          <w:trHeight w:val="20"/>
        </w:trPr>
        <w:tc>
          <w:tcPr>
            <w:tcW w:w="5102" w:type="dxa"/>
            <w:vAlign w:val="center"/>
          </w:tcPr>
          <w:p w14:paraId="21B4C945" w14:textId="2EC7E2D1" w:rsidR="003357F5" w:rsidRPr="00474499" w:rsidRDefault="003357F5" w:rsidP="00E96499">
            <w:pPr>
              <w:adjustRightInd w:val="0"/>
              <w:snapToGrid w:val="0"/>
              <w:spacing w:line="360" w:lineRule="auto"/>
              <w:ind w:firstLine="240"/>
              <w:rPr>
                <w:rFonts w:ascii="Book Antiqua" w:hAnsi="Book Antiqua"/>
                <w:b/>
                <w:color w:val="000000"/>
                <w:sz w:val="24"/>
                <w:szCs w:val="24"/>
                <w:lang w:val="da-DK"/>
              </w:rPr>
            </w:pPr>
            <w:r w:rsidRPr="00474499">
              <w:rPr>
                <w:rFonts w:ascii="Book Antiqua" w:hAnsi="Book Antiqua"/>
                <w:color w:val="000000"/>
                <w:sz w:val="24"/>
                <w:szCs w:val="24"/>
                <w:lang w:val="da-DK"/>
              </w:rPr>
              <w:t>Serum AFP, ng/mL, baseline</w:t>
            </w:r>
            <w:r w:rsidR="00BC5596" w:rsidRPr="00474499">
              <w:rPr>
                <w:rFonts w:ascii="Book Antiqua" w:hAnsi="Book Antiqua"/>
                <w:color w:val="000000"/>
                <w:sz w:val="24"/>
                <w:szCs w:val="24"/>
                <w:lang w:val="da-DK"/>
              </w:rPr>
              <w:t xml:space="preserve"> </w:t>
            </w:r>
            <w:r w:rsidRPr="00474499">
              <w:rPr>
                <w:rFonts w:ascii="Book Antiqua" w:hAnsi="Book Antiqua"/>
                <w:color w:val="000000"/>
                <w:sz w:val="24"/>
                <w:szCs w:val="24"/>
                <w:lang w:val="da-DK"/>
              </w:rPr>
              <w:t>&lt;</w:t>
            </w:r>
            <w:r w:rsidR="00BC5596" w:rsidRPr="00474499">
              <w:rPr>
                <w:rFonts w:ascii="Book Antiqua" w:hAnsi="Book Antiqua"/>
                <w:color w:val="000000"/>
                <w:sz w:val="24"/>
                <w:szCs w:val="24"/>
                <w:lang w:val="da-DK"/>
              </w:rPr>
              <w:t xml:space="preserve"> </w:t>
            </w:r>
            <w:r w:rsidRPr="00474499">
              <w:rPr>
                <w:rFonts w:ascii="Book Antiqua" w:hAnsi="Book Antiqua"/>
                <w:color w:val="000000"/>
                <w:sz w:val="24"/>
                <w:szCs w:val="24"/>
                <w:lang w:val="da-DK"/>
              </w:rPr>
              <w:t>20</w:t>
            </w:r>
          </w:p>
        </w:tc>
        <w:tc>
          <w:tcPr>
            <w:tcW w:w="3515" w:type="dxa"/>
            <w:vAlign w:val="center"/>
          </w:tcPr>
          <w:p w14:paraId="2F9A2CFE" w14:textId="0868FA90"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7.86 (1.28-24200.00) (</w:t>
            </w:r>
            <w:r w:rsidRPr="00474499">
              <w:rPr>
                <w:rFonts w:ascii="Book Antiqua" w:hAnsi="Book Antiqua"/>
                <w:i/>
                <w:color w:val="000000"/>
                <w:sz w:val="24"/>
                <w:szCs w:val="24"/>
                <w:lang w:val="en-GB"/>
              </w:rPr>
              <w:t>n</w:t>
            </w:r>
            <w:r w:rsidR="00BC5596" w:rsidRPr="00474499">
              <w:rPr>
                <w:rFonts w:ascii="Book Antiqua" w:hAnsi="Book Antiqua"/>
                <w:i/>
                <w:color w:val="000000"/>
                <w:sz w:val="24"/>
                <w:szCs w:val="24"/>
                <w:lang w:val="en-GB"/>
              </w:rPr>
              <w:t xml:space="preserve"> </w:t>
            </w:r>
            <w:r w:rsidRPr="00474499">
              <w:rPr>
                <w:rFonts w:ascii="Book Antiqua" w:hAnsi="Book Antiqua"/>
                <w:color w:val="000000"/>
                <w:sz w:val="24"/>
                <w:szCs w:val="24"/>
                <w:lang w:val="en-GB"/>
              </w:rPr>
              <w:t>=</w:t>
            </w:r>
            <w:r w:rsidR="00BC5596" w:rsidRPr="00474499">
              <w:rPr>
                <w:rFonts w:ascii="Book Antiqua" w:hAnsi="Book Antiqua"/>
                <w:color w:val="000000"/>
                <w:sz w:val="24"/>
                <w:szCs w:val="24"/>
                <w:lang w:val="en-GB"/>
              </w:rPr>
              <w:t xml:space="preserve"> </w:t>
            </w:r>
            <w:r w:rsidRPr="00474499">
              <w:rPr>
                <w:rFonts w:ascii="Book Antiqua" w:hAnsi="Book Antiqua"/>
                <w:color w:val="000000"/>
                <w:sz w:val="24"/>
                <w:szCs w:val="24"/>
                <w:lang w:val="en-GB"/>
              </w:rPr>
              <w:t>29)</w:t>
            </w:r>
          </w:p>
        </w:tc>
      </w:tr>
      <w:tr w:rsidR="00E43532" w:rsidRPr="00474499" w14:paraId="65268C31" w14:textId="77777777" w:rsidTr="00BC5596">
        <w:trPr>
          <w:trHeight w:val="20"/>
        </w:trPr>
        <w:tc>
          <w:tcPr>
            <w:tcW w:w="5102" w:type="dxa"/>
            <w:vAlign w:val="center"/>
          </w:tcPr>
          <w:p w14:paraId="0D11EF0B" w14:textId="49A71235" w:rsidR="003357F5" w:rsidRPr="00474499" w:rsidRDefault="003357F5" w:rsidP="00E96499">
            <w:pPr>
              <w:adjustRightInd w:val="0"/>
              <w:snapToGrid w:val="0"/>
              <w:spacing w:line="360" w:lineRule="auto"/>
              <w:ind w:firstLineChars="100" w:firstLine="240"/>
              <w:rPr>
                <w:rFonts w:ascii="Book Antiqua" w:hAnsi="Book Antiqua"/>
                <w:b/>
                <w:bCs/>
                <w:color w:val="000000"/>
                <w:sz w:val="24"/>
                <w:szCs w:val="24"/>
                <w:lang w:val="en-GB"/>
              </w:rPr>
            </w:pPr>
            <w:r w:rsidRPr="00474499">
              <w:rPr>
                <w:rFonts w:ascii="Book Antiqua" w:hAnsi="Book Antiqua"/>
                <w:color w:val="000000"/>
                <w:sz w:val="24"/>
                <w:szCs w:val="24"/>
                <w:lang w:val="en-GB"/>
              </w:rPr>
              <w:t xml:space="preserve">Serum AFP, </w:t>
            </w:r>
            <w:r w:rsidR="003A67E0" w:rsidRPr="00E96499">
              <w:rPr>
                <w:rFonts w:ascii="Book Antiqua" w:hAnsi="Book Antiqua"/>
                <w:color w:val="000000"/>
                <w:sz w:val="24"/>
                <w:szCs w:val="24"/>
                <w:lang w:val="da-DK"/>
              </w:rPr>
              <w:t xml:space="preserve">ng/mL, </w:t>
            </w:r>
            <w:r w:rsidRPr="00474499">
              <w:rPr>
                <w:rFonts w:ascii="Book Antiqua" w:hAnsi="Book Antiqua"/>
                <w:color w:val="000000"/>
                <w:sz w:val="24"/>
                <w:szCs w:val="24"/>
                <w:lang w:val="en-GB"/>
              </w:rPr>
              <w:t>baseline &gt;</w:t>
            </w:r>
            <w:r w:rsidR="00BC5596" w:rsidRPr="00474499">
              <w:rPr>
                <w:rFonts w:ascii="Book Antiqua" w:hAnsi="Book Antiqua"/>
                <w:color w:val="000000"/>
                <w:sz w:val="24"/>
                <w:szCs w:val="24"/>
                <w:lang w:val="en-GB"/>
              </w:rPr>
              <w:t xml:space="preserve"> </w:t>
            </w:r>
            <w:r w:rsidRPr="00474499">
              <w:rPr>
                <w:rFonts w:ascii="Book Antiqua" w:hAnsi="Book Antiqua"/>
                <w:color w:val="000000"/>
                <w:sz w:val="24"/>
                <w:szCs w:val="24"/>
                <w:lang w:val="en-GB"/>
              </w:rPr>
              <w:t>20</w:t>
            </w:r>
          </w:p>
        </w:tc>
        <w:tc>
          <w:tcPr>
            <w:tcW w:w="3515" w:type="dxa"/>
            <w:vAlign w:val="center"/>
          </w:tcPr>
          <w:p w14:paraId="040C4102" w14:textId="300FD612"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170.80 (20.02-24200.00) (</w:t>
            </w:r>
            <w:r w:rsidRPr="00474499">
              <w:rPr>
                <w:rFonts w:ascii="Book Antiqua" w:hAnsi="Book Antiqua"/>
                <w:i/>
                <w:color w:val="000000"/>
                <w:sz w:val="24"/>
                <w:szCs w:val="24"/>
                <w:lang w:val="en-GB"/>
              </w:rPr>
              <w:t>n</w:t>
            </w:r>
            <w:r w:rsidR="00BC5596" w:rsidRPr="00474499">
              <w:rPr>
                <w:rFonts w:ascii="Book Antiqua" w:hAnsi="Book Antiqua"/>
                <w:color w:val="000000"/>
                <w:sz w:val="24"/>
                <w:szCs w:val="24"/>
                <w:lang w:val="en-GB"/>
              </w:rPr>
              <w:t xml:space="preserve"> </w:t>
            </w:r>
            <w:r w:rsidRPr="00474499">
              <w:rPr>
                <w:rFonts w:ascii="Book Antiqua" w:hAnsi="Book Antiqua"/>
                <w:color w:val="000000"/>
                <w:sz w:val="24"/>
                <w:szCs w:val="24"/>
                <w:lang w:val="en-GB"/>
              </w:rPr>
              <w:t>=</w:t>
            </w:r>
            <w:r w:rsidR="00BC5596" w:rsidRPr="00474499">
              <w:rPr>
                <w:rFonts w:ascii="Book Antiqua" w:hAnsi="Book Antiqua"/>
                <w:color w:val="000000"/>
                <w:sz w:val="24"/>
                <w:szCs w:val="24"/>
                <w:lang w:val="en-GB"/>
              </w:rPr>
              <w:t xml:space="preserve"> </w:t>
            </w:r>
            <w:r w:rsidRPr="00474499">
              <w:rPr>
                <w:rFonts w:ascii="Book Antiqua" w:hAnsi="Book Antiqua"/>
                <w:color w:val="000000"/>
                <w:sz w:val="24"/>
                <w:szCs w:val="24"/>
                <w:lang w:val="en-GB"/>
              </w:rPr>
              <w:t>17)</w:t>
            </w:r>
          </w:p>
        </w:tc>
      </w:tr>
      <w:tr w:rsidR="00C53294" w:rsidRPr="00474499" w14:paraId="0FEFCF97" w14:textId="77777777" w:rsidTr="00BC5596">
        <w:trPr>
          <w:trHeight w:val="20"/>
        </w:trPr>
        <w:tc>
          <w:tcPr>
            <w:tcW w:w="8617" w:type="dxa"/>
            <w:gridSpan w:val="2"/>
            <w:vAlign w:val="center"/>
          </w:tcPr>
          <w:p w14:paraId="48917985" w14:textId="2A1D56F7" w:rsidR="00C53294" w:rsidRPr="00474499" w:rsidRDefault="00C53294" w:rsidP="00E96499">
            <w:pPr>
              <w:adjustRightInd w:val="0"/>
              <w:snapToGrid w:val="0"/>
              <w:spacing w:line="360" w:lineRule="auto"/>
              <w:rPr>
                <w:rFonts w:ascii="Book Antiqua" w:hAnsi="Book Antiqua"/>
                <w:color w:val="000000"/>
                <w:sz w:val="24"/>
                <w:szCs w:val="24"/>
                <w:lang w:val="en-GB"/>
              </w:rPr>
            </w:pPr>
            <w:proofErr w:type="spellStart"/>
            <w:r w:rsidRPr="00474499">
              <w:rPr>
                <w:rFonts w:ascii="Book Antiqua" w:hAnsi="Book Antiqua"/>
                <w:color w:val="000000"/>
                <w:sz w:val="24"/>
                <w:szCs w:val="24"/>
                <w:lang w:val="en-GB"/>
              </w:rPr>
              <w:t>Tumor</w:t>
            </w:r>
            <w:proofErr w:type="spellEnd"/>
            <w:r w:rsidRPr="00474499">
              <w:rPr>
                <w:rFonts w:ascii="Book Antiqua" w:hAnsi="Book Antiqua"/>
                <w:color w:val="000000"/>
                <w:sz w:val="24"/>
                <w:szCs w:val="24"/>
                <w:lang w:val="en-GB"/>
              </w:rPr>
              <w:t xml:space="preserve"> burden and distribution</w:t>
            </w:r>
          </w:p>
        </w:tc>
      </w:tr>
      <w:tr w:rsidR="00E43532" w:rsidRPr="00474499" w14:paraId="64F03F56" w14:textId="77777777" w:rsidTr="00BC5596">
        <w:trPr>
          <w:trHeight w:val="20"/>
        </w:trPr>
        <w:tc>
          <w:tcPr>
            <w:tcW w:w="5102" w:type="dxa"/>
            <w:vAlign w:val="center"/>
          </w:tcPr>
          <w:p w14:paraId="7DFB9963" w14:textId="77777777" w:rsidR="003357F5" w:rsidRPr="00474499" w:rsidRDefault="003357F5" w:rsidP="00E96499">
            <w:pPr>
              <w:adjustRightInd w:val="0"/>
              <w:snapToGrid w:val="0"/>
              <w:spacing w:line="360" w:lineRule="auto"/>
              <w:ind w:firstLine="240"/>
              <w:rPr>
                <w:rFonts w:ascii="Book Antiqua" w:hAnsi="Book Antiqua"/>
                <w:color w:val="000000"/>
                <w:sz w:val="24"/>
                <w:szCs w:val="24"/>
                <w:lang w:val="en-GB"/>
              </w:rPr>
            </w:pPr>
            <w:r w:rsidRPr="00474499">
              <w:rPr>
                <w:rFonts w:ascii="Book Antiqua" w:hAnsi="Book Antiqua"/>
                <w:color w:val="000000"/>
                <w:sz w:val="24"/>
                <w:szCs w:val="24"/>
                <w:lang w:val="en-GB"/>
              </w:rPr>
              <w:t>Unifocal/multifocal</w:t>
            </w:r>
          </w:p>
        </w:tc>
        <w:tc>
          <w:tcPr>
            <w:tcW w:w="3515" w:type="dxa"/>
            <w:vAlign w:val="center"/>
          </w:tcPr>
          <w:p w14:paraId="38385A62"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35/11</w:t>
            </w:r>
          </w:p>
        </w:tc>
      </w:tr>
      <w:tr w:rsidR="00E43532" w:rsidRPr="00474499" w14:paraId="72F1F76C" w14:textId="77777777" w:rsidTr="00BC5596">
        <w:trPr>
          <w:trHeight w:val="20"/>
        </w:trPr>
        <w:tc>
          <w:tcPr>
            <w:tcW w:w="5102" w:type="dxa"/>
            <w:vAlign w:val="center"/>
          </w:tcPr>
          <w:p w14:paraId="6FBAA8FF" w14:textId="77777777" w:rsidR="003357F5" w:rsidRPr="00474499" w:rsidRDefault="003357F5" w:rsidP="00E96499">
            <w:pPr>
              <w:adjustRightInd w:val="0"/>
              <w:snapToGrid w:val="0"/>
              <w:spacing w:line="360" w:lineRule="auto"/>
              <w:ind w:firstLine="240"/>
              <w:rPr>
                <w:rFonts w:ascii="Book Antiqua" w:hAnsi="Book Antiqua"/>
                <w:color w:val="000000"/>
                <w:sz w:val="24"/>
                <w:szCs w:val="24"/>
                <w:lang w:val="en-GB"/>
              </w:rPr>
            </w:pPr>
            <w:proofErr w:type="spellStart"/>
            <w:r w:rsidRPr="00474499">
              <w:rPr>
                <w:rFonts w:ascii="Book Antiqua" w:hAnsi="Book Antiqua"/>
                <w:color w:val="000000"/>
                <w:sz w:val="24"/>
                <w:szCs w:val="24"/>
                <w:lang w:val="en-GB"/>
              </w:rPr>
              <w:t>Unilobar</w:t>
            </w:r>
            <w:proofErr w:type="spellEnd"/>
            <w:r w:rsidRPr="00474499">
              <w:rPr>
                <w:rFonts w:ascii="Book Antiqua" w:hAnsi="Book Antiqua"/>
                <w:color w:val="000000"/>
                <w:sz w:val="24"/>
                <w:szCs w:val="24"/>
                <w:lang w:val="en-GB"/>
              </w:rPr>
              <w:t>/</w:t>
            </w:r>
            <w:proofErr w:type="spellStart"/>
            <w:r w:rsidRPr="00474499">
              <w:rPr>
                <w:rFonts w:ascii="Book Antiqua" w:hAnsi="Book Antiqua"/>
                <w:color w:val="000000"/>
                <w:sz w:val="24"/>
                <w:szCs w:val="24"/>
                <w:lang w:val="en-GB"/>
              </w:rPr>
              <w:t>bilobar</w:t>
            </w:r>
            <w:proofErr w:type="spellEnd"/>
          </w:p>
        </w:tc>
        <w:tc>
          <w:tcPr>
            <w:tcW w:w="3515" w:type="dxa"/>
            <w:vAlign w:val="center"/>
          </w:tcPr>
          <w:p w14:paraId="66F227E9" w14:textId="77777777" w:rsidR="003357F5" w:rsidRPr="00474499" w:rsidRDefault="003357F5"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44/2</w:t>
            </w:r>
          </w:p>
        </w:tc>
      </w:tr>
      <w:tr w:rsidR="00C53294" w:rsidRPr="00474499" w14:paraId="28CCFE84" w14:textId="77777777" w:rsidTr="00BC5596">
        <w:trPr>
          <w:trHeight w:val="20"/>
        </w:trPr>
        <w:tc>
          <w:tcPr>
            <w:tcW w:w="8617" w:type="dxa"/>
            <w:gridSpan w:val="2"/>
            <w:vAlign w:val="center"/>
          </w:tcPr>
          <w:p w14:paraId="7643F9A4" w14:textId="5A9A7A9B" w:rsidR="00C53294" w:rsidRPr="00474499" w:rsidRDefault="00C53294" w:rsidP="00E96499">
            <w:pPr>
              <w:adjustRightInd w:val="0"/>
              <w:snapToGrid w:val="0"/>
              <w:spacing w:line="360" w:lineRule="auto"/>
              <w:rPr>
                <w:rFonts w:ascii="Book Antiqua" w:hAnsi="Book Antiqua"/>
                <w:color w:val="000000"/>
                <w:sz w:val="24"/>
                <w:szCs w:val="24"/>
                <w:lang w:val="en-GB"/>
              </w:rPr>
            </w:pPr>
            <w:r w:rsidRPr="00474499">
              <w:rPr>
                <w:rFonts w:ascii="Book Antiqua" w:hAnsi="Book Antiqua"/>
                <w:color w:val="000000"/>
                <w:sz w:val="24"/>
                <w:szCs w:val="24"/>
                <w:lang w:val="en-GB"/>
              </w:rPr>
              <w:t>Lesion diameter (cm)</w:t>
            </w:r>
          </w:p>
        </w:tc>
      </w:tr>
      <w:tr w:rsidR="00E43532" w:rsidRPr="00474499" w14:paraId="06988F83" w14:textId="77777777" w:rsidTr="00BC5596">
        <w:trPr>
          <w:trHeight w:val="248"/>
        </w:trPr>
        <w:tc>
          <w:tcPr>
            <w:tcW w:w="5102" w:type="dxa"/>
            <w:vAlign w:val="center"/>
          </w:tcPr>
          <w:p w14:paraId="5B4CE432" w14:textId="14BD4387" w:rsidR="003357F5" w:rsidRPr="00474499" w:rsidRDefault="003357F5" w:rsidP="00E96499">
            <w:pPr>
              <w:adjustRightInd w:val="0"/>
              <w:snapToGrid w:val="0"/>
              <w:spacing w:line="360" w:lineRule="auto"/>
              <w:rPr>
                <w:rFonts w:ascii="Book Antiqua" w:hAnsi="Book Antiqua"/>
                <w:b/>
                <w:bCs/>
                <w:color w:val="000000"/>
                <w:sz w:val="24"/>
                <w:szCs w:val="24"/>
                <w:lang w:val="en-GB"/>
              </w:rPr>
            </w:pPr>
            <w:r w:rsidRPr="00474499">
              <w:rPr>
                <w:rFonts w:ascii="Book Antiqua" w:hAnsi="Book Antiqua"/>
                <w:color w:val="000000"/>
                <w:sz w:val="24"/>
                <w:szCs w:val="24"/>
                <w:lang w:val="en-GB"/>
              </w:rPr>
              <w:t>Larges</w:t>
            </w:r>
            <w:r w:rsidR="00C53294" w:rsidRPr="00474499">
              <w:rPr>
                <w:rFonts w:ascii="Book Antiqua" w:hAnsi="Book Antiqua"/>
                <w:color w:val="000000"/>
                <w:sz w:val="24"/>
                <w:szCs w:val="24"/>
                <w:lang w:val="en-GB"/>
              </w:rPr>
              <w:t>t lesion diameter (mean, range)</w:t>
            </w:r>
          </w:p>
        </w:tc>
        <w:tc>
          <w:tcPr>
            <w:tcW w:w="3515" w:type="dxa"/>
            <w:vAlign w:val="center"/>
          </w:tcPr>
          <w:p w14:paraId="2FDB2EA0" w14:textId="77777777" w:rsidR="003357F5" w:rsidRPr="00474499" w:rsidRDefault="003357F5" w:rsidP="00E96499">
            <w:pPr>
              <w:adjustRightInd w:val="0"/>
              <w:snapToGrid w:val="0"/>
              <w:spacing w:line="360" w:lineRule="auto"/>
              <w:rPr>
                <w:rFonts w:ascii="Book Antiqua" w:hAnsi="Book Antiqua"/>
                <w:b/>
                <w:bCs/>
                <w:color w:val="000000"/>
                <w:sz w:val="24"/>
                <w:szCs w:val="24"/>
                <w:lang w:val="en-GB"/>
              </w:rPr>
            </w:pPr>
            <w:r w:rsidRPr="00474499">
              <w:rPr>
                <w:rFonts w:ascii="Book Antiqua" w:hAnsi="Book Antiqua"/>
                <w:color w:val="000000"/>
                <w:sz w:val="24"/>
                <w:szCs w:val="24"/>
                <w:lang w:val="en-GB"/>
              </w:rPr>
              <w:t>14.0 (9.47, 8.2-14.0)</w:t>
            </w:r>
          </w:p>
        </w:tc>
      </w:tr>
    </w:tbl>
    <w:p w14:paraId="60C14399" w14:textId="3595E040" w:rsidR="00C53294" w:rsidRPr="00E96499" w:rsidRDefault="00C53294"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vertAlign w:val="superscript"/>
          <w:lang w:val="en-GB"/>
        </w:rPr>
        <w:t>1</w:t>
      </w:r>
      <w:r w:rsidR="00116BF7" w:rsidRPr="00E96499">
        <w:rPr>
          <w:rFonts w:ascii="Book Antiqua" w:hAnsi="Book Antiqua"/>
          <w:color w:val="000000"/>
          <w:sz w:val="24"/>
          <w:szCs w:val="24"/>
          <w:lang w:val="en-GB"/>
        </w:rPr>
        <w:t>Barcelona Clinic Liver Cancer staging system</w:t>
      </w:r>
      <w:r w:rsidRPr="00E96499">
        <w:rPr>
          <w:rFonts w:ascii="Book Antiqua" w:hAnsi="Book Antiqua"/>
          <w:color w:val="000000"/>
          <w:sz w:val="24"/>
          <w:szCs w:val="24"/>
          <w:lang w:val="en-GB"/>
        </w:rPr>
        <w:t>.</w:t>
      </w:r>
      <w:r w:rsidR="00BC5596" w:rsidRPr="00E96499">
        <w:rPr>
          <w:rFonts w:ascii="Book Antiqua" w:hAnsi="Book Antiqua"/>
          <w:color w:val="000000"/>
          <w:sz w:val="24"/>
          <w:szCs w:val="24"/>
          <w:lang w:val="en-GB"/>
        </w:rPr>
        <w:t xml:space="preserve"> </w:t>
      </w:r>
      <w:r w:rsidRPr="00E96499">
        <w:rPr>
          <w:rFonts w:ascii="Book Antiqua" w:hAnsi="Book Antiqua"/>
          <w:color w:val="000000"/>
          <w:sz w:val="24"/>
          <w:szCs w:val="24"/>
          <w:vertAlign w:val="superscript"/>
          <w:lang w:val="en-GB"/>
        </w:rPr>
        <w:t>2</w:t>
      </w:r>
      <w:r w:rsidR="00116BF7" w:rsidRPr="00E96499">
        <w:rPr>
          <w:rFonts w:ascii="Book Antiqua" w:hAnsi="Book Antiqua"/>
          <w:color w:val="000000"/>
          <w:sz w:val="24"/>
          <w:szCs w:val="24"/>
          <w:lang w:val="en-GB"/>
        </w:rPr>
        <w:t>Eastern Cooperative Oncology Group performance status</w:t>
      </w:r>
      <w:r w:rsidRPr="00E96499">
        <w:rPr>
          <w:rFonts w:ascii="Book Antiqua" w:hAnsi="Book Antiqua"/>
          <w:color w:val="000000"/>
          <w:sz w:val="24"/>
          <w:szCs w:val="24"/>
          <w:lang w:val="en-GB"/>
        </w:rPr>
        <w:t>.</w:t>
      </w:r>
      <w:r w:rsidRPr="00474499">
        <w:rPr>
          <w:rFonts w:ascii="Book Antiqua" w:hAnsi="Book Antiqua"/>
          <w:color w:val="000000"/>
          <w:sz w:val="24"/>
          <w:szCs w:val="24"/>
          <w:lang w:val="en-GB"/>
        </w:rPr>
        <w:t xml:space="preserve"> </w:t>
      </w:r>
      <w:r w:rsidRPr="00E96499">
        <w:rPr>
          <w:rFonts w:ascii="Book Antiqua" w:hAnsi="Book Antiqua"/>
          <w:color w:val="000000"/>
          <w:sz w:val="24"/>
          <w:szCs w:val="24"/>
          <w:lang w:val="en-GB"/>
        </w:rPr>
        <w:t>BCLC: Barcelona Clinic Liver Cancer;</w:t>
      </w:r>
      <w:r w:rsidR="00BC5596" w:rsidRPr="00474499">
        <w:rPr>
          <w:rFonts w:ascii="Book Antiqua" w:hAnsi="Book Antiqua"/>
          <w:color w:val="000000"/>
          <w:sz w:val="24"/>
          <w:szCs w:val="24"/>
          <w:lang w:val="en-GB"/>
        </w:rPr>
        <w:t xml:space="preserve"> </w:t>
      </w:r>
      <w:r w:rsidR="00BC5596" w:rsidRPr="00E96499">
        <w:rPr>
          <w:rFonts w:ascii="Book Antiqua" w:hAnsi="Book Antiqua"/>
          <w:color w:val="000000"/>
          <w:sz w:val="24"/>
          <w:szCs w:val="24"/>
          <w:lang w:val="en-GB"/>
        </w:rPr>
        <w:t>ECOG: Eastern Cooperative Oncology Group;</w:t>
      </w:r>
      <w:r w:rsidRPr="00E96499">
        <w:rPr>
          <w:rFonts w:ascii="Book Antiqua" w:hAnsi="Book Antiqua" w:cs="TimesNewRoman"/>
          <w:color w:val="000000"/>
          <w:kern w:val="0"/>
          <w:sz w:val="24"/>
          <w:szCs w:val="24"/>
        </w:rPr>
        <w:t xml:space="preserve"> </w:t>
      </w:r>
      <w:r w:rsidR="00BC5596" w:rsidRPr="00E96499">
        <w:rPr>
          <w:rFonts w:ascii="Book Antiqua" w:hAnsi="Book Antiqua"/>
          <w:color w:val="000000"/>
          <w:sz w:val="24"/>
          <w:szCs w:val="24"/>
          <w:lang w:val="en-GB"/>
        </w:rPr>
        <w:t>WBC: White blood cell;</w:t>
      </w:r>
      <w:r w:rsidR="00BC5596" w:rsidRPr="00E96499">
        <w:rPr>
          <w:rFonts w:ascii="Book Antiqua" w:hAnsi="Book Antiqua" w:cs="TimesNewRoman"/>
          <w:color w:val="000000"/>
          <w:kern w:val="0"/>
          <w:sz w:val="24"/>
          <w:szCs w:val="24"/>
        </w:rPr>
        <w:t xml:space="preserve"> </w:t>
      </w:r>
      <w:r w:rsidRPr="00E96499">
        <w:rPr>
          <w:rFonts w:ascii="Book Antiqua" w:hAnsi="Book Antiqua" w:cs="TimesNewRoman"/>
          <w:color w:val="000000"/>
          <w:kern w:val="0"/>
          <w:sz w:val="24"/>
          <w:szCs w:val="24"/>
        </w:rPr>
        <w:t>AST: Aspartate aminotransferase; ALT: Alanine aminotransferase</w:t>
      </w:r>
      <w:r w:rsidR="00BC5596" w:rsidRPr="00E96499">
        <w:rPr>
          <w:rFonts w:ascii="Book Antiqua" w:hAnsi="Book Antiqua" w:cs="TimesNewRoman"/>
          <w:color w:val="000000"/>
          <w:kern w:val="0"/>
          <w:sz w:val="24"/>
          <w:szCs w:val="24"/>
        </w:rPr>
        <w:t xml:space="preserve">; INR: International Normalized Ratio; </w:t>
      </w:r>
      <w:r w:rsidR="00BC5596" w:rsidRPr="00E96499">
        <w:rPr>
          <w:rFonts w:ascii="Book Antiqua" w:hAnsi="Book Antiqua"/>
          <w:color w:val="000000"/>
          <w:sz w:val="24"/>
          <w:szCs w:val="24"/>
          <w:lang w:val="en-GB"/>
        </w:rPr>
        <w:t>AFP:</w:t>
      </w:r>
      <w:r w:rsidR="00BC5596" w:rsidRPr="00474499">
        <w:rPr>
          <w:rFonts w:ascii="Book Antiqua" w:hAnsi="Book Antiqua" w:cs="TimesNewRoman"/>
          <w:color w:val="000000"/>
          <w:kern w:val="0"/>
          <w:sz w:val="24"/>
          <w:szCs w:val="24"/>
        </w:rPr>
        <w:t xml:space="preserve"> </w:t>
      </w:r>
      <w:r w:rsidR="00BC5596" w:rsidRPr="00E96499">
        <w:rPr>
          <w:rFonts w:ascii="Book Antiqua" w:hAnsi="Book Antiqua" w:cs="TimesNewRoman"/>
          <w:color w:val="000000"/>
          <w:kern w:val="0"/>
          <w:sz w:val="24"/>
          <w:szCs w:val="24"/>
        </w:rPr>
        <w:sym w:font="Symbol" w:char="F061"/>
      </w:r>
      <w:r w:rsidR="00BC5596" w:rsidRPr="00E96499">
        <w:rPr>
          <w:rFonts w:ascii="Book Antiqua" w:hAnsi="Book Antiqua" w:cs="TimesNewRoman"/>
          <w:color w:val="000000"/>
          <w:kern w:val="0"/>
          <w:sz w:val="24"/>
          <w:szCs w:val="24"/>
        </w:rPr>
        <w:t>-fetoprotein</w:t>
      </w:r>
      <w:r w:rsidRPr="00E96499">
        <w:rPr>
          <w:rFonts w:ascii="Book Antiqua" w:hAnsi="Book Antiqua" w:cs="TimesNewRoman"/>
          <w:color w:val="000000"/>
          <w:kern w:val="0"/>
          <w:sz w:val="24"/>
          <w:szCs w:val="24"/>
        </w:rPr>
        <w:t>.</w:t>
      </w:r>
    </w:p>
    <w:p w14:paraId="1446BB85" w14:textId="7A579168" w:rsidR="00116BF7" w:rsidRPr="00E96499" w:rsidRDefault="00116BF7" w:rsidP="00E96499">
      <w:pPr>
        <w:adjustRightInd w:val="0"/>
        <w:snapToGrid w:val="0"/>
        <w:spacing w:line="360" w:lineRule="auto"/>
        <w:ind w:rightChars="-24" w:right="-50"/>
        <w:rPr>
          <w:rFonts w:ascii="Book Antiqua" w:hAnsi="Book Antiqua"/>
          <w:color w:val="000000"/>
          <w:sz w:val="24"/>
          <w:szCs w:val="24"/>
          <w:lang w:val="en-GB"/>
        </w:rPr>
      </w:pPr>
    </w:p>
    <w:p w14:paraId="2D8B331A" w14:textId="77777777" w:rsidR="00716B02" w:rsidRPr="00474499" w:rsidRDefault="00C53294" w:rsidP="00E96499">
      <w:pPr>
        <w:adjustRightInd w:val="0"/>
        <w:snapToGrid w:val="0"/>
        <w:spacing w:line="360" w:lineRule="auto"/>
        <w:rPr>
          <w:rFonts w:ascii="Book Antiqua" w:hAnsi="Book Antiqua"/>
          <w:b/>
          <w:color w:val="000000"/>
          <w:sz w:val="24"/>
          <w:szCs w:val="24"/>
          <w:lang w:val="en-GB"/>
        </w:rPr>
      </w:pPr>
      <w:r w:rsidRPr="00474499">
        <w:rPr>
          <w:rFonts w:ascii="Book Antiqua" w:hAnsi="Book Antiqua"/>
          <w:color w:val="000000"/>
          <w:sz w:val="24"/>
          <w:szCs w:val="24"/>
          <w:lang w:val="en-GB"/>
        </w:rPr>
        <w:br w:type="page"/>
      </w:r>
      <w:r w:rsidR="003357F5" w:rsidRPr="00474499">
        <w:rPr>
          <w:rFonts w:ascii="Book Antiqua" w:hAnsi="Book Antiqua"/>
          <w:b/>
          <w:color w:val="000000"/>
          <w:sz w:val="24"/>
          <w:szCs w:val="24"/>
          <w:lang w:val="en-GB"/>
        </w:rPr>
        <w:lastRenderedPageBreak/>
        <w:t>Table 2 Baseline characteristics of patients after treatment</w:t>
      </w:r>
    </w:p>
    <w:tbl>
      <w:tblPr>
        <w:tblpPr w:leftFromText="180" w:rightFromText="180" w:vertAnchor="text" w:tblpY="1"/>
        <w:tblOverlap w:val="never"/>
        <w:tblW w:w="8617" w:type="dxa"/>
        <w:tblBorders>
          <w:top w:val="single" w:sz="4" w:space="0" w:color="auto"/>
          <w:bottom w:val="single" w:sz="4" w:space="0" w:color="auto"/>
        </w:tblBorders>
        <w:tblLayout w:type="fixed"/>
        <w:tblLook w:val="00A0" w:firstRow="1" w:lastRow="0" w:firstColumn="1" w:lastColumn="0" w:noHBand="0" w:noVBand="0"/>
      </w:tblPr>
      <w:tblGrid>
        <w:gridCol w:w="5102"/>
        <w:gridCol w:w="3515"/>
      </w:tblGrid>
      <w:tr w:rsidR="00716B02" w:rsidRPr="00E96499" w14:paraId="2D91333B" w14:textId="77777777" w:rsidTr="00353620">
        <w:trPr>
          <w:trHeight w:val="553"/>
        </w:trPr>
        <w:tc>
          <w:tcPr>
            <w:tcW w:w="5102" w:type="dxa"/>
            <w:tcBorders>
              <w:top w:val="single" w:sz="4" w:space="0" w:color="auto"/>
              <w:bottom w:val="single" w:sz="4" w:space="0" w:color="auto"/>
            </w:tcBorders>
          </w:tcPr>
          <w:p w14:paraId="44B7159E" w14:textId="77777777" w:rsidR="00716B02" w:rsidRPr="00E96499" w:rsidRDefault="00716B02" w:rsidP="00E96499">
            <w:pPr>
              <w:adjustRightInd w:val="0"/>
              <w:snapToGrid w:val="0"/>
              <w:spacing w:line="360" w:lineRule="auto"/>
              <w:rPr>
                <w:rFonts w:ascii="Book Antiqua" w:hAnsi="Book Antiqua"/>
                <w:b/>
                <w:bCs/>
                <w:color w:val="000000"/>
                <w:sz w:val="24"/>
                <w:szCs w:val="24"/>
              </w:rPr>
            </w:pPr>
            <w:r w:rsidRPr="00E96499">
              <w:rPr>
                <w:rFonts w:ascii="Book Antiqua" w:hAnsi="Book Antiqua"/>
                <w:b/>
                <w:color w:val="000000"/>
                <w:sz w:val="24"/>
                <w:szCs w:val="24"/>
              </w:rPr>
              <w:t>Characteristics</w:t>
            </w:r>
          </w:p>
        </w:tc>
        <w:tc>
          <w:tcPr>
            <w:tcW w:w="3515" w:type="dxa"/>
            <w:tcBorders>
              <w:top w:val="single" w:sz="4" w:space="0" w:color="auto"/>
              <w:bottom w:val="single" w:sz="4" w:space="0" w:color="auto"/>
            </w:tcBorders>
          </w:tcPr>
          <w:p w14:paraId="3EC52E62" w14:textId="77777777" w:rsidR="00716B02" w:rsidRPr="00E96499" w:rsidRDefault="00716B02" w:rsidP="00E96499">
            <w:pPr>
              <w:adjustRightInd w:val="0"/>
              <w:snapToGrid w:val="0"/>
              <w:spacing w:line="360" w:lineRule="auto"/>
              <w:rPr>
                <w:rFonts w:ascii="Book Antiqua" w:hAnsi="Book Antiqua"/>
                <w:b/>
                <w:color w:val="000000"/>
                <w:sz w:val="24"/>
                <w:szCs w:val="24"/>
              </w:rPr>
            </w:pPr>
            <w:r w:rsidRPr="00E96499">
              <w:rPr>
                <w:rFonts w:ascii="Book Antiqua" w:hAnsi="Book Antiqua"/>
                <w:b/>
                <w:color w:val="000000"/>
                <w:sz w:val="24"/>
                <w:szCs w:val="24"/>
              </w:rPr>
              <w:t>3 d after treatment</w:t>
            </w:r>
          </w:p>
        </w:tc>
      </w:tr>
      <w:tr w:rsidR="00716B02" w:rsidRPr="00E96499" w14:paraId="2C2F5D6C" w14:textId="77777777" w:rsidTr="00353620">
        <w:trPr>
          <w:trHeight w:val="20"/>
        </w:trPr>
        <w:tc>
          <w:tcPr>
            <w:tcW w:w="8617" w:type="dxa"/>
            <w:gridSpan w:val="2"/>
            <w:tcBorders>
              <w:top w:val="single" w:sz="4" w:space="0" w:color="auto"/>
            </w:tcBorders>
          </w:tcPr>
          <w:p w14:paraId="366718CE" w14:textId="77777777" w:rsidR="00716B02" w:rsidRPr="00E96499" w:rsidRDefault="00716B02" w:rsidP="00E96499">
            <w:pPr>
              <w:adjustRightInd w:val="0"/>
              <w:snapToGrid w:val="0"/>
              <w:spacing w:line="360" w:lineRule="auto"/>
              <w:rPr>
                <w:rFonts w:ascii="Book Antiqua" w:hAnsi="Book Antiqua"/>
                <w:b/>
                <w:color w:val="000000"/>
                <w:sz w:val="24"/>
                <w:szCs w:val="24"/>
                <w:lang w:val="en-GB"/>
              </w:rPr>
            </w:pPr>
            <w:r w:rsidRPr="00E96499">
              <w:rPr>
                <w:rFonts w:ascii="Book Antiqua" w:hAnsi="Book Antiqua"/>
                <w:color w:val="000000"/>
                <w:sz w:val="24"/>
                <w:szCs w:val="24"/>
                <w:lang w:val="en-GB"/>
              </w:rPr>
              <w:t>Laboratory values, median (range)</w:t>
            </w:r>
          </w:p>
        </w:tc>
      </w:tr>
      <w:tr w:rsidR="00716B02" w:rsidRPr="00E96499" w14:paraId="6E1C12DE" w14:textId="77777777" w:rsidTr="00353620">
        <w:trPr>
          <w:trHeight w:val="20"/>
        </w:trPr>
        <w:tc>
          <w:tcPr>
            <w:tcW w:w="5102" w:type="dxa"/>
          </w:tcPr>
          <w:p w14:paraId="301FAFC2" w14:textId="77777777" w:rsidR="00716B02" w:rsidRPr="00E96499" w:rsidRDefault="00716B02" w:rsidP="00E96499">
            <w:pPr>
              <w:adjustRightInd w:val="0"/>
              <w:snapToGrid w:val="0"/>
              <w:spacing w:line="360" w:lineRule="auto"/>
              <w:ind w:firstLine="240"/>
              <w:rPr>
                <w:rFonts w:ascii="Book Antiqua" w:hAnsi="Book Antiqua"/>
                <w:b/>
                <w:color w:val="000000"/>
                <w:sz w:val="24"/>
                <w:szCs w:val="24"/>
                <w:lang w:val="en-GB"/>
              </w:rPr>
            </w:pPr>
            <w:r w:rsidRPr="00E96499">
              <w:rPr>
                <w:rFonts w:ascii="Book Antiqua" w:hAnsi="Book Antiqua"/>
                <w:color w:val="000000"/>
                <w:sz w:val="24"/>
                <w:szCs w:val="24"/>
                <w:lang w:val="en-GB"/>
              </w:rPr>
              <w:t>WBC count, 10</w:t>
            </w:r>
            <w:r w:rsidRPr="00E96499">
              <w:rPr>
                <w:rFonts w:ascii="Book Antiqua" w:hAnsi="Book Antiqua"/>
                <w:color w:val="000000"/>
                <w:sz w:val="24"/>
                <w:szCs w:val="24"/>
                <w:vertAlign w:val="superscript"/>
                <w:lang w:val="en-GB"/>
              </w:rPr>
              <w:t>9</w:t>
            </w:r>
            <w:r w:rsidRPr="00E96499">
              <w:rPr>
                <w:rFonts w:ascii="Book Antiqua" w:hAnsi="Book Antiqua"/>
                <w:color w:val="000000"/>
                <w:sz w:val="24"/>
                <w:szCs w:val="24"/>
                <w:lang w:val="en-GB"/>
              </w:rPr>
              <w:t>/L</w:t>
            </w:r>
          </w:p>
        </w:tc>
        <w:tc>
          <w:tcPr>
            <w:tcW w:w="3515" w:type="dxa"/>
          </w:tcPr>
          <w:p w14:paraId="4AA66FCE" w14:textId="77777777" w:rsidR="00716B02" w:rsidRPr="00E96499" w:rsidRDefault="00716B02"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lang w:val="en-GB"/>
              </w:rPr>
              <w:t>4.985 (2.300-9.050)</w:t>
            </w:r>
          </w:p>
        </w:tc>
      </w:tr>
      <w:tr w:rsidR="00716B02" w:rsidRPr="00E96499" w14:paraId="5E0DB171" w14:textId="77777777" w:rsidTr="00353620">
        <w:trPr>
          <w:trHeight w:val="20"/>
        </w:trPr>
        <w:tc>
          <w:tcPr>
            <w:tcW w:w="5102" w:type="dxa"/>
          </w:tcPr>
          <w:p w14:paraId="460CB11B" w14:textId="77777777" w:rsidR="00716B02" w:rsidRPr="00E96499" w:rsidRDefault="00716B02" w:rsidP="00E96499">
            <w:pPr>
              <w:adjustRightInd w:val="0"/>
              <w:snapToGrid w:val="0"/>
              <w:spacing w:line="360" w:lineRule="auto"/>
              <w:ind w:firstLine="240"/>
              <w:rPr>
                <w:rFonts w:ascii="Book Antiqua" w:hAnsi="Book Antiqua"/>
                <w:b/>
                <w:color w:val="000000"/>
                <w:sz w:val="24"/>
                <w:szCs w:val="24"/>
                <w:lang w:val="en-GB"/>
              </w:rPr>
            </w:pPr>
            <w:r w:rsidRPr="00E96499">
              <w:rPr>
                <w:rFonts w:ascii="Book Antiqua" w:hAnsi="Book Antiqua"/>
                <w:color w:val="000000"/>
                <w:sz w:val="24"/>
                <w:szCs w:val="24"/>
                <w:lang w:val="en-GB"/>
              </w:rPr>
              <w:t>Platelet count, 10</w:t>
            </w:r>
            <w:r w:rsidRPr="00E96499">
              <w:rPr>
                <w:rFonts w:ascii="Book Antiqua" w:hAnsi="Book Antiqua"/>
                <w:color w:val="000000"/>
                <w:sz w:val="24"/>
                <w:szCs w:val="24"/>
                <w:vertAlign w:val="superscript"/>
                <w:lang w:val="en-GB"/>
              </w:rPr>
              <w:t>9</w:t>
            </w:r>
            <w:r w:rsidRPr="00E96499">
              <w:rPr>
                <w:rFonts w:ascii="Book Antiqua" w:hAnsi="Book Antiqua"/>
                <w:color w:val="000000"/>
                <w:sz w:val="24"/>
                <w:szCs w:val="24"/>
                <w:lang w:val="en-GB"/>
              </w:rPr>
              <w:t>/L</w:t>
            </w:r>
          </w:p>
        </w:tc>
        <w:tc>
          <w:tcPr>
            <w:tcW w:w="3515" w:type="dxa"/>
          </w:tcPr>
          <w:p w14:paraId="6FF32635" w14:textId="77777777" w:rsidR="00716B02" w:rsidRPr="00E96499" w:rsidRDefault="00716B02"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lang w:val="en-GB"/>
              </w:rPr>
              <w:t>141 (44-259)</w:t>
            </w:r>
          </w:p>
        </w:tc>
      </w:tr>
      <w:tr w:rsidR="00716B02" w:rsidRPr="00E96499" w14:paraId="4AB5CAF8" w14:textId="77777777" w:rsidTr="00353620">
        <w:trPr>
          <w:trHeight w:val="20"/>
        </w:trPr>
        <w:tc>
          <w:tcPr>
            <w:tcW w:w="5102" w:type="dxa"/>
          </w:tcPr>
          <w:p w14:paraId="4E5D355C" w14:textId="77777777" w:rsidR="00716B02" w:rsidRPr="00E96499" w:rsidRDefault="00716B02" w:rsidP="00E96499">
            <w:pPr>
              <w:adjustRightInd w:val="0"/>
              <w:snapToGrid w:val="0"/>
              <w:spacing w:line="360" w:lineRule="auto"/>
              <w:ind w:firstLine="240"/>
              <w:rPr>
                <w:rFonts w:ascii="Book Antiqua" w:hAnsi="Book Antiqua"/>
                <w:b/>
                <w:color w:val="000000"/>
                <w:sz w:val="24"/>
                <w:szCs w:val="24"/>
                <w:lang w:val="en-GB"/>
              </w:rPr>
            </w:pPr>
            <w:proofErr w:type="spellStart"/>
            <w:r w:rsidRPr="00E96499">
              <w:rPr>
                <w:rFonts w:ascii="Book Antiqua" w:hAnsi="Book Antiqua"/>
                <w:color w:val="000000"/>
                <w:sz w:val="24"/>
                <w:szCs w:val="24"/>
                <w:lang w:val="en-GB"/>
              </w:rPr>
              <w:t>Hemoglobin</w:t>
            </w:r>
            <w:proofErr w:type="spellEnd"/>
            <w:r w:rsidRPr="00E96499">
              <w:rPr>
                <w:rFonts w:ascii="Book Antiqua" w:hAnsi="Book Antiqua"/>
                <w:color w:val="000000"/>
                <w:sz w:val="24"/>
                <w:szCs w:val="24"/>
                <w:lang w:val="en-GB"/>
              </w:rPr>
              <w:t>, g/dL</w:t>
            </w:r>
          </w:p>
        </w:tc>
        <w:tc>
          <w:tcPr>
            <w:tcW w:w="3515" w:type="dxa"/>
          </w:tcPr>
          <w:p w14:paraId="68D4E72E" w14:textId="77777777" w:rsidR="00716B02" w:rsidRPr="00E96499" w:rsidRDefault="00716B02"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lang w:val="en-GB"/>
              </w:rPr>
              <w:t>136.5 (98.0-165.0)</w:t>
            </w:r>
          </w:p>
        </w:tc>
      </w:tr>
      <w:tr w:rsidR="00716B02" w:rsidRPr="00E96499" w14:paraId="525A6DC9" w14:textId="77777777" w:rsidTr="00353620">
        <w:trPr>
          <w:trHeight w:val="20"/>
        </w:trPr>
        <w:tc>
          <w:tcPr>
            <w:tcW w:w="5102" w:type="dxa"/>
          </w:tcPr>
          <w:p w14:paraId="3B385E37" w14:textId="77777777" w:rsidR="00716B02" w:rsidRPr="00E96499" w:rsidRDefault="00716B02" w:rsidP="00E96499">
            <w:pPr>
              <w:adjustRightInd w:val="0"/>
              <w:snapToGrid w:val="0"/>
              <w:spacing w:line="360" w:lineRule="auto"/>
              <w:ind w:firstLine="240"/>
              <w:rPr>
                <w:rFonts w:ascii="Book Antiqua" w:hAnsi="Book Antiqua"/>
                <w:b/>
                <w:color w:val="000000"/>
                <w:sz w:val="24"/>
                <w:szCs w:val="24"/>
                <w:lang w:val="en-GB"/>
              </w:rPr>
            </w:pPr>
            <w:r w:rsidRPr="00E96499">
              <w:rPr>
                <w:rFonts w:ascii="Book Antiqua" w:hAnsi="Book Antiqua"/>
                <w:color w:val="000000"/>
                <w:sz w:val="24"/>
                <w:szCs w:val="24"/>
                <w:lang w:val="en-GB"/>
              </w:rPr>
              <w:t>Serum AST, IU/L</w:t>
            </w:r>
          </w:p>
        </w:tc>
        <w:tc>
          <w:tcPr>
            <w:tcW w:w="3515" w:type="dxa"/>
          </w:tcPr>
          <w:p w14:paraId="7C8340D0" w14:textId="77777777" w:rsidR="00716B02" w:rsidRPr="00E96499" w:rsidRDefault="00716B02"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lang w:val="en-GB"/>
              </w:rPr>
              <w:t xml:space="preserve">28.2 (15.0-103.7) </w:t>
            </w:r>
          </w:p>
        </w:tc>
      </w:tr>
      <w:tr w:rsidR="00716B02" w:rsidRPr="00E96499" w14:paraId="71BAEBE6" w14:textId="77777777" w:rsidTr="00353620">
        <w:trPr>
          <w:trHeight w:val="20"/>
        </w:trPr>
        <w:tc>
          <w:tcPr>
            <w:tcW w:w="5102" w:type="dxa"/>
          </w:tcPr>
          <w:p w14:paraId="7232AC61" w14:textId="77777777" w:rsidR="00716B02" w:rsidRPr="00E96499" w:rsidRDefault="00716B02" w:rsidP="00E96499">
            <w:pPr>
              <w:adjustRightInd w:val="0"/>
              <w:snapToGrid w:val="0"/>
              <w:spacing w:line="360" w:lineRule="auto"/>
              <w:ind w:firstLine="240"/>
              <w:rPr>
                <w:rFonts w:ascii="Book Antiqua" w:hAnsi="Book Antiqua"/>
                <w:b/>
                <w:color w:val="000000"/>
                <w:sz w:val="24"/>
                <w:szCs w:val="24"/>
                <w:lang w:val="en-GB"/>
              </w:rPr>
            </w:pPr>
            <w:r w:rsidRPr="00E96499">
              <w:rPr>
                <w:rFonts w:ascii="Book Antiqua" w:hAnsi="Book Antiqua"/>
                <w:color w:val="000000"/>
                <w:sz w:val="24"/>
                <w:szCs w:val="24"/>
                <w:lang w:val="en-GB"/>
              </w:rPr>
              <w:t>Serum ALT, IU/L</w:t>
            </w:r>
          </w:p>
        </w:tc>
        <w:tc>
          <w:tcPr>
            <w:tcW w:w="3515" w:type="dxa"/>
          </w:tcPr>
          <w:p w14:paraId="1D0C08D1" w14:textId="77777777" w:rsidR="00716B02" w:rsidRPr="00E96499" w:rsidRDefault="00716B02"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lang w:val="en-GB"/>
              </w:rPr>
              <w:t>32.15 (8.40-74.30)</w:t>
            </w:r>
          </w:p>
        </w:tc>
      </w:tr>
      <w:tr w:rsidR="00716B02" w:rsidRPr="00E96499" w14:paraId="563B128E" w14:textId="77777777" w:rsidTr="00353620">
        <w:trPr>
          <w:trHeight w:val="20"/>
        </w:trPr>
        <w:tc>
          <w:tcPr>
            <w:tcW w:w="5102" w:type="dxa"/>
          </w:tcPr>
          <w:p w14:paraId="2AF8DCAE" w14:textId="77777777" w:rsidR="00716B02" w:rsidRPr="00E96499" w:rsidRDefault="00716B02" w:rsidP="00E96499">
            <w:pPr>
              <w:adjustRightInd w:val="0"/>
              <w:snapToGrid w:val="0"/>
              <w:spacing w:line="360" w:lineRule="auto"/>
              <w:ind w:firstLine="240"/>
              <w:rPr>
                <w:rFonts w:ascii="Book Antiqua" w:hAnsi="Book Antiqua"/>
                <w:b/>
                <w:color w:val="000000"/>
                <w:sz w:val="24"/>
                <w:szCs w:val="24"/>
                <w:lang w:val="en-GB"/>
              </w:rPr>
            </w:pPr>
            <w:r w:rsidRPr="00E96499">
              <w:rPr>
                <w:rFonts w:ascii="Book Antiqua" w:hAnsi="Book Antiqua"/>
                <w:color w:val="000000"/>
                <w:sz w:val="24"/>
                <w:szCs w:val="24"/>
                <w:lang w:val="en-GB"/>
              </w:rPr>
              <w:t>Serum total bilirubin, mg/dL</w:t>
            </w:r>
          </w:p>
        </w:tc>
        <w:tc>
          <w:tcPr>
            <w:tcW w:w="3515" w:type="dxa"/>
          </w:tcPr>
          <w:p w14:paraId="2836B7EF" w14:textId="77777777" w:rsidR="00716B02" w:rsidRPr="00E96499" w:rsidRDefault="00716B02"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lang w:val="en-GB"/>
              </w:rPr>
              <w:t xml:space="preserve">14.45 (5.40-44.80) </w:t>
            </w:r>
          </w:p>
        </w:tc>
      </w:tr>
      <w:tr w:rsidR="00716B02" w:rsidRPr="00E96499" w14:paraId="74DBE436" w14:textId="77777777" w:rsidTr="00353620">
        <w:trPr>
          <w:trHeight w:val="20"/>
        </w:trPr>
        <w:tc>
          <w:tcPr>
            <w:tcW w:w="5102" w:type="dxa"/>
          </w:tcPr>
          <w:p w14:paraId="3343BD69" w14:textId="77777777" w:rsidR="00716B02" w:rsidRPr="00E96499" w:rsidRDefault="00716B02" w:rsidP="00E96499">
            <w:pPr>
              <w:adjustRightInd w:val="0"/>
              <w:snapToGrid w:val="0"/>
              <w:spacing w:line="360" w:lineRule="auto"/>
              <w:ind w:firstLine="240"/>
              <w:rPr>
                <w:rFonts w:ascii="Book Antiqua" w:hAnsi="Book Antiqua"/>
                <w:b/>
                <w:color w:val="000000"/>
                <w:sz w:val="24"/>
                <w:szCs w:val="24"/>
                <w:lang w:val="en-GB"/>
              </w:rPr>
            </w:pPr>
            <w:r w:rsidRPr="00E96499">
              <w:rPr>
                <w:rFonts w:ascii="Book Antiqua" w:hAnsi="Book Antiqua"/>
                <w:color w:val="000000"/>
                <w:sz w:val="24"/>
                <w:szCs w:val="24"/>
                <w:lang w:val="en-GB"/>
              </w:rPr>
              <w:t>Serum albumin, g/dL</w:t>
            </w:r>
          </w:p>
        </w:tc>
        <w:tc>
          <w:tcPr>
            <w:tcW w:w="3515" w:type="dxa"/>
          </w:tcPr>
          <w:p w14:paraId="48C6273B" w14:textId="77777777" w:rsidR="00716B02" w:rsidRPr="00E96499" w:rsidRDefault="00716B02"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lang w:val="en-GB"/>
              </w:rPr>
              <w:t xml:space="preserve">37.75 (24.30-46.30) </w:t>
            </w:r>
          </w:p>
        </w:tc>
      </w:tr>
      <w:tr w:rsidR="00716B02" w:rsidRPr="00E96499" w14:paraId="15DA6E77" w14:textId="77777777" w:rsidTr="00353620">
        <w:trPr>
          <w:trHeight w:val="20"/>
        </w:trPr>
        <w:tc>
          <w:tcPr>
            <w:tcW w:w="5102" w:type="dxa"/>
          </w:tcPr>
          <w:p w14:paraId="32CEED65" w14:textId="77777777" w:rsidR="00716B02" w:rsidRPr="00E96499" w:rsidRDefault="00716B02" w:rsidP="00E96499">
            <w:pPr>
              <w:adjustRightInd w:val="0"/>
              <w:snapToGrid w:val="0"/>
              <w:spacing w:line="360" w:lineRule="auto"/>
              <w:ind w:firstLine="240"/>
              <w:rPr>
                <w:rFonts w:ascii="Book Antiqua" w:hAnsi="Book Antiqua"/>
                <w:b/>
                <w:color w:val="000000"/>
                <w:sz w:val="24"/>
                <w:szCs w:val="24"/>
                <w:lang w:val="en-GB"/>
              </w:rPr>
            </w:pPr>
            <w:r w:rsidRPr="00E96499">
              <w:rPr>
                <w:rFonts w:ascii="Book Antiqua" w:hAnsi="Book Antiqua"/>
                <w:color w:val="000000"/>
                <w:sz w:val="24"/>
                <w:szCs w:val="24"/>
                <w:lang w:val="en-GB"/>
              </w:rPr>
              <w:t>INR</w:t>
            </w:r>
          </w:p>
        </w:tc>
        <w:tc>
          <w:tcPr>
            <w:tcW w:w="3515" w:type="dxa"/>
          </w:tcPr>
          <w:p w14:paraId="4776063F" w14:textId="77777777" w:rsidR="00716B02" w:rsidRPr="00E96499" w:rsidRDefault="00716B02"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lang w:val="en-GB"/>
              </w:rPr>
              <w:t>1.08 (0.95-1.41)</w:t>
            </w:r>
          </w:p>
        </w:tc>
      </w:tr>
      <w:tr w:rsidR="00716B02" w:rsidRPr="00E96499" w14:paraId="6739FB74" w14:textId="77777777" w:rsidTr="00353620">
        <w:trPr>
          <w:trHeight w:val="20"/>
        </w:trPr>
        <w:tc>
          <w:tcPr>
            <w:tcW w:w="5102" w:type="dxa"/>
          </w:tcPr>
          <w:p w14:paraId="77CC7AF5" w14:textId="77777777" w:rsidR="00716B02" w:rsidRPr="00E96499" w:rsidRDefault="00716B02" w:rsidP="00E96499">
            <w:pPr>
              <w:adjustRightInd w:val="0"/>
              <w:snapToGrid w:val="0"/>
              <w:spacing w:line="360" w:lineRule="auto"/>
              <w:ind w:firstLine="240"/>
              <w:rPr>
                <w:rFonts w:ascii="Book Antiqua" w:hAnsi="Book Antiqua"/>
                <w:b/>
                <w:color w:val="000000"/>
                <w:sz w:val="24"/>
                <w:szCs w:val="24"/>
                <w:lang w:val="en-GB"/>
              </w:rPr>
            </w:pPr>
            <w:r w:rsidRPr="00E96499">
              <w:rPr>
                <w:rFonts w:ascii="Book Antiqua" w:hAnsi="Book Antiqua"/>
                <w:color w:val="000000"/>
                <w:sz w:val="24"/>
                <w:szCs w:val="24"/>
                <w:lang w:val="en-GB"/>
              </w:rPr>
              <w:t>Serum creatinine, mg/dL</w:t>
            </w:r>
          </w:p>
        </w:tc>
        <w:tc>
          <w:tcPr>
            <w:tcW w:w="3515" w:type="dxa"/>
          </w:tcPr>
          <w:p w14:paraId="7A95FDE4" w14:textId="77777777" w:rsidR="00716B02" w:rsidRPr="00E96499" w:rsidRDefault="00716B02"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lang w:val="en-GB"/>
              </w:rPr>
              <w:t xml:space="preserve">65.7 (45.4-134.6) </w:t>
            </w:r>
          </w:p>
        </w:tc>
      </w:tr>
      <w:tr w:rsidR="00716B02" w:rsidRPr="00E96499" w14:paraId="510D8724" w14:textId="77777777" w:rsidTr="00353620">
        <w:trPr>
          <w:trHeight w:val="20"/>
        </w:trPr>
        <w:tc>
          <w:tcPr>
            <w:tcW w:w="5102" w:type="dxa"/>
          </w:tcPr>
          <w:p w14:paraId="36707313" w14:textId="77777777" w:rsidR="00716B02" w:rsidRPr="00E96499" w:rsidRDefault="00716B02" w:rsidP="00E96499">
            <w:pPr>
              <w:adjustRightInd w:val="0"/>
              <w:snapToGrid w:val="0"/>
              <w:spacing w:line="360" w:lineRule="auto"/>
              <w:ind w:firstLine="240"/>
              <w:rPr>
                <w:rFonts w:ascii="Book Antiqua" w:hAnsi="Book Antiqua"/>
                <w:b/>
                <w:color w:val="000000"/>
                <w:sz w:val="24"/>
                <w:szCs w:val="24"/>
                <w:lang w:val="da-DK"/>
              </w:rPr>
            </w:pPr>
            <w:r w:rsidRPr="00E96499">
              <w:rPr>
                <w:rFonts w:ascii="Book Antiqua" w:hAnsi="Book Antiqua"/>
                <w:color w:val="000000"/>
                <w:sz w:val="24"/>
                <w:szCs w:val="24"/>
                <w:lang w:val="da-DK"/>
              </w:rPr>
              <w:t>Serum AFP, ng/mL, baseline &lt; 20</w:t>
            </w:r>
          </w:p>
        </w:tc>
        <w:tc>
          <w:tcPr>
            <w:tcW w:w="3515" w:type="dxa"/>
          </w:tcPr>
          <w:p w14:paraId="12FB62E4" w14:textId="77777777" w:rsidR="00716B02" w:rsidRPr="00E96499" w:rsidRDefault="00716B02"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lang w:val="en-GB"/>
              </w:rPr>
              <w:t>5.60 (1.12-24200.00) (</w:t>
            </w:r>
            <w:r w:rsidRPr="00E96499">
              <w:rPr>
                <w:rFonts w:ascii="Book Antiqua" w:hAnsi="Book Antiqua"/>
                <w:i/>
                <w:color w:val="000000"/>
                <w:sz w:val="24"/>
                <w:szCs w:val="24"/>
                <w:lang w:val="en-GB"/>
              </w:rPr>
              <w:t>n</w:t>
            </w:r>
            <w:r w:rsidRPr="00E96499">
              <w:rPr>
                <w:rFonts w:ascii="Book Antiqua" w:hAnsi="Book Antiqua"/>
                <w:color w:val="000000"/>
                <w:sz w:val="24"/>
                <w:szCs w:val="24"/>
                <w:lang w:val="en-GB"/>
              </w:rPr>
              <w:t xml:space="preserve"> = 29)</w:t>
            </w:r>
          </w:p>
        </w:tc>
      </w:tr>
      <w:tr w:rsidR="00716B02" w:rsidRPr="00E96499" w14:paraId="4EBD8D45" w14:textId="77777777" w:rsidTr="00353620">
        <w:trPr>
          <w:trHeight w:val="456"/>
        </w:trPr>
        <w:tc>
          <w:tcPr>
            <w:tcW w:w="5102" w:type="dxa"/>
          </w:tcPr>
          <w:p w14:paraId="0F064068" w14:textId="3950DE98" w:rsidR="00716B02" w:rsidRPr="00E96499" w:rsidRDefault="00716B02" w:rsidP="00E96499">
            <w:pPr>
              <w:adjustRightInd w:val="0"/>
              <w:snapToGrid w:val="0"/>
              <w:spacing w:line="360" w:lineRule="auto"/>
              <w:ind w:firstLineChars="100" w:firstLine="240"/>
              <w:rPr>
                <w:rFonts w:ascii="Book Antiqua" w:hAnsi="Book Antiqua"/>
                <w:b/>
                <w:bCs/>
                <w:color w:val="000000"/>
                <w:sz w:val="24"/>
                <w:szCs w:val="24"/>
                <w:lang w:val="en-GB"/>
              </w:rPr>
            </w:pPr>
            <w:r w:rsidRPr="00E96499">
              <w:rPr>
                <w:rFonts w:ascii="Book Antiqua" w:hAnsi="Book Antiqua"/>
                <w:color w:val="000000"/>
                <w:sz w:val="24"/>
                <w:szCs w:val="24"/>
                <w:lang w:val="en-GB"/>
              </w:rPr>
              <w:t xml:space="preserve">Serum AFP, </w:t>
            </w:r>
            <w:r w:rsidR="002C25D2" w:rsidRPr="00E96499">
              <w:rPr>
                <w:rFonts w:ascii="Book Antiqua" w:hAnsi="Book Antiqua"/>
                <w:color w:val="000000"/>
                <w:sz w:val="24"/>
                <w:szCs w:val="24"/>
                <w:lang w:val="da-DK"/>
              </w:rPr>
              <w:t xml:space="preserve">ng/mL, </w:t>
            </w:r>
            <w:r w:rsidRPr="00E96499">
              <w:rPr>
                <w:rFonts w:ascii="Book Antiqua" w:hAnsi="Book Antiqua"/>
                <w:color w:val="000000"/>
                <w:sz w:val="24"/>
                <w:szCs w:val="24"/>
                <w:lang w:val="en-GB"/>
              </w:rPr>
              <w:t>baseline &gt; 20</w:t>
            </w:r>
          </w:p>
        </w:tc>
        <w:tc>
          <w:tcPr>
            <w:tcW w:w="3515" w:type="dxa"/>
          </w:tcPr>
          <w:p w14:paraId="7DE17E77" w14:textId="77777777" w:rsidR="00716B02" w:rsidRPr="00E96499" w:rsidRDefault="00716B02" w:rsidP="00E96499">
            <w:pPr>
              <w:adjustRightInd w:val="0"/>
              <w:snapToGrid w:val="0"/>
              <w:spacing w:line="360" w:lineRule="auto"/>
              <w:rPr>
                <w:rFonts w:ascii="Book Antiqua" w:hAnsi="Book Antiqua"/>
                <w:color w:val="000000"/>
                <w:sz w:val="24"/>
                <w:szCs w:val="24"/>
                <w:lang w:val="en-GB"/>
              </w:rPr>
            </w:pPr>
            <w:r w:rsidRPr="00E96499">
              <w:rPr>
                <w:rFonts w:ascii="Book Antiqua" w:hAnsi="Book Antiqua"/>
                <w:color w:val="000000"/>
                <w:sz w:val="24"/>
                <w:szCs w:val="24"/>
                <w:lang w:val="en-GB"/>
              </w:rPr>
              <w:t>916.2 (21.1-24200.0) (</w:t>
            </w:r>
            <w:r w:rsidRPr="00E96499">
              <w:rPr>
                <w:rFonts w:ascii="Book Antiqua" w:hAnsi="Book Antiqua"/>
                <w:i/>
                <w:color w:val="000000"/>
                <w:sz w:val="24"/>
                <w:szCs w:val="24"/>
                <w:lang w:val="en-GB"/>
              </w:rPr>
              <w:t>n</w:t>
            </w:r>
            <w:r w:rsidRPr="00E96499">
              <w:rPr>
                <w:rFonts w:ascii="Book Antiqua" w:hAnsi="Book Antiqua"/>
                <w:color w:val="000000"/>
                <w:sz w:val="24"/>
                <w:szCs w:val="24"/>
                <w:lang w:val="en-GB"/>
              </w:rPr>
              <w:t xml:space="preserve"> = 17)</w:t>
            </w:r>
          </w:p>
        </w:tc>
      </w:tr>
    </w:tbl>
    <w:p w14:paraId="2EBC3E53" w14:textId="7726F516" w:rsidR="003357F5" w:rsidRPr="00E96499" w:rsidRDefault="004D1022" w:rsidP="00E96499">
      <w:pPr>
        <w:adjustRightInd w:val="0"/>
        <w:snapToGrid w:val="0"/>
        <w:spacing w:line="360" w:lineRule="auto"/>
        <w:rPr>
          <w:rFonts w:ascii="Book Antiqua" w:hAnsi="Book Antiqua" w:cs="TimesNewRoman"/>
          <w:color w:val="000000"/>
          <w:kern w:val="0"/>
          <w:sz w:val="24"/>
          <w:szCs w:val="24"/>
        </w:rPr>
      </w:pPr>
      <w:r w:rsidRPr="00E96499">
        <w:rPr>
          <w:rFonts w:ascii="Book Antiqua" w:hAnsi="Book Antiqua"/>
          <w:color w:val="000000"/>
          <w:sz w:val="24"/>
          <w:szCs w:val="24"/>
          <w:lang w:val="en-GB"/>
        </w:rPr>
        <w:t>WBC: White blood cell;</w:t>
      </w:r>
      <w:r w:rsidRPr="00E96499">
        <w:rPr>
          <w:rFonts w:ascii="Book Antiqua" w:hAnsi="Book Antiqua" w:cs="TimesNewRoman"/>
          <w:color w:val="000000"/>
          <w:kern w:val="0"/>
          <w:sz w:val="24"/>
          <w:szCs w:val="24"/>
        </w:rPr>
        <w:t xml:space="preserve"> AST: Aspartate aminotransferase; ALT: Alanine aminotransferase; INR: International Normalized Ratio; </w:t>
      </w:r>
      <w:r w:rsidRPr="00E96499">
        <w:rPr>
          <w:rFonts w:ascii="Book Antiqua" w:hAnsi="Book Antiqua"/>
          <w:color w:val="000000"/>
          <w:sz w:val="24"/>
          <w:szCs w:val="24"/>
          <w:lang w:val="en-GB"/>
        </w:rPr>
        <w:t>AFP:</w:t>
      </w:r>
      <w:r w:rsidRPr="00E96499">
        <w:rPr>
          <w:rFonts w:ascii="Book Antiqua" w:hAnsi="Book Antiqua" w:cs="TimesNewRoman"/>
          <w:color w:val="000000"/>
          <w:kern w:val="0"/>
          <w:sz w:val="24"/>
          <w:szCs w:val="24"/>
        </w:rPr>
        <w:t xml:space="preserve"> </w:t>
      </w:r>
      <w:r w:rsidRPr="00E96499">
        <w:rPr>
          <w:rFonts w:ascii="Book Antiqua" w:hAnsi="Book Antiqua" w:cs="TimesNewRoman"/>
          <w:color w:val="000000"/>
          <w:kern w:val="0"/>
          <w:sz w:val="24"/>
          <w:szCs w:val="24"/>
        </w:rPr>
        <w:sym w:font="Symbol" w:char="F061"/>
      </w:r>
      <w:r w:rsidRPr="00E96499">
        <w:rPr>
          <w:rFonts w:ascii="Book Antiqua" w:hAnsi="Book Antiqua" w:cs="TimesNewRoman"/>
          <w:color w:val="000000"/>
          <w:kern w:val="0"/>
          <w:sz w:val="24"/>
          <w:szCs w:val="24"/>
        </w:rPr>
        <w:t>-fetoprotein.</w:t>
      </w:r>
    </w:p>
    <w:p w14:paraId="2C9543D4" w14:textId="77777777" w:rsidR="00C653B2" w:rsidRPr="00474499" w:rsidRDefault="00C653B2" w:rsidP="00E96499">
      <w:pPr>
        <w:adjustRightInd w:val="0"/>
        <w:snapToGrid w:val="0"/>
        <w:spacing w:line="360" w:lineRule="auto"/>
        <w:rPr>
          <w:rFonts w:ascii="Book Antiqua" w:hAnsi="Book Antiqua"/>
          <w:bCs/>
          <w:color w:val="000000"/>
          <w:sz w:val="24"/>
          <w:szCs w:val="24"/>
        </w:rPr>
      </w:pPr>
    </w:p>
    <w:p w14:paraId="06AFB339" w14:textId="77777777" w:rsidR="003357F5" w:rsidRPr="00474499" w:rsidRDefault="003357F5" w:rsidP="00E96499">
      <w:pPr>
        <w:framePr w:h="13245" w:hRule="exact" w:wrap="auto" w:hAnchor="text" w:y="-417"/>
        <w:adjustRightInd w:val="0"/>
        <w:snapToGrid w:val="0"/>
        <w:spacing w:line="360" w:lineRule="auto"/>
        <w:rPr>
          <w:rFonts w:ascii="Book Antiqua" w:hAnsi="Book Antiqua"/>
          <w:color w:val="000000"/>
          <w:sz w:val="24"/>
          <w:szCs w:val="24"/>
        </w:rPr>
        <w:sectPr w:rsidR="003357F5" w:rsidRPr="00474499">
          <w:headerReference w:type="even" r:id="rId8"/>
          <w:footerReference w:type="even" r:id="rId9"/>
          <w:footerReference w:type="default" r:id="rId10"/>
          <w:pgSz w:w="11906" w:h="16838"/>
          <w:pgMar w:top="1440" w:right="1797" w:bottom="1440" w:left="1797" w:header="851" w:footer="992" w:gutter="0"/>
          <w:cols w:space="425"/>
          <w:docGrid w:type="lines" w:linePitch="312"/>
        </w:sectPr>
      </w:pPr>
    </w:p>
    <w:p w14:paraId="08A09703" w14:textId="3579D7D7" w:rsidR="00C653B2" w:rsidRPr="00E96499" w:rsidRDefault="00C653B2" w:rsidP="00E96499">
      <w:pPr>
        <w:adjustRightInd w:val="0"/>
        <w:snapToGrid w:val="0"/>
        <w:spacing w:line="360" w:lineRule="auto"/>
        <w:rPr>
          <w:rFonts w:ascii="Book Antiqua" w:hAnsi="Book Antiqua"/>
          <w:b/>
          <w:color w:val="000000"/>
          <w:sz w:val="24"/>
          <w:szCs w:val="24"/>
        </w:rPr>
      </w:pPr>
      <w:r w:rsidRPr="00E96499">
        <w:rPr>
          <w:rFonts w:ascii="Book Antiqua" w:hAnsi="Book Antiqua"/>
          <w:b/>
          <w:color w:val="000000"/>
          <w:sz w:val="24"/>
          <w:szCs w:val="24"/>
          <w:lang w:val="en-GB"/>
        </w:rPr>
        <w:lastRenderedPageBreak/>
        <w:t>Table 3 M</w:t>
      </w:r>
      <w:proofErr w:type="spellStart"/>
      <w:r w:rsidRPr="00E96499">
        <w:rPr>
          <w:rFonts w:ascii="Book Antiqua" w:hAnsi="Book Antiqua"/>
          <w:b/>
          <w:color w:val="000000"/>
          <w:sz w:val="24"/>
          <w:szCs w:val="24"/>
        </w:rPr>
        <w:t>ultivariate</w:t>
      </w:r>
      <w:proofErr w:type="spellEnd"/>
      <w:r w:rsidRPr="00E96499">
        <w:rPr>
          <w:rFonts w:ascii="Book Antiqua" w:hAnsi="Book Antiqua"/>
          <w:b/>
          <w:color w:val="000000"/>
          <w:sz w:val="24"/>
          <w:szCs w:val="24"/>
        </w:rPr>
        <w:t xml:space="preserve"> analysis using Cox proportional hazard model, </w:t>
      </w:r>
      <w:r w:rsidRPr="00E96499">
        <w:rPr>
          <w:rFonts w:ascii="Book Antiqua" w:hAnsi="Book Antiqua"/>
          <w:b/>
          <w:i/>
          <w:color w:val="000000"/>
          <w:sz w:val="24"/>
          <w:szCs w:val="24"/>
        </w:rPr>
        <w:t>n</w:t>
      </w:r>
      <w:r w:rsidRPr="00E96499">
        <w:rPr>
          <w:rFonts w:ascii="Book Antiqua" w:hAnsi="Book Antiqua"/>
          <w:b/>
          <w:color w:val="000000"/>
          <w:sz w:val="24"/>
          <w:szCs w:val="24"/>
        </w:rPr>
        <w:t xml:space="preserve"> (%)</w:t>
      </w:r>
    </w:p>
    <w:tbl>
      <w:tblPr>
        <w:tblW w:w="9498" w:type="dxa"/>
        <w:tblInd w:w="-601" w:type="dxa"/>
        <w:tblBorders>
          <w:top w:val="single" w:sz="4" w:space="0" w:color="auto"/>
          <w:bottom w:val="single" w:sz="4" w:space="0" w:color="auto"/>
        </w:tblBorders>
        <w:tblLayout w:type="fixed"/>
        <w:tblLook w:val="00A0" w:firstRow="1" w:lastRow="0" w:firstColumn="1" w:lastColumn="0" w:noHBand="0" w:noVBand="0"/>
      </w:tblPr>
      <w:tblGrid>
        <w:gridCol w:w="1843"/>
        <w:gridCol w:w="567"/>
        <w:gridCol w:w="1276"/>
        <w:gridCol w:w="1428"/>
        <w:gridCol w:w="1653"/>
        <w:gridCol w:w="1653"/>
        <w:gridCol w:w="1078"/>
      </w:tblGrid>
      <w:tr w:rsidR="00050EB1" w:rsidRPr="00E96499" w14:paraId="2D17BFC4" w14:textId="77777777" w:rsidTr="00050EB1">
        <w:trPr>
          <w:trHeight w:val="423"/>
        </w:trPr>
        <w:tc>
          <w:tcPr>
            <w:tcW w:w="1843" w:type="dxa"/>
            <w:tcBorders>
              <w:top w:val="single" w:sz="4" w:space="0" w:color="auto"/>
              <w:bottom w:val="single" w:sz="4" w:space="0" w:color="auto"/>
            </w:tcBorders>
            <w:noWrap/>
          </w:tcPr>
          <w:p w14:paraId="42B81139" w14:textId="77777777" w:rsidR="00C653B2" w:rsidRPr="00E96499" w:rsidRDefault="00C653B2" w:rsidP="00E96499">
            <w:pPr>
              <w:widowControl/>
              <w:adjustRightInd w:val="0"/>
              <w:snapToGrid w:val="0"/>
              <w:spacing w:line="360" w:lineRule="auto"/>
              <w:rPr>
                <w:rFonts w:ascii="Book Antiqua" w:hAnsi="Book Antiqua"/>
                <w:b/>
                <w:color w:val="000000"/>
                <w:kern w:val="0"/>
                <w:sz w:val="24"/>
                <w:szCs w:val="24"/>
              </w:rPr>
            </w:pPr>
            <w:r w:rsidRPr="00E96499">
              <w:rPr>
                <w:rFonts w:ascii="Book Antiqua" w:hAnsi="Book Antiqua"/>
                <w:b/>
                <w:color w:val="000000"/>
                <w:kern w:val="0"/>
                <w:sz w:val="24"/>
                <w:szCs w:val="24"/>
              </w:rPr>
              <w:t>Characteristics</w:t>
            </w:r>
          </w:p>
        </w:tc>
        <w:tc>
          <w:tcPr>
            <w:tcW w:w="567" w:type="dxa"/>
            <w:tcBorders>
              <w:top w:val="single" w:sz="4" w:space="0" w:color="auto"/>
              <w:bottom w:val="single" w:sz="4" w:space="0" w:color="auto"/>
            </w:tcBorders>
            <w:noWrap/>
          </w:tcPr>
          <w:p w14:paraId="2A7991EC" w14:textId="77777777" w:rsidR="00C653B2" w:rsidRPr="00E96499" w:rsidRDefault="00C653B2" w:rsidP="00E96499">
            <w:pPr>
              <w:widowControl/>
              <w:adjustRightInd w:val="0"/>
              <w:snapToGrid w:val="0"/>
              <w:spacing w:line="360" w:lineRule="auto"/>
              <w:rPr>
                <w:rFonts w:ascii="Book Antiqua" w:hAnsi="Book Antiqua"/>
                <w:b/>
                <w:i/>
                <w:color w:val="000000"/>
                <w:kern w:val="0"/>
                <w:sz w:val="24"/>
                <w:szCs w:val="24"/>
              </w:rPr>
            </w:pPr>
            <w:r w:rsidRPr="00E96499">
              <w:rPr>
                <w:rFonts w:ascii="Book Antiqua" w:hAnsi="Book Antiqua"/>
                <w:b/>
                <w:i/>
                <w:color w:val="000000"/>
                <w:kern w:val="0"/>
                <w:sz w:val="24"/>
                <w:szCs w:val="24"/>
              </w:rPr>
              <w:t>n</w:t>
            </w:r>
          </w:p>
        </w:tc>
        <w:tc>
          <w:tcPr>
            <w:tcW w:w="1276" w:type="dxa"/>
            <w:tcBorders>
              <w:top w:val="single" w:sz="4" w:space="0" w:color="auto"/>
              <w:bottom w:val="single" w:sz="4" w:space="0" w:color="auto"/>
            </w:tcBorders>
            <w:noWrap/>
          </w:tcPr>
          <w:p w14:paraId="14DFD8E3" w14:textId="77777777" w:rsidR="00C653B2" w:rsidRPr="00E96499" w:rsidRDefault="00C653B2" w:rsidP="00E96499">
            <w:pPr>
              <w:widowControl/>
              <w:adjustRightInd w:val="0"/>
              <w:snapToGrid w:val="0"/>
              <w:spacing w:line="360" w:lineRule="auto"/>
              <w:rPr>
                <w:rFonts w:ascii="Book Antiqua" w:hAnsi="Book Antiqua"/>
                <w:b/>
                <w:color w:val="000000"/>
                <w:kern w:val="0"/>
                <w:sz w:val="24"/>
                <w:szCs w:val="24"/>
              </w:rPr>
            </w:pPr>
            <w:r w:rsidRPr="00E96499">
              <w:rPr>
                <w:rFonts w:ascii="Book Antiqua" w:hAnsi="Book Antiqua"/>
                <w:b/>
                <w:color w:val="000000"/>
                <w:kern w:val="0"/>
                <w:sz w:val="24"/>
                <w:szCs w:val="24"/>
              </w:rPr>
              <w:t>Median OS (</w:t>
            </w:r>
            <w:proofErr w:type="spellStart"/>
            <w:r w:rsidRPr="00E96499">
              <w:rPr>
                <w:rFonts w:ascii="Book Antiqua" w:hAnsi="Book Antiqua"/>
                <w:b/>
                <w:color w:val="000000"/>
                <w:kern w:val="0"/>
                <w:sz w:val="24"/>
                <w:szCs w:val="24"/>
              </w:rPr>
              <w:t>mo</w:t>
            </w:r>
            <w:proofErr w:type="spellEnd"/>
            <w:r w:rsidRPr="00E96499">
              <w:rPr>
                <w:rFonts w:ascii="Book Antiqua" w:hAnsi="Book Antiqua"/>
                <w:b/>
                <w:color w:val="000000"/>
                <w:kern w:val="0"/>
                <w:sz w:val="24"/>
                <w:szCs w:val="24"/>
              </w:rPr>
              <w:t>)</w:t>
            </w:r>
          </w:p>
        </w:tc>
        <w:tc>
          <w:tcPr>
            <w:tcW w:w="1428" w:type="dxa"/>
            <w:tcBorders>
              <w:top w:val="single" w:sz="4" w:space="0" w:color="auto"/>
              <w:bottom w:val="single" w:sz="4" w:space="0" w:color="auto"/>
            </w:tcBorders>
            <w:noWrap/>
          </w:tcPr>
          <w:p w14:paraId="6A90413F" w14:textId="3C3BD8EA" w:rsidR="00C653B2" w:rsidRPr="00E96499" w:rsidRDefault="00C653B2" w:rsidP="00E96499">
            <w:pPr>
              <w:widowControl/>
              <w:adjustRightInd w:val="0"/>
              <w:snapToGrid w:val="0"/>
              <w:spacing w:line="360" w:lineRule="auto"/>
              <w:rPr>
                <w:rFonts w:ascii="Book Antiqua" w:hAnsi="Book Antiqua"/>
                <w:b/>
                <w:color w:val="000000"/>
                <w:kern w:val="0"/>
                <w:sz w:val="24"/>
                <w:szCs w:val="24"/>
              </w:rPr>
            </w:pPr>
            <w:r w:rsidRPr="00E96499">
              <w:rPr>
                <w:rFonts w:ascii="Book Antiqua" w:hAnsi="Book Antiqua"/>
                <w:b/>
                <w:color w:val="000000"/>
                <w:kern w:val="0"/>
                <w:sz w:val="24"/>
                <w:szCs w:val="24"/>
              </w:rPr>
              <w:t>1-yr survival</w:t>
            </w:r>
          </w:p>
        </w:tc>
        <w:tc>
          <w:tcPr>
            <w:tcW w:w="1653" w:type="dxa"/>
            <w:tcBorders>
              <w:top w:val="single" w:sz="4" w:space="0" w:color="auto"/>
              <w:bottom w:val="single" w:sz="4" w:space="0" w:color="auto"/>
            </w:tcBorders>
            <w:noWrap/>
          </w:tcPr>
          <w:p w14:paraId="3B240459" w14:textId="384D6172" w:rsidR="00C653B2" w:rsidRPr="00E96499" w:rsidRDefault="00C653B2" w:rsidP="00E96499">
            <w:pPr>
              <w:widowControl/>
              <w:adjustRightInd w:val="0"/>
              <w:snapToGrid w:val="0"/>
              <w:spacing w:line="360" w:lineRule="auto"/>
              <w:rPr>
                <w:rFonts w:ascii="Book Antiqua" w:hAnsi="Book Antiqua"/>
                <w:b/>
                <w:color w:val="000000"/>
                <w:kern w:val="0"/>
                <w:sz w:val="24"/>
                <w:szCs w:val="24"/>
              </w:rPr>
            </w:pPr>
            <w:r w:rsidRPr="00E96499">
              <w:rPr>
                <w:rFonts w:ascii="Book Antiqua" w:hAnsi="Book Antiqua"/>
                <w:b/>
                <w:color w:val="000000"/>
                <w:kern w:val="0"/>
                <w:sz w:val="24"/>
                <w:szCs w:val="24"/>
              </w:rPr>
              <w:t>2-yr survival</w:t>
            </w:r>
          </w:p>
        </w:tc>
        <w:tc>
          <w:tcPr>
            <w:tcW w:w="1653" w:type="dxa"/>
            <w:tcBorders>
              <w:top w:val="single" w:sz="4" w:space="0" w:color="auto"/>
              <w:bottom w:val="single" w:sz="4" w:space="0" w:color="auto"/>
            </w:tcBorders>
            <w:noWrap/>
          </w:tcPr>
          <w:p w14:paraId="6FC7AAD6" w14:textId="1B27A747" w:rsidR="00C653B2" w:rsidRPr="00E96499" w:rsidRDefault="00C653B2" w:rsidP="00E96499">
            <w:pPr>
              <w:widowControl/>
              <w:adjustRightInd w:val="0"/>
              <w:snapToGrid w:val="0"/>
              <w:spacing w:line="360" w:lineRule="auto"/>
              <w:rPr>
                <w:rFonts w:ascii="Book Antiqua" w:hAnsi="Book Antiqua"/>
                <w:b/>
                <w:color w:val="000000"/>
                <w:kern w:val="0"/>
                <w:sz w:val="24"/>
                <w:szCs w:val="24"/>
              </w:rPr>
            </w:pPr>
            <w:r w:rsidRPr="00E96499">
              <w:rPr>
                <w:rFonts w:ascii="Book Antiqua" w:hAnsi="Book Antiqua"/>
                <w:b/>
                <w:color w:val="000000"/>
                <w:kern w:val="0"/>
                <w:sz w:val="24"/>
                <w:szCs w:val="24"/>
              </w:rPr>
              <w:t>3-yr survival</w:t>
            </w:r>
          </w:p>
        </w:tc>
        <w:tc>
          <w:tcPr>
            <w:tcW w:w="1078" w:type="dxa"/>
            <w:tcBorders>
              <w:top w:val="single" w:sz="4" w:space="0" w:color="auto"/>
              <w:bottom w:val="single" w:sz="4" w:space="0" w:color="auto"/>
            </w:tcBorders>
            <w:noWrap/>
          </w:tcPr>
          <w:p w14:paraId="59F1D225" w14:textId="7BE669DD" w:rsidR="00C653B2" w:rsidRPr="00E96499" w:rsidRDefault="00C653B2" w:rsidP="00E96499">
            <w:pPr>
              <w:widowControl/>
              <w:adjustRightInd w:val="0"/>
              <w:snapToGrid w:val="0"/>
              <w:spacing w:line="360" w:lineRule="auto"/>
              <w:rPr>
                <w:rFonts w:ascii="Book Antiqua" w:hAnsi="Book Antiqua"/>
                <w:b/>
                <w:color w:val="000000"/>
                <w:kern w:val="0"/>
                <w:sz w:val="24"/>
                <w:szCs w:val="24"/>
              </w:rPr>
            </w:pPr>
            <w:r w:rsidRPr="00E96499">
              <w:rPr>
                <w:rFonts w:ascii="Book Antiqua" w:hAnsi="Book Antiqua"/>
                <w:b/>
                <w:i/>
                <w:iCs/>
                <w:color w:val="000000"/>
                <w:kern w:val="0"/>
                <w:sz w:val="24"/>
                <w:szCs w:val="24"/>
              </w:rPr>
              <w:t xml:space="preserve">P </w:t>
            </w:r>
            <w:r w:rsidRPr="00E96499">
              <w:rPr>
                <w:rFonts w:ascii="Book Antiqua" w:hAnsi="Book Antiqua"/>
                <w:b/>
                <w:iCs/>
                <w:color w:val="000000"/>
                <w:kern w:val="0"/>
                <w:sz w:val="24"/>
                <w:szCs w:val="24"/>
              </w:rPr>
              <w:t>value</w:t>
            </w:r>
          </w:p>
        </w:tc>
      </w:tr>
      <w:tr w:rsidR="00050EB1" w:rsidRPr="00E96499" w14:paraId="3EDAEC67" w14:textId="77777777" w:rsidTr="00050EB1">
        <w:trPr>
          <w:trHeight w:val="423"/>
        </w:trPr>
        <w:tc>
          <w:tcPr>
            <w:tcW w:w="1843" w:type="dxa"/>
            <w:tcBorders>
              <w:top w:val="single" w:sz="4" w:space="0" w:color="auto"/>
            </w:tcBorders>
            <w:noWrap/>
          </w:tcPr>
          <w:p w14:paraId="03249261" w14:textId="77777777" w:rsidR="00C653B2" w:rsidRPr="00E96499" w:rsidRDefault="00C653B2" w:rsidP="00E96499">
            <w:pPr>
              <w:widowControl/>
              <w:adjustRightInd w:val="0"/>
              <w:snapToGrid w:val="0"/>
              <w:spacing w:line="360" w:lineRule="auto"/>
              <w:rPr>
                <w:rFonts w:ascii="Book Antiqua" w:hAnsi="Book Antiqua"/>
                <w:b/>
                <w:bCs/>
                <w:color w:val="000000"/>
                <w:kern w:val="0"/>
                <w:sz w:val="24"/>
                <w:szCs w:val="24"/>
              </w:rPr>
            </w:pPr>
            <w:r w:rsidRPr="00E96499">
              <w:rPr>
                <w:rFonts w:ascii="Book Antiqua" w:hAnsi="Book Antiqua"/>
                <w:b/>
                <w:bCs/>
                <w:color w:val="000000"/>
                <w:kern w:val="0"/>
                <w:sz w:val="24"/>
                <w:szCs w:val="24"/>
              </w:rPr>
              <w:t>Sex</w:t>
            </w:r>
          </w:p>
        </w:tc>
        <w:tc>
          <w:tcPr>
            <w:tcW w:w="567" w:type="dxa"/>
            <w:tcBorders>
              <w:top w:val="single" w:sz="4" w:space="0" w:color="auto"/>
            </w:tcBorders>
            <w:noWrap/>
          </w:tcPr>
          <w:p w14:paraId="2D10545A"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tcBorders>
              <w:top w:val="single" w:sz="4" w:space="0" w:color="auto"/>
            </w:tcBorders>
            <w:noWrap/>
          </w:tcPr>
          <w:p w14:paraId="6680D49E"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tcBorders>
              <w:top w:val="single" w:sz="4" w:space="0" w:color="auto"/>
            </w:tcBorders>
            <w:noWrap/>
          </w:tcPr>
          <w:p w14:paraId="77698CA8"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tcBorders>
              <w:top w:val="single" w:sz="4" w:space="0" w:color="auto"/>
            </w:tcBorders>
            <w:noWrap/>
          </w:tcPr>
          <w:p w14:paraId="27461260"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tcBorders>
              <w:top w:val="single" w:sz="4" w:space="0" w:color="auto"/>
            </w:tcBorders>
            <w:noWrap/>
          </w:tcPr>
          <w:p w14:paraId="463BC4C4"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tcBorders>
              <w:top w:val="single" w:sz="4" w:space="0" w:color="auto"/>
            </w:tcBorders>
            <w:noWrap/>
          </w:tcPr>
          <w:p w14:paraId="7DF86F83" w14:textId="0C087BFB" w:rsidR="00C653B2" w:rsidRPr="00E96499" w:rsidRDefault="00267046" w:rsidP="00E96499">
            <w:pPr>
              <w:widowControl/>
              <w:adjustRightInd w:val="0"/>
              <w:snapToGrid w:val="0"/>
              <w:spacing w:line="360" w:lineRule="auto"/>
              <w:rPr>
                <w:rFonts w:ascii="Book Antiqua" w:eastAsia="MingLiU" w:hAnsi="Book Antiqua"/>
                <w:color w:val="000000"/>
                <w:kern w:val="0"/>
                <w:sz w:val="24"/>
                <w:szCs w:val="24"/>
              </w:rPr>
            </w:pPr>
            <w:r w:rsidRPr="00474499">
              <w:rPr>
                <w:rFonts w:ascii="Book Antiqua" w:hAnsi="Book Antiqua"/>
                <w:color w:val="000000"/>
                <w:kern w:val="0"/>
                <w:sz w:val="24"/>
                <w:szCs w:val="24"/>
              </w:rPr>
              <w:t>0</w:t>
            </w:r>
            <w:r w:rsidR="00C653B2" w:rsidRPr="00E96499">
              <w:rPr>
                <w:rFonts w:ascii="Book Antiqua" w:eastAsia="MingLiU" w:hAnsi="Book Antiqua"/>
                <w:color w:val="000000"/>
                <w:kern w:val="0"/>
                <w:sz w:val="24"/>
                <w:szCs w:val="24"/>
              </w:rPr>
              <w:t>.031</w:t>
            </w:r>
          </w:p>
        </w:tc>
      </w:tr>
      <w:tr w:rsidR="00C653B2" w:rsidRPr="00E96499" w14:paraId="064823AA" w14:textId="77777777" w:rsidTr="00050EB1">
        <w:trPr>
          <w:trHeight w:val="423"/>
        </w:trPr>
        <w:tc>
          <w:tcPr>
            <w:tcW w:w="1843" w:type="dxa"/>
            <w:noWrap/>
          </w:tcPr>
          <w:p w14:paraId="6FABEFFA" w14:textId="3378EEC6"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Female</w:t>
            </w:r>
          </w:p>
        </w:tc>
        <w:tc>
          <w:tcPr>
            <w:tcW w:w="567" w:type="dxa"/>
            <w:noWrap/>
          </w:tcPr>
          <w:p w14:paraId="32222B61"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4</w:t>
            </w:r>
          </w:p>
        </w:tc>
        <w:tc>
          <w:tcPr>
            <w:tcW w:w="1276" w:type="dxa"/>
            <w:noWrap/>
          </w:tcPr>
          <w:p w14:paraId="63E6EEBE"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10.5</w:t>
            </w:r>
          </w:p>
        </w:tc>
        <w:tc>
          <w:tcPr>
            <w:tcW w:w="1428" w:type="dxa"/>
            <w:noWrap/>
          </w:tcPr>
          <w:p w14:paraId="2D61EC4E" w14:textId="4EE96E9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5</w:t>
            </w:r>
            <w:r w:rsidR="00D94F28" w:rsidRPr="00E96499">
              <w:rPr>
                <w:rFonts w:ascii="Book Antiqua" w:hAnsi="Book Antiqua"/>
                <w:color w:val="000000"/>
                <w:kern w:val="0"/>
                <w:sz w:val="24"/>
                <w:szCs w:val="24"/>
              </w:rPr>
              <w:t>0.0</w:t>
            </w:r>
            <w:r w:rsidRPr="00E96499">
              <w:rPr>
                <w:rFonts w:ascii="Book Antiqua" w:hAnsi="Book Antiqua"/>
                <w:color w:val="000000"/>
                <w:kern w:val="0"/>
                <w:sz w:val="24"/>
                <w:szCs w:val="24"/>
              </w:rPr>
              <w:t>)</w:t>
            </w:r>
          </w:p>
        </w:tc>
        <w:tc>
          <w:tcPr>
            <w:tcW w:w="1653" w:type="dxa"/>
            <w:noWrap/>
          </w:tcPr>
          <w:p w14:paraId="20B33ACA" w14:textId="18BB2D4E"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25</w:t>
            </w:r>
            <w:r w:rsidR="00D94F28" w:rsidRPr="00E96499">
              <w:rPr>
                <w:rFonts w:ascii="Book Antiqua" w:hAnsi="Book Antiqua"/>
                <w:color w:val="000000"/>
                <w:kern w:val="0"/>
                <w:sz w:val="24"/>
                <w:szCs w:val="24"/>
              </w:rPr>
              <w:t>.0</w:t>
            </w:r>
            <w:r w:rsidRPr="00E96499">
              <w:rPr>
                <w:rFonts w:ascii="Book Antiqua" w:hAnsi="Book Antiqua"/>
                <w:color w:val="000000"/>
                <w:kern w:val="0"/>
                <w:sz w:val="24"/>
                <w:szCs w:val="24"/>
              </w:rPr>
              <w:t>)</w:t>
            </w:r>
          </w:p>
        </w:tc>
        <w:tc>
          <w:tcPr>
            <w:tcW w:w="1653" w:type="dxa"/>
            <w:noWrap/>
          </w:tcPr>
          <w:p w14:paraId="16E311AE"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0</w:t>
            </w:r>
          </w:p>
        </w:tc>
        <w:tc>
          <w:tcPr>
            <w:tcW w:w="1078" w:type="dxa"/>
            <w:noWrap/>
          </w:tcPr>
          <w:p w14:paraId="2029FFD4"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6F930DFF" w14:textId="77777777" w:rsidTr="00050EB1">
        <w:trPr>
          <w:trHeight w:val="423"/>
        </w:trPr>
        <w:tc>
          <w:tcPr>
            <w:tcW w:w="1843" w:type="dxa"/>
            <w:noWrap/>
          </w:tcPr>
          <w:p w14:paraId="188CD45A"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Male</w:t>
            </w:r>
          </w:p>
        </w:tc>
        <w:tc>
          <w:tcPr>
            <w:tcW w:w="567" w:type="dxa"/>
            <w:noWrap/>
          </w:tcPr>
          <w:p w14:paraId="6DBB3EE2"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42</w:t>
            </w:r>
          </w:p>
        </w:tc>
        <w:tc>
          <w:tcPr>
            <w:tcW w:w="1276" w:type="dxa"/>
            <w:noWrap/>
          </w:tcPr>
          <w:p w14:paraId="43685B2A"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34.5</w:t>
            </w:r>
          </w:p>
        </w:tc>
        <w:tc>
          <w:tcPr>
            <w:tcW w:w="1428" w:type="dxa"/>
            <w:noWrap/>
          </w:tcPr>
          <w:p w14:paraId="157E25DD" w14:textId="04CE0FAC"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31</w:t>
            </w:r>
            <w:r w:rsidR="00267046"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(73</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8)</w:t>
            </w:r>
          </w:p>
        </w:tc>
        <w:tc>
          <w:tcPr>
            <w:tcW w:w="1653" w:type="dxa"/>
            <w:noWrap/>
          </w:tcPr>
          <w:p w14:paraId="237F4D54" w14:textId="73C20DCE"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27</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64</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3)</w:t>
            </w:r>
          </w:p>
        </w:tc>
        <w:tc>
          <w:tcPr>
            <w:tcW w:w="1653" w:type="dxa"/>
            <w:noWrap/>
          </w:tcPr>
          <w:p w14:paraId="65C65246" w14:textId="74D61210"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23</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54</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5)</w:t>
            </w:r>
          </w:p>
        </w:tc>
        <w:tc>
          <w:tcPr>
            <w:tcW w:w="1078" w:type="dxa"/>
            <w:noWrap/>
          </w:tcPr>
          <w:p w14:paraId="044F4191"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314DE68C" w14:textId="77777777" w:rsidTr="00050EB1">
        <w:trPr>
          <w:trHeight w:val="423"/>
        </w:trPr>
        <w:tc>
          <w:tcPr>
            <w:tcW w:w="1843" w:type="dxa"/>
            <w:noWrap/>
          </w:tcPr>
          <w:p w14:paraId="778CE3EC" w14:textId="76C4B7F6" w:rsidR="00C653B2" w:rsidRPr="00E96499" w:rsidRDefault="00C653B2" w:rsidP="00E96499">
            <w:pPr>
              <w:widowControl/>
              <w:adjustRightInd w:val="0"/>
              <w:snapToGrid w:val="0"/>
              <w:spacing w:line="360" w:lineRule="auto"/>
              <w:rPr>
                <w:rFonts w:ascii="Book Antiqua" w:hAnsi="Book Antiqua"/>
                <w:b/>
                <w:bCs/>
                <w:color w:val="000000"/>
                <w:kern w:val="0"/>
                <w:sz w:val="24"/>
                <w:szCs w:val="24"/>
              </w:rPr>
            </w:pPr>
            <w:r w:rsidRPr="00E96499">
              <w:rPr>
                <w:rFonts w:ascii="Book Antiqua" w:hAnsi="Book Antiqua"/>
                <w:b/>
                <w:bCs/>
                <w:color w:val="000000"/>
                <w:kern w:val="0"/>
                <w:sz w:val="24"/>
                <w:szCs w:val="24"/>
              </w:rPr>
              <w:t>Age (</w:t>
            </w:r>
            <w:proofErr w:type="spellStart"/>
            <w:r w:rsidR="00990D16" w:rsidRPr="00E96499">
              <w:rPr>
                <w:rFonts w:ascii="Book Antiqua" w:hAnsi="Book Antiqua"/>
                <w:b/>
                <w:bCs/>
                <w:color w:val="000000"/>
                <w:kern w:val="0"/>
                <w:sz w:val="24"/>
                <w:szCs w:val="24"/>
              </w:rPr>
              <w:t>yr</w:t>
            </w:r>
            <w:proofErr w:type="spellEnd"/>
            <w:r w:rsidRPr="00E96499">
              <w:rPr>
                <w:rFonts w:ascii="Book Antiqua" w:hAnsi="Book Antiqua"/>
                <w:b/>
                <w:bCs/>
                <w:color w:val="000000"/>
                <w:kern w:val="0"/>
                <w:sz w:val="24"/>
                <w:szCs w:val="24"/>
              </w:rPr>
              <w:t>)</w:t>
            </w:r>
          </w:p>
        </w:tc>
        <w:tc>
          <w:tcPr>
            <w:tcW w:w="567" w:type="dxa"/>
            <w:noWrap/>
          </w:tcPr>
          <w:p w14:paraId="7310D156"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14:paraId="673BD324"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14:paraId="7D1FF280"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4DA72451"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20290F0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14:paraId="6231F341" w14:textId="3C89025B" w:rsidR="00C653B2" w:rsidRPr="00E96499" w:rsidRDefault="00267046" w:rsidP="00E96499">
            <w:pPr>
              <w:widowControl/>
              <w:adjustRightInd w:val="0"/>
              <w:snapToGrid w:val="0"/>
              <w:spacing w:line="360" w:lineRule="auto"/>
              <w:rPr>
                <w:rFonts w:ascii="Book Antiqua" w:eastAsia="MingLiU" w:hAnsi="Book Antiqua"/>
                <w:color w:val="000000"/>
                <w:kern w:val="0"/>
                <w:sz w:val="24"/>
                <w:szCs w:val="24"/>
              </w:rPr>
            </w:pPr>
            <w:r w:rsidRPr="00474499">
              <w:rPr>
                <w:rFonts w:ascii="Book Antiqua" w:hAnsi="Book Antiqua"/>
                <w:color w:val="000000"/>
                <w:kern w:val="0"/>
                <w:sz w:val="24"/>
                <w:szCs w:val="24"/>
              </w:rPr>
              <w:t>0</w:t>
            </w:r>
            <w:r w:rsidR="00C653B2" w:rsidRPr="00E96499">
              <w:rPr>
                <w:rFonts w:ascii="Book Antiqua" w:eastAsia="MingLiU" w:hAnsi="Book Antiqua"/>
                <w:color w:val="000000"/>
                <w:kern w:val="0"/>
                <w:sz w:val="24"/>
                <w:szCs w:val="24"/>
              </w:rPr>
              <w:t>.264</w:t>
            </w:r>
          </w:p>
        </w:tc>
      </w:tr>
      <w:tr w:rsidR="00C653B2" w:rsidRPr="00E96499" w14:paraId="4D3A7D8B" w14:textId="77777777" w:rsidTr="00050EB1">
        <w:trPr>
          <w:trHeight w:val="423"/>
        </w:trPr>
        <w:tc>
          <w:tcPr>
            <w:tcW w:w="1843" w:type="dxa"/>
            <w:noWrap/>
          </w:tcPr>
          <w:p w14:paraId="14924BD9" w14:textId="14E484EA"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w:t>
            </w:r>
            <w:r w:rsidR="00990D16"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60</w:t>
            </w:r>
          </w:p>
        </w:tc>
        <w:tc>
          <w:tcPr>
            <w:tcW w:w="567" w:type="dxa"/>
            <w:noWrap/>
          </w:tcPr>
          <w:p w14:paraId="4B74862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37</w:t>
            </w:r>
          </w:p>
        </w:tc>
        <w:tc>
          <w:tcPr>
            <w:tcW w:w="1276" w:type="dxa"/>
            <w:noWrap/>
          </w:tcPr>
          <w:p w14:paraId="504B09C4"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34</w:t>
            </w:r>
          </w:p>
        </w:tc>
        <w:tc>
          <w:tcPr>
            <w:tcW w:w="1428" w:type="dxa"/>
            <w:noWrap/>
          </w:tcPr>
          <w:p w14:paraId="69C27340" w14:textId="20FFFE73"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26</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70</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3)</w:t>
            </w:r>
          </w:p>
        </w:tc>
        <w:tc>
          <w:tcPr>
            <w:tcW w:w="1653" w:type="dxa"/>
            <w:noWrap/>
          </w:tcPr>
          <w:p w14:paraId="63CC504A" w14:textId="5B5D4141"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22</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59</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5)</w:t>
            </w:r>
          </w:p>
        </w:tc>
        <w:tc>
          <w:tcPr>
            <w:tcW w:w="1653" w:type="dxa"/>
            <w:noWrap/>
          </w:tcPr>
          <w:p w14:paraId="30311242" w14:textId="11129C18"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20</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54</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1)</w:t>
            </w:r>
          </w:p>
        </w:tc>
        <w:tc>
          <w:tcPr>
            <w:tcW w:w="1078" w:type="dxa"/>
            <w:noWrap/>
          </w:tcPr>
          <w:p w14:paraId="65962C9D"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26338D28" w14:textId="77777777" w:rsidTr="00050EB1">
        <w:trPr>
          <w:trHeight w:val="423"/>
        </w:trPr>
        <w:tc>
          <w:tcPr>
            <w:tcW w:w="1843" w:type="dxa"/>
            <w:noWrap/>
          </w:tcPr>
          <w:p w14:paraId="57EF16A9" w14:textId="374396ED"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&gt;</w:t>
            </w:r>
            <w:r w:rsidR="00990D16"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60</w:t>
            </w:r>
          </w:p>
        </w:tc>
        <w:tc>
          <w:tcPr>
            <w:tcW w:w="567" w:type="dxa"/>
            <w:noWrap/>
          </w:tcPr>
          <w:p w14:paraId="0A45311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9</w:t>
            </w:r>
          </w:p>
        </w:tc>
        <w:tc>
          <w:tcPr>
            <w:tcW w:w="1276" w:type="dxa"/>
            <w:noWrap/>
          </w:tcPr>
          <w:p w14:paraId="1B78A462"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35</w:t>
            </w:r>
          </w:p>
        </w:tc>
        <w:tc>
          <w:tcPr>
            <w:tcW w:w="1428" w:type="dxa"/>
            <w:noWrap/>
          </w:tcPr>
          <w:p w14:paraId="7E470E74" w14:textId="21745C7D"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7</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77</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8)</w:t>
            </w:r>
          </w:p>
        </w:tc>
        <w:tc>
          <w:tcPr>
            <w:tcW w:w="1653" w:type="dxa"/>
            <w:noWrap/>
          </w:tcPr>
          <w:p w14:paraId="07026397" w14:textId="6F82AE4E"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6</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66</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7)</w:t>
            </w:r>
          </w:p>
        </w:tc>
        <w:tc>
          <w:tcPr>
            <w:tcW w:w="1653" w:type="dxa"/>
            <w:noWrap/>
          </w:tcPr>
          <w:p w14:paraId="01B35D78" w14:textId="49FEEE19"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4</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44</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4)</w:t>
            </w:r>
          </w:p>
        </w:tc>
        <w:tc>
          <w:tcPr>
            <w:tcW w:w="1078" w:type="dxa"/>
            <w:noWrap/>
          </w:tcPr>
          <w:p w14:paraId="59156E41"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561E4573" w14:textId="77777777" w:rsidTr="00050EB1">
        <w:trPr>
          <w:trHeight w:val="423"/>
        </w:trPr>
        <w:tc>
          <w:tcPr>
            <w:tcW w:w="1843" w:type="dxa"/>
            <w:noWrap/>
          </w:tcPr>
          <w:p w14:paraId="22BB0456" w14:textId="2674CBA6" w:rsidR="00C653B2" w:rsidRPr="00E96499" w:rsidRDefault="00C653B2" w:rsidP="00E96499">
            <w:pPr>
              <w:widowControl/>
              <w:adjustRightInd w:val="0"/>
              <w:snapToGrid w:val="0"/>
              <w:spacing w:line="360" w:lineRule="auto"/>
              <w:rPr>
                <w:rFonts w:ascii="Book Antiqua" w:hAnsi="Book Antiqua"/>
                <w:b/>
                <w:bCs/>
                <w:color w:val="000000"/>
                <w:kern w:val="0"/>
                <w:sz w:val="24"/>
                <w:szCs w:val="24"/>
              </w:rPr>
            </w:pPr>
            <w:r w:rsidRPr="00E96499">
              <w:rPr>
                <w:rFonts w:ascii="Book Antiqua" w:hAnsi="Book Antiqua"/>
                <w:b/>
                <w:bCs/>
                <w:color w:val="000000"/>
                <w:kern w:val="0"/>
                <w:sz w:val="24"/>
                <w:szCs w:val="24"/>
              </w:rPr>
              <w:t>BCLC staging</w:t>
            </w:r>
          </w:p>
        </w:tc>
        <w:tc>
          <w:tcPr>
            <w:tcW w:w="567" w:type="dxa"/>
            <w:noWrap/>
          </w:tcPr>
          <w:p w14:paraId="7BA211AF"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14:paraId="138D5A7E"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14:paraId="30D54740"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011B33ED"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0BA3BE21"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14:paraId="23C19FDA" w14:textId="6F2C4368" w:rsidR="00C653B2" w:rsidRPr="00E96499" w:rsidRDefault="00267046" w:rsidP="00E96499">
            <w:pPr>
              <w:widowControl/>
              <w:adjustRightInd w:val="0"/>
              <w:snapToGrid w:val="0"/>
              <w:spacing w:line="360" w:lineRule="auto"/>
              <w:rPr>
                <w:rFonts w:ascii="Book Antiqua" w:eastAsia="MingLiU" w:hAnsi="Book Antiqua"/>
                <w:color w:val="000000"/>
                <w:kern w:val="0"/>
                <w:sz w:val="24"/>
                <w:szCs w:val="24"/>
              </w:rPr>
            </w:pPr>
            <w:r w:rsidRPr="00474499">
              <w:rPr>
                <w:rFonts w:ascii="Book Antiqua" w:hAnsi="Book Antiqua"/>
                <w:color w:val="000000"/>
                <w:kern w:val="0"/>
                <w:sz w:val="24"/>
                <w:szCs w:val="24"/>
              </w:rPr>
              <w:t>0</w:t>
            </w:r>
            <w:r w:rsidR="00C653B2" w:rsidRPr="00E96499">
              <w:rPr>
                <w:rFonts w:ascii="Book Antiqua" w:eastAsia="MingLiU" w:hAnsi="Book Antiqua"/>
                <w:color w:val="000000"/>
                <w:kern w:val="0"/>
                <w:sz w:val="24"/>
                <w:szCs w:val="24"/>
              </w:rPr>
              <w:t>.657</w:t>
            </w:r>
          </w:p>
        </w:tc>
      </w:tr>
      <w:tr w:rsidR="00C653B2" w:rsidRPr="00E96499" w14:paraId="3B041223" w14:textId="77777777" w:rsidTr="00050EB1">
        <w:trPr>
          <w:trHeight w:val="423"/>
        </w:trPr>
        <w:tc>
          <w:tcPr>
            <w:tcW w:w="1843" w:type="dxa"/>
            <w:noWrap/>
          </w:tcPr>
          <w:p w14:paraId="625B2767"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B</w:t>
            </w:r>
          </w:p>
        </w:tc>
        <w:tc>
          <w:tcPr>
            <w:tcW w:w="567" w:type="dxa"/>
            <w:noWrap/>
          </w:tcPr>
          <w:p w14:paraId="5E037BC0"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10</w:t>
            </w:r>
          </w:p>
        </w:tc>
        <w:tc>
          <w:tcPr>
            <w:tcW w:w="1276" w:type="dxa"/>
            <w:noWrap/>
          </w:tcPr>
          <w:p w14:paraId="46AF4CB7"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37.5</w:t>
            </w:r>
          </w:p>
        </w:tc>
        <w:tc>
          <w:tcPr>
            <w:tcW w:w="1428" w:type="dxa"/>
            <w:noWrap/>
          </w:tcPr>
          <w:p w14:paraId="4E1EEBC3" w14:textId="40A700B3"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8</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8</w:t>
            </w:r>
            <w:r w:rsidR="00D94F28" w:rsidRPr="00E96499">
              <w:rPr>
                <w:rFonts w:ascii="Book Antiqua" w:hAnsi="Book Antiqua"/>
                <w:color w:val="000000"/>
                <w:kern w:val="0"/>
                <w:sz w:val="24"/>
                <w:szCs w:val="24"/>
              </w:rPr>
              <w:t>0.0</w:t>
            </w:r>
            <w:r w:rsidRPr="00E96499">
              <w:rPr>
                <w:rFonts w:ascii="Book Antiqua" w:hAnsi="Book Antiqua"/>
                <w:color w:val="000000"/>
                <w:kern w:val="0"/>
                <w:sz w:val="24"/>
                <w:szCs w:val="24"/>
              </w:rPr>
              <w:t>)</w:t>
            </w:r>
          </w:p>
        </w:tc>
        <w:tc>
          <w:tcPr>
            <w:tcW w:w="1653" w:type="dxa"/>
            <w:noWrap/>
          </w:tcPr>
          <w:p w14:paraId="1347652B" w14:textId="69A9190B"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8</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8</w:t>
            </w:r>
            <w:r w:rsidR="00D94F28" w:rsidRPr="00E96499">
              <w:rPr>
                <w:rFonts w:ascii="Book Antiqua" w:hAnsi="Book Antiqua"/>
                <w:color w:val="000000"/>
                <w:kern w:val="0"/>
                <w:sz w:val="24"/>
                <w:szCs w:val="24"/>
              </w:rPr>
              <w:t>0.0</w:t>
            </w:r>
            <w:r w:rsidRPr="00E96499">
              <w:rPr>
                <w:rFonts w:ascii="Book Antiqua" w:hAnsi="Book Antiqua"/>
                <w:color w:val="000000"/>
                <w:kern w:val="0"/>
                <w:sz w:val="24"/>
                <w:szCs w:val="24"/>
              </w:rPr>
              <w:t>)</w:t>
            </w:r>
          </w:p>
        </w:tc>
        <w:tc>
          <w:tcPr>
            <w:tcW w:w="1653" w:type="dxa"/>
            <w:noWrap/>
          </w:tcPr>
          <w:p w14:paraId="3500E77B" w14:textId="0DD1C165"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7</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7</w:t>
            </w:r>
            <w:r w:rsidR="00D94F28" w:rsidRPr="00E96499">
              <w:rPr>
                <w:rFonts w:ascii="Book Antiqua" w:hAnsi="Book Antiqua"/>
                <w:color w:val="000000"/>
                <w:kern w:val="0"/>
                <w:sz w:val="24"/>
                <w:szCs w:val="24"/>
              </w:rPr>
              <w:t>0.0</w:t>
            </w:r>
            <w:r w:rsidRPr="00E96499">
              <w:rPr>
                <w:rFonts w:ascii="Book Antiqua" w:hAnsi="Book Antiqua"/>
                <w:color w:val="000000"/>
                <w:kern w:val="0"/>
                <w:sz w:val="24"/>
                <w:szCs w:val="24"/>
              </w:rPr>
              <w:t>)</w:t>
            </w:r>
          </w:p>
        </w:tc>
        <w:tc>
          <w:tcPr>
            <w:tcW w:w="1078" w:type="dxa"/>
            <w:noWrap/>
          </w:tcPr>
          <w:p w14:paraId="7EBD30BF"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34A52C70" w14:textId="77777777" w:rsidTr="00050EB1">
        <w:trPr>
          <w:trHeight w:val="423"/>
        </w:trPr>
        <w:tc>
          <w:tcPr>
            <w:tcW w:w="1843" w:type="dxa"/>
            <w:noWrap/>
          </w:tcPr>
          <w:p w14:paraId="2638A13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C</w:t>
            </w:r>
          </w:p>
        </w:tc>
        <w:tc>
          <w:tcPr>
            <w:tcW w:w="567" w:type="dxa"/>
            <w:noWrap/>
          </w:tcPr>
          <w:p w14:paraId="658D359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36</w:t>
            </w:r>
          </w:p>
        </w:tc>
        <w:tc>
          <w:tcPr>
            <w:tcW w:w="1276" w:type="dxa"/>
            <w:noWrap/>
          </w:tcPr>
          <w:p w14:paraId="754D925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30</w:t>
            </w:r>
          </w:p>
        </w:tc>
        <w:tc>
          <w:tcPr>
            <w:tcW w:w="1428" w:type="dxa"/>
            <w:noWrap/>
          </w:tcPr>
          <w:p w14:paraId="3BF3B4B9" w14:textId="63F2DFA3"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25</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69</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4)</w:t>
            </w:r>
          </w:p>
        </w:tc>
        <w:tc>
          <w:tcPr>
            <w:tcW w:w="1653" w:type="dxa"/>
            <w:noWrap/>
          </w:tcPr>
          <w:p w14:paraId="0F6901FD" w14:textId="4822155C"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20</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55</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6)</w:t>
            </w:r>
          </w:p>
        </w:tc>
        <w:tc>
          <w:tcPr>
            <w:tcW w:w="1653" w:type="dxa"/>
            <w:noWrap/>
          </w:tcPr>
          <w:p w14:paraId="4A7E0626" w14:textId="65CD0A5D"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17</w:t>
            </w:r>
            <w:r w:rsidR="00267046" w:rsidRPr="00E96499">
              <w:rPr>
                <w:rFonts w:ascii="Book Antiqua" w:hAnsi="Book Antiqua"/>
                <w:color w:val="000000"/>
                <w:kern w:val="0"/>
                <w:sz w:val="24"/>
                <w:szCs w:val="24"/>
              </w:rPr>
              <w:t xml:space="preserve"> </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47</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2)</w:t>
            </w:r>
          </w:p>
        </w:tc>
        <w:tc>
          <w:tcPr>
            <w:tcW w:w="1078" w:type="dxa"/>
            <w:noWrap/>
          </w:tcPr>
          <w:p w14:paraId="5FBEC55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7FE443B8" w14:textId="77777777" w:rsidTr="00050EB1">
        <w:trPr>
          <w:trHeight w:val="423"/>
        </w:trPr>
        <w:tc>
          <w:tcPr>
            <w:tcW w:w="1843" w:type="dxa"/>
            <w:noWrap/>
          </w:tcPr>
          <w:p w14:paraId="3FA6A75E" w14:textId="77777777" w:rsidR="00C653B2" w:rsidRPr="00E96499" w:rsidRDefault="00C653B2" w:rsidP="00E96499">
            <w:pPr>
              <w:widowControl/>
              <w:adjustRightInd w:val="0"/>
              <w:snapToGrid w:val="0"/>
              <w:spacing w:line="360" w:lineRule="auto"/>
              <w:rPr>
                <w:rFonts w:ascii="Book Antiqua" w:hAnsi="Book Antiqua"/>
                <w:b/>
                <w:bCs/>
                <w:color w:val="000000"/>
                <w:kern w:val="0"/>
                <w:sz w:val="24"/>
                <w:szCs w:val="24"/>
              </w:rPr>
            </w:pPr>
            <w:r w:rsidRPr="00E96499">
              <w:rPr>
                <w:rFonts w:ascii="Book Antiqua" w:hAnsi="Book Antiqua"/>
                <w:b/>
                <w:bCs/>
                <w:color w:val="000000"/>
                <w:kern w:val="0"/>
                <w:sz w:val="24"/>
                <w:szCs w:val="24"/>
              </w:rPr>
              <w:t>Size of tumor (cm)</w:t>
            </w:r>
          </w:p>
        </w:tc>
        <w:tc>
          <w:tcPr>
            <w:tcW w:w="567" w:type="dxa"/>
            <w:noWrap/>
          </w:tcPr>
          <w:p w14:paraId="776FA374"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14:paraId="10DE7EF9"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14:paraId="42B9C43D"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6BAA3153"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7B331CD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14:paraId="72E615EE" w14:textId="1022F1A2" w:rsidR="00C653B2" w:rsidRPr="00E96499" w:rsidRDefault="00267046" w:rsidP="00E96499">
            <w:pPr>
              <w:widowControl/>
              <w:adjustRightInd w:val="0"/>
              <w:snapToGrid w:val="0"/>
              <w:spacing w:line="360" w:lineRule="auto"/>
              <w:rPr>
                <w:rFonts w:ascii="Book Antiqua" w:eastAsia="MingLiU" w:hAnsi="Book Antiqua"/>
                <w:color w:val="000000"/>
                <w:kern w:val="0"/>
                <w:sz w:val="24"/>
                <w:szCs w:val="24"/>
              </w:rPr>
            </w:pPr>
            <w:r w:rsidRPr="00474499">
              <w:rPr>
                <w:rFonts w:ascii="Book Antiqua" w:hAnsi="Book Antiqua"/>
                <w:color w:val="000000"/>
                <w:kern w:val="0"/>
                <w:sz w:val="24"/>
                <w:szCs w:val="24"/>
              </w:rPr>
              <w:t>0</w:t>
            </w:r>
            <w:r w:rsidR="00C653B2" w:rsidRPr="00E96499">
              <w:rPr>
                <w:rFonts w:ascii="Book Antiqua" w:eastAsia="MingLiU" w:hAnsi="Book Antiqua"/>
                <w:color w:val="000000"/>
                <w:kern w:val="0"/>
                <w:sz w:val="24"/>
                <w:szCs w:val="24"/>
              </w:rPr>
              <w:t>.300</w:t>
            </w:r>
          </w:p>
        </w:tc>
      </w:tr>
      <w:tr w:rsidR="00C653B2" w:rsidRPr="00E96499" w14:paraId="58A35F37" w14:textId="77777777" w:rsidTr="00050EB1">
        <w:trPr>
          <w:trHeight w:val="423"/>
        </w:trPr>
        <w:tc>
          <w:tcPr>
            <w:tcW w:w="1843" w:type="dxa"/>
            <w:noWrap/>
          </w:tcPr>
          <w:p w14:paraId="7306D836"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8-10</w:t>
            </w:r>
          </w:p>
        </w:tc>
        <w:tc>
          <w:tcPr>
            <w:tcW w:w="567" w:type="dxa"/>
            <w:noWrap/>
          </w:tcPr>
          <w:p w14:paraId="68A17EE2"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23</w:t>
            </w:r>
          </w:p>
        </w:tc>
        <w:tc>
          <w:tcPr>
            <w:tcW w:w="1276" w:type="dxa"/>
            <w:noWrap/>
          </w:tcPr>
          <w:p w14:paraId="168D9A44"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34</w:t>
            </w:r>
          </w:p>
        </w:tc>
        <w:tc>
          <w:tcPr>
            <w:tcW w:w="1428" w:type="dxa"/>
            <w:noWrap/>
          </w:tcPr>
          <w:p w14:paraId="5163E756" w14:textId="4B0E11F8"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18</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78</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3)</w:t>
            </w:r>
          </w:p>
        </w:tc>
        <w:tc>
          <w:tcPr>
            <w:tcW w:w="1653" w:type="dxa"/>
            <w:noWrap/>
          </w:tcPr>
          <w:p w14:paraId="00AEB6C5" w14:textId="0845026C"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14</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60</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9)</w:t>
            </w:r>
          </w:p>
        </w:tc>
        <w:tc>
          <w:tcPr>
            <w:tcW w:w="1653" w:type="dxa"/>
            <w:noWrap/>
          </w:tcPr>
          <w:p w14:paraId="49A665F4" w14:textId="543A18A3"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12</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51</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4)</w:t>
            </w:r>
          </w:p>
        </w:tc>
        <w:tc>
          <w:tcPr>
            <w:tcW w:w="1078" w:type="dxa"/>
            <w:noWrap/>
          </w:tcPr>
          <w:p w14:paraId="0FA218F0"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0A73F6A4" w14:textId="77777777" w:rsidTr="00050EB1">
        <w:trPr>
          <w:trHeight w:val="423"/>
        </w:trPr>
        <w:tc>
          <w:tcPr>
            <w:tcW w:w="1843" w:type="dxa"/>
            <w:noWrap/>
          </w:tcPr>
          <w:p w14:paraId="0E88AB62" w14:textId="35FBBBF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&gt;</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10</w:t>
            </w:r>
          </w:p>
        </w:tc>
        <w:tc>
          <w:tcPr>
            <w:tcW w:w="567" w:type="dxa"/>
            <w:noWrap/>
          </w:tcPr>
          <w:p w14:paraId="2C237F62"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23</w:t>
            </w:r>
          </w:p>
        </w:tc>
        <w:tc>
          <w:tcPr>
            <w:tcW w:w="1276" w:type="dxa"/>
            <w:noWrap/>
          </w:tcPr>
          <w:p w14:paraId="68DA8F97"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26</w:t>
            </w:r>
          </w:p>
        </w:tc>
        <w:tc>
          <w:tcPr>
            <w:tcW w:w="1428" w:type="dxa"/>
            <w:noWrap/>
          </w:tcPr>
          <w:p w14:paraId="23C38E84" w14:textId="55C1D3FD"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15</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65</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2)</w:t>
            </w:r>
          </w:p>
        </w:tc>
        <w:tc>
          <w:tcPr>
            <w:tcW w:w="1653" w:type="dxa"/>
            <w:noWrap/>
          </w:tcPr>
          <w:p w14:paraId="203F1EB2" w14:textId="7773019A"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14</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60</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9)</w:t>
            </w:r>
          </w:p>
        </w:tc>
        <w:tc>
          <w:tcPr>
            <w:tcW w:w="1653" w:type="dxa"/>
            <w:noWrap/>
          </w:tcPr>
          <w:p w14:paraId="308943BE" w14:textId="3549C56D"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12</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52</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2)</w:t>
            </w:r>
          </w:p>
        </w:tc>
        <w:tc>
          <w:tcPr>
            <w:tcW w:w="1078" w:type="dxa"/>
            <w:noWrap/>
          </w:tcPr>
          <w:p w14:paraId="1CF8A8E4"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0D7A1B69" w14:textId="77777777" w:rsidTr="00050EB1">
        <w:trPr>
          <w:trHeight w:val="423"/>
        </w:trPr>
        <w:tc>
          <w:tcPr>
            <w:tcW w:w="1843" w:type="dxa"/>
            <w:noWrap/>
          </w:tcPr>
          <w:p w14:paraId="1DC9B3D1" w14:textId="77777777" w:rsidR="00C653B2" w:rsidRPr="00E96499" w:rsidRDefault="00C653B2" w:rsidP="00E96499">
            <w:pPr>
              <w:widowControl/>
              <w:adjustRightInd w:val="0"/>
              <w:snapToGrid w:val="0"/>
              <w:spacing w:line="360" w:lineRule="auto"/>
              <w:rPr>
                <w:rFonts w:ascii="Book Antiqua" w:hAnsi="Book Antiqua"/>
                <w:b/>
                <w:bCs/>
                <w:color w:val="000000"/>
                <w:kern w:val="0"/>
                <w:sz w:val="24"/>
                <w:szCs w:val="24"/>
              </w:rPr>
            </w:pPr>
            <w:r w:rsidRPr="00E96499">
              <w:rPr>
                <w:rFonts w:ascii="Book Antiqua" w:hAnsi="Book Antiqua"/>
                <w:b/>
                <w:bCs/>
                <w:color w:val="000000"/>
                <w:kern w:val="0"/>
                <w:sz w:val="24"/>
                <w:szCs w:val="24"/>
              </w:rPr>
              <w:t>No. of tumors</w:t>
            </w:r>
          </w:p>
        </w:tc>
        <w:tc>
          <w:tcPr>
            <w:tcW w:w="567" w:type="dxa"/>
            <w:noWrap/>
          </w:tcPr>
          <w:p w14:paraId="5E042247"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14:paraId="5FA3F753"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14:paraId="30541CD2"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25E26CD2"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7A758788"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14:paraId="09DD650B" w14:textId="279C8947" w:rsidR="00C653B2" w:rsidRPr="00E96499" w:rsidRDefault="00267046" w:rsidP="00E96499">
            <w:pPr>
              <w:widowControl/>
              <w:adjustRightInd w:val="0"/>
              <w:snapToGrid w:val="0"/>
              <w:spacing w:line="360" w:lineRule="auto"/>
              <w:rPr>
                <w:rFonts w:ascii="Book Antiqua" w:eastAsia="MingLiU" w:hAnsi="Book Antiqua"/>
                <w:color w:val="000000"/>
                <w:kern w:val="0"/>
                <w:sz w:val="24"/>
                <w:szCs w:val="24"/>
              </w:rPr>
            </w:pPr>
            <w:r w:rsidRPr="00474499">
              <w:rPr>
                <w:rFonts w:ascii="Book Antiqua" w:hAnsi="Book Antiqua"/>
                <w:color w:val="000000"/>
                <w:kern w:val="0"/>
                <w:sz w:val="24"/>
                <w:szCs w:val="24"/>
              </w:rPr>
              <w:t>0</w:t>
            </w:r>
            <w:r w:rsidR="00C653B2" w:rsidRPr="00E96499">
              <w:rPr>
                <w:rFonts w:ascii="Book Antiqua" w:eastAsia="MingLiU" w:hAnsi="Book Antiqua"/>
                <w:color w:val="000000"/>
                <w:kern w:val="0"/>
                <w:sz w:val="24"/>
                <w:szCs w:val="24"/>
              </w:rPr>
              <w:t>.087</w:t>
            </w:r>
          </w:p>
        </w:tc>
      </w:tr>
      <w:tr w:rsidR="00C653B2" w:rsidRPr="00E96499" w14:paraId="2DB550D5" w14:textId="77777777" w:rsidTr="00050EB1">
        <w:trPr>
          <w:trHeight w:val="423"/>
        </w:trPr>
        <w:tc>
          <w:tcPr>
            <w:tcW w:w="1843" w:type="dxa"/>
            <w:noWrap/>
          </w:tcPr>
          <w:p w14:paraId="207A3867"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Single</w:t>
            </w:r>
          </w:p>
        </w:tc>
        <w:tc>
          <w:tcPr>
            <w:tcW w:w="567" w:type="dxa"/>
            <w:noWrap/>
          </w:tcPr>
          <w:p w14:paraId="0BD2962C"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35</w:t>
            </w:r>
          </w:p>
        </w:tc>
        <w:tc>
          <w:tcPr>
            <w:tcW w:w="1276" w:type="dxa"/>
            <w:noWrap/>
          </w:tcPr>
          <w:p w14:paraId="28D7C5CA"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34</w:t>
            </w:r>
          </w:p>
        </w:tc>
        <w:tc>
          <w:tcPr>
            <w:tcW w:w="1428" w:type="dxa"/>
            <w:noWrap/>
          </w:tcPr>
          <w:p w14:paraId="78CBABDF" w14:textId="685204B9"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26</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74</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3)</w:t>
            </w:r>
          </w:p>
        </w:tc>
        <w:tc>
          <w:tcPr>
            <w:tcW w:w="1653" w:type="dxa"/>
            <w:noWrap/>
          </w:tcPr>
          <w:p w14:paraId="388D93E1" w14:textId="14A34F73"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23</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65</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7)</w:t>
            </w:r>
          </w:p>
        </w:tc>
        <w:tc>
          <w:tcPr>
            <w:tcW w:w="1653" w:type="dxa"/>
            <w:noWrap/>
          </w:tcPr>
          <w:p w14:paraId="2A6F00F9" w14:textId="359CCC1D"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20</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56</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7)</w:t>
            </w:r>
          </w:p>
        </w:tc>
        <w:tc>
          <w:tcPr>
            <w:tcW w:w="1078" w:type="dxa"/>
            <w:noWrap/>
          </w:tcPr>
          <w:p w14:paraId="7F8508F3"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5DCBA2E9" w14:textId="77777777" w:rsidTr="00050EB1">
        <w:trPr>
          <w:trHeight w:val="423"/>
        </w:trPr>
        <w:tc>
          <w:tcPr>
            <w:tcW w:w="1843" w:type="dxa"/>
            <w:noWrap/>
          </w:tcPr>
          <w:p w14:paraId="1FEACD47"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 xml:space="preserve">  Multiple</w:t>
            </w:r>
          </w:p>
        </w:tc>
        <w:tc>
          <w:tcPr>
            <w:tcW w:w="567" w:type="dxa"/>
            <w:noWrap/>
          </w:tcPr>
          <w:p w14:paraId="0DD1E4BA"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11</w:t>
            </w:r>
          </w:p>
        </w:tc>
        <w:tc>
          <w:tcPr>
            <w:tcW w:w="1276" w:type="dxa"/>
            <w:noWrap/>
          </w:tcPr>
          <w:p w14:paraId="4840756F"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19</w:t>
            </w:r>
          </w:p>
        </w:tc>
        <w:tc>
          <w:tcPr>
            <w:tcW w:w="1428" w:type="dxa"/>
            <w:noWrap/>
          </w:tcPr>
          <w:p w14:paraId="6BE5F033" w14:textId="2A4408A0"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7</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63</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6)</w:t>
            </w:r>
          </w:p>
        </w:tc>
        <w:tc>
          <w:tcPr>
            <w:tcW w:w="1653" w:type="dxa"/>
            <w:noWrap/>
          </w:tcPr>
          <w:p w14:paraId="6F3CBC4D" w14:textId="3FA5275A"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5</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54</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5)</w:t>
            </w:r>
          </w:p>
        </w:tc>
        <w:tc>
          <w:tcPr>
            <w:tcW w:w="1653" w:type="dxa"/>
            <w:noWrap/>
          </w:tcPr>
          <w:p w14:paraId="0810C5D8" w14:textId="178998D4"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4</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36</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4)</w:t>
            </w:r>
          </w:p>
        </w:tc>
        <w:tc>
          <w:tcPr>
            <w:tcW w:w="1078" w:type="dxa"/>
            <w:noWrap/>
          </w:tcPr>
          <w:p w14:paraId="0682AA4B"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4552B2CD" w14:textId="77777777" w:rsidTr="00050EB1">
        <w:trPr>
          <w:trHeight w:val="423"/>
        </w:trPr>
        <w:tc>
          <w:tcPr>
            <w:tcW w:w="1843" w:type="dxa"/>
            <w:noWrap/>
          </w:tcPr>
          <w:p w14:paraId="6835B02A" w14:textId="77777777" w:rsidR="00C653B2" w:rsidRPr="00E96499" w:rsidRDefault="00C653B2" w:rsidP="00E96499">
            <w:pPr>
              <w:widowControl/>
              <w:adjustRightInd w:val="0"/>
              <w:snapToGrid w:val="0"/>
              <w:spacing w:line="360" w:lineRule="auto"/>
              <w:rPr>
                <w:rFonts w:ascii="Book Antiqua" w:hAnsi="Book Antiqua"/>
                <w:b/>
                <w:bCs/>
                <w:color w:val="000000"/>
                <w:kern w:val="0"/>
                <w:sz w:val="24"/>
                <w:szCs w:val="24"/>
              </w:rPr>
            </w:pPr>
            <w:r w:rsidRPr="00E96499">
              <w:rPr>
                <w:rFonts w:ascii="Book Antiqua" w:hAnsi="Book Antiqua"/>
                <w:b/>
                <w:bCs/>
                <w:color w:val="000000"/>
                <w:kern w:val="0"/>
                <w:sz w:val="24"/>
                <w:szCs w:val="24"/>
              </w:rPr>
              <w:t>Child–Pugh class</w:t>
            </w:r>
          </w:p>
        </w:tc>
        <w:tc>
          <w:tcPr>
            <w:tcW w:w="567" w:type="dxa"/>
            <w:noWrap/>
          </w:tcPr>
          <w:p w14:paraId="6EB42E32"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14:paraId="115D266F"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14:paraId="3D9823F3"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10A800E4"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1836D59D"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14:paraId="0AADB703" w14:textId="3B4B2FD3" w:rsidR="00C653B2" w:rsidRPr="00E96499" w:rsidRDefault="00267046" w:rsidP="00E96499">
            <w:pPr>
              <w:widowControl/>
              <w:adjustRightInd w:val="0"/>
              <w:snapToGrid w:val="0"/>
              <w:spacing w:line="360" w:lineRule="auto"/>
              <w:rPr>
                <w:rFonts w:ascii="Book Antiqua" w:eastAsia="MingLiU" w:hAnsi="Book Antiqua"/>
                <w:color w:val="000000"/>
                <w:kern w:val="0"/>
                <w:sz w:val="24"/>
                <w:szCs w:val="24"/>
              </w:rPr>
            </w:pPr>
            <w:r w:rsidRPr="00474499">
              <w:rPr>
                <w:rFonts w:ascii="Book Antiqua" w:hAnsi="Book Antiqua"/>
                <w:color w:val="000000"/>
                <w:kern w:val="0"/>
                <w:sz w:val="24"/>
                <w:szCs w:val="24"/>
              </w:rPr>
              <w:t>0</w:t>
            </w:r>
            <w:r w:rsidR="00C653B2" w:rsidRPr="00E96499">
              <w:rPr>
                <w:rFonts w:ascii="Book Antiqua" w:eastAsia="MingLiU" w:hAnsi="Book Antiqua"/>
                <w:color w:val="000000"/>
                <w:kern w:val="0"/>
                <w:sz w:val="24"/>
                <w:szCs w:val="24"/>
              </w:rPr>
              <w:t>.640</w:t>
            </w:r>
          </w:p>
        </w:tc>
      </w:tr>
      <w:tr w:rsidR="00C653B2" w:rsidRPr="00E96499" w14:paraId="5D342E1D" w14:textId="77777777" w:rsidTr="00050EB1">
        <w:trPr>
          <w:trHeight w:val="423"/>
        </w:trPr>
        <w:tc>
          <w:tcPr>
            <w:tcW w:w="1843" w:type="dxa"/>
            <w:noWrap/>
          </w:tcPr>
          <w:p w14:paraId="10A22B9B"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A</w:t>
            </w:r>
          </w:p>
        </w:tc>
        <w:tc>
          <w:tcPr>
            <w:tcW w:w="567" w:type="dxa"/>
            <w:noWrap/>
          </w:tcPr>
          <w:p w14:paraId="386F9793"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45</w:t>
            </w:r>
          </w:p>
        </w:tc>
        <w:tc>
          <w:tcPr>
            <w:tcW w:w="1276" w:type="dxa"/>
            <w:noWrap/>
          </w:tcPr>
          <w:p w14:paraId="2C16BA12"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34</w:t>
            </w:r>
          </w:p>
        </w:tc>
        <w:tc>
          <w:tcPr>
            <w:tcW w:w="1428" w:type="dxa"/>
            <w:noWrap/>
          </w:tcPr>
          <w:p w14:paraId="7EED0BF1" w14:textId="627BC211"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32</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77</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8)</w:t>
            </w:r>
          </w:p>
        </w:tc>
        <w:tc>
          <w:tcPr>
            <w:tcW w:w="1653" w:type="dxa"/>
            <w:noWrap/>
          </w:tcPr>
          <w:p w14:paraId="66F020B9" w14:textId="0B127DB1"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28</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62</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2)</w:t>
            </w:r>
          </w:p>
        </w:tc>
        <w:tc>
          <w:tcPr>
            <w:tcW w:w="1653" w:type="dxa"/>
            <w:noWrap/>
          </w:tcPr>
          <w:p w14:paraId="252442EF" w14:textId="4C776F65"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24</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53</w:t>
            </w:r>
            <w:r w:rsidR="00D94F28" w:rsidRPr="00E96499">
              <w:rPr>
                <w:rFonts w:ascii="Book Antiqua" w:hAnsi="Book Antiqua"/>
                <w:color w:val="000000"/>
                <w:kern w:val="0"/>
                <w:sz w:val="24"/>
                <w:szCs w:val="24"/>
              </w:rPr>
              <w:t>.3</w:t>
            </w:r>
            <w:r w:rsidRPr="00E96499">
              <w:rPr>
                <w:rFonts w:ascii="Book Antiqua" w:hAnsi="Book Antiqua"/>
                <w:color w:val="000000"/>
                <w:kern w:val="0"/>
                <w:sz w:val="24"/>
                <w:szCs w:val="24"/>
              </w:rPr>
              <w:t>)</w:t>
            </w:r>
          </w:p>
        </w:tc>
        <w:tc>
          <w:tcPr>
            <w:tcW w:w="1078" w:type="dxa"/>
            <w:noWrap/>
          </w:tcPr>
          <w:p w14:paraId="7B28899C"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19A60110" w14:textId="77777777" w:rsidTr="00050EB1">
        <w:trPr>
          <w:trHeight w:val="423"/>
        </w:trPr>
        <w:tc>
          <w:tcPr>
            <w:tcW w:w="1843" w:type="dxa"/>
            <w:noWrap/>
          </w:tcPr>
          <w:p w14:paraId="35DA05E6"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B</w:t>
            </w:r>
          </w:p>
        </w:tc>
        <w:tc>
          <w:tcPr>
            <w:tcW w:w="567" w:type="dxa"/>
            <w:noWrap/>
          </w:tcPr>
          <w:p w14:paraId="08210999"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w:t>
            </w:r>
          </w:p>
        </w:tc>
        <w:tc>
          <w:tcPr>
            <w:tcW w:w="1276" w:type="dxa"/>
            <w:noWrap/>
          </w:tcPr>
          <w:p w14:paraId="7679D92B"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19</w:t>
            </w:r>
          </w:p>
        </w:tc>
        <w:tc>
          <w:tcPr>
            <w:tcW w:w="1428" w:type="dxa"/>
            <w:noWrap/>
          </w:tcPr>
          <w:p w14:paraId="3B8D355E" w14:textId="644EE4F0"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w:t>
            </w:r>
            <w:r w:rsidR="00D94F28" w:rsidRPr="00E96499">
              <w:rPr>
                <w:rFonts w:ascii="Book Antiqua" w:hAnsi="Book Antiqua"/>
                <w:color w:val="000000"/>
                <w:kern w:val="0"/>
                <w:sz w:val="24"/>
                <w:szCs w:val="24"/>
              </w:rPr>
              <w:t xml:space="preserve"> (100</w:t>
            </w:r>
            <w:r w:rsidRPr="00E96499">
              <w:rPr>
                <w:rFonts w:ascii="Book Antiqua" w:hAnsi="Book Antiqua"/>
                <w:color w:val="000000"/>
                <w:kern w:val="0"/>
                <w:sz w:val="24"/>
                <w:szCs w:val="24"/>
              </w:rPr>
              <w:t>)</w:t>
            </w:r>
          </w:p>
        </w:tc>
        <w:tc>
          <w:tcPr>
            <w:tcW w:w="1653" w:type="dxa"/>
            <w:noWrap/>
          </w:tcPr>
          <w:p w14:paraId="33451C7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0</w:t>
            </w:r>
          </w:p>
        </w:tc>
        <w:tc>
          <w:tcPr>
            <w:tcW w:w="1653" w:type="dxa"/>
            <w:noWrap/>
          </w:tcPr>
          <w:p w14:paraId="7D618F04"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0</w:t>
            </w:r>
          </w:p>
        </w:tc>
        <w:tc>
          <w:tcPr>
            <w:tcW w:w="1078" w:type="dxa"/>
            <w:noWrap/>
          </w:tcPr>
          <w:p w14:paraId="22B8767B"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49321BA7" w14:textId="77777777" w:rsidTr="00050EB1">
        <w:trPr>
          <w:trHeight w:val="423"/>
        </w:trPr>
        <w:tc>
          <w:tcPr>
            <w:tcW w:w="1843" w:type="dxa"/>
            <w:noWrap/>
          </w:tcPr>
          <w:p w14:paraId="10837505" w14:textId="77777777" w:rsidR="00C653B2" w:rsidRPr="00E96499" w:rsidRDefault="00C653B2" w:rsidP="00E96499">
            <w:pPr>
              <w:widowControl/>
              <w:adjustRightInd w:val="0"/>
              <w:snapToGrid w:val="0"/>
              <w:spacing w:line="360" w:lineRule="auto"/>
              <w:rPr>
                <w:rFonts w:ascii="Book Antiqua" w:hAnsi="Book Antiqua"/>
                <w:b/>
                <w:bCs/>
                <w:color w:val="000000"/>
                <w:kern w:val="0"/>
                <w:sz w:val="24"/>
                <w:szCs w:val="24"/>
              </w:rPr>
            </w:pPr>
            <w:proofErr w:type="spellStart"/>
            <w:r w:rsidRPr="00E96499">
              <w:rPr>
                <w:rFonts w:ascii="Book Antiqua" w:hAnsi="Book Antiqua"/>
                <w:b/>
                <w:bCs/>
                <w:color w:val="000000"/>
                <w:kern w:val="0"/>
                <w:sz w:val="24"/>
                <w:szCs w:val="24"/>
              </w:rPr>
              <w:t>P</w:t>
            </w:r>
            <w:r w:rsidRPr="00E96499">
              <w:rPr>
                <w:rFonts w:ascii="Book Antiqua" w:hAnsi="Book Antiqua"/>
                <w:b/>
                <w:bCs/>
                <w:color w:val="000000"/>
                <w:sz w:val="24"/>
                <w:szCs w:val="24"/>
              </w:rPr>
              <w:t>seudocapsule</w:t>
            </w:r>
            <w:proofErr w:type="spellEnd"/>
          </w:p>
        </w:tc>
        <w:tc>
          <w:tcPr>
            <w:tcW w:w="567" w:type="dxa"/>
            <w:noWrap/>
          </w:tcPr>
          <w:p w14:paraId="1E2CE8C1"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14:paraId="3BEA06D6"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14:paraId="1C15079A"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6DD159D6"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13705E1B"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14:paraId="58D6F2EC" w14:textId="4E7692FC" w:rsidR="00C653B2" w:rsidRPr="00E96499" w:rsidRDefault="00267046" w:rsidP="00E96499">
            <w:pPr>
              <w:widowControl/>
              <w:adjustRightInd w:val="0"/>
              <w:snapToGrid w:val="0"/>
              <w:spacing w:line="360" w:lineRule="auto"/>
              <w:rPr>
                <w:rFonts w:ascii="Book Antiqua" w:eastAsia="MingLiU" w:hAnsi="Book Antiqua"/>
                <w:color w:val="000000"/>
                <w:kern w:val="0"/>
                <w:sz w:val="24"/>
                <w:szCs w:val="24"/>
              </w:rPr>
            </w:pPr>
            <w:r w:rsidRPr="00474499">
              <w:rPr>
                <w:rFonts w:ascii="Book Antiqua" w:hAnsi="Book Antiqua"/>
                <w:color w:val="000000"/>
                <w:kern w:val="0"/>
                <w:sz w:val="24"/>
                <w:szCs w:val="24"/>
              </w:rPr>
              <w:t>0</w:t>
            </w:r>
            <w:r w:rsidR="00C653B2" w:rsidRPr="00E96499">
              <w:rPr>
                <w:rFonts w:ascii="Book Antiqua" w:eastAsia="MingLiU" w:hAnsi="Book Antiqua"/>
                <w:color w:val="000000"/>
                <w:kern w:val="0"/>
                <w:sz w:val="24"/>
                <w:szCs w:val="24"/>
              </w:rPr>
              <w:t>.289</w:t>
            </w:r>
          </w:p>
        </w:tc>
      </w:tr>
      <w:tr w:rsidR="00C653B2" w:rsidRPr="00E96499" w14:paraId="3755FFD9" w14:textId="77777777" w:rsidTr="00050EB1">
        <w:trPr>
          <w:trHeight w:val="423"/>
        </w:trPr>
        <w:tc>
          <w:tcPr>
            <w:tcW w:w="1843" w:type="dxa"/>
            <w:noWrap/>
          </w:tcPr>
          <w:p w14:paraId="225BC04B"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Yes</w:t>
            </w:r>
          </w:p>
        </w:tc>
        <w:tc>
          <w:tcPr>
            <w:tcW w:w="567" w:type="dxa"/>
            <w:noWrap/>
          </w:tcPr>
          <w:p w14:paraId="34ECC2EE"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11</w:t>
            </w:r>
          </w:p>
        </w:tc>
        <w:tc>
          <w:tcPr>
            <w:tcW w:w="1276" w:type="dxa"/>
            <w:noWrap/>
          </w:tcPr>
          <w:p w14:paraId="79FEFB73"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44</w:t>
            </w:r>
          </w:p>
        </w:tc>
        <w:tc>
          <w:tcPr>
            <w:tcW w:w="1428" w:type="dxa"/>
            <w:noWrap/>
          </w:tcPr>
          <w:p w14:paraId="4601668F" w14:textId="35A78B8F"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10</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90</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9</w:t>
            </w:r>
            <w:r w:rsidR="00267046" w:rsidRPr="00E96499">
              <w:rPr>
                <w:rFonts w:ascii="Book Antiqua" w:hAnsi="Book Antiqua"/>
                <w:color w:val="000000"/>
                <w:kern w:val="0"/>
                <w:sz w:val="24"/>
                <w:szCs w:val="24"/>
              </w:rPr>
              <w:t>)</w:t>
            </w:r>
          </w:p>
        </w:tc>
        <w:tc>
          <w:tcPr>
            <w:tcW w:w="1653" w:type="dxa"/>
            <w:noWrap/>
          </w:tcPr>
          <w:p w14:paraId="3EC8587C" w14:textId="213CE27E"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9</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81</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8</w:t>
            </w:r>
            <w:r w:rsidR="00267046" w:rsidRPr="00E96499">
              <w:rPr>
                <w:rFonts w:ascii="Book Antiqua" w:hAnsi="Book Antiqua"/>
                <w:color w:val="000000"/>
                <w:kern w:val="0"/>
                <w:sz w:val="24"/>
                <w:szCs w:val="24"/>
              </w:rPr>
              <w:t>)</w:t>
            </w:r>
          </w:p>
        </w:tc>
        <w:tc>
          <w:tcPr>
            <w:tcW w:w="1653" w:type="dxa"/>
            <w:noWrap/>
          </w:tcPr>
          <w:p w14:paraId="26F77367" w14:textId="7E8DF0DC"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7</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63</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6</w:t>
            </w:r>
            <w:r w:rsidR="00267046" w:rsidRPr="00E96499">
              <w:rPr>
                <w:rFonts w:ascii="Book Antiqua" w:hAnsi="Book Antiqua"/>
                <w:color w:val="000000"/>
                <w:kern w:val="0"/>
                <w:sz w:val="24"/>
                <w:szCs w:val="24"/>
              </w:rPr>
              <w:t>)</w:t>
            </w:r>
          </w:p>
        </w:tc>
        <w:tc>
          <w:tcPr>
            <w:tcW w:w="1078" w:type="dxa"/>
            <w:noWrap/>
          </w:tcPr>
          <w:p w14:paraId="7E12EE89"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1D0D06F8" w14:textId="77777777" w:rsidTr="00050EB1">
        <w:trPr>
          <w:trHeight w:val="423"/>
        </w:trPr>
        <w:tc>
          <w:tcPr>
            <w:tcW w:w="1843" w:type="dxa"/>
            <w:noWrap/>
          </w:tcPr>
          <w:p w14:paraId="7944E7E4"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No</w:t>
            </w:r>
          </w:p>
        </w:tc>
        <w:tc>
          <w:tcPr>
            <w:tcW w:w="567" w:type="dxa"/>
            <w:noWrap/>
          </w:tcPr>
          <w:p w14:paraId="638121A4"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35</w:t>
            </w:r>
          </w:p>
        </w:tc>
        <w:tc>
          <w:tcPr>
            <w:tcW w:w="1276" w:type="dxa"/>
            <w:noWrap/>
          </w:tcPr>
          <w:p w14:paraId="6BF48E88"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30</w:t>
            </w:r>
          </w:p>
        </w:tc>
        <w:tc>
          <w:tcPr>
            <w:tcW w:w="1428" w:type="dxa"/>
            <w:noWrap/>
          </w:tcPr>
          <w:p w14:paraId="200CDE36" w14:textId="5198E719"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23</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65</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7)</w:t>
            </w:r>
          </w:p>
        </w:tc>
        <w:tc>
          <w:tcPr>
            <w:tcW w:w="1653" w:type="dxa"/>
            <w:noWrap/>
          </w:tcPr>
          <w:p w14:paraId="28B57930" w14:textId="56E723BF"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19</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54</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3)</w:t>
            </w:r>
          </w:p>
        </w:tc>
        <w:tc>
          <w:tcPr>
            <w:tcW w:w="1653" w:type="dxa"/>
            <w:noWrap/>
          </w:tcPr>
          <w:p w14:paraId="54F6E96C" w14:textId="17370A05"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17</w:t>
            </w:r>
            <w:r w:rsidR="00D94F28" w:rsidRPr="00E96499">
              <w:rPr>
                <w:rFonts w:ascii="Book Antiqua" w:hAnsi="Book Antiqua"/>
                <w:color w:val="000000"/>
                <w:kern w:val="0"/>
                <w:sz w:val="24"/>
                <w:szCs w:val="24"/>
              </w:rPr>
              <w:t xml:space="preserve"> (</w:t>
            </w:r>
            <w:r w:rsidRPr="00E96499">
              <w:rPr>
                <w:rFonts w:ascii="Book Antiqua" w:hAnsi="Book Antiqua"/>
                <w:color w:val="000000"/>
                <w:kern w:val="0"/>
                <w:sz w:val="24"/>
                <w:szCs w:val="24"/>
              </w:rPr>
              <w:t>48</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2)</w:t>
            </w:r>
          </w:p>
        </w:tc>
        <w:tc>
          <w:tcPr>
            <w:tcW w:w="1078" w:type="dxa"/>
            <w:noWrap/>
          </w:tcPr>
          <w:p w14:paraId="1F65BCE9"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6230C228" w14:textId="77777777" w:rsidTr="00050EB1">
        <w:trPr>
          <w:trHeight w:val="423"/>
        </w:trPr>
        <w:tc>
          <w:tcPr>
            <w:tcW w:w="1843" w:type="dxa"/>
            <w:noWrap/>
          </w:tcPr>
          <w:p w14:paraId="17D12725" w14:textId="77777777" w:rsidR="00C653B2" w:rsidRPr="00E96499" w:rsidRDefault="00C653B2" w:rsidP="00E96499">
            <w:pPr>
              <w:widowControl/>
              <w:adjustRightInd w:val="0"/>
              <w:snapToGrid w:val="0"/>
              <w:spacing w:line="360" w:lineRule="auto"/>
              <w:rPr>
                <w:rFonts w:ascii="Book Antiqua" w:hAnsi="Book Antiqua"/>
                <w:b/>
                <w:bCs/>
                <w:color w:val="000000"/>
                <w:kern w:val="0"/>
                <w:sz w:val="24"/>
                <w:szCs w:val="24"/>
              </w:rPr>
            </w:pPr>
            <w:r w:rsidRPr="00E96499">
              <w:rPr>
                <w:rFonts w:ascii="Book Antiqua" w:hAnsi="Book Antiqua"/>
                <w:b/>
                <w:bCs/>
                <w:color w:val="000000"/>
                <w:kern w:val="0"/>
                <w:sz w:val="24"/>
                <w:szCs w:val="24"/>
              </w:rPr>
              <w:t>Vascular invasion</w:t>
            </w:r>
          </w:p>
        </w:tc>
        <w:tc>
          <w:tcPr>
            <w:tcW w:w="567" w:type="dxa"/>
            <w:noWrap/>
          </w:tcPr>
          <w:p w14:paraId="4DD7821E"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14:paraId="5FA7A44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14:paraId="3D55D012"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201C16B0"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709F10BC"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14:paraId="21520259" w14:textId="35F1A583" w:rsidR="00C653B2" w:rsidRPr="00E96499" w:rsidRDefault="00267046" w:rsidP="00E96499">
            <w:pPr>
              <w:widowControl/>
              <w:adjustRightInd w:val="0"/>
              <w:snapToGrid w:val="0"/>
              <w:spacing w:line="360" w:lineRule="auto"/>
              <w:rPr>
                <w:rFonts w:ascii="Book Antiqua" w:eastAsia="MingLiU" w:hAnsi="Book Antiqua"/>
                <w:color w:val="000000"/>
                <w:kern w:val="0"/>
                <w:sz w:val="24"/>
                <w:szCs w:val="24"/>
              </w:rPr>
            </w:pPr>
            <w:r w:rsidRPr="00474499">
              <w:rPr>
                <w:rFonts w:ascii="Book Antiqua" w:hAnsi="Book Antiqua"/>
                <w:color w:val="000000"/>
                <w:kern w:val="0"/>
                <w:sz w:val="24"/>
                <w:szCs w:val="24"/>
              </w:rPr>
              <w:t>0</w:t>
            </w:r>
            <w:r w:rsidR="00C653B2" w:rsidRPr="00E96499">
              <w:rPr>
                <w:rFonts w:ascii="Book Antiqua" w:eastAsia="MingLiU" w:hAnsi="Book Antiqua"/>
                <w:color w:val="000000"/>
                <w:kern w:val="0"/>
                <w:sz w:val="24"/>
                <w:szCs w:val="24"/>
              </w:rPr>
              <w:t>.019</w:t>
            </w:r>
          </w:p>
        </w:tc>
      </w:tr>
      <w:tr w:rsidR="00C653B2" w:rsidRPr="00E96499" w14:paraId="5FE7DD98" w14:textId="77777777" w:rsidTr="00050EB1">
        <w:trPr>
          <w:trHeight w:val="423"/>
        </w:trPr>
        <w:tc>
          <w:tcPr>
            <w:tcW w:w="1843" w:type="dxa"/>
            <w:noWrap/>
          </w:tcPr>
          <w:p w14:paraId="039570B8"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Yes</w:t>
            </w:r>
          </w:p>
        </w:tc>
        <w:tc>
          <w:tcPr>
            <w:tcW w:w="567" w:type="dxa"/>
            <w:noWrap/>
          </w:tcPr>
          <w:p w14:paraId="171203CF"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4</w:t>
            </w:r>
          </w:p>
        </w:tc>
        <w:tc>
          <w:tcPr>
            <w:tcW w:w="1276" w:type="dxa"/>
            <w:noWrap/>
          </w:tcPr>
          <w:p w14:paraId="2928E22F"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8</w:t>
            </w:r>
          </w:p>
        </w:tc>
        <w:tc>
          <w:tcPr>
            <w:tcW w:w="1428" w:type="dxa"/>
            <w:noWrap/>
          </w:tcPr>
          <w:p w14:paraId="2079F194" w14:textId="5A0C5BCF"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25</w:t>
            </w:r>
            <w:r w:rsidR="00D94F28" w:rsidRPr="00E96499">
              <w:rPr>
                <w:rFonts w:ascii="Book Antiqua" w:hAnsi="Book Antiqua"/>
                <w:color w:val="000000"/>
                <w:kern w:val="0"/>
                <w:sz w:val="24"/>
                <w:szCs w:val="24"/>
              </w:rPr>
              <w:t>.0</w:t>
            </w:r>
            <w:r w:rsidR="00267046" w:rsidRPr="00E96499">
              <w:rPr>
                <w:rFonts w:ascii="Book Antiqua" w:hAnsi="Book Antiqua"/>
                <w:color w:val="000000"/>
                <w:kern w:val="0"/>
                <w:sz w:val="24"/>
                <w:szCs w:val="24"/>
              </w:rPr>
              <w:t>)</w:t>
            </w:r>
          </w:p>
        </w:tc>
        <w:tc>
          <w:tcPr>
            <w:tcW w:w="1653" w:type="dxa"/>
            <w:noWrap/>
          </w:tcPr>
          <w:p w14:paraId="01357FB4" w14:textId="256B8735"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25</w:t>
            </w:r>
            <w:r w:rsidR="00D94F28" w:rsidRPr="00E96499">
              <w:rPr>
                <w:rFonts w:ascii="Book Antiqua" w:hAnsi="Book Antiqua"/>
                <w:color w:val="000000"/>
                <w:kern w:val="0"/>
                <w:sz w:val="24"/>
                <w:szCs w:val="24"/>
              </w:rPr>
              <w:t>.0</w:t>
            </w:r>
            <w:r w:rsidR="00267046" w:rsidRPr="00E96499">
              <w:rPr>
                <w:rFonts w:ascii="Book Antiqua" w:hAnsi="Book Antiqua"/>
                <w:color w:val="000000"/>
                <w:kern w:val="0"/>
                <w:sz w:val="24"/>
                <w:szCs w:val="24"/>
              </w:rPr>
              <w:t>)</w:t>
            </w:r>
          </w:p>
        </w:tc>
        <w:tc>
          <w:tcPr>
            <w:tcW w:w="1653" w:type="dxa"/>
            <w:noWrap/>
          </w:tcPr>
          <w:p w14:paraId="7C70D40F"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0</w:t>
            </w:r>
          </w:p>
        </w:tc>
        <w:tc>
          <w:tcPr>
            <w:tcW w:w="1078" w:type="dxa"/>
            <w:noWrap/>
          </w:tcPr>
          <w:p w14:paraId="0F84421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5525FC1A" w14:textId="77777777" w:rsidTr="00050EB1">
        <w:trPr>
          <w:trHeight w:val="423"/>
        </w:trPr>
        <w:tc>
          <w:tcPr>
            <w:tcW w:w="1843" w:type="dxa"/>
            <w:noWrap/>
          </w:tcPr>
          <w:p w14:paraId="5D2CF260"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No</w:t>
            </w:r>
          </w:p>
        </w:tc>
        <w:tc>
          <w:tcPr>
            <w:tcW w:w="567" w:type="dxa"/>
            <w:noWrap/>
          </w:tcPr>
          <w:p w14:paraId="205B24C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42</w:t>
            </w:r>
          </w:p>
        </w:tc>
        <w:tc>
          <w:tcPr>
            <w:tcW w:w="1276" w:type="dxa"/>
            <w:noWrap/>
          </w:tcPr>
          <w:p w14:paraId="639E4F83"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34.5</w:t>
            </w:r>
          </w:p>
        </w:tc>
        <w:tc>
          <w:tcPr>
            <w:tcW w:w="1428" w:type="dxa"/>
            <w:noWrap/>
          </w:tcPr>
          <w:p w14:paraId="4B5D4C66" w14:textId="0546F569"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32</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76</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2</w:t>
            </w:r>
            <w:r w:rsidR="00267046" w:rsidRPr="00E96499">
              <w:rPr>
                <w:rFonts w:ascii="Book Antiqua" w:hAnsi="Book Antiqua"/>
                <w:color w:val="000000"/>
                <w:kern w:val="0"/>
                <w:sz w:val="24"/>
                <w:szCs w:val="24"/>
              </w:rPr>
              <w:t>)</w:t>
            </w:r>
          </w:p>
        </w:tc>
        <w:tc>
          <w:tcPr>
            <w:tcW w:w="1653" w:type="dxa"/>
            <w:noWrap/>
          </w:tcPr>
          <w:p w14:paraId="5548CFE7" w14:textId="54709C24"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27</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64</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3</w:t>
            </w:r>
            <w:r w:rsidR="00267046" w:rsidRPr="00E96499">
              <w:rPr>
                <w:rFonts w:ascii="Book Antiqua" w:hAnsi="Book Antiqua"/>
                <w:color w:val="000000"/>
                <w:kern w:val="0"/>
                <w:sz w:val="24"/>
                <w:szCs w:val="24"/>
              </w:rPr>
              <w:t>)</w:t>
            </w:r>
          </w:p>
        </w:tc>
        <w:tc>
          <w:tcPr>
            <w:tcW w:w="1653" w:type="dxa"/>
            <w:noWrap/>
          </w:tcPr>
          <w:p w14:paraId="655CAB81" w14:textId="148CDE79"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24</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56</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8</w:t>
            </w:r>
            <w:r w:rsidR="00267046" w:rsidRPr="00E96499">
              <w:rPr>
                <w:rFonts w:ascii="Book Antiqua" w:hAnsi="Book Antiqua"/>
                <w:color w:val="000000"/>
                <w:kern w:val="0"/>
                <w:sz w:val="24"/>
                <w:szCs w:val="24"/>
              </w:rPr>
              <w:t>)</w:t>
            </w:r>
          </w:p>
        </w:tc>
        <w:tc>
          <w:tcPr>
            <w:tcW w:w="1078" w:type="dxa"/>
            <w:noWrap/>
          </w:tcPr>
          <w:p w14:paraId="2F2C64DB"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7EECF477" w14:textId="77777777" w:rsidTr="00050EB1">
        <w:trPr>
          <w:trHeight w:val="423"/>
        </w:trPr>
        <w:tc>
          <w:tcPr>
            <w:tcW w:w="1843" w:type="dxa"/>
            <w:noWrap/>
          </w:tcPr>
          <w:p w14:paraId="2D45436B" w14:textId="5770C083" w:rsidR="00C653B2" w:rsidRPr="00E96499" w:rsidRDefault="00C653B2" w:rsidP="00E96499">
            <w:pPr>
              <w:widowControl/>
              <w:adjustRightInd w:val="0"/>
              <w:snapToGrid w:val="0"/>
              <w:spacing w:line="360" w:lineRule="auto"/>
              <w:rPr>
                <w:rFonts w:ascii="Book Antiqua" w:hAnsi="Book Antiqua"/>
                <w:b/>
                <w:bCs/>
                <w:color w:val="000000"/>
                <w:kern w:val="0"/>
                <w:sz w:val="24"/>
                <w:szCs w:val="24"/>
              </w:rPr>
            </w:pPr>
            <w:r w:rsidRPr="00E96499">
              <w:rPr>
                <w:rFonts w:ascii="Book Antiqua" w:hAnsi="Book Antiqua"/>
                <w:b/>
                <w:bCs/>
                <w:color w:val="000000"/>
                <w:kern w:val="0"/>
                <w:sz w:val="24"/>
                <w:szCs w:val="24"/>
              </w:rPr>
              <w:t>AFP positive</w:t>
            </w:r>
            <w:r w:rsidR="00D94F28" w:rsidRPr="00E96499">
              <w:rPr>
                <w:rFonts w:ascii="Book Antiqua" w:hAnsi="Book Antiqua"/>
                <w:color w:val="000000"/>
                <w:sz w:val="24"/>
                <w:szCs w:val="24"/>
                <w:vertAlign w:val="superscript"/>
                <w:lang w:val="en-GB"/>
              </w:rPr>
              <w:t>1</w:t>
            </w:r>
          </w:p>
        </w:tc>
        <w:tc>
          <w:tcPr>
            <w:tcW w:w="567" w:type="dxa"/>
            <w:noWrap/>
          </w:tcPr>
          <w:p w14:paraId="55382EC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276" w:type="dxa"/>
            <w:noWrap/>
          </w:tcPr>
          <w:p w14:paraId="67671FAB"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428" w:type="dxa"/>
            <w:noWrap/>
          </w:tcPr>
          <w:p w14:paraId="7A36D6BB"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24D8CE8E"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653" w:type="dxa"/>
            <w:noWrap/>
          </w:tcPr>
          <w:p w14:paraId="2C78D269"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c>
          <w:tcPr>
            <w:tcW w:w="1078" w:type="dxa"/>
            <w:noWrap/>
          </w:tcPr>
          <w:p w14:paraId="322CE228" w14:textId="126775DF" w:rsidR="00C653B2" w:rsidRPr="00E96499" w:rsidRDefault="00267046" w:rsidP="00E96499">
            <w:pPr>
              <w:widowControl/>
              <w:adjustRightInd w:val="0"/>
              <w:snapToGrid w:val="0"/>
              <w:spacing w:line="360" w:lineRule="auto"/>
              <w:rPr>
                <w:rFonts w:ascii="Book Antiqua" w:eastAsia="MingLiU" w:hAnsi="Book Antiqua"/>
                <w:color w:val="000000"/>
                <w:kern w:val="0"/>
                <w:sz w:val="24"/>
                <w:szCs w:val="24"/>
              </w:rPr>
            </w:pPr>
            <w:r w:rsidRPr="00474499">
              <w:rPr>
                <w:rFonts w:ascii="Book Antiqua" w:hAnsi="Book Antiqua"/>
                <w:color w:val="000000"/>
                <w:kern w:val="0"/>
                <w:sz w:val="24"/>
                <w:szCs w:val="24"/>
              </w:rPr>
              <w:t>0</w:t>
            </w:r>
            <w:r w:rsidR="00C653B2" w:rsidRPr="00E96499">
              <w:rPr>
                <w:rFonts w:ascii="Book Antiqua" w:eastAsia="MingLiU" w:hAnsi="Book Antiqua"/>
                <w:color w:val="000000"/>
                <w:kern w:val="0"/>
                <w:sz w:val="24"/>
                <w:szCs w:val="24"/>
              </w:rPr>
              <w:t>.051</w:t>
            </w:r>
          </w:p>
        </w:tc>
      </w:tr>
      <w:tr w:rsidR="00C653B2" w:rsidRPr="00E96499" w14:paraId="5A3078F1" w14:textId="77777777" w:rsidTr="00050EB1">
        <w:trPr>
          <w:trHeight w:val="423"/>
        </w:trPr>
        <w:tc>
          <w:tcPr>
            <w:tcW w:w="1843" w:type="dxa"/>
            <w:noWrap/>
          </w:tcPr>
          <w:p w14:paraId="636B7490"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Yes</w:t>
            </w:r>
          </w:p>
        </w:tc>
        <w:tc>
          <w:tcPr>
            <w:tcW w:w="567" w:type="dxa"/>
            <w:noWrap/>
          </w:tcPr>
          <w:p w14:paraId="2C639167"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17</w:t>
            </w:r>
          </w:p>
        </w:tc>
        <w:tc>
          <w:tcPr>
            <w:tcW w:w="1276" w:type="dxa"/>
            <w:noWrap/>
          </w:tcPr>
          <w:p w14:paraId="02CDF523"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14.5</w:t>
            </w:r>
          </w:p>
        </w:tc>
        <w:tc>
          <w:tcPr>
            <w:tcW w:w="1428" w:type="dxa"/>
            <w:noWrap/>
          </w:tcPr>
          <w:p w14:paraId="3241F597" w14:textId="48C2053F"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9</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52</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9</w:t>
            </w:r>
            <w:r w:rsidR="00267046" w:rsidRPr="00E96499">
              <w:rPr>
                <w:rFonts w:ascii="Book Antiqua" w:hAnsi="Book Antiqua"/>
                <w:color w:val="000000"/>
                <w:kern w:val="0"/>
                <w:sz w:val="24"/>
                <w:szCs w:val="24"/>
              </w:rPr>
              <w:t>)</w:t>
            </w:r>
          </w:p>
        </w:tc>
        <w:tc>
          <w:tcPr>
            <w:tcW w:w="1653" w:type="dxa"/>
            <w:noWrap/>
          </w:tcPr>
          <w:p w14:paraId="27776C57" w14:textId="06E21E98"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6</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35</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3</w:t>
            </w:r>
            <w:r w:rsidR="00267046" w:rsidRPr="00E96499">
              <w:rPr>
                <w:rFonts w:ascii="Book Antiqua" w:hAnsi="Book Antiqua"/>
                <w:color w:val="000000"/>
                <w:kern w:val="0"/>
                <w:sz w:val="24"/>
                <w:szCs w:val="24"/>
              </w:rPr>
              <w:t>)</w:t>
            </w:r>
          </w:p>
        </w:tc>
        <w:tc>
          <w:tcPr>
            <w:tcW w:w="1653" w:type="dxa"/>
            <w:noWrap/>
          </w:tcPr>
          <w:p w14:paraId="2B83FEDA" w14:textId="413F529C"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6</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35</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3</w:t>
            </w:r>
            <w:r w:rsidR="00267046" w:rsidRPr="00E96499">
              <w:rPr>
                <w:rFonts w:ascii="Book Antiqua" w:hAnsi="Book Antiqua"/>
                <w:color w:val="000000"/>
                <w:kern w:val="0"/>
                <w:sz w:val="24"/>
                <w:szCs w:val="24"/>
              </w:rPr>
              <w:t>)</w:t>
            </w:r>
          </w:p>
        </w:tc>
        <w:tc>
          <w:tcPr>
            <w:tcW w:w="1078" w:type="dxa"/>
            <w:noWrap/>
          </w:tcPr>
          <w:p w14:paraId="01D4C259"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r w:rsidR="00C653B2" w:rsidRPr="00E96499" w14:paraId="4A4BE88B" w14:textId="77777777" w:rsidTr="00050EB1">
        <w:trPr>
          <w:trHeight w:val="423"/>
        </w:trPr>
        <w:tc>
          <w:tcPr>
            <w:tcW w:w="1843" w:type="dxa"/>
            <w:noWrap/>
          </w:tcPr>
          <w:p w14:paraId="109CA0A1"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lastRenderedPageBreak/>
              <w:t>No</w:t>
            </w:r>
          </w:p>
        </w:tc>
        <w:tc>
          <w:tcPr>
            <w:tcW w:w="567" w:type="dxa"/>
            <w:noWrap/>
          </w:tcPr>
          <w:p w14:paraId="63CAFA42"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29</w:t>
            </w:r>
          </w:p>
        </w:tc>
        <w:tc>
          <w:tcPr>
            <w:tcW w:w="1276" w:type="dxa"/>
            <w:noWrap/>
          </w:tcPr>
          <w:p w14:paraId="7CEF9189"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35</w:t>
            </w:r>
          </w:p>
        </w:tc>
        <w:tc>
          <w:tcPr>
            <w:tcW w:w="1428" w:type="dxa"/>
            <w:noWrap/>
          </w:tcPr>
          <w:p w14:paraId="0DAF33A0" w14:textId="08A2336F"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24</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79</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3</w:t>
            </w:r>
            <w:r w:rsidR="00267046" w:rsidRPr="00E96499">
              <w:rPr>
                <w:rFonts w:ascii="Book Antiqua" w:hAnsi="Book Antiqua"/>
                <w:color w:val="000000"/>
                <w:kern w:val="0"/>
                <w:sz w:val="24"/>
                <w:szCs w:val="24"/>
              </w:rPr>
              <w:t>)</w:t>
            </w:r>
          </w:p>
        </w:tc>
        <w:tc>
          <w:tcPr>
            <w:tcW w:w="1653" w:type="dxa"/>
            <w:noWrap/>
          </w:tcPr>
          <w:p w14:paraId="155C4889" w14:textId="0957C100"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22</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75</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9</w:t>
            </w:r>
            <w:r w:rsidR="00267046" w:rsidRPr="00E96499">
              <w:rPr>
                <w:rFonts w:ascii="Book Antiqua" w:hAnsi="Book Antiqua"/>
                <w:color w:val="000000"/>
                <w:kern w:val="0"/>
                <w:sz w:val="24"/>
                <w:szCs w:val="24"/>
              </w:rPr>
              <w:t>)</w:t>
            </w:r>
          </w:p>
        </w:tc>
        <w:tc>
          <w:tcPr>
            <w:tcW w:w="1653" w:type="dxa"/>
            <w:noWrap/>
          </w:tcPr>
          <w:p w14:paraId="10576738" w14:textId="3321BCCC" w:rsidR="00C653B2" w:rsidRPr="00E96499" w:rsidRDefault="00C653B2" w:rsidP="00E96499">
            <w:pPr>
              <w:widowControl/>
              <w:adjustRightInd w:val="0"/>
              <w:snapToGrid w:val="0"/>
              <w:spacing w:line="360" w:lineRule="auto"/>
              <w:rPr>
                <w:rFonts w:ascii="Book Antiqua" w:hAnsi="Book Antiqua"/>
                <w:color w:val="000000"/>
                <w:kern w:val="0"/>
                <w:sz w:val="24"/>
                <w:szCs w:val="24"/>
              </w:rPr>
            </w:pPr>
            <w:r w:rsidRPr="00E96499">
              <w:rPr>
                <w:rFonts w:ascii="Book Antiqua" w:hAnsi="Book Antiqua"/>
                <w:color w:val="000000"/>
                <w:kern w:val="0"/>
                <w:sz w:val="24"/>
                <w:szCs w:val="24"/>
              </w:rPr>
              <w:t>18</w:t>
            </w:r>
            <w:r w:rsidR="00D94F28" w:rsidRPr="00E96499">
              <w:rPr>
                <w:rFonts w:ascii="Book Antiqua" w:hAnsi="Book Antiqua"/>
                <w:color w:val="000000"/>
                <w:kern w:val="0"/>
                <w:sz w:val="24"/>
                <w:szCs w:val="24"/>
              </w:rPr>
              <w:t xml:space="preserve"> </w:t>
            </w:r>
            <w:r w:rsidR="00267046" w:rsidRPr="00E96499">
              <w:rPr>
                <w:rFonts w:ascii="Book Antiqua" w:hAnsi="Book Antiqua"/>
                <w:color w:val="000000"/>
                <w:kern w:val="0"/>
                <w:sz w:val="24"/>
                <w:szCs w:val="24"/>
              </w:rPr>
              <w:t>(</w:t>
            </w:r>
            <w:r w:rsidRPr="00E96499">
              <w:rPr>
                <w:rFonts w:ascii="Book Antiqua" w:hAnsi="Book Antiqua"/>
                <w:color w:val="000000"/>
                <w:kern w:val="0"/>
                <w:sz w:val="24"/>
                <w:szCs w:val="24"/>
              </w:rPr>
              <w:t>61</w:t>
            </w:r>
            <w:r w:rsidR="00D94F28" w:rsidRPr="00E96499">
              <w:rPr>
                <w:rFonts w:ascii="Book Antiqua" w:hAnsi="Book Antiqua"/>
                <w:color w:val="000000"/>
                <w:kern w:val="0"/>
                <w:sz w:val="24"/>
                <w:szCs w:val="24"/>
              </w:rPr>
              <w:t>.</w:t>
            </w:r>
            <w:r w:rsidRPr="00E96499">
              <w:rPr>
                <w:rFonts w:ascii="Book Antiqua" w:hAnsi="Book Antiqua"/>
                <w:color w:val="000000"/>
                <w:kern w:val="0"/>
                <w:sz w:val="24"/>
                <w:szCs w:val="24"/>
              </w:rPr>
              <w:t>4</w:t>
            </w:r>
            <w:r w:rsidR="00267046" w:rsidRPr="00E96499">
              <w:rPr>
                <w:rFonts w:ascii="Book Antiqua" w:hAnsi="Book Antiqua"/>
                <w:color w:val="000000"/>
                <w:kern w:val="0"/>
                <w:sz w:val="24"/>
                <w:szCs w:val="24"/>
              </w:rPr>
              <w:t>)</w:t>
            </w:r>
          </w:p>
        </w:tc>
        <w:tc>
          <w:tcPr>
            <w:tcW w:w="1078" w:type="dxa"/>
            <w:noWrap/>
          </w:tcPr>
          <w:p w14:paraId="041F92B5" w14:textId="77777777" w:rsidR="00C653B2" w:rsidRPr="00E96499" w:rsidRDefault="00C653B2" w:rsidP="00E96499">
            <w:pPr>
              <w:widowControl/>
              <w:adjustRightInd w:val="0"/>
              <w:snapToGrid w:val="0"/>
              <w:spacing w:line="360" w:lineRule="auto"/>
              <w:rPr>
                <w:rFonts w:ascii="Book Antiqua" w:hAnsi="Book Antiqua"/>
                <w:color w:val="000000"/>
                <w:kern w:val="0"/>
                <w:sz w:val="24"/>
                <w:szCs w:val="24"/>
              </w:rPr>
            </w:pPr>
          </w:p>
        </w:tc>
      </w:tr>
    </w:tbl>
    <w:p w14:paraId="16FA7979" w14:textId="46B3B5E9" w:rsidR="00A91337" w:rsidRPr="00E96499" w:rsidRDefault="00D94F28" w:rsidP="00E96499">
      <w:pPr>
        <w:adjustRightInd w:val="0"/>
        <w:snapToGrid w:val="0"/>
        <w:spacing w:line="360" w:lineRule="auto"/>
        <w:rPr>
          <w:rFonts w:ascii="Book Antiqua" w:hAnsi="Book Antiqua" w:cs="TimesNewRoman"/>
          <w:color w:val="000000"/>
          <w:kern w:val="0"/>
          <w:sz w:val="24"/>
          <w:szCs w:val="24"/>
        </w:rPr>
      </w:pPr>
      <w:r w:rsidRPr="00474499">
        <w:rPr>
          <w:rFonts w:ascii="Book Antiqua" w:hAnsi="Book Antiqua"/>
          <w:color w:val="000000"/>
          <w:sz w:val="24"/>
          <w:szCs w:val="24"/>
          <w:vertAlign w:val="superscript"/>
          <w:lang w:val="en-GB"/>
        </w:rPr>
        <w:t>1</w:t>
      </w:r>
      <w:r w:rsidR="003357F5" w:rsidRPr="00474499">
        <w:rPr>
          <w:rFonts w:ascii="Book Antiqua" w:hAnsi="Book Antiqua"/>
          <w:color w:val="000000"/>
          <w:sz w:val="24"/>
          <w:szCs w:val="24"/>
          <w:lang w:val="en-GB"/>
        </w:rPr>
        <w:t xml:space="preserve">AFP </w:t>
      </w:r>
      <w:r w:rsidR="003357F5" w:rsidRPr="00474499">
        <w:rPr>
          <w:rFonts w:ascii="Book Antiqua" w:hAnsi="Book Antiqua"/>
          <w:color w:val="000000"/>
          <w:sz w:val="24"/>
          <w:szCs w:val="24"/>
          <w:lang w:val="en-GB"/>
        </w:rPr>
        <w:sym w:font="Symbol" w:char="F0B3"/>
      </w:r>
      <w:r w:rsidRPr="00474499">
        <w:rPr>
          <w:rFonts w:ascii="Book Antiqua" w:hAnsi="Book Antiqua"/>
          <w:color w:val="000000"/>
          <w:sz w:val="24"/>
          <w:szCs w:val="24"/>
          <w:lang w:val="en-GB"/>
        </w:rPr>
        <w:t xml:space="preserve"> </w:t>
      </w:r>
      <w:r w:rsidR="003357F5" w:rsidRPr="00474499">
        <w:rPr>
          <w:rFonts w:ascii="Book Antiqua" w:hAnsi="Book Antiqua"/>
          <w:color w:val="000000"/>
          <w:sz w:val="24"/>
          <w:szCs w:val="24"/>
          <w:lang w:val="en-GB"/>
        </w:rPr>
        <w:t>200 ng/</w:t>
      </w:r>
      <w:proofErr w:type="spellStart"/>
      <w:r w:rsidR="003357F5" w:rsidRPr="00474499">
        <w:rPr>
          <w:rFonts w:ascii="Book Antiqua" w:hAnsi="Book Antiqua"/>
          <w:color w:val="000000"/>
          <w:sz w:val="24"/>
          <w:szCs w:val="24"/>
          <w:lang w:val="en-GB"/>
        </w:rPr>
        <w:t>mL</w:t>
      </w:r>
      <w:r w:rsidRPr="00474499">
        <w:rPr>
          <w:rFonts w:ascii="Book Antiqua" w:hAnsi="Book Antiqua"/>
          <w:color w:val="000000"/>
          <w:sz w:val="24"/>
          <w:szCs w:val="24"/>
          <w:lang w:val="en-GB"/>
        </w:rPr>
        <w:t>.</w:t>
      </w:r>
      <w:proofErr w:type="spellEnd"/>
      <w:r w:rsidR="00A91337" w:rsidRPr="00474499">
        <w:rPr>
          <w:rFonts w:ascii="Book Antiqua" w:hAnsi="Book Antiqua"/>
          <w:color w:val="000000"/>
          <w:sz w:val="24"/>
          <w:szCs w:val="24"/>
          <w:lang w:val="en-GB"/>
        </w:rPr>
        <w:t xml:space="preserve"> </w:t>
      </w:r>
      <w:r w:rsidR="00A91337" w:rsidRPr="00E96499">
        <w:rPr>
          <w:rFonts w:ascii="Book Antiqua" w:hAnsi="Book Antiqua"/>
          <w:color w:val="000000"/>
          <w:sz w:val="24"/>
          <w:szCs w:val="24"/>
          <w:lang w:val="en-GB"/>
        </w:rPr>
        <w:t xml:space="preserve">BCLC: Barcelona Clinic Liver Cancer; OS: </w:t>
      </w:r>
      <w:r w:rsidR="00A91337" w:rsidRPr="00E96499">
        <w:rPr>
          <w:rFonts w:ascii="Book Antiqua" w:hAnsi="Book Antiqua"/>
          <w:color w:val="000000"/>
          <w:kern w:val="0"/>
          <w:sz w:val="24"/>
          <w:szCs w:val="24"/>
        </w:rPr>
        <w:t xml:space="preserve">Overall survival; </w:t>
      </w:r>
      <w:r w:rsidR="00A91337" w:rsidRPr="00E96499">
        <w:rPr>
          <w:rFonts w:ascii="Book Antiqua" w:hAnsi="Book Antiqua"/>
          <w:color w:val="000000"/>
          <w:sz w:val="24"/>
          <w:szCs w:val="24"/>
          <w:lang w:val="en-GB"/>
        </w:rPr>
        <w:t>AFP:</w:t>
      </w:r>
      <w:r w:rsidR="00A91337" w:rsidRPr="00E96499">
        <w:rPr>
          <w:rFonts w:ascii="Book Antiqua" w:hAnsi="Book Antiqua" w:cs="TimesNewRoman"/>
          <w:color w:val="000000"/>
          <w:kern w:val="0"/>
          <w:sz w:val="24"/>
          <w:szCs w:val="24"/>
        </w:rPr>
        <w:t xml:space="preserve"> </w:t>
      </w:r>
      <w:r w:rsidR="00A91337" w:rsidRPr="00E96499">
        <w:rPr>
          <w:rFonts w:ascii="Book Antiqua" w:hAnsi="Book Antiqua" w:cs="TimesNewRoman"/>
          <w:color w:val="000000"/>
          <w:kern w:val="0"/>
          <w:sz w:val="24"/>
          <w:szCs w:val="24"/>
        </w:rPr>
        <w:sym w:font="Symbol" w:char="F061"/>
      </w:r>
      <w:r w:rsidR="00A91337" w:rsidRPr="00E96499">
        <w:rPr>
          <w:rFonts w:ascii="Book Antiqua" w:hAnsi="Book Antiqua" w:cs="TimesNewRoman"/>
          <w:color w:val="000000"/>
          <w:kern w:val="0"/>
          <w:sz w:val="24"/>
          <w:szCs w:val="24"/>
        </w:rPr>
        <w:t>-fetoprotein.</w:t>
      </w:r>
    </w:p>
    <w:p w14:paraId="0C4CC058" w14:textId="73802AE5" w:rsidR="003357F5" w:rsidRPr="00474499" w:rsidRDefault="003357F5" w:rsidP="00E96499">
      <w:pPr>
        <w:adjustRightInd w:val="0"/>
        <w:snapToGrid w:val="0"/>
        <w:spacing w:line="360" w:lineRule="auto"/>
        <w:rPr>
          <w:rFonts w:ascii="Book Antiqua" w:hAnsi="Book Antiqua"/>
          <w:b/>
          <w:color w:val="000000"/>
          <w:sz w:val="24"/>
          <w:szCs w:val="24"/>
        </w:rPr>
      </w:pPr>
    </w:p>
    <w:p w14:paraId="4657B00E" w14:textId="5F1E34E9" w:rsidR="009E6C7A" w:rsidRPr="00474499" w:rsidRDefault="009E6C7A" w:rsidP="00E96499">
      <w:pPr>
        <w:adjustRightInd w:val="0"/>
        <w:snapToGrid w:val="0"/>
        <w:spacing w:line="360" w:lineRule="auto"/>
        <w:rPr>
          <w:rFonts w:ascii="Book Antiqua" w:hAnsi="Book Antiqua"/>
          <w:b/>
          <w:color w:val="000000"/>
          <w:sz w:val="24"/>
          <w:szCs w:val="24"/>
        </w:rPr>
      </w:pPr>
      <w:r w:rsidRPr="00474499">
        <w:rPr>
          <w:rFonts w:ascii="Book Antiqua" w:hAnsi="Book Antiqua"/>
          <w:b/>
          <w:color w:val="000000"/>
          <w:sz w:val="24"/>
          <w:szCs w:val="24"/>
        </w:rPr>
        <w:br w:type="page"/>
      </w:r>
      <w:r w:rsidRPr="00474499">
        <w:rPr>
          <w:rFonts w:ascii="Book Antiqua" w:hAnsi="Book Antiqua"/>
          <w:b/>
          <w:color w:val="000000"/>
          <w:sz w:val="24"/>
          <w:szCs w:val="24"/>
        </w:rPr>
        <w:lastRenderedPageBreak/>
        <w:t>A</w:t>
      </w:r>
    </w:p>
    <w:p w14:paraId="46EAD78D" w14:textId="26A6913A" w:rsidR="009E6C7A" w:rsidRPr="00E96499" w:rsidRDefault="00851334" w:rsidP="00E96499">
      <w:pPr>
        <w:adjustRightInd w:val="0"/>
        <w:snapToGrid w:val="0"/>
        <w:spacing w:line="360" w:lineRule="auto"/>
        <w:rPr>
          <w:rFonts w:ascii="Book Antiqua" w:hAnsi="Book Antiqua"/>
          <w:b/>
          <w:color w:val="000000"/>
          <w:sz w:val="24"/>
          <w:szCs w:val="24"/>
        </w:rPr>
      </w:pPr>
      <w:r>
        <w:rPr>
          <w:rFonts w:ascii="Book Antiqua" w:hAnsi="Book Antiqua"/>
          <w:b/>
          <w:noProof/>
          <w:color w:val="000000"/>
          <w:sz w:val="24"/>
          <w:szCs w:val="24"/>
        </w:rPr>
        <w:drawing>
          <wp:inline distT="0" distB="0" distL="0" distR="0" wp14:anchorId="61AB1D23">
            <wp:extent cx="1973580" cy="1973580"/>
            <wp:effectExtent l="0" t="0" r="0" b="0"/>
            <wp:docPr id="1" name="Picture 1" descr="51106-Figure 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51106-Figure 1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p w14:paraId="24E0BC7E" w14:textId="5CABEC30" w:rsidR="009E6C7A" w:rsidRPr="00E96499" w:rsidRDefault="009E6C7A" w:rsidP="00E96499">
      <w:pPr>
        <w:adjustRightInd w:val="0"/>
        <w:snapToGrid w:val="0"/>
        <w:spacing w:line="360" w:lineRule="auto"/>
        <w:rPr>
          <w:rFonts w:ascii="Book Antiqua" w:hAnsi="Book Antiqua"/>
          <w:b/>
          <w:color w:val="000000"/>
          <w:sz w:val="24"/>
          <w:szCs w:val="24"/>
        </w:rPr>
      </w:pPr>
      <w:r w:rsidRPr="00E96499">
        <w:rPr>
          <w:rFonts w:ascii="Book Antiqua" w:hAnsi="Book Antiqua"/>
          <w:b/>
          <w:color w:val="000000"/>
          <w:sz w:val="24"/>
          <w:szCs w:val="24"/>
        </w:rPr>
        <w:t>B</w:t>
      </w:r>
    </w:p>
    <w:p w14:paraId="596AC7CA" w14:textId="12C00532" w:rsidR="009E6C7A" w:rsidRPr="00E96499" w:rsidRDefault="00851334" w:rsidP="00E96499">
      <w:pPr>
        <w:adjustRightInd w:val="0"/>
        <w:snapToGrid w:val="0"/>
        <w:spacing w:line="360" w:lineRule="auto"/>
        <w:rPr>
          <w:rFonts w:ascii="Book Antiqua" w:hAnsi="Book Antiqua"/>
          <w:b/>
          <w:color w:val="000000"/>
          <w:sz w:val="24"/>
          <w:szCs w:val="24"/>
        </w:rPr>
      </w:pPr>
      <w:r>
        <w:rPr>
          <w:rFonts w:ascii="Book Antiqua" w:hAnsi="Book Antiqua"/>
          <w:b/>
          <w:noProof/>
          <w:color w:val="000000"/>
          <w:sz w:val="24"/>
          <w:szCs w:val="24"/>
        </w:rPr>
        <w:drawing>
          <wp:inline distT="0" distB="0" distL="0" distR="0" wp14:anchorId="0EE64180">
            <wp:extent cx="1973580" cy="1973580"/>
            <wp:effectExtent l="0" t="0" r="0" b="0"/>
            <wp:docPr id="2" name="Picture 2" descr="51106-Figure 1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51106-Figure 1B"/>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r w:rsidR="009E6C7A" w:rsidRPr="00E96499">
        <w:rPr>
          <w:rFonts w:ascii="Book Antiqua" w:hAnsi="Book Antiqua"/>
          <w:b/>
          <w:color w:val="000000"/>
          <w:sz w:val="24"/>
          <w:szCs w:val="24"/>
        </w:rPr>
        <w:tab/>
      </w:r>
    </w:p>
    <w:p w14:paraId="4A90D30A" w14:textId="0002C7D3" w:rsidR="009E6C7A" w:rsidRPr="00E96499" w:rsidRDefault="009E6C7A" w:rsidP="00E96499">
      <w:pPr>
        <w:adjustRightInd w:val="0"/>
        <w:snapToGrid w:val="0"/>
        <w:spacing w:line="360" w:lineRule="auto"/>
        <w:rPr>
          <w:rFonts w:ascii="Book Antiqua" w:hAnsi="Book Antiqua"/>
          <w:b/>
          <w:color w:val="000000"/>
          <w:sz w:val="24"/>
          <w:szCs w:val="24"/>
        </w:rPr>
      </w:pPr>
      <w:r w:rsidRPr="00E96499">
        <w:rPr>
          <w:rFonts w:ascii="Book Antiqua" w:hAnsi="Book Antiqua"/>
          <w:b/>
          <w:color w:val="000000"/>
          <w:sz w:val="24"/>
          <w:szCs w:val="24"/>
        </w:rPr>
        <w:t>C</w:t>
      </w:r>
    </w:p>
    <w:p w14:paraId="43F0307A" w14:textId="17B87DEC" w:rsidR="009E6C7A" w:rsidRPr="00E96499" w:rsidRDefault="00851334" w:rsidP="00E96499">
      <w:pPr>
        <w:adjustRightInd w:val="0"/>
        <w:snapToGrid w:val="0"/>
        <w:spacing w:line="360" w:lineRule="auto"/>
        <w:rPr>
          <w:rFonts w:ascii="Book Antiqua" w:hAnsi="Book Antiqua"/>
          <w:b/>
          <w:color w:val="000000"/>
          <w:sz w:val="24"/>
          <w:szCs w:val="24"/>
        </w:rPr>
      </w:pPr>
      <w:r>
        <w:rPr>
          <w:rFonts w:ascii="Book Antiqua" w:hAnsi="Book Antiqua"/>
          <w:b/>
          <w:noProof/>
          <w:color w:val="000000"/>
          <w:sz w:val="24"/>
          <w:szCs w:val="24"/>
        </w:rPr>
        <w:drawing>
          <wp:inline distT="0" distB="0" distL="0" distR="0" wp14:anchorId="039D77D8">
            <wp:extent cx="1973580" cy="1973580"/>
            <wp:effectExtent l="0" t="0" r="0" b="0"/>
            <wp:docPr id="3" name="Picture 3" descr="51106-Figure 1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51106-Figure 1C"/>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p w14:paraId="5D3A1E16" w14:textId="77B91EF4" w:rsidR="003357F5" w:rsidRPr="00E96499" w:rsidRDefault="003357F5" w:rsidP="00E96499">
      <w:pPr>
        <w:adjustRightInd w:val="0"/>
        <w:snapToGrid w:val="0"/>
        <w:spacing w:line="360" w:lineRule="auto"/>
        <w:rPr>
          <w:rFonts w:ascii="Book Antiqua" w:hAnsi="Book Antiqua"/>
          <w:b/>
          <w:color w:val="000000"/>
          <w:sz w:val="24"/>
          <w:szCs w:val="24"/>
        </w:rPr>
      </w:pPr>
      <w:r w:rsidRPr="00474499">
        <w:rPr>
          <w:rFonts w:ascii="Book Antiqua" w:hAnsi="Book Antiqua"/>
          <w:b/>
          <w:color w:val="000000"/>
          <w:sz w:val="24"/>
          <w:szCs w:val="24"/>
        </w:rPr>
        <w:t xml:space="preserve">Figure 1 </w:t>
      </w:r>
      <w:r w:rsidR="00353620" w:rsidRPr="00E96499">
        <w:rPr>
          <w:rFonts w:ascii="Book Antiqua" w:hAnsi="Book Antiqua" w:cs="TimesNewRoman"/>
          <w:b/>
          <w:color w:val="000000"/>
          <w:kern w:val="0"/>
          <w:sz w:val="24"/>
          <w:szCs w:val="24"/>
        </w:rPr>
        <w:t>Cone-beam computed tomography</w:t>
      </w:r>
      <w:r w:rsidR="00353620" w:rsidRPr="00E96499">
        <w:rPr>
          <w:rFonts w:ascii="Book Antiqua" w:hAnsi="Book Antiqua"/>
          <w:b/>
          <w:color w:val="000000"/>
          <w:sz w:val="24"/>
          <w:szCs w:val="24"/>
        </w:rPr>
        <w:t xml:space="preserve"> </w:t>
      </w:r>
      <w:r w:rsidRPr="00474499">
        <w:rPr>
          <w:rFonts w:ascii="Book Antiqua" w:hAnsi="Book Antiqua"/>
          <w:b/>
          <w:color w:val="000000"/>
          <w:sz w:val="24"/>
          <w:szCs w:val="24"/>
        </w:rPr>
        <w:t xml:space="preserve">image confirmed the position of the </w:t>
      </w:r>
      <w:r w:rsidR="002C13E6" w:rsidRPr="00E96499">
        <w:rPr>
          <w:rFonts w:ascii="Book Antiqua" w:hAnsi="Book Antiqua" w:cs="TimesNewRoman"/>
          <w:b/>
          <w:color w:val="000000"/>
          <w:kern w:val="0"/>
          <w:sz w:val="24"/>
          <w:szCs w:val="24"/>
        </w:rPr>
        <w:t xml:space="preserve">radiofrequency </w:t>
      </w:r>
      <w:r w:rsidRPr="00474499">
        <w:rPr>
          <w:rFonts w:ascii="Book Antiqua" w:hAnsi="Book Antiqua"/>
          <w:b/>
          <w:color w:val="000000"/>
          <w:sz w:val="24"/>
          <w:szCs w:val="24"/>
        </w:rPr>
        <w:t>probe</w:t>
      </w:r>
      <w:r w:rsidR="004F2842" w:rsidRPr="00474499">
        <w:rPr>
          <w:rFonts w:ascii="Book Antiqua" w:hAnsi="Book Antiqua"/>
          <w:b/>
          <w:color w:val="000000"/>
          <w:sz w:val="24"/>
          <w:szCs w:val="24"/>
        </w:rPr>
        <w:t>.</w:t>
      </w:r>
      <w:r w:rsidRPr="00474499">
        <w:rPr>
          <w:rFonts w:ascii="Book Antiqua" w:hAnsi="Book Antiqua"/>
          <w:b/>
          <w:color w:val="000000"/>
          <w:sz w:val="24"/>
          <w:szCs w:val="24"/>
        </w:rPr>
        <w:t xml:space="preserve"> </w:t>
      </w:r>
      <w:r w:rsidR="004F2842" w:rsidRPr="00474499">
        <w:rPr>
          <w:rFonts w:ascii="Book Antiqua" w:hAnsi="Book Antiqua"/>
          <w:color w:val="000000"/>
          <w:sz w:val="24"/>
          <w:szCs w:val="24"/>
        </w:rPr>
        <w:t>A</w:t>
      </w:r>
      <w:r w:rsidR="0069609C">
        <w:rPr>
          <w:rFonts w:ascii="Book Antiqua" w:hAnsi="Book Antiqua"/>
          <w:color w:val="000000"/>
          <w:sz w:val="24"/>
          <w:szCs w:val="24"/>
        </w:rPr>
        <w:t>-</w:t>
      </w:r>
      <w:r w:rsidR="004F2842" w:rsidRPr="00474499">
        <w:rPr>
          <w:rFonts w:ascii="Book Antiqua" w:hAnsi="Book Antiqua"/>
          <w:color w:val="000000"/>
          <w:sz w:val="24"/>
          <w:szCs w:val="24"/>
        </w:rPr>
        <w:t xml:space="preserve">C: </w:t>
      </w:r>
      <w:r w:rsidR="004F2842" w:rsidRPr="00E96499">
        <w:rPr>
          <w:rFonts w:ascii="Book Antiqua" w:hAnsi="Book Antiqua" w:cs="TimesNewRoman"/>
          <w:color w:val="000000"/>
          <w:kern w:val="0"/>
          <w:sz w:val="24"/>
          <w:szCs w:val="24"/>
        </w:rPr>
        <w:t xml:space="preserve">Radiofrequency </w:t>
      </w:r>
      <w:r w:rsidRPr="00474499">
        <w:rPr>
          <w:rFonts w:ascii="Book Antiqua" w:hAnsi="Book Antiqua"/>
          <w:color w:val="000000"/>
          <w:sz w:val="24"/>
          <w:szCs w:val="24"/>
        </w:rPr>
        <w:t>probe inserted at an angle to avoid lung damage.</w:t>
      </w:r>
    </w:p>
    <w:p w14:paraId="1BC37E28" w14:textId="4765B8CD" w:rsidR="009E6C7A" w:rsidRPr="00474499" w:rsidRDefault="004F2842" w:rsidP="00E96499">
      <w:pPr>
        <w:adjustRightInd w:val="0"/>
        <w:snapToGrid w:val="0"/>
        <w:spacing w:line="360" w:lineRule="auto"/>
        <w:rPr>
          <w:rFonts w:ascii="Book Antiqua" w:hAnsi="Book Antiqua"/>
          <w:color w:val="000000"/>
          <w:sz w:val="24"/>
          <w:szCs w:val="24"/>
        </w:rPr>
      </w:pPr>
      <w:r w:rsidRPr="00474499">
        <w:rPr>
          <w:rFonts w:ascii="Book Antiqua" w:hAnsi="Book Antiqua"/>
          <w:color w:val="000000"/>
          <w:sz w:val="24"/>
          <w:szCs w:val="24"/>
        </w:rPr>
        <w:br w:type="page"/>
      </w:r>
      <w:r w:rsidR="008A5250" w:rsidRPr="00474499">
        <w:rPr>
          <w:rFonts w:ascii="Book Antiqua" w:hAnsi="Book Antiqua"/>
          <w:color w:val="000000"/>
          <w:sz w:val="24"/>
          <w:szCs w:val="24"/>
        </w:rPr>
        <w:lastRenderedPageBreak/>
        <w:t xml:space="preserve">A                             </w:t>
      </w:r>
      <w:r w:rsidR="00933FB5">
        <w:rPr>
          <w:rFonts w:ascii="Book Antiqua" w:hAnsi="Book Antiqua"/>
          <w:color w:val="000000"/>
          <w:sz w:val="24"/>
          <w:szCs w:val="24"/>
        </w:rPr>
        <w:t xml:space="preserve"> </w:t>
      </w:r>
      <w:r w:rsidR="008A5250" w:rsidRPr="00474499">
        <w:rPr>
          <w:rFonts w:ascii="Book Antiqua" w:hAnsi="Book Antiqua"/>
          <w:color w:val="000000"/>
          <w:sz w:val="24"/>
          <w:szCs w:val="24"/>
        </w:rPr>
        <w:t>B</w:t>
      </w:r>
    </w:p>
    <w:p w14:paraId="2742857F" w14:textId="269F46A4" w:rsidR="008A5250" w:rsidRPr="00E96499" w:rsidRDefault="00851334" w:rsidP="00E96499">
      <w:pPr>
        <w:adjustRightInd w:val="0"/>
        <w:snapToGrid w:val="0"/>
        <w:spacing w:line="360" w:lineRule="auto"/>
        <w:rPr>
          <w:rFonts w:ascii="Book Antiqua" w:hAnsi="Book Antiqua"/>
          <w:b/>
          <w:color w:val="000000"/>
          <w:sz w:val="24"/>
          <w:szCs w:val="24"/>
        </w:rPr>
      </w:pPr>
      <w:r>
        <w:rPr>
          <w:rFonts w:ascii="Book Antiqua" w:hAnsi="Book Antiqua"/>
          <w:b/>
          <w:noProof/>
          <w:color w:val="000000"/>
          <w:sz w:val="24"/>
          <w:szCs w:val="24"/>
        </w:rPr>
        <w:drawing>
          <wp:inline distT="0" distB="0" distL="0" distR="0" wp14:anchorId="2C363DF7">
            <wp:extent cx="2145665" cy="2145665"/>
            <wp:effectExtent l="0" t="0" r="0" b="0"/>
            <wp:docPr id="4" name="Picture 4" descr="51106-Figure 2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51106-Figure 2A"/>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a:ln>
                      <a:noFill/>
                    </a:ln>
                  </pic:spPr>
                </pic:pic>
              </a:graphicData>
            </a:graphic>
          </wp:inline>
        </w:drawing>
      </w:r>
      <w:r w:rsidR="008A5250" w:rsidRPr="00E96499">
        <w:rPr>
          <w:rFonts w:ascii="Book Antiqua" w:eastAsia="Times New Roman" w:hAnsi="Book Antiqua"/>
          <w:snapToGrid w:val="0"/>
          <w:color w:val="000000"/>
          <w:w w:val="0"/>
          <w:kern w:val="0"/>
          <w:sz w:val="24"/>
          <w:szCs w:val="24"/>
          <w:u w:color="000000"/>
          <w:bdr w:val="none" w:sz="0" w:space="0" w:color="000000"/>
          <w:shd w:val="clear" w:color="000000" w:fill="000000"/>
          <w:lang w:val="x-none" w:eastAsia="x-none" w:bidi="x-none"/>
        </w:rPr>
        <w:t xml:space="preserve"> </w:t>
      </w:r>
      <w:r w:rsidR="008A5250" w:rsidRPr="00474499">
        <w:rPr>
          <w:rFonts w:ascii="Book Antiqua" w:hAnsi="Book Antiqua"/>
          <w:snapToGrid w:val="0"/>
          <w:color w:val="000000"/>
          <w:w w:val="0"/>
          <w:kern w:val="0"/>
          <w:sz w:val="24"/>
          <w:szCs w:val="24"/>
          <w:u w:color="000000"/>
          <w:bdr w:val="none" w:sz="0" w:space="0" w:color="000000"/>
          <w:shd w:val="clear" w:color="000000" w:fill="000000"/>
          <w:lang w:val="x-none" w:bidi="x-none"/>
        </w:rPr>
        <w:t xml:space="preserve">  </w:t>
      </w:r>
      <w:r w:rsidR="00933FB5">
        <w:rPr>
          <w:rFonts w:ascii="Book Antiqua" w:hAnsi="Book Antiqua"/>
          <w:b/>
          <w:color w:val="000000"/>
          <w:sz w:val="24"/>
          <w:szCs w:val="24"/>
        </w:rPr>
        <w:t xml:space="preserve"> </w:t>
      </w:r>
      <w:r>
        <w:rPr>
          <w:rFonts w:ascii="Book Antiqua" w:hAnsi="Book Antiqua"/>
          <w:b/>
          <w:noProof/>
          <w:color w:val="000000"/>
          <w:sz w:val="24"/>
          <w:szCs w:val="24"/>
        </w:rPr>
        <w:drawing>
          <wp:inline distT="0" distB="0" distL="0" distR="0" wp14:anchorId="1566DFAA">
            <wp:extent cx="2118360" cy="2118360"/>
            <wp:effectExtent l="0" t="0" r="0" b="0"/>
            <wp:docPr id="5" name="Picture 5" descr="51106-Figure 2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51106-Figure 2B"/>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inline>
        </w:drawing>
      </w:r>
    </w:p>
    <w:p w14:paraId="52443C91" w14:textId="3E08318D" w:rsidR="003357F5" w:rsidRPr="00474499" w:rsidRDefault="003357F5" w:rsidP="00E96499">
      <w:pPr>
        <w:adjustRightInd w:val="0"/>
        <w:snapToGrid w:val="0"/>
        <w:spacing w:line="360" w:lineRule="auto"/>
        <w:rPr>
          <w:rFonts w:ascii="Book Antiqua" w:hAnsi="Book Antiqua"/>
          <w:color w:val="000000"/>
          <w:sz w:val="24"/>
          <w:szCs w:val="24"/>
        </w:rPr>
      </w:pPr>
      <w:r w:rsidRPr="00474499">
        <w:rPr>
          <w:rFonts w:ascii="Book Antiqua" w:hAnsi="Book Antiqua"/>
          <w:b/>
          <w:color w:val="000000"/>
          <w:sz w:val="24"/>
          <w:szCs w:val="24"/>
        </w:rPr>
        <w:t>Figure 2 A 41-year-old male patient re-examined 2 and 4 years after combination therapy.</w:t>
      </w:r>
      <w:r w:rsidR="00D96BAF" w:rsidRPr="00474499">
        <w:rPr>
          <w:rFonts w:ascii="Book Antiqua" w:hAnsi="Book Antiqua"/>
          <w:color w:val="000000"/>
          <w:sz w:val="24"/>
          <w:szCs w:val="24"/>
        </w:rPr>
        <w:t xml:space="preserve"> </w:t>
      </w:r>
      <w:r w:rsidRPr="00474499">
        <w:rPr>
          <w:rFonts w:ascii="Book Antiqua" w:hAnsi="Book Antiqua"/>
          <w:color w:val="000000"/>
          <w:sz w:val="24"/>
          <w:szCs w:val="24"/>
        </w:rPr>
        <w:t>A</w:t>
      </w:r>
      <w:r w:rsidR="00D96BAF" w:rsidRPr="00474499">
        <w:rPr>
          <w:rFonts w:ascii="Book Antiqua" w:hAnsi="Book Antiqua"/>
          <w:color w:val="000000"/>
          <w:sz w:val="24"/>
          <w:szCs w:val="24"/>
        </w:rPr>
        <w:t>:</w:t>
      </w:r>
      <w:r w:rsidRPr="00474499">
        <w:rPr>
          <w:rFonts w:ascii="Book Antiqua" w:hAnsi="Book Antiqua"/>
          <w:color w:val="000000"/>
          <w:sz w:val="24"/>
          <w:szCs w:val="24"/>
        </w:rPr>
        <w:t xml:space="preserve"> </w:t>
      </w:r>
      <w:r w:rsidR="001365AE" w:rsidRPr="00E96499">
        <w:rPr>
          <w:rFonts w:ascii="Book Antiqua" w:hAnsi="Book Antiqua" w:cs="TimesNewRoman"/>
          <w:color w:val="000000"/>
          <w:kern w:val="0"/>
          <w:sz w:val="24"/>
          <w:szCs w:val="24"/>
        </w:rPr>
        <w:t>Magnetic resonance imaging</w:t>
      </w:r>
      <w:r w:rsidR="001365AE" w:rsidRPr="00E96499">
        <w:rPr>
          <w:rFonts w:ascii="Book Antiqua" w:hAnsi="Book Antiqua"/>
          <w:color w:val="000000"/>
          <w:sz w:val="24"/>
          <w:szCs w:val="24"/>
        </w:rPr>
        <w:t xml:space="preserve"> (MRI) </w:t>
      </w:r>
      <w:r w:rsidR="00D96BAF" w:rsidRPr="00474499">
        <w:rPr>
          <w:rFonts w:ascii="Book Antiqua" w:hAnsi="Book Antiqua"/>
          <w:color w:val="000000"/>
          <w:sz w:val="24"/>
          <w:szCs w:val="24"/>
        </w:rPr>
        <w:t xml:space="preserve">at 2 years; </w:t>
      </w:r>
      <w:r w:rsidRPr="00474499">
        <w:rPr>
          <w:rFonts w:ascii="Book Antiqua" w:hAnsi="Book Antiqua"/>
          <w:color w:val="000000"/>
          <w:sz w:val="24"/>
          <w:szCs w:val="24"/>
        </w:rPr>
        <w:t>B</w:t>
      </w:r>
      <w:r w:rsidR="00D96BAF" w:rsidRPr="00474499">
        <w:rPr>
          <w:rFonts w:ascii="Book Antiqua" w:hAnsi="Book Antiqua"/>
          <w:color w:val="000000"/>
          <w:sz w:val="24"/>
          <w:szCs w:val="24"/>
        </w:rPr>
        <w:t xml:space="preserve">: </w:t>
      </w:r>
      <w:r w:rsidRPr="00474499">
        <w:rPr>
          <w:rFonts w:ascii="Book Antiqua" w:hAnsi="Book Antiqua"/>
          <w:color w:val="000000"/>
          <w:sz w:val="24"/>
          <w:szCs w:val="24"/>
        </w:rPr>
        <w:t xml:space="preserve">MRI at 4 years. </w:t>
      </w:r>
      <w:r w:rsidR="004C2B39" w:rsidRPr="00E96499">
        <w:rPr>
          <w:rFonts w:ascii="Book Antiqua" w:hAnsi="Book Antiqua"/>
          <w:bCs/>
          <w:color w:val="000000"/>
          <w:sz w:val="24"/>
          <w:szCs w:val="24"/>
        </w:rPr>
        <w:t>Hepatocellular carcinoma</w:t>
      </w:r>
      <w:r w:rsidR="004C2B39" w:rsidRPr="00E96499">
        <w:rPr>
          <w:rFonts w:ascii="Book Antiqua" w:hAnsi="Book Antiqua"/>
          <w:color w:val="000000"/>
          <w:sz w:val="24"/>
          <w:szCs w:val="24"/>
        </w:rPr>
        <w:t xml:space="preserve"> </w:t>
      </w:r>
      <w:r w:rsidRPr="00474499">
        <w:rPr>
          <w:rFonts w:ascii="Book Antiqua" w:hAnsi="Book Antiqua"/>
          <w:color w:val="000000"/>
          <w:sz w:val="24"/>
          <w:szCs w:val="24"/>
        </w:rPr>
        <w:t>lesions showed pyknosis and necrosis.</w:t>
      </w:r>
    </w:p>
    <w:p w14:paraId="1ED4708D" w14:textId="77777777" w:rsidR="003357F5" w:rsidRPr="00474499" w:rsidRDefault="003357F5" w:rsidP="00E96499">
      <w:pPr>
        <w:adjustRightInd w:val="0"/>
        <w:snapToGrid w:val="0"/>
        <w:spacing w:line="360" w:lineRule="auto"/>
        <w:rPr>
          <w:rFonts w:ascii="Book Antiqua" w:hAnsi="Book Antiqua"/>
          <w:b/>
          <w:color w:val="000000"/>
          <w:sz w:val="24"/>
          <w:szCs w:val="24"/>
        </w:rPr>
      </w:pPr>
    </w:p>
    <w:p w14:paraId="197C0458" w14:textId="12B1B97F" w:rsidR="003906F8" w:rsidRPr="00E96499" w:rsidRDefault="00E22153" w:rsidP="00E96499">
      <w:pPr>
        <w:adjustRightInd w:val="0"/>
        <w:snapToGrid w:val="0"/>
        <w:spacing w:line="360" w:lineRule="auto"/>
        <w:rPr>
          <w:rFonts w:ascii="Book Antiqua" w:hAnsi="Book Antiqua" w:cs="TimesNewRoman"/>
          <w:noProof/>
          <w:kern w:val="0"/>
          <w:sz w:val="24"/>
          <w:szCs w:val="24"/>
        </w:rPr>
      </w:pPr>
      <w:r w:rsidRPr="00474499">
        <w:rPr>
          <w:rFonts w:ascii="Book Antiqua" w:hAnsi="Book Antiqua"/>
          <w:b/>
          <w:color w:val="000000"/>
          <w:sz w:val="24"/>
          <w:szCs w:val="24"/>
        </w:rPr>
        <w:br w:type="page"/>
      </w:r>
      <w:r w:rsidR="00851334">
        <w:rPr>
          <w:rFonts w:ascii="Book Antiqua" w:hAnsi="Book Antiqua" w:cs="TimesNewRoman"/>
          <w:noProof/>
          <w:kern w:val="0"/>
          <w:sz w:val="24"/>
          <w:szCs w:val="24"/>
        </w:rPr>
        <w:lastRenderedPageBreak/>
        <w:drawing>
          <wp:inline distT="0" distB="0" distL="0" distR="0" wp14:anchorId="08EC189F">
            <wp:extent cx="4798060" cy="2444750"/>
            <wp:effectExtent l="0" t="0" r="0" b="0"/>
            <wp:docPr id="6"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8060" cy="2444750"/>
                    </a:xfrm>
                    <a:prstGeom prst="rect">
                      <a:avLst/>
                    </a:prstGeom>
                    <a:noFill/>
                    <a:ln>
                      <a:noFill/>
                    </a:ln>
                  </pic:spPr>
                </pic:pic>
              </a:graphicData>
            </a:graphic>
          </wp:inline>
        </w:drawing>
      </w:r>
    </w:p>
    <w:p w14:paraId="6A970740" w14:textId="479B7EC6" w:rsidR="003357F5" w:rsidRPr="00474499" w:rsidRDefault="003357F5" w:rsidP="00E96499">
      <w:pPr>
        <w:adjustRightInd w:val="0"/>
        <w:snapToGrid w:val="0"/>
        <w:spacing w:line="360" w:lineRule="auto"/>
        <w:rPr>
          <w:rFonts w:ascii="Book Antiqua" w:hAnsi="Book Antiqua"/>
          <w:bCs/>
          <w:color w:val="000000"/>
          <w:sz w:val="24"/>
          <w:szCs w:val="24"/>
        </w:rPr>
      </w:pPr>
      <w:r w:rsidRPr="00474499">
        <w:rPr>
          <w:rFonts w:ascii="Book Antiqua" w:hAnsi="Book Antiqua"/>
          <w:b/>
          <w:color w:val="000000"/>
          <w:sz w:val="24"/>
          <w:szCs w:val="24"/>
        </w:rPr>
        <w:t xml:space="preserve">Figure 3 Kaplan–Meier analysis of </w:t>
      </w:r>
      <w:r w:rsidR="00050EB1" w:rsidRPr="00E96499">
        <w:rPr>
          <w:rFonts w:ascii="Book Antiqua" w:hAnsi="Book Antiqua"/>
          <w:b/>
          <w:color w:val="000000"/>
          <w:kern w:val="0"/>
          <w:sz w:val="24"/>
          <w:szCs w:val="24"/>
        </w:rPr>
        <w:t>overall survival</w:t>
      </w:r>
      <w:r w:rsidR="00050EB1" w:rsidRPr="00E96499">
        <w:rPr>
          <w:rFonts w:ascii="Book Antiqua" w:hAnsi="Book Antiqua"/>
          <w:b/>
          <w:color w:val="000000"/>
          <w:sz w:val="24"/>
          <w:szCs w:val="24"/>
        </w:rPr>
        <w:t xml:space="preserve"> </w:t>
      </w:r>
      <w:r w:rsidRPr="00474499">
        <w:rPr>
          <w:rFonts w:ascii="Book Antiqua" w:hAnsi="Book Antiqua"/>
          <w:b/>
          <w:color w:val="000000"/>
          <w:sz w:val="24"/>
          <w:szCs w:val="24"/>
        </w:rPr>
        <w:t xml:space="preserve">and </w:t>
      </w:r>
      <w:r w:rsidR="00050EB1" w:rsidRPr="00E96499">
        <w:rPr>
          <w:rFonts w:ascii="Book Antiqua" w:hAnsi="Book Antiqua"/>
          <w:b/>
          <w:color w:val="000000"/>
          <w:kern w:val="0"/>
          <w:sz w:val="24"/>
          <w:szCs w:val="24"/>
        </w:rPr>
        <w:t>progression-free survival</w:t>
      </w:r>
      <w:r w:rsidRPr="00474499">
        <w:rPr>
          <w:rFonts w:ascii="Book Antiqua" w:hAnsi="Book Antiqua"/>
          <w:b/>
          <w:color w:val="000000"/>
          <w:sz w:val="24"/>
          <w:szCs w:val="24"/>
        </w:rPr>
        <w:t xml:space="preserve">. </w:t>
      </w:r>
      <w:r w:rsidRPr="00474499">
        <w:rPr>
          <w:rFonts w:ascii="Book Antiqua" w:hAnsi="Book Antiqua"/>
          <w:color w:val="000000"/>
          <w:sz w:val="24"/>
          <w:szCs w:val="24"/>
        </w:rPr>
        <w:t xml:space="preserve">Kaplan–Meier survival curves shown for patients with large </w:t>
      </w:r>
      <w:r w:rsidR="004C2B39" w:rsidRPr="00E96499">
        <w:rPr>
          <w:rFonts w:ascii="Book Antiqua" w:hAnsi="Book Antiqua"/>
          <w:bCs/>
          <w:color w:val="000000"/>
          <w:sz w:val="24"/>
          <w:szCs w:val="24"/>
        </w:rPr>
        <w:t>hepatocellular carcinomas</w:t>
      </w:r>
      <w:r w:rsidR="004C2B39" w:rsidRPr="00E96499">
        <w:rPr>
          <w:rFonts w:ascii="Book Antiqua" w:hAnsi="Book Antiqua"/>
          <w:color w:val="000000"/>
          <w:sz w:val="24"/>
          <w:szCs w:val="24"/>
        </w:rPr>
        <w:t xml:space="preserve"> </w:t>
      </w:r>
      <w:r w:rsidRPr="00474499">
        <w:rPr>
          <w:rFonts w:ascii="Book Antiqua" w:hAnsi="Book Antiqua"/>
          <w:color w:val="000000"/>
          <w:sz w:val="24"/>
          <w:szCs w:val="24"/>
        </w:rPr>
        <w:t>tre</w:t>
      </w:r>
      <w:r w:rsidR="0035122F" w:rsidRPr="00474499">
        <w:rPr>
          <w:rFonts w:ascii="Book Antiqua" w:hAnsi="Book Antiqua"/>
          <w:color w:val="000000"/>
          <w:sz w:val="24"/>
          <w:szCs w:val="24"/>
        </w:rPr>
        <w:t xml:space="preserve">ated with combination therapy. </w:t>
      </w:r>
      <w:r w:rsidRPr="00474499">
        <w:rPr>
          <w:rFonts w:ascii="Book Antiqua" w:hAnsi="Book Antiqua"/>
          <w:color w:val="000000"/>
          <w:sz w:val="24"/>
          <w:szCs w:val="24"/>
        </w:rPr>
        <w:t>A</w:t>
      </w:r>
      <w:r w:rsidR="0035122F" w:rsidRPr="00474499">
        <w:rPr>
          <w:rFonts w:ascii="Book Antiqua" w:hAnsi="Book Antiqua"/>
          <w:color w:val="000000"/>
          <w:sz w:val="24"/>
          <w:szCs w:val="24"/>
        </w:rPr>
        <w:t>:</w:t>
      </w:r>
      <w:r w:rsidRPr="00474499">
        <w:rPr>
          <w:rFonts w:ascii="Book Antiqua" w:hAnsi="Book Antiqua"/>
          <w:color w:val="000000"/>
          <w:sz w:val="24"/>
          <w:szCs w:val="24"/>
        </w:rPr>
        <w:t xml:space="preserve"> 3-year </w:t>
      </w:r>
      <w:r w:rsidR="00050EB1" w:rsidRPr="00E96499">
        <w:rPr>
          <w:rFonts w:ascii="Book Antiqua" w:hAnsi="Book Antiqua"/>
          <w:color w:val="000000"/>
          <w:kern w:val="0"/>
          <w:sz w:val="24"/>
          <w:szCs w:val="24"/>
        </w:rPr>
        <w:t>overall survival</w:t>
      </w:r>
      <w:r w:rsidR="0035122F" w:rsidRPr="00474499">
        <w:rPr>
          <w:rFonts w:ascii="Book Antiqua" w:hAnsi="Book Antiqua"/>
          <w:color w:val="000000"/>
          <w:sz w:val="24"/>
          <w:szCs w:val="24"/>
        </w:rPr>
        <w:t xml:space="preserve">; B: </w:t>
      </w:r>
      <w:r w:rsidRPr="00474499">
        <w:rPr>
          <w:rFonts w:ascii="Book Antiqua" w:hAnsi="Book Antiqua"/>
          <w:color w:val="000000"/>
          <w:sz w:val="24"/>
          <w:szCs w:val="24"/>
        </w:rPr>
        <w:t xml:space="preserve">3-year </w:t>
      </w:r>
      <w:r w:rsidR="00050EB1" w:rsidRPr="00E96499">
        <w:rPr>
          <w:rFonts w:ascii="Book Antiqua" w:hAnsi="Book Antiqua"/>
          <w:color w:val="000000"/>
          <w:kern w:val="0"/>
          <w:sz w:val="24"/>
          <w:szCs w:val="24"/>
        </w:rPr>
        <w:t>progression-free survival</w:t>
      </w:r>
      <w:r w:rsidRPr="00474499">
        <w:rPr>
          <w:rFonts w:ascii="Book Antiqua" w:hAnsi="Book Antiqua"/>
          <w:color w:val="000000"/>
          <w:sz w:val="24"/>
          <w:szCs w:val="24"/>
        </w:rPr>
        <w:t>.</w:t>
      </w:r>
      <w:r w:rsidR="003906F8" w:rsidRPr="00474499">
        <w:rPr>
          <w:rFonts w:ascii="Book Antiqua" w:hAnsi="Book Antiqua"/>
          <w:color w:val="000000"/>
          <w:sz w:val="24"/>
          <w:szCs w:val="24"/>
        </w:rPr>
        <w:t xml:space="preserve"> OS: </w:t>
      </w:r>
      <w:r w:rsidR="003906F8" w:rsidRPr="00E96499">
        <w:rPr>
          <w:rFonts w:ascii="Book Antiqua" w:hAnsi="Book Antiqua"/>
          <w:color w:val="000000"/>
          <w:kern w:val="0"/>
          <w:sz w:val="24"/>
          <w:szCs w:val="24"/>
        </w:rPr>
        <w:t>Overall survival; PFS: Progression-free survival.</w:t>
      </w:r>
    </w:p>
    <w:sectPr w:rsidR="003357F5" w:rsidRPr="00474499" w:rsidSect="00A86A5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CB31B" w14:textId="77777777" w:rsidR="00F141A9" w:rsidRDefault="00F141A9">
      <w:r>
        <w:separator/>
      </w:r>
    </w:p>
  </w:endnote>
  <w:endnote w:type="continuationSeparator" w:id="0">
    <w:p w14:paraId="511BFC22" w14:textId="77777777" w:rsidR="00F141A9" w:rsidRDefault="00F1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YouYuan">
    <w:altName w:val="SimSun"/>
    <w:panose1 w:val="020B0604020202020204"/>
    <w:charset w:val="86"/>
    <w:family w:val="modern"/>
    <w:pitch w:val="fixed"/>
    <w:sig w:usb0="00000001" w:usb1="080E0000" w:usb2="00000010" w:usb3="00000000" w:csb0="00040000" w:csb1="00000000"/>
  </w:font>
  <w:font w:name="TimesNewRomanPSMT">
    <w:altName w:val="Arial"/>
    <w:panose1 w:val="020B0604020202020204"/>
    <w:charset w:val="00"/>
    <w:family w:val="swiss"/>
    <w:notTrueType/>
    <w:pitch w:val="default"/>
    <w:sig w:usb0="00000003" w:usb1="00000000" w:usb2="00000000" w:usb3="00000000" w:csb0="00000001" w:csb1="00000000"/>
  </w:font>
  <w:font w:name="TimesNewRomanPS-BoldItalicMT">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C427" w14:textId="77777777" w:rsidR="00353620" w:rsidRDefault="0035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AE2A2" w14:textId="77777777" w:rsidR="00353620" w:rsidRDefault="00353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015D" w14:textId="77777777" w:rsidR="00353620" w:rsidRDefault="0035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7E0">
      <w:rPr>
        <w:rStyle w:val="PageNumber"/>
        <w:noProof/>
      </w:rPr>
      <w:t>19</w:t>
    </w:r>
    <w:r>
      <w:rPr>
        <w:rStyle w:val="PageNumber"/>
      </w:rPr>
      <w:fldChar w:fldCharType="end"/>
    </w:r>
  </w:p>
  <w:p w14:paraId="36C13084" w14:textId="77777777" w:rsidR="00353620" w:rsidRDefault="0035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D14B" w14:textId="77777777" w:rsidR="00F141A9" w:rsidRDefault="00F141A9">
      <w:r>
        <w:separator/>
      </w:r>
    </w:p>
  </w:footnote>
  <w:footnote w:type="continuationSeparator" w:id="0">
    <w:p w14:paraId="4E24DB4A" w14:textId="77777777" w:rsidR="00F141A9" w:rsidRDefault="00F1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5D5D" w14:textId="77777777" w:rsidR="00353620" w:rsidRDefault="00353620">
    <w:pPr>
      <w:pStyle w:val="Header"/>
      <w:rPr>
        <w:rFonts w:ascii="SimSun" w:cs="SimHei"/>
      </w:rPr>
    </w:pPr>
    <w:r>
      <w:rPr>
        <w:rFonts w:ascii="SimSun" w:hAnsi="SimSun" w:cs="SimHei" w:hint="eastAsia"/>
      </w:rPr>
      <w:t>冯帆</w:t>
    </w:r>
    <w:r>
      <w:rPr>
        <w:rFonts w:ascii="SimSun" w:cs="SimHei"/>
      </w:rPr>
      <w:t>-</w:t>
    </w:r>
    <w:r>
      <w:rPr>
        <w:rFonts w:ascii="SimSun" w:hAnsi="SimSun" w:cs="SimHei" w:hint="eastAsia"/>
      </w:rPr>
      <w:t>肝细胞癌分子靶向药物耐受的分子机制研究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0ED4"/>
    <w:multiLevelType w:val="multilevel"/>
    <w:tmpl w:val="14010ED4"/>
    <w:lvl w:ilvl="0">
      <w:start w:val="1"/>
      <w:numFmt w:val="decimal"/>
      <w:pStyle w:val="08SectionHeader1"/>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93"/>
    <w:rsid w:val="000006B2"/>
    <w:rsid w:val="00002BBE"/>
    <w:rsid w:val="00011B34"/>
    <w:rsid w:val="0001282A"/>
    <w:rsid w:val="00013371"/>
    <w:rsid w:val="00014AAF"/>
    <w:rsid w:val="00015287"/>
    <w:rsid w:val="0002051F"/>
    <w:rsid w:val="00022633"/>
    <w:rsid w:val="00024915"/>
    <w:rsid w:val="00026D5F"/>
    <w:rsid w:val="00026FBD"/>
    <w:rsid w:val="000270B6"/>
    <w:rsid w:val="00032A64"/>
    <w:rsid w:val="00035070"/>
    <w:rsid w:val="000350C2"/>
    <w:rsid w:val="000357D9"/>
    <w:rsid w:val="000375C1"/>
    <w:rsid w:val="000402F0"/>
    <w:rsid w:val="0004348A"/>
    <w:rsid w:val="00044ED2"/>
    <w:rsid w:val="00050EB1"/>
    <w:rsid w:val="000513FB"/>
    <w:rsid w:val="0005410E"/>
    <w:rsid w:val="00061A68"/>
    <w:rsid w:val="000630D0"/>
    <w:rsid w:val="00063462"/>
    <w:rsid w:val="00066D53"/>
    <w:rsid w:val="00075149"/>
    <w:rsid w:val="0008023D"/>
    <w:rsid w:val="00081EAA"/>
    <w:rsid w:val="00083BE9"/>
    <w:rsid w:val="000851D8"/>
    <w:rsid w:val="00087422"/>
    <w:rsid w:val="00087870"/>
    <w:rsid w:val="00090597"/>
    <w:rsid w:val="000932F4"/>
    <w:rsid w:val="000A20B8"/>
    <w:rsid w:val="000A238E"/>
    <w:rsid w:val="000A49C0"/>
    <w:rsid w:val="000A4E0F"/>
    <w:rsid w:val="000A5C05"/>
    <w:rsid w:val="000A5DE4"/>
    <w:rsid w:val="000A648D"/>
    <w:rsid w:val="000A6BE3"/>
    <w:rsid w:val="000B1FD8"/>
    <w:rsid w:val="000B7A6C"/>
    <w:rsid w:val="000C3BC6"/>
    <w:rsid w:val="000C3C07"/>
    <w:rsid w:val="000C66A1"/>
    <w:rsid w:val="000D209D"/>
    <w:rsid w:val="000D379C"/>
    <w:rsid w:val="000D4357"/>
    <w:rsid w:val="000D6742"/>
    <w:rsid w:val="000D707B"/>
    <w:rsid w:val="000D7C22"/>
    <w:rsid w:val="000E310F"/>
    <w:rsid w:val="000E63D1"/>
    <w:rsid w:val="000E77D1"/>
    <w:rsid w:val="000F1E1F"/>
    <w:rsid w:val="000F3A9F"/>
    <w:rsid w:val="00100285"/>
    <w:rsid w:val="00102414"/>
    <w:rsid w:val="001043AF"/>
    <w:rsid w:val="00105B9E"/>
    <w:rsid w:val="00106F2B"/>
    <w:rsid w:val="00107795"/>
    <w:rsid w:val="00111521"/>
    <w:rsid w:val="00112048"/>
    <w:rsid w:val="001125D8"/>
    <w:rsid w:val="00112801"/>
    <w:rsid w:val="00113385"/>
    <w:rsid w:val="001156EC"/>
    <w:rsid w:val="001167F2"/>
    <w:rsid w:val="00116BF7"/>
    <w:rsid w:val="001206C8"/>
    <w:rsid w:val="0012153E"/>
    <w:rsid w:val="00123763"/>
    <w:rsid w:val="00133A46"/>
    <w:rsid w:val="00135033"/>
    <w:rsid w:val="001365AE"/>
    <w:rsid w:val="001373CD"/>
    <w:rsid w:val="001402D7"/>
    <w:rsid w:val="00143017"/>
    <w:rsid w:val="001436A6"/>
    <w:rsid w:val="00150CA8"/>
    <w:rsid w:val="0015181C"/>
    <w:rsid w:val="001528F7"/>
    <w:rsid w:val="00153C12"/>
    <w:rsid w:val="00154B26"/>
    <w:rsid w:val="00157E77"/>
    <w:rsid w:val="00160B05"/>
    <w:rsid w:val="001612F7"/>
    <w:rsid w:val="00164CCF"/>
    <w:rsid w:val="00166785"/>
    <w:rsid w:val="00166A09"/>
    <w:rsid w:val="00173BD4"/>
    <w:rsid w:val="00174BA4"/>
    <w:rsid w:val="00175405"/>
    <w:rsid w:val="00175DB6"/>
    <w:rsid w:val="00181F8A"/>
    <w:rsid w:val="001825E3"/>
    <w:rsid w:val="001847AD"/>
    <w:rsid w:val="00185581"/>
    <w:rsid w:val="00187297"/>
    <w:rsid w:val="00187829"/>
    <w:rsid w:val="00187879"/>
    <w:rsid w:val="0019122C"/>
    <w:rsid w:val="0019238E"/>
    <w:rsid w:val="001926FB"/>
    <w:rsid w:val="00194233"/>
    <w:rsid w:val="00196603"/>
    <w:rsid w:val="001A61A9"/>
    <w:rsid w:val="001B23E6"/>
    <w:rsid w:val="001B3437"/>
    <w:rsid w:val="001B4300"/>
    <w:rsid w:val="001B6E93"/>
    <w:rsid w:val="001C125E"/>
    <w:rsid w:val="001D180C"/>
    <w:rsid w:val="001D4EAA"/>
    <w:rsid w:val="001D5513"/>
    <w:rsid w:val="001E01E0"/>
    <w:rsid w:val="001E350B"/>
    <w:rsid w:val="001E41D4"/>
    <w:rsid w:val="001E568E"/>
    <w:rsid w:val="001E7790"/>
    <w:rsid w:val="001F007E"/>
    <w:rsid w:val="001F162A"/>
    <w:rsid w:val="00200A71"/>
    <w:rsid w:val="00205292"/>
    <w:rsid w:val="0020624E"/>
    <w:rsid w:val="0020762E"/>
    <w:rsid w:val="00210CBB"/>
    <w:rsid w:val="002164A5"/>
    <w:rsid w:val="0021782B"/>
    <w:rsid w:val="00223D94"/>
    <w:rsid w:val="00225CAC"/>
    <w:rsid w:val="002274F4"/>
    <w:rsid w:val="00230F56"/>
    <w:rsid w:val="002323A2"/>
    <w:rsid w:val="0023289C"/>
    <w:rsid w:val="00232F00"/>
    <w:rsid w:val="00233CBE"/>
    <w:rsid w:val="00235F89"/>
    <w:rsid w:val="00236E02"/>
    <w:rsid w:val="00247FEA"/>
    <w:rsid w:val="00253A34"/>
    <w:rsid w:val="002542D6"/>
    <w:rsid w:val="002554A4"/>
    <w:rsid w:val="002601AE"/>
    <w:rsid w:val="00262890"/>
    <w:rsid w:val="00267046"/>
    <w:rsid w:val="002759CB"/>
    <w:rsid w:val="00281DDA"/>
    <w:rsid w:val="0028457A"/>
    <w:rsid w:val="00284F1D"/>
    <w:rsid w:val="00287F96"/>
    <w:rsid w:val="0029194B"/>
    <w:rsid w:val="00297688"/>
    <w:rsid w:val="002A225A"/>
    <w:rsid w:val="002A26BA"/>
    <w:rsid w:val="002A305A"/>
    <w:rsid w:val="002A41A4"/>
    <w:rsid w:val="002A42A5"/>
    <w:rsid w:val="002B113F"/>
    <w:rsid w:val="002B3494"/>
    <w:rsid w:val="002B5597"/>
    <w:rsid w:val="002B6B4B"/>
    <w:rsid w:val="002B7B94"/>
    <w:rsid w:val="002C13E6"/>
    <w:rsid w:val="002C2549"/>
    <w:rsid w:val="002C25D2"/>
    <w:rsid w:val="002C26EC"/>
    <w:rsid w:val="002C4315"/>
    <w:rsid w:val="002C4361"/>
    <w:rsid w:val="002C79CF"/>
    <w:rsid w:val="002D12AA"/>
    <w:rsid w:val="002D34E7"/>
    <w:rsid w:val="002D3D45"/>
    <w:rsid w:val="002E177B"/>
    <w:rsid w:val="002E2150"/>
    <w:rsid w:val="002F0DBD"/>
    <w:rsid w:val="002F2F43"/>
    <w:rsid w:val="003033DB"/>
    <w:rsid w:val="00304ED1"/>
    <w:rsid w:val="00306344"/>
    <w:rsid w:val="00310FD6"/>
    <w:rsid w:val="00314868"/>
    <w:rsid w:val="00315AC5"/>
    <w:rsid w:val="00325D17"/>
    <w:rsid w:val="00330CDF"/>
    <w:rsid w:val="00332D68"/>
    <w:rsid w:val="00333B3D"/>
    <w:rsid w:val="00334190"/>
    <w:rsid w:val="00334504"/>
    <w:rsid w:val="003357F5"/>
    <w:rsid w:val="00336049"/>
    <w:rsid w:val="00341C08"/>
    <w:rsid w:val="003421FD"/>
    <w:rsid w:val="00342F42"/>
    <w:rsid w:val="00343654"/>
    <w:rsid w:val="00345107"/>
    <w:rsid w:val="003452CC"/>
    <w:rsid w:val="0035122F"/>
    <w:rsid w:val="0035246E"/>
    <w:rsid w:val="00353620"/>
    <w:rsid w:val="003545BD"/>
    <w:rsid w:val="00364187"/>
    <w:rsid w:val="003663F3"/>
    <w:rsid w:val="003757A9"/>
    <w:rsid w:val="00380F94"/>
    <w:rsid w:val="0038215A"/>
    <w:rsid w:val="00383AB9"/>
    <w:rsid w:val="00383C6D"/>
    <w:rsid w:val="003906F8"/>
    <w:rsid w:val="00393C91"/>
    <w:rsid w:val="00396907"/>
    <w:rsid w:val="0039733E"/>
    <w:rsid w:val="003A2353"/>
    <w:rsid w:val="003A67E0"/>
    <w:rsid w:val="003A6CA7"/>
    <w:rsid w:val="003B2FE6"/>
    <w:rsid w:val="003B487E"/>
    <w:rsid w:val="003B4C74"/>
    <w:rsid w:val="003B586C"/>
    <w:rsid w:val="003B71B5"/>
    <w:rsid w:val="003C0817"/>
    <w:rsid w:val="003C431E"/>
    <w:rsid w:val="003C53D7"/>
    <w:rsid w:val="003C5EF8"/>
    <w:rsid w:val="003D2088"/>
    <w:rsid w:val="003D5FCB"/>
    <w:rsid w:val="003E2DCA"/>
    <w:rsid w:val="003E3A4B"/>
    <w:rsid w:val="003F1A71"/>
    <w:rsid w:val="003F5FDD"/>
    <w:rsid w:val="003F6E04"/>
    <w:rsid w:val="003F7728"/>
    <w:rsid w:val="00405FF3"/>
    <w:rsid w:val="0041054F"/>
    <w:rsid w:val="004136B5"/>
    <w:rsid w:val="00413AA9"/>
    <w:rsid w:val="00414327"/>
    <w:rsid w:val="00415D54"/>
    <w:rsid w:val="00417CE6"/>
    <w:rsid w:val="004245F5"/>
    <w:rsid w:val="00424974"/>
    <w:rsid w:val="00433EA3"/>
    <w:rsid w:val="00433ECD"/>
    <w:rsid w:val="004379B7"/>
    <w:rsid w:val="004456DA"/>
    <w:rsid w:val="0044617C"/>
    <w:rsid w:val="00446515"/>
    <w:rsid w:val="0044686A"/>
    <w:rsid w:val="00452933"/>
    <w:rsid w:val="00452FC7"/>
    <w:rsid w:val="00453FBC"/>
    <w:rsid w:val="00454CA2"/>
    <w:rsid w:val="00455735"/>
    <w:rsid w:val="004570C4"/>
    <w:rsid w:val="0046196C"/>
    <w:rsid w:val="00463610"/>
    <w:rsid w:val="00463902"/>
    <w:rsid w:val="0047208F"/>
    <w:rsid w:val="004733AC"/>
    <w:rsid w:val="00474499"/>
    <w:rsid w:val="00475A0E"/>
    <w:rsid w:val="0047740F"/>
    <w:rsid w:val="00477481"/>
    <w:rsid w:val="004775B7"/>
    <w:rsid w:val="00477D37"/>
    <w:rsid w:val="004804EA"/>
    <w:rsid w:val="00480F65"/>
    <w:rsid w:val="0048647B"/>
    <w:rsid w:val="0049211D"/>
    <w:rsid w:val="004955CD"/>
    <w:rsid w:val="004974B2"/>
    <w:rsid w:val="004A049E"/>
    <w:rsid w:val="004A3533"/>
    <w:rsid w:val="004A4DFE"/>
    <w:rsid w:val="004A5CF5"/>
    <w:rsid w:val="004B05F1"/>
    <w:rsid w:val="004B0D1A"/>
    <w:rsid w:val="004B292B"/>
    <w:rsid w:val="004B402E"/>
    <w:rsid w:val="004B487A"/>
    <w:rsid w:val="004B75E2"/>
    <w:rsid w:val="004C118F"/>
    <w:rsid w:val="004C1C59"/>
    <w:rsid w:val="004C2B39"/>
    <w:rsid w:val="004C3225"/>
    <w:rsid w:val="004C3DFA"/>
    <w:rsid w:val="004C3E46"/>
    <w:rsid w:val="004C4EC9"/>
    <w:rsid w:val="004C57B9"/>
    <w:rsid w:val="004C75B1"/>
    <w:rsid w:val="004D0336"/>
    <w:rsid w:val="004D1022"/>
    <w:rsid w:val="004D4849"/>
    <w:rsid w:val="004D5742"/>
    <w:rsid w:val="004D73B8"/>
    <w:rsid w:val="004E07D1"/>
    <w:rsid w:val="004E0F8B"/>
    <w:rsid w:val="004E261D"/>
    <w:rsid w:val="004E44F6"/>
    <w:rsid w:val="004E4847"/>
    <w:rsid w:val="004F1D30"/>
    <w:rsid w:val="004F2842"/>
    <w:rsid w:val="004F49ED"/>
    <w:rsid w:val="004F5623"/>
    <w:rsid w:val="004F5DAF"/>
    <w:rsid w:val="0050010B"/>
    <w:rsid w:val="0050154B"/>
    <w:rsid w:val="00504DDC"/>
    <w:rsid w:val="00505020"/>
    <w:rsid w:val="00505CF4"/>
    <w:rsid w:val="00512893"/>
    <w:rsid w:val="00512F21"/>
    <w:rsid w:val="00513AAF"/>
    <w:rsid w:val="00514ACF"/>
    <w:rsid w:val="00517824"/>
    <w:rsid w:val="005231B5"/>
    <w:rsid w:val="00525EDB"/>
    <w:rsid w:val="00530007"/>
    <w:rsid w:val="0053040B"/>
    <w:rsid w:val="0053404B"/>
    <w:rsid w:val="00535688"/>
    <w:rsid w:val="00542601"/>
    <w:rsid w:val="005432BE"/>
    <w:rsid w:val="005440B6"/>
    <w:rsid w:val="00545ACC"/>
    <w:rsid w:val="005474FE"/>
    <w:rsid w:val="005520F3"/>
    <w:rsid w:val="00554DD8"/>
    <w:rsid w:val="00557EFC"/>
    <w:rsid w:val="005639BC"/>
    <w:rsid w:val="00573305"/>
    <w:rsid w:val="00573CA9"/>
    <w:rsid w:val="005800B1"/>
    <w:rsid w:val="0058057F"/>
    <w:rsid w:val="00582E28"/>
    <w:rsid w:val="00583348"/>
    <w:rsid w:val="00583C82"/>
    <w:rsid w:val="00586A33"/>
    <w:rsid w:val="00587A2B"/>
    <w:rsid w:val="0059225B"/>
    <w:rsid w:val="00592A30"/>
    <w:rsid w:val="00597C6D"/>
    <w:rsid w:val="005A32A5"/>
    <w:rsid w:val="005A4A07"/>
    <w:rsid w:val="005A6B4D"/>
    <w:rsid w:val="005A74F7"/>
    <w:rsid w:val="005B0A81"/>
    <w:rsid w:val="005B6074"/>
    <w:rsid w:val="005B751E"/>
    <w:rsid w:val="005C23EF"/>
    <w:rsid w:val="005C4285"/>
    <w:rsid w:val="005C4F45"/>
    <w:rsid w:val="005C7325"/>
    <w:rsid w:val="005D206D"/>
    <w:rsid w:val="005D6F29"/>
    <w:rsid w:val="005E0E16"/>
    <w:rsid w:val="005E28BD"/>
    <w:rsid w:val="005E6BEF"/>
    <w:rsid w:val="005F3FE5"/>
    <w:rsid w:val="005F5C8B"/>
    <w:rsid w:val="0060327C"/>
    <w:rsid w:val="006034B4"/>
    <w:rsid w:val="00603D84"/>
    <w:rsid w:val="006057A1"/>
    <w:rsid w:val="00612697"/>
    <w:rsid w:val="006132E6"/>
    <w:rsid w:val="006161CF"/>
    <w:rsid w:val="00616C21"/>
    <w:rsid w:val="006232D9"/>
    <w:rsid w:val="0062489A"/>
    <w:rsid w:val="00624B7B"/>
    <w:rsid w:val="0062757C"/>
    <w:rsid w:val="00630508"/>
    <w:rsid w:val="0063085B"/>
    <w:rsid w:val="00630F9E"/>
    <w:rsid w:val="00631870"/>
    <w:rsid w:val="00631CFD"/>
    <w:rsid w:val="00632B61"/>
    <w:rsid w:val="00632D33"/>
    <w:rsid w:val="00636169"/>
    <w:rsid w:val="00637E7F"/>
    <w:rsid w:val="00640FB2"/>
    <w:rsid w:val="00641D5C"/>
    <w:rsid w:val="0064728C"/>
    <w:rsid w:val="00647862"/>
    <w:rsid w:val="006504EB"/>
    <w:rsid w:val="0065076D"/>
    <w:rsid w:val="006508E1"/>
    <w:rsid w:val="00651F78"/>
    <w:rsid w:val="00652596"/>
    <w:rsid w:val="00653B4D"/>
    <w:rsid w:val="00653CBB"/>
    <w:rsid w:val="0065511B"/>
    <w:rsid w:val="00655A0C"/>
    <w:rsid w:val="0065647B"/>
    <w:rsid w:val="00662799"/>
    <w:rsid w:val="00663C46"/>
    <w:rsid w:val="006642C2"/>
    <w:rsid w:val="006707F5"/>
    <w:rsid w:val="006716DC"/>
    <w:rsid w:val="006721F5"/>
    <w:rsid w:val="00673D51"/>
    <w:rsid w:val="00674A5E"/>
    <w:rsid w:val="00675305"/>
    <w:rsid w:val="00676C90"/>
    <w:rsid w:val="00676F94"/>
    <w:rsid w:val="00680E16"/>
    <w:rsid w:val="00680E65"/>
    <w:rsid w:val="00681D32"/>
    <w:rsid w:val="00685EE4"/>
    <w:rsid w:val="0069609C"/>
    <w:rsid w:val="006A0B05"/>
    <w:rsid w:val="006A0DDD"/>
    <w:rsid w:val="006A3EDF"/>
    <w:rsid w:val="006A70A3"/>
    <w:rsid w:val="006A7964"/>
    <w:rsid w:val="006B4BC3"/>
    <w:rsid w:val="006B7138"/>
    <w:rsid w:val="006C1C77"/>
    <w:rsid w:val="006C4070"/>
    <w:rsid w:val="006C48BE"/>
    <w:rsid w:val="006D5630"/>
    <w:rsid w:val="006D609C"/>
    <w:rsid w:val="006E1E24"/>
    <w:rsid w:val="006E228A"/>
    <w:rsid w:val="006E2465"/>
    <w:rsid w:val="006F13D7"/>
    <w:rsid w:val="006F373B"/>
    <w:rsid w:val="006F79DC"/>
    <w:rsid w:val="006F7ADC"/>
    <w:rsid w:val="00707C3C"/>
    <w:rsid w:val="007118C9"/>
    <w:rsid w:val="00715345"/>
    <w:rsid w:val="00716B02"/>
    <w:rsid w:val="00716EB2"/>
    <w:rsid w:val="00717532"/>
    <w:rsid w:val="007175D6"/>
    <w:rsid w:val="0072133E"/>
    <w:rsid w:val="00722DF7"/>
    <w:rsid w:val="00727761"/>
    <w:rsid w:val="0073030F"/>
    <w:rsid w:val="00731E2B"/>
    <w:rsid w:val="00733D9B"/>
    <w:rsid w:val="00734617"/>
    <w:rsid w:val="007372AC"/>
    <w:rsid w:val="007373BC"/>
    <w:rsid w:val="00745C6C"/>
    <w:rsid w:val="00746EB0"/>
    <w:rsid w:val="007514FF"/>
    <w:rsid w:val="007525A7"/>
    <w:rsid w:val="00752C4C"/>
    <w:rsid w:val="00755033"/>
    <w:rsid w:val="00757017"/>
    <w:rsid w:val="00757844"/>
    <w:rsid w:val="00762136"/>
    <w:rsid w:val="0076215E"/>
    <w:rsid w:val="007623A5"/>
    <w:rsid w:val="007713FE"/>
    <w:rsid w:val="0077145E"/>
    <w:rsid w:val="00771EE3"/>
    <w:rsid w:val="00781694"/>
    <w:rsid w:val="00782349"/>
    <w:rsid w:val="00786083"/>
    <w:rsid w:val="00791D83"/>
    <w:rsid w:val="007922A6"/>
    <w:rsid w:val="00792F9F"/>
    <w:rsid w:val="00795992"/>
    <w:rsid w:val="00796F69"/>
    <w:rsid w:val="00797D55"/>
    <w:rsid w:val="007A31ED"/>
    <w:rsid w:val="007A44D1"/>
    <w:rsid w:val="007A53C4"/>
    <w:rsid w:val="007A6944"/>
    <w:rsid w:val="007A6AB0"/>
    <w:rsid w:val="007A7527"/>
    <w:rsid w:val="007B5DAC"/>
    <w:rsid w:val="007B71AB"/>
    <w:rsid w:val="007D3B81"/>
    <w:rsid w:val="007D4AB1"/>
    <w:rsid w:val="007D6393"/>
    <w:rsid w:val="007E00DB"/>
    <w:rsid w:val="007E0833"/>
    <w:rsid w:val="007E2199"/>
    <w:rsid w:val="007E28C7"/>
    <w:rsid w:val="007E2AEB"/>
    <w:rsid w:val="007E74F0"/>
    <w:rsid w:val="007F1030"/>
    <w:rsid w:val="007F3422"/>
    <w:rsid w:val="007F3C2B"/>
    <w:rsid w:val="007F5B8A"/>
    <w:rsid w:val="007F7799"/>
    <w:rsid w:val="00802271"/>
    <w:rsid w:val="00804B93"/>
    <w:rsid w:val="00806723"/>
    <w:rsid w:val="00807A3A"/>
    <w:rsid w:val="008110B3"/>
    <w:rsid w:val="00814CD9"/>
    <w:rsid w:val="008159C6"/>
    <w:rsid w:val="008220E1"/>
    <w:rsid w:val="00822305"/>
    <w:rsid w:val="0082483E"/>
    <w:rsid w:val="0082499C"/>
    <w:rsid w:val="00830869"/>
    <w:rsid w:val="00841513"/>
    <w:rsid w:val="00847674"/>
    <w:rsid w:val="00851334"/>
    <w:rsid w:val="008544F2"/>
    <w:rsid w:val="00861951"/>
    <w:rsid w:val="00861E5C"/>
    <w:rsid w:val="00865FB4"/>
    <w:rsid w:val="00870B69"/>
    <w:rsid w:val="008802D5"/>
    <w:rsid w:val="00880343"/>
    <w:rsid w:val="00881E15"/>
    <w:rsid w:val="00881E64"/>
    <w:rsid w:val="00883D0D"/>
    <w:rsid w:val="00885225"/>
    <w:rsid w:val="0088702F"/>
    <w:rsid w:val="00891028"/>
    <w:rsid w:val="008A01DC"/>
    <w:rsid w:val="008A40D6"/>
    <w:rsid w:val="008A5250"/>
    <w:rsid w:val="008A61D0"/>
    <w:rsid w:val="008A6514"/>
    <w:rsid w:val="008A66CD"/>
    <w:rsid w:val="008B1ABD"/>
    <w:rsid w:val="008B244D"/>
    <w:rsid w:val="008B28B9"/>
    <w:rsid w:val="008B671D"/>
    <w:rsid w:val="008B6725"/>
    <w:rsid w:val="008C1ABC"/>
    <w:rsid w:val="008C2437"/>
    <w:rsid w:val="008D05F0"/>
    <w:rsid w:val="008D0910"/>
    <w:rsid w:val="008D2859"/>
    <w:rsid w:val="008E4117"/>
    <w:rsid w:val="008E4501"/>
    <w:rsid w:val="008E472B"/>
    <w:rsid w:val="008E4803"/>
    <w:rsid w:val="008E54A5"/>
    <w:rsid w:val="008E5702"/>
    <w:rsid w:val="008F63AB"/>
    <w:rsid w:val="0090145F"/>
    <w:rsid w:val="00903882"/>
    <w:rsid w:val="00904B1E"/>
    <w:rsid w:val="009058B3"/>
    <w:rsid w:val="00910310"/>
    <w:rsid w:val="009115D7"/>
    <w:rsid w:val="009148DD"/>
    <w:rsid w:val="00922308"/>
    <w:rsid w:val="00924FF0"/>
    <w:rsid w:val="009261FF"/>
    <w:rsid w:val="009266AD"/>
    <w:rsid w:val="00930AFF"/>
    <w:rsid w:val="00931E38"/>
    <w:rsid w:val="00932CBD"/>
    <w:rsid w:val="00933FB5"/>
    <w:rsid w:val="009379DB"/>
    <w:rsid w:val="0094059C"/>
    <w:rsid w:val="009446E3"/>
    <w:rsid w:val="0094598F"/>
    <w:rsid w:val="009472E4"/>
    <w:rsid w:val="00950143"/>
    <w:rsid w:val="00951B26"/>
    <w:rsid w:val="00952C75"/>
    <w:rsid w:val="00952F7B"/>
    <w:rsid w:val="009554BE"/>
    <w:rsid w:val="00960283"/>
    <w:rsid w:val="00963493"/>
    <w:rsid w:val="00966165"/>
    <w:rsid w:val="00966C5F"/>
    <w:rsid w:val="009674FC"/>
    <w:rsid w:val="00967A24"/>
    <w:rsid w:val="00972CC0"/>
    <w:rsid w:val="0097323B"/>
    <w:rsid w:val="00974009"/>
    <w:rsid w:val="00975019"/>
    <w:rsid w:val="00975F27"/>
    <w:rsid w:val="009779BB"/>
    <w:rsid w:val="00980D45"/>
    <w:rsid w:val="00982B65"/>
    <w:rsid w:val="00984686"/>
    <w:rsid w:val="00987CBD"/>
    <w:rsid w:val="00990D16"/>
    <w:rsid w:val="00990DC9"/>
    <w:rsid w:val="00992F74"/>
    <w:rsid w:val="009945CE"/>
    <w:rsid w:val="009A00D6"/>
    <w:rsid w:val="009A38A2"/>
    <w:rsid w:val="009A3984"/>
    <w:rsid w:val="009A4E15"/>
    <w:rsid w:val="009A713A"/>
    <w:rsid w:val="009B1316"/>
    <w:rsid w:val="009B2741"/>
    <w:rsid w:val="009B5F18"/>
    <w:rsid w:val="009B5F59"/>
    <w:rsid w:val="009B67C2"/>
    <w:rsid w:val="009C1EE2"/>
    <w:rsid w:val="009C4AD5"/>
    <w:rsid w:val="009C53D4"/>
    <w:rsid w:val="009C7F8D"/>
    <w:rsid w:val="009D0326"/>
    <w:rsid w:val="009D1F5F"/>
    <w:rsid w:val="009D26F0"/>
    <w:rsid w:val="009D285C"/>
    <w:rsid w:val="009D302C"/>
    <w:rsid w:val="009D783B"/>
    <w:rsid w:val="009E01B5"/>
    <w:rsid w:val="009E06F0"/>
    <w:rsid w:val="009E14D1"/>
    <w:rsid w:val="009E6C7A"/>
    <w:rsid w:val="009E6E15"/>
    <w:rsid w:val="009E724F"/>
    <w:rsid w:val="009F0BA1"/>
    <w:rsid w:val="009F19CA"/>
    <w:rsid w:val="009F563D"/>
    <w:rsid w:val="009F5782"/>
    <w:rsid w:val="009F667C"/>
    <w:rsid w:val="009F7DBE"/>
    <w:rsid w:val="00A01626"/>
    <w:rsid w:val="00A06D82"/>
    <w:rsid w:val="00A06EA0"/>
    <w:rsid w:val="00A07E6A"/>
    <w:rsid w:val="00A10878"/>
    <w:rsid w:val="00A11280"/>
    <w:rsid w:val="00A11BBA"/>
    <w:rsid w:val="00A13985"/>
    <w:rsid w:val="00A148F3"/>
    <w:rsid w:val="00A169C0"/>
    <w:rsid w:val="00A2272D"/>
    <w:rsid w:val="00A23CA3"/>
    <w:rsid w:val="00A24216"/>
    <w:rsid w:val="00A25E25"/>
    <w:rsid w:val="00A269BF"/>
    <w:rsid w:val="00A27626"/>
    <w:rsid w:val="00A37D48"/>
    <w:rsid w:val="00A419AD"/>
    <w:rsid w:val="00A425DE"/>
    <w:rsid w:val="00A42667"/>
    <w:rsid w:val="00A464B4"/>
    <w:rsid w:val="00A500FF"/>
    <w:rsid w:val="00A505BF"/>
    <w:rsid w:val="00A51937"/>
    <w:rsid w:val="00A54522"/>
    <w:rsid w:val="00A54F8C"/>
    <w:rsid w:val="00A618D1"/>
    <w:rsid w:val="00A64F27"/>
    <w:rsid w:val="00A70729"/>
    <w:rsid w:val="00A70EF2"/>
    <w:rsid w:val="00A73A2C"/>
    <w:rsid w:val="00A83670"/>
    <w:rsid w:val="00A83B91"/>
    <w:rsid w:val="00A86A52"/>
    <w:rsid w:val="00A90772"/>
    <w:rsid w:val="00A91337"/>
    <w:rsid w:val="00A91A46"/>
    <w:rsid w:val="00A942E5"/>
    <w:rsid w:val="00A96C5A"/>
    <w:rsid w:val="00AA3753"/>
    <w:rsid w:val="00AA4759"/>
    <w:rsid w:val="00AA71D6"/>
    <w:rsid w:val="00AB00EF"/>
    <w:rsid w:val="00AB1ECD"/>
    <w:rsid w:val="00AB5D53"/>
    <w:rsid w:val="00AC1256"/>
    <w:rsid w:val="00AD0215"/>
    <w:rsid w:val="00AD3714"/>
    <w:rsid w:val="00AE29EF"/>
    <w:rsid w:val="00AF04B5"/>
    <w:rsid w:val="00AF3EEE"/>
    <w:rsid w:val="00AF541D"/>
    <w:rsid w:val="00AF5B54"/>
    <w:rsid w:val="00AF7365"/>
    <w:rsid w:val="00B0125D"/>
    <w:rsid w:val="00B0290B"/>
    <w:rsid w:val="00B06806"/>
    <w:rsid w:val="00B106B5"/>
    <w:rsid w:val="00B114A6"/>
    <w:rsid w:val="00B12A56"/>
    <w:rsid w:val="00B159DB"/>
    <w:rsid w:val="00B15D2E"/>
    <w:rsid w:val="00B205D9"/>
    <w:rsid w:val="00B2117A"/>
    <w:rsid w:val="00B21980"/>
    <w:rsid w:val="00B2410D"/>
    <w:rsid w:val="00B26B39"/>
    <w:rsid w:val="00B363A0"/>
    <w:rsid w:val="00B37273"/>
    <w:rsid w:val="00B373CD"/>
    <w:rsid w:val="00B3788A"/>
    <w:rsid w:val="00B404E3"/>
    <w:rsid w:val="00B42529"/>
    <w:rsid w:val="00B42F76"/>
    <w:rsid w:val="00B43066"/>
    <w:rsid w:val="00B4322D"/>
    <w:rsid w:val="00B46188"/>
    <w:rsid w:val="00B474A1"/>
    <w:rsid w:val="00B47B3E"/>
    <w:rsid w:val="00B50A75"/>
    <w:rsid w:val="00B51844"/>
    <w:rsid w:val="00B548B2"/>
    <w:rsid w:val="00B55E14"/>
    <w:rsid w:val="00B60D53"/>
    <w:rsid w:val="00B65723"/>
    <w:rsid w:val="00B65881"/>
    <w:rsid w:val="00B66877"/>
    <w:rsid w:val="00B67610"/>
    <w:rsid w:val="00B72D7A"/>
    <w:rsid w:val="00B815EF"/>
    <w:rsid w:val="00B844BC"/>
    <w:rsid w:val="00B860CC"/>
    <w:rsid w:val="00B868A3"/>
    <w:rsid w:val="00B94609"/>
    <w:rsid w:val="00B94785"/>
    <w:rsid w:val="00BA4EB7"/>
    <w:rsid w:val="00BA5574"/>
    <w:rsid w:val="00BA60FE"/>
    <w:rsid w:val="00BA72A2"/>
    <w:rsid w:val="00BA789A"/>
    <w:rsid w:val="00BB4BD2"/>
    <w:rsid w:val="00BB74B2"/>
    <w:rsid w:val="00BB75A6"/>
    <w:rsid w:val="00BC48D4"/>
    <w:rsid w:val="00BC5596"/>
    <w:rsid w:val="00BC59FC"/>
    <w:rsid w:val="00BC5FBC"/>
    <w:rsid w:val="00BC7CE1"/>
    <w:rsid w:val="00BD3BAF"/>
    <w:rsid w:val="00BD48A3"/>
    <w:rsid w:val="00BD6AE6"/>
    <w:rsid w:val="00BD6BE1"/>
    <w:rsid w:val="00BD73EB"/>
    <w:rsid w:val="00BE032E"/>
    <w:rsid w:val="00BE1643"/>
    <w:rsid w:val="00BE1C3F"/>
    <w:rsid w:val="00BF03D8"/>
    <w:rsid w:val="00BF0C9E"/>
    <w:rsid w:val="00BF2D08"/>
    <w:rsid w:val="00BF34D4"/>
    <w:rsid w:val="00BF4DD4"/>
    <w:rsid w:val="00C00D84"/>
    <w:rsid w:val="00C02538"/>
    <w:rsid w:val="00C02D8B"/>
    <w:rsid w:val="00C03041"/>
    <w:rsid w:val="00C03CA6"/>
    <w:rsid w:val="00C04071"/>
    <w:rsid w:val="00C04E26"/>
    <w:rsid w:val="00C1126B"/>
    <w:rsid w:val="00C17BA1"/>
    <w:rsid w:val="00C22081"/>
    <w:rsid w:val="00C22CB1"/>
    <w:rsid w:val="00C2359F"/>
    <w:rsid w:val="00C243A0"/>
    <w:rsid w:val="00C25B24"/>
    <w:rsid w:val="00C27BC9"/>
    <w:rsid w:val="00C34293"/>
    <w:rsid w:val="00C348BE"/>
    <w:rsid w:val="00C406DB"/>
    <w:rsid w:val="00C41F0A"/>
    <w:rsid w:val="00C424DF"/>
    <w:rsid w:val="00C4442A"/>
    <w:rsid w:val="00C44C98"/>
    <w:rsid w:val="00C53294"/>
    <w:rsid w:val="00C560FA"/>
    <w:rsid w:val="00C57AC4"/>
    <w:rsid w:val="00C653B2"/>
    <w:rsid w:val="00C67953"/>
    <w:rsid w:val="00C718A1"/>
    <w:rsid w:val="00C71B9C"/>
    <w:rsid w:val="00C73C1E"/>
    <w:rsid w:val="00C833A1"/>
    <w:rsid w:val="00C87D04"/>
    <w:rsid w:val="00C91602"/>
    <w:rsid w:val="00C93339"/>
    <w:rsid w:val="00C93B2F"/>
    <w:rsid w:val="00C93D40"/>
    <w:rsid w:val="00C963FF"/>
    <w:rsid w:val="00C96B88"/>
    <w:rsid w:val="00CA4640"/>
    <w:rsid w:val="00CA499F"/>
    <w:rsid w:val="00CA54B4"/>
    <w:rsid w:val="00CB08EB"/>
    <w:rsid w:val="00CB0E8B"/>
    <w:rsid w:val="00CB20AF"/>
    <w:rsid w:val="00CB2254"/>
    <w:rsid w:val="00CB24CB"/>
    <w:rsid w:val="00CB2612"/>
    <w:rsid w:val="00CB4098"/>
    <w:rsid w:val="00CB4A5E"/>
    <w:rsid w:val="00CB6B50"/>
    <w:rsid w:val="00CD2EE1"/>
    <w:rsid w:val="00CD5791"/>
    <w:rsid w:val="00CD5A72"/>
    <w:rsid w:val="00CD7B53"/>
    <w:rsid w:val="00CE03CE"/>
    <w:rsid w:val="00CE0DE0"/>
    <w:rsid w:val="00CE27AA"/>
    <w:rsid w:val="00CE7085"/>
    <w:rsid w:val="00CE7B48"/>
    <w:rsid w:val="00CF2ECB"/>
    <w:rsid w:val="00CF30F1"/>
    <w:rsid w:val="00CF33E0"/>
    <w:rsid w:val="00CF4B55"/>
    <w:rsid w:val="00CF5D23"/>
    <w:rsid w:val="00CF7512"/>
    <w:rsid w:val="00CF7D98"/>
    <w:rsid w:val="00D02AE9"/>
    <w:rsid w:val="00D037BF"/>
    <w:rsid w:val="00D06A40"/>
    <w:rsid w:val="00D06E64"/>
    <w:rsid w:val="00D11287"/>
    <w:rsid w:val="00D1329B"/>
    <w:rsid w:val="00D15712"/>
    <w:rsid w:val="00D24B46"/>
    <w:rsid w:val="00D303BB"/>
    <w:rsid w:val="00D365EC"/>
    <w:rsid w:val="00D377E3"/>
    <w:rsid w:val="00D4115A"/>
    <w:rsid w:val="00D4188A"/>
    <w:rsid w:val="00D524D1"/>
    <w:rsid w:val="00D52761"/>
    <w:rsid w:val="00D541A4"/>
    <w:rsid w:val="00D54981"/>
    <w:rsid w:val="00D602B4"/>
    <w:rsid w:val="00D638DB"/>
    <w:rsid w:val="00D63D02"/>
    <w:rsid w:val="00D64F48"/>
    <w:rsid w:val="00D653E0"/>
    <w:rsid w:val="00D65DA3"/>
    <w:rsid w:val="00D67C80"/>
    <w:rsid w:val="00D71487"/>
    <w:rsid w:val="00D74106"/>
    <w:rsid w:val="00D74201"/>
    <w:rsid w:val="00D74688"/>
    <w:rsid w:val="00D77881"/>
    <w:rsid w:val="00D84690"/>
    <w:rsid w:val="00D8626D"/>
    <w:rsid w:val="00D8662F"/>
    <w:rsid w:val="00D913BB"/>
    <w:rsid w:val="00D925B1"/>
    <w:rsid w:val="00D942EC"/>
    <w:rsid w:val="00D94F28"/>
    <w:rsid w:val="00D96BAF"/>
    <w:rsid w:val="00DA5041"/>
    <w:rsid w:val="00DA761C"/>
    <w:rsid w:val="00DB42FC"/>
    <w:rsid w:val="00DB549A"/>
    <w:rsid w:val="00DB593B"/>
    <w:rsid w:val="00DB6E68"/>
    <w:rsid w:val="00DC0E81"/>
    <w:rsid w:val="00DC2FC2"/>
    <w:rsid w:val="00DC44DC"/>
    <w:rsid w:val="00DD24AA"/>
    <w:rsid w:val="00DD69D7"/>
    <w:rsid w:val="00DD77B9"/>
    <w:rsid w:val="00DE2A75"/>
    <w:rsid w:val="00DE5BE4"/>
    <w:rsid w:val="00DE68DF"/>
    <w:rsid w:val="00DF060D"/>
    <w:rsid w:val="00DF1897"/>
    <w:rsid w:val="00E0234C"/>
    <w:rsid w:val="00E03E90"/>
    <w:rsid w:val="00E04FD4"/>
    <w:rsid w:val="00E07913"/>
    <w:rsid w:val="00E12B67"/>
    <w:rsid w:val="00E1563F"/>
    <w:rsid w:val="00E16C38"/>
    <w:rsid w:val="00E21140"/>
    <w:rsid w:val="00E220E6"/>
    <w:rsid w:val="00E22153"/>
    <w:rsid w:val="00E22898"/>
    <w:rsid w:val="00E232FE"/>
    <w:rsid w:val="00E43532"/>
    <w:rsid w:val="00E512C5"/>
    <w:rsid w:val="00E51DE2"/>
    <w:rsid w:val="00E531EC"/>
    <w:rsid w:val="00E53212"/>
    <w:rsid w:val="00E57546"/>
    <w:rsid w:val="00E6004A"/>
    <w:rsid w:val="00E6600C"/>
    <w:rsid w:val="00E665AB"/>
    <w:rsid w:val="00E67AE9"/>
    <w:rsid w:val="00E745A9"/>
    <w:rsid w:val="00E76A8A"/>
    <w:rsid w:val="00E77711"/>
    <w:rsid w:val="00E80D6E"/>
    <w:rsid w:val="00E91514"/>
    <w:rsid w:val="00E91B4F"/>
    <w:rsid w:val="00E93508"/>
    <w:rsid w:val="00E93CF6"/>
    <w:rsid w:val="00E93DE3"/>
    <w:rsid w:val="00E94E15"/>
    <w:rsid w:val="00E95809"/>
    <w:rsid w:val="00E96499"/>
    <w:rsid w:val="00EA1337"/>
    <w:rsid w:val="00EA675E"/>
    <w:rsid w:val="00EA7ADB"/>
    <w:rsid w:val="00EB24A4"/>
    <w:rsid w:val="00EB357B"/>
    <w:rsid w:val="00EB6AC6"/>
    <w:rsid w:val="00EC0D5F"/>
    <w:rsid w:val="00EC1B5B"/>
    <w:rsid w:val="00EC3E47"/>
    <w:rsid w:val="00ED1AFB"/>
    <w:rsid w:val="00ED1D97"/>
    <w:rsid w:val="00ED48B3"/>
    <w:rsid w:val="00ED7D06"/>
    <w:rsid w:val="00EE643B"/>
    <w:rsid w:val="00EF134F"/>
    <w:rsid w:val="00EF4AC2"/>
    <w:rsid w:val="00EF6E3F"/>
    <w:rsid w:val="00EF7618"/>
    <w:rsid w:val="00EF7EAF"/>
    <w:rsid w:val="00F00486"/>
    <w:rsid w:val="00F02B62"/>
    <w:rsid w:val="00F03FB6"/>
    <w:rsid w:val="00F06E2D"/>
    <w:rsid w:val="00F1159E"/>
    <w:rsid w:val="00F11A5D"/>
    <w:rsid w:val="00F141A9"/>
    <w:rsid w:val="00F15A2A"/>
    <w:rsid w:val="00F2059B"/>
    <w:rsid w:val="00F22B89"/>
    <w:rsid w:val="00F23721"/>
    <w:rsid w:val="00F25326"/>
    <w:rsid w:val="00F25DF1"/>
    <w:rsid w:val="00F26D52"/>
    <w:rsid w:val="00F30368"/>
    <w:rsid w:val="00F30E37"/>
    <w:rsid w:val="00F31281"/>
    <w:rsid w:val="00F32983"/>
    <w:rsid w:val="00F33FBA"/>
    <w:rsid w:val="00F36E27"/>
    <w:rsid w:val="00F37C23"/>
    <w:rsid w:val="00F416DC"/>
    <w:rsid w:val="00F427A4"/>
    <w:rsid w:val="00F46C49"/>
    <w:rsid w:val="00F52ED0"/>
    <w:rsid w:val="00F542BC"/>
    <w:rsid w:val="00F54859"/>
    <w:rsid w:val="00F56CF5"/>
    <w:rsid w:val="00F61A8F"/>
    <w:rsid w:val="00F63816"/>
    <w:rsid w:val="00F647B2"/>
    <w:rsid w:val="00F710BA"/>
    <w:rsid w:val="00F732D4"/>
    <w:rsid w:val="00F74510"/>
    <w:rsid w:val="00F772D4"/>
    <w:rsid w:val="00F83F90"/>
    <w:rsid w:val="00F87D35"/>
    <w:rsid w:val="00F910AF"/>
    <w:rsid w:val="00F91DF7"/>
    <w:rsid w:val="00FA09D5"/>
    <w:rsid w:val="00FA121E"/>
    <w:rsid w:val="00FA1537"/>
    <w:rsid w:val="00FA3AD6"/>
    <w:rsid w:val="00FA500B"/>
    <w:rsid w:val="00FA5D21"/>
    <w:rsid w:val="00FA780D"/>
    <w:rsid w:val="00FB0CFA"/>
    <w:rsid w:val="00FB3634"/>
    <w:rsid w:val="00FB4547"/>
    <w:rsid w:val="00FB4720"/>
    <w:rsid w:val="00FB4DF4"/>
    <w:rsid w:val="00FB713A"/>
    <w:rsid w:val="00FC1B20"/>
    <w:rsid w:val="00FC2200"/>
    <w:rsid w:val="00FC5245"/>
    <w:rsid w:val="00FC602D"/>
    <w:rsid w:val="00FD0D5B"/>
    <w:rsid w:val="00FD491C"/>
    <w:rsid w:val="00FD5E23"/>
    <w:rsid w:val="00FE016C"/>
    <w:rsid w:val="00FE075C"/>
    <w:rsid w:val="00FE0DD0"/>
    <w:rsid w:val="00FE7BC4"/>
    <w:rsid w:val="00FF01CD"/>
    <w:rsid w:val="00FF14DE"/>
    <w:rsid w:val="00FF42C6"/>
    <w:rsid w:val="00FF4F53"/>
    <w:rsid w:val="00FF5BD2"/>
    <w:rsid w:val="00FF6092"/>
    <w:rsid w:val="00FF63F6"/>
    <w:rsid w:val="00FF645D"/>
    <w:rsid w:val="3AAB10A1"/>
    <w:rsid w:val="494B2D0F"/>
    <w:rsid w:val="76436D4C"/>
    <w:rsid w:val="7BA84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7E4408"/>
  <w15:docId w15:val="{AB6792D7-9A98-2B46-A880-FCB01D51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A52"/>
    <w:pPr>
      <w:widowControl w:val="0"/>
      <w:jc w:val="both"/>
    </w:pPr>
    <w:rPr>
      <w:rFonts w:ascii="Calibri" w:hAnsi="Calibri"/>
      <w:kern w:val="2"/>
      <w:sz w:val="21"/>
      <w:szCs w:val="22"/>
    </w:rPr>
  </w:style>
  <w:style w:type="paragraph" w:styleId="Heading1">
    <w:name w:val="heading 1"/>
    <w:basedOn w:val="Title"/>
    <w:next w:val="Firstline"/>
    <w:link w:val="Heading1Char"/>
    <w:uiPriority w:val="99"/>
    <w:qFormat/>
    <w:rsid w:val="00A86A52"/>
    <w:pPr>
      <w:spacing w:after="120" w:line="240" w:lineRule="exact"/>
      <w:jc w:val="left"/>
    </w:pPr>
    <w:rPr>
      <w:rFonts w:ascii="Times New Roman Bold" w:hAnsi="Times New Roman Bold"/>
      <w:b w:val="0"/>
      <w:bCs w:val="0"/>
      <w:color w:val="800000"/>
      <w:sz w:val="22"/>
      <w:szCs w:val="36"/>
    </w:rPr>
  </w:style>
  <w:style w:type="paragraph" w:styleId="Heading2">
    <w:name w:val="heading 2"/>
    <w:basedOn w:val="Heading1"/>
    <w:next w:val="Firstline"/>
    <w:link w:val="Heading2Char"/>
    <w:uiPriority w:val="99"/>
    <w:qFormat/>
    <w:rsid w:val="00A86A52"/>
    <w:pPr>
      <w:outlineLvl w:val="1"/>
    </w:pPr>
    <w:rPr>
      <w:rFonts w:ascii="Times New Roman" w:hAnsi="Times New Roman"/>
      <w:b/>
      <w:color w:val="808000"/>
      <w:sz w:val="20"/>
      <w:szCs w:val="20"/>
    </w:rPr>
  </w:style>
  <w:style w:type="paragraph" w:styleId="Heading3">
    <w:name w:val="heading 3"/>
    <w:basedOn w:val="Heading2"/>
    <w:next w:val="Firstline"/>
    <w:link w:val="Heading3Char"/>
    <w:uiPriority w:val="99"/>
    <w:qFormat/>
    <w:rsid w:val="00A86A52"/>
    <w:pPr>
      <w:outlineLvl w:val="2"/>
    </w:pPr>
    <w:rPr>
      <w:b w:val="0"/>
      <w:i/>
      <w:color w:val="8000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6A52"/>
    <w:rPr>
      <w:rFonts w:ascii="Times New Roman Bold" w:eastAsia="SimSun" w:hAnsi="Times New Roman Bold" w:cs="Times New Roman"/>
      <w:color w:val="800000"/>
      <w:kern w:val="0"/>
      <w:sz w:val="36"/>
    </w:rPr>
  </w:style>
  <w:style w:type="character" w:customStyle="1" w:styleId="Heading2Char">
    <w:name w:val="Heading 2 Char"/>
    <w:link w:val="Heading2"/>
    <w:uiPriority w:val="99"/>
    <w:locked/>
    <w:rsid w:val="00A86A52"/>
    <w:rPr>
      <w:rFonts w:ascii="Times New Roman" w:eastAsia="SimSun" w:hAnsi="Times New Roman" w:cs="Times New Roman"/>
      <w:b/>
      <w:color w:val="808000"/>
      <w:kern w:val="0"/>
      <w:sz w:val="20"/>
    </w:rPr>
  </w:style>
  <w:style w:type="character" w:customStyle="1" w:styleId="Heading3Char">
    <w:name w:val="Heading 3 Char"/>
    <w:link w:val="Heading3"/>
    <w:uiPriority w:val="99"/>
    <w:locked/>
    <w:rsid w:val="00A86A52"/>
    <w:rPr>
      <w:rFonts w:ascii="Times New Roman" w:eastAsia="SimSun" w:hAnsi="Times New Roman" w:cs="Times New Roman"/>
      <w:i/>
      <w:color w:val="800080"/>
      <w:kern w:val="0"/>
      <w:sz w:val="18"/>
    </w:rPr>
  </w:style>
  <w:style w:type="paragraph" w:styleId="Title">
    <w:name w:val="Title"/>
    <w:basedOn w:val="Normal"/>
    <w:next w:val="Normal"/>
    <w:link w:val="TitleChar"/>
    <w:uiPriority w:val="99"/>
    <w:qFormat/>
    <w:rsid w:val="00A86A52"/>
    <w:pPr>
      <w:spacing w:before="240" w:after="60"/>
      <w:jc w:val="center"/>
      <w:outlineLvl w:val="0"/>
    </w:pPr>
    <w:rPr>
      <w:rFonts w:ascii="Cambria" w:hAnsi="Cambria"/>
      <w:b/>
      <w:bCs/>
      <w:kern w:val="0"/>
      <w:sz w:val="32"/>
      <w:szCs w:val="32"/>
    </w:rPr>
  </w:style>
  <w:style w:type="character" w:customStyle="1" w:styleId="TitleChar">
    <w:name w:val="Title Char"/>
    <w:link w:val="Title"/>
    <w:uiPriority w:val="99"/>
    <w:locked/>
    <w:rsid w:val="00A86A52"/>
    <w:rPr>
      <w:rFonts w:ascii="Cambria" w:eastAsia="SimSun" w:hAnsi="Cambria" w:cs="Times New Roman"/>
      <w:b/>
      <w:sz w:val="32"/>
    </w:rPr>
  </w:style>
  <w:style w:type="paragraph" w:customStyle="1" w:styleId="Firstline">
    <w:name w:val="First line"/>
    <w:basedOn w:val="1"/>
    <w:next w:val="1"/>
    <w:uiPriority w:val="99"/>
    <w:rsid w:val="00A86A52"/>
    <w:pPr>
      <w:ind w:firstLine="0"/>
    </w:pPr>
  </w:style>
  <w:style w:type="paragraph" w:customStyle="1" w:styleId="1">
    <w:name w:val="正文文本1"/>
    <w:uiPriority w:val="99"/>
    <w:rsid w:val="00A86A52"/>
    <w:pPr>
      <w:widowControl w:val="0"/>
      <w:tabs>
        <w:tab w:val="left" w:pos="240"/>
      </w:tabs>
      <w:overflowPunct w:val="0"/>
      <w:autoSpaceDE w:val="0"/>
      <w:autoSpaceDN w:val="0"/>
      <w:adjustRightInd w:val="0"/>
      <w:spacing w:line="240" w:lineRule="atLeast"/>
      <w:ind w:firstLine="240"/>
      <w:jc w:val="both"/>
      <w:textAlignment w:val="baseline"/>
    </w:pPr>
    <w:rPr>
      <w:sz w:val="19"/>
      <w:lang w:val="en-GB"/>
    </w:rPr>
  </w:style>
  <w:style w:type="paragraph" w:styleId="CommentText">
    <w:name w:val="annotation text"/>
    <w:basedOn w:val="Normal"/>
    <w:link w:val="CommentTextChar"/>
    <w:uiPriority w:val="99"/>
    <w:semiHidden/>
    <w:rsid w:val="00A86A52"/>
    <w:pPr>
      <w:jc w:val="left"/>
    </w:pPr>
    <w:rPr>
      <w:rFonts w:ascii="Times New Roman" w:hAnsi="Times New Roman"/>
      <w:kern w:val="0"/>
      <w:sz w:val="20"/>
      <w:szCs w:val="20"/>
    </w:rPr>
  </w:style>
  <w:style w:type="character" w:customStyle="1" w:styleId="CommentTextChar">
    <w:name w:val="Comment Text Char"/>
    <w:link w:val="CommentText"/>
    <w:uiPriority w:val="99"/>
    <w:semiHidden/>
    <w:locked/>
    <w:rsid w:val="00A86A52"/>
    <w:rPr>
      <w:rFonts w:ascii="Times New Roman" w:eastAsia="SimSun" w:hAnsi="Times New Roman" w:cs="Times New Roman"/>
    </w:rPr>
  </w:style>
  <w:style w:type="paragraph" w:styleId="BodyText">
    <w:name w:val="Body Text"/>
    <w:basedOn w:val="Normal"/>
    <w:link w:val="BodyTextChar"/>
    <w:uiPriority w:val="99"/>
    <w:rsid w:val="00A86A52"/>
    <w:pPr>
      <w:spacing w:line="360" w:lineRule="auto"/>
    </w:pPr>
    <w:rPr>
      <w:rFonts w:ascii="Times New Roman" w:hAnsi="Times New Roman"/>
      <w:kern w:val="0"/>
      <w:sz w:val="20"/>
      <w:szCs w:val="20"/>
    </w:rPr>
  </w:style>
  <w:style w:type="character" w:customStyle="1" w:styleId="BodyTextChar">
    <w:name w:val="Body Text Char"/>
    <w:link w:val="BodyText"/>
    <w:uiPriority w:val="99"/>
    <w:locked/>
    <w:rsid w:val="00A86A52"/>
    <w:rPr>
      <w:rFonts w:ascii="Times New Roman" w:eastAsia="SimSun" w:hAnsi="Times New Roman" w:cs="Times New Roman"/>
      <w:sz w:val="20"/>
    </w:rPr>
  </w:style>
  <w:style w:type="paragraph" w:styleId="BalloonText">
    <w:name w:val="Balloon Text"/>
    <w:basedOn w:val="Normal"/>
    <w:link w:val="BalloonTextChar"/>
    <w:uiPriority w:val="99"/>
    <w:semiHidden/>
    <w:rsid w:val="00A86A52"/>
    <w:rPr>
      <w:kern w:val="0"/>
      <w:sz w:val="18"/>
      <w:szCs w:val="18"/>
    </w:rPr>
  </w:style>
  <w:style w:type="character" w:customStyle="1" w:styleId="BalloonTextChar">
    <w:name w:val="Balloon Text Char"/>
    <w:link w:val="BalloonText"/>
    <w:uiPriority w:val="99"/>
    <w:semiHidden/>
    <w:locked/>
    <w:rsid w:val="00A86A52"/>
    <w:rPr>
      <w:rFonts w:ascii="Calibri" w:eastAsia="SimSun" w:hAnsi="Calibri" w:cs="Times New Roman"/>
      <w:sz w:val="18"/>
    </w:rPr>
  </w:style>
  <w:style w:type="paragraph" w:styleId="Footer">
    <w:name w:val="footer"/>
    <w:basedOn w:val="Normal"/>
    <w:link w:val="FooterChar"/>
    <w:uiPriority w:val="99"/>
    <w:rsid w:val="00A86A52"/>
    <w:pPr>
      <w:tabs>
        <w:tab w:val="center" w:pos="4153"/>
        <w:tab w:val="right" w:pos="8306"/>
      </w:tabs>
      <w:snapToGrid w:val="0"/>
      <w:jc w:val="left"/>
    </w:pPr>
    <w:rPr>
      <w:kern w:val="0"/>
      <w:sz w:val="18"/>
      <w:szCs w:val="18"/>
    </w:rPr>
  </w:style>
  <w:style w:type="character" w:customStyle="1" w:styleId="FooterChar">
    <w:name w:val="Footer Char"/>
    <w:link w:val="Footer"/>
    <w:uiPriority w:val="99"/>
    <w:locked/>
    <w:rsid w:val="00A86A52"/>
    <w:rPr>
      <w:rFonts w:ascii="Calibri" w:eastAsia="SimSun" w:hAnsi="Calibri" w:cs="Times New Roman"/>
      <w:sz w:val="18"/>
    </w:rPr>
  </w:style>
  <w:style w:type="paragraph" w:styleId="Header">
    <w:name w:val="header"/>
    <w:basedOn w:val="Normal"/>
    <w:link w:val="HeaderChar"/>
    <w:uiPriority w:val="99"/>
    <w:rsid w:val="00A86A52"/>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locked/>
    <w:rsid w:val="00A86A52"/>
    <w:rPr>
      <w:rFonts w:ascii="Calibri" w:eastAsia="SimSun" w:hAnsi="Calibri" w:cs="Times New Roman"/>
      <w:sz w:val="18"/>
    </w:rPr>
  </w:style>
  <w:style w:type="paragraph" w:styleId="NormalWeb">
    <w:name w:val="Normal (Web)"/>
    <w:basedOn w:val="Normal"/>
    <w:uiPriority w:val="99"/>
    <w:semiHidden/>
    <w:rsid w:val="00A86A52"/>
    <w:pPr>
      <w:widowControl/>
      <w:spacing w:before="100" w:beforeAutospacing="1" w:after="100" w:afterAutospacing="1"/>
      <w:jc w:val="left"/>
    </w:pPr>
    <w:rPr>
      <w:rFonts w:ascii="Times" w:hAnsi="Times"/>
      <w:kern w:val="0"/>
      <w:sz w:val="20"/>
      <w:szCs w:val="20"/>
    </w:rPr>
  </w:style>
  <w:style w:type="paragraph" w:styleId="CommentSubject">
    <w:name w:val="annotation subject"/>
    <w:basedOn w:val="CommentText"/>
    <w:next w:val="CommentText"/>
    <w:link w:val="CommentSubjectChar"/>
    <w:uiPriority w:val="99"/>
    <w:semiHidden/>
    <w:rsid w:val="00A86A52"/>
    <w:rPr>
      <w:rFonts w:ascii="Calibri" w:hAnsi="Calibri"/>
      <w:b/>
      <w:bCs/>
      <w:sz w:val="21"/>
      <w:szCs w:val="22"/>
    </w:rPr>
  </w:style>
  <w:style w:type="character" w:customStyle="1" w:styleId="CommentSubjectChar">
    <w:name w:val="Comment Subject Char"/>
    <w:link w:val="CommentSubject"/>
    <w:uiPriority w:val="99"/>
    <w:semiHidden/>
    <w:locked/>
    <w:rsid w:val="00A86A52"/>
    <w:rPr>
      <w:rFonts w:ascii="Calibri" w:eastAsia="SimSun" w:hAnsi="Calibri" w:cs="Times New Roman"/>
      <w:b/>
      <w:sz w:val="22"/>
    </w:rPr>
  </w:style>
  <w:style w:type="character" w:styleId="Strong">
    <w:name w:val="Strong"/>
    <w:uiPriority w:val="99"/>
    <w:qFormat/>
    <w:rsid w:val="00A86A52"/>
    <w:rPr>
      <w:rFonts w:cs="Times New Roman"/>
      <w:b/>
    </w:rPr>
  </w:style>
  <w:style w:type="character" w:styleId="PageNumber">
    <w:name w:val="page number"/>
    <w:uiPriority w:val="99"/>
    <w:semiHidden/>
    <w:rsid w:val="00A86A52"/>
    <w:rPr>
      <w:rFonts w:cs="Times New Roman"/>
    </w:rPr>
  </w:style>
  <w:style w:type="character" w:styleId="Emphasis">
    <w:name w:val="Emphasis"/>
    <w:uiPriority w:val="99"/>
    <w:qFormat/>
    <w:rsid w:val="00A86A52"/>
    <w:rPr>
      <w:rFonts w:cs="Times New Roman"/>
      <w:color w:val="CC0000"/>
    </w:rPr>
  </w:style>
  <w:style w:type="character" w:styleId="LineNumber">
    <w:name w:val="line number"/>
    <w:uiPriority w:val="99"/>
    <w:rsid w:val="00A86A52"/>
    <w:rPr>
      <w:rFonts w:cs="Times New Roman"/>
    </w:rPr>
  </w:style>
  <w:style w:type="character" w:styleId="Hyperlink">
    <w:name w:val="Hyperlink"/>
    <w:uiPriority w:val="99"/>
    <w:rsid w:val="00A86A52"/>
    <w:rPr>
      <w:rFonts w:cs="Times New Roman"/>
      <w:color w:val="0000FF"/>
      <w:u w:val="single"/>
    </w:rPr>
  </w:style>
  <w:style w:type="character" w:styleId="CommentReference">
    <w:name w:val="annotation reference"/>
    <w:uiPriority w:val="99"/>
    <w:semiHidden/>
    <w:rsid w:val="00A86A52"/>
    <w:rPr>
      <w:rFonts w:cs="Times New Roman"/>
      <w:sz w:val="21"/>
    </w:rPr>
  </w:style>
  <w:style w:type="paragraph" w:customStyle="1" w:styleId="Table">
    <w:name w:val="Table"/>
    <w:basedOn w:val="Normal"/>
    <w:uiPriority w:val="99"/>
    <w:rsid w:val="00A86A52"/>
    <w:pPr>
      <w:overflowPunct w:val="0"/>
      <w:autoSpaceDE w:val="0"/>
      <w:autoSpaceDN w:val="0"/>
      <w:adjustRightInd w:val="0"/>
      <w:spacing w:line="200" w:lineRule="atLeast"/>
      <w:jc w:val="left"/>
    </w:pPr>
    <w:rPr>
      <w:rFonts w:ascii="Times New Roman" w:hAnsi="Times New Roman"/>
      <w:color w:val="3366FF"/>
      <w:kern w:val="0"/>
      <w:sz w:val="16"/>
      <w:szCs w:val="16"/>
      <w:lang w:val="en-GB" w:eastAsia="en-US"/>
    </w:rPr>
  </w:style>
  <w:style w:type="paragraph" w:customStyle="1" w:styleId="Tablelegend">
    <w:name w:val="Table legend"/>
    <w:basedOn w:val="Normal"/>
    <w:uiPriority w:val="99"/>
    <w:rsid w:val="00A86A52"/>
    <w:pPr>
      <w:keepNext/>
      <w:overflowPunct w:val="0"/>
      <w:autoSpaceDE w:val="0"/>
      <w:autoSpaceDN w:val="0"/>
      <w:adjustRightInd w:val="0"/>
      <w:jc w:val="center"/>
    </w:pPr>
    <w:rPr>
      <w:rFonts w:ascii="Times New Roman" w:hAnsi="Times New Roman"/>
      <w:color w:val="99CC00"/>
      <w:kern w:val="0"/>
      <w:sz w:val="16"/>
      <w:szCs w:val="16"/>
      <w:lang w:val="en-GB" w:eastAsia="en-US"/>
    </w:rPr>
  </w:style>
  <w:style w:type="paragraph" w:customStyle="1" w:styleId="Tablehead">
    <w:name w:val="Tablehead"/>
    <w:basedOn w:val="Normal"/>
    <w:next w:val="Table"/>
    <w:uiPriority w:val="99"/>
    <w:rsid w:val="00A86A52"/>
    <w:pPr>
      <w:overflowPunct w:val="0"/>
      <w:autoSpaceDE w:val="0"/>
      <w:autoSpaceDN w:val="0"/>
      <w:adjustRightInd w:val="0"/>
      <w:snapToGrid w:val="0"/>
      <w:jc w:val="left"/>
    </w:pPr>
    <w:rPr>
      <w:rFonts w:ascii="Times New Roman" w:hAnsi="Times New Roman"/>
      <w:color w:val="CC99FF"/>
      <w:kern w:val="0"/>
      <w:sz w:val="16"/>
      <w:szCs w:val="16"/>
      <w:lang w:val="en-GB" w:eastAsia="en-US"/>
    </w:rPr>
  </w:style>
  <w:style w:type="paragraph" w:customStyle="1" w:styleId="Tablefootnote">
    <w:name w:val="Table footnote"/>
    <w:basedOn w:val="Table"/>
    <w:next w:val="Normal"/>
    <w:uiPriority w:val="99"/>
    <w:rsid w:val="00A86A52"/>
    <w:pPr>
      <w:snapToGrid w:val="0"/>
      <w:spacing w:line="240" w:lineRule="auto"/>
    </w:pPr>
    <w:rPr>
      <w:color w:val="FF00FF"/>
    </w:rPr>
  </w:style>
  <w:style w:type="character" w:customStyle="1" w:styleId="TablelegendID">
    <w:name w:val="Table legend ID"/>
    <w:uiPriority w:val="99"/>
    <w:rsid w:val="00A86A52"/>
    <w:rPr>
      <w:color w:val="FFCC00"/>
      <w:sz w:val="16"/>
    </w:rPr>
  </w:style>
  <w:style w:type="paragraph" w:customStyle="1" w:styleId="Pa11">
    <w:name w:val="Pa11"/>
    <w:basedOn w:val="Normal"/>
    <w:next w:val="Normal"/>
    <w:uiPriority w:val="99"/>
    <w:rsid w:val="00A86A52"/>
    <w:pPr>
      <w:autoSpaceDE w:val="0"/>
      <w:autoSpaceDN w:val="0"/>
      <w:adjustRightInd w:val="0"/>
      <w:spacing w:line="181" w:lineRule="atLeast"/>
      <w:jc w:val="left"/>
    </w:pPr>
    <w:rPr>
      <w:rFonts w:ascii="Times" w:hAnsi="Times" w:cs="Times"/>
      <w:kern w:val="0"/>
      <w:sz w:val="24"/>
      <w:szCs w:val="24"/>
    </w:rPr>
  </w:style>
  <w:style w:type="character" w:customStyle="1" w:styleId="A7">
    <w:name w:val="A7"/>
    <w:uiPriority w:val="99"/>
    <w:rsid w:val="00A86A52"/>
    <w:rPr>
      <w:color w:val="000000"/>
      <w:sz w:val="18"/>
    </w:rPr>
  </w:style>
  <w:style w:type="character" w:customStyle="1" w:styleId="jrnl">
    <w:name w:val="jrnl"/>
    <w:uiPriority w:val="99"/>
    <w:rsid w:val="00A86A52"/>
  </w:style>
  <w:style w:type="paragraph" w:customStyle="1" w:styleId="desc">
    <w:name w:val="desc"/>
    <w:basedOn w:val="Normal"/>
    <w:uiPriority w:val="99"/>
    <w:rsid w:val="00A86A52"/>
    <w:pPr>
      <w:widowControl/>
      <w:spacing w:beforeLines="1" w:afterLines="1"/>
      <w:jc w:val="left"/>
    </w:pPr>
    <w:rPr>
      <w:rFonts w:ascii="Times" w:hAnsi="Times"/>
      <w:kern w:val="0"/>
      <w:sz w:val="20"/>
      <w:szCs w:val="20"/>
      <w:lang w:eastAsia="en-US"/>
    </w:rPr>
  </w:style>
  <w:style w:type="paragraph" w:customStyle="1" w:styleId="details">
    <w:name w:val="details"/>
    <w:basedOn w:val="Normal"/>
    <w:uiPriority w:val="99"/>
    <w:rsid w:val="00A86A52"/>
    <w:pPr>
      <w:widowControl/>
      <w:spacing w:beforeLines="1" w:afterLines="1"/>
      <w:jc w:val="left"/>
    </w:pPr>
    <w:rPr>
      <w:rFonts w:ascii="Times" w:hAnsi="Times"/>
      <w:kern w:val="0"/>
      <w:sz w:val="20"/>
      <w:szCs w:val="20"/>
      <w:lang w:eastAsia="en-US"/>
    </w:rPr>
  </w:style>
  <w:style w:type="character" w:customStyle="1" w:styleId="A5">
    <w:name w:val="A5"/>
    <w:uiPriority w:val="99"/>
    <w:rsid w:val="00A86A52"/>
    <w:rPr>
      <w:color w:val="000000"/>
      <w:sz w:val="18"/>
    </w:rPr>
  </w:style>
  <w:style w:type="paragraph" w:customStyle="1" w:styleId="ordinary-output">
    <w:name w:val="ordinary-output"/>
    <w:basedOn w:val="Normal"/>
    <w:uiPriority w:val="99"/>
    <w:rsid w:val="00A86A52"/>
    <w:pPr>
      <w:widowControl/>
      <w:spacing w:before="100" w:beforeAutospacing="1" w:after="75" w:line="330" w:lineRule="atLeast"/>
      <w:jc w:val="left"/>
    </w:pPr>
    <w:rPr>
      <w:rFonts w:ascii="SimSun" w:hAnsi="SimSun" w:cs="SimSun"/>
      <w:color w:val="333333"/>
      <w:kern w:val="0"/>
      <w:szCs w:val="21"/>
    </w:rPr>
  </w:style>
  <w:style w:type="character" w:customStyle="1" w:styleId="high-light-bg4">
    <w:name w:val="high-light-bg4"/>
    <w:uiPriority w:val="99"/>
    <w:rsid w:val="00A86A52"/>
  </w:style>
  <w:style w:type="character" w:customStyle="1" w:styleId="highlight">
    <w:name w:val="highlight"/>
    <w:uiPriority w:val="99"/>
    <w:rsid w:val="00A86A52"/>
  </w:style>
  <w:style w:type="paragraph" w:customStyle="1" w:styleId="-11">
    <w:name w:val="彩色底纹 - 强调文字颜色 11"/>
    <w:hidden/>
    <w:uiPriority w:val="99"/>
    <w:semiHidden/>
    <w:rsid w:val="00A86A52"/>
    <w:rPr>
      <w:rFonts w:ascii="Calibri" w:hAnsi="Calibri"/>
      <w:kern w:val="2"/>
      <w:sz w:val="21"/>
      <w:szCs w:val="22"/>
    </w:rPr>
  </w:style>
  <w:style w:type="character" w:customStyle="1" w:styleId="apple-converted-space">
    <w:name w:val="apple-converted-space"/>
    <w:uiPriority w:val="99"/>
    <w:rsid w:val="00A86A52"/>
    <w:rPr>
      <w:rFonts w:cs="Times New Roman"/>
    </w:rPr>
  </w:style>
  <w:style w:type="paragraph" w:customStyle="1" w:styleId="01Title">
    <w:name w:val="01. Title"/>
    <w:basedOn w:val="Normal"/>
    <w:next w:val="Normal"/>
    <w:uiPriority w:val="99"/>
    <w:rsid w:val="00A86A52"/>
    <w:pPr>
      <w:widowControl/>
      <w:jc w:val="left"/>
    </w:pPr>
    <w:rPr>
      <w:rFonts w:ascii="Arial" w:hAnsi="Arial"/>
      <w:b/>
      <w:spacing w:val="10"/>
      <w:kern w:val="32"/>
      <w:sz w:val="32"/>
      <w:lang w:eastAsia="en-US"/>
    </w:rPr>
  </w:style>
  <w:style w:type="paragraph" w:customStyle="1" w:styleId="10">
    <w:name w:val="正文1"/>
    <w:uiPriority w:val="99"/>
    <w:rsid w:val="00A86A52"/>
    <w:pPr>
      <w:spacing w:line="276" w:lineRule="auto"/>
    </w:pPr>
    <w:rPr>
      <w:rFonts w:ascii="Arial" w:hAnsi="Arial" w:cs="Arial"/>
      <w:color w:val="000000"/>
      <w:sz w:val="22"/>
      <w:lang w:val="pl-PL" w:eastAsia="pl-PL"/>
    </w:rPr>
  </w:style>
  <w:style w:type="paragraph" w:customStyle="1" w:styleId="08SectionHeader1">
    <w:name w:val="08 Section Header 1"/>
    <w:next w:val="Normal"/>
    <w:uiPriority w:val="99"/>
    <w:rsid w:val="00A86A52"/>
    <w:pPr>
      <w:numPr>
        <w:numId w:val="1"/>
      </w:numPr>
      <w:spacing w:before="120"/>
    </w:pPr>
    <w:rPr>
      <w:rFonts w:ascii="Arial" w:hAnsi="Arial"/>
      <w:b/>
      <w:szCs w:val="22"/>
      <w:lang w:eastAsia="en-US"/>
    </w:rPr>
  </w:style>
  <w:style w:type="paragraph" w:customStyle="1" w:styleId="08SectionHeader10">
    <w:name w:val="08. Section Header 1"/>
    <w:next w:val="Normal"/>
    <w:uiPriority w:val="99"/>
    <w:rsid w:val="00A86A52"/>
    <w:pPr>
      <w:spacing w:before="120"/>
      <w:ind w:left="360" w:hanging="360"/>
    </w:pPr>
    <w:rPr>
      <w:rFonts w:ascii="Arial" w:hAnsi="Arial"/>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1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ngmq@vip.sina.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Simultaneous Transarterial Chemoembolization combined with Radiofrequency Ablation for treatment of large hepatocellular carcinoma: 3 years follow-up</vt:lpstr>
    </vt:vector>
  </TitlesOfParts>
  <Company>Hewlett-Packard Company</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Simultaneous Transarterial Chemoembolization combined with Radiofrequency Ablation for treatment of large hepatocellular carcinoma: 3 years follow-up</dc:title>
  <dc:subject/>
  <dc:creator>峰 段</dc:creator>
  <cp:keywords/>
  <dc:description/>
  <cp:lastModifiedBy>Li Ma</cp:lastModifiedBy>
  <cp:revision>3</cp:revision>
  <cp:lastPrinted>2017-08-19T13:51:00Z</cp:lastPrinted>
  <dcterms:created xsi:type="dcterms:W3CDTF">2019-12-06T19:18:00Z</dcterms:created>
  <dcterms:modified xsi:type="dcterms:W3CDTF">2019-12-06T19:34:00Z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