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65D71" w14:textId="0C077521" w:rsidR="007111E1" w:rsidRPr="00517715" w:rsidRDefault="007111E1" w:rsidP="00256D6C">
      <w:pPr>
        <w:widowControl w:val="0"/>
        <w:adjustRightInd w:val="0"/>
        <w:snapToGrid w:val="0"/>
        <w:spacing w:after="0" w:line="360" w:lineRule="auto"/>
        <w:jc w:val="both"/>
        <w:rPr>
          <w:rFonts w:ascii="Book Antiqua" w:eastAsia="Times New Roman" w:hAnsi="Book Antiqua" w:cs="宋体"/>
          <w:i/>
          <w:sz w:val="24"/>
          <w:szCs w:val="24"/>
        </w:rPr>
      </w:pPr>
      <w:bookmarkStart w:id="0" w:name="OLE_LINK191"/>
      <w:bookmarkStart w:id="1" w:name="OLE_LINK192"/>
      <w:r w:rsidRPr="00517715">
        <w:rPr>
          <w:rFonts w:ascii="Book Antiqua" w:eastAsia="Times New Roman" w:hAnsi="Book Antiqua" w:cs="宋体"/>
          <w:b/>
          <w:sz w:val="24"/>
          <w:szCs w:val="24"/>
        </w:rPr>
        <w:t xml:space="preserve">Name of Journal: </w:t>
      </w:r>
      <w:r w:rsidR="00DC4D83" w:rsidRPr="00A61657">
        <w:rPr>
          <w:rFonts w:ascii="Book Antiqua" w:eastAsia="Times New Roman" w:hAnsi="Book Antiqua" w:cs="宋体"/>
          <w:bCs/>
          <w:i/>
          <w:iCs/>
          <w:sz w:val="24"/>
          <w:szCs w:val="24"/>
        </w:rPr>
        <w:t>World Journal of Gastroenterology</w:t>
      </w:r>
    </w:p>
    <w:p w14:paraId="5F2B7EEE" w14:textId="6D073531" w:rsidR="007111E1" w:rsidRPr="00517715" w:rsidRDefault="007111E1" w:rsidP="00256D6C">
      <w:pPr>
        <w:widowControl w:val="0"/>
        <w:adjustRightInd w:val="0"/>
        <w:snapToGrid w:val="0"/>
        <w:spacing w:after="0" w:line="360" w:lineRule="auto"/>
        <w:jc w:val="both"/>
        <w:rPr>
          <w:rFonts w:ascii="Book Antiqua" w:hAnsi="Book Antiqua" w:cs="Arial"/>
          <w:sz w:val="24"/>
          <w:szCs w:val="24"/>
          <w:lang w:val="en" w:eastAsia="zh-CN"/>
        </w:rPr>
      </w:pPr>
      <w:bookmarkStart w:id="2" w:name="_Hlk22139634"/>
      <w:bookmarkStart w:id="3" w:name="_Hlk5632321"/>
      <w:r w:rsidRPr="00517715">
        <w:rPr>
          <w:rFonts w:ascii="Book Antiqua" w:eastAsia="Times New Roman" w:hAnsi="Book Antiqua"/>
          <w:b/>
          <w:bCs/>
          <w:sz w:val="24"/>
          <w:szCs w:val="24"/>
        </w:rPr>
        <w:t>Manuscript NO</w:t>
      </w:r>
      <w:r w:rsidRPr="00517715">
        <w:rPr>
          <w:rFonts w:ascii="Book Antiqua" w:hAnsi="Book Antiqua" w:cs="Arial"/>
          <w:b/>
          <w:sz w:val="24"/>
          <w:szCs w:val="24"/>
          <w:lang w:val="en"/>
        </w:rPr>
        <w:t>:</w:t>
      </w:r>
      <w:bookmarkEnd w:id="2"/>
      <w:r w:rsidR="00DC4D83" w:rsidRPr="00517715">
        <w:rPr>
          <w:rFonts w:ascii="Book Antiqua" w:hAnsi="Book Antiqua" w:cs="Arial"/>
          <w:b/>
          <w:sz w:val="24"/>
          <w:szCs w:val="24"/>
          <w:lang w:val="en"/>
        </w:rPr>
        <w:t xml:space="preserve"> </w:t>
      </w:r>
      <w:r w:rsidR="00DC4D83" w:rsidRPr="00A61657">
        <w:rPr>
          <w:rFonts w:ascii="Book Antiqua" w:hAnsi="Book Antiqua" w:cs="Arial"/>
          <w:bCs/>
          <w:sz w:val="24"/>
          <w:szCs w:val="24"/>
          <w:lang w:val="en"/>
        </w:rPr>
        <w:t>52209</w:t>
      </w:r>
    </w:p>
    <w:bookmarkEnd w:id="3"/>
    <w:p w14:paraId="2F3EBEBD" w14:textId="172E913C" w:rsidR="00DE070D" w:rsidRPr="00517715" w:rsidRDefault="007111E1" w:rsidP="00256D6C">
      <w:pPr>
        <w:pStyle w:val="Body1"/>
        <w:widowControl w:val="0"/>
        <w:snapToGrid w:val="0"/>
        <w:spacing w:after="0" w:line="360" w:lineRule="auto"/>
        <w:jc w:val="both"/>
        <w:rPr>
          <w:rFonts w:ascii="Book Antiqua" w:hAnsi="Book Antiqua"/>
          <w:b/>
          <w:bCs/>
          <w:i/>
          <w:color w:val="auto"/>
          <w:sz w:val="24"/>
          <w:szCs w:val="24"/>
          <w:u w:val="single"/>
          <w:lang w:val="en-US"/>
        </w:rPr>
      </w:pPr>
      <w:r w:rsidRPr="00517715">
        <w:rPr>
          <w:rFonts w:ascii="Book Antiqua" w:hAnsi="Book Antiqua"/>
          <w:b/>
          <w:color w:val="auto"/>
          <w:sz w:val="24"/>
          <w:szCs w:val="24"/>
        </w:rPr>
        <w:t>Manuscript Type:</w:t>
      </w:r>
      <w:bookmarkEnd w:id="0"/>
      <w:bookmarkEnd w:id="1"/>
      <w:r w:rsidR="00DC4D83" w:rsidRPr="00517715">
        <w:t xml:space="preserve"> </w:t>
      </w:r>
      <w:r w:rsidR="00DC4D83" w:rsidRPr="00A61657">
        <w:rPr>
          <w:rFonts w:ascii="Book Antiqua" w:hAnsi="Book Antiqua"/>
          <w:iCs/>
          <w:caps/>
          <w:color w:val="auto"/>
          <w:sz w:val="24"/>
          <w:szCs w:val="24"/>
          <w:lang w:val="en-US" w:eastAsia="zh-CN"/>
        </w:rPr>
        <w:t>Editorial</w:t>
      </w:r>
    </w:p>
    <w:p w14:paraId="41F26C80" w14:textId="1E9E96CD" w:rsidR="00DE070D" w:rsidRPr="00517715" w:rsidRDefault="00DE070D" w:rsidP="00256D6C">
      <w:pPr>
        <w:pStyle w:val="Body1"/>
        <w:widowControl w:val="0"/>
        <w:snapToGrid w:val="0"/>
        <w:spacing w:after="0" w:line="360" w:lineRule="auto"/>
        <w:jc w:val="both"/>
        <w:rPr>
          <w:rFonts w:ascii="Book Antiqua" w:hAnsi="Book Antiqua"/>
          <w:b/>
          <w:bCs/>
          <w:i/>
          <w:color w:val="auto"/>
          <w:sz w:val="24"/>
          <w:szCs w:val="24"/>
          <w:u w:val="single"/>
          <w:lang w:val="en-US"/>
        </w:rPr>
      </w:pPr>
    </w:p>
    <w:p w14:paraId="0C394158" w14:textId="5F72333B" w:rsidR="00DE070D" w:rsidRPr="00517715" w:rsidRDefault="00DE070D" w:rsidP="00256D6C">
      <w:pPr>
        <w:widowControl w:val="0"/>
        <w:snapToGrid w:val="0"/>
        <w:spacing w:after="0" w:line="360" w:lineRule="auto"/>
        <w:rPr>
          <w:rFonts w:ascii="Book Antiqua" w:hAnsi="Book Antiqua" w:cs="Times New Roman"/>
          <w:b/>
          <w:bCs/>
          <w:sz w:val="24"/>
          <w:szCs w:val="24"/>
        </w:rPr>
      </w:pPr>
      <w:r w:rsidRPr="00517715">
        <w:rPr>
          <w:rFonts w:ascii="Book Antiqua" w:hAnsi="Book Antiqua" w:cs="Times New Roman"/>
          <w:b/>
          <w:bCs/>
          <w:sz w:val="24"/>
          <w:szCs w:val="24"/>
        </w:rPr>
        <w:t>Wrap</w:t>
      </w:r>
      <w:r w:rsidR="002A5D04" w:rsidRPr="00517715">
        <w:rPr>
          <w:rFonts w:ascii="Book Antiqua" w:hAnsi="Book Antiqua" w:cs="Times New Roman"/>
          <w:b/>
          <w:bCs/>
          <w:sz w:val="24"/>
          <w:szCs w:val="24"/>
        </w:rPr>
        <w:t xml:space="preserve"> c</w:t>
      </w:r>
      <w:r w:rsidR="00AF4E36" w:rsidRPr="00517715">
        <w:rPr>
          <w:rFonts w:ascii="Book Antiqua" w:hAnsi="Book Antiqua" w:cs="Times New Roman"/>
          <w:b/>
          <w:bCs/>
          <w:sz w:val="24"/>
          <w:szCs w:val="24"/>
        </w:rPr>
        <w:t xml:space="preserve">hoice </w:t>
      </w:r>
      <w:r w:rsidR="002A5D04" w:rsidRPr="00517715">
        <w:rPr>
          <w:rFonts w:ascii="Book Antiqua" w:hAnsi="Book Antiqua" w:cs="Times New Roman"/>
          <w:b/>
          <w:bCs/>
          <w:sz w:val="24"/>
          <w:szCs w:val="24"/>
        </w:rPr>
        <w:t>d</w:t>
      </w:r>
      <w:r w:rsidR="00AF4E36" w:rsidRPr="00517715">
        <w:rPr>
          <w:rFonts w:ascii="Book Antiqua" w:hAnsi="Book Antiqua" w:cs="Times New Roman"/>
          <w:b/>
          <w:bCs/>
          <w:sz w:val="24"/>
          <w:szCs w:val="24"/>
        </w:rPr>
        <w:t>uring</w:t>
      </w:r>
      <w:r w:rsidRPr="00517715">
        <w:rPr>
          <w:rFonts w:ascii="Book Antiqua" w:hAnsi="Book Antiqua" w:cs="Times New Roman"/>
          <w:b/>
          <w:bCs/>
          <w:sz w:val="24"/>
          <w:szCs w:val="24"/>
        </w:rPr>
        <w:t xml:space="preserve"> </w:t>
      </w:r>
      <w:r w:rsidR="002A5D04" w:rsidRPr="00517715">
        <w:rPr>
          <w:rFonts w:ascii="Book Antiqua" w:hAnsi="Book Antiqua" w:cs="Times New Roman"/>
          <w:b/>
          <w:bCs/>
          <w:sz w:val="24"/>
          <w:szCs w:val="24"/>
        </w:rPr>
        <w:t>f</w:t>
      </w:r>
      <w:r w:rsidRPr="00517715">
        <w:rPr>
          <w:rFonts w:ascii="Book Antiqua" w:hAnsi="Book Antiqua" w:cs="Times New Roman"/>
          <w:b/>
          <w:bCs/>
          <w:sz w:val="24"/>
          <w:szCs w:val="24"/>
        </w:rPr>
        <w:t>undoplication</w:t>
      </w:r>
    </w:p>
    <w:p w14:paraId="25548139" w14:textId="77777777" w:rsidR="001D672D" w:rsidRPr="00517715" w:rsidRDefault="001D672D" w:rsidP="00256D6C">
      <w:pPr>
        <w:widowControl w:val="0"/>
        <w:snapToGrid w:val="0"/>
        <w:spacing w:after="0" w:line="360" w:lineRule="auto"/>
        <w:jc w:val="both"/>
        <w:rPr>
          <w:rFonts w:ascii="Book Antiqua" w:hAnsi="Book Antiqua" w:cs="Garamond-Bold"/>
          <w:b/>
          <w:bCs/>
          <w:sz w:val="24"/>
          <w:szCs w:val="24"/>
        </w:rPr>
      </w:pPr>
      <w:bookmarkStart w:id="4" w:name="_Hlk5627141"/>
      <w:bookmarkStart w:id="5" w:name="_Hlk24045761"/>
    </w:p>
    <w:bookmarkEnd w:id="4"/>
    <w:bookmarkEnd w:id="5"/>
    <w:p w14:paraId="5EC0BB21" w14:textId="4AD656FE" w:rsidR="007111E1" w:rsidRPr="00517715" w:rsidRDefault="002A5D04" w:rsidP="00256D6C">
      <w:pPr>
        <w:widowControl w:val="0"/>
        <w:snapToGrid w:val="0"/>
        <w:spacing w:after="0" w:line="360" w:lineRule="auto"/>
        <w:jc w:val="both"/>
        <w:rPr>
          <w:rFonts w:ascii="Book Antiqua" w:hAnsi="Book Antiqua"/>
          <w:sz w:val="24"/>
          <w:szCs w:val="24"/>
        </w:rPr>
      </w:pPr>
      <w:r w:rsidRPr="00517715">
        <w:rPr>
          <w:rFonts w:ascii="Book Antiqua" w:hAnsi="Book Antiqua" w:cs="Garamond-Bold"/>
          <w:bCs/>
          <w:sz w:val="24"/>
          <w:szCs w:val="24"/>
        </w:rPr>
        <w:t>Bramhall SR</w:t>
      </w:r>
      <w:r w:rsidRPr="00517715">
        <w:rPr>
          <w:rFonts w:ascii="Book Antiqua" w:hAnsi="Book Antiqua" w:cs="Garamond-Bold"/>
          <w:bCs/>
          <w:i/>
          <w:iCs/>
          <w:sz w:val="24"/>
          <w:szCs w:val="24"/>
          <w:lang w:eastAsia="zh-CN"/>
        </w:rPr>
        <w:t xml:space="preserve"> et al</w:t>
      </w:r>
      <w:r w:rsidRPr="00517715">
        <w:rPr>
          <w:rFonts w:ascii="Book Antiqua" w:hAnsi="Book Antiqua" w:cs="Garamond-Bold"/>
          <w:bCs/>
          <w:sz w:val="24"/>
          <w:szCs w:val="24"/>
          <w:lang w:eastAsia="zh-CN"/>
        </w:rPr>
        <w:t xml:space="preserve">. </w:t>
      </w:r>
      <w:r w:rsidR="00D01218" w:rsidRPr="00517715">
        <w:rPr>
          <w:rFonts w:ascii="Book Antiqua" w:hAnsi="Book Antiqua" w:cs="Garamond-Bold"/>
          <w:bCs/>
          <w:sz w:val="24"/>
          <w:szCs w:val="24"/>
          <w:lang w:eastAsia="zh-CN"/>
        </w:rPr>
        <w:t>Choice of wrap during fundoplication</w:t>
      </w:r>
    </w:p>
    <w:p w14:paraId="0FA3318D" w14:textId="77777777" w:rsidR="001D672D" w:rsidRPr="00517715" w:rsidRDefault="001D672D" w:rsidP="00256D6C">
      <w:pPr>
        <w:widowControl w:val="0"/>
        <w:autoSpaceDE w:val="0"/>
        <w:autoSpaceDN w:val="0"/>
        <w:adjustRightInd w:val="0"/>
        <w:snapToGrid w:val="0"/>
        <w:spacing w:after="0" w:line="360" w:lineRule="auto"/>
        <w:jc w:val="both"/>
        <w:rPr>
          <w:rStyle w:val="ae"/>
          <w:rFonts w:ascii="Book Antiqua" w:hAnsi="Book Antiqua"/>
          <w:sz w:val="24"/>
          <w:szCs w:val="24"/>
        </w:rPr>
      </w:pPr>
      <w:bookmarkStart w:id="6" w:name="_Hlk24049498"/>
    </w:p>
    <w:bookmarkEnd w:id="6"/>
    <w:p w14:paraId="7AD273F6" w14:textId="350552DB" w:rsidR="00DE070D" w:rsidRPr="00517715" w:rsidRDefault="00DE070D" w:rsidP="00256D6C">
      <w:pPr>
        <w:widowControl w:val="0"/>
        <w:snapToGrid w:val="0"/>
        <w:spacing w:after="0" w:line="360" w:lineRule="auto"/>
        <w:jc w:val="both"/>
        <w:rPr>
          <w:rFonts w:ascii="Book Antiqua" w:eastAsia="Times New Roman" w:hAnsi="Book Antiqua"/>
          <w:sz w:val="24"/>
          <w:szCs w:val="24"/>
          <w:vertAlign w:val="superscript"/>
        </w:rPr>
      </w:pPr>
      <w:r w:rsidRPr="00517715">
        <w:rPr>
          <w:rFonts w:ascii="Book Antiqua" w:hAnsi="Book Antiqua"/>
          <w:iCs/>
          <w:sz w:val="24"/>
          <w:szCs w:val="24"/>
        </w:rPr>
        <w:t>Simon R Bramhall</w:t>
      </w:r>
      <w:r w:rsidR="00AF4E36" w:rsidRPr="00517715">
        <w:rPr>
          <w:rFonts w:ascii="Book Antiqua" w:hAnsi="Book Antiqua"/>
          <w:iCs/>
          <w:sz w:val="24"/>
          <w:szCs w:val="24"/>
        </w:rPr>
        <w:t xml:space="preserve">, </w:t>
      </w:r>
      <w:r w:rsidR="0085643A" w:rsidRPr="00517715">
        <w:rPr>
          <w:rFonts w:ascii="Book Antiqua" w:hAnsi="Book Antiqua"/>
          <w:iCs/>
          <w:sz w:val="24"/>
          <w:szCs w:val="24"/>
        </w:rPr>
        <w:t>Moustafa M Mourad</w:t>
      </w:r>
    </w:p>
    <w:p w14:paraId="76B7A949" w14:textId="5973C5F9" w:rsidR="00DE070D" w:rsidRPr="00517715" w:rsidRDefault="00DE070D" w:rsidP="00256D6C">
      <w:pPr>
        <w:widowControl w:val="0"/>
        <w:autoSpaceDE w:val="0"/>
        <w:autoSpaceDN w:val="0"/>
        <w:adjustRightInd w:val="0"/>
        <w:snapToGrid w:val="0"/>
        <w:spacing w:after="0" w:line="360" w:lineRule="auto"/>
        <w:jc w:val="both"/>
        <w:rPr>
          <w:rFonts w:ascii="Book Antiqua" w:hAnsi="Book Antiqua"/>
          <w:i/>
          <w:iCs/>
          <w:sz w:val="24"/>
          <w:szCs w:val="24"/>
        </w:rPr>
      </w:pPr>
    </w:p>
    <w:p w14:paraId="66CC5C6F" w14:textId="333B2C56" w:rsidR="00DE070D" w:rsidRPr="00517715" w:rsidRDefault="00CB5BED" w:rsidP="00256D6C">
      <w:pPr>
        <w:pStyle w:val="Body1"/>
        <w:widowControl w:val="0"/>
        <w:snapToGrid w:val="0"/>
        <w:spacing w:after="0" w:line="360" w:lineRule="auto"/>
        <w:jc w:val="both"/>
        <w:rPr>
          <w:rFonts w:ascii="Book Antiqua" w:hAnsi="Book Antiqua"/>
          <w:color w:val="auto"/>
          <w:sz w:val="24"/>
          <w:szCs w:val="24"/>
        </w:rPr>
      </w:pPr>
      <w:r w:rsidRPr="00517715">
        <w:rPr>
          <w:rFonts w:ascii="Book Antiqua" w:hAnsi="Book Antiqua"/>
          <w:b/>
          <w:bCs/>
          <w:iCs/>
          <w:color w:val="auto"/>
          <w:sz w:val="24"/>
          <w:szCs w:val="24"/>
        </w:rPr>
        <w:t>Simon R Bramhall</w:t>
      </w:r>
      <w:r w:rsidRPr="00517715">
        <w:rPr>
          <w:rFonts w:ascii="Book Antiqua" w:hAnsi="Book Antiqua"/>
          <w:b/>
          <w:bCs/>
          <w:color w:val="auto"/>
          <w:sz w:val="24"/>
          <w:szCs w:val="24"/>
        </w:rPr>
        <w:t>,</w:t>
      </w:r>
      <w:r w:rsidRPr="00517715">
        <w:rPr>
          <w:rFonts w:ascii="Book Antiqua" w:hAnsi="Book Antiqua"/>
          <w:color w:val="auto"/>
          <w:sz w:val="24"/>
          <w:szCs w:val="24"/>
        </w:rPr>
        <w:t xml:space="preserve"> Department of Surgery, The </w:t>
      </w:r>
      <w:r w:rsidR="00DE070D" w:rsidRPr="00517715">
        <w:rPr>
          <w:rFonts w:ascii="Book Antiqua" w:hAnsi="Book Antiqua"/>
          <w:color w:val="auto"/>
          <w:sz w:val="24"/>
          <w:szCs w:val="24"/>
        </w:rPr>
        <w:t>County Hospital, Hereford</w:t>
      </w:r>
      <w:r w:rsidR="00AB4BFD" w:rsidRPr="00517715">
        <w:rPr>
          <w:rFonts w:ascii="Book Antiqua" w:hAnsi="Book Antiqua"/>
          <w:color w:val="auto"/>
          <w:sz w:val="24"/>
          <w:szCs w:val="24"/>
        </w:rPr>
        <w:t xml:space="preserve"> HR1 2ER</w:t>
      </w:r>
      <w:r w:rsidR="00DE070D" w:rsidRPr="00517715">
        <w:rPr>
          <w:rFonts w:ascii="Book Antiqua" w:hAnsi="Book Antiqua"/>
          <w:color w:val="auto"/>
          <w:sz w:val="24"/>
          <w:szCs w:val="24"/>
        </w:rPr>
        <w:t xml:space="preserve">, United Kingdom </w:t>
      </w:r>
    </w:p>
    <w:p w14:paraId="7C121B26" w14:textId="77777777" w:rsidR="002A5D04" w:rsidRPr="00517715" w:rsidRDefault="002A5D04" w:rsidP="00256D6C">
      <w:pPr>
        <w:pStyle w:val="Body1"/>
        <w:widowControl w:val="0"/>
        <w:snapToGrid w:val="0"/>
        <w:spacing w:after="0" w:line="360" w:lineRule="auto"/>
        <w:jc w:val="both"/>
        <w:rPr>
          <w:rFonts w:ascii="Book Antiqua" w:hAnsi="Book Antiqua"/>
          <w:iCs/>
          <w:color w:val="auto"/>
          <w:sz w:val="24"/>
          <w:szCs w:val="24"/>
        </w:rPr>
      </w:pPr>
    </w:p>
    <w:p w14:paraId="4902F2F4" w14:textId="19940764" w:rsidR="0085643A" w:rsidRPr="00517715" w:rsidRDefault="00CB5BED" w:rsidP="00256D6C">
      <w:pPr>
        <w:pStyle w:val="Body1"/>
        <w:widowControl w:val="0"/>
        <w:snapToGrid w:val="0"/>
        <w:spacing w:after="0" w:line="360" w:lineRule="auto"/>
        <w:jc w:val="both"/>
        <w:rPr>
          <w:rFonts w:ascii="Book Antiqua" w:hAnsi="Book Antiqua"/>
          <w:color w:val="auto"/>
          <w:sz w:val="24"/>
          <w:szCs w:val="24"/>
        </w:rPr>
      </w:pPr>
      <w:r w:rsidRPr="00517715">
        <w:rPr>
          <w:rFonts w:ascii="Book Antiqua" w:hAnsi="Book Antiqua"/>
          <w:b/>
          <w:bCs/>
          <w:iCs/>
          <w:color w:val="auto"/>
          <w:sz w:val="24"/>
          <w:szCs w:val="24"/>
        </w:rPr>
        <w:t>Moustafa M Mourad</w:t>
      </w:r>
      <w:r w:rsidRPr="00517715">
        <w:rPr>
          <w:rFonts w:ascii="Book Antiqua" w:hAnsi="Book Antiqua"/>
          <w:b/>
          <w:bCs/>
          <w:color w:val="auto"/>
          <w:sz w:val="24"/>
          <w:szCs w:val="24"/>
        </w:rPr>
        <w:t>,</w:t>
      </w:r>
      <w:r w:rsidRPr="00517715">
        <w:rPr>
          <w:rFonts w:ascii="Book Antiqua" w:hAnsi="Book Antiqua"/>
          <w:color w:val="auto"/>
          <w:sz w:val="24"/>
          <w:szCs w:val="24"/>
        </w:rPr>
        <w:t xml:space="preserve"> </w:t>
      </w:r>
      <w:r w:rsidR="00A51856" w:rsidRPr="00517715">
        <w:rPr>
          <w:rFonts w:ascii="Book Antiqua" w:hAnsi="Book Antiqua"/>
          <w:color w:val="auto"/>
          <w:sz w:val="24"/>
          <w:szCs w:val="24"/>
        </w:rPr>
        <w:t xml:space="preserve">Department of Surgery, </w:t>
      </w:r>
      <w:r w:rsidR="0085643A" w:rsidRPr="00517715">
        <w:rPr>
          <w:rFonts w:ascii="Book Antiqua" w:hAnsi="Book Antiqua"/>
          <w:color w:val="auto"/>
          <w:sz w:val="24"/>
          <w:szCs w:val="24"/>
        </w:rPr>
        <w:t>Worcester Royal Infirmary, Worcester</w:t>
      </w:r>
      <w:r w:rsidR="00792588">
        <w:rPr>
          <w:rFonts w:ascii="Book Antiqua" w:hAnsi="Book Antiqua"/>
          <w:color w:val="auto"/>
          <w:sz w:val="24"/>
          <w:szCs w:val="24"/>
        </w:rPr>
        <w:t xml:space="preserve"> </w:t>
      </w:r>
      <w:r w:rsidR="00A51856" w:rsidRPr="00517715">
        <w:rPr>
          <w:rFonts w:ascii="Book Antiqua" w:hAnsi="Book Antiqua"/>
          <w:color w:val="auto"/>
          <w:sz w:val="24"/>
          <w:szCs w:val="24"/>
        </w:rPr>
        <w:t xml:space="preserve">WR5 1DD, </w:t>
      </w:r>
      <w:r w:rsidR="0085643A" w:rsidRPr="00517715">
        <w:rPr>
          <w:rFonts w:ascii="Book Antiqua" w:hAnsi="Book Antiqua"/>
          <w:color w:val="auto"/>
          <w:sz w:val="24"/>
          <w:szCs w:val="24"/>
        </w:rPr>
        <w:t>United Kingdom</w:t>
      </w:r>
    </w:p>
    <w:p w14:paraId="4D04A97A" w14:textId="77777777" w:rsidR="00CB5BED" w:rsidRPr="00517715" w:rsidRDefault="00CB5BED" w:rsidP="00256D6C">
      <w:pPr>
        <w:widowControl w:val="0"/>
        <w:autoSpaceDE w:val="0"/>
        <w:autoSpaceDN w:val="0"/>
        <w:adjustRightInd w:val="0"/>
        <w:snapToGrid w:val="0"/>
        <w:spacing w:after="0" w:line="360" w:lineRule="auto"/>
        <w:jc w:val="both"/>
        <w:rPr>
          <w:rFonts w:ascii="Book Antiqua" w:hAnsi="Book Antiqua" w:cs="Garamond-Bold"/>
          <w:b/>
          <w:bCs/>
          <w:sz w:val="24"/>
          <w:szCs w:val="24"/>
        </w:rPr>
      </w:pPr>
      <w:bookmarkStart w:id="7" w:name="_Hlk24048575"/>
    </w:p>
    <w:p w14:paraId="5F75681B" w14:textId="0024ECBB" w:rsidR="00DE070D" w:rsidRPr="00517715" w:rsidRDefault="007111E1" w:rsidP="00256D6C">
      <w:pPr>
        <w:widowControl w:val="0"/>
        <w:autoSpaceDE w:val="0"/>
        <w:autoSpaceDN w:val="0"/>
        <w:adjustRightInd w:val="0"/>
        <w:snapToGrid w:val="0"/>
        <w:spacing w:after="0" w:line="360" w:lineRule="auto"/>
        <w:jc w:val="both"/>
        <w:rPr>
          <w:rFonts w:ascii="Book Antiqua" w:hAnsi="Book Antiqua"/>
          <w:i/>
          <w:iCs/>
          <w:sz w:val="24"/>
          <w:szCs w:val="24"/>
        </w:rPr>
      </w:pPr>
      <w:r w:rsidRPr="00517715">
        <w:rPr>
          <w:rFonts w:ascii="Book Antiqua" w:hAnsi="Book Antiqua" w:cs="Garamond-Bold"/>
          <w:b/>
          <w:bCs/>
          <w:sz w:val="24"/>
          <w:szCs w:val="24"/>
        </w:rPr>
        <w:t>Author contributions</w:t>
      </w:r>
      <w:r w:rsidRPr="00517715">
        <w:rPr>
          <w:rFonts w:ascii="Book Antiqua" w:hAnsi="Book Antiqua" w:cs="Garamond-Bold"/>
          <w:b/>
          <w:bCs/>
          <w:sz w:val="24"/>
          <w:szCs w:val="24"/>
          <w:lang w:eastAsia="zh-CN"/>
        </w:rPr>
        <w:t>:</w:t>
      </w:r>
      <w:bookmarkStart w:id="8" w:name="_Hlk24046586"/>
      <w:r w:rsidRPr="00517715">
        <w:rPr>
          <w:rFonts w:ascii="Book Antiqua" w:hAnsi="Book Antiqua" w:cs="Garamond-Bold"/>
          <w:b/>
          <w:bCs/>
          <w:sz w:val="24"/>
          <w:szCs w:val="24"/>
        </w:rPr>
        <w:t xml:space="preserve"> </w:t>
      </w:r>
      <w:bookmarkEnd w:id="7"/>
      <w:bookmarkEnd w:id="8"/>
      <w:r w:rsidR="007B6813" w:rsidRPr="00517715">
        <w:rPr>
          <w:rFonts w:ascii="Book Antiqua" w:hAnsi="Book Antiqua" w:cs="Garamond-Bold"/>
          <w:bCs/>
          <w:sz w:val="24"/>
          <w:szCs w:val="24"/>
        </w:rPr>
        <w:t>Bramhall SR</w:t>
      </w:r>
      <w:r w:rsidR="00CB5BED" w:rsidRPr="00517715">
        <w:rPr>
          <w:rFonts w:ascii="Book Antiqua" w:hAnsi="Book Antiqua" w:cs="Garamond-Bold"/>
          <w:bCs/>
          <w:sz w:val="24"/>
          <w:szCs w:val="24"/>
        </w:rPr>
        <w:t xml:space="preserve"> and </w:t>
      </w:r>
      <w:r w:rsidR="007B6813" w:rsidRPr="00517715">
        <w:rPr>
          <w:rFonts w:ascii="Book Antiqua" w:hAnsi="Book Antiqua" w:cs="Garamond-Bold"/>
          <w:bCs/>
          <w:sz w:val="24"/>
          <w:szCs w:val="24"/>
        </w:rPr>
        <w:t>Mourad MM</w:t>
      </w:r>
      <w:r w:rsidR="007B6813" w:rsidRPr="00517715">
        <w:rPr>
          <w:rFonts w:ascii="Book Antiqua" w:hAnsi="Book Antiqua" w:cs="Garamond-Bold"/>
          <w:b/>
          <w:bCs/>
          <w:sz w:val="24"/>
          <w:szCs w:val="24"/>
        </w:rPr>
        <w:t xml:space="preserve"> </w:t>
      </w:r>
      <w:r w:rsidR="00CB5BED" w:rsidRPr="00517715">
        <w:rPr>
          <w:rFonts w:ascii="Book Antiqua" w:hAnsi="Book Antiqua" w:cs="Garamond-Bold"/>
          <w:sz w:val="24"/>
          <w:szCs w:val="24"/>
        </w:rPr>
        <w:t xml:space="preserve">contributed to </w:t>
      </w:r>
      <w:r w:rsidR="00CB5BED" w:rsidRPr="00517715">
        <w:rPr>
          <w:rFonts w:ascii="Book Antiqua" w:hAnsi="Book Antiqua" w:cs="Garamond-Bold"/>
          <w:bCs/>
          <w:sz w:val="24"/>
          <w:szCs w:val="24"/>
        </w:rPr>
        <w:t>c</w:t>
      </w:r>
      <w:r w:rsidR="00D01218" w:rsidRPr="00517715">
        <w:rPr>
          <w:rFonts w:ascii="Book Antiqua" w:hAnsi="Book Antiqua" w:cs="Garamond-Bold"/>
          <w:bCs/>
          <w:sz w:val="24"/>
          <w:szCs w:val="24"/>
        </w:rPr>
        <w:t>oncept of manuscript</w:t>
      </w:r>
      <w:r w:rsidR="00CB5BED" w:rsidRPr="00517715">
        <w:rPr>
          <w:rFonts w:ascii="Book Antiqua" w:hAnsi="Book Antiqua" w:cs="Garamond-Bold"/>
          <w:bCs/>
          <w:sz w:val="24"/>
          <w:szCs w:val="24"/>
        </w:rPr>
        <w:t xml:space="preserve">, </w:t>
      </w:r>
      <w:r w:rsidR="007B6813" w:rsidRPr="00517715">
        <w:rPr>
          <w:rFonts w:ascii="Book Antiqua" w:hAnsi="Book Antiqua" w:cs="Garamond-Bold"/>
          <w:bCs/>
          <w:sz w:val="24"/>
          <w:szCs w:val="24"/>
        </w:rPr>
        <w:t>manuscript review</w:t>
      </w:r>
      <w:r w:rsidR="00CB5BED" w:rsidRPr="00517715">
        <w:rPr>
          <w:rFonts w:ascii="Book Antiqua" w:hAnsi="Book Antiqua" w:cs="Garamond-Bold"/>
          <w:bCs/>
          <w:sz w:val="24"/>
          <w:szCs w:val="24"/>
        </w:rPr>
        <w:t xml:space="preserve">, </w:t>
      </w:r>
      <w:r w:rsidR="007B6813" w:rsidRPr="00517715">
        <w:rPr>
          <w:rFonts w:ascii="Book Antiqua" w:hAnsi="Book Antiqua" w:cs="Garamond-Bold"/>
          <w:bCs/>
          <w:sz w:val="24"/>
          <w:szCs w:val="24"/>
        </w:rPr>
        <w:t>accuracy check;</w:t>
      </w:r>
      <w:r w:rsidR="00D01218" w:rsidRPr="00517715">
        <w:rPr>
          <w:rFonts w:ascii="Book Antiqua" w:hAnsi="Book Antiqua" w:cs="Garamond-Bold"/>
          <w:bCs/>
          <w:sz w:val="24"/>
          <w:szCs w:val="24"/>
        </w:rPr>
        <w:t xml:space="preserve"> </w:t>
      </w:r>
      <w:r w:rsidR="007B6813" w:rsidRPr="00517715">
        <w:rPr>
          <w:rFonts w:ascii="Book Antiqua" w:hAnsi="Book Antiqua" w:cs="Garamond-Bold"/>
          <w:bCs/>
          <w:sz w:val="24"/>
          <w:szCs w:val="24"/>
        </w:rPr>
        <w:t xml:space="preserve">Bramhall SR </w:t>
      </w:r>
      <w:r w:rsidR="00D01218" w:rsidRPr="00517715">
        <w:rPr>
          <w:rFonts w:ascii="Book Antiqua" w:hAnsi="Book Antiqua" w:cs="Garamond-Bold"/>
          <w:bCs/>
          <w:sz w:val="24"/>
          <w:szCs w:val="24"/>
        </w:rPr>
        <w:t>wr</w:t>
      </w:r>
      <w:r w:rsidR="00CB5BED" w:rsidRPr="00517715">
        <w:rPr>
          <w:rFonts w:ascii="Book Antiqua" w:hAnsi="Book Antiqua" w:cs="Garamond-Bold"/>
          <w:bCs/>
          <w:sz w:val="24"/>
          <w:szCs w:val="24"/>
        </w:rPr>
        <w:t>ote the manuscript</w:t>
      </w:r>
      <w:r w:rsidR="00D01218" w:rsidRPr="00517715">
        <w:rPr>
          <w:rFonts w:ascii="Book Antiqua" w:hAnsi="Book Antiqua" w:cs="Garamond-Bold"/>
          <w:bCs/>
          <w:sz w:val="24"/>
          <w:szCs w:val="24"/>
        </w:rPr>
        <w:t xml:space="preserve">. </w:t>
      </w:r>
    </w:p>
    <w:p w14:paraId="3627B19F" w14:textId="11E9CE13" w:rsidR="00DE070D" w:rsidRPr="00517715" w:rsidRDefault="00DE070D" w:rsidP="00256D6C">
      <w:pPr>
        <w:widowControl w:val="0"/>
        <w:autoSpaceDE w:val="0"/>
        <w:autoSpaceDN w:val="0"/>
        <w:adjustRightInd w:val="0"/>
        <w:snapToGrid w:val="0"/>
        <w:spacing w:after="0" w:line="360" w:lineRule="auto"/>
        <w:jc w:val="both"/>
        <w:rPr>
          <w:rFonts w:ascii="Book Antiqua" w:hAnsi="Book Antiqua"/>
          <w:b/>
          <w:iCs/>
          <w:sz w:val="24"/>
          <w:szCs w:val="24"/>
        </w:rPr>
      </w:pPr>
    </w:p>
    <w:p w14:paraId="44A373C7" w14:textId="5DFB47DF" w:rsidR="00DE070D" w:rsidRDefault="007111E1" w:rsidP="00256D6C">
      <w:pPr>
        <w:widowControl w:val="0"/>
        <w:snapToGrid w:val="0"/>
        <w:spacing w:after="0" w:line="360" w:lineRule="auto"/>
        <w:jc w:val="both"/>
        <w:rPr>
          <w:rFonts w:ascii="Book Antiqua" w:hAnsi="Book Antiqua"/>
          <w:iCs/>
          <w:sz w:val="24"/>
          <w:szCs w:val="24"/>
          <w:lang w:val="pt-BR"/>
        </w:rPr>
      </w:pPr>
      <w:bookmarkStart w:id="9" w:name="OLE_LINK1090"/>
      <w:bookmarkStart w:id="10" w:name="OLE_LINK1091"/>
      <w:bookmarkStart w:id="11" w:name="_Hlk22140107"/>
      <w:bookmarkStart w:id="12" w:name="_Hlk8806265"/>
      <w:r w:rsidRPr="00517715">
        <w:rPr>
          <w:rFonts w:ascii="Book Antiqua" w:hAnsi="Book Antiqua" w:cs="Garamond-Bold"/>
          <w:b/>
          <w:bCs/>
          <w:sz w:val="24"/>
          <w:szCs w:val="24"/>
        </w:rPr>
        <w:t>Corresponding author</w:t>
      </w:r>
      <w:bookmarkEnd w:id="9"/>
      <w:bookmarkEnd w:id="10"/>
      <w:bookmarkEnd w:id="11"/>
      <w:bookmarkEnd w:id="12"/>
      <w:r w:rsidR="001D672D" w:rsidRPr="00517715">
        <w:rPr>
          <w:rFonts w:ascii="Book Antiqua" w:hAnsi="Book Antiqua" w:cs="Garamond-Bold"/>
          <w:b/>
          <w:bCs/>
          <w:sz w:val="24"/>
          <w:szCs w:val="24"/>
        </w:rPr>
        <w:t xml:space="preserve">: </w:t>
      </w:r>
      <w:r w:rsidR="00DE070D" w:rsidRPr="00517715">
        <w:rPr>
          <w:rFonts w:ascii="Book Antiqua" w:hAnsi="Book Antiqua"/>
          <w:b/>
          <w:bCs/>
          <w:sz w:val="24"/>
          <w:szCs w:val="24"/>
        </w:rPr>
        <w:t xml:space="preserve">Simon </w:t>
      </w:r>
      <w:r w:rsidR="00CB5BED" w:rsidRPr="00517715">
        <w:rPr>
          <w:rFonts w:ascii="Book Antiqua" w:hAnsi="Book Antiqua"/>
          <w:b/>
          <w:bCs/>
          <w:iCs/>
          <w:sz w:val="24"/>
          <w:szCs w:val="24"/>
        </w:rPr>
        <w:t>R</w:t>
      </w:r>
      <w:r w:rsidR="00CB5BED" w:rsidRPr="00517715">
        <w:rPr>
          <w:rFonts w:ascii="Book Antiqua" w:hAnsi="Book Antiqua"/>
          <w:b/>
          <w:bCs/>
          <w:sz w:val="24"/>
          <w:szCs w:val="24"/>
        </w:rPr>
        <w:t xml:space="preserve"> </w:t>
      </w:r>
      <w:r w:rsidR="00DE070D" w:rsidRPr="00517715">
        <w:rPr>
          <w:rFonts w:ascii="Book Antiqua" w:hAnsi="Book Antiqua"/>
          <w:b/>
          <w:bCs/>
          <w:sz w:val="24"/>
          <w:szCs w:val="24"/>
        </w:rPr>
        <w:t>Bramhall</w:t>
      </w:r>
      <w:r w:rsidR="00CB5BED" w:rsidRPr="00517715">
        <w:rPr>
          <w:rFonts w:ascii="Book Antiqua" w:hAnsi="Book Antiqua"/>
          <w:b/>
          <w:bCs/>
          <w:sz w:val="24"/>
          <w:szCs w:val="24"/>
          <w:lang w:eastAsia="zh-CN"/>
        </w:rPr>
        <w:t>,</w:t>
      </w:r>
      <w:r w:rsidR="00792565">
        <w:rPr>
          <w:rFonts w:ascii="Book Antiqua" w:hAnsi="Book Antiqua"/>
          <w:b/>
          <w:bCs/>
          <w:sz w:val="24"/>
          <w:szCs w:val="24"/>
          <w:lang w:eastAsia="zh-CN"/>
        </w:rPr>
        <w:t xml:space="preserve"> </w:t>
      </w:r>
      <w:r w:rsidR="00AF0D2C" w:rsidRPr="00517715">
        <w:rPr>
          <w:rFonts w:ascii="Book Antiqua" w:hAnsi="Book Antiqua"/>
          <w:b/>
          <w:bCs/>
          <w:sz w:val="24"/>
          <w:szCs w:val="24"/>
          <w:lang w:eastAsia="zh-CN"/>
        </w:rPr>
        <w:t>MD</w:t>
      </w:r>
      <w:r w:rsidR="00AF0D2C" w:rsidRPr="00517715">
        <w:rPr>
          <w:rFonts w:ascii="Book Antiqua" w:hAnsi="Book Antiqua" w:hint="eastAsia"/>
          <w:b/>
          <w:bCs/>
          <w:sz w:val="24"/>
          <w:szCs w:val="24"/>
          <w:lang w:eastAsia="zh-CN"/>
        </w:rPr>
        <w:t>,</w:t>
      </w:r>
      <w:r w:rsidR="00C65737">
        <w:rPr>
          <w:rFonts w:ascii="Book Antiqua" w:hAnsi="Book Antiqua"/>
          <w:b/>
          <w:bCs/>
          <w:sz w:val="24"/>
          <w:szCs w:val="24"/>
          <w:lang w:eastAsia="zh-CN"/>
        </w:rPr>
        <w:t xml:space="preserve"> </w:t>
      </w:r>
      <w:r w:rsidR="00C65737" w:rsidRPr="00C65737">
        <w:rPr>
          <w:rFonts w:ascii="Book Antiqua" w:hAnsi="Book Antiqua"/>
          <w:b/>
          <w:bCs/>
          <w:sz w:val="24"/>
          <w:szCs w:val="24"/>
          <w:lang w:eastAsia="zh-CN"/>
        </w:rPr>
        <w:t>FRCS (Gen Surg)</w:t>
      </w:r>
      <w:r w:rsidR="00C65737">
        <w:rPr>
          <w:rFonts w:ascii="Book Antiqua" w:hAnsi="Book Antiqua" w:hint="eastAsia"/>
          <w:b/>
          <w:bCs/>
          <w:sz w:val="24"/>
          <w:szCs w:val="24"/>
          <w:lang w:eastAsia="zh-CN"/>
        </w:rPr>
        <w:t>,</w:t>
      </w:r>
      <w:r w:rsidR="00C65737">
        <w:rPr>
          <w:rFonts w:ascii="Book Antiqua" w:hAnsi="Book Antiqua"/>
          <w:b/>
          <w:bCs/>
          <w:sz w:val="24"/>
          <w:szCs w:val="24"/>
          <w:lang w:eastAsia="zh-CN"/>
        </w:rPr>
        <w:t xml:space="preserve"> </w:t>
      </w:r>
      <w:r w:rsidR="00AF0D2C" w:rsidRPr="00517715">
        <w:rPr>
          <w:rFonts w:ascii="Book Antiqua" w:hAnsi="Book Antiqua"/>
          <w:b/>
          <w:bCs/>
          <w:sz w:val="24"/>
          <w:szCs w:val="24"/>
          <w:lang w:eastAsia="zh-CN"/>
        </w:rPr>
        <w:t>Attending Doctor, Surgeon,</w:t>
      </w:r>
      <w:r w:rsidR="00AF0D2C" w:rsidRPr="00517715">
        <w:rPr>
          <w:rFonts w:ascii="Book Antiqua" w:hAnsi="Book Antiqua"/>
          <w:sz w:val="24"/>
          <w:szCs w:val="24"/>
          <w:lang w:eastAsia="zh-CN"/>
        </w:rPr>
        <w:t xml:space="preserve"> </w:t>
      </w:r>
      <w:r w:rsidR="00DE070D" w:rsidRPr="00517715">
        <w:rPr>
          <w:rFonts w:ascii="Book Antiqua" w:hAnsi="Book Antiqua"/>
          <w:sz w:val="24"/>
          <w:szCs w:val="24"/>
        </w:rPr>
        <w:t>Department of Surgery, The County Hospital, Union Walk</w:t>
      </w:r>
      <w:r w:rsidR="00530EAE" w:rsidRPr="00517715">
        <w:rPr>
          <w:rFonts w:ascii="Book Antiqua" w:hAnsi="Book Antiqua"/>
          <w:sz w:val="24"/>
          <w:szCs w:val="24"/>
        </w:rPr>
        <w:t xml:space="preserve">, </w:t>
      </w:r>
      <w:r w:rsidR="00DE070D" w:rsidRPr="00517715">
        <w:rPr>
          <w:rFonts w:ascii="Book Antiqua" w:hAnsi="Book Antiqua"/>
          <w:sz w:val="24"/>
          <w:szCs w:val="24"/>
        </w:rPr>
        <w:t>Hereford</w:t>
      </w:r>
      <w:r w:rsidR="00AB4BFD" w:rsidRPr="00517715">
        <w:rPr>
          <w:rFonts w:ascii="Book Antiqua" w:hAnsi="Book Antiqua"/>
          <w:sz w:val="24"/>
          <w:szCs w:val="24"/>
        </w:rPr>
        <w:t xml:space="preserve"> </w:t>
      </w:r>
      <w:r w:rsidR="00DE070D" w:rsidRPr="00517715">
        <w:rPr>
          <w:rFonts w:ascii="Book Antiqua" w:hAnsi="Book Antiqua"/>
          <w:sz w:val="24"/>
          <w:szCs w:val="24"/>
        </w:rPr>
        <w:t>HR1 2ER, United Kingdom</w:t>
      </w:r>
      <w:r w:rsidR="00AB4BFD" w:rsidRPr="00517715">
        <w:rPr>
          <w:rFonts w:ascii="Book Antiqua" w:hAnsi="Book Antiqua"/>
          <w:sz w:val="24"/>
          <w:szCs w:val="24"/>
        </w:rPr>
        <w:t xml:space="preserve">. </w:t>
      </w:r>
      <w:hyperlink r:id="rId7" w:history="1">
        <w:r w:rsidR="009D631F" w:rsidRPr="0001180A">
          <w:rPr>
            <w:rStyle w:val="a3"/>
            <w:rFonts w:ascii="Book Antiqua" w:hAnsi="Book Antiqua"/>
            <w:iCs/>
            <w:sz w:val="24"/>
            <w:szCs w:val="24"/>
            <w:lang w:val="pt-BR"/>
          </w:rPr>
          <w:t>simon.bramhall@wvt.nhs.uk</w:t>
        </w:r>
      </w:hyperlink>
    </w:p>
    <w:p w14:paraId="57C4A52F" w14:textId="6A3BC756" w:rsidR="009D631F" w:rsidRDefault="009D631F" w:rsidP="00256D6C">
      <w:pPr>
        <w:widowControl w:val="0"/>
        <w:snapToGrid w:val="0"/>
        <w:spacing w:after="0" w:line="360" w:lineRule="auto"/>
        <w:jc w:val="both"/>
        <w:rPr>
          <w:rFonts w:ascii="Book Antiqua" w:hAnsi="Book Antiqua"/>
          <w:iCs/>
          <w:sz w:val="24"/>
          <w:szCs w:val="24"/>
          <w:lang w:val="pt-BR"/>
        </w:rPr>
      </w:pPr>
    </w:p>
    <w:p w14:paraId="32B7E32E" w14:textId="4EA5B56D" w:rsidR="009D631F" w:rsidRDefault="009D631F"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Pr>
          <w:rFonts w:ascii="Book Antiqua" w:hAnsi="Book Antiqua" w:cs="Times New Roman"/>
          <w:b/>
          <w:color w:val="000000"/>
          <w:kern w:val="2"/>
          <w:sz w:val="24"/>
          <w:szCs w:val="24"/>
          <w:lang w:eastAsia="zh-CN"/>
        </w:rPr>
        <w:t>Received:</w:t>
      </w:r>
      <w:r>
        <w:rPr>
          <w:rFonts w:ascii="Book Antiqua" w:hAnsi="Book Antiqua" w:cs="Times New Roman"/>
          <w:color w:val="000000"/>
          <w:kern w:val="2"/>
          <w:sz w:val="24"/>
          <w:szCs w:val="24"/>
          <w:lang w:eastAsia="zh-CN"/>
        </w:rPr>
        <w:t xml:space="preserve"> </w:t>
      </w:r>
      <w:r w:rsidRPr="009D631F">
        <w:rPr>
          <w:rFonts w:ascii="Book Antiqua" w:hAnsi="Book Antiqua" w:cs="Times New Roman"/>
          <w:bCs/>
          <w:color w:val="000000"/>
          <w:kern w:val="2"/>
          <w:sz w:val="24"/>
          <w:szCs w:val="24"/>
          <w:lang w:eastAsia="zh-CN"/>
        </w:rPr>
        <w:t>October 21, 2019</w:t>
      </w:r>
    </w:p>
    <w:p w14:paraId="53931CAC" w14:textId="1C89F22F" w:rsidR="009D631F" w:rsidRDefault="009D631F"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Pr>
          <w:rFonts w:ascii="Book Antiqua" w:hAnsi="Book Antiqua" w:cs="Times New Roman"/>
          <w:b/>
          <w:color w:val="000000"/>
          <w:kern w:val="2"/>
          <w:sz w:val="24"/>
          <w:szCs w:val="24"/>
          <w:lang w:eastAsia="zh-CN"/>
        </w:rPr>
        <w:t>Revised:</w:t>
      </w:r>
      <w:r>
        <w:rPr>
          <w:rFonts w:ascii="Book Antiqua" w:hAnsi="Book Antiqua" w:cs="Times New Roman"/>
          <w:color w:val="000000"/>
          <w:kern w:val="2"/>
          <w:sz w:val="24"/>
          <w:szCs w:val="24"/>
          <w:lang w:eastAsia="zh-CN"/>
        </w:rPr>
        <w:t xml:space="preserve"> December 3, 2019</w:t>
      </w:r>
    </w:p>
    <w:p w14:paraId="4DBFDED5" w14:textId="2792692D" w:rsidR="009D631F" w:rsidRDefault="009D631F"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Pr>
          <w:rFonts w:ascii="Book Antiqua" w:hAnsi="Book Antiqua" w:cs="Times New Roman"/>
          <w:b/>
          <w:color w:val="000000"/>
          <w:kern w:val="2"/>
          <w:sz w:val="24"/>
          <w:szCs w:val="24"/>
          <w:lang w:eastAsia="zh-CN"/>
        </w:rPr>
        <w:t>Accepted:</w:t>
      </w:r>
      <w:r w:rsidR="0062626B" w:rsidRPr="0062626B">
        <w:t xml:space="preserve"> </w:t>
      </w:r>
      <w:r w:rsidR="0062626B" w:rsidRPr="0062626B">
        <w:rPr>
          <w:rFonts w:ascii="Book Antiqua" w:hAnsi="Book Antiqua" w:cs="Times New Roman"/>
          <w:color w:val="000000"/>
          <w:kern w:val="2"/>
          <w:sz w:val="24"/>
          <w:szCs w:val="24"/>
          <w:lang w:eastAsia="zh-CN"/>
        </w:rPr>
        <w:t>December 22, 2019</w:t>
      </w:r>
      <w:r w:rsidRPr="0062626B">
        <w:rPr>
          <w:rFonts w:ascii="Book Antiqua" w:hAnsi="Book Antiqua" w:cs="Times New Roman"/>
          <w:color w:val="000000"/>
          <w:kern w:val="2"/>
          <w:sz w:val="24"/>
          <w:szCs w:val="24"/>
          <w:lang w:eastAsia="zh-CN"/>
        </w:rPr>
        <w:t xml:space="preserve"> </w:t>
      </w:r>
    </w:p>
    <w:p w14:paraId="125B1E7D" w14:textId="13FC3C65" w:rsidR="009D631F" w:rsidRPr="009D631F" w:rsidRDefault="009D631F" w:rsidP="00256D6C">
      <w:pPr>
        <w:widowControl w:val="0"/>
        <w:snapToGrid w:val="0"/>
        <w:spacing w:after="0" w:line="360" w:lineRule="auto"/>
        <w:jc w:val="both"/>
        <w:rPr>
          <w:rFonts w:ascii="Book Antiqua" w:hAnsi="Book Antiqua" w:cs="Garamond"/>
          <w:sz w:val="24"/>
          <w:szCs w:val="24"/>
          <w:u w:val="single"/>
          <w:lang w:val="pt-BR"/>
        </w:rPr>
      </w:pPr>
      <w:r>
        <w:rPr>
          <w:rFonts w:ascii="Book Antiqua" w:hAnsi="Book Antiqua" w:cs="Times New Roman"/>
          <w:b/>
          <w:color w:val="000000"/>
          <w:kern w:val="2"/>
          <w:sz w:val="24"/>
          <w:szCs w:val="24"/>
          <w:lang w:eastAsia="zh-CN"/>
        </w:rPr>
        <w:t>Published online:</w:t>
      </w:r>
    </w:p>
    <w:p w14:paraId="7B749D1B" w14:textId="77777777" w:rsidR="00DE070D" w:rsidRPr="009D631F" w:rsidRDefault="00DE070D" w:rsidP="00256D6C">
      <w:pPr>
        <w:widowControl w:val="0"/>
        <w:snapToGrid w:val="0"/>
        <w:spacing w:after="0" w:line="360" w:lineRule="auto"/>
        <w:jc w:val="center"/>
        <w:rPr>
          <w:rFonts w:ascii="Book Antiqua" w:hAnsi="Book Antiqua"/>
          <w:b/>
          <w:sz w:val="24"/>
          <w:szCs w:val="24"/>
          <w:lang w:val="pt-BR"/>
        </w:rPr>
      </w:pPr>
    </w:p>
    <w:p w14:paraId="43BC03ED" w14:textId="77777777" w:rsidR="00DE070D" w:rsidRPr="009D631F" w:rsidRDefault="00DE070D" w:rsidP="00256D6C">
      <w:pPr>
        <w:widowControl w:val="0"/>
        <w:snapToGrid w:val="0"/>
        <w:spacing w:after="0" w:line="360" w:lineRule="auto"/>
        <w:rPr>
          <w:rFonts w:ascii="Book Antiqua" w:hAnsi="Book Antiqua"/>
          <w:b/>
          <w:sz w:val="24"/>
          <w:szCs w:val="24"/>
          <w:lang w:val="pt-BR"/>
        </w:rPr>
      </w:pPr>
      <w:r w:rsidRPr="009D631F">
        <w:rPr>
          <w:rFonts w:ascii="Book Antiqua" w:hAnsi="Book Antiqua"/>
          <w:b/>
          <w:sz w:val="24"/>
          <w:szCs w:val="24"/>
          <w:lang w:val="pt-BR"/>
        </w:rPr>
        <w:br w:type="page"/>
      </w:r>
    </w:p>
    <w:p w14:paraId="23AEC566" w14:textId="5D5B6E88" w:rsidR="007111E1" w:rsidRPr="00517715" w:rsidRDefault="007111E1" w:rsidP="00256D6C">
      <w:pPr>
        <w:widowControl w:val="0"/>
        <w:autoSpaceDE w:val="0"/>
        <w:autoSpaceDN w:val="0"/>
        <w:adjustRightInd w:val="0"/>
        <w:snapToGrid w:val="0"/>
        <w:spacing w:after="0" w:line="360" w:lineRule="auto"/>
        <w:jc w:val="both"/>
        <w:rPr>
          <w:rFonts w:ascii="Book Antiqua" w:hAnsi="Book Antiqua" w:cs="Tahoma"/>
          <w:b/>
          <w:sz w:val="24"/>
          <w:szCs w:val="24"/>
        </w:rPr>
      </w:pPr>
      <w:r w:rsidRPr="00517715">
        <w:rPr>
          <w:rFonts w:ascii="Book Antiqua" w:hAnsi="Book Antiqua" w:cs="Tahoma"/>
          <w:b/>
          <w:sz w:val="24"/>
          <w:szCs w:val="24"/>
        </w:rPr>
        <w:lastRenderedPageBreak/>
        <w:t>Abstract</w:t>
      </w:r>
    </w:p>
    <w:p w14:paraId="7F2B9962" w14:textId="4A5B4534" w:rsidR="00552E73" w:rsidRPr="00517715" w:rsidRDefault="00DF3A22" w:rsidP="00256D6C">
      <w:pPr>
        <w:widowControl w:val="0"/>
        <w:autoSpaceDE w:val="0"/>
        <w:autoSpaceDN w:val="0"/>
        <w:adjustRightInd w:val="0"/>
        <w:snapToGrid w:val="0"/>
        <w:spacing w:after="0" w:line="360" w:lineRule="auto"/>
        <w:jc w:val="both"/>
        <w:rPr>
          <w:rFonts w:ascii="Book Antiqua" w:hAnsi="Book Antiqua" w:cs="Tahoma"/>
          <w:sz w:val="24"/>
          <w:szCs w:val="24"/>
        </w:rPr>
      </w:pPr>
      <w:r w:rsidRPr="00517715">
        <w:rPr>
          <w:rFonts w:ascii="Book Antiqua" w:hAnsi="Book Antiqua" w:cs="Tahoma"/>
          <w:sz w:val="24"/>
          <w:szCs w:val="24"/>
        </w:rPr>
        <w:t>Gastro-oesphageal reflux disease is an increasing health burden. The mainstay of treatment has conventionally been medical therapy but since the introduction of laparoscopic surgery laparoscopic anti-reflux surgery has been increasingly used for intractable symptoms</w:t>
      </w:r>
      <w:r w:rsidR="00645547" w:rsidRPr="00517715">
        <w:rPr>
          <w:rFonts w:ascii="Book Antiqua" w:hAnsi="Book Antiqua" w:cs="Tahoma"/>
          <w:sz w:val="24"/>
          <w:szCs w:val="24"/>
        </w:rPr>
        <w:t xml:space="preserve"> or in patients unwilling to take long term medication</w:t>
      </w:r>
      <w:r w:rsidRPr="00517715">
        <w:rPr>
          <w:rFonts w:ascii="Book Antiqua" w:hAnsi="Book Antiqua" w:cs="Tahoma"/>
          <w:sz w:val="24"/>
          <w:szCs w:val="24"/>
        </w:rPr>
        <w:t>. The Nissen 360 degree wrap has traditionally been conside</w:t>
      </w:r>
      <w:r w:rsidR="00552E73" w:rsidRPr="00517715">
        <w:rPr>
          <w:rFonts w:ascii="Book Antiqua" w:hAnsi="Book Antiqua" w:cs="Tahoma"/>
          <w:sz w:val="24"/>
          <w:szCs w:val="24"/>
        </w:rPr>
        <w:t xml:space="preserve">red the gold standard operation but can be associated with significant complications. These complications include ‘gas bloat’ and dysphagia and can occur relatively frequently. Various modifications have been described to the original operation and </w:t>
      </w:r>
      <w:r w:rsidR="00645547" w:rsidRPr="00517715">
        <w:rPr>
          <w:rFonts w:ascii="Book Antiqua" w:hAnsi="Book Antiqua" w:cs="Tahoma"/>
          <w:sz w:val="24"/>
          <w:szCs w:val="24"/>
        </w:rPr>
        <w:t>some of these have been described. In addition</w:t>
      </w:r>
      <w:r w:rsidR="003907FA" w:rsidRPr="00517715">
        <w:rPr>
          <w:rFonts w:ascii="Book Antiqua" w:hAnsi="Book Antiqua" w:cs="Tahoma"/>
          <w:sz w:val="24"/>
          <w:szCs w:val="24"/>
        </w:rPr>
        <w:t xml:space="preserve"> </w:t>
      </w:r>
      <w:r w:rsidR="00645547" w:rsidRPr="00517715">
        <w:rPr>
          <w:rFonts w:ascii="Book Antiqua" w:hAnsi="Book Antiqua" w:cs="Tahoma"/>
          <w:sz w:val="24"/>
          <w:szCs w:val="24"/>
        </w:rPr>
        <w:t>a</w:t>
      </w:r>
      <w:r w:rsidR="00552E73" w:rsidRPr="00517715">
        <w:rPr>
          <w:rFonts w:ascii="Book Antiqua" w:hAnsi="Book Antiqua" w:cs="Tahoma"/>
          <w:sz w:val="24"/>
          <w:szCs w:val="24"/>
        </w:rPr>
        <w:t>lternative wraps have been described</w:t>
      </w:r>
      <w:r w:rsidR="00645547" w:rsidRPr="00517715">
        <w:rPr>
          <w:rFonts w:ascii="Book Antiqua" w:hAnsi="Book Antiqua" w:cs="Tahoma"/>
          <w:sz w:val="24"/>
          <w:szCs w:val="24"/>
        </w:rPr>
        <w:t xml:space="preserve"> which seem to have a reduced incidence of complications associated with their use</w:t>
      </w:r>
      <w:r w:rsidR="00552E73" w:rsidRPr="00517715">
        <w:rPr>
          <w:rFonts w:ascii="Book Antiqua" w:hAnsi="Book Antiqua" w:cs="Tahoma"/>
          <w:sz w:val="24"/>
          <w:szCs w:val="24"/>
        </w:rPr>
        <w:t xml:space="preserve">. This editorial discusses the various types of wrap that can be performed and the minimum requirements of </w:t>
      </w:r>
      <w:r w:rsidR="00645547" w:rsidRPr="00517715">
        <w:rPr>
          <w:rFonts w:ascii="Book Antiqua" w:hAnsi="Book Antiqua" w:cs="Tahoma"/>
          <w:sz w:val="24"/>
          <w:szCs w:val="24"/>
        </w:rPr>
        <w:t xml:space="preserve">the </w:t>
      </w:r>
      <w:r w:rsidR="00552E73" w:rsidRPr="00517715">
        <w:rPr>
          <w:rFonts w:ascii="Book Antiqua" w:hAnsi="Book Antiqua" w:cs="Tahoma"/>
          <w:sz w:val="24"/>
          <w:szCs w:val="24"/>
        </w:rPr>
        <w:t>surg</w:t>
      </w:r>
      <w:r w:rsidR="00645547" w:rsidRPr="00517715">
        <w:rPr>
          <w:rFonts w:ascii="Book Antiqua" w:hAnsi="Book Antiqua" w:cs="Tahoma"/>
          <w:sz w:val="24"/>
          <w:szCs w:val="24"/>
        </w:rPr>
        <w:t>ical technique</w:t>
      </w:r>
      <w:r w:rsidR="00552E73" w:rsidRPr="00517715">
        <w:rPr>
          <w:rFonts w:ascii="Book Antiqua" w:hAnsi="Book Antiqua" w:cs="Tahoma"/>
          <w:sz w:val="24"/>
          <w:szCs w:val="24"/>
        </w:rPr>
        <w:t>. The evidence from a recent meta-analysis of the randomised data has suggested that an anterior wrap is associated with a lower rate of complications and gives just as good control of reflux symptoms.</w:t>
      </w:r>
      <w:r w:rsidR="007B6813" w:rsidRPr="00517715">
        <w:rPr>
          <w:rFonts w:ascii="Book Antiqua" w:hAnsi="Book Antiqua" w:cs="Tahoma"/>
          <w:sz w:val="24"/>
          <w:szCs w:val="24"/>
        </w:rPr>
        <w:t xml:space="preserve"> </w:t>
      </w:r>
      <w:r w:rsidR="00552E73" w:rsidRPr="00517715">
        <w:rPr>
          <w:rFonts w:ascii="Book Antiqua" w:hAnsi="Book Antiqua" w:cs="Tahoma"/>
          <w:sz w:val="24"/>
          <w:szCs w:val="24"/>
        </w:rPr>
        <w:t>The advantages and disadvantages of an anterior wrap are discussed.</w:t>
      </w:r>
      <w:r w:rsidR="007B6813" w:rsidRPr="00517715">
        <w:rPr>
          <w:rFonts w:ascii="Book Antiqua" w:hAnsi="Book Antiqua" w:cs="Tahoma"/>
          <w:sz w:val="24"/>
          <w:szCs w:val="24"/>
        </w:rPr>
        <w:t xml:space="preserve"> </w:t>
      </w:r>
      <w:r w:rsidR="00552E73" w:rsidRPr="00517715">
        <w:rPr>
          <w:rFonts w:ascii="Book Antiqua" w:hAnsi="Book Antiqua" w:cs="Tahoma"/>
          <w:sz w:val="24"/>
          <w:szCs w:val="24"/>
        </w:rPr>
        <w:t>The lack of long term follow up data concerns some practitioners and at the moment the</w:t>
      </w:r>
      <w:r w:rsidR="003B0376" w:rsidRPr="00517715">
        <w:rPr>
          <w:rFonts w:ascii="Book Antiqua" w:hAnsi="Book Antiqua" w:cs="Tahoma"/>
          <w:sz w:val="24"/>
          <w:szCs w:val="24"/>
        </w:rPr>
        <w:t xml:space="preserve"> </w:t>
      </w:r>
      <w:r w:rsidR="00552E73" w:rsidRPr="00517715">
        <w:rPr>
          <w:rFonts w:ascii="Book Antiqua" w:hAnsi="Book Antiqua" w:cs="Tahoma"/>
          <w:sz w:val="24"/>
          <w:szCs w:val="24"/>
        </w:rPr>
        <w:t>choice of wrap carried out still rests with the individual surgeon.</w:t>
      </w:r>
    </w:p>
    <w:p w14:paraId="39A0839F" w14:textId="5DE642BA" w:rsidR="007111E1" w:rsidRPr="00517715" w:rsidRDefault="007111E1" w:rsidP="00256D6C">
      <w:pPr>
        <w:widowControl w:val="0"/>
        <w:autoSpaceDE w:val="0"/>
        <w:autoSpaceDN w:val="0"/>
        <w:adjustRightInd w:val="0"/>
        <w:snapToGrid w:val="0"/>
        <w:spacing w:after="0" w:line="360" w:lineRule="auto"/>
        <w:jc w:val="both"/>
        <w:rPr>
          <w:rFonts w:ascii="Book Antiqua" w:hAnsi="Book Antiqua" w:cs="Tahoma"/>
          <w:b/>
          <w:sz w:val="24"/>
          <w:szCs w:val="24"/>
        </w:rPr>
      </w:pPr>
    </w:p>
    <w:p w14:paraId="19773E47" w14:textId="584330C6" w:rsidR="007111E1" w:rsidRPr="00517715" w:rsidRDefault="007111E1" w:rsidP="00256D6C">
      <w:pPr>
        <w:widowControl w:val="0"/>
        <w:snapToGrid w:val="0"/>
        <w:spacing w:after="0" w:line="360" w:lineRule="auto"/>
        <w:jc w:val="both"/>
        <w:rPr>
          <w:rFonts w:ascii="Book Antiqua" w:hAnsi="Book Antiqua" w:cs="Tahoma"/>
          <w:b/>
          <w:sz w:val="24"/>
          <w:szCs w:val="24"/>
        </w:rPr>
      </w:pPr>
      <w:bookmarkStart w:id="13" w:name="_Hlk13493425"/>
      <w:bookmarkStart w:id="14" w:name="_Hlk24045843"/>
      <w:r w:rsidRPr="00517715">
        <w:rPr>
          <w:rFonts w:ascii="Book Antiqua" w:hAnsi="Book Antiqua" w:cs="Tahoma"/>
          <w:b/>
          <w:sz w:val="24"/>
          <w:szCs w:val="24"/>
        </w:rPr>
        <w:t>Key words</w:t>
      </w:r>
      <w:r w:rsidRPr="00517715">
        <w:rPr>
          <w:rFonts w:ascii="Book Antiqua" w:hAnsi="Book Antiqua" w:cs="Tahoma"/>
          <w:b/>
          <w:sz w:val="24"/>
          <w:szCs w:val="24"/>
          <w:lang w:eastAsia="zh-CN"/>
        </w:rPr>
        <w:t>:</w:t>
      </w:r>
      <w:bookmarkEnd w:id="13"/>
      <w:bookmarkEnd w:id="14"/>
      <w:r w:rsidR="00D01218" w:rsidRPr="00517715">
        <w:rPr>
          <w:rFonts w:ascii="Book Antiqua" w:hAnsi="Book Antiqua" w:cs="Tahoma"/>
          <w:b/>
          <w:sz w:val="24"/>
          <w:szCs w:val="24"/>
          <w:lang w:eastAsia="zh-CN"/>
        </w:rPr>
        <w:t xml:space="preserve"> </w:t>
      </w:r>
      <w:r w:rsidR="00D01218" w:rsidRPr="00517715">
        <w:rPr>
          <w:rFonts w:ascii="Book Antiqua" w:hAnsi="Book Antiqua" w:cs="Tahoma"/>
          <w:caps/>
          <w:sz w:val="24"/>
          <w:szCs w:val="24"/>
          <w:lang w:eastAsia="zh-CN"/>
        </w:rPr>
        <w:t>f</w:t>
      </w:r>
      <w:r w:rsidR="00D01218" w:rsidRPr="00517715">
        <w:rPr>
          <w:rFonts w:ascii="Book Antiqua" w:hAnsi="Book Antiqua" w:cs="Tahoma"/>
          <w:sz w:val="24"/>
          <w:szCs w:val="24"/>
          <w:lang w:eastAsia="zh-CN"/>
        </w:rPr>
        <w:t>undoplication</w:t>
      </w:r>
      <w:r w:rsidR="0033710F" w:rsidRPr="00517715">
        <w:rPr>
          <w:rFonts w:ascii="Book Antiqua" w:hAnsi="Book Antiqua" w:cs="Tahoma"/>
          <w:sz w:val="24"/>
          <w:szCs w:val="24"/>
          <w:lang w:eastAsia="zh-CN"/>
        </w:rPr>
        <w:t>;</w:t>
      </w:r>
      <w:r w:rsidR="00D01218" w:rsidRPr="00517715">
        <w:rPr>
          <w:rFonts w:ascii="Book Antiqua" w:hAnsi="Book Antiqua" w:cs="Tahoma"/>
          <w:sz w:val="24"/>
          <w:szCs w:val="24"/>
          <w:lang w:eastAsia="zh-CN"/>
        </w:rPr>
        <w:t xml:space="preserve"> </w:t>
      </w:r>
      <w:r w:rsidR="00D01218" w:rsidRPr="00517715">
        <w:rPr>
          <w:rFonts w:ascii="Book Antiqua" w:hAnsi="Book Antiqua" w:cs="Tahoma"/>
          <w:caps/>
          <w:sz w:val="24"/>
          <w:szCs w:val="24"/>
          <w:lang w:eastAsia="zh-CN"/>
        </w:rPr>
        <w:t>w</w:t>
      </w:r>
      <w:r w:rsidR="00D01218" w:rsidRPr="00517715">
        <w:rPr>
          <w:rFonts w:ascii="Book Antiqua" w:hAnsi="Book Antiqua" w:cs="Tahoma"/>
          <w:sz w:val="24"/>
          <w:szCs w:val="24"/>
          <w:lang w:eastAsia="zh-CN"/>
        </w:rPr>
        <w:t>rap</w:t>
      </w:r>
      <w:r w:rsidR="0033710F" w:rsidRPr="00517715">
        <w:rPr>
          <w:rFonts w:ascii="Book Antiqua" w:hAnsi="Book Antiqua" w:cs="Tahoma"/>
          <w:sz w:val="24"/>
          <w:szCs w:val="24"/>
          <w:lang w:eastAsia="zh-CN"/>
        </w:rPr>
        <w:t>;</w:t>
      </w:r>
      <w:r w:rsidR="00D01218" w:rsidRPr="00517715">
        <w:rPr>
          <w:rFonts w:ascii="Book Antiqua" w:hAnsi="Book Antiqua" w:cs="Tahoma"/>
          <w:sz w:val="24"/>
          <w:szCs w:val="24"/>
          <w:lang w:eastAsia="zh-CN"/>
        </w:rPr>
        <w:t xml:space="preserve"> </w:t>
      </w:r>
      <w:r w:rsidR="00D01218" w:rsidRPr="00517715">
        <w:rPr>
          <w:rFonts w:ascii="Book Antiqua" w:hAnsi="Book Antiqua" w:cs="Tahoma"/>
          <w:caps/>
          <w:sz w:val="24"/>
          <w:szCs w:val="24"/>
          <w:lang w:eastAsia="zh-CN"/>
        </w:rPr>
        <w:t>l</w:t>
      </w:r>
      <w:r w:rsidR="00D01218" w:rsidRPr="00517715">
        <w:rPr>
          <w:rFonts w:ascii="Book Antiqua" w:hAnsi="Book Antiqua" w:cs="Tahoma"/>
          <w:sz w:val="24"/>
          <w:szCs w:val="24"/>
          <w:lang w:eastAsia="zh-CN"/>
        </w:rPr>
        <w:t>aparoscopic</w:t>
      </w:r>
      <w:r w:rsidR="0033710F" w:rsidRPr="00517715">
        <w:rPr>
          <w:rFonts w:ascii="Book Antiqua" w:hAnsi="Book Antiqua" w:cs="Tahoma"/>
          <w:sz w:val="24"/>
          <w:szCs w:val="24"/>
          <w:lang w:eastAsia="zh-CN"/>
        </w:rPr>
        <w:t>;</w:t>
      </w:r>
      <w:r w:rsidR="00D01218" w:rsidRPr="00517715">
        <w:rPr>
          <w:rFonts w:ascii="Book Antiqua" w:hAnsi="Book Antiqua" w:cs="Tahoma"/>
          <w:sz w:val="24"/>
          <w:szCs w:val="24"/>
          <w:lang w:eastAsia="zh-CN"/>
        </w:rPr>
        <w:t xml:space="preserve"> </w:t>
      </w:r>
      <w:r w:rsidR="008313DC" w:rsidRPr="00517715">
        <w:rPr>
          <w:rFonts w:ascii="Book Antiqua" w:hAnsi="Book Antiqua" w:cs="Tahoma"/>
          <w:caps/>
          <w:sz w:val="24"/>
          <w:szCs w:val="24"/>
          <w:lang w:eastAsia="zh-CN"/>
        </w:rPr>
        <w:t>r</w:t>
      </w:r>
      <w:r w:rsidR="008313DC" w:rsidRPr="00517715">
        <w:rPr>
          <w:rFonts w:ascii="Book Antiqua" w:hAnsi="Book Antiqua" w:cs="Tahoma"/>
          <w:sz w:val="24"/>
          <w:szCs w:val="24"/>
          <w:lang w:eastAsia="zh-CN"/>
        </w:rPr>
        <w:t>eflux disease</w:t>
      </w:r>
      <w:r w:rsidR="0033710F" w:rsidRPr="00517715">
        <w:rPr>
          <w:rFonts w:ascii="Book Antiqua" w:hAnsi="Book Antiqua" w:cs="Tahoma"/>
          <w:sz w:val="24"/>
          <w:szCs w:val="24"/>
          <w:lang w:eastAsia="zh-CN"/>
        </w:rPr>
        <w:t>;</w:t>
      </w:r>
      <w:r w:rsidR="008313DC" w:rsidRPr="00517715">
        <w:rPr>
          <w:rFonts w:ascii="Book Antiqua" w:hAnsi="Book Antiqua" w:cs="Tahoma"/>
          <w:sz w:val="24"/>
          <w:szCs w:val="24"/>
          <w:lang w:eastAsia="zh-CN"/>
        </w:rPr>
        <w:t xml:space="preserve"> </w:t>
      </w:r>
      <w:r w:rsidR="008313DC" w:rsidRPr="00517715">
        <w:rPr>
          <w:rFonts w:ascii="Book Antiqua" w:hAnsi="Book Antiqua" w:cs="Tahoma"/>
          <w:caps/>
          <w:sz w:val="24"/>
          <w:szCs w:val="24"/>
          <w:lang w:eastAsia="zh-CN"/>
        </w:rPr>
        <w:t>c</w:t>
      </w:r>
      <w:r w:rsidR="008313DC" w:rsidRPr="00517715">
        <w:rPr>
          <w:rFonts w:ascii="Book Antiqua" w:hAnsi="Book Antiqua" w:cs="Tahoma"/>
          <w:sz w:val="24"/>
          <w:szCs w:val="24"/>
          <w:lang w:eastAsia="zh-CN"/>
        </w:rPr>
        <w:t>hoice</w:t>
      </w:r>
    </w:p>
    <w:p w14:paraId="57811DA3" w14:textId="6E4BB01B" w:rsidR="001D672D" w:rsidRDefault="001D672D" w:rsidP="00256D6C">
      <w:pPr>
        <w:widowControl w:val="0"/>
        <w:snapToGrid w:val="0"/>
        <w:spacing w:after="0" w:line="360" w:lineRule="auto"/>
        <w:jc w:val="both"/>
        <w:rPr>
          <w:rFonts w:ascii="Book Antiqua" w:eastAsia="Arial Unicode MS" w:hAnsi="Book Antiqua" w:cs="Arial Unicode MS"/>
          <w:b/>
          <w:sz w:val="24"/>
          <w:szCs w:val="24"/>
        </w:rPr>
      </w:pPr>
      <w:bookmarkStart w:id="15" w:name="OLE_LINK19"/>
      <w:bookmarkStart w:id="16" w:name="OLE_LINK20"/>
      <w:bookmarkStart w:id="17" w:name="_Hlk13493442"/>
      <w:bookmarkStart w:id="18" w:name="_Hlk24046909"/>
    </w:p>
    <w:p w14:paraId="3DE60491" w14:textId="77777777" w:rsidR="00792565" w:rsidRPr="00517715" w:rsidRDefault="00792565" w:rsidP="00792565">
      <w:pPr>
        <w:widowControl w:val="0"/>
        <w:snapToGrid w:val="0"/>
        <w:spacing w:after="0" w:line="360" w:lineRule="auto"/>
        <w:jc w:val="both"/>
        <w:rPr>
          <w:rFonts w:ascii="Book Antiqua" w:hAnsi="Book Antiqua" w:cs="Times New Roman"/>
          <w:sz w:val="24"/>
          <w:szCs w:val="24"/>
        </w:rPr>
      </w:pPr>
      <w:r w:rsidRPr="00517715">
        <w:rPr>
          <w:rFonts w:ascii="Book Antiqua" w:hAnsi="Book Antiqua" w:cs="Garamond-Bold"/>
          <w:bCs/>
          <w:sz w:val="24"/>
          <w:szCs w:val="24"/>
        </w:rPr>
        <w:t>Bramhall SR</w:t>
      </w:r>
      <w:r w:rsidRPr="00517715">
        <w:rPr>
          <w:rFonts w:ascii="Book Antiqua" w:hAnsi="Book Antiqua" w:cs="Garamond-Bold"/>
          <w:bCs/>
          <w:i/>
          <w:iCs/>
          <w:sz w:val="24"/>
          <w:szCs w:val="24"/>
          <w:lang w:eastAsia="zh-CN"/>
        </w:rPr>
        <w:t xml:space="preserve">, </w:t>
      </w:r>
      <w:r w:rsidRPr="00517715">
        <w:rPr>
          <w:rFonts w:ascii="Book Antiqua" w:hAnsi="Book Antiqua"/>
          <w:iCs/>
          <w:sz w:val="24"/>
          <w:szCs w:val="24"/>
        </w:rPr>
        <w:t xml:space="preserve">Mourad MM. </w:t>
      </w:r>
      <w:r w:rsidRPr="00517715">
        <w:rPr>
          <w:rFonts w:ascii="Book Antiqua" w:hAnsi="Book Antiqua" w:cs="Times New Roman"/>
          <w:sz w:val="24"/>
          <w:szCs w:val="24"/>
        </w:rPr>
        <w:t>Wrap choice during fundoplication.</w:t>
      </w:r>
      <w:r w:rsidRPr="00517715">
        <w:rPr>
          <w:rFonts w:ascii="Book Antiqua" w:hAnsi="Book Antiqua" w:cs="Times New Roman"/>
          <w:i/>
          <w:iCs/>
          <w:sz w:val="24"/>
          <w:szCs w:val="24"/>
        </w:rPr>
        <w:t xml:space="preserve"> World J Gastroenterol</w:t>
      </w:r>
      <w:r w:rsidRPr="00517715">
        <w:rPr>
          <w:rFonts w:ascii="Book Antiqua" w:hAnsi="Book Antiqua" w:cs="Times New Roman"/>
          <w:sz w:val="24"/>
          <w:szCs w:val="24"/>
        </w:rPr>
        <w:t xml:space="preserve"> 2019; In press</w:t>
      </w:r>
    </w:p>
    <w:p w14:paraId="68AFDE0A" w14:textId="77777777" w:rsidR="00792565" w:rsidRPr="00517715" w:rsidRDefault="00792565" w:rsidP="00256D6C">
      <w:pPr>
        <w:widowControl w:val="0"/>
        <w:snapToGrid w:val="0"/>
        <w:spacing w:after="0" w:line="360" w:lineRule="auto"/>
        <w:jc w:val="both"/>
        <w:rPr>
          <w:rFonts w:ascii="Book Antiqua" w:eastAsia="Arial Unicode MS" w:hAnsi="Book Antiqua" w:cs="Arial Unicode MS"/>
          <w:b/>
          <w:sz w:val="24"/>
          <w:szCs w:val="24"/>
        </w:rPr>
      </w:pPr>
    </w:p>
    <w:p w14:paraId="4D4B6981" w14:textId="3C4A0DD6" w:rsidR="00513B1F" w:rsidRPr="00792565" w:rsidRDefault="007111E1" w:rsidP="00256D6C">
      <w:pPr>
        <w:widowControl w:val="0"/>
        <w:snapToGrid w:val="0"/>
        <w:spacing w:after="0" w:line="360" w:lineRule="auto"/>
        <w:jc w:val="both"/>
        <w:rPr>
          <w:rFonts w:ascii="Book Antiqua" w:eastAsia="Arial Unicode MS" w:hAnsi="Book Antiqua" w:cs="Arial Unicode MS"/>
          <w:sz w:val="24"/>
          <w:szCs w:val="24"/>
        </w:rPr>
      </w:pPr>
      <w:r w:rsidRPr="00517715">
        <w:rPr>
          <w:rFonts w:ascii="Book Antiqua" w:eastAsia="Arial Unicode MS" w:hAnsi="Book Antiqua" w:cs="Arial Unicode MS"/>
          <w:b/>
          <w:sz w:val="24"/>
          <w:szCs w:val="24"/>
        </w:rPr>
        <w:t>Core tip</w:t>
      </w:r>
      <w:r w:rsidRPr="00517715">
        <w:rPr>
          <w:rFonts w:ascii="Book Antiqua" w:eastAsia="Arial Unicode MS" w:hAnsi="Book Antiqua" w:cs="Arial Unicode MS"/>
          <w:b/>
          <w:sz w:val="24"/>
          <w:szCs w:val="24"/>
          <w:lang w:eastAsia="zh-CN"/>
        </w:rPr>
        <w:t>:</w:t>
      </w:r>
      <w:bookmarkEnd w:id="15"/>
      <w:bookmarkEnd w:id="16"/>
      <w:r w:rsidRPr="00517715">
        <w:rPr>
          <w:rFonts w:ascii="Book Antiqua" w:eastAsia="Arial Unicode MS" w:hAnsi="Book Antiqua" w:cs="Arial Unicode MS"/>
          <w:b/>
          <w:sz w:val="24"/>
          <w:szCs w:val="24"/>
        </w:rPr>
        <w:t xml:space="preserve"> </w:t>
      </w:r>
      <w:bookmarkEnd w:id="17"/>
      <w:bookmarkEnd w:id="18"/>
      <w:r w:rsidR="008313DC" w:rsidRPr="00517715">
        <w:rPr>
          <w:rFonts w:ascii="Book Antiqua" w:eastAsia="Arial Unicode MS" w:hAnsi="Book Antiqua" w:cs="Arial Unicode MS"/>
          <w:sz w:val="24"/>
          <w:szCs w:val="24"/>
        </w:rPr>
        <w:t>The type of wrap chosen during a laparoscopic fundoplication will be decided by the surgeon but the evidence suggests that an anterior wrap is associated with less complications than a full posterior wrap and gives just as good control of reflux.</w:t>
      </w:r>
    </w:p>
    <w:p w14:paraId="01BF0D8B" w14:textId="2D987078" w:rsidR="001D672D" w:rsidRPr="00517715" w:rsidRDefault="001D672D" w:rsidP="00256D6C">
      <w:pPr>
        <w:widowControl w:val="0"/>
        <w:snapToGrid w:val="0"/>
        <w:spacing w:after="0" w:line="360" w:lineRule="auto"/>
        <w:rPr>
          <w:rFonts w:ascii="Book Antiqua" w:hAnsi="Book Antiqua" w:cs="Times New Roman"/>
          <w:sz w:val="24"/>
          <w:szCs w:val="24"/>
        </w:rPr>
      </w:pPr>
      <w:r w:rsidRPr="00517715">
        <w:rPr>
          <w:rFonts w:ascii="Book Antiqua" w:hAnsi="Book Antiqua" w:cs="Times New Roman"/>
          <w:sz w:val="24"/>
          <w:szCs w:val="24"/>
        </w:rPr>
        <w:br w:type="page"/>
      </w:r>
    </w:p>
    <w:p w14:paraId="4C1F801D" w14:textId="30A4CEC5" w:rsidR="007111E1" w:rsidRPr="00517715" w:rsidRDefault="00A51856" w:rsidP="00256D6C">
      <w:pPr>
        <w:widowControl w:val="0"/>
        <w:autoSpaceDE w:val="0"/>
        <w:autoSpaceDN w:val="0"/>
        <w:adjustRightInd w:val="0"/>
        <w:snapToGrid w:val="0"/>
        <w:spacing w:after="0" w:line="360" w:lineRule="auto"/>
        <w:jc w:val="both"/>
        <w:rPr>
          <w:rFonts w:ascii="Book Antiqua" w:hAnsi="Book Antiqua" w:cs="Times New Roman"/>
          <w:b/>
          <w:bCs/>
          <w:caps/>
          <w:sz w:val="24"/>
          <w:szCs w:val="24"/>
          <w:u w:val="single"/>
        </w:rPr>
      </w:pPr>
      <w:r w:rsidRPr="00517715">
        <w:rPr>
          <w:rFonts w:ascii="Book Antiqua" w:hAnsi="Book Antiqua" w:cs="Times New Roman"/>
          <w:b/>
          <w:bCs/>
          <w:caps/>
          <w:sz w:val="24"/>
          <w:szCs w:val="24"/>
          <w:u w:val="single"/>
        </w:rPr>
        <w:lastRenderedPageBreak/>
        <w:t>Introduction</w:t>
      </w:r>
    </w:p>
    <w:p w14:paraId="658DD407" w14:textId="605E7B58" w:rsidR="00E81BA8" w:rsidRPr="00517715" w:rsidRDefault="00E81BA8" w:rsidP="00256D6C">
      <w:pPr>
        <w:widowControl w:val="0"/>
        <w:autoSpaceDE w:val="0"/>
        <w:autoSpaceDN w:val="0"/>
        <w:adjustRightInd w:val="0"/>
        <w:snapToGrid w:val="0"/>
        <w:spacing w:after="0" w:line="360" w:lineRule="auto"/>
        <w:jc w:val="both"/>
        <w:rPr>
          <w:rFonts w:ascii="Book Antiqua" w:hAnsi="Book Antiqua" w:cs="Times New Roman"/>
          <w:sz w:val="24"/>
          <w:szCs w:val="24"/>
        </w:rPr>
      </w:pPr>
      <w:r w:rsidRPr="00517715">
        <w:rPr>
          <w:rFonts w:ascii="Book Antiqua" w:hAnsi="Book Antiqua" w:cs="Times New Roman"/>
          <w:sz w:val="24"/>
          <w:szCs w:val="24"/>
        </w:rPr>
        <w:t xml:space="preserve">Gastro-oesophageal reflux disease (GORD) is a common disorder and the prevalence is increasing. GORD represents a considerable healthcare burden and has significant effects on patients quality of life. </w:t>
      </w:r>
    </w:p>
    <w:p w14:paraId="1F422B39" w14:textId="2A3382AB" w:rsidR="00DE070D" w:rsidRPr="00517715" w:rsidRDefault="00E81BA8" w:rsidP="00256D6C">
      <w:pPr>
        <w:widowControl w:val="0"/>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US"/>
        </w:rPr>
      </w:pPr>
      <w:r w:rsidRPr="00517715">
        <w:rPr>
          <w:rFonts w:ascii="Book Antiqua" w:hAnsi="Book Antiqua" w:cs="Times New Roman"/>
          <w:sz w:val="24"/>
          <w:szCs w:val="24"/>
        </w:rPr>
        <w:t>Since the first laparoscopic Nissen fundoplication (LNF) was described in 1991</w:t>
      </w:r>
      <w:r w:rsidR="00C73D52" w:rsidRPr="00517715">
        <w:rPr>
          <w:rFonts w:ascii="Book Antiqua" w:hAnsi="Book Antiqua" w:cs="Times New Roman"/>
          <w:sz w:val="24"/>
          <w:szCs w:val="24"/>
          <w:vertAlign w:val="superscript"/>
        </w:rPr>
        <w:t>[</w:t>
      </w:r>
      <w:r w:rsidRPr="00517715">
        <w:rPr>
          <w:rFonts w:ascii="Book Antiqua" w:hAnsi="Book Antiqua" w:cs="Times New Roman"/>
          <w:sz w:val="24"/>
          <w:szCs w:val="24"/>
          <w:vertAlign w:val="superscript"/>
        </w:rPr>
        <w:t>1</w:t>
      </w:r>
      <w:r w:rsidR="00C73D52" w:rsidRPr="00517715">
        <w:rPr>
          <w:rFonts w:ascii="Book Antiqua" w:hAnsi="Book Antiqua" w:cs="Times New Roman"/>
          <w:sz w:val="24"/>
          <w:szCs w:val="24"/>
          <w:vertAlign w:val="superscript"/>
        </w:rPr>
        <w:t>]</w:t>
      </w:r>
      <w:r w:rsidRPr="00517715">
        <w:rPr>
          <w:rFonts w:ascii="Book Antiqua" w:hAnsi="Book Antiqua" w:cs="Times New Roman"/>
          <w:sz w:val="24"/>
          <w:szCs w:val="24"/>
          <w:vertAlign w:val="superscript"/>
        </w:rPr>
        <w:t xml:space="preserve"> </w:t>
      </w:r>
      <w:r w:rsidRPr="00517715">
        <w:rPr>
          <w:rFonts w:ascii="Book Antiqua" w:hAnsi="Book Antiqua" w:cs="Times New Roman"/>
          <w:sz w:val="24"/>
          <w:szCs w:val="24"/>
        </w:rPr>
        <w:t>there have been many studies of antireflux surgery reported and laparoscopic fundoplication is now an established treatment of GORD</w:t>
      </w:r>
      <w:r w:rsidR="00C73D52" w:rsidRPr="00517715">
        <w:rPr>
          <w:rFonts w:ascii="Book Antiqua" w:hAnsi="Book Antiqua" w:cs="Times New Roman"/>
          <w:sz w:val="24"/>
          <w:szCs w:val="24"/>
          <w:vertAlign w:val="superscript"/>
        </w:rPr>
        <w:t>[2]</w:t>
      </w:r>
      <w:r w:rsidRPr="00517715">
        <w:rPr>
          <w:rFonts w:ascii="Book Antiqua" w:hAnsi="Book Antiqua" w:cs="Times New Roman"/>
          <w:sz w:val="24"/>
          <w:szCs w:val="24"/>
        </w:rPr>
        <w:t>.</w:t>
      </w:r>
      <w:r w:rsidRPr="00517715">
        <w:rPr>
          <w:rFonts w:ascii="Book Antiqua" w:hAnsi="Book Antiqua" w:cs="Times New Roman"/>
          <w:bCs/>
          <w:sz w:val="24"/>
          <w:szCs w:val="24"/>
          <w:lang w:val="en-US"/>
        </w:rPr>
        <w:t xml:space="preserve"> </w:t>
      </w:r>
      <w:r w:rsidR="0029320F" w:rsidRPr="00517715">
        <w:rPr>
          <w:rFonts w:ascii="Book Antiqua" w:hAnsi="Book Antiqua" w:cs="Times New Roman"/>
          <w:bCs/>
          <w:sz w:val="24"/>
          <w:szCs w:val="24"/>
          <w:lang w:val="en-US"/>
        </w:rPr>
        <w:t>Anti-reflux surgery</w:t>
      </w:r>
      <w:r w:rsidR="00DE070D" w:rsidRPr="00517715">
        <w:rPr>
          <w:rFonts w:ascii="Book Antiqua" w:hAnsi="Book Antiqua" w:cs="Times New Roman"/>
          <w:bCs/>
          <w:sz w:val="24"/>
          <w:szCs w:val="24"/>
          <w:lang w:val="en-US"/>
        </w:rPr>
        <w:t xml:space="preserve"> has evolved over the years with increasing practitioner experience and advances in laparoscopic techniques. These advances have led to a safer and more satisfactory outcome for many patients, with a reduction in requirements for open surgery, shorter length of stay and more cost effective healthcare.</w:t>
      </w:r>
    </w:p>
    <w:p w14:paraId="2E23F503" w14:textId="77777777" w:rsidR="005E23F3" w:rsidRPr="00517715" w:rsidRDefault="005E23F3" w:rsidP="00256D6C">
      <w:pPr>
        <w:pStyle w:val="Body1"/>
        <w:widowControl w:val="0"/>
        <w:snapToGrid w:val="0"/>
        <w:spacing w:after="0" w:line="360" w:lineRule="auto"/>
        <w:jc w:val="both"/>
        <w:rPr>
          <w:rFonts w:ascii="Book Antiqua" w:hAnsi="Book Antiqua"/>
          <w:bCs/>
          <w:color w:val="auto"/>
          <w:sz w:val="24"/>
          <w:szCs w:val="24"/>
          <w:lang w:val="en-US"/>
        </w:rPr>
      </w:pPr>
    </w:p>
    <w:p w14:paraId="4F9B908B" w14:textId="00ADFF33" w:rsidR="00A51856" w:rsidRPr="00517715" w:rsidRDefault="00A51856" w:rsidP="00256D6C">
      <w:pPr>
        <w:pStyle w:val="Body1"/>
        <w:widowControl w:val="0"/>
        <w:snapToGrid w:val="0"/>
        <w:spacing w:after="0" w:line="360" w:lineRule="auto"/>
        <w:jc w:val="both"/>
        <w:rPr>
          <w:rFonts w:ascii="Book Antiqua" w:hAnsi="Book Antiqua"/>
          <w:b/>
          <w:caps/>
          <w:color w:val="auto"/>
          <w:sz w:val="24"/>
          <w:szCs w:val="24"/>
          <w:u w:val="single"/>
          <w:lang w:val="en-US"/>
        </w:rPr>
      </w:pPr>
      <w:r w:rsidRPr="00517715">
        <w:rPr>
          <w:rFonts w:ascii="Book Antiqua" w:hAnsi="Book Antiqua"/>
          <w:b/>
          <w:caps/>
          <w:color w:val="auto"/>
          <w:sz w:val="24"/>
          <w:szCs w:val="24"/>
          <w:u w:val="single"/>
          <w:lang w:val="en-US"/>
        </w:rPr>
        <w:t>Surgical Options</w:t>
      </w:r>
    </w:p>
    <w:p w14:paraId="12BDA53B" w14:textId="319282D6" w:rsidR="008F0659" w:rsidRPr="00517715" w:rsidRDefault="008936A4" w:rsidP="00256D6C">
      <w:pPr>
        <w:pStyle w:val="Body1"/>
        <w:widowControl w:val="0"/>
        <w:snapToGrid w:val="0"/>
        <w:spacing w:after="0" w:line="360" w:lineRule="auto"/>
        <w:jc w:val="both"/>
        <w:rPr>
          <w:rFonts w:ascii="Book Antiqua" w:hAnsi="Book Antiqua"/>
          <w:bCs/>
          <w:color w:val="auto"/>
          <w:sz w:val="24"/>
          <w:szCs w:val="24"/>
          <w:lang w:val="en-US"/>
        </w:rPr>
      </w:pPr>
      <w:r w:rsidRPr="00517715">
        <w:rPr>
          <w:rFonts w:ascii="Book Antiqua" w:hAnsi="Book Antiqua"/>
          <w:sz w:val="24"/>
          <w:szCs w:val="24"/>
        </w:rPr>
        <w:t>LNF</w:t>
      </w:r>
      <w:r>
        <w:rPr>
          <w:rFonts w:ascii="Book Antiqua" w:hAnsi="Book Antiqua"/>
          <w:bCs/>
          <w:color w:val="auto"/>
          <w:sz w:val="24"/>
          <w:szCs w:val="24"/>
          <w:lang w:val="en-US"/>
        </w:rPr>
        <w:t xml:space="preserve"> </w:t>
      </w:r>
      <w:r w:rsidR="008F0659" w:rsidRPr="00517715">
        <w:rPr>
          <w:rFonts w:ascii="Book Antiqua" w:hAnsi="Book Antiqua"/>
          <w:bCs/>
          <w:color w:val="auto"/>
          <w:sz w:val="24"/>
          <w:szCs w:val="24"/>
          <w:lang w:val="en-US"/>
        </w:rPr>
        <w:t>is considered the gold standard surgical procedure</w:t>
      </w:r>
      <w:r w:rsidR="00CE6CA4" w:rsidRPr="00517715">
        <w:rPr>
          <w:rFonts w:ascii="Book Antiqua" w:hAnsi="Book Antiqua"/>
          <w:bCs/>
          <w:color w:val="auto"/>
          <w:sz w:val="24"/>
          <w:szCs w:val="24"/>
          <w:lang w:val="en-US"/>
        </w:rPr>
        <w:t xml:space="preserve"> and is the most widely used fundoplication variant</w:t>
      </w:r>
      <w:r w:rsidR="008F0659" w:rsidRPr="00517715">
        <w:rPr>
          <w:rFonts w:ascii="Book Antiqua" w:hAnsi="Book Antiqua"/>
          <w:bCs/>
          <w:color w:val="auto"/>
          <w:sz w:val="24"/>
          <w:szCs w:val="24"/>
          <w:lang w:val="en-US"/>
        </w:rPr>
        <w:t xml:space="preserve"> for the treatment of gastro-oesophageal reflux </w:t>
      </w:r>
      <w:r w:rsidR="003F3561" w:rsidRPr="00517715">
        <w:rPr>
          <w:rFonts w:ascii="Book Antiqua" w:hAnsi="Book Antiqua"/>
          <w:bCs/>
          <w:color w:val="auto"/>
          <w:sz w:val="24"/>
          <w:szCs w:val="24"/>
          <w:lang w:val="en-US"/>
        </w:rPr>
        <w:t xml:space="preserve">disease </w:t>
      </w:r>
      <w:r w:rsidR="008F0659" w:rsidRPr="00517715">
        <w:rPr>
          <w:rFonts w:ascii="Book Antiqua" w:hAnsi="Book Antiqua"/>
          <w:bCs/>
          <w:color w:val="auto"/>
          <w:sz w:val="24"/>
          <w:szCs w:val="24"/>
          <w:lang w:val="en-US"/>
        </w:rPr>
        <w:t>but it is complicated by a number of unwanted functional disorders such as dysphagia and gas bloat syndrome.</w:t>
      </w:r>
      <w:r w:rsidR="001E2870" w:rsidRPr="00517715">
        <w:rPr>
          <w:rFonts w:ascii="Book Antiqua" w:hAnsi="Book Antiqua"/>
          <w:bCs/>
          <w:color w:val="auto"/>
          <w:sz w:val="24"/>
          <w:szCs w:val="24"/>
          <w:lang w:val="en-US"/>
        </w:rPr>
        <w:t xml:space="preserve"> These symptoms have been reported to occur at very high rates</w:t>
      </w:r>
      <w:r w:rsidR="0029320F" w:rsidRPr="00517715">
        <w:rPr>
          <w:rFonts w:ascii="Book Antiqua" w:hAnsi="Book Antiqua"/>
          <w:bCs/>
          <w:color w:val="auto"/>
          <w:sz w:val="24"/>
          <w:szCs w:val="24"/>
          <w:lang w:val="en-US"/>
        </w:rPr>
        <w:t xml:space="preserve"> in the initial post-operative period,</w:t>
      </w:r>
      <w:r w:rsidR="001E2870" w:rsidRPr="00517715">
        <w:rPr>
          <w:rFonts w:ascii="Book Antiqua" w:hAnsi="Book Antiqua"/>
          <w:bCs/>
          <w:color w:val="auto"/>
          <w:sz w:val="24"/>
          <w:szCs w:val="24"/>
          <w:lang w:val="en-US"/>
        </w:rPr>
        <w:t xml:space="preserve"> although troublesome dysphagia </w:t>
      </w:r>
      <w:r w:rsidR="0029320F" w:rsidRPr="00517715">
        <w:rPr>
          <w:rFonts w:ascii="Book Antiqua" w:hAnsi="Book Antiqua"/>
          <w:bCs/>
          <w:color w:val="auto"/>
          <w:sz w:val="24"/>
          <w:szCs w:val="24"/>
          <w:lang w:val="en-US"/>
        </w:rPr>
        <w:t>persists</w:t>
      </w:r>
      <w:r w:rsidR="001E2870" w:rsidRPr="00517715">
        <w:rPr>
          <w:rFonts w:ascii="Book Antiqua" w:hAnsi="Book Antiqua"/>
          <w:bCs/>
          <w:color w:val="auto"/>
          <w:sz w:val="24"/>
          <w:szCs w:val="24"/>
          <w:lang w:val="en-US"/>
        </w:rPr>
        <w:t xml:space="preserve"> in up</w:t>
      </w:r>
      <w:r w:rsidR="00E6110F" w:rsidRPr="00517715">
        <w:rPr>
          <w:rFonts w:ascii="Book Antiqua" w:hAnsi="Book Antiqua"/>
          <w:bCs/>
          <w:color w:val="auto"/>
          <w:sz w:val="24"/>
          <w:szCs w:val="24"/>
          <w:lang w:val="en-US"/>
        </w:rPr>
        <w:t xml:space="preserve"> to 10% of patients at a year</w:t>
      </w:r>
      <w:r w:rsidR="00C73D52" w:rsidRPr="00517715">
        <w:rPr>
          <w:rFonts w:ascii="Book Antiqua" w:hAnsi="Book Antiqua"/>
          <w:color w:val="auto"/>
          <w:sz w:val="24"/>
          <w:szCs w:val="24"/>
          <w:vertAlign w:val="superscript"/>
        </w:rPr>
        <w:t xml:space="preserve">[3-5] </w:t>
      </w:r>
      <w:r w:rsidR="00E6110F" w:rsidRPr="00517715">
        <w:rPr>
          <w:rFonts w:ascii="Book Antiqua" w:hAnsi="Book Antiqua"/>
          <w:bCs/>
          <w:color w:val="auto"/>
          <w:sz w:val="24"/>
          <w:szCs w:val="24"/>
          <w:lang w:val="en-US"/>
        </w:rPr>
        <w:t xml:space="preserve"> </w:t>
      </w:r>
      <w:r w:rsidR="0029320F" w:rsidRPr="00517715">
        <w:rPr>
          <w:rFonts w:ascii="Book Antiqua" w:hAnsi="Book Antiqua"/>
          <w:bCs/>
          <w:color w:val="auto"/>
          <w:sz w:val="24"/>
          <w:szCs w:val="24"/>
          <w:lang w:val="en-US"/>
        </w:rPr>
        <w:t>and only b</w:t>
      </w:r>
      <w:r w:rsidR="00E6110F" w:rsidRPr="00517715">
        <w:rPr>
          <w:rFonts w:ascii="Book Antiqua" w:hAnsi="Book Antiqua"/>
          <w:bCs/>
          <w:color w:val="auto"/>
          <w:sz w:val="24"/>
          <w:szCs w:val="24"/>
          <w:lang w:val="en-US"/>
        </w:rPr>
        <w:t>etween 1</w:t>
      </w:r>
      <w:r w:rsidR="002C7B8F" w:rsidRPr="00517715">
        <w:rPr>
          <w:rFonts w:ascii="Book Antiqua" w:hAnsi="Book Antiqua"/>
          <w:bCs/>
          <w:color w:val="auto"/>
          <w:sz w:val="24"/>
          <w:szCs w:val="24"/>
          <w:lang w:val="en-US"/>
        </w:rPr>
        <w:t>%</w:t>
      </w:r>
      <w:r w:rsidR="00E6110F" w:rsidRPr="00517715">
        <w:rPr>
          <w:rFonts w:ascii="Book Antiqua" w:hAnsi="Book Antiqua"/>
          <w:bCs/>
          <w:color w:val="auto"/>
          <w:sz w:val="24"/>
          <w:szCs w:val="24"/>
          <w:lang w:val="en-US"/>
        </w:rPr>
        <w:t xml:space="preserve"> and 10% of patients require reoperation </w:t>
      </w:r>
      <w:r w:rsidR="0029320F" w:rsidRPr="00517715">
        <w:rPr>
          <w:rFonts w:ascii="Book Antiqua" w:hAnsi="Book Antiqua"/>
          <w:bCs/>
          <w:color w:val="auto"/>
          <w:sz w:val="24"/>
          <w:szCs w:val="24"/>
          <w:lang w:val="en-US"/>
        </w:rPr>
        <w:t>with</w:t>
      </w:r>
      <w:r w:rsidR="00E6110F" w:rsidRPr="00517715">
        <w:rPr>
          <w:rFonts w:ascii="Book Antiqua" w:hAnsi="Book Antiqua"/>
          <w:bCs/>
          <w:color w:val="auto"/>
          <w:sz w:val="24"/>
          <w:szCs w:val="24"/>
          <w:lang w:val="en-US"/>
        </w:rPr>
        <w:t xml:space="preserve"> up to 25% requir</w:t>
      </w:r>
      <w:r w:rsidR="0029320F" w:rsidRPr="00517715">
        <w:rPr>
          <w:rFonts w:ascii="Book Antiqua" w:hAnsi="Book Antiqua"/>
          <w:bCs/>
          <w:color w:val="auto"/>
          <w:sz w:val="24"/>
          <w:szCs w:val="24"/>
          <w:lang w:val="en-US"/>
        </w:rPr>
        <w:t>ing</w:t>
      </w:r>
      <w:r w:rsidR="00E6110F" w:rsidRPr="00517715">
        <w:rPr>
          <w:rFonts w:ascii="Book Antiqua" w:hAnsi="Book Antiqua"/>
          <w:bCs/>
          <w:color w:val="auto"/>
          <w:sz w:val="24"/>
          <w:szCs w:val="24"/>
          <w:lang w:val="en-US"/>
        </w:rPr>
        <w:t xml:space="preserve"> balloon dilation at endoscopy</w:t>
      </w:r>
      <w:r w:rsidR="00C73D52" w:rsidRPr="00517715">
        <w:rPr>
          <w:rFonts w:ascii="Book Antiqua" w:hAnsi="Book Antiqua"/>
          <w:color w:val="auto"/>
          <w:sz w:val="24"/>
          <w:szCs w:val="24"/>
          <w:vertAlign w:val="superscript"/>
        </w:rPr>
        <w:t>[</w:t>
      </w:r>
      <w:r w:rsidR="009062BE" w:rsidRPr="00517715">
        <w:rPr>
          <w:rFonts w:ascii="Book Antiqua" w:hAnsi="Book Antiqua"/>
          <w:color w:val="auto"/>
          <w:sz w:val="24"/>
          <w:szCs w:val="24"/>
          <w:vertAlign w:val="superscript"/>
        </w:rPr>
        <w:t>4</w:t>
      </w:r>
      <w:r w:rsidR="00C73D52" w:rsidRPr="00517715">
        <w:rPr>
          <w:rFonts w:ascii="Book Antiqua" w:hAnsi="Book Antiqua"/>
          <w:color w:val="auto"/>
          <w:sz w:val="24"/>
          <w:szCs w:val="24"/>
          <w:vertAlign w:val="superscript"/>
        </w:rPr>
        <w:t>,</w:t>
      </w:r>
      <w:r w:rsidR="009062BE" w:rsidRPr="00517715">
        <w:rPr>
          <w:rFonts w:ascii="Book Antiqua" w:hAnsi="Book Antiqua"/>
          <w:color w:val="auto"/>
          <w:sz w:val="24"/>
          <w:szCs w:val="24"/>
          <w:vertAlign w:val="superscript"/>
        </w:rPr>
        <w:t>6</w:t>
      </w:r>
      <w:r w:rsidR="00C73D52" w:rsidRPr="00517715">
        <w:rPr>
          <w:rFonts w:ascii="Book Antiqua" w:hAnsi="Book Antiqua"/>
          <w:color w:val="auto"/>
          <w:sz w:val="24"/>
          <w:szCs w:val="24"/>
          <w:vertAlign w:val="superscript"/>
        </w:rPr>
        <w:t>]</w:t>
      </w:r>
      <w:r w:rsidR="00E6110F" w:rsidRPr="00517715">
        <w:rPr>
          <w:rFonts w:ascii="Book Antiqua" w:hAnsi="Book Antiqua"/>
          <w:bCs/>
          <w:color w:val="auto"/>
          <w:sz w:val="24"/>
          <w:szCs w:val="24"/>
          <w:lang w:val="en-US"/>
        </w:rPr>
        <w:t>.</w:t>
      </w:r>
      <w:r w:rsidR="003F3561" w:rsidRPr="00517715">
        <w:rPr>
          <w:rFonts w:ascii="Book Antiqua" w:hAnsi="Book Antiqua"/>
          <w:bCs/>
          <w:color w:val="auto"/>
          <w:sz w:val="24"/>
          <w:szCs w:val="24"/>
          <w:lang w:val="en-US"/>
        </w:rPr>
        <w:t xml:space="preserve"> </w:t>
      </w:r>
    </w:p>
    <w:p w14:paraId="7C6C8653" w14:textId="4CBDDB00" w:rsidR="007A415E" w:rsidRPr="00517715" w:rsidRDefault="00FF60D2" w:rsidP="00256D6C">
      <w:pPr>
        <w:pStyle w:val="Body1"/>
        <w:widowControl w:val="0"/>
        <w:snapToGrid w:val="0"/>
        <w:spacing w:after="0" w:line="360" w:lineRule="auto"/>
        <w:ind w:firstLineChars="100" w:firstLine="252"/>
        <w:jc w:val="both"/>
        <w:rPr>
          <w:rFonts w:ascii="Book Antiqua" w:hAnsi="Book Antiqua"/>
          <w:bCs/>
          <w:color w:val="auto"/>
          <w:sz w:val="24"/>
          <w:szCs w:val="24"/>
          <w:lang w:val="en-US"/>
        </w:rPr>
      </w:pPr>
      <w:r w:rsidRPr="00517715">
        <w:rPr>
          <w:rFonts w:ascii="Book Antiqua" w:hAnsi="Book Antiqua"/>
          <w:bCs/>
          <w:color w:val="auto"/>
          <w:sz w:val="24"/>
          <w:szCs w:val="24"/>
          <w:lang w:val="en-US"/>
        </w:rPr>
        <w:t>In an attempt to reduce the incidence of these complications post fundoplication a number of modifications</w:t>
      </w:r>
      <w:r w:rsidR="00CE6CA4" w:rsidRPr="00517715">
        <w:rPr>
          <w:rFonts w:ascii="Book Antiqua" w:hAnsi="Book Antiqua"/>
          <w:bCs/>
          <w:color w:val="auto"/>
          <w:sz w:val="24"/>
          <w:szCs w:val="24"/>
          <w:lang w:val="en-US"/>
        </w:rPr>
        <w:t xml:space="preserve"> and variants</w:t>
      </w:r>
      <w:r w:rsidRPr="00517715">
        <w:rPr>
          <w:rFonts w:ascii="Book Antiqua" w:hAnsi="Book Antiqua"/>
          <w:bCs/>
          <w:color w:val="auto"/>
          <w:sz w:val="24"/>
          <w:szCs w:val="24"/>
          <w:lang w:val="en-US"/>
        </w:rPr>
        <w:t xml:space="preserve"> have been suggested. Some authors have </w:t>
      </w:r>
      <w:r w:rsidR="00CE6CA4" w:rsidRPr="00517715">
        <w:rPr>
          <w:rFonts w:ascii="Book Antiqua" w:hAnsi="Book Antiqua"/>
          <w:bCs/>
          <w:color w:val="auto"/>
          <w:sz w:val="24"/>
          <w:szCs w:val="24"/>
          <w:lang w:val="en-US"/>
        </w:rPr>
        <w:t>reported</w:t>
      </w:r>
      <w:r w:rsidRPr="00517715">
        <w:rPr>
          <w:rFonts w:ascii="Book Antiqua" w:hAnsi="Book Antiqua"/>
          <w:bCs/>
          <w:color w:val="auto"/>
          <w:sz w:val="24"/>
          <w:szCs w:val="24"/>
          <w:lang w:val="en-US"/>
        </w:rPr>
        <w:t xml:space="preserve"> routine division of the short gastric vessels but randomized controlled data has suggested no difference in </w:t>
      </w:r>
      <w:r w:rsidR="0029320F" w:rsidRPr="00517715">
        <w:rPr>
          <w:rFonts w:ascii="Book Antiqua" w:hAnsi="Book Antiqua"/>
          <w:bCs/>
          <w:color w:val="auto"/>
          <w:sz w:val="24"/>
          <w:szCs w:val="24"/>
          <w:lang w:val="en-US"/>
        </w:rPr>
        <w:t xml:space="preserve">dysphagia </w:t>
      </w:r>
      <w:r w:rsidRPr="00517715">
        <w:rPr>
          <w:rFonts w:ascii="Book Antiqua" w:hAnsi="Book Antiqua"/>
          <w:bCs/>
          <w:color w:val="auto"/>
          <w:sz w:val="24"/>
          <w:szCs w:val="24"/>
          <w:lang w:val="en-US"/>
        </w:rPr>
        <w:t xml:space="preserve">either in the short or long term but has suggested a slight increase in </w:t>
      </w:r>
      <w:r w:rsidR="0029320F" w:rsidRPr="00517715">
        <w:rPr>
          <w:rFonts w:ascii="Book Antiqua" w:hAnsi="Book Antiqua"/>
          <w:bCs/>
          <w:color w:val="auto"/>
          <w:sz w:val="24"/>
          <w:szCs w:val="24"/>
          <w:lang w:val="en-US"/>
        </w:rPr>
        <w:t xml:space="preserve">post-operative </w:t>
      </w:r>
      <w:r w:rsidRPr="00517715">
        <w:rPr>
          <w:rFonts w:ascii="Book Antiqua" w:hAnsi="Book Antiqua"/>
          <w:bCs/>
          <w:color w:val="auto"/>
          <w:sz w:val="24"/>
          <w:szCs w:val="24"/>
          <w:lang w:val="en-US"/>
        </w:rPr>
        <w:t>epigastric bloating</w:t>
      </w:r>
      <w:r w:rsidR="00C73D52" w:rsidRPr="00517715">
        <w:rPr>
          <w:rFonts w:ascii="Book Antiqua" w:hAnsi="Book Antiqua"/>
          <w:color w:val="auto"/>
          <w:sz w:val="24"/>
          <w:szCs w:val="24"/>
          <w:vertAlign w:val="superscript"/>
        </w:rPr>
        <w:t>[</w:t>
      </w:r>
      <w:r w:rsidR="009062BE" w:rsidRPr="00517715">
        <w:rPr>
          <w:rFonts w:ascii="Book Antiqua" w:hAnsi="Book Antiqua"/>
          <w:color w:val="auto"/>
          <w:sz w:val="24"/>
          <w:szCs w:val="24"/>
          <w:vertAlign w:val="superscript"/>
        </w:rPr>
        <w:t>7,</w:t>
      </w:r>
      <w:r w:rsidR="00C73D52" w:rsidRPr="00517715">
        <w:rPr>
          <w:rFonts w:ascii="Book Antiqua" w:hAnsi="Book Antiqua"/>
          <w:color w:val="auto"/>
          <w:sz w:val="24"/>
          <w:szCs w:val="24"/>
          <w:vertAlign w:val="superscript"/>
        </w:rPr>
        <w:t>8]</w:t>
      </w:r>
      <w:r w:rsidRPr="00517715">
        <w:rPr>
          <w:rFonts w:ascii="Book Antiqua" w:hAnsi="Book Antiqua"/>
          <w:bCs/>
          <w:color w:val="auto"/>
          <w:sz w:val="24"/>
          <w:szCs w:val="24"/>
          <w:lang w:val="en-US"/>
        </w:rPr>
        <w:t xml:space="preserve">. </w:t>
      </w:r>
      <w:r w:rsidR="003D4615" w:rsidRPr="00517715">
        <w:rPr>
          <w:rFonts w:ascii="Book Antiqua" w:hAnsi="Book Antiqua"/>
          <w:bCs/>
          <w:color w:val="auto"/>
          <w:sz w:val="24"/>
          <w:szCs w:val="24"/>
          <w:lang w:val="en-US"/>
        </w:rPr>
        <w:t xml:space="preserve">The consensus of opinion is </w:t>
      </w:r>
      <w:r w:rsidR="0029320F" w:rsidRPr="00517715">
        <w:rPr>
          <w:rFonts w:ascii="Book Antiqua" w:hAnsi="Book Antiqua"/>
          <w:bCs/>
          <w:color w:val="auto"/>
          <w:sz w:val="24"/>
          <w:szCs w:val="24"/>
          <w:lang w:val="en-US"/>
        </w:rPr>
        <w:t xml:space="preserve">therefore </w:t>
      </w:r>
      <w:r w:rsidR="003D4615" w:rsidRPr="00517715">
        <w:rPr>
          <w:rFonts w:ascii="Book Antiqua" w:hAnsi="Book Antiqua"/>
          <w:bCs/>
          <w:color w:val="auto"/>
          <w:sz w:val="24"/>
          <w:szCs w:val="24"/>
          <w:lang w:val="en-US"/>
        </w:rPr>
        <w:t xml:space="preserve">that the short gastric vessels only need to be divided if it is required to achieve a tension free </w:t>
      </w:r>
      <w:r w:rsidR="00247B65" w:rsidRPr="00517715">
        <w:rPr>
          <w:rFonts w:ascii="Book Antiqua" w:hAnsi="Book Antiqua"/>
          <w:bCs/>
          <w:color w:val="auto"/>
          <w:sz w:val="24"/>
          <w:szCs w:val="24"/>
          <w:lang w:val="en-US"/>
        </w:rPr>
        <w:t>fundoplication</w:t>
      </w:r>
      <w:r w:rsidR="003D4615" w:rsidRPr="00517715">
        <w:rPr>
          <w:rFonts w:ascii="Book Antiqua" w:hAnsi="Book Antiqua"/>
          <w:bCs/>
          <w:color w:val="auto"/>
          <w:sz w:val="24"/>
          <w:szCs w:val="24"/>
          <w:lang w:val="en-US"/>
        </w:rPr>
        <w:t xml:space="preserve">. Leaving the crura </w:t>
      </w:r>
      <w:r w:rsidR="0029320F" w:rsidRPr="00517715">
        <w:rPr>
          <w:rFonts w:ascii="Book Antiqua" w:hAnsi="Book Antiqua"/>
          <w:bCs/>
          <w:color w:val="auto"/>
          <w:sz w:val="24"/>
          <w:szCs w:val="24"/>
          <w:lang w:val="en-US"/>
        </w:rPr>
        <w:t>untouched and minimal dissection techniques have also been proposed as a means of reducing post-operative dysphagia but these</w:t>
      </w:r>
      <w:r w:rsidR="003D4615" w:rsidRPr="00517715">
        <w:rPr>
          <w:rFonts w:ascii="Book Antiqua" w:hAnsi="Book Antiqua"/>
          <w:bCs/>
          <w:color w:val="auto"/>
          <w:sz w:val="24"/>
          <w:szCs w:val="24"/>
          <w:lang w:val="en-US"/>
        </w:rPr>
        <w:t xml:space="preserve"> ha</w:t>
      </w:r>
      <w:r w:rsidR="0029320F" w:rsidRPr="00517715">
        <w:rPr>
          <w:rFonts w:ascii="Book Antiqua" w:hAnsi="Book Antiqua"/>
          <w:bCs/>
          <w:color w:val="auto"/>
          <w:sz w:val="24"/>
          <w:szCs w:val="24"/>
          <w:lang w:val="en-US"/>
        </w:rPr>
        <w:t>ve</w:t>
      </w:r>
      <w:r w:rsidR="003D4615" w:rsidRPr="00517715">
        <w:rPr>
          <w:rFonts w:ascii="Book Antiqua" w:hAnsi="Book Antiqua"/>
          <w:bCs/>
          <w:color w:val="auto"/>
          <w:sz w:val="24"/>
          <w:szCs w:val="24"/>
          <w:lang w:val="en-US"/>
        </w:rPr>
        <w:t xml:space="preserve"> never been tested in a randomized mann</w:t>
      </w:r>
      <w:r w:rsidR="0029320F" w:rsidRPr="00517715">
        <w:rPr>
          <w:rFonts w:ascii="Book Antiqua" w:hAnsi="Book Antiqua"/>
          <w:bCs/>
          <w:color w:val="auto"/>
          <w:sz w:val="24"/>
          <w:szCs w:val="24"/>
          <w:lang w:val="en-US"/>
        </w:rPr>
        <w:t>er</w:t>
      </w:r>
      <w:r w:rsidR="00C73D52" w:rsidRPr="00517715">
        <w:rPr>
          <w:rFonts w:ascii="Book Antiqua" w:hAnsi="Book Antiqua"/>
          <w:color w:val="auto"/>
          <w:sz w:val="24"/>
          <w:szCs w:val="24"/>
          <w:vertAlign w:val="superscript"/>
        </w:rPr>
        <w:t>[</w:t>
      </w:r>
      <w:r w:rsidR="009062BE" w:rsidRPr="00517715">
        <w:rPr>
          <w:rFonts w:ascii="Book Antiqua" w:hAnsi="Book Antiqua"/>
          <w:color w:val="auto"/>
          <w:sz w:val="24"/>
          <w:szCs w:val="24"/>
          <w:vertAlign w:val="superscript"/>
        </w:rPr>
        <w:t>9</w:t>
      </w:r>
      <w:r w:rsidR="00C73D52" w:rsidRPr="00517715">
        <w:rPr>
          <w:rFonts w:ascii="Book Antiqua" w:hAnsi="Book Antiqua"/>
          <w:color w:val="auto"/>
          <w:sz w:val="24"/>
          <w:szCs w:val="24"/>
          <w:vertAlign w:val="superscript"/>
        </w:rPr>
        <w:t>]</w:t>
      </w:r>
      <w:r w:rsidR="003D4615" w:rsidRPr="00517715">
        <w:rPr>
          <w:rFonts w:ascii="Book Antiqua" w:hAnsi="Book Antiqua"/>
          <w:bCs/>
          <w:color w:val="auto"/>
          <w:sz w:val="24"/>
          <w:szCs w:val="24"/>
          <w:lang w:val="en-US"/>
        </w:rPr>
        <w:t xml:space="preserve">. </w:t>
      </w:r>
      <w:r w:rsidR="007A415E" w:rsidRPr="00517715">
        <w:rPr>
          <w:rFonts w:ascii="Book Antiqua" w:hAnsi="Book Antiqua"/>
          <w:bCs/>
          <w:color w:val="auto"/>
          <w:sz w:val="24"/>
          <w:szCs w:val="24"/>
          <w:lang w:val="en-US"/>
        </w:rPr>
        <w:t xml:space="preserve">Although the evidence is not </w:t>
      </w:r>
      <w:r w:rsidR="00D9458E" w:rsidRPr="00517715">
        <w:rPr>
          <w:rFonts w:ascii="Book Antiqua" w:hAnsi="Book Antiqua"/>
          <w:bCs/>
          <w:color w:val="auto"/>
          <w:sz w:val="24"/>
          <w:szCs w:val="24"/>
          <w:lang w:val="en-US"/>
        </w:rPr>
        <w:t>strong,</w:t>
      </w:r>
      <w:r w:rsidR="007A415E" w:rsidRPr="00517715">
        <w:rPr>
          <w:rFonts w:ascii="Book Antiqua" w:hAnsi="Book Antiqua"/>
          <w:bCs/>
          <w:color w:val="auto"/>
          <w:sz w:val="24"/>
          <w:szCs w:val="24"/>
          <w:lang w:val="en-US"/>
        </w:rPr>
        <w:t xml:space="preserve"> most would </w:t>
      </w:r>
      <w:r w:rsidR="0029320F" w:rsidRPr="00517715">
        <w:rPr>
          <w:rFonts w:ascii="Book Antiqua" w:hAnsi="Book Antiqua"/>
          <w:bCs/>
          <w:color w:val="auto"/>
          <w:sz w:val="24"/>
          <w:szCs w:val="24"/>
          <w:lang w:val="en-US"/>
        </w:rPr>
        <w:t xml:space="preserve">however </w:t>
      </w:r>
      <w:r w:rsidR="007A415E" w:rsidRPr="00517715">
        <w:rPr>
          <w:rFonts w:ascii="Book Antiqua" w:hAnsi="Book Antiqua"/>
          <w:bCs/>
          <w:color w:val="auto"/>
          <w:sz w:val="24"/>
          <w:szCs w:val="24"/>
          <w:lang w:val="en-US"/>
        </w:rPr>
        <w:t>advocate hiatal closure if the defect is moderate or large</w:t>
      </w:r>
      <w:r w:rsidR="00C73D52" w:rsidRPr="00517715">
        <w:rPr>
          <w:rFonts w:ascii="Book Antiqua" w:hAnsi="Book Antiqua"/>
          <w:color w:val="auto"/>
          <w:sz w:val="24"/>
          <w:szCs w:val="24"/>
          <w:vertAlign w:val="superscript"/>
        </w:rPr>
        <w:t>[1</w:t>
      </w:r>
      <w:r w:rsidR="009062BE" w:rsidRPr="00517715">
        <w:rPr>
          <w:rFonts w:ascii="Book Antiqua" w:hAnsi="Book Antiqua"/>
          <w:color w:val="auto"/>
          <w:sz w:val="24"/>
          <w:szCs w:val="24"/>
          <w:vertAlign w:val="superscript"/>
        </w:rPr>
        <w:t>0</w:t>
      </w:r>
      <w:r w:rsidR="00C73D52" w:rsidRPr="00517715">
        <w:rPr>
          <w:rFonts w:ascii="Book Antiqua" w:hAnsi="Book Antiqua"/>
          <w:color w:val="auto"/>
          <w:sz w:val="24"/>
          <w:szCs w:val="24"/>
          <w:vertAlign w:val="superscript"/>
        </w:rPr>
        <w:t>]</w:t>
      </w:r>
      <w:r w:rsidR="007A415E" w:rsidRPr="00517715">
        <w:rPr>
          <w:rFonts w:ascii="Book Antiqua" w:hAnsi="Book Antiqua"/>
          <w:bCs/>
          <w:color w:val="auto"/>
          <w:sz w:val="24"/>
          <w:szCs w:val="24"/>
          <w:lang w:val="en-US"/>
        </w:rPr>
        <w:t xml:space="preserve">. </w:t>
      </w:r>
      <w:r w:rsidR="00EA42A0" w:rsidRPr="00517715">
        <w:rPr>
          <w:rFonts w:ascii="Book Antiqua" w:hAnsi="Book Antiqua"/>
          <w:bCs/>
          <w:color w:val="auto"/>
          <w:sz w:val="24"/>
          <w:szCs w:val="24"/>
          <w:lang w:val="en-US"/>
        </w:rPr>
        <w:t xml:space="preserve">A single randomized study has reported on the use </w:t>
      </w:r>
      <w:r w:rsidR="00EA42A0" w:rsidRPr="00517715">
        <w:rPr>
          <w:rFonts w:ascii="Book Antiqua" w:hAnsi="Book Antiqua"/>
          <w:bCs/>
          <w:color w:val="auto"/>
          <w:sz w:val="24"/>
          <w:szCs w:val="24"/>
          <w:lang w:val="en-US"/>
        </w:rPr>
        <w:lastRenderedPageBreak/>
        <w:t>of a 56 French bougie placed in the oesophagus during construction of the fundoplication</w:t>
      </w:r>
      <w:r w:rsidR="006559DA" w:rsidRPr="00517715">
        <w:rPr>
          <w:rFonts w:ascii="Book Antiqua" w:hAnsi="Book Antiqua"/>
          <w:bCs/>
          <w:color w:val="auto"/>
          <w:sz w:val="24"/>
          <w:szCs w:val="24"/>
          <w:lang w:val="en-US"/>
        </w:rPr>
        <w:t>.</w:t>
      </w:r>
      <w:r w:rsidR="00EA42A0" w:rsidRPr="00517715">
        <w:rPr>
          <w:rFonts w:ascii="Book Antiqua" w:hAnsi="Book Antiqua"/>
          <w:bCs/>
          <w:color w:val="auto"/>
          <w:sz w:val="24"/>
          <w:szCs w:val="24"/>
          <w:lang w:val="en-US"/>
        </w:rPr>
        <w:t xml:space="preserve"> </w:t>
      </w:r>
      <w:r w:rsidR="006559DA" w:rsidRPr="00517715">
        <w:rPr>
          <w:rFonts w:ascii="Book Antiqua" w:hAnsi="Book Antiqua"/>
          <w:bCs/>
          <w:color w:val="auto"/>
          <w:sz w:val="24"/>
          <w:szCs w:val="24"/>
          <w:lang w:val="en-US"/>
        </w:rPr>
        <w:t>T</w:t>
      </w:r>
      <w:r w:rsidR="00EA42A0" w:rsidRPr="00517715">
        <w:rPr>
          <w:rFonts w:ascii="Book Antiqua" w:hAnsi="Book Antiqua"/>
          <w:bCs/>
          <w:color w:val="auto"/>
          <w:sz w:val="24"/>
          <w:szCs w:val="24"/>
          <w:lang w:val="en-US"/>
        </w:rPr>
        <w:t xml:space="preserve">his </w:t>
      </w:r>
      <w:r w:rsidR="006559DA" w:rsidRPr="00517715">
        <w:rPr>
          <w:rFonts w:ascii="Book Antiqua" w:hAnsi="Book Antiqua"/>
          <w:bCs/>
          <w:color w:val="auto"/>
          <w:sz w:val="24"/>
          <w:szCs w:val="24"/>
          <w:lang w:val="en-US"/>
        </w:rPr>
        <w:t xml:space="preserve">study </w:t>
      </w:r>
      <w:r w:rsidR="00EA42A0" w:rsidRPr="00517715">
        <w:rPr>
          <w:rFonts w:ascii="Book Antiqua" w:hAnsi="Book Antiqua"/>
          <w:bCs/>
          <w:color w:val="auto"/>
          <w:sz w:val="24"/>
          <w:szCs w:val="24"/>
          <w:lang w:val="en-US"/>
        </w:rPr>
        <w:t xml:space="preserve">did report a reduced incidence of dysphagia at a short follow up </w:t>
      </w:r>
      <w:r w:rsidR="006559DA" w:rsidRPr="00517715">
        <w:rPr>
          <w:rFonts w:ascii="Book Antiqua" w:hAnsi="Book Antiqua"/>
          <w:bCs/>
          <w:color w:val="auto"/>
          <w:sz w:val="24"/>
          <w:szCs w:val="24"/>
          <w:lang w:val="en-US"/>
        </w:rPr>
        <w:t>period,</w:t>
      </w:r>
      <w:r w:rsidR="00EA42A0" w:rsidRPr="00517715">
        <w:rPr>
          <w:rFonts w:ascii="Book Antiqua" w:hAnsi="Book Antiqua"/>
          <w:bCs/>
          <w:color w:val="auto"/>
          <w:sz w:val="24"/>
          <w:szCs w:val="24"/>
          <w:lang w:val="en-US"/>
        </w:rPr>
        <w:t xml:space="preserve"> it also reported a small (1.2%) incidence of oesophageal injury secondary to the bougie</w:t>
      </w:r>
      <w:r w:rsidR="006559DA" w:rsidRPr="00517715">
        <w:rPr>
          <w:rFonts w:ascii="Book Antiqua" w:hAnsi="Book Antiqua"/>
          <w:bCs/>
          <w:color w:val="auto"/>
          <w:sz w:val="24"/>
          <w:szCs w:val="24"/>
          <w:lang w:val="en-US"/>
        </w:rPr>
        <w:t xml:space="preserve"> and on this basis a bougie is not widely used</w:t>
      </w:r>
      <w:r w:rsidR="00C73D52" w:rsidRPr="00517715">
        <w:rPr>
          <w:rFonts w:ascii="Book Antiqua" w:hAnsi="Book Antiqua"/>
          <w:color w:val="auto"/>
          <w:sz w:val="24"/>
          <w:szCs w:val="24"/>
          <w:vertAlign w:val="superscript"/>
        </w:rPr>
        <w:t>[1</w:t>
      </w:r>
      <w:r w:rsidR="009062BE" w:rsidRPr="00517715">
        <w:rPr>
          <w:rFonts w:ascii="Book Antiqua" w:hAnsi="Book Antiqua"/>
          <w:color w:val="auto"/>
          <w:sz w:val="24"/>
          <w:szCs w:val="24"/>
          <w:vertAlign w:val="superscript"/>
        </w:rPr>
        <w:t>1</w:t>
      </w:r>
      <w:r w:rsidR="00C73D52" w:rsidRPr="00517715">
        <w:rPr>
          <w:rFonts w:ascii="Book Antiqua" w:hAnsi="Book Antiqua"/>
          <w:color w:val="auto"/>
          <w:sz w:val="24"/>
          <w:szCs w:val="24"/>
          <w:vertAlign w:val="superscript"/>
        </w:rPr>
        <w:t>]</w:t>
      </w:r>
      <w:r w:rsidR="00EA42A0" w:rsidRPr="00517715">
        <w:rPr>
          <w:rFonts w:ascii="Book Antiqua" w:hAnsi="Book Antiqua"/>
          <w:bCs/>
          <w:color w:val="auto"/>
          <w:sz w:val="24"/>
          <w:szCs w:val="24"/>
          <w:lang w:val="en-US"/>
        </w:rPr>
        <w:t>.</w:t>
      </w:r>
    </w:p>
    <w:p w14:paraId="05A24939" w14:textId="2A877CEC" w:rsidR="006930A4" w:rsidRPr="00517715" w:rsidRDefault="00380801" w:rsidP="00256D6C">
      <w:pPr>
        <w:pStyle w:val="Body1"/>
        <w:widowControl w:val="0"/>
        <w:snapToGrid w:val="0"/>
        <w:spacing w:after="0" w:line="360" w:lineRule="auto"/>
        <w:ind w:firstLineChars="100" w:firstLine="252"/>
        <w:jc w:val="both"/>
        <w:rPr>
          <w:rFonts w:ascii="Book Antiqua" w:hAnsi="Book Antiqua"/>
          <w:bCs/>
          <w:color w:val="auto"/>
          <w:sz w:val="24"/>
          <w:szCs w:val="24"/>
          <w:lang w:val="en-US"/>
        </w:rPr>
      </w:pPr>
      <w:r w:rsidRPr="00517715">
        <w:rPr>
          <w:rFonts w:ascii="Book Antiqua" w:hAnsi="Book Antiqua"/>
          <w:bCs/>
          <w:color w:val="auto"/>
          <w:sz w:val="24"/>
          <w:szCs w:val="24"/>
          <w:lang w:val="en-US"/>
        </w:rPr>
        <w:t xml:space="preserve">A number of alternative wraps have been described to try </w:t>
      </w:r>
      <w:r w:rsidR="001E2870" w:rsidRPr="00517715">
        <w:rPr>
          <w:rFonts w:ascii="Book Antiqua" w:hAnsi="Book Antiqua"/>
          <w:bCs/>
          <w:color w:val="auto"/>
          <w:sz w:val="24"/>
          <w:szCs w:val="24"/>
          <w:lang w:val="en-US"/>
        </w:rPr>
        <w:t>to</w:t>
      </w:r>
      <w:r w:rsidRPr="00517715">
        <w:rPr>
          <w:rFonts w:ascii="Book Antiqua" w:hAnsi="Book Antiqua"/>
          <w:bCs/>
          <w:color w:val="auto"/>
          <w:sz w:val="24"/>
          <w:szCs w:val="24"/>
          <w:lang w:val="en-US"/>
        </w:rPr>
        <w:t xml:space="preserve"> address the functional problems associated with a full </w:t>
      </w:r>
      <w:r w:rsidR="001E2870" w:rsidRPr="00517715">
        <w:rPr>
          <w:rFonts w:ascii="Book Antiqua" w:hAnsi="Book Antiqua"/>
          <w:bCs/>
          <w:color w:val="auto"/>
          <w:sz w:val="24"/>
          <w:szCs w:val="24"/>
          <w:lang w:val="en-US"/>
        </w:rPr>
        <w:t>360-degree</w:t>
      </w:r>
      <w:r w:rsidRPr="00517715">
        <w:rPr>
          <w:rFonts w:ascii="Book Antiqua" w:hAnsi="Book Antiqua"/>
          <w:bCs/>
          <w:color w:val="auto"/>
          <w:sz w:val="24"/>
          <w:szCs w:val="24"/>
          <w:lang w:val="en-US"/>
        </w:rPr>
        <w:t xml:space="preserve"> Nissen fundoplication. The </w:t>
      </w:r>
      <w:r w:rsidR="00CF2B48" w:rsidRPr="00517715">
        <w:rPr>
          <w:rFonts w:ascii="Book Antiqua" w:hAnsi="Book Antiqua"/>
          <w:bCs/>
          <w:color w:val="auto"/>
          <w:sz w:val="24"/>
          <w:szCs w:val="24"/>
          <w:lang w:val="en-US"/>
        </w:rPr>
        <w:t>wrap types</w:t>
      </w:r>
      <w:r w:rsidRPr="00517715">
        <w:rPr>
          <w:rFonts w:ascii="Book Antiqua" w:hAnsi="Book Antiqua"/>
          <w:bCs/>
          <w:color w:val="auto"/>
          <w:sz w:val="24"/>
          <w:szCs w:val="24"/>
          <w:lang w:val="en-US"/>
        </w:rPr>
        <w:t xml:space="preserve"> can be split into posterior wraps where the stomach is wrapped behind the oesophagus</w:t>
      </w:r>
      <w:r w:rsidR="00CF2B48" w:rsidRPr="00517715">
        <w:rPr>
          <w:rFonts w:ascii="Book Antiqua" w:hAnsi="Book Antiqua"/>
          <w:bCs/>
          <w:color w:val="auto"/>
          <w:sz w:val="24"/>
          <w:szCs w:val="24"/>
          <w:lang w:val="en-US"/>
        </w:rPr>
        <w:t>. These</w:t>
      </w:r>
      <w:r w:rsidRPr="00517715">
        <w:rPr>
          <w:rFonts w:ascii="Book Antiqua" w:hAnsi="Book Antiqua"/>
          <w:bCs/>
          <w:color w:val="auto"/>
          <w:sz w:val="24"/>
          <w:szCs w:val="24"/>
          <w:lang w:val="en-US"/>
        </w:rPr>
        <w:t xml:space="preserve"> includ</w:t>
      </w:r>
      <w:r w:rsidR="00CF2B48" w:rsidRPr="00517715">
        <w:rPr>
          <w:rFonts w:ascii="Book Antiqua" w:hAnsi="Book Antiqua"/>
          <w:bCs/>
          <w:color w:val="auto"/>
          <w:sz w:val="24"/>
          <w:szCs w:val="24"/>
          <w:lang w:val="en-US"/>
        </w:rPr>
        <w:t>e both</w:t>
      </w:r>
      <w:r w:rsidRPr="00517715">
        <w:rPr>
          <w:rFonts w:ascii="Book Antiqua" w:hAnsi="Book Antiqua"/>
          <w:bCs/>
          <w:color w:val="auto"/>
          <w:sz w:val="24"/>
          <w:szCs w:val="24"/>
          <w:lang w:val="en-US"/>
        </w:rPr>
        <w:t xml:space="preserve"> the </w:t>
      </w:r>
      <w:r w:rsidR="00CF2B48" w:rsidRPr="00517715">
        <w:rPr>
          <w:rFonts w:ascii="Book Antiqua" w:hAnsi="Book Antiqua"/>
          <w:bCs/>
          <w:color w:val="auto"/>
          <w:sz w:val="24"/>
          <w:szCs w:val="24"/>
          <w:lang w:val="en-US"/>
        </w:rPr>
        <w:t xml:space="preserve">Nissen fundoplication and the </w:t>
      </w:r>
      <w:r w:rsidR="001E2870" w:rsidRPr="00517715">
        <w:rPr>
          <w:rFonts w:ascii="Book Antiqua" w:hAnsi="Book Antiqua"/>
          <w:bCs/>
          <w:color w:val="auto"/>
          <w:sz w:val="24"/>
          <w:szCs w:val="24"/>
          <w:lang w:val="en-US"/>
        </w:rPr>
        <w:t>270-degree</w:t>
      </w:r>
      <w:r w:rsidRPr="00517715">
        <w:rPr>
          <w:rFonts w:ascii="Book Antiqua" w:hAnsi="Book Antiqua"/>
          <w:bCs/>
          <w:color w:val="auto"/>
          <w:sz w:val="24"/>
          <w:szCs w:val="24"/>
          <w:lang w:val="en-US"/>
        </w:rPr>
        <w:t xml:space="preserve"> posterior Toupet wrap</w:t>
      </w:r>
      <w:r w:rsidR="00CF2B48" w:rsidRPr="00517715">
        <w:rPr>
          <w:rFonts w:ascii="Book Antiqua" w:hAnsi="Book Antiqua"/>
          <w:bCs/>
          <w:color w:val="auto"/>
          <w:sz w:val="24"/>
          <w:szCs w:val="24"/>
          <w:lang w:val="en-US"/>
        </w:rPr>
        <w:t>.</w:t>
      </w:r>
      <w:r w:rsidR="00125011" w:rsidRPr="00517715">
        <w:rPr>
          <w:rFonts w:ascii="Book Antiqua" w:hAnsi="Book Antiqua"/>
          <w:bCs/>
          <w:color w:val="auto"/>
          <w:sz w:val="24"/>
          <w:szCs w:val="24"/>
          <w:lang w:val="en-US"/>
        </w:rPr>
        <w:t xml:space="preserve"> </w:t>
      </w:r>
      <w:r w:rsidR="00CF2B48" w:rsidRPr="00517715">
        <w:rPr>
          <w:rFonts w:ascii="Book Antiqua" w:hAnsi="Book Antiqua"/>
          <w:bCs/>
          <w:color w:val="auto"/>
          <w:sz w:val="24"/>
          <w:szCs w:val="24"/>
          <w:lang w:val="en-US"/>
        </w:rPr>
        <w:t>Alternatively,</w:t>
      </w:r>
      <w:r w:rsidR="00125011" w:rsidRPr="00517715">
        <w:rPr>
          <w:rFonts w:ascii="Book Antiqua" w:hAnsi="Book Antiqua"/>
          <w:bCs/>
          <w:color w:val="auto"/>
          <w:sz w:val="24"/>
          <w:szCs w:val="24"/>
          <w:lang w:val="en-US"/>
        </w:rPr>
        <w:t xml:space="preserve"> anterior wraps where the stomach is passed anterior to the oesophagus such as the 180-200 degree Watson o</w:t>
      </w:r>
      <w:r w:rsidR="006930A4" w:rsidRPr="00517715">
        <w:rPr>
          <w:rFonts w:ascii="Book Antiqua" w:hAnsi="Book Antiqua"/>
          <w:bCs/>
          <w:color w:val="auto"/>
          <w:sz w:val="24"/>
          <w:szCs w:val="24"/>
          <w:lang w:val="en-US"/>
        </w:rPr>
        <w:t>r Dor wrap</w:t>
      </w:r>
      <w:r w:rsidR="00CF2B48" w:rsidRPr="00517715">
        <w:rPr>
          <w:rFonts w:ascii="Book Antiqua" w:hAnsi="Book Antiqua"/>
          <w:bCs/>
          <w:color w:val="auto"/>
          <w:sz w:val="24"/>
          <w:szCs w:val="24"/>
          <w:lang w:val="en-US"/>
        </w:rPr>
        <w:t>s</w:t>
      </w:r>
      <w:r w:rsidR="00125011" w:rsidRPr="00517715">
        <w:rPr>
          <w:rFonts w:ascii="Book Antiqua" w:hAnsi="Book Antiqua"/>
          <w:bCs/>
          <w:color w:val="auto"/>
          <w:sz w:val="24"/>
          <w:szCs w:val="24"/>
          <w:lang w:val="en-US"/>
        </w:rPr>
        <w:t>.</w:t>
      </w:r>
      <w:r w:rsidR="00CA39D7" w:rsidRPr="00517715">
        <w:rPr>
          <w:rFonts w:ascii="Book Antiqua" w:hAnsi="Book Antiqua"/>
          <w:bCs/>
          <w:color w:val="auto"/>
          <w:sz w:val="24"/>
          <w:szCs w:val="24"/>
          <w:lang w:val="en-US"/>
        </w:rPr>
        <w:t xml:space="preserve"> Anything less than a 180</w:t>
      </w:r>
      <w:r w:rsidR="00CA39D7" w:rsidRPr="00517715">
        <w:rPr>
          <w:rFonts w:ascii="Book Antiqua" w:hAnsi="Book Antiqua"/>
          <w:bCs/>
          <w:color w:val="auto"/>
          <w:sz w:val="24"/>
          <w:szCs w:val="24"/>
          <w:vertAlign w:val="superscript"/>
          <w:lang w:val="en-US"/>
        </w:rPr>
        <w:t xml:space="preserve">0 </w:t>
      </w:r>
      <w:r w:rsidR="00CA39D7" w:rsidRPr="00517715">
        <w:rPr>
          <w:rFonts w:ascii="Book Antiqua" w:hAnsi="Book Antiqua"/>
          <w:bCs/>
          <w:color w:val="auto"/>
          <w:sz w:val="24"/>
          <w:szCs w:val="24"/>
          <w:lang w:val="en-US"/>
        </w:rPr>
        <w:t xml:space="preserve"> wrap has been dismissed as inadequate</w:t>
      </w:r>
      <w:r w:rsidR="00C73D52" w:rsidRPr="00517715">
        <w:rPr>
          <w:rFonts w:ascii="Book Antiqua" w:hAnsi="Book Antiqua"/>
          <w:color w:val="auto"/>
          <w:sz w:val="24"/>
          <w:szCs w:val="24"/>
          <w:vertAlign w:val="superscript"/>
        </w:rPr>
        <w:t>[1</w:t>
      </w:r>
      <w:r w:rsidR="009062BE" w:rsidRPr="00517715">
        <w:rPr>
          <w:rFonts w:ascii="Book Antiqua" w:hAnsi="Book Antiqua"/>
          <w:color w:val="auto"/>
          <w:sz w:val="24"/>
          <w:szCs w:val="24"/>
          <w:vertAlign w:val="superscript"/>
        </w:rPr>
        <w:t>2</w:t>
      </w:r>
      <w:r w:rsidR="00C73D52" w:rsidRPr="00517715">
        <w:rPr>
          <w:rFonts w:ascii="Book Antiqua" w:hAnsi="Book Antiqua"/>
          <w:color w:val="auto"/>
          <w:sz w:val="24"/>
          <w:szCs w:val="24"/>
          <w:vertAlign w:val="superscript"/>
        </w:rPr>
        <w:t>]</w:t>
      </w:r>
      <w:r w:rsidR="00CA39D7" w:rsidRPr="00517715">
        <w:rPr>
          <w:rFonts w:ascii="Book Antiqua" w:hAnsi="Book Antiqua"/>
          <w:bCs/>
          <w:color w:val="auto"/>
          <w:sz w:val="24"/>
          <w:szCs w:val="24"/>
          <w:lang w:val="en-US"/>
        </w:rPr>
        <w:t>.</w:t>
      </w:r>
    </w:p>
    <w:p w14:paraId="49C8F0D8" w14:textId="2AD02F1F" w:rsidR="00380801" w:rsidRPr="00517715" w:rsidRDefault="00166A8C" w:rsidP="00256D6C">
      <w:pPr>
        <w:pStyle w:val="Body1"/>
        <w:widowControl w:val="0"/>
        <w:snapToGrid w:val="0"/>
        <w:spacing w:after="0" w:line="360" w:lineRule="auto"/>
        <w:ind w:firstLineChars="100" w:firstLine="252"/>
        <w:jc w:val="both"/>
        <w:rPr>
          <w:rFonts w:ascii="Book Antiqua" w:hAnsi="Book Antiqua"/>
          <w:bCs/>
          <w:color w:val="auto"/>
          <w:sz w:val="24"/>
          <w:szCs w:val="24"/>
          <w:lang w:val="en-US"/>
        </w:rPr>
      </w:pPr>
      <w:r w:rsidRPr="00517715">
        <w:rPr>
          <w:rFonts w:ascii="Book Antiqua" w:hAnsi="Book Antiqua"/>
          <w:bCs/>
          <w:color w:val="auto"/>
          <w:sz w:val="24"/>
          <w:szCs w:val="24"/>
          <w:lang w:val="en-US"/>
        </w:rPr>
        <w:t xml:space="preserve">Partial wraps were </w:t>
      </w:r>
      <w:r w:rsidR="006930A4" w:rsidRPr="00517715">
        <w:rPr>
          <w:rFonts w:ascii="Book Antiqua" w:hAnsi="Book Antiqua"/>
          <w:bCs/>
          <w:color w:val="auto"/>
          <w:sz w:val="24"/>
          <w:szCs w:val="24"/>
          <w:lang w:val="en-US"/>
        </w:rPr>
        <w:t>initial</w:t>
      </w:r>
      <w:r w:rsidRPr="00517715">
        <w:rPr>
          <w:rFonts w:ascii="Book Antiqua" w:hAnsi="Book Antiqua"/>
          <w:bCs/>
          <w:color w:val="auto"/>
          <w:sz w:val="24"/>
          <w:szCs w:val="24"/>
          <w:lang w:val="en-US"/>
        </w:rPr>
        <w:t>ly</w:t>
      </w:r>
      <w:r w:rsidR="006930A4" w:rsidRPr="00517715">
        <w:rPr>
          <w:rFonts w:ascii="Book Antiqua" w:hAnsi="Book Antiqua"/>
          <w:bCs/>
          <w:color w:val="auto"/>
          <w:sz w:val="24"/>
          <w:szCs w:val="24"/>
          <w:lang w:val="en-US"/>
        </w:rPr>
        <w:t xml:space="preserve"> reported </w:t>
      </w:r>
      <w:r w:rsidRPr="00517715">
        <w:rPr>
          <w:rFonts w:ascii="Book Antiqua" w:hAnsi="Book Antiqua"/>
          <w:bCs/>
          <w:color w:val="auto"/>
          <w:sz w:val="24"/>
          <w:szCs w:val="24"/>
          <w:lang w:val="en-US"/>
        </w:rPr>
        <w:t xml:space="preserve">as </w:t>
      </w:r>
      <w:r w:rsidR="006930A4" w:rsidRPr="00517715">
        <w:rPr>
          <w:rFonts w:ascii="Book Antiqua" w:hAnsi="Book Antiqua"/>
          <w:bCs/>
          <w:color w:val="auto"/>
          <w:sz w:val="24"/>
          <w:szCs w:val="24"/>
          <w:lang w:val="en-US"/>
        </w:rPr>
        <w:t>advantage</w:t>
      </w:r>
      <w:r w:rsidRPr="00517715">
        <w:rPr>
          <w:rFonts w:ascii="Book Antiqua" w:hAnsi="Book Antiqua"/>
          <w:bCs/>
          <w:color w:val="auto"/>
          <w:sz w:val="24"/>
          <w:szCs w:val="24"/>
          <w:lang w:val="en-US"/>
        </w:rPr>
        <w:t>ou</w:t>
      </w:r>
      <w:r w:rsidR="006930A4" w:rsidRPr="00517715">
        <w:rPr>
          <w:rFonts w:ascii="Book Antiqua" w:hAnsi="Book Antiqua"/>
          <w:bCs/>
          <w:color w:val="auto"/>
          <w:sz w:val="24"/>
          <w:szCs w:val="24"/>
          <w:lang w:val="en-US"/>
        </w:rPr>
        <w:t xml:space="preserve">s in patients with reduced oesophageal motility and therefore potentially at higher risk of </w:t>
      </w:r>
      <w:r w:rsidR="001E2870" w:rsidRPr="00517715">
        <w:rPr>
          <w:rFonts w:ascii="Book Antiqua" w:hAnsi="Book Antiqua"/>
          <w:bCs/>
          <w:color w:val="auto"/>
          <w:sz w:val="24"/>
          <w:szCs w:val="24"/>
          <w:lang w:val="en-US"/>
        </w:rPr>
        <w:t>post-operative dysphagia but recent evidence has sugg</w:t>
      </w:r>
      <w:r w:rsidRPr="00517715">
        <w:rPr>
          <w:rFonts w:ascii="Book Antiqua" w:hAnsi="Book Antiqua"/>
          <w:bCs/>
          <w:color w:val="auto"/>
          <w:sz w:val="24"/>
          <w:szCs w:val="24"/>
          <w:lang w:val="en-US"/>
        </w:rPr>
        <w:t>ested that this is not necessarily correct</w:t>
      </w:r>
      <w:r w:rsidR="003603BB" w:rsidRPr="00517715">
        <w:rPr>
          <w:rFonts w:ascii="Book Antiqua" w:hAnsi="Book Antiqua"/>
          <w:color w:val="auto"/>
          <w:sz w:val="24"/>
          <w:szCs w:val="24"/>
          <w:vertAlign w:val="superscript"/>
        </w:rPr>
        <w:t>[</w:t>
      </w:r>
      <w:r w:rsidR="009062BE" w:rsidRPr="00517715">
        <w:rPr>
          <w:rFonts w:ascii="Book Antiqua" w:hAnsi="Book Antiqua"/>
          <w:color w:val="auto"/>
          <w:sz w:val="24"/>
          <w:szCs w:val="24"/>
          <w:vertAlign w:val="superscript"/>
        </w:rPr>
        <w:t>13,</w:t>
      </w:r>
      <w:r w:rsidR="003603BB" w:rsidRPr="00517715">
        <w:rPr>
          <w:rFonts w:ascii="Book Antiqua" w:hAnsi="Book Antiqua"/>
          <w:color w:val="auto"/>
          <w:sz w:val="24"/>
          <w:szCs w:val="24"/>
          <w:vertAlign w:val="superscript"/>
        </w:rPr>
        <w:t>14]</w:t>
      </w:r>
      <w:r w:rsidR="003F5E19" w:rsidRPr="00517715">
        <w:rPr>
          <w:rFonts w:ascii="Book Antiqua" w:hAnsi="Book Antiqua"/>
          <w:bCs/>
          <w:color w:val="auto"/>
          <w:sz w:val="24"/>
          <w:szCs w:val="24"/>
          <w:lang w:val="en-US"/>
        </w:rPr>
        <w:t>.</w:t>
      </w:r>
      <w:r w:rsidR="001E2870" w:rsidRPr="00517715">
        <w:rPr>
          <w:rFonts w:ascii="Book Antiqua" w:hAnsi="Book Antiqua"/>
          <w:bCs/>
          <w:color w:val="auto"/>
          <w:sz w:val="24"/>
          <w:szCs w:val="24"/>
          <w:lang w:val="en-US"/>
        </w:rPr>
        <w:t xml:space="preserve"> </w:t>
      </w:r>
    </w:p>
    <w:p w14:paraId="47253479" w14:textId="5BF8B5C5" w:rsidR="00166A8C" w:rsidRPr="00517715" w:rsidRDefault="00166A8C" w:rsidP="00256D6C">
      <w:pPr>
        <w:pStyle w:val="Body1"/>
        <w:widowControl w:val="0"/>
        <w:snapToGrid w:val="0"/>
        <w:spacing w:after="0" w:line="360" w:lineRule="auto"/>
        <w:ind w:firstLineChars="100" w:firstLine="252"/>
        <w:jc w:val="both"/>
        <w:rPr>
          <w:rFonts w:ascii="Book Antiqua" w:hAnsi="Book Antiqua"/>
          <w:bCs/>
          <w:color w:val="auto"/>
          <w:sz w:val="24"/>
          <w:szCs w:val="24"/>
          <w:lang w:val="en-US"/>
        </w:rPr>
      </w:pPr>
      <w:r w:rsidRPr="00517715">
        <w:rPr>
          <w:rFonts w:ascii="Book Antiqua" w:hAnsi="Book Antiqua"/>
          <w:bCs/>
          <w:color w:val="auto"/>
          <w:sz w:val="24"/>
          <w:szCs w:val="24"/>
          <w:lang w:val="en-US"/>
        </w:rPr>
        <w:t>The choice of wrap has traditionally been based on anatomic considerations and surgeon preference. The lack of standardization can make comparison of techniques difficult but most surgeons would accept that the following should occur:</w:t>
      </w:r>
      <w:r w:rsidR="0033710F" w:rsidRPr="00517715">
        <w:rPr>
          <w:rFonts w:ascii="Book Antiqua" w:eastAsiaTheme="minorEastAsia" w:hAnsi="Book Antiqua" w:hint="eastAsia"/>
          <w:bCs/>
          <w:color w:val="auto"/>
          <w:sz w:val="24"/>
          <w:szCs w:val="24"/>
          <w:lang w:val="en-US" w:eastAsia="zh-CN"/>
        </w:rPr>
        <w:t xml:space="preserve"> </w:t>
      </w:r>
      <w:r w:rsidR="0033710F" w:rsidRPr="00517715">
        <w:rPr>
          <w:rFonts w:ascii="Book Antiqua" w:eastAsiaTheme="minorEastAsia" w:hAnsi="Book Antiqua"/>
          <w:bCs/>
          <w:color w:val="auto"/>
          <w:sz w:val="24"/>
          <w:szCs w:val="24"/>
          <w:lang w:val="en-US" w:eastAsia="zh-CN"/>
        </w:rPr>
        <w:t xml:space="preserve">(1) </w:t>
      </w:r>
      <w:r w:rsidRPr="00517715">
        <w:rPr>
          <w:rFonts w:ascii="Book Antiqua" w:hAnsi="Book Antiqua"/>
          <w:bCs/>
          <w:color w:val="auto"/>
          <w:sz w:val="24"/>
          <w:szCs w:val="24"/>
          <w:lang w:val="en-US"/>
        </w:rPr>
        <w:t>Crural repair with non-absorbable sutures</w:t>
      </w:r>
      <w:r w:rsidR="0033710F" w:rsidRPr="00517715">
        <w:rPr>
          <w:rFonts w:ascii="Book Antiqua" w:hAnsi="Book Antiqua"/>
          <w:bCs/>
          <w:color w:val="auto"/>
          <w:sz w:val="24"/>
          <w:szCs w:val="24"/>
          <w:lang w:val="en-US"/>
        </w:rPr>
        <w:t xml:space="preserve">; </w:t>
      </w:r>
      <w:r w:rsidR="0033710F" w:rsidRPr="00517715">
        <w:rPr>
          <w:rFonts w:ascii="Book Antiqua" w:eastAsiaTheme="minorEastAsia" w:hAnsi="Book Antiqua"/>
          <w:bCs/>
          <w:color w:val="auto"/>
          <w:sz w:val="24"/>
          <w:szCs w:val="24"/>
          <w:lang w:val="en-US" w:eastAsia="zh-CN"/>
        </w:rPr>
        <w:t>(2)</w:t>
      </w:r>
      <w:r w:rsidR="0033710F" w:rsidRPr="00517715">
        <w:rPr>
          <w:rFonts w:ascii="Book Antiqua" w:eastAsiaTheme="minorEastAsia" w:hAnsi="Book Antiqua" w:hint="eastAsia"/>
          <w:bCs/>
          <w:color w:val="auto"/>
          <w:sz w:val="24"/>
          <w:szCs w:val="24"/>
          <w:lang w:val="en-US" w:eastAsia="zh-CN"/>
        </w:rPr>
        <w:t xml:space="preserve"> </w:t>
      </w:r>
      <w:r w:rsidRPr="00517715">
        <w:rPr>
          <w:rFonts w:ascii="Book Antiqua" w:hAnsi="Book Antiqua"/>
          <w:bCs/>
          <w:color w:val="auto"/>
          <w:sz w:val="24"/>
          <w:szCs w:val="24"/>
          <w:lang w:val="en-US"/>
        </w:rPr>
        <w:t>Vagal preservation</w:t>
      </w:r>
      <w:r w:rsidR="0033710F" w:rsidRPr="00517715">
        <w:rPr>
          <w:rFonts w:ascii="Book Antiqua" w:hAnsi="Book Antiqua"/>
          <w:bCs/>
          <w:color w:val="auto"/>
          <w:sz w:val="24"/>
          <w:szCs w:val="24"/>
          <w:lang w:val="en-US"/>
        </w:rPr>
        <w:t xml:space="preserve">; </w:t>
      </w:r>
      <w:r w:rsidR="0033710F" w:rsidRPr="00517715">
        <w:rPr>
          <w:rFonts w:ascii="Book Antiqua" w:eastAsiaTheme="minorEastAsia" w:hAnsi="Book Antiqua"/>
          <w:bCs/>
          <w:color w:val="auto"/>
          <w:sz w:val="24"/>
          <w:szCs w:val="24"/>
          <w:lang w:val="en-US" w:eastAsia="zh-CN"/>
        </w:rPr>
        <w:t>(3)</w:t>
      </w:r>
      <w:r w:rsidR="0033710F" w:rsidRPr="00517715">
        <w:rPr>
          <w:rFonts w:ascii="Book Antiqua" w:eastAsiaTheme="minorEastAsia" w:hAnsi="Book Antiqua" w:hint="eastAsia"/>
          <w:bCs/>
          <w:color w:val="auto"/>
          <w:sz w:val="24"/>
          <w:szCs w:val="24"/>
          <w:lang w:val="en-US" w:eastAsia="zh-CN"/>
        </w:rPr>
        <w:t xml:space="preserve"> </w:t>
      </w:r>
      <w:r w:rsidRPr="00517715">
        <w:rPr>
          <w:rFonts w:ascii="Book Antiqua" w:hAnsi="Book Antiqua"/>
          <w:bCs/>
          <w:color w:val="auto"/>
          <w:sz w:val="24"/>
          <w:szCs w:val="24"/>
          <w:lang w:val="en-US"/>
        </w:rPr>
        <w:t>A mobilization of at least 3cm of intra-abdominal oesophagus</w:t>
      </w:r>
      <w:r w:rsidR="0033710F" w:rsidRPr="00517715">
        <w:rPr>
          <w:rFonts w:ascii="Book Antiqua" w:hAnsi="Book Antiqua"/>
          <w:bCs/>
          <w:color w:val="auto"/>
          <w:sz w:val="24"/>
          <w:szCs w:val="24"/>
          <w:lang w:val="en-US"/>
        </w:rPr>
        <w:t xml:space="preserve">; </w:t>
      </w:r>
      <w:r w:rsidR="0033710F" w:rsidRPr="00517715">
        <w:rPr>
          <w:rFonts w:ascii="Book Antiqua" w:eastAsiaTheme="minorEastAsia" w:hAnsi="Book Antiqua"/>
          <w:bCs/>
          <w:color w:val="auto"/>
          <w:sz w:val="24"/>
          <w:szCs w:val="24"/>
          <w:lang w:val="en-US" w:eastAsia="zh-CN"/>
        </w:rPr>
        <w:t>(4)</w:t>
      </w:r>
      <w:r w:rsidR="0033710F" w:rsidRPr="00517715">
        <w:rPr>
          <w:rFonts w:ascii="Book Antiqua" w:eastAsiaTheme="minorEastAsia" w:hAnsi="Book Antiqua" w:hint="eastAsia"/>
          <w:bCs/>
          <w:color w:val="auto"/>
          <w:sz w:val="24"/>
          <w:szCs w:val="24"/>
          <w:lang w:val="en-US" w:eastAsia="zh-CN"/>
        </w:rPr>
        <w:t xml:space="preserve"> </w:t>
      </w:r>
      <w:r w:rsidRPr="00517715">
        <w:rPr>
          <w:rFonts w:ascii="Book Antiqua" w:hAnsi="Book Antiqua"/>
          <w:bCs/>
          <w:color w:val="auto"/>
          <w:sz w:val="24"/>
          <w:szCs w:val="24"/>
          <w:lang w:val="en-US"/>
        </w:rPr>
        <w:t>A tension free wrap with or without division of the short gastric vessels</w:t>
      </w:r>
      <w:r w:rsidR="0033710F" w:rsidRPr="00517715">
        <w:rPr>
          <w:rFonts w:ascii="Book Antiqua" w:hAnsi="Book Antiqua"/>
          <w:bCs/>
          <w:color w:val="auto"/>
          <w:sz w:val="24"/>
          <w:szCs w:val="24"/>
          <w:lang w:val="en-US"/>
        </w:rPr>
        <w:t xml:space="preserve">; and </w:t>
      </w:r>
      <w:r w:rsidR="0033710F" w:rsidRPr="00517715">
        <w:rPr>
          <w:rFonts w:ascii="Book Antiqua" w:eastAsiaTheme="minorEastAsia" w:hAnsi="Book Antiqua"/>
          <w:bCs/>
          <w:color w:val="auto"/>
          <w:sz w:val="24"/>
          <w:szCs w:val="24"/>
          <w:lang w:val="en-US" w:eastAsia="zh-CN"/>
        </w:rPr>
        <w:t xml:space="preserve">(5) </w:t>
      </w:r>
      <w:r w:rsidRPr="00517715">
        <w:rPr>
          <w:rFonts w:ascii="Book Antiqua" w:hAnsi="Book Antiqua"/>
          <w:bCs/>
          <w:color w:val="auto"/>
          <w:sz w:val="24"/>
          <w:szCs w:val="24"/>
          <w:lang w:val="en-US"/>
        </w:rPr>
        <w:t>A 1.5 to 2</w:t>
      </w:r>
      <w:r w:rsidR="00C73D52" w:rsidRPr="00517715">
        <w:rPr>
          <w:rFonts w:ascii="Book Antiqua" w:hAnsi="Book Antiqua"/>
          <w:bCs/>
          <w:color w:val="auto"/>
          <w:sz w:val="24"/>
          <w:szCs w:val="24"/>
          <w:lang w:val="en-US"/>
        </w:rPr>
        <w:t xml:space="preserve"> </w:t>
      </w:r>
      <w:r w:rsidRPr="00517715">
        <w:rPr>
          <w:rFonts w:ascii="Book Antiqua" w:hAnsi="Book Antiqua"/>
          <w:bCs/>
          <w:color w:val="auto"/>
          <w:sz w:val="24"/>
          <w:szCs w:val="24"/>
          <w:lang w:val="en-US"/>
        </w:rPr>
        <w:t>cm wrap incorporating the anterior wall of the oesophagus with at least one suture</w:t>
      </w:r>
      <w:r w:rsidR="00C73D52" w:rsidRPr="00517715">
        <w:rPr>
          <w:rFonts w:ascii="Book Antiqua" w:hAnsi="Book Antiqua"/>
          <w:bCs/>
          <w:color w:val="auto"/>
          <w:sz w:val="24"/>
          <w:szCs w:val="24"/>
          <w:lang w:val="en-US"/>
        </w:rPr>
        <w:t>.</w:t>
      </w:r>
    </w:p>
    <w:p w14:paraId="752251E8" w14:textId="77777777" w:rsidR="005E23F3" w:rsidRPr="00517715" w:rsidRDefault="005E23F3" w:rsidP="00256D6C">
      <w:pPr>
        <w:pStyle w:val="Body1"/>
        <w:widowControl w:val="0"/>
        <w:snapToGrid w:val="0"/>
        <w:spacing w:after="0" w:line="360" w:lineRule="auto"/>
        <w:jc w:val="both"/>
        <w:rPr>
          <w:rFonts w:ascii="Book Antiqua" w:hAnsi="Book Antiqua"/>
          <w:bCs/>
          <w:color w:val="auto"/>
          <w:sz w:val="24"/>
          <w:szCs w:val="24"/>
          <w:lang w:val="en-US"/>
        </w:rPr>
      </w:pPr>
    </w:p>
    <w:p w14:paraId="7680A808" w14:textId="347B3162" w:rsidR="00A51856" w:rsidRPr="00517715" w:rsidRDefault="00A51856" w:rsidP="00256D6C">
      <w:pPr>
        <w:pStyle w:val="Body1"/>
        <w:widowControl w:val="0"/>
        <w:snapToGrid w:val="0"/>
        <w:spacing w:after="0" w:line="360" w:lineRule="auto"/>
        <w:jc w:val="both"/>
        <w:rPr>
          <w:rFonts w:ascii="Book Antiqua" w:hAnsi="Book Antiqua"/>
          <w:b/>
          <w:caps/>
          <w:color w:val="auto"/>
          <w:sz w:val="24"/>
          <w:szCs w:val="24"/>
          <w:u w:val="single"/>
          <w:lang w:val="en-US"/>
        </w:rPr>
      </w:pPr>
      <w:r w:rsidRPr="00517715">
        <w:rPr>
          <w:rFonts w:ascii="Book Antiqua" w:hAnsi="Book Antiqua"/>
          <w:b/>
          <w:caps/>
          <w:color w:val="auto"/>
          <w:sz w:val="24"/>
          <w:szCs w:val="24"/>
          <w:u w:val="single"/>
          <w:lang w:val="en-US"/>
        </w:rPr>
        <w:t>Comparison between Full and Partial Wraps</w:t>
      </w:r>
    </w:p>
    <w:p w14:paraId="2C76BBBC" w14:textId="0F54E72E" w:rsidR="00A75534" w:rsidRPr="00517715" w:rsidRDefault="003A7123" w:rsidP="00256D6C">
      <w:pPr>
        <w:pStyle w:val="Body1"/>
        <w:widowControl w:val="0"/>
        <w:snapToGrid w:val="0"/>
        <w:spacing w:after="0" w:line="360" w:lineRule="auto"/>
        <w:jc w:val="both"/>
        <w:rPr>
          <w:rFonts w:ascii="Book Antiqua" w:hAnsi="Book Antiqua"/>
          <w:bCs/>
          <w:color w:val="auto"/>
          <w:sz w:val="24"/>
          <w:szCs w:val="24"/>
          <w:lang w:val="en-US"/>
        </w:rPr>
      </w:pPr>
      <w:r w:rsidRPr="00517715">
        <w:rPr>
          <w:rFonts w:ascii="Book Antiqua" w:hAnsi="Book Antiqua"/>
          <w:bCs/>
          <w:color w:val="auto"/>
          <w:sz w:val="24"/>
          <w:szCs w:val="24"/>
          <w:lang w:val="en-US"/>
        </w:rPr>
        <w:t>There have been a number of randomized controlled trials that have compared the outcomes of both full and partial posterior</w:t>
      </w:r>
      <w:r w:rsidR="004C7014" w:rsidRPr="00517715">
        <w:rPr>
          <w:rFonts w:ascii="Book Antiqua" w:hAnsi="Book Antiqua"/>
          <w:color w:val="auto"/>
          <w:sz w:val="24"/>
          <w:szCs w:val="24"/>
          <w:vertAlign w:val="superscript"/>
        </w:rPr>
        <w:t>[</w:t>
      </w:r>
      <w:r w:rsidR="009062BE" w:rsidRPr="00517715">
        <w:rPr>
          <w:rFonts w:ascii="Book Antiqua" w:hAnsi="Book Antiqua"/>
          <w:color w:val="auto"/>
          <w:sz w:val="24"/>
          <w:szCs w:val="24"/>
          <w:vertAlign w:val="superscript"/>
        </w:rPr>
        <w:t>15,</w:t>
      </w:r>
      <w:r w:rsidR="004C7014" w:rsidRPr="00517715">
        <w:rPr>
          <w:rFonts w:ascii="Book Antiqua" w:hAnsi="Book Antiqua"/>
          <w:color w:val="auto"/>
          <w:sz w:val="24"/>
          <w:szCs w:val="24"/>
          <w:vertAlign w:val="superscript"/>
        </w:rPr>
        <w:t xml:space="preserve">16] </w:t>
      </w:r>
      <w:r w:rsidRPr="00517715">
        <w:rPr>
          <w:rFonts w:ascii="Book Antiqua" w:hAnsi="Book Antiqua"/>
          <w:bCs/>
          <w:color w:val="auto"/>
          <w:sz w:val="24"/>
          <w:szCs w:val="24"/>
          <w:lang w:val="en-US"/>
        </w:rPr>
        <w:t>and posterior with anterior fundoplication</w:t>
      </w:r>
      <w:r w:rsidR="004C7014" w:rsidRPr="00517715">
        <w:rPr>
          <w:rFonts w:ascii="Book Antiqua" w:hAnsi="Book Antiqua"/>
          <w:color w:val="auto"/>
          <w:sz w:val="24"/>
          <w:szCs w:val="24"/>
          <w:vertAlign w:val="superscript"/>
        </w:rPr>
        <w:t>[1</w:t>
      </w:r>
      <w:r w:rsidR="009062BE" w:rsidRPr="00517715">
        <w:rPr>
          <w:rFonts w:ascii="Book Antiqua" w:hAnsi="Book Antiqua"/>
          <w:color w:val="auto"/>
          <w:sz w:val="24"/>
          <w:szCs w:val="24"/>
          <w:vertAlign w:val="superscript"/>
        </w:rPr>
        <w:t>7</w:t>
      </w:r>
      <w:r w:rsidR="004C7014" w:rsidRPr="00517715">
        <w:rPr>
          <w:rFonts w:ascii="Book Antiqua" w:hAnsi="Book Antiqua"/>
          <w:color w:val="auto"/>
          <w:sz w:val="24"/>
          <w:szCs w:val="24"/>
          <w:vertAlign w:val="superscript"/>
        </w:rPr>
        <w:t>-</w:t>
      </w:r>
      <w:r w:rsidR="009062BE" w:rsidRPr="00517715">
        <w:rPr>
          <w:rFonts w:ascii="Book Antiqua" w:hAnsi="Book Antiqua"/>
          <w:color w:val="auto"/>
          <w:sz w:val="24"/>
          <w:szCs w:val="24"/>
          <w:vertAlign w:val="superscript"/>
        </w:rPr>
        <w:t>19</w:t>
      </w:r>
      <w:r w:rsidR="004C7014" w:rsidRPr="00517715">
        <w:rPr>
          <w:rFonts w:ascii="Book Antiqua" w:hAnsi="Book Antiqua"/>
          <w:color w:val="auto"/>
          <w:sz w:val="24"/>
          <w:szCs w:val="24"/>
          <w:vertAlign w:val="superscript"/>
        </w:rPr>
        <w:t>]</w:t>
      </w:r>
      <w:r w:rsidRPr="00517715">
        <w:rPr>
          <w:rFonts w:ascii="Book Antiqua" w:hAnsi="Book Antiqua"/>
          <w:bCs/>
          <w:color w:val="auto"/>
          <w:sz w:val="24"/>
          <w:szCs w:val="24"/>
          <w:lang w:val="en-US"/>
        </w:rPr>
        <w:t>.</w:t>
      </w:r>
      <w:r w:rsidR="00C25B70" w:rsidRPr="00517715">
        <w:rPr>
          <w:rFonts w:ascii="Book Antiqua" w:hAnsi="Book Antiqua"/>
          <w:bCs/>
          <w:color w:val="auto"/>
          <w:sz w:val="24"/>
          <w:szCs w:val="24"/>
          <w:lang w:val="en-US"/>
        </w:rPr>
        <w:t xml:space="preserve"> The evidence suggests that there is little difference in post-operative dysphagia when comparing full and partial posterior fundoplication</w:t>
      </w:r>
      <w:r w:rsidR="00595FD3" w:rsidRPr="00517715">
        <w:rPr>
          <w:rFonts w:ascii="Book Antiqua" w:hAnsi="Book Antiqua"/>
          <w:color w:val="auto"/>
          <w:sz w:val="24"/>
          <w:szCs w:val="24"/>
          <w:vertAlign w:val="superscript"/>
        </w:rPr>
        <w:t>[2</w:t>
      </w:r>
      <w:r w:rsidR="009062BE" w:rsidRPr="00517715">
        <w:rPr>
          <w:rFonts w:ascii="Book Antiqua" w:hAnsi="Book Antiqua"/>
          <w:color w:val="auto"/>
          <w:sz w:val="24"/>
          <w:szCs w:val="24"/>
          <w:vertAlign w:val="superscript"/>
        </w:rPr>
        <w:t>0</w:t>
      </w:r>
      <w:r w:rsidR="00595FD3" w:rsidRPr="00517715">
        <w:rPr>
          <w:rFonts w:ascii="Book Antiqua" w:hAnsi="Book Antiqua"/>
          <w:color w:val="auto"/>
          <w:sz w:val="24"/>
          <w:szCs w:val="24"/>
          <w:vertAlign w:val="superscript"/>
        </w:rPr>
        <w:t xml:space="preserve">] </w:t>
      </w:r>
      <w:r w:rsidR="00A74C2E" w:rsidRPr="00517715">
        <w:rPr>
          <w:rFonts w:ascii="Book Antiqua" w:hAnsi="Book Antiqua"/>
          <w:bCs/>
          <w:color w:val="auto"/>
          <w:sz w:val="24"/>
          <w:szCs w:val="24"/>
          <w:lang w:val="en-US"/>
        </w:rPr>
        <w:t xml:space="preserve"> and while the evidence f</w:t>
      </w:r>
      <w:r w:rsidR="00A75534" w:rsidRPr="00517715">
        <w:rPr>
          <w:rFonts w:ascii="Book Antiqua" w:hAnsi="Book Antiqua"/>
          <w:bCs/>
          <w:color w:val="auto"/>
          <w:sz w:val="24"/>
          <w:szCs w:val="24"/>
          <w:lang w:val="en-US"/>
        </w:rPr>
        <w:t>r</w:t>
      </w:r>
      <w:r w:rsidR="00A74C2E" w:rsidRPr="00517715">
        <w:rPr>
          <w:rFonts w:ascii="Book Antiqua" w:hAnsi="Book Antiqua"/>
          <w:bCs/>
          <w:color w:val="auto"/>
          <w:sz w:val="24"/>
          <w:szCs w:val="24"/>
          <w:lang w:val="en-US"/>
        </w:rPr>
        <w:t>om the randomized trials comparing posterior with anterior fundoplication was mixed</w:t>
      </w:r>
      <w:r w:rsidR="00C86959" w:rsidRPr="00517715">
        <w:rPr>
          <w:rFonts w:ascii="Book Antiqua" w:hAnsi="Book Antiqua"/>
          <w:bCs/>
          <w:color w:val="auto"/>
          <w:sz w:val="24"/>
          <w:szCs w:val="24"/>
          <w:lang w:val="en-US"/>
        </w:rPr>
        <w:t>.</w:t>
      </w:r>
      <w:r w:rsidR="00A74C2E" w:rsidRPr="00517715">
        <w:rPr>
          <w:rFonts w:ascii="Book Antiqua" w:hAnsi="Book Antiqua"/>
          <w:bCs/>
          <w:color w:val="auto"/>
          <w:sz w:val="24"/>
          <w:szCs w:val="24"/>
          <w:lang w:val="en-US"/>
        </w:rPr>
        <w:t xml:space="preserve"> </w:t>
      </w:r>
      <w:r w:rsidR="00C86959" w:rsidRPr="00517715">
        <w:rPr>
          <w:rFonts w:ascii="Book Antiqua" w:hAnsi="Book Antiqua"/>
          <w:bCs/>
          <w:color w:val="auto"/>
          <w:sz w:val="24"/>
          <w:szCs w:val="24"/>
          <w:lang w:val="en-US"/>
        </w:rPr>
        <w:t>A</w:t>
      </w:r>
      <w:r w:rsidR="00A74C2E" w:rsidRPr="00517715">
        <w:rPr>
          <w:rFonts w:ascii="Book Antiqua" w:hAnsi="Book Antiqua"/>
          <w:bCs/>
          <w:color w:val="auto"/>
          <w:sz w:val="24"/>
          <w:szCs w:val="24"/>
          <w:lang w:val="en-US"/>
        </w:rPr>
        <w:t xml:space="preserve"> recent meta-analysis </w:t>
      </w:r>
      <w:r w:rsidR="00C86959" w:rsidRPr="00517715">
        <w:rPr>
          <w:rFonts w:ascii="Book Antiqua" w:hAnsi="Book Antiqua"/>
          <w:bCs/>
          <w:color w:val="auto"/>
          <w:sz w:val="24"/>
          <w:szCs w:val="24"/>
          <w:lang w:val="en-US"/>
        </w:rPr>
        <w:t>has reported that both anterior and posterior fundoplication are equally effective at controlling reflux symptoms the 180</w:t>
      </w:r>
      <w:r w:rsidR="00C86959" w:rsidRPr="00517715">
        <w:rPr>
          <w:rFonts w:ascii="Book Antiqua" w:hAnsi="Book Antiqua"/>
          <w:bCs/>
          <w:color w:val="auto"/>
          <w:sz w:val="24"/>
          <w:szCs w:val="24"/>
          <w:vertAlign w:val="superscript"/>
          <w:lang w:val="en-US"/>
        </w:rPr>
        <w:t xml:space="preserve">0 </w:t>
      </w:r>
      <w:r w:rsidR="00C86959" w:rsidRPr="00517715">
        <w:rPr>
          <w:rFonts w:ascii="Book Antiqua" w:hAnsi="Book Antiqua"/>
          <w:bCs/>
          <w:color w:val="auto"/>
          <w:sz w:val="24"/>
          <w:szCs w:val="24"/>
          <w:lang w:val="en-US"/>
        </w:rPr>
        <w:t xml:space="preserve">anterior fundoplication is associated with a lower incidence of </w:t>
      </w:r>
      <w:r w:rsidR="00C86959" w:rsidRPr="00517715">
        <w:rPr>
          <w:rFonts w:ascii="Book Antiqua" w:hAnsi="Book Antiqua"/>
          <w:bCs/>
          <w:color w:val="auto"/>
          <w:sz w:val="24"/>
          <w:szCs w:val="24"/>
          <w:lang w:val="en-US"/>
        </w:rPr>
        <w:lastRenderedPageBreak/>
        <w:t>post-operative dysphagia</w:t>
      </w:r>
      <w:r w:rsidR="00595FD3" w:rsidRPr="00517715">
        <w:rPr>
          <w:rFonts w:ascii="Book Antiqua" w:hAnsi="Book Antiqua"/>
          <w:color w:val="auto"/>
          <w:sz w:val="24"/>
          <w:szCs w:val="24"/>
          <w:vertAlign w:val="superscript"/>
        </w:rPr>
        <w:t>[</w:t>
      </w:r>
      <w:bookmarkStart w:id="19" w:name="_GoBack"/>
      <w:r w:rsidR="00595FD3" w:rsidRPr="00517715">
        <w:rPr>
          <w:rFonts w:ascii="Book Antiqua" w:hAnsi="Book Antiqua"/>
          <w:color w:val="auto"/>
          <w:sz w:val="24"/>
          <w:szCs w:val="24"/>
          <w:vertAlign w:val="superscript"/>
        </w:rPr>
        <w:t>2</w:t>
      </w:r>
      <w:r w:rsidR="009062BE" w:rsidRPr="00517715">
        <w:rPr>
          <w:rFonts w:ascii="Book Antiqua" w:hAnsi="Book Antiqua"/>
          <w:color w:val="auto"/>
          <w:sz w:val="24"/>
          <w:szCs w:val="24"/>
          <w:vertAlign w:val="superscript"/>
        </w:rPr>
        <w:t>1</w:t>
      </w:r>
      <w:r w:rsidR="00595FD3" w:rsidRPr="00517715">
        <w:rPr>
          <w:rFonts w:ascii="Book Antiqua" w:hAnsi="Book Antiqua"/>
          <w:color w:val="auto"/>
          <w:sz w:val="24"/>
          <w:szCs w:val="24"/>
          <w:vertAlign w:val="superscript"/>
        </w:rPr>
        <w:t>]</w:t>
      </w:r>
      <w:bookmarkEnd w:id="19"/>
      <w:r w:rsidR="00C86959" w:rsidRPr="00517715">
        <w:rPr>
          <w:rFonts w:ascii="Book Antiqua" w:hAnsi="Book Antiqua"/>
          <w:bCs/>
          <w:color w:val="auto"/>
          <w:sz w:val="24"/>
          <w:szCs w:val="24"/>
          <w:lang w:val="en-US"/>
        </w:rPr>
        <w:t>.</w:t>
      </w:r>
      <w:r w:rsidR="00CA39D7" w:rsidRPr="00517715">
        <w:rPr>
          <w:rFonts w:ascii="Book Antiqua" w:hAnsi="Book Antiqua"/>
          <w:bCs/>
          <w:color w:val="auto"/>
          <w:sz w:val="24"/>
          <w:szCs w:val="24"/>
          <w:lang w:val="en-US"/>
        </w:rPr>
        <w:t xml:space="preserve"> As a consequence an anterior fundoplication is associated with fewer re-operations (carried out for dysphagia).</w:t>
      </w:r>
    </w:p>
    <w:p w14:paraId="22A439BD" w14:textId="77777777" w:rsidR="00A75534" w:rsidRPr="00517715" w:rsidRDefault="00CA39D7" w:rsidP="00256D6C">
      <w:pPr>
        <w:pStyle w:val="Body1"/>
        <w:widowControl w:val="0"/>
        <w:snapToGrid w:val="0"/>
        <w:spacing w:after="0" w:line="360" w:lineRule="auto"/>
        <w:ind w:firstLineChars="100" w:firstLine="252"/>
        <w:jc w:val="both"/>
        <w:rPr>
          <w:rFonts w:ascii="Book Antiqua" w:hAnsi="Book Antiqua"/>
          <w:bCs/>
          <w:color w:val="auto"/>
          <w:sz w:val="24"/>
          <w:szCs w:val="24"/>
          <w:lang w:val="en-US"/>
        </w:rPr>
      </w:pPr>
      <w:r w:rsidRPr="00517715">
        <w:rPr>
          <w:rFonts w:ascii="Book Antiqua" w:hAnsi="Book Antiqua"/>
          <w:bCs/>
          <w:color w:val="auto"/>
          <w:sz w:val="24"/>
          <w:szCs w:val="24"/>
          <w:lang w:val="en-US"/>
        </w:rPr>
        <w:t xml:space="preserve">In addition to these </w:t>
      </w:r>
      <w:r w:rsidR="00247B65" w:rsidRPr="00517715">
        <w:rPr>
          <w:rFonts w:ascii="Book Antiqua" w:hAnsi="Book Antiqua"/>
          <w:bCs/>
          <w:color w:val="auto"/>
          <w:sz w:val="24"/>
          <w:szCs w:val="24"/>
          <w:lang w:val="en-US"/>
        </w:rPr>
        <w:t>data,</w:t>
      </w:r>
      <w:r w:rsidRPr="00517715">
        <w:rPr>
          <w:rFonts w:ascii="Book Antiqua" w:hAnsi="Book Antiqua"/>
          <w:bCs/>
          <w:color w:val="auto"/>
          <w:sz w:val="24"/>
          <w:szCs w:val="24"/>
          <w:lang w:val="en-US"/>
        </w:rPr>
        <w:t xml:space="preserve"> t</w:t>
      </w:r>
      <w:r w:rsidR="00A75534" w:rsidRPr="00517715">
        <w:rPr>
          <w:rFonts w:ascii="Book Antiqua" w:hAnsi="Book Antiqua"/>
          <w:bCs/>
          <w:color w:val="auto"/>
          <w:sz w:val="24"/>
          <w:szCs w:val="24"/>
          <w:lang w:val="en-US"/>
        </w:rPr>
        <w:t>here are technical factors to consider when comparing anterior and posterior fundoplication. There is little doubt that the 180</w:t>
      </w:r>
      <w:r w:rsidR="00A75534" w:rsidRPr="00517715">
        <w:rPr>
          <w:rFonts w:ascii="Book Antiqua" w:hAnsi="Book Antiqua"/>
          <w:bCs/>
          <w:color w:val="auto"/>
          <w:sz w:val="24"/>
          <w:szCs w:val="24"/>
          <w:vertAlign w:val="superscript"/>
          <w:lang w:val="en-US"/>
        </w:rPr>
        <w:t>0</w:t>
      </w:r>
      <w:r w:rsidR="00A75534" w:rsidRPr="00517715">
        <w:rPr>
          <w:rFonts w:ascii="Book Antiqua" w:hAnsi="Book Antiqua"/>
          <w:bCs/>
          <w:color w:val="auto"/>
          <w:sz w:val="24"/>
          <w:szCs w:val="24"/>
          <w:lang w:val="en-US"/>
        </w:rPr>
        <w:t xml:space="preserve"> anterior fundoplication is simpler to perform but the requirement to anchor the fundoplication to the right crus means that re-operation for recurrent symptoms requires more dissection to release the attachments. </w:t>
      </w:r>
    </w:p>
    <w:p w14:paraId="0AC89E06" w14:textId="23A6988D" w:rsidR="00107204" w:rsidRPr="00517715" w:rsidRDefault="00A75534" w:rsidP="00256D6C">
      <w:pPr>
        <w:pStyle w:val="Body1"/>
        <w:widowControl w:val="0"/>
        <w:snapToGrid w:val="0"/>
        <w:spacing w:after="0" w:line="360" w:lineRule="auto"/>
        <w:ind w:firstLineChars="100" w:firstLine="252"/>
        <w:jc w:val="both"/>
        <w:rPr>
          <w:rFonts w:ascii="Book Antiqua" w:hAnsi="Book Antiqua"/>
          <w:color w:val="auto"/>
          <w:sz w:val="24"/>
          <w:szCs w:val="24"/>
        </w:rPr>
      </w:pPr>
      <w:r w:rsidRPr="00517715">
        <w:rPr>
          <w:rFonts w:ascii="Book Antiqua" w:hAnsi="Book Antiqua"/>
          <w:bCs/>
          <w:color w:val="auto"/>
          <w:sz w:val="24"/>
          <w:szCs w:val="24"/>
          <w:lang w:val="en-US"/>
        </w:rPr>
        <w:t xml:space="preserve">The evidence therefore would suggest that the fundoplication associated with the lowest rates of </w:t>
      </w:r>
      <w:r w:rsidR="00247B65" w:rsidRPr="00517715">
        <w:rPr>
          <w:rFonts w:ascii="Book Antiqua" w:hAnsi="Book Antiqua"/>
          <w:bCs/>
          <w:color w:val="auto"/>
          <w:sz w:val="24"/>
          <w:szCs w:val="24"/>
          <w:lang w:val="en-US"/>
        </w:rPr>
        <w:t xml:space="preserve">unwanted </w:t>
      </w:r>
      <w:r w:rsidRPr="00517715">
        <w:rPr>
          <w:rFonts w:ascii="Book Antiqua" w:hAnsi="Book Antiqua"/>
          <w:bCs/>
          <w:color w:val="auto"/>
          <w:sz w:val="24"/>
          <w:szCs w:val="24"/>
          <w:lang w:val="en-US"/>
        </w:rPr>
        <w:t>post-operative symptoms is an anterior 180</w:t>
      </w:r>
      <w:r w:rsidRPr="00517715">
        <w:rPr>
          <w:rFonts w:ascii="Book Antiqua" w:hAnsi="Book Antiqua"/>
          <w:bCs/>
          <w:color w:val="auto"/>
          <w:sz w:val="24"/>
          <w:szCs w:val="24"/>
          <w:vertAlign w:val="superscript"/>
          <w:lang w:val="en-US"/>
        </w:rPr>
        <w:t>0</w:t>
      </w:r>
      <w:r w:rsidR="00E23F55">
        <w:rPr>
          <w:rFonts w:ascii="Book Antiqua" w:hAnsi="Book Antiqua"/>
          <w:bCs/>
          <w:color w:val="auto"/>
          <w:sz w:val="24"/>
          <w:szCs w:val="24"/>
          <w:vertAlign w:val="superscript"/>
          <w:lang w:val="en-US"/>
        </w:rPr>
        <w:t xml:space="preserve"> </w:t>
      </w:r>
      <w:r w:rsidRPr="00517715">
        <w:rPr>
          <w:rFonts w:ascii="Book Antiqua" w:hAnsi="Book Antiqua"/>
          <w:bCs/>
          <w:color w:val="auto"/>
          <w:sz w:val="24"/>
          <w:szCs w:val="24"/>
          <w:lang w:val="en-US"/>
        </w:rPr>
        <w:t>fundoplication.</w:t>
      </w:r>
      <w:r w:rsidRPr="00517715">
        <w:rPr>
          <w:rFonts w:ascii="Book Antiqua" w:hAnsi="Book Antiqua"/>
          <w:color w:val="auto"/>
          <w:sz w:val="24"/>
          <w:szCs w:val="24"/>
        </w:rPr>
        <w:t xml:space="preserve"> This fundoplication will provide an acceptable level of symptom control and patient satisfaction but in the event of the patient requiring further </w:t>
      </w:r>
      <w:r w:rsidR="00107204" w:rsidRPr="00517715">
        <w:rPr>
          <w:rFonts w:ascii="Book Antiqua" w:hAnsi="Book Antiqua"/>
          <w:color w:val="auto"/>
          <w:sz w:val="24"/>
          <w:szCs w:val="24"/>
        </w:rPr>
        <w:t>surgery,</w:t>
      </w:r>
      <w:r w:rsidRPr="00517715">
        <w:rPr>
          <w:rFonts w:ascii="Book Antiqua" w:hAnsi="Book Antiqua"/>
          <w:color w:val="auto"/>
          <w:sz w:val="24"/>
          <w:szCs w:val="24"/>
        </w:rPr>
        <w:t xml:space="preserve"> this type of fundoplication might increase the complexity of that redo surgery. This however, needs to be balanced against the reduce requirement for intervention for post-operative </w:t>
      </w:r>
      <w:r w:rsidR="00107204" w:rsidRPr="00517715">
        <w:rPr>
          <w:rFonts w:ascii="Book Antiqua" w:hAnsi="Book Antiqua"/>
          <w:color w:val="auto"/>
          <w:sz w:val="24"/>
          <w:szCs w:val="24"/>
        </w:rPr>
        <w:t>dysphagia.</w:t>
      </w:r>
    </w:p>
    <w:p w14:paraId="4B46D240" w14:textId="77777777" w:rsidR="005E23F3" w:rsidRPr="00517715" w:rsidRDefault="005E23F3" w:rsidP="00256D6C">
      <w:pPr>
        <w:pStyle w:val="Body1"/>
        <w:widowControl w:val="0"/>
        <w:snapToGrid w:val="0"/>
        <w:spacing w:after="0" w:line="360" w:lineRule="auto"/>
        <w:jc w:val="both"/>
        <w:rPr>
          <w:rFonts w:ascii="Book Antiqua" w:hAnsi="Book Antiqua"/>
          <w:color w:val="auto"/>
          <w:sz w:val="24"/>
          <w:szCs w:val="24"/>
        </w:rPr>
      </w:pPr>
    </w:p>
    <w:p w14:paraId="7DCE786F" w14:textId="40AD168C" w:rsidR="00A51856" w:rsidRPr="00517715" w:rsidRDefault="00A51856" w:rsidP="00256D6C">
      <w:pPr>
        <w:pStyle w:val="Body1"/>
        <w:widowControl w:val="0"/>
        <w:snapToGrid w:val="0"/>
        <w:spacing w:after="0" w:line="360" w:lineRule="auto"/>
        <w:jc w:val="both"/>
        <w:rPr>
          <w:rFonts w:ascii="Book Antiqua" w:hAnsi="Book Antiqua"/>
          <w:b/>
          <w:bCs/>
          <w:caps/>
          <w:color w:val="auto"/>
          <w:sz w:val="24"/>
          <w:szCs w:val="24"/>
          <w:u w:val="single"/>
        </w:rPr>
      </w:pPr>
      <w:r w:rsidRPr="00517715">
        <w:rPr>
          <w:rFonts w:ascii="Book Antiqua" w:hAnsi="Book Antiqua"/>
          <w:b/>
          <w:bCs/>
          <w:caps/>
          <w:color w:val="auto"/>
          <w:sz w:val="24"/>
          <w:szCs w:val="24"/>
          <w:u w:val="single"/>
        </w:rPr>
        <w:t>Conclusion</w:t>
      </w:r>
    </w:p>
    <w:p w14:paraId="25BE099C" w14:textId="77777777" w:rsidR="00801E2D" w:rsidRDefault="00247B65" w:rsidP="00801E2D">
      <w:pPr>
        <w:pStyle w:val="Body1"/>
        <w:widowControl w:val="0"/>
        <w:snapToGrid w:val="0"/>
        <w:spacing w:after="0" w:line="360" w:lineRule="auto"/>
        <w:jc w:val="both"/>
        <w:rPr>
          <w:rFonts w:ascii="Book Antiqua" w:hAnsi="Book Antiqua"/>
          <w:color w:val="auto"/>
          <w:sz w:val="24"/>
          <w:szCs w:val="24"/>
        </w:rPr>
      </w:pPr>
      <w:r w:rsidRPr="00517715">
        <w:rPr>
          <w:rFonts w:ascii="Book Antiqua" w:hAnsi="Book Antiqua"/>
          <w:color w:val="auto"/>
          <w:sz w:val="24"/>
          <w:szCs w:val="24"/>
        </w:rPr>
        <w:t>There is a paucity of long-term follow up data in this field and this has led to practitioners who favour the full posterior fundoplication to question some of the data presented. Ultimately,</w:t>
      </w:r>
      <w:r w:rsidR="00107204" w:rsidRPr="00517715">
        <w:rPr>
          <w:rFonts w:ascii="Book Antiqua" w:hAnsi="Book Antiqua"/>
          <w:color w:val="auto"/>
          <w:sz w:val="24"/>
          <w:szCs w:val="24"/>
        </w:rPr>
        <w:t xml:space="preserve"> the decision regarding </w:t>
      </w:r>
      <w:r w:rsidRPr="00517715">
        <w:rPr>
          <w:rFonts w:ascii="Book Antiqua" w:hAnsi="Book Antiqua"/>
          <w:color w:val="auto"/>
          <w:sz w:val="24"/>
          <w:szCs w:val="24"/>
        </w:rPr>
        <w:t xml:space="preserve">the </w:t>
      </w:r>
      <w:r w:rsidR="00107204" w:rsidRPr="00517715">
        <w:rPr>
          <w:rFonts w:ascii="Book Antiqua" w:hAnsi="Book Antiqua"/>
          <w:color w:val="auto"/>
          <w:sz w:val="24"/>
          <w:szCs w:val="24"/>
        </w:rPr>
        <w:t xml:space="preserve">type of fundoplication performed will rest with the surgeon and be based on their </w:t>
      </w:r>
      <w:r w:rsidRPr="00517715">
        <w:rPr>
          <w:rFonts w:ascii="Book Antiqua" w:hAnsi="Book Antiqua"/>
          <w:color w:val="auto"/>
          <w:sz w:val="24"/>
          <w:szCs w:val="24"/>
        </w:rPr>
        <w:t xml:space="preserve">experience, their </w:t>
      </w:r>
      <w:r w:rsidR="00107204" w:rsidRPr="00517715">
        <w:rPr>
          <w:rFonts w:ascii="Book Antiqua" w:hAnsi="Book Antiqua"/>
          <w:color w:val="auto"/>
          <w:sz w:val="24"/>
          <w:szCs w:val="24"/>
        </w:rPr>
        <w:t>preference and the individual patient.</w:t>
      </w:r>
    </w:p>
    <w:p w14:paraId="793C0A3F" w14:textId="77777777" w:rsidR="00801E2D" w:rsidRDefault="00801E2D" w:rsidP="00801E2D">
      <w:pPr>
        <w:pStyle w:val="Body1"/>
        <w:widowControl w:val="0"/>
        <w:snapToGrid w:val="0"/>
        <w:spacing w:after="0" w:line="360" w:lineRule="auto"/>
        <w:jc w:val="both"/>
        <w:rPr>
          <w:rFonts w:ascii="Book Antiqua" w:hAnsi="Book Antiqua"/>
          <w:color w:val="auto"/>
          <w:sz w:val="24"/>
          <w:szCs w:val="24"/>
        </w:rPr>
      </w:pPr>
    </w:p>
    <w:p w14:paraId="0428387A" w14:textId="06836165" w:rsidR="001E2870" w:rsidRPr="00801E2D" w:rsidRDefault="00876758" w:rsidP="00801E2D">
      <w:pPr>
        <w:pStyle w:val="Body1"/>
        <w:widowControl w:val="0"/>
        <w:snapToGrid w:val="0"/>
        <w:spacing w:after="0" w:line="360" w:lineRule="auto"/>
        <w:jc w:val="both"/>
        <w:rPr>
          <w:rFonts w:ascii="Book Antiqua" w:hAnsi="Book Antiqua"/>
          <w:color w:val="auto"/>
          <w:sz w:val="24"/>
          <w:szCs w:val="24"/>
        </w:rPr>
      </w:pPr>
      <w:r w:rsidRPr="00517715">
        <w:rPr>
          <w:rFonts w:ascii="Book Antiqua" w:hAnsi="Book Antiqua" w:hint="eastAsia"/>
          <w:b/>
          <w:bCs/>
          <w:caps/>
          <w:sz w:val="24"/>
          <w:szCs w:val="24"/>
          <w:lang w:eastAsia="zh-CN"/>
        </w:rPr>
        <w:t>R</w:t>
      </w:r>
      <w:r w:rsidRPr="00517715">
        <w:rPr>
          <w:rFonts w:ascii="Book Antiqua" w:hAnsi="Book Antiqua"/>
          <w:b/>
          <w:bCs/>
          <w:caps/>
          <w:sz w:val="24"/>
          <w:szCs w:val="24"/>
          <w:lang w:eastAsia="zh-CN"/>
        </w:rPr>
        <w:t>eferences</w:t>
      </w:r>
    </w:p>
    <w:p w14:paraId="0D3F256F" w14:textId="77777777"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 xml:space="preserve">1 </w:t>
      </w:r>
      <w:r w:rsidRPr="00517715">
        <w:rPr>
          <w:rFonts w:ascii="Book Antiqua" w:eastAsia="等线" w:hAnsi="Book Antiqua" w:cs="Times New Roman"/>
          <w:b/>
          <w:kern w:val="2"/>
          <w:sz w:val="24"/>
          <w:szCs w:val="24"/>
          <w:lang w:val="en-US" w:eastAsia="zh-CN"/>
        </w:rPr>
        <w:t>Dallemagne B</w:t>
      </w:r>
      <w:r w:rsidRPr="00517715">
        <w:rPr>
          <w:rFonts w:ascii="Book Antiqua" w:eastAsia="等线" w:hAnsi="Book Antiqua" w:cs="Times New Roman"/>
          <w:kern w:val="2"/>
          <w:sz w:val="24"/>
          <w:szCs w:val="24"/>
          <w:lang w:val="en-US" w:eastAsia="zh-CN"/>
        </w:rPr>
        <w:t xml:space="preserve">, Weerts JM, Jehaes C, Markiewicz S, Lombard R. Laparoscopic Nissen fundoplication: preliminary report. </w:t>
      </w:r>
      <w:r w:rsidRPr="00517715">
        <w:rPr>
          <w:rFonts w:ascii="Book Antiqua" w:eastAsia="等线" w:hAnsi="Book Antiqua" w:cs="Times New Roman"/>
          <w:i/>
          <w:kern w:val="2"/>
          <w:sz w:val="24"/>
          <w:szCs w:val="24"/>
          <w:lang w:val="en-US" w:eastAsia="zh-CN"/>
        </w:rPr>
        <w:t>Surg Laparosc Endosc</w:t>
      </w:r>
      <w:r w:rsidRPr="00517715">
        <w:rPr>
          <w:rFonts w:ascii="Book Antiqua" w:eastAsia="等线" w:hAnsi="Book Antiqua" w:cs="Times New Roman"/>
          <w:kern w:val="2"/>
          <w:sz w:val="24"/>
          <w:szCs w:val="24"/>
          <w:lang w:val="en-US" w:eastAsia="zh-CN"/>
        </w:rPr>
        <w:t xml:space="preserve"> 1991; </w:t>
      </w:r>
      <w:r w:rsidRPr="00517715">
        <w:rPr>
          <w:rFonts w:ascii="Book Antiqua" w:eastAsia="等线" w:hAnsi="Book Antiqua" w:cs="Times New Roman"/>
          <w:b/>
          <w:kern w:val="2"/>
          <w:sz w:val="24"/>
          <w:szCs w:val="24"/>
          <w:lang w:val="en-US" w:eastAsia="zh-CN"/>
        </w:rPr>
        <w:t>1</w:t>
      </w:r>
      <w:r w:rsidRPr="00517715">
        <w:rPr>
          <w:rFonts w:ascii="Book Antiqua" w:eastAsia="等线" w:hAnsi="Book Antiqua" w:cs="Times New Roman"/>
          <w:kern w:val="2"/>
          <w:sz w:val="24"/>
          <w:szCs w:val="24"/>
          <w:lang w:val="en-US" w:eastAsia="zh-CN"/>
        </w:rPr>
        <w:t>: 138-143 [PMID: 1669393]</w:t>
      </w:r>
    </w:p>
    <w:p w14:paraId="4A8BC6F3" w14:textId="77777777"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 xml:space="preserve">2 </w:t>
      </w:r>
      <w:r w:rsidRPr="00517715">
        <w:rPr>
          <w:rFonts w:ascii="Book Antiqua" w:eastAsia="等线" w:hAnsi="Book Antiqua" w:cs="Times New Roman"/>
          <w:b/>
          <w:kern w:val="2"/>
          <w:sz w:val="24"/>
          <w:szCs w:val="24"/>
          <w:lang w:val="en-US" w:eastAsia="zh-CN"/>
        </w:rPr>
        <w:t>Pauwels A</w:t>
      </w:r>
      <w:r w:rsidRPr="00517715">
        <w:rPr>
          <w:rFonts w:ascii="Book Antiqua" w:eastAsia="等线" w:hAnsi="Book Antiqua" w:cs="Times New Roman"/>
          <w:kern w:val="2"/>
          <w:sz w:val="24"/>
          <w:szCs w:val="24"/>
          <w:lang w:val="en-US" w:eastAsia="zh-CN"/>
        </w:rPr>
        <w:t xml:space="preserve">, Boecxstaens V, Andrews CN, Attwood SE, Berrisford R, Bisschops R, Boeckxstaens GE, Bor S, Bredenoord AJ, Cicala M, Corsetti M, Fornari F, Gyawali CP, Hatlebakk J, Johnson SB, Lerut T, Lundell L, Mattioli S, Miwa H, Nafteux P, Omari T, Pandolfino J, Penagini R, Rice TW, Roelandt P, Rommel N, Savarino V, Sifrim D, Suzuki H, Tutuian R, Vanuytsel T, Vela MF, Watson DI, Zerbib F, Tack J. How to </w:t>
      </w:r>
      <w:r w:rsidRPr="00517715">
        <w:rPr>
          <w:rFonts w:ascii="Book Antiqua" w:eastAsia="等线" w:hAnsi="Book Antiqua" w:cs="Times New Roman"/>
          <w:kern w:val="2"/>
          <w:sz w:val="24"/>
          <w:szCs w:val="24"/>
          <w:lang w:val="en-US" w:eastAsia="zh-CN"/>
        </w:rPr>
        <w:lastRenderedPageBreak/>
        <w:t xml:space="preserve">select patients for antireflux surgery? The ICARUS guidelines (international consensus regarding preoperative examinations and clinical characteristics assessment to select adult patients for antireflux surgery). </w:t>
      </w:r>
      <w:r w:rsidRPr="00517715">
        <w:rPr>
          <w:rFonts w:ascii="Book Antiqua" w:eastAsia="等线" w:hAnsi="Book Antiqua" w:cs="Times New Roman"/>
          <w:i/>
          <w:kern w:val="2"/>
          <w:sz w:val="24"/>
          <w:szCs w:val="24"/>
          <w:lang w:val="en-US" w:eastAsia="zh-CN"/>
        </w:rPr>
        <w:t>Gut</w:t>
      </w:r>
      <w:r w:rsidRPr="00517715">
        <w:rPr>
          <w:rFonts w:ascii="Book Antiqua" w:eastAsia="等线" w:hAnsi="Book Antiqua" w:cs="Times New Roman"/>
          <w:kern w:val="2"/>
          <w:sz w:val="24"/>
          <w:szCs w:val="24"/>
          <w:lang w:val="en-US" w:eastAsia="zh-CN"/>
        </w:rPr>
        <w:t xml:space="preserve"> 2019; </w:t>
      </w:r>
      <w:r w:rsidRPr="00517715">
        <w:rPr>
          <w:rFonts w:ascii="Book Antiqua" w:eastAsia="等线" w:hAnsi="Book Antiqua" w:cs="Times New Roman"/>
          <w:b/>
          <w:kern w:val="2"/>
          <w:sz w:val="24"/>
          <w:szCs w:val="24"/>
          <w:lang w:val="en-US" w:eastAsia="zh-CN"/>
        </w:rPr>
        <w:t>68</w:t>
      </w:r>
      <w:r w:rsidRPr="00517715">
        <w:rPr>
          <w:rFonts w:ascii="Book Antiqua" w:eastAsia="等线" w:hAnsi="Book Antiqua" w:cs="Times New Roman"/>
          <w:kern w:val="2"/>
          <w:sz w:val="24"/>
          <w:szCs w:val="24"/>
          <w:lang w:val="en-US" w:eastAsia="zh-CN"/>
        </w:rPr>
        <w:t>: 1928-1941 [PMID: 31375601 DOI: 10.1136/gutjnl-2019-318260]</w:t>
      </w:r>
    </w:p>
    <w:p w14:paraId="6F5C37E2" w14:textId="77777777"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 xml:space="preserve">3 </w:t>
      </w:r>
      <w:r w:rsidRPr="00517715">
        <w:rPr>
          <w:rFonts w:ascii="Book Antiqua" w:eastAsia="等线" w:hAnsi="Book Antiqua" w:cs="Times New Roman"/>
          <w:b/>
          <w:kern w:val="2"/>
          <w:sz w:val="24"/>
          <w:szCs w:val="24"/>
          <w:lang w:val="en-US" w:eastAsia="zh-CN"/>
        </w:rPr>
        <w:t>Pessaux P</w:t>
      </w:r>
      <w:r w:rsidRPr="00517715">
        <w:rPr>
          <w:rFonts w:ascii="Book Antiqua" w:eastAsia="等线" w:hAnsi="Book Antiqua" w:cs="Times New Roman"/>
          <w:kern w:val="2"/>
          <w:sz w:val="24"/>
          <w:szCs w:val="24"/>
          <w:lang w:val="en-US" w:eastAsia="zh-CN"/>
        </w:rPr>
        <w:t xml:space="preserve">, Arnaud JP, Delattre JF, Meyer C, Baulieux J, Mosnier H. Laparoscopic antireflux surgery: five-year results and beyond in 1340 patients. </w:t>
      </w:r>
      <w:r w:rsidRPr="00517715">
        <w:rPr>
          <w:rFonts w:ascii="Book Antiqua" w:eastAsia="等线" w:hAnsi="Book Antiqua" w:cs="Times New Roman"/>
          <w:i/>
          <w:kern w:val="2"/>
          <w:sz w:val="24"/>
          <w:szCs w:val="24"/>
          <w:lang w:val="en-US" w:eastAsia="zh-CN"/>
        </w:rPr>
        <w:t>Arch Surg</w:t>
      </w:r>
      <w:r w:rsidRPr="00517715">
        <w:rPr>
          <w:rFonts w:ascii="Book Antiqua" w:eastAsia="等线" w:hAnsi="Book Antiqua" w:cs="Times New Roman"/>
          <w:kern w:val="2"/>
          <w:sz w:val="24"/>
          <w:szCs w:val="24"/>
          <w:lang w:val="en-US" w:eastAsia="zh-CN"/>
        </w:rPr>
        <w:t xml:space="preserve"> 2005; </w:t>
      </w:r>
      <w:r w:rsidRPr="00517715">
        <w:rPr>
          <w:rFonts w:ascii="Book Antiqua" w:eastAsia="等线" w:hAnsi="Book Antiqua" w:cs="Times New Roman"/>
          <w:b/>
          <w:kern w:val="2"/>
          <w:sz w:val="24"/>
          <w:szCs w:val="24"/>
          <w:lang w:val="en-US" w:eastAsia="zh-CN"/>
        </w:rPr>
        <w:t>140</w:t>
      </w:r>
      <w:r w:rsidRPr="00517715">
        <w:rPr>
          <w:rFonts w:ascii="Book Antiqua" w:eastAsia="等线" w:hAnsi="Book Antiqua" w:cs="Times New Roman"/>
          <w:kern w:val="2"/>
          <w:sz w:val="24"/>
          <w:szCs w:val="24"/>
          <w:lang w:val="en-US" w:eastAsia="zh-CN"/>
        </w:rPr>
        <w:t>: 946-951 [PMID: 16230543 DOI: 10.1001/archsurg.140.10.946]</w:t>
      </w:r>
    </w:p>
    <w:p w14:paraId="3FD8D09D" w14:textId="77777777"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 xml:space="preserve">4 </w:t>
      </w:r>
      <w:r w:rsidRPr="00517715">
        <w:rPr>
          <w:rFonts w:ascii="Book Antiqua" w:eastAsia="等线" w:hAnsi="Book Antiqua" w:cs="Times New Roman"/>
          <w:b/>
          <w:kern w:val="2"/>
          <w:sz w:val="24"/>
          <w:szCs w:val="24"/>
          <w:lang w:val="en-US" w:eastAsia="zh-CN"/>
        </w:rPr>
        <w:t>Triponez F</w:t>
      </w:r>
      <w:r w:rsidRPr="00517715">
        <w:rPr>
          <w:rFonts w:ascii="Book Antiqua" w:eastAsia="等线" w:hAnsi="Book Antiqua" w:cs="Times New Roman"/>
          <w:kern w:val="2"/>
          <w:sz w:val="24"/>
          <w:szCs w:val="24"/>
          <w:lang w:val="en-US" w:eastAsia="zh-CN"/>
        </w:rPr>
        <w:t xml:space="preserve">, Dumonceau JM, Azagury D, Volonte F, Slim K, Mermillod B, Huber O, Morel P. Reflux, dysphagia, and gas bloat after laparoscopic fundoplication in patients with incidentally discovered hiatal hernia and in a control group. </w:t>
      </w:r>
      <w:r w:rsidRPr="00517715">
        <w:rPr>
          <w:rFonts w:ascii="Book Antiqua" w:eastAsia="等线" w:hAnsi="Book Antiqua" w:cs="Times New Roman"/>
          <w:i/>
          <w:kern w:val="2"/>
          <w:sz w:val="24"/>
          <w:szCs w:val="24"/>
          <w:lang w:val="en-US" w:eastAsia="zh-CN"/>
        </w:rPr>
        <w:t>Surgery</w:t>
      </w:r>
      <w:r w:rsidRPr="00517715">
        <w:rPr>
          <w:rFonts w:ascii="Book Antiqua" w:eastAsia="等线" w:hAnsi="Book Antiqua" w:cs="Times New Roman"/>
          <w:kern w:val="2"/>
          <w:sz w:val="24"/>
          <w:szCs w:val="24"/>
          <w:lang w:val="en-US" w:eastAsia="zh-CN"/>
        </w:rPr>
        <w:t xml:space="preserve"> 2005; </w:t>
      </w:r>
      <w:r w:rsidRPr="00517715">
        <w:rPr>
          <w:rFonts w:ascii="Book Antiqua" w:eastAsia="等线" w:hAnsi="Book Antiqua" w:cs="Times New Roman"/>
          <w:b/>
          <w:kern w:val="2"/>
          <w:sz w:val="24"/>
          <w:szCs w:val="24"/>
          <w:lang w:val="en-US" w:eastAsia="zh-CN"/>
        </w:rPr>
        <w:t>137</w:t>
      </w:r>
      <w:r w:rsidRPr="00517715">
        <w:rPr>
          <w:rFonts w:ascii="Book Antiqua" w:eastAsia="等线" w:hAnsi="Book Antiqua" w:cs="Times New Roman"/>
          <w:kern w:val="2"/>
          <w:sz w:val="24"/>
          <w:szCs w:val="24"/>
          <w:lang w:val="en-US" w:eastAsia="zh-CN"/>
        </w:rPr>
        <w:t>: 235-242 [PMID: 15674207 DOI: 10.1016/j.surg.2004.07.016]</w:t>
      </w:r>
    </w:p>
    <w:p w14:paraId="7BC7E615" w14:textId="77777777"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 xml:space="preserve">5 </w:t>
      </w:r>
      <w:r w:rsidRPr="00517715">
        <w:rPr>
          <w:rFonts w:ascii="Book Antiqua" w:eastAsia="等线" w:hAnsi="Book Antiqua" w:cs="Times New Roman"/>
          <w:b/>
          <w:kern w:val="2"/>
          <w:sz w:val="24"/>
          <w:szCs w:val="24"/>
          <w:lang w:val="en-US" w:eastAsia="zh-CN"/>
        </w:rPr>
        <w:t>Brehant O</w:t>
      </w:r>
      <w:r w:rsidRPr="00517715">
        <w:rPr>
          <w:rFonts w:ascii="Book Antiqua" w:eastAsia="等线" w:hAnsi="Book Antiqua" w:cs="Times New Roman"/>
          <w:kern w:val="2"/>
          <w:sz w:val="24"/>
          <w:szCs w:val="24"/>
          <w:lang w:val="en-US" w:eastAsia="zh-CN"/>
        </w:rPr>
        <w:t xml:space="preserve">, Pessaux P, Arnaud JP, Delattre JF, Meyer C, Baulieux J, Mosnier H; Association Française de Chirurgie. Long-term outcome of laparoscopic antireflux surgery in the elderly. </w:t>
      </w:r>
      <w:r w:rsidRPr="00517715">
        <w:rPr>
          <w:rFonts w:ascii="Book Antiqua" w:eastAsia="等线" w:hAnsi="Book Antiqua" w:cs="Times New Roman"/>
          <w:i/>
          <w:kern w:val="2"/>
          <w:sz w:val="24"/>
          <w:szCs w:val="24"/>
          <w:lang w:val="en-US" w:eastAsia="zh-CN"/>
        </w:rPr>
        <w:t>J Gastrointest Surg</w:t>
      </w:r>
      <w:r w:rsidRPr="00517715">
        <w:rPr>
          <w:rFonts w:ascii="Book Antiqua" w:eastAsia="等线" w:hAnsi="Book Antiqua" w:cs="Times New Roman"/>
          <w:kern w:val="2"/>
          <w:sz w:val="24"/>
          <w:szCs w:val="24"/>
          <w:lang w:val="en-US" w:eastAsia="zh-CN"/>
        </w:rPr>
        <w:t xml:space="preserve"> 2006; </w:t>
      </w:r>
      <w:r w:rsidRPr="00517715">
        <w:rPr>
          <w:rFonts w:ascii="Book Antiqua" w:eastAsia="等线" w:hAnsi="Book Antiqua" w:cs="Times New Roman"/>
          <w:b/>
          <w:kern w:val="2"/>
          <w:sz w:val="24"/>
          <w:szCs w:val="24"/>
          <w:lang w:val="en-US" w:eastAsia="zh-CN"/>
        </w:rPr>
        <w:t>10</w:t>
      </w:r>
      <w:r w:rsidRPr="00517715">
        <w:rPr>
          <w:rFonts w:ascii="Book Antiqua" w:eastAsia="等线" w:hAnsi="Book Antiqua" w:cs="Times New Roman"/>
          <w:kern w:val="2"/>
          <w:sz w:val="24"/>
          <w:szCs w:val="24"/>
          <w:lang w:val="en-US" w:eastAsia="zh-CN"/>
        </w:rPr>
        <w:t>: 439-444 [PMID: 16504893 DOI: 10.1016/j.gassur.2005.06.017]</w:t>
      </w:r>
    </w:p>
    <w:p w14:paraId="322A7CA5" w14:textId="1398B7C8" w:rsidR="00E96775" w:rsidRPr="00517715"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6</w:t>
      </w:r>
      <w:r w:rsidR="00E96775" w:rsidRPr="00517715">
        <w:rPr>
          <w:rFonts w:ascii="Book Antiqua" w:eastAsia="等线" w:hAnsi="Book Antiqua" w:cs="Times New Roman"/>
          <w:kern w:val="2"/>
          <w:sz w:val="24"/>
          <w:szCs w:val="24"/>
          <w:lang w:val="en-US" w:eastAsia="zh-CN"/>
        </w:rPr>
        <w:t xml:space="preserve"> </w:t>
      </w:r>
      <w:r w:rsidR="00E96775" w:rsidRPr="00517715">
        <w:rPr>
          <w:rFonts w:ascii="Book Antiqua" w:eastAsia="等线" w:hAnsi="Book Antiqua" w:cs="Times New Roman"/>
          <w:b/>
          <w:kern w:val="2"/>
          <w:sz w:val="24"/>
          <w:szCs w:val="24"/>
          <w:lang w:val="en-US" w:eastAsia="zh-CN"/>
        </w:rPr>
        <w:t>Menon VS</w:t>
      </w:r>
      <w:r w:rsidR="00E96775" w:rsidRPr="00517715">
        <w:rPr>
          <w:rFonts w:ascii="Book Antiqua" w:eastAsia="等线" w:hAnsi="Book Antiqua" w:cs="Times New Roman"/>
          <w:kern w:val="2"/>
          <w:sz w:val="24"/>
          <w:szCs w:val="24"/>
          <w:lang w:val="en-US" w:eastAsia="zh-CN"/>
        </w:rPr>
        <w:t xml:space="preserve">, Manson JM, Baxter JN. Laparoscopic fundoplication: learning curve and patient satisfaction. </w:t>
      </w:r>
      <w:r w:rsidR="00E96775" w:rsidRPr="00517715">
        <w:rPr>
          <w:rFonts w:ascii="Book Antiqua" w:eastAsia="等线" w:hAnsi="Book Antiqua" w:cs="Times New Roman"/>
          <w:i/>
          <w:kern w:val="2"/>
          <w:sz w:val="24"/>
          <w:szCs w:val="24"/>
          <w:lang w:val="en-US" w:eastAsia="zh-CN"/>
        </w:rPr>
        <w:t>Ann R Coll Surg Engl</w:t>
      </w:r>
      <w:r w:rsidR="00E96775" w:rsidRPr="00517715">
        <w:rPr>
          <w:rFonts w:ascii="Book Antiqua" w:eastAsia="等线" w:hAnsi="Book Antiqua" w:cs="Times New Roman"/>
          <w:kern w:val="2"/>
          <w:sz w:val="24"/>
          <w:szCs w:val="24"/>
          <w:lang w:val="en-US" w:eastAsia="zh-CN"/>
        </w:rPr>
        <w:t xml:space="preserve"> 2003; </w:t>
      </w:r>
      <w:r w:rsidR="00E96775" w:rsidRPr="00517715">
        <w:rPr>
          <w:rFonts w:ascii="Book Antiqua" w:eastAsia="等线" w:hAnsi="Book Antiqua" w:cs="Times New Roman"/>
          <w:b/>
          <w:kern w:val="2"/>
          <w:sz w:val="24"/>
          <w:szCs w:val="24"/>
          <w:lang w:val="en-US" w:eastAsia="zh-CN"/>
        </w:rPr>
        <w:t>85</w:t>
      </w:r>
      <w:r w:rsidR="00E96775" w:rsidRPr="00517715">
        <w:rPr>
          <w:rFonts w:ascii="Book Antiqua" w:eastAsia="等线" w:hAnsi="Book Antiqua" w:cs="Times New Roman"/>
          <w:kern w:val="2"/>
          <w:sz w:val="24"/>
          <w:szCs w:val="24"/>
          <w:lang w:val="en-US" w:eastAsia="zh-CN"/>
        </w:rPr>
        <w:t>: 10-13 [PMID: 12585623 DOI: 10.1308/003588403321001345]</w:t>
      </w:r>
    </w:p>
    <w:p w14:paraId="22FC9285" w14:textId="64CF313F" w:rsidR="00E96775" w:rsidRPr="00517715"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7</w:t>
      </w:r>
      <w:r w:rsidR="00E96775" w:rsidRPr="00517715">
        <w:rPr>
          <w:rFonts w:ascii="Book Antiqua" w:eastAsia="等线" w:hAnsi="Book Antiqua" w:cs="Times New Roman"/>
          <w:kern w:val="2"/>
          <w:sz w:val="24"/>
          <w:szCs w:val="24"/>
          <w:lang w:val="en-US" w:eastAsia="zh-CN"/>
        </w:rPr>
        <w:t xml:space="preserve"> </w:t>
      </w:r>
      <w:r w:rsidR="00E96775" w:rsidRPr="00517715">
        <w:rPr>
          <w:rFonts w:ascii="Book Antiqua" w:eastAsia="等线" w:hAnsi="Book Antiqua" w:cs="Times New Roman"/>
          <w:b/>
          <w:kern w:val="2"/>
          <w:sz w:val="24"/>
          <w:szCs w:val="24"/>
          <w:lang w:val="en-US" w:eastAsia="zh-CN"/>
        </w:rPr>
        <w:t>Yang H</w:t>
      </w:r>
      <w:r w:rsidR="00E96775" w:rsidRPr="00517715">
        <w:rPr>
          <w:rFonts w:ascii="Book Antiqua" w:eastAsia="等线" w:hAnsi="Book Antiqua" w:cs="Times New Roman"/>
          <w:kern w:val="2"/>
          <w:sz w:val="24"/>
          <w:szCs w:val="24"/>
          <w:lang w:val="en-US" w:eastAsia="zh-CN"/>
        </w:rPr>
        <w:t xml:space="preserve">, Watson DI, Lally CJ, Devitt PG, Game PA, Jamieson GG. Randomized trial of division versus nondivision of the short gastric vessels during laparoscopic Nissen fundoplication: 10-year outcomes. </w:t>
      </w:r>
      <w:r w:rsidR="00E96775" w:rsidRPr="00517715">
        <w:rPr>
          <w:rFonts w:ascii="Book Antiqua" w:eastAsia="等线" w:hAnsi="Book Antiqua" w:cs="Times New Roman"/>
          <w:i/>
          <w:kern w:val="2"/>
          <w:sz w:val="24"/>
          <w:szCs w:val="24"/>
          <w:lang w:val="en-US" w:eastAsia="zh-CN"/>
        </w:rPr>
        <w:t>Ann Surg</w:t>
      </w:r>
      <w:r w:rsidR="00E96775" w:rsidRPr="00517715">
        <w:rPr>
          <w:rFonts w:ascii="Book Antiqua" w:eastAsia="等线" w:hAnsi="Book Antiqua" w:cs="Times New Roman"/>
          <w:kern w:val="2"/>
          <w:sz w:val="24"/>
          <w:szCs w:val="24"/>
          <w:lang w:val="en-US" w:eastAsia="zh-CN"/>
        </w:rPr>
        <w:t xml:space="preserve"> 2008; </w:t>
      </w:r>
      <w:r w:rsidR="00E96775" w:rsidRPr="00517715">
        <w:rPr>
          <w:rFonts w:ascii="Book Antiqua" w:eastAsia="等线" w:hAnsi="Book Antiqua" w:cs="Times New Roman"/>
          <w:b/>
          <w:kern w:val="2"/>
          <w:sz w:val="24"/>
          <w:szCs w:val="24"/>
          <w:lang w:val="en-US" w:eastAsia="zh-CN"/>
        </w:rPr>
        <w:t>247</w:t>
      </w:r>
      <w:r w:rsidR="00E96775" w:rsidRPr="00517715">
        <w:rPr>
          <w:rFonts w:ascii="Book Antiqua" w:eastAsia="等线" w:hAnsi="Book Antiqua" w:cs="Times New Roman"/>
          <w:kern w:val="2"/>
          <w:sz w:val="24"/>
          <w:szCs w:val="24"/>
          <w:lang w:val="en-US" w:eastAsia="zh-CN"/>
        </w:rPr>
        <w:t>: 38-42 [PMID: 18156921 DOI: 10.1097/SLA.0b013e31814a693e]</w:t>
      </w:r>
    </w:p>
    <w:p w14:paraId="4E8DC438" w14:textId="7BA131EE" w:rsidR="00E96775" w:rsidRPr="00517715"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8</w:t>
      </w:r>
      <w:r w:rsidR="00E96775" w:rsidRPr="00517715">
        <w:rPr>
          <w:rFonts w:ascii="Book Antiqua" w:eastAsia="等线" w:hAnsi="Book Antiqua" w:cs="Times New Roman"/>
          <w:kern w:val="2"/>
          <w:sz w:val="24"/>
          <w:szCs w:val="24"/>
          <w:lang w:val="en-US" w:eastAsia="zh-CN"/>
        </w:rPr>
        <w:t xml:space="preserve"> </w:t>
      </w:r>
      <w:r w:rsidR="00E96775" w:rsidRPr="00517715">
        <w:rPr>
          <w:rFonts w:ascii="Book Antiqua" w:eastAsia="等线" w:hAnsi="Book Antiqua" w:cs="Times New Roman"/>
          <w:b/>
          <w:kern w:val="2"/>
          <w:sz w:val="24"/>
          <w:szCs w:val="24"/>
          <w:lang w:val="en-US" w:eastAsia="zh-CN"/>
        </w:rPr>
        <w:t>O'Boyle CJ</w:t>
      </w:r>
      <w:r w:rsidR="00E96775" w:rsidRPr="00517715">
        <w:rPr>
          <w:rFonts w:ascii="Book Antiqua" w:eastAsia="等线" w:hAnsi="Book Antiqua" w:cs="Times New Roman"/>
          <w:kern w:val="2"/>
          <w:sz w:val="24"/>
          <w:szCs w:val="24"/>
          <w:lang w:val="en-US" w:eastAsia="zh-CN"/>
        </w:rPr>
        <w:t xml:space="preserve">, Watson DI, Jamieson GG, Myers JC, Game PA, Devitt PG. Division of short gastric vessels at laparoscopic nissen fundoplication: a prospective double-blind randomized trial with 5-year follow-up. </w:t>
      </w:r>
      <w:r w:rsidR="00E96775" w:rsidRPr="00517715">
        <w:rPr>
          <w:rFonts w:ascii="Book Antiqua" w:eastAsia="等线" w:hAnsi="Book Antiqua" w:cs="Times New Roman"/>
          <w:i/>
          <w:kern w:val="2"/>
          <w:sz w:val="24"/>
          <w:szCs w:val="24"/>
          <w:lang w:val="en-US" w:eastAsia="zh-CN"/>
        </w:rPr>
        <w:t>Ann Surg</w:t>
      </w:r>
      <w:r w:rsidR="00E96775" w:rsidRPr="00517715">
        <w:rPr>
          <w:rFonts w:ascii="Book Antiqua" w:eastAsia="等线" w:hAnsi="Book Antiqua" w:cs="Times New Roman"/>
          <w:kern w:val="2"/>
          <w:sz w:val="24"/>
          <w:szCs w:val="24"/>
          <w:lang w:val="en-US" w:eastAsia="zh-CN"/>
        </w:rPr>
        <w:t xml:space="preserve"> 2002; </w:t>
      </w:r>
      <w:r w:rsidR="00E96775" w:rsidRPr="00517715">
        <w:rPr>
          <w:rFonts w:ascii="Book Antiqua" w:eastAsia="等线" w:hAnsi="Book Antiqua" w:cs="Times New Roman"/>
          <w:b/>
          <w:kern w:val="2"/>
          <w:sz w:val="24"/>
          <w:szCs w:val="24"/>
          <w:lang w:val="en-US" w:eastAsia="zh-CN"/>
        </w:rPr>
        <w:t>235</w:t>
      </w:r>
      <w:r w:rsidR="00E96775" w:rsidRPr="00517715">
        <w:rPr>
          <w:rFonts w:ascii="Book Antiqua" w:eastAsia="等线" w:hAnsi="Book Antiqua" w:cs="Times New Roman"/>
          <w:kern w:val="2"/>
          <w:sz w:val="24"/>
          <w:szCs w:val="24"/>
          <w:lang w:val="en-US" w:eastAsia="zh-CN"/>
        </w:rPr>
        <w:t>: 165-170 [PMID: 11807353 DOI: 10.1097/00000658-200202000-00001]</w:t>
      </w:r>
    </w:p>
    <w:p w14:paraId="2FAD7242" w14:textId="72056707" w:rsidR="00E96775" w:rsidRPr="00517715"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9</w:t>
      </w:r>
      <w:r w:rsidR="00E96775" w:rsidRPr="00517715">
        <w:rPr>
          <w:rFonts w:ascii="Book Antiqua" w:eastAsia="等线" w:hAnsi="Book Antiqua" w:cs="Times New Roman"/>
          <w:kern w:val="2"/>
          <w:sz w:val="24"/>
          <w:szCs w:val="24"/>
          <w:lang w:val="en-US" w:eastAsia="zh-CN"/>
        </w:rPr>
        <w:t xml:space="preserve"> </w:t>
      </w:r>
      <w:r w:rsidR="00E96775" w:rsidRPr="00517715">
        <w:rPr>
          <w:rFonts w:ascii="Book Antiqua" w:eastAsia="等线" w:hAnsi="Book Antiqua" w:cs="Times New Roman"/>
          <w:b/>
          <w:kern w:val="2"/>
          <w:sz w:val="24"/>
          <w:szCs w:val="24"/>
          <w:lang w:val="en-US" w:eastAsia="zh-CN"/>
        </w:rPr>
        <w:t>Victorzon M</w:t>
      </w:r>
      <w:r w:rsidR="00E96775" w:rsidRPr="00517715">
        <w:rPr>
          <w:rFonts w:ascii="Book Antiqua" w:eastAsia="等线" w:hAnsi="Book Antiqua" w:cs="Times New Roman"/>
          <w:kern w:val="2"/>
          <w:sz w:val="24"/>
          <w:szCs w:val="24"/>
          <w:lang w:val="en-US" w:eastAsia="zh-CN"/>
        </w:rPr>
        <w:t xml:space="preserve">, Tolonen P. Symptomatic outcome of laparoscopic fundoplication, using a minimal dissection technique. </w:t>
      </w:r>
      <w:r w:rsidR="00E96775" w:rsidRPr="00517715">
        <w:rPr>
          <w:rFonts w:ascii="Book Antiqua" w:eastAsia="等线" w:hAnsi="Book Antiqua" w:cs="Times New Roman"/>
          <w:i/>
          <w:kern w:val="2"/>
          <w:sz w:val="24"/>
          <w:szCs w:val="24"/>
          <w:lang w:val="en-US" w:eastAsia="zh-CN"/>
        </w:rPr>
        <w:t>Scand J Surg</w:t>
      </w:r>
      <w:r w:rsidR="00E96775" w:rsidRPr="00517715">
        <w:rPr>
          <w:rFonts w:ascii="Book Antiqua" w:eastAsia="等线" w:hAnsi="Book Antiqua" w:cs="Times New Roman"/>
          <w:kern w:val="2"/>
          <w:sz w:val="24"/>
          <w:szCs w:val="24"/>
          <w:lang w:val="en-US" w:eastAsia="zh-CN"/>
        </w:rPr>
        <w:t xml:space="preserve"> 2003; </w:t>
      </w:r>
      <w:r w:rsidR="00E96775" w:rsidRPr="00517715">
        <w:rPr>
          <w:rFonts w:ascii="Book Antiqua" w:eastAsia="等线" w:hAnsi="Book Antiqua" w:cs="Times New Roman"/>
          <w:b/>
          <w:kern w:val="2"/>
          <w:sz w:val="24"/>
          <w:szCs w:val="24"/>
          <w:lang w:val="en-US" w:eastAsia="zh-CN"/>
        </w:rPr>
        <w:t>92</w:t>
      </w:r>
      <w:r w:rsidR="00E96775" w:rsidRPr="00517715">
        <w:rPr>
          <w:rFonts w:ascii="Book Antiqua" w:eastAsia="等线" w:hAnsi="Book Antiqua" w:cs="Times New Roman"/>
          <w:kern w:val="2"/>
          <w:sz w:val="24"/>
          <w:szCs w:val="24"/>
          <w:lang w:val="en-US" w:eastAsia="zh-CN"/>
        </w:rPr>
        <w:t>: 138-143 [PMID: 12841554 DOI: 10.1177/145749690309200205]</w:t>
      </w:r>
    </w:p>
    <w:p w14:paraId="2C05269E" w14:textId="06A3D4A2"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E23F55">
        <w:rPr>
          <w:rFonts w:ascii="Book Antiqua" w:eastAsia="等线" w:hAnsi="Book Antiqua" w:cs="Times New Roman"/>
          <w:kern w:val="2"/>
          <w:sz w:val="24"/>
          <w:szCs w:val="24"/>
          <w:highlight w:val="yellow"/>
          <w:lang w:val="en-US" w:eastAsia="zh-CN"/>
        </w:rPr>
        <w:t>1</w:t>
      </w:r>
      <w:r w:rsidR="009062BE" w:rsidRPr="00E23F55">
        <w:rPr>
          <w:rFonts w:ascii="Book Antiqua" w:eastAsia="等线" w:hAnsi="Book Antiqua" w:cs="Times New Roman"/>
          <w:kern w:val="2"/>
          <w:sz w:val="24"/>
          <w:szCs w:val="24"/>
          <w:highlight w:val="yellow"/>
          <w:lang w:val="en-US" w:eastAsia="zh-CN"/>
        </w:rPr>
        <w:t>0</w:t>
      </w:r>
      <w:r w:rsidRPr="00E23F55">
        <w:rPr>
          <w:rFonts w:ascii="Book Antiqua" w:eastAsia="等线" w:hAnsi="Book Antiqua" w:cs="Times New Roman"/>
          <w:kern w:val="2"/>
          <w:sz w:val="24"/>
          <w:szCs w:val="24"/>
          <w:highlight w:val="yellow"/>
          <w:lang w:val="en-US" w:eastAsia="zh-CN"/>
        </w:rPr>
        <w:t xml:space="preserve"> </w:t>
      </w:r>
      <w:r w:rsidRPr="00E23F55">
        <w:rPr>
          <w:rFonts w:ascii="Book Antiqua" w:eastAsia="等线" w:hAnsi="Book Antiqua" w:cs="Times New Roman"/>
          <w:b/>
          <w:bCs/>
          <w:kern w:val="2"/>
          <w:sz w:val="24"/>
          <w:szCs w:val="24"/>
          <w:highlight w:val="yellow"/>
          <w:lang w:val="en-US" w:eastAsia="zh-CN"/>
        </w:rPr>
        <w:t>SAGES</w:t>
      </w:r>
      <w:r w:rsidRPr="00E23F55">
        <w:rPr>
          <w:rFonts w:ascii="Book Antiqua" w:eastAsia="等线" w:hAnsi="Book Antiqua" w:cs="Times New Roman"/>
          <w:kern w:val="2"/>
          <w:sz w:val="24"/>
          <w:szCs w:val="24"/>
          <w:highlight w:val="yellow"/>
          <w:lang w:val="en-US" w:eastAsia="zh-CN"/>
        </w:rPr>
        <w:t xml:space="preserve">. Guidelines for surgical treatment of gastroesophageal reflux disease (GERD). </w:t>
      </w:r>
      <w:r w:rsidR="00E23F55" w:rsidRPr="00E23F55">
        <w:rPr>
          <w:rFonts w:ascii="Book Antiqua" w:eastAsia="等线" w:hAnsi="Book Antiqua" w:cs="Times New Roman"/>
          <w:kern w:val="2"/>
          <w:sz w:val="24"/>
          <w:szCs w:val="24"/>
          <w:highlight w:val="yellow"/>
          <w:lang w:val="en-US" w:eastAsia="zh-CN"/>
        </w:rPr>
        <w:t xml:space="preserve">Available from: </w:t>
      </w:r>
      <w:hyperlink r:id="rId8" w:history="1">
        <w:r w:rsidR="00E23F55" w:rsidRPr="00E23F55">
          <w:rPr>
            <w:rStyle w:val="a3"/>
            <w:rFonts w:ascii="Book Antiqua" w:eastAsia="等线" w:hAnsi="Book Antiqua" w:cs="Times New Roman"/>
            <w:kern w:val="2"/>
            <w:sz w:val="24"/>
            <w:szCs w:val="24"/>
            <w:highlight w:val="yellow"/>
            <w:lang w:val="en-US" w:eastAsia="zh-CN"/>
          </w:rPr>
          <w:t>https://www.sages.org/publications/guidelines/guidelines-for-surgical-treatment-of-gastroesophageal-reflux-disease-gerd/</w:t>
        </w:r>
      </w:hyperlink>
      <w:r w:rsidR="00E23F55">
        <w:rPr>
          <w:rFonts w:ascii="Book Antiqua" w:eastAsia="等线" w:hAnsi="Book Antiqua" w:cs="Times New Roman"/>
          <w:kern w:val="2"/>
          <w:sz w:val="24"/>
          <w:szCs w:val="24"/>
          <w:lang w:val="en-US" w:eastAsia="zh-CN"/>
        </w:rPr>
        <w:t xml:space="preserve"> </w:t>
      </w:r>
    </w:p>
    <w:p w14:paraId="5CA750AA" w14:textId="5E410F91"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1</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Patterson EJ</w:t>
      </w:r>
      <w:r w:rsidRPr="00517715">
        <w:rPr>
          <w:rFonts w:ascii="Book Antiqua" w:eastAsia="等线" w:hAnsi="Book Antiqua" w:cs="Times New Roman"/>
          <w:kern w:val="2"/>
          <w:sz w:val="24"/>
          <w:szCs w:val="24"/>
          <w:lang w:val="en-US" w:eastAsia="zh-CN"/>
        </w:rPr>
        <w:t xml:space="preserve">, Herron DM, Hansen PD, Ramzi N, Standage BA, Swanström LL. Effect of an esophageal bougie on the incidence of dysphagia following nissen fundoplication: a prospective, blinded, randomized clinical trial. </w:t>
      </w:r>
      <w:r w:rsidRPr="00517715">
        <w:rPr>
          <w:rFonts w:ascii="Book Antiqua" w:eastAsia="等线" w:hAnsi="Book Antiqua" w:cs="Times New Roman"/>
          <w:i/>
          <w:kern w:val="2"/>
          <w:sz w:val="24"/>
          <w:szCs w:val="24"/>
          <w:lang w:val="en-US" w:eastAsia="zh-CN"/>
        </w:rPr>
        <w:t>Arch Surg</w:t>
      </w:r>
      <w:r w:rsidRPr="00517715">
        <w:rPr>
          <w:rFonts w:ascii="Book Antiqua" w:eastAsia="等线" w:hAnsi="Book Antiqua" w:cs="Times New Roman"/>
          <w:kern w:val="2"/>
          <w:sz w:val="24"/>
          <w:szCs w:val="24"/>
          <w:lang w:val="en-US" w:eastAsia="zh-CN"/>
        </w:rPr>
        <w:t xml:space="preserve"> 2000; </w:t>
      </w:r>
      <w:r w:rsidRPr="00517715">
        <w:rPr>
          <w:rFonts w:ascii="Book Antiqua" w:eastAsia="等线" w:hAnsi="Book Antiqua" w:cs="Times New Roman"/>
          <w:b/>
          <w:kern w:val="2"/>
          <w:sz w:val="24"/>
          <w:szCs w:val="24"/>
          <w:lang w:val="en-US" w:eastAsia="zh-CN"/>
        </w:rPr>
        <w:t>135</w:t>
      </w:r>
      <w:r w:rsidRPr="00517715">
        <w:rPr>
          <w:rFonts w:ascii="Book Antiqua" w:eastAsia="等线" w:hAnsi="Book Antiqua" w:cs="Times New Roman"/>
          <w:kern w:val="2"/>
          <w:sz w:val="24"/>
          <w:szCs w:val="24"/>
          <w:lang w:val="en-US" w:eastAsia="zh-CN"/>
        </w:rPr>
        <w:t>: 1055-61; discussion 1061-2 [PMID: 10982510 DOI: 10.1001/archsurg.135.9.1055]</w:t>
      </w:r>
    </w:p>
    <w:p w14:paraId="19CE7EB9" w14:textId="00FF1EAC"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2</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Engström C</w:t>
      </w:r>
      <w:r w:rsidRPr="00517715">
        <w:rPr>
          <w:rFonts w:ascii="Book Antiqua" w:eastAsia="等线" w:hAnsi="Book Antiqua" w:cs="Times New Roman"/>
          <w:kern w:val="2"/>
          <w:sz w:val="24"/>
          <w:szCs w:val="24"/>
          <w:lang w:val="en-US" w:eastAsia="zh-CN"/>
        </w:rPr>
        <w:t xml:space="preserve">, Lönroth H, Mardani J, Lundell L. An anterior or posterior approach to partial fundoplication? Long-term results of a randomized trial. </w:t>
      </w:r>
      <w:r w:rsidRPr="00517715">
        <w:rPr>
          <w:rFonts w:ascii="Book Antiqua" w:eastAsia="等线" w:hAnsi="Book Antiqua" w:cs="Times New Roman"/>
          <w:i/>
          <w:kern w:val="2"/>
          <w:sz w:val="24"/>
          <w:szCs w:val="24"/>
          <w:lang w:val="en-US" w:eastAsia="zh-CN"/>
        </w:rPr>
        <w:t>World J Surg</w:t>
      </w:r>
      <w:r w:rsidRPr="00517715">
        <w:rPr>
          <w:rFonts w:ascii="Book Antiqua" w:eastAsia="等线" w:hAnsi="Book Antiqua" w:cs="Times New Roman"/>
          <w:kern w:val="2"/>
          <w:sz w:val="24"/>
          <w:szCs w:val="24"/>
          <w:lang w:val="en-US" w:eastAsia="zh-CN"/>
        </w:rPr>
        <w:t xml:space="preserve"> 2007; </w:t>
      </w:r>
      <w:r w:rsidRPr="00517715">
        <w:rPr>
          <w:rFonts w:ascii="Book Antiqua" w:eastAsia="等线" w:hAnsi="Book Antiqua" w:cs="Times New Roman"/>
          <w:b/>
          <w:kern w:val="2"/>
          <w:sz w:val="24"/>
          <w:szCs w:val="24"/>
          <w:lang w:val="en-US" w:eastAsia="zh-CN"/>
        </w:rPr>
        <w:t>31</w:t>
      </w:r>
      <w:r w:rsidRPr="00517715">
        <w:rPr>
          <w:rFonts w:ascii="Book Antiqua" w:eastAsia="等线" w:hAnsi="Book Antiqua" w:cs="Times New Roman"/>
          <w:kern w:val="2"/>
          <w:sz w:val="24"/>
          <w:szCs w:val="24"/>
          <w:lang w:val="en-US" w:eastAsia="zh-CN"/>
        </w:rPr>
        <w:t>: 1221-5; discussion 1226-7 [PMID: 17453284 DOI: 10.1007/s00268-007-9004-8]</w:t>
      </w:r>
    </w:p>
    <w:p w14:paraId="21E04771" w14:textId="56485CAA"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3</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Booth MI</w:t>
      </w:r>
      <w:r w:rsidRPr="00517715">
        <w:rPr>
          <w:rFonts w:ascii="Book Antiqua" w:eastAsia="等线" w:hAnsi="Book Antiqua" w:cs="Times New Roman"/>
          <w:kern w:val="2"/>
          <w:sz w:val="24"/>
          <w:szCs w:val="24"/>
          <w:lang w:val="en-US" w:eastAsia="zh-CN"/>
        </w:rPr>
        <w:t xml:space="preserve">, Stratford J, Jones L, Dehn TC. Randomized clinical trial of laparoscopic total (Nissen) versus posterior partial (Toupet) fundoplication for gastro-oesophageal reflux disease based on preoperative oesophageal manometry. </w:t>
      </w:r>
      <w:r w:rsidRPr="00517715">
        <w:rPr>
          <w:rFonts w:ascii="Book Antiqua" w:eastAsia="等线" w:hAnsi="Book Antiqua" w:cs="Times New Roman"/>
          <w:i/>
          <w:kern w:val="2"/>
          <w:sz w:val="24"/>
          <w:szCs w:val="24"/>
          <w:lang w:val="en-US" w:eastAsia="zh-CN"/>
        </w:rPr>
        <w:t>Br J Surg</w:t>
      </w:r>
      <w:r w:rsidRPr="00517715">
        <w:rPr>
          <w:rFonts w:ascii="Book Antiqua" w:eastAsia="等线" w:hAnsi="Book Antiqua" w:cs="Times New Roman"/>
          <w:kern w:val="2"/>
          <w:sz w:val="24"/>
          <w:szCs w:val="24"/>
          <w:lang w:val="en-US" w:eastAsia="zh-CN"/>
        </w:rPr>
        <w:t xml:space="preserve"> 2008; </w:t>
      </w:r>
      <w:r w:rsidRPr="00517715">
        <w:rPr>
          <w:rFonts w:ascii="Book Antiqua" w:eastAsia="等线" w:hAnsi="Book Antiqua" w:cs="Times New Roman"/>
          <w:b/>
          <w:kern w:val="2"/>
          <w:sz w:val="24"/>
          <w:szCs w:val="24"/>
          <w:lang w:val="en-US" w:eastAsia="zh-CN"/>
        </w:rPr>
        <w:t>95</w:t>
      </w:r>
      <w:r w:rsidRPr="00517715">
        <w:rPr>
          <w:rFonts w:ascii="Book Antiqua" w:eastAsia="等线" w:hAnsi="Book Antiqua" w:cs="Times New Roman"/>
          <w:kern w:val="2"/>
          <w:sz w:val="24"/>
          <w:szCs w:val="24"/>
          <w:lang w:val="en-US" w:eastAsia="zh-CN"/>
        </w:rPr>
        <w:t>: 57-63 [PMID: 18076018 DOI: 10.1002/bjs.6047]</w:t>
      </w:r>
    </w:p>
    <w:p w14:paraId="3421716D" w14:textId="3117B7BB"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4</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Strate U</w:t>
      </w:r>
      <w:r w:rsidRPr="00517715">
        <w:rPr>
          <w:rFonts w:ascii="Book Antiqua" w:eastAsia="等线" w:hAnsi="Book Antiqua" w:cs="Times New Roman"/>
          <w:kern w:val="2"/>
          <w:sz w:val="24"/>
          <w:szCs w:val="24"/>
          <w:lang w:val="en-US" w:eastAsia="zh-CN"/>
        </w:rPr>
        <w:t xml:space="preserve">, Emmermann A, Fibbe C, Layer P, Zornig C. Laparoscopic fundoplication: Nissen versus Toupet two-year outcome of a prospective randomized study of 200 patients regarding preoperative esophageal motility. </w:t>
      </w:r>
      <w:r w:rsidRPr="00517715">
        <w:rPr>
          <w:rFonts w:ascii="Book Antiqua" w:eastAsia="等线" w:hAnsi="Book Antiqua" w:cs="Times New Roman"/>
          <w:i/>
          <w:kern w:val="2"/>
          <w:sz w:val="24"/>
          <w:szCs w:val="24"/>
          <w:lang w:val="en-US" w:eastAsia="zh-CN"/>
        </w:rPr>
        <w:t>Surg Endosc</w:t>
      </w:r>
      <w:r w:rsidRPr="00517715">
        <w:rPr>
          <w:rFonts w:ascii="Book Antiqua" w:eastAsia="等线" w:hAnsi="Book Antiqua" w:cs="Times New Roman"/>
          <w:kern w:val="2"/>
          <w:sz w:val="24"/>
          <w:szCs w:val="24"/>
          <w:lang w:val="en-US" w:eastAsia="zh-CN"/>
        </w:rPr>
        <w:t xml:space="preserve"> 2008; </w:t>
      </w:r>
      <w:r w:rsidRPr="00517715">
        <w:rPr>
          <w:rFonts w:ascii="Book Antiqua" w:eastAsia="等线" w:hAnsi="Book Antiqua" w:cs="Times New Roman"/>
          <w:b/>
          <w:kern w:val="2"/>
          <w:sz w:val="24"/>
          <w:szCs w:val="24"/>
          <w:lang w:val="en-US" w:eastAsia="zh-CN"/>
        </w:rPr>
        <w:t>22</w:t>
      </w:r>
      <w:r w:rsidRPr="00517715">
        <w:rPr>
          <w:rFonts w:ascii="Book Antiqua" w:eastAsia="等线" w:hAnsi="Book Antiqua" w:cs="Times New Roman"/>
          <w:kern w:val="2"/>
          <w:sz w:val="24"/>
          <w:szCs w:val="24"/>
          <w:lang w:val="en-US" w:eastAsia="zh-CN"/>
        </w:rPr>
        <w:t>: 21-30 [PMID: 18027055 DOI: 10.1007/s00464-007-9546-8]</w:t>
      </w:r>
    </w:p>
    <w:p w14:paraId="02091EFE" w14:textId="75F05B4B"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5</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Mardani J</w:t>
      </w:r>
      <w:r w:rsidRPr="00517715">
        <w:rPr>
          <w:rFonts w:ascii="Book Antiqua" w:eastAsia="等线" w:hAnsi="Book Antiqua" w:cs="Times New Roman"/>
          <w:kern w:val="2"/>
          <w:sz w:val="24"/>
          <w:szCs w:val="24"/>
          <w:lang w:val="en-US" w:eastAsia="zh-CN"/>
        </w:rPr>
        <w:t xml:space="preserve">, Lundell L, Engström C. Total or posterior partial fundoplication in the treatment of GERD: results of a randomized trial after 2 decades of follow-up. </w:t>
      </w:r>
      <w:r w:rsidRPr="00517715">
        <w:rPr>
          <w:rFonts w:ascii="Book Antiqua" w:eastAsia="等线" w:hAnsi="Book Antiqua" w:cs="Times New Roman"/>
          <w:i/>
          <w:kern w:val="2"/>
          <w:sz w:val="24"/>
          <w:szCs w:val="24"/>
          <w:lang w:val="en-US" w:eastAsia="zh-CN"/>
        </w:rPr>
        <w:t>Ann Surg</w:t>
      </w:r>
      <w:r w:rsidRPr="00517715">
        <w:rPr>
          <w:rFonts w:ascii="Book Antiqua" w:eastAsia="等线" w:hAnsi="Book Antiqua" w:cs="Times New Roman"/>
          <w:kern w:val="2"/>
          <w:sz w:val="24"/>
          <w:szCs w:val="24"/>
          <w:lang w:val="en-US" w:eastAsia="zh-CN"/>
        </w:rPr>
        <w:t xml:space="preserve"> 2011; </w:t>
      </w:r>
      <w:r w:rsidRPr="00517715">
        <w:rPr>
          <w:rFonts w:ascii="Book Antiqua" w:eastAsia="等线" w:hAnsi="Book Antiqua" w:cs="Times New Roman"/>
          <w:b/>
          <w:kern w:val="2"/>
          <w:sz w:val="24"/>
          <w:szCs w:val="24"/>
          <w:lang w:val="en-US" w:eastAsia="zh-CN"/>
        </w:rPr>
        <w:t>253</w:t>
      </w:r>
      <w:r w:rsidRPr="00517715">
        <w:rPr>
          <w:rFonts w:ascii="Book Antiqua" w:eastAsia="等线" w:hAnsi="Book Antiqua" w:cs="Times New Roman"/>
          <w:kern w:val="2"/>
          <w:sz w:val="24"/>
          <w:szCs w:val="24"/>
          <w:lang w:val="en-US" w:eastAsia="zh-CN"/>
        </w:rPr>
        <w:t>: 875-878 [PMID: 21451393 DOI: 10.1097/SLA.0b013e3182171c48]</w:t>
      </w:r>
    </w:p>
    <w:p w14:paraId="32F6B92F" w14:textId="217EB705"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63 [PMID: 18076018 DOI: 10.1002/bjs.6047]</w:t>
      </w:r>
    </w:p>
    <w:p w14:paraId="3E2B21C9" w14:textId="153FF3B1"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6</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Watson A</w:t>
      </w:r>
      <w:r w:rsidRPr="00517715">
        <w:rPr>
          <w:rFonts w:ascii="Book Antiqua" w:eastAsia="等线" w:hAnsi="Book Antiqua" w:cs="Times New Roman"/>
          <w:kern w:val="2"/>
          <w:sz w:val="24"/>
          <w:szCs w:val="24"/>
          <w:lang w:val="en-US" w:eastAsia="zh-CN"/>
        </w:rPr>
        <w:t xml:space="preserve">, Jenkinson LR, Ball CS, Barlow AP, Norris TL. A more physiological alternative to total fundoplication for the surgical correction of resistant gastro-oesophageal reflux. </w:t>
      </w:r>
      <w:r w:rsidRPr="00517715">
        <w:rPr>
          <w:rFonts w:ascii="Book Antiqua" w:eastAsia="等线" w:hAnsi="Book Antiqua" w:cs="Times New Roman"/>
          <w:i/>
          <w:kern w:val="2"/>
          <w:sz w:val="24"/>
          <w:szCs w:val="24"/>
          <w:lang w:val="en-US" w:eastAsia="zh-CN"/>
        </w:rPr>
        <w:t>Br J Surg</w:t>
      </w:r>
      <w:r w:rsidRPr="00517715">
        <w:rPr>
          <w:rFonts w:ascii="Book Antiqua" w:eastAsia="等线" w:hAnsi="Book Antiqua" w:cs="Times New Roman"/>
          <w:kern w:val="2"/>
          <w:sz w:val="24"/>
          <w:szCs w:val="24"/>
          <w:lang w:val="en-US" w:eastAsia="zh-CN"/>
        </w:rPr>
        <w:t xml:space="preserve"> 1991; </w:t>
      </w:r>
      <w:r w:rsidRPr="00517715">
        <w:rPr>
          <w:rFonts w:ascii="Book Antiqua" w:eastAsia="等线" w:hAnsi="Book Antiqua" w:cs="Times New Roman"/>
          <w:b/>
          <w:kern w:val="2"/>
          <w:sz w:val="24"/>
          <w:szCs w:val="24"/>
          <w:lang w:val="en-US" w:eastAsia="zh-CN"/>
        </w:rPr>
        <w:t>78</w:t>
      </w:r>
      <w:r w:rsidRPr="00517715">
        <w:rPr>
          <w:rFonts w:ascii="Book Antiqua" w:eastAsia="等线" w:hAnsi="Book Antiqua" w:cs="Times New Roman"/>
          <w:kern w:val="2"/>
          <w:sz w:val="24"/>
          <w:szCs w:val="24"/>
          <w:lang w:val="en-US" w:eastAsia="zh-CN"/>
        </w:rPr>
        <w:t>: 1088-1094 [PMID: 1933193 DOI: 10.1002/bjs.1800780918]</w:t>
      </w:r>
    </w:p>
    <w:p w14:paraId="17BBE11B" w14:textId="51747B9B"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7</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Watson A</w:t>
      </w:r>
      <w:r w:rsidRPr="00517715">
        <w:rPr>
          <w:rFonts w:ascii="Book Antiqua" w:eastAsia="等线" w:hAnsi="Book Antiqua" w:cs="Times New Roman"/>
          <w:kern w:val="2"/>
          <w:sz w:val="24"/>
          <w:szCs w:val="24"/>
          <w:lang w:val="en-US" w:eastAsia="zh-CN"/>
        </w:rPr>
        <w:t xml:space="preserve">, Spychal RT, Brown MG, Peck N, Callander N. Laparoscopic 'physiological' antireflux procedure: preliminary results of a prospective symptomatic and objective study. </w:t>
      </w:r>
      <w:r w:rsidRPr="00517715">
        <w:rPr>
          <w:rFonts w:ascii="Book Antiqua" w:eastAsia="等线" w:hAnsi="Book Antiqua" w:cs="Times New Roman"/>
          <w:i/>
          <w:kern w:val="2"/>
          <w:sz w:val="24"/>
          <w:szCs w:val="24"/>
          <w:lang w:val="en-US" w:eastAsia="zh-CN"/>
        </w:rPr>
        <w:t>Br J Surg</w:t>
      </w:r>
      <w:r w:rsidRPr="00517715">
        <w:rPr>
          <w:rFonts w:ascii="Book Antiqua" w:eastAsia="等线" w:hAnsi="Book Antiqua" w:cs="Times New Roman"/>
          <w:kern w:val="2"/>
          <w:sz w:val="24"/>
          <w:szCs w:val="24"/>
          <w:lang w:val="en-US" w:eastAsia="zh-CN"/>
        </w:rPr>
        <w:t xml:space="preserve"> 1995; </w:t>
      </w:r>
      <w:r w:rsidRPr="00517715">
        <w:rPr>
          <w:rFonts w:ascii="Book Antiqua" w:eastAsia="等线" w:hAnsi="Book Antiqua" w:cs="Times New Roman"/>
          <w:b/>
          <w:kern w:val="2"/>
          <w:sz w:val="24"/>
          <w:szCs w:val="24"/>
          <w:lang w:val="en-US" w:eastAsia="zh-CN"/>
        </w:rPr>
        <w:t>82</w:t>
      </w:r>
      <w:r w:rsidRPr="00517715">
        <w:rPr>
          <w:rFonts w:ascii="Book Antiqua" w:eastAsia="等线" w:hAnsi="Book Antiqua" w:cs="Times New Roman"/>
          <w:kern w:val="2"/>
          <w:sz w:val="24"/>
          <w:szCs w:val="24"/>
          <w:lang w:val="en-US" w:eastAsia="zh-CN"/>
        </w:rPr>
        <w:t>: 651-656 [PMID: 7613942 DOI: 10.1002/bjs.1800820527]</w:t>
      </w:r>
    </w:p>
    <w:p w14:paraId="1DB78E6B" w14:textId="1FCC0327" w:rsidR="00E96775" w:rsidRPr="00517715" w:rsidRDefault="009062BE"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18</w:t>
      </w:r>
      <w:r w:rsidR="00E96775" w:rsidRPr="00517715">
        <w:rPr>
          <w:rFonts w:ascii="Book Antiqua" w:eastAsia="等线" w:hAnsi="Book Antiqua" w:cs="Times New Roman"/>
          <w:kern w:val="2"/>
          <w:sz w:val="24"/>
          <w:szCs w:val="24"/>
          <w:lang w:val="en-US" w:eastAsia="zh-CN"/>
        </w:rPr>
        <w:t xml:space="preserve"> </w:t>
      </w:r>
      <w:r w:rsidR="00E96775" w:rsidRPr="00517715">
        <w:rPr>
          <w:rFonts w:ascii="Book Antiqua" w:eastAsia="等线" w:hAnsi="Book Antiqua" w:cs="Times New Roman"/>
          <w:b/>
          <w:kern w:val="2"/>
          <w:sz w:val="24"/>
          <w:szCs w:val="24"/>
          <w:lang w:val="en-US" w:eastAsia="zh-CN"/>
        </w:rPr>
        <w:t>Cai W</w:t>
      </w:r>
      <w:r w:rsidR="00E96775" w:rsidRPr="00517715">
        <w:rPr>
          <w:rFonts w:ascii="Book Antiqua" w:eastAsia="等线" w:hAnsi="Book Antiqua" w:cs="Times New Roman"/>
          <w:kern w:val="2"/>
          <w:sz w:val="24"/>
          <w:szCs w:val="24"/>
          <w:lang w:val="en-US" w:eastAsia="zh-CN"/>
        </w:rPr>
        <w:t xml:space="preserve">, Watson DI, Lally CJ, Devitt PG, Game PA, Jamieson GG. Ten-year clinical outcome of a prospective randomized clinical trial of laparoscopic Nissen versus </w:t>
      </w:r>
      <w:r w:rsidR="00E96775" w:rsidRPr="00517715">
        <w:rPr>
          <w:rFonts w:ascii="Book Antiqua" w:eastAsia="等线" w:hAnsi="Book Antiqua" w:cs="Times New Roman"/>
          <w:kern w:val="2"/>
          <w:sz w:val="24"/>
          <w:szCs w:val="24"/>
          <w:lang w:val="en-US" w:eastAsia="zh-CN"/>
        </w:rPr>
        <w:lastRenderedPageBreak/>
        <w:t xml:space="preserve">anterior 180(degrees) partial fundoplication. </w:t>
      </w:r>
      <w:r w:rsidR="00E96775" w:rsidRPr="00517715">
        <w:rPr>
          <w:rFonts w:ascii="Book Antiqua" w:eastAsia="等线" w:hAnsi="Book Antiqua" w:cs="Times New Roman"/>
          <w:i/>
          <w:kern w:val="2"/>
          <w:sz w:val="24"/>
          <w:szCs w:val="24"/>
          <w:lang w:val="en-US" w:eastAsia="zh-CN"/>
        </w:rPr>
        <w:t>Br J Surg</w:t>
      </w:r>
      <w:r w:rsidR="00E96775" w:rsidRPr="00517715">
        <w:rPr>
          <w:rFonts w:ascii="Book Antiqua" w:eastAsia="等线" w:hAnsi="Book Antiqua" w:cs="Times New Roman"/>
          <w:kern w:val="2"/>
          <w:sz w:val="24"/>
          <w:szCs w:val="24"/>
          <w:lang w:val="en-US" w:eastAsia="zh-CN"/>
        </w:rPr>
        <w:t xml:space="preserve"> 2008; </w:t>
      </w:r>
      <w:r w:rsidR="00E96775" w:rsidRPr="00517715">
        <w:rPr>
          <w:rFonts w:ascii="Book Antiqua" w:eastAsia="等线" w:hAnsi="Book Antiqua" w:cs="Times New Roman"/>
          <w:b/>
          <w:kern w:val="2"/>
          <w:sz w:val="24"/>
          <w:szCs w:val="24"/>
          <w:lang w:val="en-US" w:eastAsia="zh-CN"/>
        </w:rPr>
        <w:t>95</w:t>
      </w:r>
      <w:r w:rsidR="00E96775" w:rsidRPr="00517715">
        <w:rPr>
          <w:rFonts w:ascii="Book Antiqua" w:eastAsia="等线" w:hAnsi="Book Antiqua" w:cs="Times New Roman"/>
          <w:kern w:val="2"/>
          <w:sz w:val="24"/>
          <w:szCs w:val="24"/>
          <w:lang w:val="en-US" w:eastAsia="zh-CN"/>
        </w:rPr>
        <w:t>: 1501-1505 [PMID: 18942055 DOI: 10.1002/bjs.6318]</w:t>
      </w:r>
    </w:p>
    <w:p w14:paraId="25DF6EE5" w14:textId="06829980"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1</w:t>
      </w:r>
      <w:r w:rsidR="009062BE" w:rsidRPr="00517715">
        <w:rPr>
          <w:rFonts w:ascii="Book Antiqua" w:eastAsia="等线" w:hAnsi="Book Antiqua" w:cs="Times New Roman"/>
          <w:kern w:val="2"/>
          <w:sz w:val="24"/>
          <w:szCs w:val="24"/>
          <w:lang w:val="en-US" w:eastAsia="zh-CN"/>
        </w:rPr>
        <w:t>9</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Raue W</w:t>
      </w:r>
      <w:r w:rsidRPr="00517715">
        <w:rPr>
          <w:rFonts w:ascii="Book Antiqua" w:eastAsia="等线" w:hAnsi="Book Antiqua" w:cs="Times New Roman"/>
          <w:kern w:val="2"/>
          <w:sz w:val="24"/>
          <w:szCs w:val="24"/>
          <w:lang w:val="en-US" w:eastAsia="zh-CN"/>
        </w:rPr>
        <w:t xml:space="preserve">, Ordemann J, Jacobi CA, Menenakos C, Buchholz A, Hartmann J. Nissen versus Dor fundoplication for treatment of gastroesophageal reflux disease: a blinded randomized clinical trial. </w:t>
      </w:r>
      <w:r w:rsidRPr="00517715">
        <w:rPr>
          <w:rFonts w:ascii="Book Antiqua" w:eastAsia="等线" w:hAnsi="Book Antiqua" w:cs="Times New Roman"/>
          <w:i/>
          <w:kern w:val="2"/>
          <w:sz w:val="24"/>
          <w:szCs w:val="24"/>
          <w:lang w:val="en-US" w:eastAsia="zh-CN"/>
        </w:rPr>
        <w:t>Dig Surg</w:t>
      </w:r>
      <w:r w:rsidRPr="00517715">
        <w:rPr>
          <w:rFonts w:ascii="Book Antiqua" w:eastAsia="等线" w:hAnsi="Book Antiqua" w:cs="Times New Roman"/>
          <w:kern w:val="2"/>
          <w:sz w:val="24"/>
          <w:szCs w:val="24"/>
          <w:lang w:val="en-US" w:eastAsia="zh-CN"/>
        </w:rPr>
        <w:t xml:space="preserve"> 2011; </w:t>
      </w:r>
      <w:r w:rsidRPr="00517715">
        <w:rPr>
          <w:rFonts w:ascii="Book Antiqua" w:eastAsia="等线" w:hAnsi="Book Antiqua" w:cs="Times New Roman"/>
          <w:b/>
          <w:kern w:val="2"/>
          <w:sz w:val="24"/>
          <w:szCs w:val="24"/>
          <w:lang w:val="en-US" w:eastAsia="zh-CN"/>
        </w:rPr>
        <w:t>28</w:t>
      </w:r>
      <w:r w:rsidRPr="00517715">
        <w:rPr>
          <w:rFonts w:ascii="Book Antiqua" w:eastAsia="等线" w:hAnsi="Book Antiqua" w:cs="Times New Roman"/>
          <w:kern w:val="2"/>
          <w:sz w:val="24"/>
          <w:szCs w:val="24"/>
          <w:lang w:val="en-US" w:eastAsia="zh-CN"/>
        </w:rPr>
        <w:t>: 80-86 [PMID: 21293136 DOI: 10.1159/000323630]</w:t>
      </w:r>
    </w:p>
    <w:p w14:paraId="07AE20BC" w14:textId="5B4775B3" w:rsidR="00E96775" w:rsidRPr="0051771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2</w:t>
      </w:r>
      <w:r w:rsidR="009062BE" w:rsidRPr="00517715">
        <w:rPr>
          <w:rFonts w:ascii="Book Antiqua" w:eastAsia="等线" w:hAnsi="Book Antiqua" w:cs="Times New Roman"/>
          <w:kern w:val="2"/>
          <w:sz w:val="24"/>
          <w:szCs w:val="24"/>
          <w:lang w:val="en-US" w:eastAsia="zh-CN"/>
        </w:rPr>
        <w:t>0</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Du X</w:t>
      </w:r>
      <w:r w:rsidRPr="00517715">
        <w:rPr>
          <w:rFonts w:ascii="Book Antiqua" w:eastAsia="等线" w:hAnsi="Book Antiqua" w:cs="Times New Roman"/>
          <w:kern w:val="2"/>
          <w:sz w:val="24"/>
          <w:szCs w:val="24"/>
          <w:lang w:val="en-US" w:eastAsia="zh-CN"/>
        </w:rPr>
        <w:t xml:space="preserve">, Hu Z, Yan C, Zhang C, Wang Z, Wu J. A meta-analysis of long follow-up outcomes of laparoscopic Nissen (total) versus Toupet (270°) fundoplication for gastro-esophageal reflux disease based on randomized controlled trials in adults. </w:t>
      </w:r>
      <w:r w:rsidRPr="00517715">
        <w:rPr>
          <w:rFonts w:ascii="Book Antiqua" w:eastAsia="等线" w:hAnsi="Book Antiqua" w:cs="Times New Roman"/>
          <w:i/>
          <w:kern w:val="2"/>
          <w:sz w:val="24"/>
          <w:szCs w:val="24"/>
          <w:lang w:val="en-US" w:eastAsia="zh-CN"/>
        </w:rPr>
        <w:t>BMC Gastroenterol</w:t>
      </w:r>
      <w:r w:rsidRPr="00517715">
        <w:rPr>
          <w:rFonts w:ascii="Book Antiqua" w:eastAsia="等线" w:hAnsi="Book Antiqua" w:cs="Times New Roman"/>
          <w:kern w:val="2"/>
          <w:sz w:val="24"/>
          <w:szCs w:val="24"/>
          <w:lang w:val="en-US" w:eastAsia="zh-CN"/>
        </w:rPr>
        <w:t xml:space="preserve"> 2016; </w:t>
      </w:r>
      <w:r w:rsidRPr="00517715">
        <w:rPr>
          <w:rFonts w:ascii="Book Antiqua" w:eastAsia="等线" w:hAnsi="Book Antiqua" w:cs="Times New Roman"/>
          <w:b/>
          <w:kern w:val="2"/>
          <w:sz w:val="24"/>
          <w:szCs w:val="24"/>
          <w:lang w:val="en-US" w:eastAsia="zh-CN"/>
        </w:rPr>
        <w:t>16</w:t>
      </w:r>
      <w:r w:rsidRPr="00517715">
        <w:rPr>
          <w:rFonts w:ascii="Book Antiqua" w:eastAsia="等线" w:hAnsi="Book Antiqua" w:cs="Times New Roman"/>
          <w:kern w:val="2"/>
          <w:sz w:val="24"/>
          <w:szCs w:val="24"/>
          <w:lang w:val="en-US" w:eastAsia="zh-CN"/>
        </w:rPr>
        <w:t>: 88 [PMID: 27484006 DOI: 10.1186/s12876-016-0502-8]</w:t>
      </w:r>
    </w:p>
    <w:p w14:paraId="3E2A8219" w14:textId="5F7B48B0" w:rsidR="00E96775" w:rsidRPr="00E96775" w:rsidRDefault="00E96775" w:rsidP="00256D6C">
      <w:pPr>
        <w:widowControl w:val="0"/>
        <w:snapToGrid w:val="0"/>
        <w:spacing w:after="0" w:line="360" w:lineRule="auto"/>
        <w:jc w:val="both"/>
        <w:rPr>
          <w:rFonts w:ascii="Book Antiqua" w:eastAsia="等线" w:hAnsi="Book Antiqua" w:cs="Times New Roman"/>
          <w:kern w:val="2"/>
          <w:sz w:val="24"/>
          <w:szCs w:val="24"/>
          <w:lang w:val="en-US" w:eastAsia="zh-CN"/>
        </w:rPr>
      </w:pPr>
      <w:r w:rsidRPr="00517715">
        <w:rPr>
          <w:rFonts w:ascii="Book Antiqua" w:eastAsia="等线" w:hAnsi="Book Antiqua" w:cs="Times New Roman"/>
          <w:kern w:val="2"/>
          <w:sz w:val="24"/>
          <w:szCs w:val="24"/>
          <w:lang w:val="en-US" w:eastAsia="zh-CN"/>
        </w:rPr>
        <w:t>2</w:t>
      </w:r>
      <w:r w:rsidR="009062BE" w:rsidRPr="00517715">
        <w:rPr>
          <w:rFonts w:ascii="Book Antiqua" w:eastAsia="等线" w:hAnsi="Book Antiqua" w:cs="Times New Roman"/>
          <w:kern w:val="2"/>
          <w:sz w:val="24"/>
          <w:szCs w:val="24"/>
          <w:lang w:val="en-US" w:eastAsia="zh-CN"/>
        </w:rPr>
        <w:t>1</w:t>
      </w:r>
      <w:r w:rsidRPr="00517715">
        <w:rPr>
          <w:rFonts w:ascii="Book Antiqua" w:eastAsia="等线" w:hAnsi="Book Antiqua" w:cs="Times New Roman"/>
          <w:kern w:val="2"/>
          <w:sz w:val="24"/>
          <w:szCs w:val="24"/>
          <w:lang w:val="en-US" w:eastAsia="zh-CN"/>
        </w:rPr>
        <w:t xml:space="preserve"> </w:t>
      </w:r>
      <w:r w:rsidRPr="00517715">
        <w:rPr>
          <w:rFonts w:ascii="Book Antiqua" w:eastAsia="等线" w:hAnsi="Book Antiqua" w:cs="Times New Roman"/>
          <w:b/>
          <w:kern w:val="2"/>
          <w:sz w:val="24"/>
          <w:szCs w:val="24"/>
          <w:lang w:val="en-US" w:eastAsia="zh-CN"/>
        </w:rPr>
        <w:t>Du X</w:t>
      </w:r>
      <w:r w:rsidRPr="00517715">
        <w:rPr>
          <w:rFonts w:ascii="Book Antiqua" w:eastAsia="等线" w:hAnsi="Book Antiqua" w:cs="Times New Roman"/>
          <w:kern w:val="2"/>
          <w:sz w:val="24"/>
          <w:szCs w:val="24"/>
          <w:lang w:val="en-US" w:eastAsia="zh-CN"/>
        </w:rPr>
        <w:t xml:space="preserve">, Wu JM, Hu ZW, Wang F, Wang ZG, Zhang C, Yan C, Chen MP. Laparoscopic Nissen (total) versus anterior 180° fundoplication for gastro-esophageal reflux disease: A meta-analysis and systematic review. </w:t>
      </w:r>
      <w:r w:rsidRPr="00517715">
        <w:rPr>
          <w:rFonts w:ascii="Book Antiqua" w:eastAsia="等线" w:hAnsi="Book Antiqua" w:cs="Times New Roman"/>
          <w:i/>
          <w:kern w:val="2"/>
          <w:sz w:val="24"/>
          <w:szCs w:val="24"/>
          <w:lang w:val="en-US" w:eastAsia="zh-CN"/>
        </w:rPr>
        <w:t>Medicine (Baltimore)</w:t>
      </w:r>
      <w:r w:rsidRPr="00517715">
        <w:rPr>
          <w:rFonts w:ascii="Book Antiqua" w:eastAsia="等线" w:hAnsi="Book Antiqua" w:cs="Times New Roman"/>
          <w:kern w:val="2"/>
          <w:sz w:val="24"/>
          <w:szCs w:val="24"/>
          <w:lang w:val="en-US" w:eastAsia="zh-CN"/>
        </w:rPr>
        <w:t xml:space="preserve"> 2017; </w:t>
      </w:r>
      <w:r w:rsidRPr="00517715">
        <w:rPr>
          <w:rFonts w:ascii="Book Antiqua" w:eastAsia="等线" w:hAnsi="Book Antiqua" w:cs="Times New Roman"/>
          <w:b/>
          <w:kern w:val="2"/>
          <w:sz w:val="24"/>
          <w:szCs w:val="24"/>
          <w:lang w:val="en-US" w:eastAsia="zh-CN"/>
        </w:rPr>
        <w:t>96</w:t>
      </w:r>
      <w:r w:rsidRPr="00517715">
        <w:rPr>
          <w:rFonts w:ascii="Book Antiqua" w:eastAsia="等线" w:hAnsi="Book Antiqua" w:cs="Times New Roman"/>
          <w:kern w:val="2"/>
          <w:sz w:val="24"/>
          <w:szCs w:val="24"/>
          <w:lang w:val="en-US" w:eastAsia="zh-CN"/>
        </w:rPr>
        <w:t>: e8085 [PMID: 28906412 DOI: 10.1097/MD.0000000000008085]</w:t>
      </w:r>
    </w:p>
    <w:p w14:paraId="74AE60D0" w14:textId="52999634" w:rsidR="00EF0258" w:rsidRDefault="00EF0258" w:rsidP="00256D6C">
      <w:pPr>
        <w:snapToGrid w:val="0"/>
        <w:spacing w:after="0" w:line="360" w:lineRule="auto"/>
        <w:rPr>
          <w:rFonts w:ascii="Book Antiqua" w:hAnsi="Book Antiqua"/>
          <w:b/>
          <w:bCs/>
          <w:caps/>
          <w:sz w:val="24"/>
          <w:szCs w:val="24"/>
          <w:lang w:eastAsia="zh-CN"/>
        </w:rPr>
      </w:pPr>
      <w:r>
        <w:rPr>
          <w:rFonts w:ascii="Book Antiqua" w:hAnsi="Book Antiqua"/>
          <w:b/>
          <w:bCs/>
          <w:caps/>
          <w:sz w:val="24"/>
          <w:szCs w:val="24"/>
          <w:lang w:eastAsia="zh-CN"/>
        </w:rPr>
        <w:br w:type="page"/>
      </w:r>
    </w:p>
    <w:p w14:paraId="6F8F32C7" w14:textId="77777777" w:rsidR="00EF0258" w:rsidRDefault="00EF0258" w:rsidP="00256D6C">
      <w:pPr>
        <w:adjustRightInd w:val="0"/>
        <w:snapToGrid w:val="0"/>
        <w:spacing w:after="0" w:line="360" w:lineRule="auto"/>
        <w:jc w:val="both"/>
        <w:rPr>
          <w:rFonts w:ascii="Book Antiqua" w:hAnsi="Book Antiqua"/>
          <w:b/>
          <w:sz w:val="24"/>
          <w:szCs w:val="24"/>
        </w:rPr>
      </w:pPr>
      <w:r>
        <w:rPr>
          <w:rFonts w:ascii="Book Antiqua" w:hAnsi="Book Antiqua"/>
          <w:b/>
          <w:sz w:val="24"/>
          <w:szCs w:val="24"/>
        </w:rPr>
        <w:lastRenderedPageBreak/>
        <w:t>Footnotes</w:t>
      </w:r>
    </w:p>
    <w:p w14:paraId="16C2ACB1" w14:textId="77777777" w:rsidR="00EF0258" w:rsidRPr="00517715" w:rsidRDefault="00EF0258" w:rsidP="00256D6C">
      <w:pPr>
        <w:widowControl w:val="0"/>
        <w:snapToGrid w:val="0"/>
        <w:spacing w:after="0" w:line="360" w:lineRule="auto"/>
        <w:jc w:val="both"/>
        <w:rPr>
          <w:rFonts w:ascii="Book Antiqua" w:hAnsi="Book Antiqua"/>
          <w:b/>
          <w:iCs/>
          <w:sz w:val="24"/>
          <w:szCs w:val="24"/>
        </w:rPr>
      </w:pPr>
      <w:r w:rsidRPr="00517715">
        <w:rPr>
          <w:rFonts w:ascii="Book Antiqua" w:hAnsi="Book Antiqua"/>
          <w:b/>
          <w:sz w:val="24"/>
          <w:szCs w:val="24"/>
        </w:rPr>
        <w:t>Conflict-of-interest statement:</w:t>
      </w:r>
      <w:r w:rsidRPr="00517715">
        <w:rPr>
          <w:rFonts w:ascii="Book Antiqua" w:hAnsi="Book Antiqua"/>
          <w:b/>
          <w:sz w:val="24"/>
          <w:szCs w:val="24"/>
          <w:lang w:eastAsia="zh-CN"/>
        </w:rPr>
        <w:t xml:space="preserve"> </w:t>
      </w:r>
      <w:r w:rsidRPr="00517715">
        <w:rPr>
          <w:rFonts w:ascii="Book Antiqua" w:hAnsi="Book Antiqua"/>
          <w:bCs/>
          <w:sz w:val="24"/>
          <w:szCs w:val="24"/>
          <w:lang w:eastAsia="zh-CN"/>
        </w:rPr>
        <w:t>Neither Dr.</w:t>
      </w:r>
      <w:r>
        <w:rPr>
          <w:rFonts w:ascii="Book Antiqua" w:hAnsi="Book Antiqua"/>
          <w:bCs/>
          <w:sz w:val="24"/>
          <w:szCs w:val="24"/>
          <w:lang w:eastAsia="zh-CN"/>
        </w:rPr>
        <w:t xml:space="preserve"> </w:t>
      </w:r>
      <w:r w:rsidRPr="00517715">
        <w:rPr>
          <w:rFonts w:ascii="Book Antiqua" w:hAnsi="Book Antiqua"/>
          <w:bCs/>
          <w:sz w:val="24"/>
          <w:szCs w:val="24"/>
          <w:lang w:eastAsia="zh-CN"/>
        </w:rPr>
        <w:t>Bramhall or Dr</w:t>
      </w:r>
      <w:r>
        <w:rPr>
          <w:rFonts w:ascii="Book Antiqua" w:hAnsi="Book Antiqua"/>
          <w:bCs/>
          <w:sz w:val="24"/>
          <w:szCs w:val="24"/>
          <w:lang w:eastAsia="zh-CN"/>
        </w:rPr>
        <w:t>.</w:t>
      </w:r>
      <w:r w:rsidRPr="00517715">
        <w:rPr>
          <w:rFonts w:ascii="Book Antiqua" w:hAnsi="Book Antiqua"/>
          <w:bCs/>
          <w:sz w:val="24"/>
          <w:szCs w:val="24"/>
          <w:lang w:eastAsia="zh-CN"/>
        </w:rPr>
        <w:t xml:space="preserve"> Mourad has nothing to disclose.</w:t>
      </w:r>
    </w:p>
    <w:p w14:paraId="6924322A" w14:textId="4567B733" w:rsidR="00E96775" w:rsidRDefault="00E96775" w:rsidP="00256D6C">
      <w:pPr>
        <w:snapToGrid w:val="0"/>
        <w:spacing w:after="0" w:line="360" w:lineRule="auto"/>
        <w:rPr>
          <w:rFonts w:ascii="Book Antiqua" w:hAnsi="Book Antiqua"/>
          <w:b/>
          <w:bCs/>
          <w:caps/>
          <w:sz w:val="24"/>
          <w:szCs w:val="24"/>
          <w:lang w:eastAsia="zh-CN"/>
        </w:rPr>
      </w:pPr>
    </w:p>
    <w:p w14:paraId="51693724" w14:textId="77777777" w:rsidR="00EF0258" w:rsidRDefault="00EF0258" w:rsidP="00256D6C">
      <w:pPr>
        <w:snapToGrid w:val="0"/>
        <w:spacing w:after="0" w:line="360" w:lineRule="auto"/>
        <w:jc w:val="both"/>
        <w:rPr>
          <w:rFonts w:ascii="Book Antiqua" w:eastAsia="MS Mincho" w:hAnsi="Book Antiqua" w:cs="Times New Roman"/>
          <w:b/>
          <w:color w:val="000000"/>
          <w:sz w:val="24"/>
          <w:szCs w:val="24"/>
          <w:lang w:eastAsia="it-IT"/>
        </w:rPr>
      </w:pPr>
      <w:r>
        <w:rPr>
          <w:rFonts w:ascii="Book Antiqua" w:eastAsia="MS Mincho" w:hAnsi="Book Antiqua" w:cs="Times New Roman"/>
          <w:b/>
          <w:color w:val="000000"/>
          <w:sz w:val="24"/>
          <w:szCs w:val="24"/>
          <w:lang w:eastAsia="it-IT"/>
        </w:rPr>
        <w:t xml:space="preserve">Open-Access: </w:t>
      </w:r>
      <w:r>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7538A5" w14:textId="77777777" w:rsidR="00EF0258" w:rsidRDefault="00EF0258" w:rsidP="00256D6C">
      <w:pPr>
        <w:widowControl w:val="0"/>
        <w:adjustRightInd w:val="0"/>
        <w:snapToGrid w:val="0"/>
        <w:spacing w:after="0" w:line="360" w:lineRule="auto"/>
        <w:ind w:left="361" w:right="120" w:hangingChars="150" w:hanging="361"/>
        <w:rPr>
          <w:rFonts w:ascii="Book Antiqua" w:eastAsia="宋体" w:hAnsi="Book Antiqua" w:cs="Times New Roman"/>
          <w:b/>
          <w:bCs/>
          <w:color w:val="000000"/>
          <w:kern w:val="2"/>
          <w:sz w:val="24"/>
          <w:szCs w:val="24"/>
          <w:lang w:eastAsia="zh-CN"/>
        </w:rPr>
      </w:pPr>
    </w:p>
    <w:p w14:paraId="480AE03E" w14:textId="77777777" w:rsidR="00EF0258" w:rsidRDefault="00EF0258" w:rsidP="00256D6C">
      <w:pPr>
        <w:adjustRightInd w:val="0"/>
        <w:snapToGrid w:val="0"/>
        <w:spacing w:after="0" w:line="360" w:lineRule="auto"/>
        <w:jc w:val="both"/>
        <w:rPr>
          <w:rFonts w:ascii="Book Antiqua" w:hAnsi="Book Antiqua" w:cs="Calibri"/>
          <w:b/>
          <w:bCs/>
          <w:color w:val="000000"/>
          <w:sz w:val="24"/>
          <w:szCs w:val="24"/>
          <w:lang w:eastAsia="zh-CN"/>
        </w:rPr>
      </w:pPr>
      <w:r>
        <w:rPr>
          <w:rFonts w:ascii="Book Antiqua" w:hAnsi="Book Antiqua"/>
          <w:b/>
          <w:bCs/>
          <w:color w:val="000000"/>
          <w:sz w:val="24"/>
          <w:szCs w:val="24"/>
          <w:lang w:eastAsia="pl-PL"/>
        </w:rPr>
        <w:t>Manuscript source:</w:t>
      </w:r>
      <w:r>
        <w:rPr>
          <w:rFonts w:ascii="Book Antiqua" w:hAnsi="Book Antiqua"/>
          <w:b/>
          <w:bCs/>
          <w:color w:val="000000"/>
          <w:sz w:val="24"/>
          <w:szCs w:val="24"/>
          <w:lang w:eastAsia="zh-CN"/>
        </w:rPr>
        <w:t xml:space="preserve"> </w:t>
      </w:r>
      <w:r>
        <w:rPr>
          <w:rFonts w:ascii="Book Antiqua" w:hAnsi="Book Antiqua"/>
          <w:bCs/>
          <w:color w:val="000000"/>
          <w:sz w:val="24"/>
          <w:szCs w:val="24"/>
          <w:lang w:eastAsia="zh-CN"/>
        </w:rPr>
        <w:t>Invited</w:t>
      </w:r>
      <w:r>
        <w:rPr>
          <w:rFonts w:ascii="Book Antiqua" w:hAnsi="Book Antiqua"/>
          <w:bCs/>
          <w:color w:val="000000"/>
          <w:sz w:val="24"/>
          <w:szCs w:val="24"/>
          <w:lang w:eastAsia="pl-PL"/>
        </w:rPr>
        <w:t> manuscript</w:t>
      </w:r>
    </w:p>
    <w:p w14:paraId="002D40BF" w14:textId="77777777" w:rsidR="00983A77" w:rsidRDefault="00983A77" w:rsidP="00256D6C">
      <w:pPr>
        <w:widowControl w:val="0"/>
        <w:adjustRightInd w:val="0"/>
        <w:snapToGrid w:val="0"/>
        <w:spacing w:after="0" w:line="360" w:lineRule="auto"/>
        <w:jc w:val="both"/>
        <w:rPr>
          <w:rFonts w:ascii="Book Antiqua" w:eastAsia="等线" w:hAnsi="Book Antiqua"/>
          <w:b/>
          <w:bCs/>
          <w:color w:val="000000"/>
          <w:sz w:val="24"/>
          <w:szCs w:val="24"/>
        </w:rPr>
      </w:pPr>
    </w:p>
    <w:p w14:paraId="53C7E11A" w14:textId="2735DB3B" w:rsidR="00983A77" w:rsidRDefault="00983A77" w:rsidP="00256D6C">
      <w:pPr>
        <w:widowControl w:val="0"/>
        <w:adjustRightInd w:val="0"/>
        <w:snapToGrid w:val="0"/>
        <w:spacing w:after="0" w:line="360" w:lineRule="auto"/>
        <w:jc w:val="both"/>
        <w:rPr>
          <w:rFonts w:ascii="Book Antiqua" w:eastAsia="等线" w:hAnsi="Book Antiqua"/>
          <w:b/>
          <w:bCs/>
          <w:color w:val="000000"/>
          <w:sz w:val="24"/>
          <w:szCs w:val="24"/>
          <w:lang w:eastAsia="zh-CN"/>
        </w:rPr>
      </w:pPr>
      <w:r>
        <w:rPr>
          <w:rFonts w:ascii="Book Antiqua" w:eastAsia="等线" w:hAnsi="Book Antiqua"/>
          <w:b/>
          <w:bCs/>
          <w:color w:val="000000"/>
          <w:sz w:val="24"/>
          <w:szCs w:val="24"/>
        </w:rPr>
        <w:t>Corresponding Author's Membership in Professional Societies</w:t>
      </w:r>
      <w:r>
        <w:rPr>
          <w:rFonts w:ascii="Book Antiqua" w:eastAsia="等线" w:hAnsi="Book Antiqua"/>
          <w:b/>
          <w:bCs/>
          <w:color w:val="000000"/>
          <w:sz w:val="24"/>
          <w:szCs w:val="24"/>
          <w:lang w:eastAsia="zh-CN"/>
        </w:rPr>
        <w:t>:</w:t>
      </w:r>
      <w:r w:rsidR="001C3072">
        <w:rPr>
          <w:rFonts w:ascii="Book Antiqua" w:eastAsia="等线" w:hAnsi="Book Antiqua"/>
          <w:b/>
          <w:bCs/>
          <w:color w:val="000000"/>
          <w:sz w:val="24"/>
          <w:szCs w:val="24"/>
          <w:lang w:eastAsia="zh-CN"/>
        </w:rPr>
        <w:t xml:space="preserve"> </w:t>
      </w:r>
      <w:r w:rsidR="001C3072" w:rsidRPr="001C3072">
        <w:rPr>
          <w:rFonts w:ascii="Book Antiqua" w:eastAsia="等线" w:hAnsi="Book Antiqua"/>
          <w:color w:val="000000"/>
          <w:sz w:val="24"/>
          <w:szCs w:val="24"/>
          <w:lang w:eastAsia="zh-CN"/>
        </w:rPr>
        <w:t>Fellow of the Royal College of Surgeons</w:t>
      </w:r>
      <w:r w:rsidR="001C3072">
        <w:rPr>
          <w:rFonts w:ascii="Book Antiqua" w:eastAsia="等线" w:hAnsi="Book Antiqua"/>
          <w:color w:val="000000"/>
          <w:sz w:val="24"/>
          <w:szCs w:val="24"/>
          <w:lang w:eastAsia="zh-CN"/>
        </w:rPr>
        <w:t xml:space="preserve"> </w:t>
      </w:r>
      <w:r w:rsidR="001C3072" w:rsidRPr="001C3072">
        <w:rPr>
          <w:rFonts w:ascii="Book Antiqua" w:eastAsia="等线" w:hAnsi="Book Antiqua"/>
          <w:color w:val="000000"/>
          <w:sz w:val="24"/>
          <w:szCs w:val="24"/>
          <w:lang w:eastAsia="zh-CN"/>
        </w:rPr>
        <w:t>(Gen Surg)</w:t>
      </w:r>
      <w:r w:rsidR="002B5132">
        <w:rPr>
          <w:rFonts w:ascii="Book Antiqua" w:eastAsia="等线" w:hAnsi="Book Antiqua"/>
          <w:color w:val="000000"/>
          <w:sz w:val="24"/>
          <w:szCs w:val="24"/>
          <w:lang w:eastAsia="zh-CN"/>
        </w:rPr>
        <w:t>.</w:t>
      </w:r>
    </w:p>
    <w:p w14:paraId="361396E3" w14:textId="77777777" w:rsidR="00983A77" w:rsidRDefault="00983A77" w:rsidP="00256D6C">
      <w:pPr>
        <w:widowControl w:val="0"/>
        <w:adjustRightInd w:val="0"/>
        <w:snapToGrid w:val="0"/>
        <w:spacing w:after="0" w:line="360" w:lineRule="auto"/>
        <w:jc w:val="both"/>
        <w:rPr>
          <w:rFonts w:ascii="Book Antiqua" w:eastAsia="宋体" w:hAnsi="Book Antiqua" w:cs="Times New Roman"/>
          <w:b/>
          <w:color w:val="000000"/>
          <w:kern w:val="2"/>
          <w:sz w:val="24"/>
          <w:szCs w:val="24"/>
          <w:lang w:eastAsia="zh-CN"/>
        </w:rPr>
      </w:pPr>
    </w:p>
    <w:p w14:paraId="28904048" w14:textId="10EDA8CC" w:rsidR="00983A77" w:rsidRDefault="00983A77"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Pr>
          <w:rFonts w:ascii="Book Antiqua" w:hAnsi="Book Antiqua" w:cs="Times New Roman"/>
          <w:b/>
          <w:color w:val="000000"/>
          <w:kern w:val="2"/>
          <w:sz w:val="24"/>
          <w:szCs w:val="24"/>
          <w:lang w:eastAsia="zh-CN"/>
        </w:rPr>
        <w:t>Peer-review started:</w:t>
      </w:r>
      <w:r w:rsidR="009D631F">
        <w:rPr>
          <w:rFonts w:ascii="Book Antiqua" w:hAnsi="Book Antiqua" w:cs="Times New Roman"/>
          <w:b/>
          <w:color w:val="000000"/>
          <w:kern w:val="2"/>
          <w:sz w:val="24"/>
          <w:szCs w:val="24"/>
          <w:lang w:eastAsia="zh-CN"/>
        </w:rPr>
        <w:t xml:space="preserve"> </w:t>
      </w:r>
      <w:r w:rsidR="009D631F" w:rsidRPr="009D631F">
        <w:rPr>
          <w:rFonts w:ascii="Book Antiqua" w:hAnsi="Book Antiqua" w:cs="Times New Roman"/>
          <w:bCs/>
          <w:color w:val="000000"/>
          <w:kern w:val="2"/>
          <w:sz w:val="24"/>
          <w:szCs w:val="24"/>
          <w:lang w:eastAsia="zh-CN"/>
        </w:rPr>
        <w:t>October 21, 2019</w:t>
      </w:r>
    </w:p>
    <w:p w14:paraId="40FEDE60" w14:textId="0FADD3FA" w:rsidR="00983A77" w:rsidRDefault="00983A77" w:rsidP="00256D6C">
      <w:pPr>
        <w:widowControl w:val="0"/>
        <w:adjustRightInd w:val="0"/>
        <w:snapToGrid w:val="0"/>
        <w:spacing w:after="0" w:line="360" w:lineRule="auto"/>
        <w:jc w:val="both"/>
        <w:rPr>
          <w:rFonts w:ascii="Book Antiqua" w:hAnsi="Book Antiqua" w:cs="Times New Roman"/>
          <w:color w:val="000000"/>
          <w:kern w:val="2"/>
          <w:sz w:val="24"/>
          <w:szCs w:val="24"/>
          <w:lang w:eastAsia="zh-CN"/>
        </w:rPr>
      </w:pPr>
      <w:r>
        <w:rPr>
          <w:rFonts w:ascii="Book Antiqua" w:hAnsi="Book Antiqua" w:cs="Times New Roman"/>
          <w:b/>
          <w:color w:val="000000"/>
          <w:kern w:val="2"/>
          <w:sz w:val="24"/>
          <w:szCs w:val="24"/>
          <w:lang w:eastAsia="zh-CN"/>
        </w:rPr>
        <w:t>First decision:</w:t>
      </w:r>
      <w:r>
        <w:rPr>
          <w:rFonts w:ascii="Book Antiqua" w:hAnsi="Book Antiqua" w:cs="Times New Roman"/>
          <w:color w:val="000000"/>
          <w:kern w:val="2"/>
          <w:sz w:val="24"/>
          <w:szCs w:val="24"/>
          <w:lang w:eastAsia="zh-CN"/>
        </w:rPr>
        <w:t xml:space="preserve"> </w:t>
      </w:r>
      <w:r w:rsidR="009D631F">
        <w:rPr>
          <w:rFonts w:ascii="Book Antiqua" w:hAnsi="Book Antiqua" w:cs="Times New Roman"/>
          <w:color w:val="000000"/>
          <w:kern w:val="2"/>
          <w:sz w:val="24"/>
          <w:szCs w:val="24"/>
          <w:lang w:eastAsia="zh-CN"/>
        </w:rPr>
        <w:t>November 26, 2019</w:t>
      </w:r>
    </w:p>
    <w:p w14:paraId="0CA5E903" w14:textId="77777777" w:rsidR="00983A77" w:rsidRDefault="00983A77" w:rsidP="00256D6C">
      <w:pPr>
        <w:widowControl w:val="0"/>
        <w:adjustRightInd w:val="0"/>
        <w:snapToGrid w:val="0"/>
        <w:spacing w:after="0" w:line="360" w:lineRule="auto"/>
        <w:jc w:val="both"/>
        <w:rPr>
          <w:rFonts w:ascii="Book Antiqua" w:hAnsi="Book Antiqua" w:cs="Times New Roman"/>
          <w:b/>
          <w:color w:val="000000"/>
          <w:kern w:val="2"/>
          <w:sz w:val="24"/>
          <w:szCs w:val="24"/>
          <w:lang w:eastAsia="zh-CN"/>
        </w:rPr>
      </w:pPr>
      <w:r>
        <w:rPr>
          <w:rFonts w:ascii="Book Antiqua" w:hAnsi="Book Antiqua" w:cs="Times New Roman"/>
          <w:b/>
          <w:color w:val="000000"/>
          <w:kern w:val="2"/>
          <w:sz w:val="24"/>
          <w:szCs w:val="24"/>
          <w:lang w:eastAsia="zh-CN"/>
        </w:rPr>
        <w:t>Article in press:</w:t>
      </w:r>
    </w:p>
    <w:p w14:paraId="53E8CD4A" w14:textId="77777777" w:rsidR="00983A77" w:rsidRDefault="00983A77" w:rsidP="00256D6C">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25186860" w14:textId="77777777" w:rsidR="00983A77" w:rsidRDefault="00983A77" w:rsidP="00256D6C">
      <w:pPr>
        <w:widowControl w:val="0"/>
        <w:adjustRightInd w:val="0"/>
        <w:snapToGrid w:val="0"/>
        <w:spacing w:after="0" w:line="360" w:lineRule="auto"/>
        <w:jc w:val="both"/>
        <w:rPr>
          <w:rFonts w:ascii="Book Antiqua" w:eastAsia="微软雅黑" w:hAnsi="Book Antiqua" w:cs="宋体"/>
          <w:sz w:val="24"/>
          <w:szCs w:val="24"/>
          <w:lang w:eastAsia="zh-CN"/>
        </w:rPr>
      </w:pPr>
      <w:r>
        <w:rPr>
          <w:rFonts w:ascii="Book Antiqua" w:hAnsi="Book Antiqua" w:cs="宋体"/>
          <w:b/>
          <w:sz w:val="24"/>
          <w:szCs w:val="24"/>
          <w:lang w:eastAsia="zh-CN"/>
        </w:rPr>
        <w:t xml:space="preserve">Specialty type: </w:t>
      </w:r>
      <w:r>
        <w:rPr>
          <w:rFonts w:ascii="Book Antiqua" w:eastAsia="微软雅黑" w:hAnsi="Book Antiqua" w:cs="宋体"/>
          <w:sz w:val="24"/>
          <w:szCs w:val="24"/>
          <w:lang w:eastAsia="zh-CN"/>
        </w:rPr>
        <w:t>Gastroenterology and hepatology</w:t>
      </w:r>
    </w:p>
    <w:p w14:paraId="3468F235" w14:textId="161270F8" w:rsidR="00983A77" w:rsidRDefault="00983A77" w:rsidP="00256D6C">
      <w:pPr>
        <w:widowControl w:val="0"/>
        <w:adjustRightInd w:val="0"/>
        <w:snapToGrid w:val="0"/>
        <w:spacing w:after="0" w:line="360" w:lineRule="auto"/>
        <w:jc w:val="both"/>
        <w:rPr>
          <w:rFonts w:ascii="Book Antiqua" w:eastAsia="宋体" w:hAnsi="Book Antiqua" w:cs="宋体"/>
          <w:sz w:val="24"/>
          <w:szCs w:val="24"/>
          <w:lang w:eastAsia="zh-CN"/>
        </w:rPr>
      </w:pPr>
      <w:r>
        <w:rPr>
          <w:rFonts w:ascii="Book Antiqua" w:hAnsi="Book Antiqua" w:cs="宋体"/>
          <w:b/>
          <w:sz w:val="24"/>
          <w:szCs w:val="24"/>
          <w:lang w:eastAsia="zh-CN"/>
        </w:rPr>
        <w:t xml:space="preserve">Country of origin: </w:t>
      </w:r>
      <w:r w:rsidR="009D631F" w:rsidRPr="009D631F">
        <w:rPr>
          <w:rFonts w:ascii="Book Antiqua" w:hAnsi="Book Antiqua" w:cs="宋体"/>
          <w:sz w:val="24"/>
          <w:szCs w:val="24"/>
          <w:lang w:eastAsia="zh-CN"/>
        </w:rPr>
        <w:t>United Kingdom</w:t>
      </w:r>
    </w:p>
    <w:p w14:paraId="3920B219" w14:textId="77777777" w:rsidR="00983A77" w:rsidRDefault="00983A77" w:rsidP="00256D6C">
      <w:pPr>
        <w:widowControl w:val="0"/>
        <w:adjustRightInd w:val="0"/>
        <w:snapToGrid w:val="0"/>
        <w:spacing w:after="0" w:line="360" w:lineRule="auto"/>
        <w:jc w:val="both"/>
        <w:rPr>
          <w:rFonts w:ascii="Book Antiqua" w:hAnsi="Book Antiqua" w:cs="宋体"/>
          <w:b/>
          <w:sz w:val="24"/>
          <w:szCs w:val="24"/>
          <w:lang w:eastAsia="zh-CN"/>
        </w:rPr>
      </w:pPr>
      <w:r>
        <w:rPr>
          <w:rFonts w:ascii="Book Antiqua" w:hAnsi="Book Antiqua" w:cs="宋体"/>
          <w:b/>
          <w:sz w:val="24"/>
          <w:szCs w:val="24"/>
          <w:lang w:eastAsia="zh-CN"/>
        </w:rPr>
        <w:t>Peer-review report classification</w:t>
      </w:r>
    </w:p>
    <w:p w14:paraId="365D3091" w14:textId="1E6173C0" w:rsidR="00983A77" w:rsidRDefault="00983A77" w:rsidP="00256D6C">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A (Excellent): A</w:t>
      </w:r>
    </w:p>
    <w:p w14:paraId="301CE918" w14:textId="67D765E4" w:rsidR="00983A77" w:rsidRDefault="00983A77" w:rsidP="00256D6C">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B (Very good): B, B</w:t>
      </w:r>
    </w:p>
    <w:p w14:paraId="6026FCF5" w14:textId="10DA364A" w:rsidR="00983A77" w:rsidRDefault="00983A77" w:rsidP="00256D6C">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C (Good): C</w:t>
      </w:r>
    </w:p>
    <w:p w14:paraId="52C32888" w14:textId="4D6CDBF4" w:rsidR="00983A77" w:rsidRDefault="00983A77" w:rsidP="00256D6C">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D (Fair): D</w:t>
      </w:r>
    </w:p>
    <w:p w14:paraId="23F6C7F8" w14:textId="77777777" w:rsidR="00983A77" w:rsidRDefault="00983A77" w:rsidP="00256D6C">
      <w:pPr>
        <w:widowControl w:val="0"/>
        <w:adjustRightInd w:val="0"/>
        <w:snapToGrid w:val="0"/>
        <w:spacing w:after="0" w:line="360" w:lineRule="auto"/>
        <w:jc w:val="both"/>
        <w:rPr>
          <w:rFonts w:ascii="Book Antiqua" w:eastAsia="等线" w:hAnsi="Book Antiqua" w:cs="Calibri"/>
          <w:kern w:val="2"/>
          <w:sz w:val="24"/>
          <w:szCs w:val="24"/>
          <w:lang w:val="hu-HU" w:eastAsia="zh-CN"/>
        </w:rPr>
      </w:pPr>
      <w:r>
        <w:rPr>
          <w:rFonts w:ascii="Book Antiqua" w:hAnsi="Book Antiqua" w:cs="宋体"/>
          <w:sz w:val="24"/>
          <w:szCs w:val="24"/>
          <w:lang w:eastAsia="zh-CN"/>
        </w:rPr>
        <w:t xml:space="preserve">Grade E (Poor): </w:t>
      </w:r>
    </w:p>
    <w:p w14:paraId="4D623169" w14:textId="77777777" w:rsidR="00983A77" w:rsidRDefault="00983A77" w:rsidP="00256D6C">
      <w:pPr>
        <w:widowControl w:val="0"/>
        <w:adjustRightInd w:val="0"/>
        <w:snapToGrid w:val="0"/>
        <w:spacing w:after="0" w:line="360" w:lineRule="auto"/>
        <w:jc w:val="both"/>
        <w:rPr>
          <w:rFonts w:ascii="Book Antiqua" w:eastAsia="宋体" w:hAnsi="Book Antiqua" w:cs="Times New Roman"/>
          <w:b/>
          <w:color w:val="000000"/>
          <w:kern w:val="2"/>
          <w:sz w:val="24"/>
          <w:szCs w:val="24"/>
          <w:lang w:val="hu-HU" w:eastAsia="zh-CN"/>
        </w:rPr>
      </w:pPr>
    </w:p>
    <w:p w14:paraId="564D0E61" w14:textId="47EA3FE1" w:rsidR="00983A77" w:rsidRDefault="00983A77" w:rsidP="00256D6C">
      <w:pPr>
        <w:widowControl w:val="0"/>
        <w:adjustRightInd w:val="0"/>
        <w:snapToGrid w:val="0"/>
        <w:spacing w:after="0" w:line="360" w:lineRule="auto"/>
        <w:jc w:val="both"/>
        <w:rPr>
          <w:rFonts w:ascii="Book Antiqua" w:hAnsi="Book Antiqua" w:cs="Times New Roman"/>
          <w:b/>
          <w:bCs/>
          <w:color w:val="000000"/>
          <w:kern w:val="2"/>
          <w:sz w:val="24"/>
          <w:lang w:eastAsia="zh-CN"/>
        </w:rPr>
      </w:pPr>
      <w:r>
        <w:rPr>
          <w:rFonts w:ascii="Book Antiqua" w:hAnsi="Book Antiqua" w:cs="Times New Roman"/>
          <w:b/>
          <w:bCs/>
          <w:color w:val="000000"/>
          <w:kern w:val="2"/>
          <w:sz w:val="24"/>
          <w:lang w:eastAsia="zh-CN"/>
        </w:rPr>
        <w:t>P-Reviewer:</w:t>
      </w:r>
      <w:r>
        <w:rPr>
          <w:rFonts w:ascii="Book Antiqua" w:hAnsi="Book Antiqua" w:cs="Times New Roman"/>
          <w:bCs/>
          <w:color w:val="000000"/>
          <w:kern w:val="2"/>
          <w:sz w:val="24"/>
          <w:lang w:eastAsia="zh-CN"/>
        </w:rPr>
        <w:t xml:space="preserve"> </w:t>
      </w:r>
      <w:r w:rsidR="001C3072" w:rsidRPr="001C3072">
        <w:rPr>
          <w:rFonts w:ascii="Book Antiqua" w:hAnsi="Book Antiqua" w:cs="Times New Roman"/>
          <w:bCs/>
          <w:color w:val="000000"/>
          <w:kern w:val="2"/>
          <w:sz w:val="24"/>
          <w:lang w:eastAsia="zh-CN"/>
        </w:rPr>
        <w:t>Armellini</w:t>
      </w:r>
      <w:r w:rsidR="001C3072">
        <w:rPr>
          <w:rFonts w:ascii="Book Antiqua" w:hAnsi="Book Antiqua" w:cs="Times New Roman"/>
          <w:bCs/>
          <w:color w:val="000000"/>
          <w:kern w:val="2"/>
          <w:sz w:val="24"/>
          <w:lang w:eastAsia="zh-CN"/>
        </w:rPr>
        <w:t xml:space="preserve"> E, </w:t>
      </w:r>
      <w:r w:rsidR="001C3072" w:rsidRPr="001C3072">
        <w:rPr>
          <w:rFonts w:ascii="Book Antiqua" w:hAnsi="Book Antiqua" w:cs="Times New Roman"/>
          <w:bCs/>
          <w:color w:val="000000"/>
          <w:kern w:val="2"/>
          <w:sz w:val="24"/>
          <w:lang w:eastAsia="zh-CN"/>
        </w:rPr>
        <w:t>Martini</w:t>
      </w:r>
      <w:r w:rsidR="001C3072">
        <w:rPr>
          <w:rFonts w:ascii="Book Antiqua" w:hAnsi="Book Antiqua" w:cs="Times New Roman"/>
          <w:bCs/>
          <w:color w:val="000000"/>
          <w:kern w:val="2"/>
          <w:sz w:val="24"/>
          <w:lang w:eastAsia="zh-CN"/>
        </w:rPr>
        <w:t xml:space="preserve"> F, </w:t>
      </w:r>
      <w:r w:rsidR="001C3072" w:rsidRPr="001C3072">
        <w:rPr>
          <w:rFonts w:ascii="Book Antiqua" w:hAnsi="Book Antiqua" w:cs="Times New Roman"/>
          <w:bCs/>
          <w:color w:val="000000"/>
          <w:kern w:val="2"/>
          <w:sz w:val="24"/>
          <w:lang w:eastAsia="zh-CN"/>
        </w:rPr>
        <w:t>Mayol</w:t>
      </w:r>
      <w:r w:rsidR="001C3072">
        <w:rPr>
          <w:rFonts w:ascii="Book Antiqua" w:hAnsi="Book Antiqua" w:cs="Times New Roman"/>
          <w:bCs/>
          <w:color w:val="000000"/>
          <w:kern w:val="2"/>
          <w:sz w:val="24"/>
          <w:lang w:eastAsia="zh-CN"/>
        </w:rPr>
        <w:t xml:space="preserve"> J, </w:t>
      </w:r>
      <w:r w:rsidR="001C3072" w:rsidRPr="001C3072">
        <w:rPr>
          <w:rFonts w:ascii="Book Antiqua" w:hAnsi="Book Antiqua" w:cs="Times New Roman"/>
          <w:bCs/>
          <w:color w:val="000000"/>
          <w:kern w:val="2"/>
          <w:sz w:val="24"/>
          <w:lang w:eastAsia="zh-CN"/>
        </w:rPr>
        <w:t>Savarino</w:t>
      </w:r>
      <w:r w:rsidR="001C3072">
        <w:rPr>
          <w:rFonts w:ascii="Book Antiqua" w:hAnsi="Book Antiqua" w:cs="Times New Roman"/>
          <w:bCs/>
          <w:color w:val="000000"/>
          <w:kern w:val="2"/>
          <w:sz w:val="24"/>
          <w:lang w:eastAsia="zh-CN"/>
        </w:rPr>
        <w:t xml:space="preserve"> V, </w:t>
      </w:r>
      <w:r w:rsidR="001C3072" w:rsidRPr="001C3072">
        <w:rPr>
          <w:rFonts w:ascii="Book Antiqua" w:hAnsi="Book Antiqua" w:cs="Times New Roman"/>
          <w:bCs/>
          <w:color w:val="000000"/>
          <w:kern w:val="2"/>
          <w:sz w:val="24"/>
          <w:lang w:eastAsia="zh-CN"/>
        </w:rPr>
        <w:t>Schietroma</w:t>
      </w:r>
      <w:r w:rsidR="001C3072">
        <w:rPr>
          <w:rFonts w:ascii="Book Antiqua" w:hAnsi="Book Antiqua" w:cs="Times New Roman"/>
          <w:bCs/>
          <w:color w:val="000000"/>
          <w:kern w:val="2"/>
          <w:sz w:val="24"/>
          <w:lang w:eastAsia="zh-CN"/>
        </w:rPr>
        <w:t xml:space="preserve"> M </w:t>
      </w:r>
      <w:r>
        <w:rPr>
          <w:rFonts w:ascii="Book Antiqua" w:hAnsi="Book Antiqua" w:cs="Times New Roman"/>
          <w:b/>
          <w:bCs/>
          <w:color w:val="000000"/>
          <w:kern w:val="2"/>
          <w:sz w:val="24"/>
          <w:lang w:eastAsia="zh-CN"/>
        </w:rPr>
        <w:t xml:space="preserve">S-Editor: </w:t>
      </w:r>
      <w:r w:rsidR="00CB2729" w:rsidRPr="00CB2729">
        <w:rPr>
          <w:rFonts w:ascii="Book Antiqua" w:hAnsi="Book Antiqua" w:cs="Times New Roman"/>
          <w:color w:val="000000"/>
          <w:kern w:val="2"/>
          <w:sz w:val="24"/>
          <w:lang w:eastAsia="zh-CN"/>
        </w:rPr>
        <w:lastRenderedPageBreak/>
        <w:t>Gong ZM</w:t>
      </w:r>
      <w:r w:rsidR="00CB2729" w:rsidRPr="00CB2729">
        <w:rPr>
          <w:rFonts w:ascii="Book Antiqua" w:hAnsi="Book Antiqua" w:cs="Times New Roman"/>
          <w:b/>
          <w:bCs/>
          <w:color w:val="000000"/>
          <w:kern w:val="2"/>
          <w:sz w:val="24"/>
          <w:lang w:eastAsia="zh-CN"/>
        </w:rPr>
        <w:t xml:space="preserve"> </w:t>
      </w:r>
      <w:r>
        <w:rPr>
          <w:rFonts w:ascii="Book Antiqua" w:hAnsi="Book Antiqua" w:cs="Times New Roman"/>
          <w:b/>
          <w:bCs/>
          <w:color w:val="000000"/>
          <w:kern w:val="2"/>
          <w:sz w:val="24"/>
          <w:lang w:eastAsia="zh-CN"/>
        </w:rPr>
        <w:t>L-Editor:</w:t>
      </w:r>
      <w:r>
        <w:rPr>
          <w:rFonts w:ascii="Book Antiqua" w:hAnsi="Book Antiqua" w:cs="Times New Roman"/>
          <w:color w:val="000000"/>
          <w:kern w:val="2"/>
          <w:sz w:val="24"/>
          <w:lang w:eastAsia="zh-CN"/>
        </w:rPr>
        <w:t xml:space="preserve"> </w:t>
      </w:r>
      <w:r>
        <w:rPr>
          <w:rFonts w:ascii="Book Antiqua" w:hAnsi="Book Antiqua" w:cs="Times New Roman"/>
          <w:b/>
          <w:bCs/>
          <w:color w:val="000000"/>
          <w:kern w:val="2"/>
          <w:sz w:val="24"/>
          <w:lang w:eastAsia="zh-CN"/>
        </w:rPr>
        <w:t>E-Editor:</w:t>
      </w:r>
    </w:p>
    <w:p w14:paraId="36EC0282" w14:textId="77777777" w:rsidR="00EF0258" w:rsidRPr="00983A77" w:rsidRDefault="00EF0258" w:rsidP="00256D6C">
      <w:pPr>
        <w:snapToGrid w:val="0"/>
        <w:spacing w:after="0" w:line="360" w:lineRule="auto"/>
        <w:rPr>
          <w:rFonts w:ascii="Book Antiqua" w:hAnsi="Book Antiqua"/>
          <w:b/>
          <w:bCs/>
          <w:caps/>
          <w:sz w:val="24"/>
          <w:szCs w:val="24"/>
          <w:lang w:eastAsia="zh-CN"/>
        </w:rPr>
      </w:pPr>
    </w:p>
    <w:sectPr w:rsidR="00EF0258" w:rsidRPr="00983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E948" w14:textId="77777777" w:rsidR="002754DD" w:rsidRDefault="002754DD" w:rsidP="00CB5BED">
      <w:pPr>
        <w:spacing w:after="0" w:line="240" w:lineRule="auto"/>
      </w:pPr>
      <w:r>
        <w:separator/>
      </w:r>
    </w:p>
  </w:endnote>
  <w:endnote w:type="continuationSeparator" w:id="0">
    <w:p w14:paraId="09E66820" w14:textId="77777777" w:rsidR="002754DD" w:rsidRDefault="002754DD" w:rsidP="00CB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973F" w14:textId="77777777" w:rsidR="002754DD" w:rsidRDefault="002754DD" w:rsidP="00CB5BED">
      <w:pPr>
        <w:spacing w:after="0" w:line="240" w:lineRule="auto"/>
      </w:pPr>
      <w:r>
        <w:separator/>
      </w:r>
    </w:p>
  </w:footnote>
  <w:footnote w:type="continuationSeparator" w:id="0">
    <w:p w14:paraId="6190FF24" w14:textId="77777777" w:rsidR="002754DD" w:rsidRDefault="002754DD" w:rsidP="00CB5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7D3"/>
    <w:multiLevelType w:val="multilevel"/>
    <w:tmpl w:val="7634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E66FF"/>
    <w:multiLevelType w:val="multilevel"/>
    <w:tmpl w:val="2D6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62C43"/>
    <w:multiLevelType w:val="hybridMultilevel"/>
    <w:tmpl w:val="248A0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725DD"/>
    <w:multiLevelType w:val="multilevel"/>
    <w:tmpl w:val="B268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16192"/>
    <w:multiLevelType w:val="hybridMultilevel"/>
    <w:tmpl w:val="E314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01141"/>
    <w:multiLevelType w:val="hybridMultilevel"/>
    <w:tmpl w:val="8A462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001F1"/>
    <w:multiLevelType w:val="hybridMultilevel"/>
    <w:tmpl w:val="E1A86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D368D"/>
    <w:multiLevelType w:val="hybridMultilevel"/>
    <w:tmpl w:val="25267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9668A"/>
    <w:multiLevelType w:val="multilevel"/>
    <w:tmpl w:val="060C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BD25A8"/>
    <w:multiLevelType w:val="multilevel"/>
    <w:tmpl w:val="BA2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8"/>
  </w:num>
  <w:num w:numId="5">
    <w:abstractNumId w:val="6"/>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0D"/>
    <w:rsid w:val="000E010D"/>
    <w:rsid w:val="00107204"/>
    <w:rsid w:val="00125011"/>
    <w:rsid w:val="00166A8C"/>
    <w:rsid w:val="001C3072"/>
    <w:rsid w:val="001C51D3"/>
    <w:rsid w:val="001D672D"/>
    <w:rsid w:val="001E2870"/>
    <w:rsid w:val="002108A6"/>
    <w:rsid w:val="00247B65"/>
    <w:rsid w:val="00256D6C"/>
    <w:rsid w:val="00265248"/>
    <w:rsid w:val="002754DD"/>
    <w:rsid w:val="0029320F"/>
    <w:rsid w:val="002A5D04"/>
    <w:rsid w:val="002B5132"/>
    <w:rsid w:val="002C7B8F"/>
    <w:rsid w:val="002D583B"/>
    <w:rsid w:val="00303E98"/>
    <w:rsid w:val="00335F97"/>
    <w:rsid w:val="0033710F"/>
    <w:rsid w:val="003603BB"/>
    <w:rsid w:val="003609B2"/>
    <w:rsid w:val="00380801"/>
    <w:rsid w:val="003907FA"/>
    <w:rsid w:val="003A4072"/>
    <w:rsid w:val="003A7123"/>
    <w:rsid w:val="003B0376"/>
    <w:rsid w:val="003B4673"/>
    <w:rsid w:val="003D4615"/>
    <w:rsid w:val="003F0D3A"/>
    <w:rsid w:val="003F3561"/>
    <w:rsid w:val="003F5E19"/>
    <w:rsid w:val="004310DD"/>
    <w:rsid w:val="00484F1B"/>
    <w:rsid w:val="00494383"/>
    <w:rsid w:val="004C7014"/>
    <w:rsid w:val="004E162B"/>
    <w:rsid w:val="00503AD0"/>
    <w:rsid w:val="00513B1F"/>
    <w:rsid w:val="00517715"/>
    <w:rsid w:val="00530EAE"/>
    <w:rsid w:val="00552E73"/>
    <w:rsid w:val="00595FD3"/>
    <w:rsid w:val="005B2FAA"/>
    <w:rsid w:val="005B7F22"/>
    <w:rsid w:val="005C4E2C"/>
    <w:rsid w:val="005E23F3"/>
    <w:rsid w:val="0062626B"/>
    <w:rsid w:val="00645547"/>
    <w:rsid w:val="00646634"/>
    <w:rsid w:val="006559DA"/>
    <w:rsid w:val="00664858"/>
    <w:rsid w:val="00687277"/>
    <w:rsid w:val="006930A4"/>
    <w:rsid w:val="006A21C2"/>
    <w:rsid w:val="006C65C9"/>
    <w:rsid w:val="006D34C6"/>
    <w:rsid w:val="007111E1"/>
    <w:rsid w:val="007665B8"/>
    <w:rsid w:val="00771917"/>
    <w:rsid w:val="00792565"/>
    <w:rsid w:val="00792588"/>
    <w:rsid w:val="007A415E"/>
    <w:rsid w:val="007B4CD3"/>
    <w:rsid w:val="007B6813"/>
    <w:rsid w:val="007E6513"/>
    <w:rsid w:val="007E7F49"/>
    <w:rsid w:val="00801E2D"/>
    <w:rsid w:val="0082398F"/>
    <w:rsid w:val="008313DC"/>
    <w:rsid w:val="0085643A"/>
    <w:rsid w:val="00866343"/>
    <w:rsid w:val="00876758"/>
    <w:rsid w:val="00877085"/>
    <w:rsid w:val="008936A4"/>
    <w:rsid w:val="008F0659"/>
    <w:rsid w:val="009062BE"/>
    <w:rsid w:val="009114F8"/>
    <w:rsid w:val="00983A77"/>
    <w:rsid w:val="009A25C9"/>
    <w:rsid w:val="009D631F"/>
    <w:rsid w:val="009F2F96"/>
    <w:rsid w:val="00A26EBB"/>
    <w:rsid w:val="00A51856"/>
    <w:rsid w:val="00A526C0"/>
    <w:rsid w:val="00A61657"/>
    <w:rsid w:val="00A62473"/>
    <w:rsid w:val="00A74C2E"/>
    <w:rsid w:val="00A75534"/>
    <w:rsid w:val="00AA3EFE"/>
    <w:rsid w:val="00AB4BFD"/>
    <w:rsid w:val="00AE392D"/>
    <w:rsid w:val="00AF04CA"/>
    <w:rsid w:val="00AF0D2C"/>
    <w:rsid w:val="00AF4E36"/>
    <w:rsid w:val="00B263BC"/>
    <w:rsid w:val="00B77F5B"/>
    <w:rsid w:val="00B91A79"/>
    <w:rsid w:val="00BF4466"/>
    <w:rsid w:val="00C25B70"/>
    <w:rsid w:val="00C65737"/>
    <w:rsid w:val="00C73D52"/>
    <w:rsid w:val="00C86959"/>
    <w:rsid w:val="00CA39D7"/>
    <w:rsid w:val="00CA5964"/>
    <w:rsid w:val="00CB0D14"/>
    <w:rsid w:val="00CB2729"/>
    <w:rsid w:val="00CB5BED"/>
    <w:rsid w:val="00CE6CA4"/>
    <w:rsid w:val="00CF2B48"/>
    <w:rsid w:val="00D01218"/>
    <w:rsid w:val="00D21314"/>
    <w:rsid w:val="00D6155A"/>
    <w:rsid w:val="00D87CC5"/>
    <w:rsid w:val="00D938E3"/>
    <w:rsid w:val="00D9458E"/>
    <w:rsid w:val="00DB4E3E"/>
    <w:rsid w:val="00DC4D83"/>
    <w:rsid w:val="00DE070D"/>
    <w:rsid w:val="00DE23A3"/>
    <w:rsid w:val="00DF3A22"/>
    <w:rsid w:val="00E10891"/>
    <w:rsid w:val="00E23F55"/>
    <w:rsid w:val="00E6110F"/>
    <w:rsid w:val="00E81BA8"/>
    <w:rsid w:val="00E90A0C"/>
    <w:rsid w:val="00E96775"/>
    <w:rsid w:val="00EA42A0"/>
    <w:rsid w:val="00EF0258"/>
    <w:rsid w:val="00FF60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267F"/>
  <w15:docId w15:val="{625C987A-7AD4-4152-8384-9B79FE7A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4">
    <w:name w:val="heading 4"/>
    <w:basedOn w:val="a"/>
    <w:next w:val="a"/>
    <w:link w:val="40"/>
    <w:uiPriority w:val="9"/>
    <w:semiHidden/>
    <w:unhideWhenUsed/>
    <w:qFormat/>
    <w:rsid w:val="005B7F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uiPriority w:val="99"/>
    <w:rsid w:val="00DE070D"/>
    <w:pPr>
      <w:spacing w:after="200" w:line="276" w:lineRule="auto"/>
      <w:outlineLvl w:val="0"/>
    </w:pPr>
    <w:rPr>
      <w:rFonts w:ascii="Helvetica" w:eastAsia="Arial Unicode MS" w:hAnsi="Helvetica" w:cs="Times New Roman"/>
      <w:color w:val="000000"/>
      <w:szCs w:val="20"/>
      <w:u w:color="000000"/>
      <w:lang w:eastAsia="en-GB"/>
    </w:rPr>
  </w:style>
  <w:style w:type="character" w:customStyle="1" w:styleId="Body1Char">
    <w:name w:val="Body 1 Char"/>
    <w:link w:val="Body1"/>
    <w:uiPriority w:val="99"/>
    <w:rsid w:val="00DE070D"/>
    <w:rPr>
      <w:rFonts w:ascii="Helvetica" w:eastAsia="Arial Unicode MS" w:hAnsi="Helvetica" w:cs="Times New Roman"/>
      <w:color w:val="000000"/>
      <w:szCs w:val="20"/>
      <w:u w:color="000000"/>
      <w:lang w:eastAsia="en-GB"/>
    </w:rPr>
  </w:style>
  <w:style w:type="character" w:styleId="a3">
    <w:name w:val="Hyperlink"/>
    <w:basedOn w:val="a0"/>
    <w:uiPriority w:val="99"/>
    <w:unhideWhenUsed/>
    <w:rsid w:val="001E2870"/>
    <w:rPr>
      <w:color w:val="0000FF"/>
      <w:u w:val="single"/>
    </w:rPr>
  </w:style>
  <w:style w:type="paragraph" w:styleId="a4">
    <w:name w:val="List Paragraph"/>
    <w:basedOn w:val="a"/>
    <w:uiPriority w:val="34"/>
    <w:qFormat/>
    <w:rsid w:val="003F5E19"/>
    <w:pPr>
      <w:ind w:left="720"/>
      <w:contextualSpacing/>
    </w:pPr>
  </w:style>
  <w:style w:type="character" w:customStyle="1" w:styleId="10">
    <w:name w:val="标题 1 字符"/>
    <w:basedOn w:val="a0"/>
    <w:link w:val="1"/>
    <w:uiPriority w:val="9"/>
    <w:rsid w:val="005B7F22"/>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5B7F22"/>
  </w:style>
  <w:style w:type="character" w:customStyle="1" w:styleId="40">
    <w:name w:val="标题 4 字符"/>
    <w:basedOn w:val="a0"/>
    <w:link w:val="4"/>
    <w:uiPriority w:val="9"/>
    <w:semiHidden/>
    <w:rsid w:val="005B7F22"/>
    <w:rPr>
      <w:rFonts w:asciiTheme="majorHAnsi" w:eastAsiaTheme="majorEastAsia" w:hAnsiTheme="majorHAnsi" w:cstheme="majorBidi"/>
      <w:i/>
      <w:iCs/>
      <w:color w:val="2E74B5" w:themeColor="accent1" w:themeShade="BF"/>
    </w:rPr>
  </w:style>
  <w:style w:type="character" w:customStyle="1" w:styleId="label">
    <w:name w:val="label"/>
    <w:basedOn w:val="a0"/>
    <w:rsid w:val="005B7F22"/>
  </w:style>
  <w:style w:type="character" w:customStyle="1" w:styleId="separator">
    <w:name w:val="separator"/>
    <w:basedOn w:val="a0"/>
    <w:rsid w:val="005B7F22"/>
  </w:style>
  <w:style w:type="character" w:customStyle="1" w:styleId="value">
    <w:name w:val="value"/>
    <w:basedOn w:val="a0"/>
    <w:rsid w:val="005B7F22"/>
  </w:style>
  <w:style w:type="paragraph" w:customStyle="1" w:styleId="Title1">
    <w:name w:val="Title1"/>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E81BA8"/>
  </w:style>
  <w:style w:type="paragraph" w:styleId="a5">
    <w:name w:val="Balloon Text"/>
    <w:basedOn w:val="a"/>
    <w:link w:val="a6"/>
    <w:uiPriority w:val="99"/>
    <w:semiHidden/>
    <w:unhideWhenUsed/>
    <w:rsid w:val="007111E1"/>
    <w:pPr>
      <w:spacing w:after="0" w:line="240" w:lineRule="auto"/>
    </w:pPr>
    <w:rPr>
      <w:sz w:val="18"/>
      <w:szCs w:val="18"/>
    </w:rPr>
  </w:style>
  <w:style w:type="character" w:customStyle="1" w:styleId="a6">
    <w:name w:val="批注框文本 字符"/>
    <w:basedOn w:val="a0"/>
    <w:link w:val="a5"/>
    <w:uiPriority w:val="99"/>
    <w:semiHidden/>
    <w:rsid w:val="007111E1"/>
    <w:rPr>
      <w:sz w:val="18"/>
      <w:szCs w:val="18"/>
    </w:rPr>
  </w:style>
  <w:style w:type="paragraph" w:styleId="a7">
    <w:name w:val="header"/>
    <w:basedOn w:val="a"/>
    <w:link w:val="a8"/>
    <w:uiPriority w:val="99"/>
    <w:unhideWhenUsed/>
    <w:rsid w:val="007111E1"/>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a8">
    <w:name w:val="页眉 字符"/>
    <w:basedOn w:val="a0"/>
    <w:link w:val="a7"/>
    <w:uiPriority w:val="99"/>
    <w:rsid w:val="007111E1"/>
    <w:rPr>
      <w:kern w:val="2"/>
      <w:sz w:val="18"/>
      <w:szCs w:val="18"/>
      <w:lang w:val="en-US" w:eastAsia="zh-CN"/>
    </w:rPr>
  </w:style>
  <w:style w:type="character" w:styleId="a9">
    <w:name w:val="annotation reference"/>
    <w:basedOn w:val="a0"/>
    <w:uiPriority w:val="99"/>
    <w:unhideWhenUsed/>
    <w:qFormat/>
    <w:rsid w:val="007111E1"/>
    <w:rPr>
      <w:sz w:val="21"/>
      <w:szCs w:val="21"/>
    </w:rPr>
  </w:style>
  <w:style w:type="paragraph" w:styleId="aa">
    <w:name w:val="annotation text"/>
    <w:basedOn w:val="a"/>
    <w:link w:val="ab"/>
    <w:uiPriority w:val="99"/>
    <w:unhideWhenUsed/>
    <w:qFormat/>
    <w:rsid w:val="007111E1"/>
  </w:style>
  <w:style w:type="character" w:customStyle="1" w:styleId="ab">
    <w:name w:val="批注文字 字符"/>
    <w:basedOn w:val="a0"/>
    <w:link w:val="aa"/>
    <w:uiPriority w:val="99"/>
    <w:semiHidden/>
    <w:rsid w:val="007111E1"/>
  </w:style>
  <w:style w:type="paragraph" w:styleId="ac">
    <w:name w:val="annotation subject"/>
    <w:basedOn w:val="aa"/>
    <w:next w:val="aa"/>
    <w:link w:val="ad"/>
    <w:uiPriority w:val="99"/>
    <w:semiHidden/>
    <w:unhideWhenUsed/>
    <w:rsid w:val="007111E1"/>
    <w:rPr>
      <w:b/>
      <w:bCs/>
    </w:rPr>
  </w:style>
  <w:style w:type="character" w:customStyle="1" w:styleId="ad">
    <w:name w:val="批注主题 字符"/>
    <w:basedOn w:val="ab"/>
    <w:link w:val="ac"/>
    <w:uiPriority w:val="99"/>
    <w:semiHidden/>
    <w:rsid w:val="007111E1"/>
    <w:rPr>
      <w:b/>
      <w:bCs/>
    </w:rPr>
  </w:style>
  <w:style w:type="character" w:styleId="ae">
    <w:name w:val="Strong"/>
    <w:basedOn w:val="a0"/>
    <w:uiPriority w:val="22"/>
    <w:qFormat/>
    <w:rsid w:val="007111E1"/>
    <w:rPr>
      <w:b/>
      <w:bCs/>
    </w:rPr>
  </w:style>
  <w:style w:type="character" w:customStyle="1" w:styleId="11">
    <w:name w:val="批注文字 字符1"/>
    <w:basedOn w:val="a0"/>
    <w:uiPriority w:val="99"/>
    <w:qFormat/>
    <w:rsid w:val="007111E1"/>
    <w:rPr>
      <w:rFonts w:ascii="Calibri" w:eastAsia="宋体" w:hAnsi="Calibri" w:cs="Times New Roman"/>
      <w:kern w:val="0"/>
      <w:sz w:val="22"/>
      <w:lang w:val="en-GB" w:eastAsia="en-US"/>
    </w:rPr>
  </w:style>
  <w:style w:type="paragraph" w:styleId="af">
    <w:name w:val="footer"/>
    <w:basedOn w:val="a"/>
    <w:link w:val="af0"/>
    <w:uiPriority w:val="99"/>
    <w:unhideWhenUsed/>
    <w:rsid w:val="00CB5BED"/>
    <w:pPr>
      <w:tabs>
        <w:tab w:val="center" w:pos="4153"/>
        <w:tab w:val="right" w:pos="8306"/>
      </w:tabs>
      <w:snapToGrid w:val="0"/>
      <w:spacing w:line="240" w:lineRule="auto"/>
    </w:pPr>
    <w:rPr>
      <w:sz w:val="18"/>
      <w:szCs w:val="18"/>
    </w:rPr>
  </w:style>
  <w:style w:type="character" w:customStyle="1" w:styleId="af0">
    <w:name w:val="页脚 字符"/>
    <w:basedOn w:val="a0"/>
    <w:link w:val="af"/>
    <w:uiPriority w:val="99"/>
    <w:rsid w:val="00CB5BED"/>
    <w:rPr>
      <w:sz w:val="18"/>
      <w:szCs w:val="18"/>
    </w:rPr>
  </w:style>
  <w:style w:type="character" w:customStyle="1" w:styleId="12">
    <w:name w:val="未处理的提及1"/>
    <w:basedOn w:val="a0"/>
    <w:uiPriority w:val="99"/>
    <w:semiHidden/>
    <w:unhideWhenUsed/>
    <w:rsid w:val="00876758"/>
    <w:rPr>
      <w:color w:val="605E5C"/>
      <w:shd w:val="clear" w:color="auto" w:fill="E1DFDD"/>
    </w:rPr>
  </w:style>
  <w:style w:type="character" w:customStyle="1" w:styleId="UnresolvedMention">
    <w:name w:val="Unresolved Mention"/>
    <w:basedOn w:val="a0"/>
    <w:uiPriority w:val="99"/>
    <w:semiHidden/>
    <w:unhideWhenUsed/>
    <w:rsid w:val="009D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039">
      <w:bodyDiv w:val="1"/>
      <w:marLeft w:val="0"/>
      <w:marRight w:val="0"/>
      <w:marTop w:val="0"/>
      <w:marBottom w:val="0"/>
      <w:divBdr>
        <w:top w:val="none" w:sz="0" w:space="0" w:color="auto"/>
        <w:left w:val="none" w:sz="0" w:space="0" w:color="auto"/>
        <w:bottom w:val="none" w:sz="0" w:space="0" w:color="auto"/>
        <w:right w:val="none" w:sz="0" w:space="0" w:color="auto"/>
      </w:divBdr>
    </w:div>
    <w:div w:id="135802799">
      <w:bodyDiv w:val="1"/>
      <w:marLeft w:val="0"/>
      <w:marRight w:val="0"/>
      <w:marTop w:val="0"/>
      <w:marBottom w:val="0"/>
      <w:divBdr>
        <w:top w:val="none" w:sz="0" w:space="0" w:color="auto"/>
        <w:left w:val="none" w:sz="0" w:space="0" w:color="auto"/>
        <w:bottom w:val="none" w:sz="0" w:space="0" w:color="auto"/>
        <w:right w:val="none" w:sz="0" w:space="0" w:color="auto"/>
      </w:divBdr>
    </w:div>
    <w:div w:id="138769052">
      <w:bodyDiv w:val="1"/>
      <w:marLeft w:val="0"/>
      <w:marRight w:val="0"/>
      <w:marTop w:val="0"/>
      <w:marBottom w:val="0"/>
      <w:divBdr>
        <w:top w:val="none" w:sz="0" w:space="0" w:color="auto"/>
        <w:left w:val="none" w:sz="0" w:space="0" w:color="auto"/>
        <w:bottom w:val="none" w:sz="0" w:space="0" w:color="auto"/>
        <w:right w:val="none" w:sz="0" w:space="0" w:color="auto"/>
      </w:divBdr>
    </w:div>
    <w:div w:id="149173036">
      <w:bodyDiv w:val="1"/>
      <w:marLeft w:val="0"/>
      <w:marRight w:val="0"/>
      <w:marTop w:val="0"/>
      <w:marBottom w:val="0"/>
      <w:divBdr>
        <w:top w:val="none" w:sz="0" w:space="0" w:color="auto"/>
        <w:left w:val="none" w:sz="0" w:space="0" w:color="auto"/>
        <w:bottom w:val="none" w:sz="0" w:space="0" w:color="auto"/>
        <w:right w:val="none" w:sz="0" w:space="0" w:color="auto"/>
      </w:divBdr>
      <w:divsChild>
        <w:div w:id="88044499">
          <w:marLeft w:val="0"/>
          <w:marRight w:val="0"/>
          <w:marTop w:val="120"/>
          <w:marBottom w:val="360"/>
          <w:divBdr>
            <w:top w:val="none" w:sz="0" w:space="0" w:color="auto"/>
            <w:left w:val="none" w:sz="0" w:space="0" w:color="auto"/>
            <w:bottom w:val="none" w:sz="0" w:space="0" w:color="auto"/>
            <w:right w:val="none" w:sz="0" w:space="0" w:color="auto"/>
          </w:divBdr>
          <w:divsChild>
            <w:div w:id="1480223907">
              <w:marLeft w:val="0"/>
              <w:marRight w:val="0"/>
              <w:marTop w:val="0"/>
              <w:marBottom w:val="0"/>
              <w:divBdr>
                <w:top w:val="none" w:sz="0" w:space="0" w:color="auto"/>
                <w:left w:val="none" w:sz="0" w:space="0" w:color="auto"/>
                <w:bottom w:val="none" w:sz="0" w:space="0" w:color="auto"/>
                <w:right w:val="none" w:sz="0" w:space="0" w:color="auto"/>
              </w:divBdr>
            </w:div>
            <w:div w:id="1568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774">
      <w:bodyDiv w:val="1"/>
      <w:marLeft w:val="0"/>
      <w:marRight w:val="0"/>
      <w:marTop w:val="0"/>
      <w:marBottom w:val="0"/>
      <w:divBdr>
        <w:top w:val="none" w:sz="0" w:space="0" w:color="auto"/>
        <w:left w:val="none" w:sz="0" w:space="0" w:color="auto"/>
        <w:bottom w:val="none" w:sz="0" w:space="0" w:color="auto"/>
        <w:right w:val="none" w:sz="0" w:space="0" w:color="auto"/>
      </w:divBdr>
    </w:div>
    <w:div w:id="412974387">
      <w:bodyDiv w:val="1"/>
      <w:marLeft w:val="0"/>
      <w:marRight w:val="0"/>
      <w:marTop w:val="0"/>
      <w:marBottom w:val="0"/>
      <w:divBdr>
        <w:top w:val="none" w:sz="0" w:space="0" w:color="auto"/>
        <w:left w:val="none" w:sz="0" w:space="0" w:color="auto"/>
        <w:bottom w:val="none" w:sz="0" w:space="0" w:color="auto"/>
        <w:right w:val="none" w:sz="0" w:space="0" w:color="auto"/>
      </w:divBdr>
    </w:div>
    <w:div w:id="470097828">
      <w:bodyDiv w:val="1"/>
      <w:marLeft w:val="0"/>
      <w:marRight w:val="0"/>
      <w:marTop w:val="0"/>
      <w:marBottom w:val="0"/>
      <w:divBdr>
        <w:top w:val="none" w:sz="0" w:space="0" w:color="auto"/>
        <w:left w:val="none" w:sz="0" w:space="0" w:color="auto"/>
        <w:bottom w:val="none" w:sz="0" w:space="0" w:color="auto"/>
        <w:right w:val="none" w:sz="0" w:space="0" w:color="auto"/>
      </w:divBdr>
    </w:div>
    <w:div w:id="519588730">
      <w:bodyDiv w:val="1"/>
      <w:marLeft w:val="0"/>
      <w:marRight w:val="0"/>
      <w:marTop w:val="0"/>
      <w:marBottom w:val="0"/>
      <w:divBdr>
        <w:top w:val="none" w:sz="0" w:space="0" w:color="auto"/>
        <w:left w:val="none" w:sz="0" w:space="0" w:color="auto"/>
        <w:bottom w:val="none" w:sz="0" w:space="0" w:color="auto"/>
        <w:right w:val="none" w:sz="0" w:space="0" w:color="auto"/>
      </w:divBdr>
    </w:div>
    <w:div w:id="712313474">
      <w:bodyDiv w:val="1"/>
      <w:marLeft w:val="0"/>
      <w:marRight w:val="0"/>
      <w:marTop w:val="0"/>
      <w:marBottom w:val="0"/>
      <w:divBdr>
        <w:top w:val="none" w:sz="0" w:space="0" w:color="auto"/>
        <w:left w:val="none" w:sz="0" w:space="0" w:color="auto"/>
        <w:bottom w:val="none" w:sz="0" w:space="0" w:color="auto"/>
        <w:right w:val="none" w:sz="0" w:space="0" w:color="auto"/>
      </w:divBdr>
      <w:divsChild>
        <w:div w:id="1785802172">
          <w:marLeft w:val="0"/>
          <w:marRight w:val="0"/>
          <w:marTop w:val="120"/>
          <w:marBottom w:val="360"/>
          <w:divBdr>
            <w:top w:val="none" w:sz="0" w:space="0" w:color="auto"/>
            <w:left w:val="none" w:sz="0" w:space="0" w:color="auto"/>
            <w:bottom w:val="none" w:sz="0" w:space="0" w:color="auto"/>
            <w:right w:val="none" w:sz="0" w:space="0" w:color="auto"/>
          </w:divBdr>
          <w:divsChild>
            <w:div w:id="29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1470">
      <w:bodyDiv w:val="1"/>
      <w:marLeft w:val="0"/>
      <w:marRight w:val="0"/>
      <w:marTop w:val="0"/>
      <w:marBottom w:val="0"/>
      <w:divBdr>
        <w:top w:val="none" w:sz="0" w:space="0" w:color="auto"/>
        <w:left w:val="none" w:sz="0" w:space="0" w:color="auto"/>
        <w:bottom w:val="none" w:sz="0" w:space="0" w:color="auto"/>
        <w:right w:val="none" w:sz="0" w:space="0" w:color="auto"/>
      </w:divBdr>
      <w:divsChild>
        <w:div w:id="2143497811">
          <w:marLeft w:val="0"/>
          <w:marRight w:val="0"/>
          <w:marTop w:val="120"/>
          <w:marBottom w:val="360"/>
          <w:divBdr>
            <w:top w:val="none" w:sz="0" w:space="0" w:color="auto"/>
            <w:left w:val="none" w:sz="0" w:space="0" w:color="auto"/>
            <w:bottom w:val="none" w:sz="0" w:space="0" w:color="auto"/>
            <w:right w:val="none" w:sz="0" w:space="0" w:color="auto"/>
          </w:divBdr>
          <w:divsChild>
            <w:div w:id="97717511">
              <w:marLeft w:val="0"/>
              <w:marRight w:val="0"/>
              <w:marTop w:val="0"/>
              <w:marBottom w:val="0"/>
              <w:divBdr>
                <w:top w:val="none" w:sz="0" w:space="0" w:color="auto"/>
                <w:left w:val="none" w:sz="0" w:space="0" w:color="auto"/>
                <w:bottom w:val="none" w:sz="0" w:space="0" w:color="auto"/>
                <w:right w:val="none" w:sz="0" w:space="0" w:color="auto"/>
              </w:divBdr>
            </w:div>
            <w:div w:id="10692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8026">
      <w:bodyDiv w:val="1"/>
      <w:marLeft w:val="0"/>
      <w:marRight w:val="0"/>
      <w:marTop w:val="0"/>
      <w:marBottom w:val="0"/>
      <w:divBdr>
        <w:top w:val="none" w:sz="0" w:space="0" w:color="auto"/>
        <w:left w:val="none" w:sz="0" w:space="0" w:color="auto"/>
        <w:bottom w:val="none" w:sz="0" w:space="0" w:color="auto"/>
        <w:right w:val="none" w:sz="0" w:space="0" w:color="auto"/>
      </w:divBdr>
    </w:div>
    <w:div w:id="914316816">
      <w:bodyDiv w:val="1"/>
      <w:marLeft w:val="0"/>
      <w:marRight w:val="0"/>
      <w:marTop w:val="0"/>
      <w:marBottom w:val="0"/>
      <w:divBdr>
        <w:top w:val="none" w:sz="0" w:space="0" w:color="auto"/>
        <w:left w:val="none" w:sz="0" w:space="0" w:color="auto"/>
        <w:bottom w:val="none" w:sz="0" w:space="0" w:color="auto"/>
        <w:right w:val="none" w:sz="0" w:space="0" w:color="auto"/>
      </w:divBdr>
    </w:div>
    <w:div w:id="1174339625">
      <w:bodyDiv w:val="1"/>
      <w:marLeft w:val="0"/>
      <w:marRight w:val="0"/>
      <w:marTop w:val="0"/>
      <w:marBottom w:val="0"/>
      <w:divBdr>
        <w:top w:val="none" w:sz="0" w:space="0" w:color="auto"/>
        <w:left w:val="none" w:sz="0" w:space="0" w:color="auto"/>
        <w:bottom w:val="none" w:sz="0" w:space="0" w:color="auto"/>
        <w:right w:val="none" w:sz="0" w:space="0" w:color="auto"/>
      </w:divBdr>
    </w:div>
    <w:div w:id="1569874228">
      <w:bodyDiv w:val="1"/>
      <w:marLeft w:val="0"/>
      <w:marRight w:val="0"/>
      <w:marTop w:val="0"/>
      <w:marBottom w:val="0"/>
      <w:divBdr>
        <w:top w:val="none" w:sz="0" w:space="0" w:color="auto"/>
        <w:left w:val="none" w:sz="0" w:space="0" w:color="auto"/>
        <w:bottom w:val="none" w:sz="0" w:space="0" w:color="auto"/>
        <w:right w:val="none" w:sz="0" w:space="0" w:color="auto"/>
      </w:divBdr>
    </w:div>
    <w:div w:id="1876653077">
      <w:bodyDiv w:val="1"/>
      <w:marLeft w:val="0"/>
      <w:marRight w:val="0"/>
      <w:marTop w:val="0"/>
      <w:marBottom w:val="0"/>
      <w:divBdr>
        <w:top w:val="none" w:sz="0" w:space="0" w:color="auto"/>
        <w:left w:val="none" w:sz="0" w:space="0" w:color="auto"/>
        <w:bottom w:val="none" w:sz="0" w:space="0" w:color="auto"/>
        <w:right w:val="none" w:sz="0" w:space="0" w:color="auto"/>
      </w:divBdr>
      <w:divsChild>
        <w:div w:id="373231960">
          <w:marLeft w:val="420"/>
          <w:marRight w:val="0"/>
          <w:marTop w:val="0"/>
          <w:marBottom w:val="0"/>
          <w:divBdr>
            <w:top w:val="none" w:sz="0" w:space="0" w:color="auto"/>
            <w:left w:val="none" w:sz="0" w:space="0" w:color="auto"/>
            <w:bottom w:val="none" w:sz="0" w:space="0" w:color="auto"/>
            <w:right w:val="none" w:sz="0" w:space="0" w:color="auto"/>
          </w:divBdr>
          <w:divsChild>
            <w:div w:id="6651367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es.org/publications/guidelines/guidelines-for-surgical-treatment-of-gastroesophageal-reflux-disease-gerd/" TargetMode="External"/><Relationship Id="rId3" Type="http://schemas.openxmlformats.org/officeDocument/2006/relationships/settings" Target="settings.xml"/><Relationship Id="rId7" Type="http://schemas.openxmlformats.org/officeDocument/2006/relationships/hyperlink" Target="mailto:simon.bramhall@wv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Bramhall, Simon</dc:creator>
  <cp:keywords/>
  <dc:description/>
  <cp:lastModifiedBy>HP</cp:lastModifiedBy>
  <cp:revision>2</cp:revision>
  <dcterms:created xsi:type="dcterms:W3CDTF">2019-12-22T00:05:00Z</dcterms:created>
  <dcterms:modified xsi:type="dcterms:W3CDTF">2019-12-22T00:05:00Z</dcterms:modified>
</cp:coreProperties>
</file>