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970792" w14:textId="045B4416" w:rsidR="00C91F32" w:rsidRPr="008E3F16" w:rsidRDefault="00C91F32" w:rsidP="00C66188">
      <w:pPr>
        <w:pStyle w:val="Default"/>
        <w:snapToGrid w:val="0"/>
        <w:spacing w:line="360" w:lineRule="auto"/>
        <w:jc w:val="both"/>
        <w:rPr>
          <w:i/>
          <w:iCs/>
          <w:color w:val="000000" w:themeColor="text1"/>
          <w:lang w:val="en-US"/>
        </w:rPr>
      </w:pPr>
      <w:r w:rsidRPr="008E3F16">
        <w:rPr>
          <w:b/>
          <w:bCs/>
          <w:color w:val="000000" w:themeColor="text1"/>
          <w:lang w:val="en-US"/>
        </w:rPr>
        <w:t xml:space="preserve">Name of Journal: </w:t>
      </w:r>
      <w:r w:rsidRPr="008E3F16">
        <w:rPr>
          <w:i/>
          <w:iCs/>
          <w:color w:val="000000" w:themeColor="text1"/>
          <w:lang w:val="en-US"/>
        </w:rPr>
        <w:t xml:space="preserve">World Journal of Gastroenterology </w:t>
      </w:r>
    </w:p>
    <w:p w14:paraId="020A273D" w14:textId="5C887722" w:rsidR="00214447" w:rsidRPr="008E3F16" w:rsidRDefault="00F75782" w:rsidP="00C66188">
      <w:pPr>
        <w:adjustRightInd w:val="0"/>
        <w:snapToGrid w:val="0"/>
        <w:spacing w:line="360" w:lineRule="auto"/>
        <w:jc w:val="both"/>
        <w:rPr>
          <w:rFonts w:ascii="Book Antiqua" w:eastAsia="宋体" w:hAnsi="Book Antiqua" w:cs="Times New Roman"/>
          <w:b/>
          <w:i/>
          <w:color w:val="000000" w:themeColor="text1"/>
          <w:highlight w:val="white"/>
          <w:lang w:val="en-US" w:eastAsia="zh-CN"/>
        </w:rPr>
      </w:pPr>
      <w:bookmarkStart w:id="0" w:name="OLE_LINK485"/>
      <w:bookmarkStart w:id="1" w:name="OLE_LINK486"/>
      <w:bookmarkStart w:id="2" w:name="OLE_LINK661"/>
      <w:bookmarkStart w:id="3" w:name="OLE_LINK768"/>
      <w:bookmarkStart w:id="4" w:name="OLE_LINK568"/>
      <w:bookmarkStart w:id="5" w:name="OLE_LINK499"/>
      <w:bookmarkStart w:id="6" w:name="OLE_LINK437"/>
      <w:bookmarkStart w:id="7" w:name="OLE_LINK514"/>
      <w:bookmarkStart w:id="8" w:name="OLE_LINK515"/>
      <w:bookmarkStart w:id="9" w:name="OLE_LINK13"/>
      <w:bookmarkStart w:id="10" w:name="OLE_LINK351"/>
      <w:bookmarkStart w:id="11" w:name="OLE_LINK425"/>
      <w:r w:rsidRPr="008E3F16">
        <w:rPr>
          <w:rFonts w:ascii="Book Antiqua" w:eastAsia="宋体" w:hAnsi="Book Antiqua" w:cs="Times New Roman"/>
          <w:b/>
          <w:color w:val="000000" w:themeColor="text1"/>
          <w:highlight w:val="white"/>
          <w:lang w:val="pl-PL" w:eastAsia="zh-CN"/>
        </w:rPr>
        <w:t>Manuscript NO:</w:t>
      </w:r>
      <w:bookmarkEnd w:id="0"/>
      <w:bookmarkEnd w:id="1"/>
      <w:bookmarkEnd w:id="2"/>
      <w:bookmarkEnd w:id="3"/>
      <w:bookmarkEnd w:id="4"/>
      <w:r w:rsidRPr="008E3F16">
        <w:rPr>
          <w:rFonts w:ascii="Book Antiqua" w:eastAsia="宋体" w:hAnsi="Book Antiqua" w:cs="Times New Roman"/>
          <w:b/>
          <w:color w:val="000000" w:themeColor="text1"/>
          <w:highlight w:val="white"/>
          <w:lang w:val="pl-PL" w:eastAsia="zh-CN"/>
        </w:rPr>
        <w:t xml:space="preserve"> </w:t>
      </w:r>
      <w:bookmarkEnd w:id="5"/>
      <w:bookmarkEnd w:id="6"/>
      <w:bookmarkEnd w:id="7"/>
      <w:bookmarkEnd w:id="8"/>
      <w:bookmarkEnd w:id="9"/>
      <w:bookmarkEnd w:id="10"/>
      <w:bookmarkEnd w:id="11"/>
      <w:r w:rsidR="00915C4B" w:rsidRPr="008E3F16">
        <w:rPr>
          <w:rFonts w:ascii="Book Antiqua" w:eastAsia="宋体" w:hAnsi="Book Antiqua" w:cs="Times New Roman"/>
          <w:bCs/>
          <w:color w:val="000000" w:themeColor="text1"/>
          <w:highlight w:val="white"/>
          <w:lang w:val="en-US" w:eastAsia="zh-CN"/>
        </w:rPr>
        <w:t>52299</w:t>
      </w:r>
    </w:p>
    <w:p w14:paraId="5EDC5A41" w14:textId="656D6FA1" w:rsidR="00214447" w:rsidRPr="008E3F16" w:rsidRDefault="00C91F32" w:rsidP="00C66188">
      <w:pPr>
        <w:pStyle w:val="1"/>
        <w:adjustRightInd w:val="0"/>
        <w:snapToGrid w:val="0"/>
        <w:spacing w:before="0" w:line="360" w:lineRule="auto"/>
        <w:jc w:val="both"/>
        <w:rPr>
          <w:rFonts w:ascii="Book Antiqua" w:hAnsi="Book Antiqua"/>
          <w:color w:val="000000" w:themeColor="text1"/>
          <w:sz w:val="24"/>
          <w:szCs w:val="24"/>
        </w:rPr>
      </w:pPr>
      <w:r w:rsidRPr="008E3F16">
        <w:rPr>
          <w:rFonts w:ascii="Book Antiqua" w:hAnsi="Book Antiqua"/>
          <w:b/>
          <w:bCs/>
          <w:color w:val="000000" w:themeColor="text1"/>
          <w:sz w:val="24"/>
          <w:szCs w:val="24"/>
        </w:rPr>
        <w:t xml:space="preserve">Manuscript Type: </w:t>
      </w:r>
      <w:r w:rsidRPr="008E3F16">
        <w:rPr>
          <w:rFonts w:ascii="Book Antiqua" w:hAnsi="Book Antiqua"/>
          <w:color w:val="000000" w:themeColor="text1"/>
          <w:sz w:val="24"/>
          <w:szCs w:val="24"/>
        </w:rPr>
        <w:t>META-ANALYSIS</w:t>
      </w:r>
    </w:p>
    <w:p w14:paraId="32605BA4" w14:textId="77777777" w:rsidR="008D448B" w:rsidRPr="008E3F16" w:rsidRDefault="008D448B" w:rsidP="00C66188">
      <w:pPr>
        <w:adjustRightInd w:val="0"/>
        <w:snapToGrid w:val="0"/>
        <w:spacing w:line="360" w:lineRule="auto"/>
        <w:rPr>
          <w:rFonts w:ascii="Book Antiqua" w:hAnsi="Book Antiqua"/>
          <w:color w:val="000000" w:themeColor="text1"/>
          <w:lang w:val="en-US"/>
        </w:rPr>
      </w:pPr>
    </w:p>
    <w:p w14:paraId="467F5511" w14:textId="18BD48F2" w:rsidR="00CD743D" w:rsidRPr="008E3F16" w:rsidRDefault="00C61E64" w:rsidP="00C66188">
      <w:pPr>
        <w:pStyle w:val="1"/>
        <w:adjustRightInd w:val="0"/>
        <w:snapToGrid w:val="0"/>
        <w:spacing w:before="0" w:line="360" w:lineRule="auto"/>
        <w:jc w:val="both"/>
        <w:rPr>
          <w:rFonts w:ascii="Book Antiqua" w:hAnsi="Book Antiqua" w:cs="Times New Roman"/>
          <w:b/>
          <w:color w:val="000000" w:themeColor="text1"/>
          <w:sz w:val="24"/>
          <w:szCs w:val="24"/>
        </w:rPr>
      </w:pPr>
      <w:r w:rsidRPr="008E3F16">
        <w:rPr>
          <w:rFonts w:ascii="Book Antiqua" w:hAnsi="Book Antiqua" w:cs="Times New Roman"/>
          <w:b/>
          <w:color w:val="000000" w:themeColor="text1"/>
          <w:sz w:val="24"/>
          <w:szCs w:val="24"/>
        </w:rPr>
        <w:t xml:space="preserve">Diagnostic and clinical significance of antigen-specific pancreatic antibodies in inflammatory bowel diseases: </w:t>
      </w:r>
      <w:r w:rsidR="008D448B" w:rsidRPr="008E3F16">
        <w:rPr>
          <w:rFonts w:ascii="Book Antiqua" w:hAnsi="Book Antiqua" w:cs="Times New Roman"/>
          <w:b/>
          <w:color w:val="000000" w:themeColor="text1"/>
          <w:sz w:val="24"/>
          <w:szCs w:val="24"/>
        </w:rPr>
        <w:t>A</w:t>
      </w:r>
      <w:r w:rsidRPr="008E3F16">
        <w:rPr>
          <w:rFonts w:ascii="Book Antiqua" w:hAnsi="Book Antiqua" w:cs="Times New Roman"/>
          <w:b/>
          <w:color w:val="000000" w:themeColor="text1"/>
          <w:sz w:val="24"/>
          <w:szCs w:val="24"/>
        </w:rPr>
        <w:t xml:space="preserve"> meta-analysis</w:t>
      </w:r>
    </w:p>
    <w:p w14:paraId="1DEF44C5" w14:textId="77777777" w:rsidR="00214447" w:rsidRPr="008E3F16" w:rsidRDefault="00214447" w:rsidP="00C66188">
      <w:pPr>
        <w:adjustRightInd w:val="0"/>
        <w:snapToGrid w:val="0"/>
        <w:spacing w:line="360" w:lineRule="auto"/>
        <w:jc w:val="both"/>
        <w:rPr>
          <w:rFonts w:ascii="Book Antiqua" w:hAnsi="Book Antiqua"/>
          <w:color w:val="000000" w:themeColor="text1"/>
          <w:lang w:val="en-US"/>
        </w:rPr>
      </w:pPr>
    </w:p>
    <w:p w14:paraId="7F2DFA00" w14:textId="092A1D4B" w:rsidR="00C91F32" w:rsidRPr="008E3F16" w:rsidRDefault="00C91F32" w:rsidP="00C66188">
      <w:pPr>
        <w:pStyle w:val="1"/>
        <w:adjustRightInd w:val="0"/>
        <w:snapToGrid w:val="0"/>
        <w:spacing w:before="0" w:line="360" w:lineRule="auto"/>
        <w:jc w:val="both"/>
        <w:rPr>
          <w:rFonts w:ascii="Book Antiqua" w:hAnsi="Book Antiqua" w:cs="Times New Roman"/>
          <w:color w:val="000000" w:themeColor="text1"/>
          <w:sz w:val="24"/>
          <w:szCs w:val="24"/>
        </w:rPr>
      </w:pPr>
      <w:r w:rsidRPr="008E3F16">
        <w:rPr>
          <w:rFonts w:ascii="Book Antiqua" w:hAnsi="Book Antiqua" w:cs="Times New Roman"/>
          <w:color w:val="000000" w:themeColor="text1"/>
          <w:sz w:val="24"/>
          <w:szCs w:val="24"/>
          <w:lang w:val="en-GB"/>
        </w:rPr>
        <w:t>Gkiouras</w:t>
      </w:r>
      <w:r w:rsidR="004520E4" w:rsidRPr="008E3F16">
        <w:rPr>
          <w:rFonts w:ascii="Book Antiqua" w:hAnsi="Book Antiqua" w:cs="Times New Roman"/>
          <w:color w:val="000000" w:themeColor="text1"/>
          <w:sz w:val="24"/>
          <w:szCs w:val="24"/>
          <w:lang w:val="en-GB"/>
        </w:rPr>
        <w:t xml:space="preserve"> K</w:t>
      </w:r>
      <w:r w:rsidRPr="008E3F16">
        <w:rPr>
          <w:rFonts w:ascii="Book Antiqua" w:hAnsi="Book Antiqua" w:cs="Times New Roman"/>
          <w:color w:val="000000" w:themeColor="text1"/>
          <w:sz w:val="24"/>
          <w:szCs w:val="24"/>
          <w:lang w:val="en-GB"/>
        </w:rPr>
        <w:t xml:space="preserve"> </w:t>
      </w:r>
      <w:r w:rsidRPr="008E3F16">
        <w:rPr>
          <w:rFonts w:ascii="Book Antiqua" w:hAnsi="Book Antiqua" w:cs="Times New Roman"/>
          <w:i/>
          <w:color w:val="000000" w:themeColor="text1"/>
          <w:sz w:val="24"/>
          <w:szCs w:val="24"/>
          <w:lang w:val="en-GB"/>
        </w:rPr>
        <w:t>et al</w:t>
      </w:r>
      <w:r w:rsidRPr="008E3F16">
        <w:rPr>
          <w:rFonts w:ascii="Book Antiqua" w:hAnsi="Book Antiqua" w:cs="Times New Roman"/>
          <w:color w:val="000000" w:themeColor="text1"/>
          <w:sz w:val="24"/>
          <w:szCs w:val="24"/>
          <w:lang w:val="en-GB"/>
        </w:rPr>
        <w:t xml:space="preserve">. Anti-GP2 for Crohn’s diagnosis: </w:t>
      </w:r>
      <w:r w:rsidR="00E41727" w:rsidRPr="008E3F16">
        <w:rPr>
          <w:rFonts w:ascii="Book Antiqua" w:hAnsi="Book Antiqua" w:cs="Times New Roman"/>
          <w:color w:val="000000" w:themeColor="text1"/>
          <w:sz w:val="24"/>
          <w:szCs w:val="24"/>
          <w:lang w:val="en-GB"/>
        </w:rPr>
        <w:t>A</w:t>
      </w:r>
      <w:r w:rsidRPr="008E3F16">
        <w:rPr>
          <w:rFonts w:ascii="Book Antiqua" w:hAnsi="Book Antiqua" w:cs="Times New Roman"/>
          <w:color w:val="000000" w:themeColor="text1"/>
          <w:sz w:val="24"/>
          <w:szCs w:val="24"/>
          <w:lang w:val="en-GB"/>
        </w:rPr>
        <w:t xml:space="preserve"> meta-analysis</w:t>
      </w:r>
    </w:p>
    <w:p w14:paraId="21DCDA4C" w14:textId="77777777" w:rsidR="00214447" w:rsidRPr="008E3F16" w:rsidRDefault="00214447" w:rsidP="00C66188">
      <w:pPr>
        <w:adjustRightInd w:val="0"/>
        <w:snapToGrid w:val="0"/>
        <w:spacing w:line="360" w:lineRule="auto"/>
        <w:jc w:val="both"/>
        <w:rPr>
          <w:rFonts w:ascii="Book Antiqua" w:hAnsi="Book Antiqua"/>
          <w:color w:val="000000" w:themeColor="text1"/>
          <w:lang w:val="en-GB"/>
        </w:rPr>
      </w:pPr>
    </w:p>
    <w:p w14:paraId="30AF58AC" w14:textId="35632F8B" w:rsidR="004F2FF4" w:rsidRPr="008E3F16" w:rsidRDefault="004F2FF4" w:rsidP="00C66188">
      <w:pPr>
        <w:pStyle w:val="1"/>
        <w:adjustRightInd w:val="0"/>
        <w:snapToGrid w:val="0"/>
        <w:spacing w:before="0" w:line="360" w:lineRule="auto"/>
        <w:jc w:val="both"/>
        <w:rPr>
          <w:rFonts w:ascii="Book Antiqua" w:hAnsi="Book Antiqua" w:cs="Times New Roman"/>
          <w:color w:val="000000" w:themeColor="text1"/>
          <w:sz w:val="24"/>
          <w:szCs w:val="24"/>
          <w:vertAlign w:val="superscript"/>
          <w:lang w:val="en-GB"/>
        </w:rPr>
      </w:pPr>
      <w:r w:rsidRPr="008E3F16">
        <w:rPr>
          <w:rFonts w:ascii="Book Antiqua" w:hAnsi="Book Antiqua" w:cs="Times New Roman"/>
          <w:color w:val="000000" w:themeColor="text1"/>
          <w:sz w:val="24"/>
          <w:szCs w:val="24"/>
          <w:lang w:val="en-GB"/>
        </w:rPr>
        <w:t xml:space="preserve">Konstantinos Gkiouras, </w:t>
      </w:r>
      <w:bookmarkStart w:id="12" w:name="_Hlk28593260"/>
      <w:r w:rsidRPr="008E3F16">
        <w:rPr>
          <w:rFonts w:ascii="Book Antiqua" w:hAnsi="Book Antiqua" w:cs="Times New Roman"/>
          <w:color w:val="000000" w:themeColor="text1"/>
          <w:sz w:val="24"/>
          <w:szCs w:val="24"/>
          <w:lang w:val="en-GB"/>
        </w:rPr>
        <w:t>Maria G Grammatikopoulou</w:t>
      </w:r>
      <w:bookmarkEnd w:id="12"/>
      <w:r w:rsidRPr="008E3F16">
        <w:rPr>
          <w:rFonts w:ascii="Book Antiqua" w:hAnsi="Book Antiqua" w:cs="Times New Roman"/>
          <w:color w:val="000000" w:themeColor="text1"/>
          <w:sz w:val="24"/>
          <w:szCs w:val="24"/>
          <w:lang w:val="en-GB"/>
        </w:rPr>
        <w:t xml:space="preserve">, Xenophon Theodoridis, </w:t>
      </w:r>
      <w:r w:rsidR="00EA4E33" w:rsidRPr="008E3F16">
        <w:rPr>
          <w:rFonts w:ascii="Book Antiqua" w:hAnsi="Book Antiqua" w:cs="Times New Roman"/>
          <w:color w:val="000000" w:themeColor="text1"/>
          <w:sz w:val="24"/>
          <w:szCs w:val="24"/>
          <w:lang w:val="en-GB"/>
        </w:rPr>
        <w:t>Eirini Pagkalidou</w:t>
      </w:r>
      <w:r w:rsidR="00F468D0" w:rsidRPr="008E3F16">
        <w:rPr>
          <w:rFonts w:ascii="Book Antiqua" w:hAnsi="Book Antiqua" w:cs="Times New Roman"/>
          <w:color w:val="000000" w:themeColor="text1"/>
          <w:sz w:val="24"/>
          <w:szCs w:val="24"/>
          <w:lang w:val="en-GB"/>
        </w:rPr>
        <w:t xml:space="preserve">, </w:t>
      </w:r>
      <w:bookmarkStart w:id="13" w:name="_Hlk28593658"/>
      <w:r w:rsidR="00CD743D" w:rsidRPr="008E3F16">
        <w:rPr>
          <w:rFonts w:ascii="Book Antiqua" w:hAnsi="Book Antiqua" w:cs="Times New Roman"/>
          <w:color w:val="000000" w:themeColor="text1"/>
          <w:sz w:val="24"/>
          <w:szCs w:val="24"/>
        </w:rPr>
        <w:t xml:space="preserve">Evangelia </w:t>
      </w:r>
      <w:r w:rsidR="00F46E1D" w:rsidRPr="008E3F16">
        <w:rPr>
          <w:rFonts w:ascii="Book Antiqua" w:hAnsi="Book Antiqua" w:cs="Times New Roman"/>
          <w:color w:val="000000" w:themeColor="text1"/>
          <w:sz w:val="24"/>
          <w:szCs w:val="24"/>
        </w:rPr>
        <w:t>Chatzikyriakou</w:t>
      </w:r>
      <w:bookmarkEnd w:id="13"/>
      <w:r w:rsidR="00CD743D" w:rsidRPr="008E3F16">
        <w:rPr>
          <w:rFonts w:ascii="Book Antiqua" w:hAnsi="Book Antiqua" w:cs="Times New Roman"/>
          <w:color w:val="000000" w:themeColor="text1"/>
          <w:sz w:val="24"/>
          <w:szCs w:val="24"/>
        </w:rPr>
        <w:t xml:space="preserve">, </w:t>
      </w:r>
      <w:r w:rsidRPr="008E3F16">
        <w:rPr>
          <w:rFonts w:ascii="Book Antiqua" w:hAnsi="Book Antiqua" w:cs="Times New Roman"/>
          <w:color w:val="000000" w:themeColor="text1"/>
          <w:sz w:val="24"/>
          <w:szCs w:val="24"/>
          <w:lang w:val="en-GB"/>
        </w:rPr>
        <w:t xml:space="preserve">Anna </w:t>
      </w:r>
      <w:r w:rsidR="003403F5" w:rsidRPr="008E3F16">
        <w:rPr>
          <w:rFonts w:ascii="Book Antiqua" w:hAnsi="Book Antiqua" w:cs="Times New Roman"/>
          <w:color w:val="000000" w:themeColor="text1"/>
          <w:sz w:val="24"/>
          <w:szCs w:val="24"/>
        </w:rPr>
        <w:t>G</w:t>
      </w:r>
      <w:r w:rsidR="0041105A" w:rsidRPr="008E3F16">
        <w:rPr>
          <w:rFonts w:ascii="Book Antiqua" w:hAnsi="Book Antiqua" w:cs="Times New Roman"/>
          <w:color w:val="000000" w:themeColor="text1"/>
          <w:sz w:val="24"/>
          <w:szCs w:val="24"/>
          <w:lang w:val="en-GB"/>
        </w:rPr>
        <w:t xml:space="preserve"> </w:t>
      </w:r>
      <w:r w:rsidRPr="008E3F16">
        <w:rPr>
          <w:rFonts w:ascii="Book Antiqua" w:hAnsi="Book Antiqua" w:cs="Times New Roman"/>
          <w:color w:val="000000" w:themeColor="text1"/>
          <w:sz w:val="24"/>
          <w:szCs w:val="24"/>
          <w:lang w:val="en-GB"/>
        </w:rPr>
        <w:t xml:space="preserve">Apostolidou, </w:t>
      </w:r>
      <w:r w:rsidR="002C532C" w:rsidRPr="008E3F16">
        <w:rPr>
          <w:rFonts w:ascii="Book Antiqua" w:hAnsi="Book Antiqua" w:cs="Times New Roman"/>
          <w:color w:val="000000" w:themeColor="text1"/>
          <w:sz w:val="24"/>
          <w:szCs w:val="24"/>
          <w:lang w:val="en-GB"/>
        </w:rPr>
        <w:t>Eirini I Rigopoulou,</w:t>
      </w:r>
      <w:r w:rsidRPr="008E3F16">
        <w:rPr>
          <w:rFonts w:ascii="Book Antiqua" w:hAnsi="Book Antiqua" w:cs="Times New Roman"/>
          <w:color w:val="000000" w:themeColor="text1"/>
          <w:sz w:val="24"/>
          <w:szCs w:val="24"/>
          <w:lang w:val="en-GB"/>
        </w:rPr>
        <w:t xml:space="preserve"> </w:t>
      </w:r>
      <w:r w:rsidR="00F468D0" w:rsidRPr="008E3F16">
        <w:rPr>
          <w:rFonts w:ascii="Book Antiqua" w:hAnsi="Book Antiqua" w:cs="Times New Roman"/>
          <w:color w:val="000000" w:themeColor="text1"/>
          <w:sz w:val="24"/>
          <w:szCs w:val="24"/>
          <w:lang w:val="en-GB"/>
        </w:rPr>
        <w:t xml:space="preserve">Lazaros I Sakkas, </w:t>
      </w:r>
      <w:r w:rsidRPr="008E3F16">
        <w:rPr>
          <w:rFonts w:ascii="Book Antiqua" w:hAnsi="Book Antiqua" w:cs="Times New Roman"/>
          <w:color w:val="000000" w:themeColor="text1"/>
          <w:sz w:val="24"/>
          <w:szCs w:val="24"/>
          <w:lang w:val="en-GB"/>
        </w:rPr>
        <w:t xml:space="preserve">Dimitrios </w:t>
      </w:r>
      <w:r w:rsidR="0009695E" w:rsidRPr="008E3F16">
        <w:rPr>
          <w:rFonts w:ascii="Book Antiqua" w:hAnsi="Book Antiqua" w:cs="Times New Roman"/>
          <w:color w:val="000000" w:themeColor="text1"/>
          <w:sz w:val="24"/>
          <w:szCs w:val="24"/>
          <w:lang w:val="en-GB"/>
        </w:rPr>
        <w:t>Petrou</w:t>
      </w:r>
      <w:r w:rsidRPr="008E3F16">
        <w:rPr>
          <w:rFonts w:ascii="Book Antiqua" w:hAnsi="Book Antiqua" w:cs="Times New Roman"/>
          <w:color w:val="000000" w:themeColor="text1"/>
          <w:sz w:val="24"/>
          <w:szCs w:val="24"/>
          <w:lang w:val="en-GB"/>
        </w:rPr>
        <w:t xml:space="preserve"> Bogdanos</w:t>
      </w:r>
    </w:p>
    <w:p w14:paraId="51E987C3" w14:textId="77777777" w:rsidR="00C91F32" w:rsidRPr="008E3F16" w:rsidRDefault="00C91F32" w:rsidP="00C66188">
      <w:pPr>
        <w:adjustRightInd w:val="0"/>
        <w:snapToGrid w:val="0"/>
        <w:spacing w:line="360" w:lineRule="auto"/>
        <w:jc w:val="both"/>
        <w:rPr>
          <w:rFonts w:ascii="Book Antiqua" w:hAnsi="Book Antiqua"/>
          <w:color w:val="000000" w:themeColor="text1"/>
          <w:lang w:val="en-GB"/>
        </w:rPr>
      </w:pPr>
    </w:p>
    <w:p w14:paraId="070A3669" w14:textId="1D11C67C" w:rsidR="00C91F32" w:rsidRPr="008E3F16" w:rsidRDefault="00C91F32" w:rsidP="00C66188">
      <w:pPr>
        <w:adjustRightInd w:val="0"/>
        <w:snapToGrid w:val="0"/>
        <w:spacing w:line="360" w:lineRule="auto"/>
        <w:jc w:val="both"/>
        <w:rPr>
          <w:rFonts w:ascii="Book Antiqua" w:hAnsi="Book Antiqua" w:cs="Times New Roman"/>
          <w:color w:val="000000" w:themeColor="text1"/>
          <w:lang w:val="en-GB"/>
        </w:rPr>
      </w:pPr>
      <w:r w:rsidRPr="008E3F16">
        <w:rPr>
          <w:rFonts w:ascii="Book Antiqua" w:hAnsi="Book Antiqua"/>
          <w:b/>
          <w:color w:val="000000" w:themeColor="text1"/>
          <w:lang w:val="en-GB"/>
        </w:rPr>
        <w:t xml:space="preserve">Konstantinos Gkiouras, Maria G Grammatikopoulou, Xenophon Theodoridis, </w:t>
      </w:r>
      <w:r w:rsidR="00F468D0" w:rsidRPr="008E3F16">
        <w:rPr>
          <w:rFonts w:ascii="Book Antiqua" w:hAnsi="Book Antiqua"/>
          <w:b/>
          <w:color w:val="000000" w:themeColor="text1"/>
          <w:lang w:val="en-GB"/>
        </w:rPr>
        <w:t xml:space="preserve">Lazaros I Sakkas, </w:t>
      </w:r>
      <w:r w:rsidRPr="008E3F16">
        <w:rPr>
          <w:rFonts w:ascii="Book Antiqua" w:hAnsi="Book Antiqua"/>
          <w:b/>
          <w:color w:val="000000" w:themeColor="text1"/>
          <w:lang w:val="en-GB"/>
        </w:rPr>
        <w:t xml:space="preserve">Dimitrios </w:t>
      </w:r>
      <w:r w:rsidR="0009695E" w:rsidRPr="008E3F16">
        <w:rPr>
          <w:rFonts w:ascii="Book Antiqua" w:hAnsi="Book Antiqua"/>
          <w:b/>
          <w:color w:val="000000" w:themeColor="text1"/>
          <w:lang w:val="en-GB"/>
        </w:rPr>
        <w:t>Petrou</w:t>
      </w:r>
      <w:r w:rsidRPr="008E3F16">
        <w:rPr>
          <w:rFonts w:ascii="Book Antiqua" w:hAnsi="Book Antiqua"/>
          <w:b/>
          <w:color w:val="000000" w:themeColor="text1"/>
          <w:lang w:val="en-GB"/>
        </w:rPr>
        <w:t xml:space="preserve"> Bogdanos</w:t>
      </w:r>
      <w:r w:rsidRPr="008E3F16">
        <w:rPr>
          <w:rFonts w:ascii="Book Antiqua" w:hAnsi="Book Antiqua"/>
          <w:b/>
          <w:bCs/>
          <w:color w:val="000000" w:themeColor="text1"/>
          <w:lang w:val="en-GB"/>
        </w:rPr>
        <w:t>,</w:t>
      </w:r>
      <w:r w:rsidRPr="008E3F16">
        <w:rPr>
          <w:rFonts w:ascii="Book Antiqua" w:hAnsi="Book Antiqua"/>
          <w:color w:val="000000" w:themeColor="text1"/>
          <w:lang w:val="en-GB"/>
        </w:rPr>
        <w:t xml:space="preserve"> </w:t>
      </w:r>
      <w:r w:rsidR="004F2FF4" w:rsidRPr="008E3F16">
        <w:rPr>
          <w:rFonts w:ascii="Book Antiqua" w:hAnsi="Book Antiqua" w:cs="Times New Roman"/>
          <w:color w:val="000000" w:themeColor="text1"/>
          <w:lang w:val="en-GB"/>
        </w:rPr>
        <w:t xml:space="preserve">Department of Rheumatology and Clinical Immunology, Faculty of Medicine, School of Health Sciences, University of Thessaly, </w:t>
      </w:r>
      <w:r w:rsidR="00CB6C44" w:rsidRPr="008E3F16">
        <w:rPr>
          <w:rFonts w:ascii="Book Antiqua" w:hAnsi="Book Antiqua" w:cs="Times New Roman"/>
          <w:color w:val="000000" w:themeColor="text1"/>
          <w:lang w:val="en-GB"/>
        </w:rPr>
        <w:t xml:space="preserve">Biopolis, Larissa GR41110, </w:t>
      </w:r>
      <w:r w:rsidR="004F2FF4" w:rsidRPr="008E3F16">
        <w:rPr>
          <w:rFonts w:ascii="Book Antiqua" w:hAnsi="Book Antiqua" w:cs="Times New Roman"/>
          <w:color w:val="000000" w:themeColor="text1"/>
          <w:lang w:val="en-GB"/>
        </w:rPr>
        <w:t>Greece</w:t>
      </w:r>
    </w:p>
    <w:p w14:paraId="2DD60335" w14:textId="77777777" w:rsidR="00214447" w:rsidRPr="008E3F16" w:rsidRDefault="00214447" w:rsidP="00C66188">
      <w:pPr>
        <w:adjustRightInd w:val="0"/>
        <w:snapToGrid w:val="0"/>
        <w:spacing w:line="360" w:lineRule="auto"/>
        <w:jc w:val="both"/>
        <w:rPr>
          <w:rFonts w:ascii="Book Antiqua" w:hAnsi="Book Antiqua" w:cs="Times New Roman"/>
          <w:color w:val="000000" w:themeColor="text1"/>
          <w:lang w:val="en-GB"/>
        </w:rPr>
      </w:pPr>
    </w:p>
    <w:p w14:paraId="0645D06A" w14:textId="18119BE1" w:rsidR="00F468D0" w:rsidRPr="008E3F16" w:rsidRDefault="00C91F32" w:rsidP="00C66188">
      <w:pPr>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b/>
          <w:color w:val="000000" w:themeColor="text1"/>
          <w:lang w:val="en-GB"/>
        </w:rPr>
        <w:t xml:space="preserve">Konstantinos Gkiouras, </w:t>
      </w:r>
      <w:r w:rsidR="00F468D0" w:rsidRPr="008E3F16">
        <w:rPr>
          <w:rFonts w:ascii="Book Antiqua" w:hAnsi="Book Antiqua"/>
          <w:b/>
          <w:color w:val="000000" w:themeColor="text1"/>
          <w:lang w:val="en-GB"/>
        </w:rPr>
        <w:t xml:space="preserve">Maria G Grammatikopoulou, </w:t>
      </w:r>
      <w:r w:rsidRPr="008E3F16">
        <w:rPr>
          <w:rFonts w:ascii="Book Antiqua" w:hAnsi="Book Antiqua"/>
          <w:b/>
          <w:color w:val="000000" w:themeColor="text1"/>
          <w:lang w:val="en-GB"/>
        </w:rPr>
        <w:t>Xenophon Theodoridis, Evangelia Chatzikyriakou</w:t>
      </w:r>
      <w:r w:rsidRPr="008E3F16">
        <w:rPr>
          <w:rFonts w:ascii="Book Antiqua" w:hAnsi="Book Antiqua"/>
          <w:b/>
          <w:bCs/>
          <w:color w:val="000000" w:themeColor="text1"/>
          <w:lang w:val="en-GB"/>
        </w:rPr>
        <w:t>,</w:t>
      </w:r>
      <w:r w:rsidRPr="008E3F16">
        <w:rPr>
          <w:rFonts w:ascii="Book Antiqua" w:hAnsi="Book Antiqua"/>
          <w:color w:val="000000" w:themeColor="text1"/>
          <w:lang w:val="en-GB"/>
        </w:rPr>
        <w:t xml:space="preserve"> </w:t>
      </w:r>
      <w:r w:rsidR="00CF6418" w:rsidRPr="008E3F16">
        <w:rPr>
          <w:rFonts w:ascii="Book Antiqua" w:hAnsi="Book Antiqua" w:cs="Times New Roman"/>
          <w:color w:val="000000" w:themeColor="text1"/>
          <w:lang w:val="en-GB"/>
        </w:rPr>
        <w:t>Faculty</w:t>
      </w:r>
      <w:r w:rsidR="004F2FF4" w:rsidRPr="008E3F16">
        <w:rPr>
          <w:rFonts w:ascii="Book Antiqua" w:hAnsi="Book Antiqua" w:cs="Times New Roman"/>
          <w:color w:val="000000" w:themeColor="text1"/>
          <w:lang w:val="en-GB"/>
        </w:rPr>
        <w:t xml:space="preserve"> of Medicine, </w:t>
      </w:r>
      <w:r w:rsidR="00CF6418" w:rsidRPr="008E3F16">
        <w:rPr>
          <w:rFonts w:ascii="Book Antiqua" w:hAnsi="Book Antiqua" w:cs="Times New Roman"/>
          <w:color w:val="000000" w:themeColor="text1"/>
          <w:lang w:val="en-GB"/>
        </w:rPr>
        <w:t>School</w:t>
      </w:r>
      <w:r w:rsidR="004F2FF4" w:rsidRPr="008E3F16">
        <w:rPr>
          <w:rFonts w:ascii="Book Antiqua" w:hAnsi="Book Antiqua" w:cs="Times New Roman"/>
          <w:color w:val="000000" w:themeColor="text1"/>
          <w:lang w:val="en-GB"/>
        </w:rPr>
        <w:t xml:space="preserve"> of Health Sciences, Aristotle University of Thessaloniki, </w:t>
      </w:r>
      <w:r w:rsidR="00CB6C44" w:rsidRPr="008E3F16">
        <w:rPr>
          <w:rFonts w:ascii="Book Antiqua" w:hAnsi="Book Antiqua" w:cs="Times New Roman"/>
          <w:color w:val="000000" w:themeColor="text1"/>
          <w:lang w:val="en-US"/>
        </w:rPr>
        <w:t xml:space="preserve">University Campus, </w:t>
      </w:r>
      <w:r w:rsidR="004F2FF4" w:rsidRPr="008E3F16">
        <w:rPr>
          <w:rFonts w:ascii="Book Antiqua" w:hAnsi="Book Antiqua" w:cs="Times New Roman"/>
          <w:color w:val="000000" w:themeColor="text1"/>
          <w:lang w:val="en-GB"/>
        </w:rPr>
        <w:t xml:space="preserve">Thessaloniki </w:t>
      </w:r>
      <w:r w:rsidR="00CB6C44" w:rsidRPr="008E3F16">
        <w:rPr>
          <w:rFonts w:ascii="Book Antiqua" w:hAnsi="Book Antiqua" w:cs="Times New Roman"/>
          <w:color w:val="000000" w:themeColor="text1"/>
          <w:lang w:val="en-GB"/>
        </w:rPr>
        <w:t xml:space="preserve">GR54124, </w:t>
      </w:r>
      <w:r w:rsidR="004F2FF4" w:rsidRPr="008E3F16">
        <w:rPr>
          <w:rFonts w:ascii="Book Antiqua" w:hAnsi="Book Antiqua" w:cs="Times New Roman"/>
          <w:color w:val="000000" w:themeColor="text1"/>
          <w:lang w:val="en-GB"/>
        </w:rPr>
        <w:t>Greece</w:t>
      </w:r>
    </w:p>
    <w:p w14:paraId="3F5922E9" w14:textId="77777777" w:rsidR="00214447" w:rsidRPr="008E3F16" w:rsidRDefault="00214447" w:rsidP="00C66188">
      <w:pPr>
        <w:adjustRightInd w:val="0"/>
        <w:snapToGrid w:val="0"/>
        <w:spacing w:line="360" w:lineRule="auto"/>
        <w:jc w:val="both"/>
        <w:rPr>
          <w:rFonts w:ascii="Book Antiqua" w:hAnsi="Book Antiqua"/>
          <w:b/>
          <w:color w:val="000000" w:themeColor="text1"/>
          <w:lang w:val="en-GB"/>
        </w:rPr>
      </w:pPr>
    </w:p>
    <w:p w14:paraId="7D9B7636" w14:textId="6C1DBEBB" w:rsidR="00214447" w:rsidRPr="008E3F16" w:rsidRDefault="00EA4E33" w:rsidP="00C66188">
      <w:pPr>
        <w:adjustRightInd w:val="0"/>
        <w:snapToGrid w:val="0"/>
        <w:spacing w:line="360" w:lineRule="auto"/>
        <w:jc w:val="both"/>
        <w:rPr>
          <w:rFonts w:ascii="Book Antiqua" w:hAnsi="Book Antiqua" w:cs="Times New Roman"/>
          <w:color w:val="000000" w:themeColor="text1"/>
          <w:lang w:val="en-GB"/>
        </w:rPr>
      </w:pPr>
      <w:r w:rsidRPr="008E3F16">
        <w:rPr>
          <w:rFonts w:ascii="Book Antiqua" w:hAnsi="Book Antiqua"/>
          <w:b/>
          <w:color w:val="000000" w:themeColor="text1"/>
          <w:lang w:val="en-GB"/>
        </w:rPr>
        <w:t>Eirini Pagkalidou</w:t>
      </w:r>
      <w:r w:rsidR="00F468D0" w:rsidRPr="008E3F16">
        <w:rPr>
          <w:rFonts w:ascii="Book Antiqua" w:hAnsi="Book Antiqua"/>
          <w:b/>
          <w:color w:val="000000" w:themeColor="text1"/>
          <w:lang w:val="en-GB"/>
        </w:rPr>
        <w:t xml:space="preserve">, </w:t>
      </w:r>
      <w:r w:rsidR="00F468D0" w:rsidRPr="008E3F16">
        <w:rPr>
          <w:rFonts w:ascii="Book Antiqua" w:hAnsi="Book Antiqua"/>
          <w:bCs/>
          <w:color w:val="000000" w:themeColor="text1"/>
          <w:lang w:val="en-GB"/>
        </w:rPr>
        <w:t xml:space="preserve">Laboratory of Hygiene, Social and Preventive Medicine and Medical Statistics, </w:t>
      </w:r>
      <w:r w:rsidR="00BA1B1A" w:rsidRPr="008E3F16">
        <w:rPr>
          <w:rFonts w:ascii="Book Antiqua" w:hAnsi="Book Antiqua" w:cs="Times New Roman"/>
          <w:bCs/>
          <w:color w:val="000000" w:themeColor="text1"/>
          <w:lang w:val="en-GB"/>
        </w:rPr>
        <w:t>Faculty</w:t>
      </w:r>
      <w:r w:rsidR="00F468D0" w:rsidRPr="008E3F16">
        <w:rPr>
          <w:rFonts w:ascii="Book Antiqua" w:hAnsi="Book Antiqua" w:cs="Times New Roman"/>
          <w:bCs/>
          <w:color w:val="000000" w:themeColor="text1"/>
          <w:lang w:val="en-GB"/>
        </w:rPr>
        <w:t xml:space="preserve"> of Medicine, </w:t>
      </w:r>
      <w:r w:rsidR="00BA1B1A" w:rsidRPr="008E3F16">
        <w:rPr>
          <w:rFonts w:ascii="Book Antiqua" w:hAnsi="Book Antiqua" w:cs="Times New Roman"/>
          <w:bCs/>
          <w:color w:val="000000" w:themeColor="text1"/>
          <w:lang w:val="en-GB"/>
        </w:rPr>
        <w:t>School</w:t>
      </w:r>
      <w:r w:rsidR="00F468D0" w:rsidRPr="008E3F16">
        <w:rPr>
          <w:rFonts w:ascii="Book Antiqua" w:hAnsi="Book Antiqua" w:cs="Times New Roman"/>
          <w:bCs/>
          <w:color w:val="000000" w:themeColor="text1"/>
          <w:lang w:val="en-GB"/>
        </w:rPr>
        <w:t xml:space="preserve"> of Health Sciences, Aristotle University of Thessaloniki, </w:t>
      </w:r>
      <w:r w:rsidR="00CB6C44" w:rsidRPr="008E3F16">
        <w:rPr>
          <w:rFonts w:ascii="Book Antiqua" w:hAnsi="Book Antiqua" w:cs="Times New Roman"/>
          <w:color w:val="000000" w:themeColor="text1"/>
          <w:lang w:val="en-US"/>
        </w:rPr>
        <w:t xml:space="preserve">University Campus, </w:t>
      </w:r>
      <w:r w:rsidR="00CB6C44" w:rsidRPr="008E3F16">
        <w:rPr>
          <w:rFonts w:ascii="Book Antiqua" w:hAnsi="Book Antiqua" w:cs="Times New Roman"/>
          <w:color w:val="000000" w:themeColor="text1"/>
          <w:lang w:val="en-GB"/>
        </w:rPr>
        <w:t>Thessaloniki GR54124, Greece</w:t>
      </w:r>
    </w:p>
    <w:p w14:paraId="773A7562" w14:textId="77777777" w:rsidR="00CB6C44" w:rsidRPr="008E3F16" w:rsidRDefault="00CB6C44" w:rsidP="00C66188">
      <w:pPr>
        <w:adjustRightInd w:val="0"/>
        <w:snapToGrid w:val="0"/>
        <w:spacing w:line="360" w:lineRule="auto"/>
        <w:jc w:val="both"/>
        <w:rPr>
          <w:rFonts w:ascii="Book Antiqua" w:hAnsi="Book Antiqua" w:cs="Times New Roman"/>
          <w:color w:val="000000" w:themeColor="text1"/>
          <w:lang w:val="en-GB"/>
        </w:rPr>
      </w:pPr>
    </w:p>
    <w:p w14:paraId="50130135" w14:textId="2CB9E937" w:rsidR="004F2FF4" w:rsidRPr="008E3F16" w:rsidRDefault="00C91F32" w:rsidP="00C66188">
      <w:pPr>
        <w:adjustRightInd w:val="0"/>
        <w:snapToGrid w:val="0"/>
        <w:spacing w:line="360" w:lineRule="auto"/>
        <w:jc w:val="both"/>
        <w:rPr>
          <w:rFonts w:ascii="Book Antiqua" w:hAnsi="Book Antiqua" w:cs="Times New Roman"/>
          <w:color w:val="000000" w:themeColor="text1"/>
          <w:lang w:val="en-GB"/>
        </w:rPr>
      </w:pPr>
      <w:r w:rsidRPr="008E3F16">
        <w:rPr>
          <w:rFonts w:ascii="Book Antiqua" w:hAnsi="Book Antiqua" w:cs="Times New Roman"/>
          <w:b/>
          <w:color w:val="000000" w:themeColor="text1"/>
          <w:lang w:val="en-GB"/>
        </w:rPr>
        <w:t xml:space="preserve">Maria G Grammatikopoulou, Anna G Apostolidou, </w:t>
      </w:r>
      <w:r w:rsidR="004F2FF4" w:rsidRPr="008E3F16">
        <w:rPr>
          <w:rFonts w:ascii="Book Antiqua" w:hAnsi="Book Antiqua" w:cs="Times New Roman"/>
          <w:color w:val="000000" w:themeColor="text1"/>
          <w:lang w:val="en-GB"/>
        </w:rPr>
        <w:t>Department of Nutrition</w:t>
      </w:r>
      <w:r w:rsidR="002C532C" w:rsidRPr="008E3F16">
        <w:rPr>
          <w:rFonts w:ascii="Book Antiqua" w:hAnsi="Book Antiqua" w:cs="Times New Roman"/>
          <w:color w:val="000000" w:themeColor="text1"/>
          <w:lang w:val="en-GB"/>
        </w:rPr>
        <w:t>al Sciences</w:t>
      </w:r>
      <w:r w:rsidR="004F2FF4" w:rsidRPr="008E3F16">
        <w:rPr>
          <w:rFonts w:ascii="Book Antiqua" w:hAnsi="Book Antiqua" w:cs="Times New Roman"/>
          <w:color w:val="000000" w:themeColor="text1"/>
          <w:lang w:val="en-GB"/>
        </w:rPr>
        <w:t xml:space="preserve"> </w:t>
      </w:r>
      <w:r w:rsidR="00411149" w:rsidRPr="008E3F16">
        <w:rPr>
          <w:rFonts w:ascii="Book Antiqua" w:hAnsi="Book Antiqua" w:cs="Times New Roman" w:hint="eastAsia"/>
          <w:color w:val="000000" w:themeColor="text1"/>
          <w:lang w:val="en-GB" w:eastAsia="zh-CN"/>
        </w:rPr>
        <w:t>and</w:t>
      </w:r>
      <w:r w:rsidR="004F2FF4" w:rsidRPr="008E3F16">
        <w:rPr>
          <w:rFonts w:ascii="Book Antiqua" w:hAnsi="Book Antiqua" w:cs="Times New Roman"/>
          <w:color w:val="000000" w:themeColor="text1"/>
          <w:lang w:val="en-GB"/>
        </w:rPr>
        <w:t xml:space="preserve"> Dietetics, </w:t>
      </w:r>
      <w:r w:rsidR="00915C4B" w:rsidRPr="008E3F16">
        <w:rPr>
          <w:rFonts w:ascii="Book Antiqua" w:hAnsi="Book Antiqua" w:cs="Times New Roman"/>
          <w:color w:val="000000" w:themeColor="text1"/>
          <w:lang w:val="en-GB"/>
        </w:rPr>
        <w:t xml:space="preserve">School of Health Sciences, </w:t>
      </w:r>
      <w:r w:rsidR="002C532C" w:rsidRPr="008E3F16">
        <w:rPr>
          <w:rFonts w:ascii="Book Antiqua" w:hAnsi="Book Antiqua" w:cs="Times New Roman"/>
          <w:color w:val="000000" w:themeColor="text1"/>
          <w:lang w:val="en-GB"/>
        </w:rPr>
        <w:t>International Hellenic University</w:t>
      </w:r>
      <w:r w:rsidR="004F2FF4" w:rsidRPr="008E3F16">
        <w:rPr>
          <w:rFonts w:ascii="Book Antiqua" w:hAnsi="Book Antiqua" w:cs="Times New Roman"/>
          <w:color w:val="000000" w:themeColor="text1"/>
          <w:lang w:val="en-GB"/>
        </w:rPr>
        <w:t xml:space="preserve">, </w:t>
      </w:r>
      <w:r w:rsidR="00CB6C44" w:rsidRPr="008E3F16">
        <w:rPr>
          <w:rFonts w:ascii="Book Antiqua" w:hAnsi="Book Antiqua" w:cs="Times New Roman"/>
          <w:color w:val="000000" w:themeColor="text1"/>
          <w:lang w:val="en-GB"/>
        </w:rPr>
        <w:t xml:space="preserve">Sindos Campus, </w:t>
      </w:r>
      <w:r w:rsidR="004F2FF4" w:rsidRPr="008E3F16">
        <w:rPr>
          <w:rFonts w:ascii="Book Antiqua" w:hAnsi="Book Antiqua" w:cs="Times New Roman"/>
          <w:color w:val="000000" w:themeColor="text1"/>
          <w:lang w:val="en-GB"/>
        </w:rPr>
        <w:t>Thessaloniki</w:t>
      </w:r>
      <w:r w:rsidR="00CB6C44" w:rsidRPr="008E3F16">
        <w:rPr>
          <w:rFonts w:ascii="Book Antiqua" w:hAnsi="Book Antiqua" w:cs="Times New Roman"/>
          <w:color w:val="000000" w:themeColor="text1"/>
          <w:lang w:val="en-GB"/>
        </w:rPr>
        <w:t xml:space="preserve"> GR57400, </w:t>
      </w:r>
      <w:r w:rsidR="004F2FF4" w:rsidRPr="008E3F16">
        <w:rPr>
          <w:rFonts w:ascii="Book Antiqua" w:hAnsi="Book Antiqua" w:cs="Times New Roman"/>
          <w:color w:val="000000" w:themeColor="text1"/>
          <w:lang w:val="en-GB"/>
        </w:rPr>
        <w:t>Greece</w:t>
      </w:r>
    </w:p>
    <w:p w14:paraId="04223762" w14:textId="77777777" w:rsidR="00214447" w:rsidRPr="008E3F16" w:rsidRDefault="00214447" w:rsidP="00C66188">
      <w:pPr>
        <w:adjustRightInd w:val="0"/>
        <w:snapToGrid w:val="0"/>
        <w:spacing w:line="360" w:lineRule="auto"/>
        <w:jc w:val="both"/>
        <w:rPr>
          <w:rFonts w:ascii="Book Antiqua" w:hAnsi="Book Antiqua" w:cs="Times New Roman"/>
          <w:color w:val="000000" w:themeColor="text1"/>
          <w:lang w:val="en-GB"/>
        </w:rPr>
      </w:pPr>
    </w:p>
    <w:p w14:paraId="5FF4EFD4" w14:textId="4D80E186" w:rsidR="00CB6C44" w:rsidRPr="008E3F16" w:rsidRDefault="00C91F32" w:rsidP="00C66188">
      <w:pPr>
        <w:adjustRightInd w:val="0"/>
        <w:snapToGrid w:val="0"/>
        <w:spacing w:line="360" w:lineRule="auto"/>
        <w:jc w:val="both"/>
        <w:rPr>
          <w:rFonts w:ascii="Book Antiqua" w:hAnsi="Book Antiqua" w:cs="Times New Roman"/>
          <w:color w:val="000000" w:themeColor="text1"/>
          <w:lang w:val="en-GB"/>
        </w:rPr>
      </w:pPr>
      <w:r w:rsidRPr="008E3F16">
        <w:rPr>
          <w:rFonts w:ascii="Book Antiqua" w:hAnsi="Book Antiqua" w:cs="Times New Roman"/>
          <w:b/>
          <w:color w:val="000000" w:themeColor="text1"/>
          <w:lang w:val="en-GB"/>
        </w:rPr>
        <w:t>Evangelia Chatzikyriakou</w:t>
      </w:r>
      <w:r w:rsidRPr="008E3F16">
        <w:rPr>
          <w:rFonts w:ascii="Book Antiqua" w:hAnsi="Book Antiqua" w:cs="Times New Roman"/>
          <w:b/>
          <w:bCs/>
          <w:color w:val="000000" w:themeColor="text1"/>
          <w:lang w:val="en-GB"/>
        </w:rPr>
        <w:t>,</w:t>
      </w:r>
      <w:r w:rsidRPr="008E3F16">
        <w:rPr>
          <w:rFonts w:ascii="Book Antiqua" w:hAnsi="Book Antiqua" w:cs="Times New Roman"/>
          <w:color w:val="000000" w:themeColor="text1"/>
          <w:lang w:val="en-GB"/>
        </w:rPr>
        <w:t xml:space="preserve"> </w:t>
      </w:r>
      <w:r w:rsidR="00F46E1D" w:rsidRPr="008E3F16">
        <w:rPr>
          <w:rFonts w:ascii="Book Antiqua" w:hAnsi="Book Antiqua" w:cs="Times New Roman"/>
          <w:color w:val="000000" w:themeColor="text1"/>
          <w:lang w:val="en-GB"/>
        </w:rPr>
        <w:t xml:space="preserve">Laboratory of Clinical Neurophysiology, AHEPA University Hospital, </w:t>
      </w:r>
      <w:r w:rsidR="00915C4B" w:rsidRPr="008E3F16">
        <w:rPr>
          <w:rFonts w:ascii="Book Antiqua" w:hAnsi="Book Antiqua" w:cs="Times New Roman"/>
          <w:color w:val="000000" w:themeColor="text1"/>
          <w:lang w:val="en-GB"/>
        </w:rPr>
        <w:t xml:space="preserve">Faculty of Medicine, </w:t>
      </w:r>
      <w:r w:rsidR="00F46E1D" w:rsidRPr="008E3F16">
        <w:rPr>
          <w:rFonts w:ascii="Book Antiqua" w:hAnsi="Book Antiqua" w:cs="Times New Roman"/>
          <w:color w:val="000000" w:themeColor="text1"/>
          <w:lang w:val="en-GB"/>
        </w:rPr>
        <w:t xml:space="preserve">Aristotle University of Thessaloniki, </w:t>
      </w:r>
      <w:r w:rsidR="00CB6C44" w:rsidRPr="008E3F16">
        <w:rPr>
          <w:rFonts w:ascii="Book Antiqua" w:hAnsi="Book Antiqua" w:cs="Times New Roman"/>
          <w:color w:val="000000" w:themeColor="text1"/>
          <w:lang w:val="en-US"/>
        </w:rPr>
        <w:t xml:space="preserve">University Campus, </w:t>
      </w:r>
      <w:r w:rsidR="00CB6C44" w:rsidRPr="008E3F16">
        <w:rPr>
          <w:rFonts w:ascii="Book Antiqua" w:hAnsi="Book Antiqua" w:cs="Times New Roman"/>
          <w:color w:val="000000" w:themeColor="text1"/>
          <w:lang w:val="en-GB"/>
        </w:rPr>
        <w:t>Thessaloniki GR54124, Greece</w:t>
      </w:r>
    </w:p>
    <w:p w14:paraId="0E44216B" w14:textId="52A18D21" w:rsidR="00214447" w:rsidRPr="008E3F16" w:rsidRDefault="00214447" w:rsidP="00C66188">
      <w:pPr>
        <w:adjustRightInd w:val="0"/>
        <w:snapToGrid w:val="0"/>
        <w:spacing w:line="360" w:lineRule="auto"/>
        <w:jc w:val="both"/>
        <w:rPr>
          <w:rFonts w:ascii="Book Antiqua" w:hAnsi="Book Antiqua" w:cs="Times New Roman"/>
          <w:color w:val="000000" w:themeColor="text1"/>
          <w:lang w:val="en-GB"/>
        </w:rPr>
      </w:pPr>
    </w:p>
    <w:p w14:paraId="2E1AF962" w14:textId="37D2E956" w:rsidR="00CB6C44" w:rsidRPr="008E3F16" w:rsidRDefault="002C532C" w:rsidP="00C66188">
      <w:pPr>
        <w:adjustRightInd w:val="0"/>
        <w:snapToGrid w:val="0"/>
        <w:spacing w:line="360" w:lineRule="auto"/>
        <w:jc w:val="both"/>
        <w:rPr>
          <w:rFonts w:ascii="Book Antiqua" w:hAnsi="Book Antiqua" w:cs="Times New Roman"/>
          <w:color w:val="000000" w:themeColor="text1"/>
          <w:lang w:val="en-GB"/>
        </w:rPr>
      </w:pPr>
      <w:r w:rsidRPr="008E3F16">
        <w:rPr>
          <w:rFonts w:ascii="Book Antiqua" w:hAnsi="Book Antiqua" w:cs="Times New Roman"/>
          <w:b/>
          <w:bCs/>
          <w:color w:val="000000" w:themeColor="text1"/>
          <w:lang w:val="en-GB"/>
        </w:rPr>
        <w:lastRenderedPageBreak/>
        <w:t>Eirini I Rigopoulou,</w:t>
      </w:r>
      <w:r w:rsidRPr="008E3F16">
        <w:rPr>
          <w:rFonts w:ascii="Book Antiqua" w:hAnsi="Book Antiqua" w:cs="Times New Roman"/>
          <w:color w:val="000000" w:themeColor="text1"/>
          <w:lang w:val="en-GB"/>
        </w:rPr>
        <w:t xml:space="preserve"> Department of Medicine and Research Laboratory of Internal Medicine, University Hospital of Larissa, </w:t>
      </w:r>
      <w:r w:rsidR="00CB6C44" w:rsidRPr="008E3F16">
        <w:rPr>
          <w:rFonts w:ascii="Book Antiqua" w:hAnsi="Book Antiqua" w:cs="Times New Roman"/>
          <w:color w:val="000000" w:themeColor="text1"/>
          <w:lang w:val="en-GB"/>
        </w:rPr>
        <w:t>Biopolis, Larissa GR41110, Greece</w:t>
      </w:r>
    </w:p>
    <w:p w14:paraId="55845191" w14:textId="5BDDE590" w:rsidR="00214447" w:rsidRPr="008E3F16" w:rsidRDefault="00214447" w:rsidP="00C66188">
      <w:pPr>
        <w:adjustRightInd w:val="0"/>
        <w:snapToGrid w:val="0"/>
        <w:spacing w:line="360" w:lineRule="auto"/>
        <w:jc w:val="both"/>
        <w:rPr>
          <w:rFonts w:ascii="Book Antiqua" w:hAnsi="Book Antiqua" w:cs="Times New Roman"/>
          <w:color w:val="000000" w:themeColor="text1"/>
          <w:lang w:val="en-GB"/>
        </w:rPr>
      </w:pPr>
    </w:p>
    <w:p w14:paraId="503A0423" w14:textId="0B30A3E2" w:rsidR="00DF717E" w:rsidRPr="008E3F16" w:rsidRDefault="00C91F32" w:rsidP="00C66188">
      <w:pPr>
        <w:adjustRightInd w:val="0"/>
        <w:snapToGrid w:val="0"/>
        <w:spacing w:line="360" w:lineRule="auto"/>
        <w:jc w:val="both"/>
        <w:rPr>
          <w:rFonts w:ascii="Book Antiqua" w:hAnsi="Book Antiqua" w:cs="Times New Roman"/>
          <w:color w:val="000000" w:themeColor="text1"/>
          <w:lang w:val="en-GB"/>
        </w:rPr>
      </w:pPr>
      <w:r w:rsidRPr="008E3F16">
        <w:rPr>
          <w:rFonts w:ascii="Book Antiqua" w:hAnsi="Book Antiqua" w:cs="Times New Roman"/>
          <w:b/>
          <w:color w:val="000000" w:themeColor="text1"/>
          <w:lang w:val="en-GB"/>
        </w:rPr>
        <w:t>Dimitrios P</w:t>
      </w:r>
      <w:r w:rsidR="00CB6C44" w:rsidRPr="008E3F16">
        <w:rPr>
          <w:rFonts w:ascii="Book Antiqua" w:hAnsi="Book Antiqua" w:cs="Times New Roman"/>
          <w:b/>
          <w:color w:val="000000" w:themeColor="text1"/>
          <w:lang w:val="en-GB"/>
        </w:rPr>
        <w:t>etrou</w:t>
      </w:r>
      <w:r w:rsidRPr="008E3F16">
        <w:rPr>
          <w:rFonts w:ascii="Book Antiqua" w:hAnsi="Book Antiqua" w:cs="Times New Roman"/>
          <w:b/>
          <w:color w:val="000000" w:themeColor="text1"/>
          <w:lang w:val="en-GB"/>
        </w:rPr>
        <w:t xml:space="preserve"> Bogdanos</w:t>
      </w:r>
      <w:r w:rsidRPr="008E3F16">
        <w:rPr>
          <w:rFonts w:ascii="Book Antiqua" w:hAnsi="Book Antiqua" w:cs="Times New Roman"/>
          <w:b/>
          <w:bCs/>
          <w:color w:val="000000" w:themeColor="text1"/>
          <w:lang w:val="en-GB"/>
        </w:rPr>
        <w:t>,</w:t>
      </w:r>
      <w:r w:rsidRPr="008E3F16">
        <w:rPr>
          <w:rFonts w:ascii="Book Antiqua" w:hAnsi="Book Antiqua" w:cs="Times New Roman"/>
          <w:color w:val="000000" w:themeColor="text1"/>
          <w:lang w:val="en-GB"/>
        </w:rPr>
        <w:t xml:space="preserve"> </w:t>
      </w:r>
      <w:r w:rsidR="004F2FF4" w:rsidRPr="008E3F16">
        <w:rPr>
          <w:rFonts w:ascii="Book Antiqua" w:hAnsi="Book Antiqua" w:cs="Times New Roman"/>
          <w:color w:val="000000" w:themeColor="text1"/>
          <w:lang w:val="en-GB"/>
        </w:rPr>
        <w:t>Division of Transplantation, Immunology and Mucosal Biology, MRC Centre for Transplantation, King's College London Medical School, London</w:t>
      </w:r>
      <w:r w:rsidR="00F318D0" w:rsidRPr="008E3F16">
        <w:rPr>
          <w:rFonts w:ascii="Book Antiqua" w:hAnsi="Book Antiqua" w:cs="Times New Roman"/>
          <w:color w:val="000000" w:themeColor="text1"/>
          <w:lang w:val="en-GB"/>
        </w:rPr>
        <w:t xml:space="preserve"> GR41110</w:t>
      </w:r>
      <w:r w:rsidR="004F2FF4" w:rsidRPr="008E3F16">
        <w:rPr>
          <w:rFonts w:ascii="Book Antiqua" w:hAnsi="Book Antiqua" w:cs="Times New Roman"/>
          <w:color w:val="000000" w:themeColor="text1"/>
          <w:lang w:val="en-GB"/>
        </w:rPr>
        <w:t>, U</w:t>
      </w:r>
      <w:r w:rsidR="00F318D0" w:rsidRPr="008E3F16">
        <w:rPr>
          <w:rFonts w:ascii="Book Antiqua" w:hAnsi="Book Antiqua" w:cs="Times New Roman"/>
          <w:color w:val="000000" w:themeColor="text1"/>
          <w:lang w:val="en-GB" w:eastAsia="zh-CN"/>
        </w:rPr>
        <w:t>nited</w:t>
      </w:r>
      <w:r w:rsidR="00F318D0" w:rsidRPr="008E3F16">
        <w:rPr>
          <w:rFonts w:ascii="Book Antiqua" w:hAnsi="Book Antiqua" w:cs="Times New Roman"/>
          <w:color w:val="000000" w:themeColor="text1"/>
          <w:lang w:val="en-GB"/>
        </w:rPr>
        <w:t xml:space="preserve"> Kingdom</w:t>
      </w:r>
    </w:p>
    <w:p w14:paraId="1BB95A47" w14:textId="77777777" w:rsidR="00855640" w:rsidRPr="008E3F16" w:rsidRDefault="00855640" w:rsidP="00C66188">
      <w:pPr>
        <w:pStyle w:val="Default"/>
        <w:snapToGrid w:val="0"/>
        <w:spacing w:line="360" w:lineRule="auto"/>
        <w:jc w:val="both"/>
        <w:rPr>
          <w:b/>
          <w:bCs/>
          <w:color w:val="000000" w:themeColor="text1"/>
          <w:lang w:val="en-GB"/>
        </w:rPr>
      </w:pPr>
    </w:p>
    <w:p w14:paraId="30C91974" w14:textId="4791C9EF" w:rsidR="00855640" w:rsidRPr="008E3F16" w:rsidRDefault="00855640" w:rsidP="00C66188">
      <w:pPr>
        <w:pStyle w:val="Default"/>
        <w:snapToGrid w:val="0"/>
        <w:spacing w:line="360" w:lineRule="auto"/>
        <w:jc w:val="both"/>
        <w:rPr>
          <w:color w:val="000000" w:themeColor="text1"/>
          <w:lang w:val="en-US"/>
        </w:rPr>
      </w:pPr>
      <w:r w:rsidRPr="008E3F16">
        <w:rPr>
          <w:b/>
          <w:bCs/>
          <w:color w:val="000000" w:themeColor="text1"/>
          <w:lang w:val="en-US"/>
        </w:rPr>
        <w:t xml:space="preserve">Author contributions: </w:t>
      </w:r>
      <w:r w:rsidRPr="008E3F16">
        <w:rPr>
          <w:bCs/>
          <w:color w:val="000000" w:themeColor="text1"/>
          <w:lang w:val="en-US"/>
        </w:rPr>
        <w:t xml:space="preserve">Gkiouras K </w:t>
      </w:r>
      <w:r w:rsidR="00CB6C44" w:rsidRPr="008E3F16">
        <w:rPr>
          <w:bCs/>
          <w:color w:val="000000" w:themeColor="text1"/>
          <w:lang w:val="en-US"/>
        </w:rPr>
        <w:t>and Bogdanos D</w:t>
      </w:r>
      <w:r w:rsidR="0009695E" w:rsidRPr="008E3F16">
        <w:rPr>
          <w:bCs/>
          <w:color w:val="000000" w:themeColor="text1"/>
          <w:lang w:val="en-US"/>
        </w:rPr>
        <w:t>P</w:t>
      </w:r>
      <w:r w:rsidR="00CB6C44" w:rsidRPr="008E3F16">
        <w:rPr>
          <w:bCs/>
          <w:color w:val="000000" w:themeColor="text1"/>
          <w:lang w:val="en-US"/>
        </w:rPr>
        <w:t xml:space="preserve"> designed research; Gkiouras K </w:t>
      </w:r>
      <w:r w:rsidR="008C1BD1" w:rsidRPr="008E3F16">
        <w:rPr>
          <w:bCs/>
          <w:color w:val="000000" w:themeColor="text1"/>
          <w:lang w:val="en-US"/>
        </w:rPr>
        <w:t xml:space="preserve">contributed to </w:t>
      </w:r>
      <w:r w:rsidR="003D5BCD" w:rsidRPr="008E3F16">
        <w:rPr>
          <w:bCs/>
          <w:color w:val="000000" w:themeColor="text1"/>
          <w:lang w:val="en-US"/>
        </w:rPr>
        <w:t xml:space="preserve">data </w:t>
      </w:r>
      <w:r w:rsidRPr="008E3F16">
        <w:rPr>
          <w:color w:val="000000" w:themeColor="text1"/>
          <w:lang w:val="en-US"/>
        </w:rPr>
        <w:t xml:space="preserve">acquisition, </w:t>
      </w:r>
      <w:r w:rsidR="003D5BCD" w:rsidRPr="008E3F16">
        <w:rPr>
          <w:color w:val="000000" w:themeColor="text1"/>
          <w:lang w:val="en-US"/>
        </w:rPr>
        <w:t>analyzed</w:t>
      </w:r>
      <w:r w:rsidRPr="008E3F16">
        <w:rPr>
          <w:color w:val="000000" w:themeColor="text1"/>
          <w:lang w:val="en-US"/>
        </w:rPr>
        <w:t xml:space="preserve"> and interpret</w:t>
      </w:r>
      <w:r w:rsidR="003D5BCD" w:rsidRPr="008E3F16">
        <w:rPr>
          <w:color w:val="000000" w:themeColor="text1"/>
          <w:lang w:val="en-US"/>
        </w:rPr>
        <w:t>ed</w:t>
      </w:r>
      <w:r w:rsidRPr="008E3F16">
        <w:rPr>
          <w:color w:val="000000" w:themeColor="text1"/>
          <w:lang w:val="en-US"/>
        </w:rPr>
        <w:t xml:space="preserve"> data, drafting the article, final approval; Grammatikopoulou MG</w:t>
      </w:r>
      <w:r w:rsidR="008C1BD1" w:rsidRPr="008E3F16">
        <w:rPr>
          <w:color w:val="000000" w:themeColor="text1"/>
          <w:lang w:val="en-US"/>
        </w:rPr>
        <w:t xml:space="preserve"> </w:t>
      </w:r>
      <w:r w:rsidR="008C1BD1" w:rsidRPr="008E3F16">
        <w:rPr>
          <w:bCs/>
          <w:color w:val="000000" w:themeColor="text1"/>
          <w:lang w:val="en-US"/>
        </w:rPr>
        <w:t>contributed to</w:t>
      </w:r>
      <w:r w:rsidRPr="008E3F16">
        <w:rPr>
          <w:color w:val="000000" w:themeColor="text1"/>
          <w:lang w:val="en-US"/>
        </w:rPr>
        <w:t xml:space="preserve"> acquisition of data, interpret</w:t>
      </w:r>
      <w:r w:rsidR="003D5BCD" w:rsidRPr="008E3F16">
        <w:rPr>
          <w:color w:val="000000" w:themeColor="text1"/>
          <w:lang w:val="en-US"/>
        </w:rPr>
        <w:t>ed</w:t>
      </w:r>
      <w:r w:rsidRPr="008E3F16">
        <w:rPr>
          <w:color w:val="000000" w:themeColor="text1"/>
          <w:lang w:val="en-US"/>
        </w:rPr>
        <w:t xml:space="preserve"> data, drafting the </w:t>
      </w:r>
      <w:r w:rsidR="003D5BCD" w:rsidRPr="008E3F16">
        <w:rPr>
          <w:color w:val="000000" w:themeColor="text1"/>
          <w:lang w:val="en-US"/>
        </w:rPr>
        <w:t>manuscript</w:t>
      </w:r>
      <w:r w:rsidRPr="008E3F16">
        <w:rPr>
          <w:color w:val="000000" w:themeColor="text1"/>
          <w:lang w:val="en-US"/>
        </w:rPr>
        <w:t xml:space="preserve">, final approval; Theodoridis X </w:t>
      </w:r>
      <w:r w:rsidR="008C1BD1" w:rsidRPr="008E3F16">
        <w:rPr>
          <w:bCs/>
          <w:color w:val="000000" w:themeColor="text1"/>
          <w:lang w:val="en-US"/>
        </w:rPr>
        <w:t>contributed to</w:t>
      </w:r>
      <w:r w:rsidR="008C1BD1" w:rsidRPr="008E3F16">
        <w:rPr>
          <w:color w:val="000000" w:themeColor="text1"/>
          <w:lang w:val="en-US"/>
        </w:rPr>
        <w:t xml:space="preserve"> </w:t>
      </w:r>
      <w:r w:rsidRPr="008E3F16">
        <w:rPr>
          <w:color w:val="000000" w:themeColor="text1"/>
          <w:lang w:val="en-US"/>
        </w:rPr>
        <w:t xml:space="preserve">quality assessment, </w:t>
      </w:r>
      <w:r w:rsidR="003D5BCD" w:rsidRPr="008E3F16">
        <w:rPr>
          <w:color w:val="000000" w:themeColor="text1"/>
          <w:lang w:val="en-US"/>
        </w:rPr>
        <w:t>interpreted data</w:t>
      </w:r>
      <w:r w:rsidRPr="008E3F16">
        <w:rPr>
          <w:color w:val="000000" w:themeColor="text1"/>
          <w:lang w:val="en-US"/>
        </w:rPr>
        <w:t xml:space="preserve">, revising the article, final approval; </w:t>
      </w:r>
      <w:r w:rsidR="00EA4E33" w:rsidRPr="008E3F16">
        <w:rPr>
          <w:color w:val="000000" w:themeColor="text1"/>
          <w:lang w:val="en-US"/>
        </w:rPr>
        <w:t>Pagkalidou E</w:t>
      </w:r>
      <w:r w:rsidR="00F468D0" w:rsidRPr="008E3F16">
        <w:rPr>
          <w:color w:val="000000" w:themeColor="text1"/>
          <w:lang w:val="en-US"/>
        </w:rPr>
        <w:t xml:space="preserve"> </w:t>
      </w:r>
      <w:r w:rsidR="008C1BD1" w:rsidRPr="008E3F16">
        <w:rPr>
          <w:bCs/>
          <w:color w:val="000000" w:themeColor="text1"/>
          <w:lang w:val="en-US"/>
        </w:rPr>
        <w:t>contributed to</w:t>
      </w:r>
      <w:r w:rsidR="008C1BD1" w:rsidRPr="008E3F16">
        <w:rPr>
          <w:color w:val="000000" w:themeColor="text1"/>
          <w:lang w:val="en-US"/>
        </w:rPr>
        <w:t xml:space="preserve"> </w:t>
      </w:r>
      <w:r w:rsidR="00F468D0" w:rsidRPr="008E3F16">
        <w:rPr>
          <w:color w:val="000000" w:themeColor="text1"/>
          <w:lang w:val="en-US"/>
        </w:rPr>
        <w:t>supervision of the statistical analyses</w:t>
      </w:r>
      <w:r w:rsidR="003D5BCD" w:rsidRPr="008E3F16">
        <w:rPr>
          <w:color w:val="000000" w:themeColor="text1"/>
          <w:lang w:val="en-US"/>
        </w:rPr>
        <w:t>, final approval</w:t>
      </w:r>
      <w:r w:rsidR="00F468D0" w:rsidRPr="008E3F16">
        <w:rPr>
          <w:color w:val="000000" w:themeColor="text1"/>
          <w:lang w:val="en-US"/>
        </w:rPr>
        <w:t xml:space="preserve">; </w:t>
      </w:r>
      <w:r w:rsidRPr="008E3F16">
        <w:rPr>
          <w:color w:val="000000" w:themeColor="text1"/>
          <w:lang w:val="en-US"/>
        </w:rPr>
        <w:t xml:space="preserve">Chatzikyriakou E </w:t>
      </w:r>
      <w:r w:rsidR="008C1BD1" w:rsidRPr="008E3F16">
        <w:rPr>
          <w:bCs/>
          <w:color w:val="000000" w:themeColor="text1"/>
          <w:lang w:val="en-US"/>
        </w:rPr>
        <w:t>contributed to</w:t>
      </w:r>
      <w:r w:rsidR="008C1BD1" w:rsidRPr="008E3F16">
        <w:rPr>
          <w:color w:val="000000" w:themeColor="text1"/>
          <w:lang w:val="en-US"/>
        </w:rPr>
        <w:t xml:space="preserve"> </w:t>
      </w:r>
      <w:r w:rsidRPr="008E3F16">
        <w:rPr>
          <w:color w:val="000000" w:themeColor="text1"/>
          <w:lang w:val="en-US"/>
        </w:rPr>
        <w:t>quality assessment</w:t>
      </w:r>
      <w:r w:rsidR="00E50336" w:rsidRPr="008E3F16">
        <w:rPr>
          <w:color w:val="000000" w:themeColor="text1"/>
          <w:lang w:val="en-US"/>
        </w:rPr>
        <w:t xml:space="preserve"> of data</w:t>
      </w:r>
      <w:r w:rsidRPr="008E3F16">
        <w:rPr>
          <w:color w:val="000000" w:themeColor="text1"/>
          <w:lang w:val="en-US"/>
        </w:rPr>
        <w:t xml:space="preserve">, final approval; </w:t>
      </w:r>
      <w:r w:rsidR="00E50336" w:rsidRPr="008E3F16">
        <w:rPr>
          <w:color w:val="000000" w:themeColor="text1"/>
          <w:lang w:val="en-US"/>
        </w:rPr>
        <w:t xml:space="preserve">Apostolidou AG </w:t>
      </w:r>
      <w:r w:rsidR="008C1BD1" w:rsidRPr="008E3F16">
        <w:rPr>
          <w:bCs/>
          <w:color w:val="000000" w:themeColor="text1"/>
          <w:lang w:val="en-US"/>
        </w:rPr>
        <w:t>contributed to</w:t>
      </w:r>
      <w:r w:rsidR="008C1BD1" w:rsidRPr="008E3F16">
        <w:rPr>
          <w:color w:val="000000" w:themeColor="text1"/>
          <w:lang w:val="en-US"/>
        </w:rPr>
        <w:t xml:space="preserve"> </w:t>
      </w:r>
      <w:r w:rsidR="003D5BCD" w:rsidRPr="008E3F16">
        <w:rPr>
          <w:color w:val="000000" w:themeColor="text1"/>
          <w:lang w:val="en-US"/>
        </w:rPr>
        <w:t xml:space="preserve">data </w:t>
      </w:r>
      <w:r w:rsidR="00E50336" w:rsidRPr="008E3F16">
        <w:rPr>
          <w:color w:val="000000" w:themeColor="text1"/>
          <w:lang w:val="en-US"/>
        </w:rPr>
        <w:t xml:space="preserve">acquisition, final approval; </w:t>
      </w:r>
      <w:r w:rsidR="002C532C" w:rsidRPr="008E3F16">
        <w:rPr>
          <w:color w:val="000000" w:themeColor="text1"/>
          <w:lang w:val="en-US"/>
        </w:rPr>
        <w:t>Rigopoulou EI</w:t>
      </w:r>
      <w:r w:rsidR="00E50336" w:rsidRPr="008E3F16">
        <w:rPr>
          <w:color w:val="000000" w:themeColor="text1"/>
          <w:lang w:val="en-US"/>
        </w:rPr>
        <w:t xml:space="preserve"> </w:t>
      </w:r>
      <w:r w:rsidR="00F468D0" w:rsidRPr="008E3F16">
        <w:rPr>
          <w:color w:val="000000" w:themeColor="text1"/>
          <w:lang w:val="en-US"/>
        </w:rPr>
        <w:t>and Sakkas LI</w:t>
      </w:r>
      <w:r w:rsidR="008C1BD1" w:rsidRPr="008E3F16">
        <w:rPr>
          <w:bCs/>
          <w:color w:val="000000" w:themeColor="text1"/>
          <w:lang w:val="en-US"/>
        </w:rPr>
        <w:t xml:space="preserve"> contributed to</w:t>
      </w:r>
      <w:r w:rsidR="00F468D0" w:rsidRPr="008E3F16">
        <w:rPr>
          <w:color w:val="000000" w:themeColor="text1"/>
          <w:lang w:val="en-US"/>
        </w:rPr>
        <w:t xml:space="preserve"> </w:t>
      </w:r>
      <w:r w:rsidR="003D5BCD" w:rsidRPr="008E3F16">
        <w:rPr>
          <w:color w:val="000000" w:themeColor="text1"/>
          <w:lang w:val="en-US"/>
        </w:rPr>
        <w:t xml:space="preserve">data </w:t>
      </w:r>
      <w:r w:rsidR="00E50336" w:rsidRPr="008E3F16">
        <w:rPr>
          <w:color w:val="000000" w:themeColor="text1"/>
          <w:lang w:val="en-US"/>
        </w:rPr>
        <w:t xml:space="preserve">interpretation, </w:t>
      </w:r>
      <w:r w:rsidR="0064648E" w:rsidRPr="008E3F16">
        <w:rPr>
          <w:color w:val="000000" w:themeColor="text1"/>
          <w:lang w:val="en-US"/>
        </w:rPr>
        <w:t xml:space="preserve">drafting manuscript parts, </w:t>
      </w:r>
      <w:r w:rsidR="00E50336" w:rsidRPr="008E3F16">
        <w:rPr>
          <w:color w:val="000000" w:themeColor="text1"/>
          <w:lang w:val="en-US"/>
        </w:rPr>
        <w:t>final approval; Bogdanos DP</w:t>
      </w:r>
      <w:r w:rsidR="008C1BD1" w:rsidRPr="008E3F16">
        <w:rPr>
          <w:bCs/>
          <w:color w:val="000000" w:themeColor="text1"/>
          <w:lang w:val="en-US"/>
        </w:rPr>
        <w:t xml:space="preserve"> contributed to</w:t>
      </w:r>
      <w:r w:rsidRPr="008E3F16">
        <w:rPr>
          <w:color w:val="000000" w:themeColor="text1"/>
          <w:lang w:val="en-US"/>
        </w:rPr>
        <w:t xml:space="preserve"> conception and design of the study, </w:t>
      </w:r>
      <w:r w:rsidR="00E50336" w:rsidRPr="008E3F16">
        <w:rPr>
          <w:color w:val="000000" w:themeColor="text1"/>
          <w:lang w:val="en-US"/>
        </w:rPr>
        <w:t xml:space="preserve">acquisition of data, </w:t>
      </w:r>
      <w:r w:rsidR="00721162" w:rsidRPr="008E3F16">
        <w:rPr>
          <w:color w:val="000000" w:themeColor="text1"/>
          <w:lang w:val="en-US"/>
        </w:rPr>
        <w:t xml:space="preserve">supervision of all analyses, </w:t>
      </w:r>
      <w:r w:rsidRPr="008E3F16">
        <w:rPr>
          <w:color w:val="000000" w:themeColor="text1"/>
          <w:lang w:val="en-US"/>
        </w:rPr>
        <w:t xml:space="preserve">critical revision, final approval. </w:t>
      </w:r>
    </w:p>
    <w:p w14:paraId="6ABD5E9A" w14:textId="77777777" w:rsidR="00855640" w:rsidRPr="008E3F16" w:rsidRDefault="00855640" w:rsidP="00C66188">
      <w:pPr>
        <w:adjustRightInd w:val="0"/>
        <w:snapToGrid w:val="0"/>
        <w:spacing w:line="360" w:lineRule="auto"/>
        <w:jc w:val="both"/>
        <w:rPr>
          <w:rFonts w:ascii="Book Antiqua" w:hAnsi="Book Antiqua" w:cs="Times New Roman"/>
          <w:color w:val="000000" w:themeColor="text1"/>
          <w:lang w:val="en-GB"/>
        </w:rPr>
      </w:pPr>
    </w:p>
    <w:p w14:paraId="1037E11E" w14:textId="54A3DE35" w:rsidR="00855640" w:rsidRPr="008E3F16" w:rsidRDefault="00855640" w:rsidP="00C66188">
      <w:pPr>
        <w:pStyle w:val="Default"/>
        <w:snapToGrid w:val="0"/>
        <w:spacing w:line="360" w:lineRule="auto"/>
        <w:jc w:val="both"/>
        <w:rPr>
          <w:color w:val="000000" w:themeColor="text1"/>
          <w:lang w:val="en-US"/>
        </w:rPr>
      </w:pPr>
      <w:r w:rsidRPr="008E3F16">
        <w:rPr>
          <w:b/>
          <w:bCs/>
          <w:color w:val="000000" w:themeColor="text1"/>
          <w:lang w:val="en-US"/>
        </w:rPr>
        <w:t xml:space="preserve">Corresponding author: </w:t>
      </w:r>
      <w:r w:rsidR="006C2C6D" w:rsidRPr="008E3F16">
        <w:rPr>
          <w:b/>
          <w:bCs/>
          <w:color w:val="000000" w:themeColor="text1"/>
          <w:lang w:val="en-US"/>
        </w:rPr>
        <w:t>Dimitrios P</w:t>
      </w:r>
      <w:r w:rsidR="00CB6C44" w:rsidRPr="008E3F16">
        <w:rPr>
          <w:b/>
          <w:bCs/>
          <w:color w:val="000000" w:themeColor="text1"/>
          <w:lang w:val="en-US"/>
        </w:rPr>
        <w:t>etrou</w:t>
      </w:r>
      <w:r w:rsidR="006C2C6D" w:rsidRPr="008E3F16">
        <w:rPr>
          <w:b/>
          <w:bCs/>
          <w:color w:val="000000" w:themeColor="text1"/>
          <w:lang w:val="en-US"/>
        </w:rPr>
        <w:t xml:space="preserve"> Bogdanos</w:t>
      </w:r>
      <w:r w:rsidRPr="008E3F16">
        <w:rPr>
          <w:b/>
          <w:bCs/>
          <w:color w:val="000000" w:themeColor="text1"/>
          <w:lang w:val="en-US"/>
        </w:rPr>
        <w:t xml:space="preserve">, </w:t>
      </w:r>
      <w:r w:rsidR="008C1BD1" w:rsidRPr="008E3F16">
        <w:rPr>
          <w:b/>
          <w:bCs/>
          <w:color w:val="000000" w:themeColor="text1"/>
          <w:lang w:val="en-US"/>
        </w:rPr>
        <w:t>MD, PhD, Assistant Professor,</w:t>
      </w:r>
      <w:r w:rsidRPr="008E3F16">
        <w:rPr>
          <w:b/>
          <w:bCs/>
          <w:color w:val="000000" w:themeColor="text1"/>
          <w:lang w:val="en-US"/>
        </w:rPr>
        <w:t xml:space="preserve"> </w:t>
      </w:r>
      <w:r w:rsidR="008A407E" w:rsidRPr="008E3F16">
        <w:rPr>
          <w:color w:val="000000" w:themeColor="text1"/>
          <w:lang w:val="en-US"/>
        </w:rPr>
        <w:t xml:space="preserve">Department of Rheumatology and Clinical Immunology, Faculty of Medicine, School of Health Sciences, University of Thessaly, Biopolis, </w:t>
      </w:r>
      <w:r w:rsidR="00146CEB">
        <w:rPr>
          <w:color w:val="000000" w:themeColor="text1"/>
          <w:lang w:val="en-US"/>
        </w:rPr>
        <w:t>P</w:t>
      </w:r>
      <w:r w:rsidR="006F7318" w:rsidRPr="008E3F16">
        <w:rPr>
          <w:color w:val="000000" w:themeColor="text1"/>
          <w:lang w:val="en-US"/>
        </w:rPr>
        <w:t>O Box 1425</w:t>
      </w:r>
      <w:r w:rsidR="00CB6C44" w:rsidRPr="008E3F16">
        <w:rPr>
          <w:color w:val="000000" w:themeColor="text1"/>
          <w:lang w:val="en-US"/>
        </w:rPr>
        <w:t>,</w:t>
      </w:r>
      <w:r w:rsidR="008A407E" w:rsidRPr="008E3F16">
        <w:rPr>
          <w:color w:val="000000" w:themeColor="text1"/>
          <w:lang w:val="en-US"/>
        </w:rPr>
        <w:t xml:space="preserve"> Larissa</w:t>
      </w:r>
      <w:r w:rsidR="008C1BD1" w:rsidRPr="008E3F16">
        <w:rPr>
          <w:color w:val="000000" w:themeColor="text1"/>
          <w:lang w:val="en-US"/>
        </w:rPr>
        <w:t xml:space="preserve"> GR41110</w:t>
      </w:r>
      <w:r w:rsidR="008A407E" w:rsidRPr="008E3F16">
        <w:rPr>
          <w:color w:val="000000" w:themeColor="text1"/>
          <w:lang w:val="en-US"/>
        </w:rPr>
        <w:t>, Greece</w:t>
      </w:r>
      <w:r w:rsidR="008C1BD1" w:rsidRPr="008E3F16">
        <w:rPr>
          <w:color w:val="000000" w:themeColor="text1"/>
          <w:lang w:val="en-US"/>
        </w:rPr>
        <w:t>.</w:t>
      </w:r>
      <w:r w:rsidR="008C1BD1" w:rsidRPr="008E3F16">
        <w:rPr>
          <w:color w:val="000000" w:themeColor="text1"/>
          <w:lang w:val="en-US" w:eastAsia="zh-CN"/>
        </w:rPr>
        <w:t xml:space="preserve"> </w:t>
      </w:r>
      <w:r w:rsidR="008A407E" w:rsidRPr="008E3F16">
        <w:rPr>
          <w:color w:val="000000" w:themeColor="text1"/>
          <w:lang w:val="en-US"/>
        </w:rPr>
        <w:t>bogdanos</w:t>
      </w:r>
      <w:r w:rsidRPr="008E3F16">
        <w:rPr>
          <w:color w:val="000000" w:themeColor="text1"/>
          <w:lang w:val="en-US"/>
        </w:rPr>
        <w:t>@</w:t>
      </w:r>
      <w:r w:rsidR="008A407E" w:rsidRPr="008E3F16">
        <w:rPr>
          <w:color w:val="000000" w:themeColor="text1"/>
          <w:lang w:val="en-US"/>
        </w:rPr>
        <w:t>med.uth.gr</w:t>
      </w:r>
      <w:r w:rsidRPr="008E3F16">
        <w:rPr>
          <w:color w:val="000000" w:themeColor="text1"/>
          <w:lang w:val="en-US"/>
        </w:rPr>
        <w:t xml:space="preserve"> </w:t>
      </w:r>
    </w:p>
    <w:p w14:paraId="66705A82" w14:textId="4C049803" w:rsidR="00855640" w:rsidRPr="008E3F16" w:rsidRDefault="00855640" w:rsidP="00C66188">
      <w:pPr>
        <w:adjustRightInd w:val="0"/>
        <w:snapToGrid w:val="0"/>
        <w:spacing w:line="360" w:lineRule="auto"/>
        <w:jc w:val="both"/>
        <w:rPr>
          <w:rFonts w:ascii="Book Antiqua" w:hAnsi="Book Antiqua" w:cs="Times New Roman"/>
          <w:color w:val="000000" w:themeColor="text1"/>
          <w:lang w:val="en-GB"/>
        </w:rPr>
      </w:pPr>
    </w:p>
    <w:p w14:paraId="64DCF25F" w14:textId="5E9778F1" w:rsidR="008C1BD1" w:rsidRPr="008E3F16" w:rsidRDefault="008C1BD1" w:rsidP="00C66188">
      <w:pPr>
        <w:adjustRightInd w:val="0"/>
        <w:snapToGrid w:val="0"/>
        <w:spacing w:line="360" w:lineRule="auto"/>
        <w:jc w:val="both"/>
        <w:rPr>
          <w:rFonts w:ascii="Book Antiqua" w:eastAsia="MS Mincho" w:hAnsi="Book Antiqua" w:cs="Times New Roman"/>
          <w:b/>
          <w:color w:val="000000" w:themeColor="text1"/>
          <w:lang w:val="en-US" w:eastAsia="it-IT"/>
        </w:rPr>
      </w:pPr>
      <w:r w:rsidRPr="008E3F16">
        <w:rPr>
          <w:rFonts w:ascii="Book Antiqua" w:eastAsia="MS Mincho" w:hAnsi="Book Antiqua" w:cs="Times New Roman"/>
          <w:b/>
          <w:color w:val="000000" w:themeColor="text1"/>
          <w:lang w:val="en-US" w:eastAsia="it-IT"/>
        </w:rPr>
        <w:t xml:space="preserve">Received: </w:t>
      </w:r>
      <w:r w:rsidRPr="008E3F16">
        <w:rPr>
          <w:rFonts w:ascii="Book Antiqua" w:eastAsia="MS Mincho" w:hAnsi="Book Antiqua" w:cs="Times New Roman"/>
          <w:color w:val="000000" w:themeColor="text1"/>
          <w:lang w:val="en-US" w:eastAsia="it-IT"/>
        </w:rPr>
        <w:t>November 1, 2019</w:t>
      </w:r>
    </w:p>
    <w:p w14:paraId="0B4B22AC" w14:textId="18A89057" w:rsidR="008C1BD1" w:rsidRPr="008E3F16" w:rsidRDefault="008C1BD1" w:rsidP="00C66188">
      <w:pPr>
        <w:adjustRightInd w:val="0"/>
        <w:snapToGrid w:val="0"/>
        <w:spacing w:line="360" w:lineRule="auto"/>
        <w:jc w:val="both"/>
        <w:rPr>
          <w:rFonts w:ascii="Book Antiqua" w:eastAsia="MS Mincho" w:hAnsi="Book Antiqua" w:cs="Times New Roman"/>
          <w:b/>
          <w:color w:val="000000" w:themeColor="text1"/>
          <w:lang w:val="en-US" w:eastAsia="it-IT"/>
        </w:rPr>
      </w:pPr>
      <w:r w:rsidRPr="008E3F16">
        <w:rPr>
          <w:rFonts w:ascii="Book Antiqua" w:eastAsia="MS Mincho" w:hAnsi="Book Antiqua" w:cs="Times New Roman"/>
          <w:b/>
          <w:color w:val="000000" w:themeColor="text1"/>
          <w:lang w:val="en-US" w:eastAsia="it-IT"/>
        </w:rPr>
        <w:t xml:space="preserve">Revised: </w:t>
      </w:r>
      <w:r w:rsidRPr="008E3F16">
        <w:rPr>
          <w:rFonts w:ascii="Book Antiqua" w:eastAsia="MS Mincho" w:hAnsi="Book Antiqua" w:cs="Times New Roman"/>
          <w:color w:val="000000" w:themeColor="text1"/>
          <w:lang w:val="en-US" w:eastAsia="it-IT"/>
        </w:rPr>
        <w:t>December 19, 2019</w:t>
      </w:r>
    </w:p>
    <w:p w14:paraId="5C7DD322" w14:textId="64787DBA" w:rsidR="008C1BD1" w:rsidRPr="008E3F16" w:rsidRDefault="008C1BD1" w:rsidP="00C66188">
      <w:pPr>
        <w:adjustRightInd w:val="0"/>
        <w:snapToGrid w:val="0"/>
        <w:spacing w:line="360" w:lineRule="auto"/>
        <w:jc w:val="both"/>
        <w:rPr>
          <w:rFonts w:ascii="Book Antiqua" w:eastAsia="MS Mincho" w:hAnsi="Book Antiqua" w:cs="Times New Roman"/>
          <w:b/>
          <w:color w:val="000000" w:themeColor="text1"/>
          <w:lang w:val="en-US" w:eastAsia="it-IT"/>
        </w:rPr>
      </w:pPr>
      <w:r w:rsidRPr="008E3F16">
        <w:rPr>
          <w:rFonts w:ascii="Book Antiqua" w:eastAsia="MS Mincho" w:hAnsi="Book Antiqua" w:cs="Times New Roman"/>
          <w:b/>
          <w:color w:val="000000" w:themeColor="text1"/>
          <w:lang w:val="en-US" w:eastAsia="it-IT"/>
        </w:rPr>
        <w:t>Accepted:</w:t>
      </w:r>
      <w:r w:rsidR="00F83333" w:rsidRPr="00F83333">
        <w:t xml:space="preserve"> </w:t>
      </w:r>
      <w:r w:rsidR="00F83333" w:rsidRPr="00F83333">
        <w:rPr>
          <w:rFonts w:ascii="Book Antiqua" w:eastAsia="MS Mincho" w:hAnsi="Book Antiqua" w:cs="Times New Roman"/>
          <w:color w:val="000000" w:themeColor="text1"/>
          <w:lang w:val="en-US" w:eastAsia="it-IT"/>
        </w:rPr>
        <w:t>January 2, 2020</w:t>
      </w:r>
      <w:r w:rsidRPr="00F83333">
        <w:rPr>
          <w:rFonts w:ascii="Book Antiqua" w:eastAsia="MS Mincho" w:hAnsi="Book Antiqua" w:cs="Times New Roman"/>
          <w:color w:val="000000" w:themeColor="text1"/>
          <w:lang w:val="en-US" w:eastAsia="it-IT"/>
        </w:rPr>
        <w:t xml:space="preserve"> </w:t>
      </w:r>
    </w:p>
    <w:p w14:paraId="6219B776" w14:textId="77777777" w:rsidR="008C1BD1" w:rsidRPr="008E3F16" w:rsidRDefault="008C1BD1" w:rsidP="00C66188">
      <w:pPr>
        <w:adjustRightInd w:val="0"/>
        <w:snapToGrid w:val="0"/>
        <w:spacing w:line="360" w:lineRule="auto"/>
        <w:jc w:val="both"/>
        <w:rPr>
          <w:rFonts w:ascii="Book Antiqua" w:eastAsia="MS Mincho" w:hAnsi="Book Antiqua" w:cs="Times New Roman"/>
          <w:b/>
          <w:color w:val="000000" w:themeColor="text1"/>
          <w:lang w:val="en-US" w:eastAsia="it-IT"/>
        </w:rPr>
      </w:pPr>
      <w:r w:rsidRPr="008E3F16">
        <w:rPr>
          <w:rFonts w:ascii="Book Antiqua" w:eastAsia="MS Mincho" w:hAnsi="Book Antiqua" w:cs="Times New Roman"/>
          <w:b/>
          <w:color w:val="000000" w:themeColor="text1"/>
          <w:lang w:val="en-US" w:eastAsia="it-IT"/>
        </w:rPr>
        <w:t>Published online:</w:t>
      </w:r>
    </w:p>
    <w:p w14:paraId="67488BF8" w14:textId="77777777" w:rsidR="008C1BD1" w:rsidRPr="008E3F16" w:rsidRDefault="008C1BD1" w:rsidP="00C66188">
      <w:pPr>
        <w:adjustRightInd w:val="0"/>
        <w:snapToGrid w:val="0"/>
        <w:spacing w:line="360" w:lineRule="auto"/>
        <w:jc w:val="both"/>
        <w:rPr>
          <w:rFonts w:ascii="Book Antiqua" w:hAnsi="Book Antiqua" w:cs="Times New Roman"/>
          <w:color w:val="000000" w:themeColor="text1"/>
          <w:lang w:val="en-GB"/>
        </w:rPr>
      </w:pPr>
    </w:p>
    <w:p w14:paraId="7F4D2C9A" w14:textId="77777777" w:rsidR="00E50336" w:rsidRPr="008E3F16" w:rsidRDefault="00E50336" w:rsidP="00C66188">
      <w:pPr>
        <w:adjustRightInd w:val="0"/>
        <w:snapToGrid w:val="0"/>
        <w:spacing w:line="360" w:lineRule="auto"/>
        <w:jc w:val="both"/>
        <w:rPr>
          <w:rFonts w:ascii="Book Antiqua" w:hAnsi="Book Antiqua" w:cs="Times New Roman"/>
          <w:color w:val="000000" w:themeColor="text1"/>
          <w:lang w:val="en-GB"/>
        </w:rPr>
      </w:pPr>
      <w:r w:rsidRPr="008E3F16">
        <w:rPr>
          <w:rFonts w:ascii="Book Antiqua" w:hAnsi="Book Antiqua" w:cs="Times New Roman"/>
          <w:color w:val="000000" w:themeColor="text1"/>
          <w:lang w:val="en-GB"/>
        </w:rPr>
        <w:br w:type="page"/>
      </w:r>
    </w:p>
    <w:p w14:paraId="4EB5080E" w14:textId="77777777" w:rsidR="00E50336" w:rsidRPr="008E3F16" w:rsidRDefault="00E50336" w:rsidP="00C66188">
      <w:pPr>
        <w:adjustRightInd w:val="0"/>
        <w:snapToGrid w:val="0"/>
        <w:spacing w:line="360" w:lineRule="auto"/>
        <w:jc w:val="both"/>
        <w:rPr>
          <w:rFonts w:ascii="Book Antiqua" w:hAnsi="Book Antiqua" w:cs="Times New Roman"/>
          <w:b/>
          <w:bCs/>
          <w:color w:val="000000" w:themeColor="text1"/>
          <w:lang w:val="en-GB"/>
        </w:rPr>
      </w:pPr>
      <w:r w:rsidRPr="008E3F16">
        <w:rPr>
          <w:rFonts w:ascii="Book Antiqua" w:hAnsi="Book Antiqua" w:cs="Times New Roman"/>
          <w:b/>
          <w:bCs/>
          <w:color w:val="000000" w:themeColor="text1"/>
          <w:lang w:val="en-GB"/>
        </w:rPr>
        <w:lastRenderedPageBreak/>
        <w:t>Abstract</w:t>
      </w:r>
    </w:p>
    <w:p w14:paraId="1202E186" w14:textId="77777777" w:rsidR="00E50336" w:rsidRPr="008E3F16" w:rsidRDefault="00E50336" w:rsidP="00C66188">
      <w:pPr>
        <w:adjustRightInd w:val="0"/>
        <w:snapToGrid w:val="0"/>
        <w:spacing w:line="360" w:lineRule="auto"/>
        <w:jc w:val="both"/>
        <w:rPr>
          <w:rFonts w:ascii="Book Antiqua" w:hAnsi="Book Antiqua" w:cs="Times New Roman"/>
          <w:iCs/>
          <w:color w:val="000000" w:themeColor="text1"/>
          <w:lang w:val="en-GB"/>
        </w:rPr>
      </w:pPr>
      <w:r w:rsidRPr="008E3F16">
        <w:rPr>
          <w:rFonts w:ascii="Book Antiqua" w:hAnsi="Book Antiqua" w:cs="Times New Roman"/>
          <w:iCs/>
          <w:color w:val="000000" w:themeColor="text1"/>
          <w:lang w:val="en-GB"/>
        </w:rPr>
        <w:t>BACKGROUND</w:t>
      </w:r>
    </w:p>
    <w:p w14:paraId="13927C64" w14:textId="7BC782E8" w:rsidR="004208F1" w:rsidRPr="008E3F16" w:rsidRDefault="004208F1" w:rsidP="00C66188">
      <w:pPr>
        <w:adjustRightInd w:val="0"/>
        <w:snapToGrid w:val="0"/>
        <w:spacing w:line="360" w:lineRule="auto"/>
        <w:jc w:val="both"/>
        <w:rPr>
          <w:rFonts w:ascii="Book Antiqua" w:hAnsi="Book Antiqua" w:cs="Times New Roman"/>
          <w:iCs/>
          <w:color w:val="000000" w:themeColor="text1"/>
          <w:lang w:val="en-GB"/>
        </w:rPr>
      </w:pPr>
      <w:r w:rsidRPr="008E3F16">
        <w:rPr>
          <w:rFonts w:ascii="Book Antiqua" w:hAnsi="Book Antiqua" w:cs="Times New Roman"/>
          <w:iCs/>
          <w:color w:val="000000" w:themeColor="text1"/>
          <w:lang w:val="en-GB"/>
        </w:rPr>
        <w:t xml:space="preserve">Non-invasive criteria are needed for Crohn’s disease (CD) diagnosis, with several biomarkers being tested. Results of individual </w:t>
      </w:r>
      <w:r w:rsidR="008E3F16" w:rsidRPr="008E3F16">
        <w:rPr>
          <w:rFonts w:ascii="Book Antiqua" w:hAnsi="Book Antiqua" w:cs="Times New Roman"/>
          <w:iCs/>
          <w:color w:val="000000" w:themeColor="text1"/>
          <w:lang w:val="en-GB"/>
        </w:rPr>
        <w:t>diagnostic test accuracy</w:t>
      </w:r>
      <w:r w:rsidR="00792469" w:rsidRPr="008E3F16">
        <w:rPr>
          <w:rFonts w:ascii="Book Antiqua" w:hAnsi="Book Antiqua" w:cs="Times New Roman"/>
          <w:iCs/>
          <w:color w:val="000000" w:themeColor="text1"/>
          <w:lang w:val="en-GB"/>
        </w:rPr>
        <w:t xml:space="preserve"> </w:t>
      </w:r>
      <w:r w:rsidRPr="008E3F16">
        <w:rPr>
          <w:rFonts w:ascii="Book Antiqua" w:hAnsi="Book Antiqua" w:cs="Times New Roman"/>
          <w:iCs/>
          <w:color w:val="000000" w:themeColor="text1"/>
          <w:lang w:val="en-GB"/>
        </w:rPr>
        <w:t xml:space="preserve">studies assessing the diagnostic </w:t>
      </w:r>
      <w:r w:rsidR="00792469" w:rsidRPr="008E3F16">
        <w:rPr>
          <w:rFonts w:ascii="Book Antiqua" w:hAnsi="Book Antiqua" w:cs="Times New Roman"/>
          <w:iCs/>
          <w:color w:val="000000" w:themeColor="text1"/>
          <w:lang w:val="en-GB"/>
        </w:rPr>
        <w:t>value</w:t>
      </w:r>
      <w:r w:rsidRPr="008E3F16">
        <w:rPr>
          <w:rFonts w:ascii="Book Antiqua" w:hAnsi="Book Antiqua" w:cs="Times New Roman"/>
          <w:iCs/>
          <w:color w:val="000000" w:themeColor="text1"/>
          <w:lang w:val="en-GB"/>
        </w:rPr>
        <w:t xml:space="preserve"> of </w:t>
      </w:r>
      <w:r w:rsidR="00EB41E5" w:rsidRPr="008E3F16">
        <w:rPr>
          <w:rFonts w:ascii="Book Antiqua" w:hAnsi="Book Antiqua" w:cs="Times New Roman"/>
          <w:iCs/>
          <w:color w:val="000000" w:themeColor="text1"/>
          <w:lang w:val="en-GB"/>
        </w:rPr>
        <w:t>pancreatic autoantibodies-to-glycoprotein-2 (</w:t>
      </w:r>
      <w:r w:rsidRPr="008E3F16">
        <w:rPr>
          <w:rFonts w:ascii="Book Antiqua" w:hAnsi="Book Antiqua" w:cs="Times New Roman"/>
          <w:iCs/>
          <w:color w:val="000000" w:themeColor="text1"/>
          <w:lang w:val="en-GB"/>
        </w:rPr>
        <w:t>anti-GP2</w:t>
      </w:r>
      <w:r w:rsidR="00EB41E5" w:rsidRPr="008E3F16">
        <w:rPr>
          <w:rFonts w:ascii="Book Antiqua" w:hAnsi="Book Antiqua" w:cs="Times New Roman"/>
          <w:iCs/>
          <w:color w:val="000000" w:themeColor="text1"/>
          <w:lang w:val="en-GB"/>
        </w:rPr>
        <w:t>)</w:t>
      </w:r>
      <w:r w:rsidRPr="008E3F16">
        <w:rPr>
          <w:rFonts w:ascii="Book Antiqua" w:hAnsi="Book Antiqua" w:cs="Times New Roman"/>
          <w:iCs/>
          <w:color w:val="000000" w:themeColor="text1"/>
          <w:lang w:val="en-GB"/>
        </w:rPr>
        <w:t xml:space="preserve"> </w:t>
      </w:r>
      <w:r w:rsidR="00792469" w:rsidRPr="008E3F16">
        <w:rPr>
          <w:rFonts w:ascii="Book Antiqua" w:hAnsi="Book Antiqua" w:cs="Times New Roman"/>
          <w:iCs/>
          <w:color w:val="000000" w:themeColor="text1"/>
          <w:lang w:val="en-GB"/>
        </w:rPr>
        <w:t xml:space="preserve">tests </w:t>
      </w:r>
      <w:r w:rsidRPr="008E3F16">
        <w:rPr>
          <w:rFonts w:ascii="Book Antiqua" w:hAnsi="Book Antiqua" w:cs="Times New Roman"/>
          <w:iCs/>
          <w:color w:val="000000" w:themeColor="text1"/>
          <w:lang w:val="en-GB"/>
        </w:rPr>
        <w:t>for the diagnosis of CD appear promising.</w:t>
      </w:r>
    </w:p>
    <w:p w14:paraId="75BAD055" w14:textId="77777777" w:rsidR="00214447" w:rsidRPr="008E3F16" w:rsidRDefault="00214447" w:rsidP="00C66188">
      <w:pPr>
        <w:adjustRightInd w:val="0"/>
        <w:snapToGrid w:val="0"/>
        <w:spacing w:line="360" w:lineRule="auto"/>
        <w:jc w:val="both"/>
        <w:rPr>
          <w:rFonts w:ascii="Book Antiqua" w:hAnsi="Book Antiqua" w:cs="Times New Roman"/>
          <w:iCs/>
          <w:color w:val="000000" w:themeColor="text1"/>
          <w:lang w:val="en-GB"/>
        </w:rPr>
      </w:pPr>
    </w:p>
    <w:p w14:paraId="1AD73C13" w14:textId="77777777" w:rsidR="00E50336" w:rsidRPr="008E3F16" w:rsidRDefault="00E50336" w:rsidP="00C66188">
      <w:pPr>
        <w:adjustRightInd w:val="0"/>
        <w:snapToGrid w:val="0"/>
        <w:spacing w:line="360" w:lineRule="auto"/>
        <w:jc w:val="both"/>
        <w:rPr>
          <w:rFonts w:ascii="Book Antiqua" w:hAnsi="Book Antiqua" w:cs="Times New Roman"/>
          <w:iCs/>
          <w:color w:val="000000" w:themeColor="text1"/>
          <w:lang w:val="en-GB"/>
        </w:rPr>
      </w:pPr>
      <w:r w:rsidRPr="008E3F16">
        <w:rPr>
          <w:rFonts w:ascii="Book Antiqua" w:hAnsi="Book Antiqua" w:cs="Times New Roman"/>
          <w:iCs/>
          <w:color w:val="000000" w:themeColor="text1"/>
          <w:lang w:val="en-GB"/>
        </w:rPr>
        <w:t>AIM</w:t>
      </w:r>
    </w:p>
    <w:p w14:paraId="4E286DA8" w14:textId="4050DDE6" w:rsidR="00E50336" w:rsidRPr="008E3F16" w:rsidRDefault="002C532C" w:rsidP="00C66188">
      <w:pPr>
        <w:adjustRightInd w:val="0"/>
        <w:snapToGrid w:val="0"/>
        <w:spacing w:line="360" w:lineRule="auto"/>
        <w:jc w:val="both"/>
        <w:rPr>
          <w:rFonts w:ascii="Book Antiqua" w:hAnsi="Book Antiqua" w:cs="Times New Roman"/>
          <w:iCs/>
          <w:color w:val="000000" w:themeColor="text1"/>
          <w:lang w:val="en-GB"/>
        </w:rPr>
      </w:pPr>
      <w:r w:rsidRPr="008E3F16">
        <w:rPr>
          <w:rFonts w:ascii="Book Antiqua" w:hAnsi="Book Antiqua" w:cs="Times New Roman"/>
          <w:iCs/>
          <w:color w:val="000000" w:themeColor="text1"/>
          <w:lang w:val="en-GB"/>
        </w:rPr>
        <w:t>To systematically review and meta-analyze evidence on the diagnostic accuracy of</w:t>
      </w:r>
      <w:r w:rsidR="00EB41E5" w:rsidRPr="008E3F16">
        <w:rPr>
          <w:rFonts w:ascii="Book Antiqua" w:hAnsi="Book Antiqua" w:cs="Times New Roman"/>
          <w:iCs/>
          <w:color w:val="000000" w:themeColor="text1"/>
          <w:lang w:val="en-GB"/>
        </w:rPr>
        <w:t xml:space="preserve"> </w:t>
      </w:r>
      <w:r w:rsidRPr="008E3F16">
        <w:rPr>
          <w:rFonts w:ascii="Book Antiqua" w:hAnsi="Book Antiqua" w:cs="Times New Roman"/>
          <w:iCs/>
          <w:color w:val="000000" w:themeColor="text1"/>
          <w:lang w:val="en-GB"/>
        </w:rPr>
        <w:t xml:space="preserve">anti-GP2 tests in patients with suspected/confirmed </w:t>
      </w:r>
      <w:r w:rsidR="00CB6C44" w:rsidRPr="008E3F16">
        <w:rPr>
          <w:rFonts w:ascii="Book Antiqua" w:hAnsi="Book Antiqua" w:cs="Times New Roman"/>
          <w:iCs/>
          <w:color w:val="000000" w:themeColor="text1"/>
          <w:lang w:val="en-GB"/>
        </w:rPr>
        <w:t>CD</w:t>
      </w:r>
      <w:r w:rsidRPr="008E3F16">
        <w:rPr>
          <w:rFonts w:ascii="Book Antiqua" w:hAnsi="Book Antiqua" w:cs="Times New Roman"/>
          <w:iCs/>
          <w:color w:val="000000" w:themeColor="text1"/>
          <w:lang w:val="en-GB"/>
        </w:rPr>
        <w:t>.</w:t>
      </w:r>
    </w:p>
    <w:p w14:paraId="0003AE30" w14:textId="77777777" w:rsidR="00214447" w:rsidRPr="008E3F16" w:rsidRDefault="00214447" w:rsidP="00C66188">
      <w:pPr>
        <w:adjustRightInd w:val="0"/>
        <w:snapToGrid w:val="0"/>
        <w:spacing w:line="360" w:lineRule="auto"/>
        <w:jc w:val="both"/>
        <w:rPr>
          <w:rFonts w:ascii="Book Antiqua" w:hAnsi="Book Antiqua" w:cs="Times New Roman"/>
          <w:iCs/>
          <w:color w:val="000000" w:themeColor="text1"/>
          <w:lang w:val="en-GB"/>
        </w:rPr>
      </w:pPr>
    </w:p>
    <w:p w14:paraId="283E06FC" w14:textId="77777777" w:rsidR="00E50336" w:rsidRPr="008E3F16" w:rsidRDefault="00E50336" w:rsidP="00C66188">
      <w:pPr>
        <w:adjustRightInd w:val="0"/>
        <w:snapToGrid w:val="0"/>
        <w:spacing w:line="360" w:lineRule="auto"/>
        <w:jc w:val="both"/>
        <w:rPr>
          <w:rFonts w:ascii="Book Antiqua" w:hAnsi="Book Antiqua" w:cs="Times New Roman"/>
          <w:iCs/>
          <w:color w:val="000000" w:themeColor="text1"/>
          <w:lang w:val="en-GB"/>
        </w:rPr>
      </w:pPr>
      <w:r w:rsidRPr="008E3F16">
        <w:rPr>
          <w:rFonts w:ascii="Book Antiqua" w:hAnsi="Book Antiqua" w:cs="Times New Roman"/>
          <w:iCs/>
          <w:color w:val="000000" w:themeColor="text1"/>
          <w:lang w:val="en-GB"/>
        </w:rPr>
        <w:t>METHODS</w:t>
      </w:r>
    </w:p>
    <w:p w14:paraId="6E9EB714" w14:textId="45ABB560" w:rsidR="00214447" w:rsidRPr="008E3F16" w:rsidRDefault="00EB41E5" w:rsidP="00C66188">
      <w:pPr>
        <w:adjustRightInd w:val="0"/>
        <w:snapToGrid w:val="0"/>
        <w:spacing w:line="360" w:lineRule="auto"/>
        <w:jc w:val="both"/>
        <w:rPr>
          <w:rFonts w:ascii="Book Antiqua" w:hAnsi="Book Antiqua" w:cs="Times New Roman"/>
          <w:iCs/>
          <w:color w:val="000000" w:themeColor="text1"/>
          <w:lang w:val="en-GB"/>
        </w:rPr>
      </w:pPr>
      <w:r w:rsidRPr="008E3F16">
        <w:rPr>
          <w:rFonts w:ascii="Book Antiqua" w:hAnsi="Book Antiqua" w:cs="Times New Roman"/>
          <w:iCs/>
          <w:color w:val="000000" w:themeColor="text1"/>
          <w:lang w:val="en-GB"/>
        </w:rPr>
        <w:t xml:space="preserve">An electronic search was conducted on </w:t>
      </w:r>
      <w:r w:rsidR="006E49AF" w:rsidRPr="008E3F16">
        <w:rPr>
          <w:rFonts w:ascii="Book Antiqua" w:hAnsi="Book Antiqua" w:cs="Times New Roman"/>
          <w:iCs/>
          <w:color w:val="000000" w:themeColor="text1"/>
          <w:lang w:val="en-GB"/>
        </w:rPr>
        <w:t>PubMed</w:t>
      </w:r>
      <w:r w:rsidRPr="008E3F16">
        <w:rPr>
          <w:rFonts w:ascii="Book Antiqua" w:hAnsi="Book Antiqua" w:cs="Times New Roman"/>
          <w:iCs/>
          <w:color w:val="000000" w:themeColor="text1"/>
          <w:lang w:val="en-GB"/>
        </w:rPr>
        <w:t xml:space="preserve">, Cochrane-CENTRAL and grey literature (CRD42019125947). The structured research question in PICPTR format was “Population” including patients with symptoms akin to CD, the “Index test” being anti-GP2 testing, the “Comparator” involved standard CD diagnosis, the “Purpose of test” being diagnostic, “Target disorder” was CD, and the “Reference standard” included standard clinical, radiological, endoscopical, and histological CD diagnostic criteria. Quality was assessed with the </w:t>
      </w:r>
      <w:bookmarkStart w:id="14" w:name="_Hlk28594247"/>
      <w:r w:rsidR="000C4C95" w:rsidRPr="008E3F16">
        <w:rPr>
          <w:rFonts w:ascii="Book Antiqua" w:eastAsia="Times New Roman" w:hAnsi="Book Antiqua" w:cs="Times New Roman"/>
          <w:color w:val="000000" w:themeColor="text1"/>
          <w:shd w:val="clear" w:color="auto" w:fill="FFFFFF"/>
          <w:lang w:val="en-US" w:eastAsia="el-GR"/>
        </w:rPr>
        <w:t>Quality Assessment of Diagnostic Accuracy Studies-2</w:t>
      </w:r>
      <w:bookmarkEnd w:id="14"/>
      <w:r w:rsidRPr="008E3F16">
        <w:rPr>
          <w:rFonts w:ascii="Book Antiqua" w:hAnsi="Book Antiqua" w:cs="Times New Roman"/>
          <w:iCs/>
          <w:color w:val="000000" w:themeColor="text1"/>
          <w:lang w:val="en-GB"/>
        </w:rPr>
        <w:t xml:space="preserve"> tool and hierarchical models were employed to synthesize the data.</w:t>
      </w:r>
    </w:p>
    <w:p w14:paraId="59E27782" w14:textId="77777777" w:rsidR="00EB41E5" w:rsidRPr="008E3F16" w:rsidRDefault="00EB41E5" w:rsidP="00C66188">
      <w:pPr>
        <w:adjustRightInd w:val="0"/>
        <w:snapToGrid w:val="0"/>
        <w:spacing w:line="360" w:lineRule="auto"/>
        <w:jc w:val="both"/>
        <w:rPr>
          <w:rFonts w:ascii="Book Antiqua" w:hAnsi="Book Antiqua" w:cs="Times New Roman"/>
          <w:iCs/>
          <w:color w:val="000000" w:themeColor="text1"/>
          <w:lang w:val="en-GB"/>
        </w:rPr>
      </w:pPr>
    </w:p>
    <w:p w14:paraId="600F9469" w14:textId="77777777" w:rsidR="00E50336" w:rsidRPr="008E3F16" w:rsidRDefault="00E50336" w:rsidP="00C66188">
      <w:pPr>
        <w:adjustRightInd w:val="0"/>
        <w:snapToGrid w:val="0"/>
        <w:spacing w:line="360" w:lineRule="auto"/>
        <w:jc w:val="both"/>
        <w:rPr>
          <w:rFonts w:ascii="Book Antiqua" w:hAnsi="Book Antiqua" w:cs="Times New Roman"/>
          <w:iCs/>
          <w:color w:val="000000" w:themeColor="text1"/>
          <w:lang w:val="en-GB"/>
        </w:rPr>
      </w:pPr>
      <w:r w:rsidRPr="008E3F16">
        <w:rPr>
          <w:rFonts w:ascii="Book Antiqua" w:hAnsi="Book Antiqua" w:cs="Times New Roman"/>
          <w:iCs/>
          <w:color w:val="000000" w:themeColor="text1"/>
          <w:lang w:val="en-GB"/>
        </w:rPr>
        <w:t>RESULTS</w:t>
      </w:r>
    </w:p>
    <w:p w14:paraId="50BD6659" w14:textId="43993171" w:rsidR="008B5FC5" w:rsidRPr="008E3F16" w:rsidRDefault="002C532C" w:rsidP="00C66188">
      <w:pPr>
        <w:adjustRightInd w:val="0"/>
        <w:snapToGrid w:val="0"/>
        <w:spacing w:line="360" w:lineRule="auto"/>
        <w:jc w:val="both"/>
        <w:rPr>
          <w:rFonts w:ascii="Book Antiqua" w:hAnsi="Book Antiqua" w:cs="Times New Roman"/>
          <w:iCs/>
          <w:color w:val="000000" w:themeColor="text1"/>
          <w:lang w:val="en-GB"/>
        </w:rPr>
      </w:pPr>
      <w:r w:rsidRPr="008E3F16">
        <w:rPr>
          <w:rFonts w:ascii="Book Antiqua" w:hAnsi="Book Antiqua" w:cs="Times New Roman"/>
          <w:iCs/>
          <w:color w:val="000000" w:themeColor="text1"/>
          <w:lang w:val="en-GB"/>
        </w:rPr>
        <w:t>Out of 7</w:t>
      </w:r>
      <w:r w:rsidR="0033451B" w:rsidRPr="008E3F16">
        <w:rPr>
          <w:rFonts w:ascii="Book Antiqua" w:hAnsi="Book Antiqua" w:cs="Times New Roman"/>
          <w:iCs/>
          <w:color w:val="000000" w:themeColor="text1"/>
          <w:lang w:val="en-GB"/>
        </w:rPr>
        <w:t>22</w:t>
      </w:r>
      <w:r w:rsidRPr="008E3F16">
        <w:rPr>
          <w:rFonts w:ascii="Book Antiqua" w:hAnsi="Book Antiqua" w:cs="Times New Roman"/>
          <w:iCs/>
          <w:color w:val="000000" w:themeColor="text1"/>
          <w:lang w:val="en-GB"/>
        </w:rPr>
        <w:t xml:space="preserve"> studies retrieved, 15 were meta-analyzed. Thirteen studies had industry-related conflicts-of-interest, and most included healthy donors as controls (spectrum bias). </w:t>
      </w:r>
      <w:r w:rsidR="008B5FC5" w:rsidRPr="008E3F16">
        <w:rPr>
          <w:rFonts w:ascii="Book Antiqua" w:hAnsi="Book Antiqua" w:cs="Times New Roman"/>
          <w:iCs/>
          <w:color w:val="000000" w:themeColor="text1"/>
          <w:lang w:val="en-GB"/>
        </w:rPr>
        <w:t>For the combination of IgA and/or IgG anti-GP2 test, the summary sensitivity was 20% (95%</w:t>
      </w:r>
      <w:r w:rsidR="004F54FF" w:rsidRPr="008E3F16">
        <w:rPr>
          <w:rFonts w:ascii="Book Antiqua" w:hAnsi="Book Antiqua" w:cs="Times New Roman"/>
          <w:iCs/>
          <w:color w:val="000000" w:themeColor="text1"/>
          <w:lang w:val="en-GB"/>
        </w:rPr>
        <w:t xml:space="preserve"> confidence interval</w:t>
      </w:r>
      <w:r w:rsidR="008B5FC5" w:rsidRPr="008E3F16">
        <w:rPr>
          <w:rFonts w:ascii="Book Antiqua" w:hAnsi="Book Antiqua" w:cs="Times New Roman"/>
          <w:iCs/>
          <w:color w:val="000000" w:themeColor="text1"/>
          <w:lang w:val="en-GB"/>
        </w:rPr>
        <w:t>: 10</w:t>
      </w:r>
      <w:r w:rsidR="00324F8A" w:rsidRPr="008E3F16">
        <w:rPr>
          <w:rFonts w:ascii="Book Antiqua" w:hAnsi="Book Antiqua" w:cs="Times New Roman"/>
          <w:iCs/>
          <w:color w:val="000000" w:themeColor="text1"/>
          <w:lang w:val="en-GB"/>
        </w:rPr>
        <w:t>%</w:t>
      </w:r>
      <w:r w:rsidR="008B5FC5" w:rsidRPr="008E3F16">
        <w:rPr>
          <w:rFonts w:ascii="Book Antiqua" w:hAnsi="Book Antiqua" w:cs="Times New Roman"/>
          <w:iCs/>
          <w:color w:val="000000" w:themeColor="text1"/>
          <w:lang w:val="en-GB"/>
        </w:rPr>
        <w:t>–29%) at a median specificity of 97%. If the test was applied in 10000 suspected patients, 9669 would be true negatives and in 26</w:t>
      </w:r>
      <w:r w:rsidR="006F7318" w:rsidRPr="008E3F16">
        <w:rPr>
          <w:rFonts w:ascii="Book Antiqua" w:hAnsi="Book Antiqua" w:cs="Times New Roman"/>
          <w:iCs/>
          <w:color w:val="000000" w:themeColor="text1"/>
          <w:lang w:val="en-US"/>
        </w:rPr>
        <w:t>, the</w:t>
      </w:r>
      <w:r w:rsidR="008B5FC5" w:rsidRPr="008E3F16">
        <w:rPr>
          <w:rFonts w:ascii="Book Antiqua" w:hAnsi="Book Antiqua" w:cs="Times New Roman"/>
          <w:iCs/>
          <w:color w:val="000000" w:themeColor="text1"/>
          <w:lang w:val="en-GB"/>
        </w:rPr>
        <w:t xml:space="preserve"> diagnosis would be missed. </w:t>
      </w:r>
      <w:r w:rsidR="00974031" w:rsidRPr="008E3F16">
        <w:rPr>
          <w:rFonts w:ascii="Book Antiqua" w:hAnsi="Book Antiqua" w:cs="Times New Roman"/>
          <w:iCs/>
          <w:color w:val="000000" w:themeColor="text1"/>
          <w:lang w:val="en-GB"/>
        </w:rPr>
        <w:t xml:space="preserve">In this hypothetical cohort, for 81.3% of the positive cases diagnosis would be missed. </w:t>
      </w:r>
      <w:r w:rsidR="008B5FC5" w:rsidRPr="008E3F16">
        <w:rPr>
          <w:rFonts w:ascii="Book Antiqua" w:hAnsi="Book Antiqua" w:cs="Times New Roman"/>
          <w:iCs/>
          <w:color w:val="000000" w:themeColor="text1"/>
          <w:lang w:val="en-GB"/>
        </w:rPr>
        <w:t xml:space="preserve">Low summary points of sensitivity and high specificity were estimated for the IgG or IgA anti-GP2 test. Analogous results were </w:t>
      </w:r>
      <w:r w:rsidR="00810390" w:rsidRPr="008E3F16">
        <w:rPr>
          <w:rFonts w:ascii="Book Antiqua" w:hAnsi="Book Antiqua" w:cs="Times New Roman"/>
          <w:iCs/>
          <w:color w:val="000000" w:themeColor="text1"/>
          <w:lang w:val="en-GB"/>
        </w:rPr>
        <w:t>observed</w:t>
      </w:r>
      <w:r w:rsidR="008B5FC5" w:rsidRPr="008E3F16">
        <w:rPr>
          <w:rFonts w:ascii="Book Antiqua" w:hAnsi="Book Antiqua" w:cs="Times New Roman"/>
          <w:iCs/>
          <w:color w:val="000000" w:themeColor="text1"/>
          <w:lang w:val="en-GB"/>
        </w:rPr>
        <w:t xml:space="preserve"> when the analyses were restricted in specific cut-offs</w:t>
      </w:r>
      <w:r w:rsidR="00810390" w:rsidRPr="008E3F16">
        <w:rPr>
          <w:rFonts w:ascii="Book Antiqua" w:hAnsi="Book Antiqua" w:cs="Times New Roman"/>
          <w:iCs/>
          <w:color w:val="000000" w:themeColor="text1"/>
          <w:lang w:val="en-GB"/>
        </w:rPr>
        <w:t>,</w:t>
      </w:r>
      <w:r w:rsidR="008B5FC5" w:rsidRPr="008E3F16">
        <w:rPr>
          <w:rFonts w:ascii="Book Antiqua" w:hAnsi="Book Antiqua" w:cs="Times New Roman"/>
          <w:iCs/>
          <w:color w:val="000000" w:themeColor="text1"/>
          <w:lang w:val="en-GB"/>
        </w:rPr>
        <w:t xml:space="preserve"> or w</w:t>
      </w:r>
      <w:r w:rsidR="00810390" w:rsidRPr="008E3F16">
        <w:rPr>
          <w:rFonts w:ascii="Book Antiqua" w:hAnsi="Book Antiqua" w:cs="Times New Roman"/>
          <w:iCs/>
          <w:color w:val="000000" w:themeColor="text1"/>
          <w:lang w:val="en-GB"/>
        </w:rPr>
        <w:t>hen</w:t>
      </w:r>
      <w:r w:rsidR="008B5FC5" w:rsidRPr="008E3F16">
        <w:rPr>
          <w:rFonts w:ascii="Book Antiqua" w:hAnsi="Book Antiqua" w:cs="Times New Roman"/>
          <w:iCs/>
          <w:color w:val="000000" w:themeColor="text1"/>
          <w:lang w:val="en-GB"/>
        </w:rPr>
        <w:t xml:space="preserve"> ulcerative colitis patients </w:t>
      </w:r>
      <w:r w:rsidR="00810390" w:rsidRPr="008E3F16">
        <w:rPr>
          <w:rFonts w:ascii="Book Antiqua" w:hAnsi="Book Antiqua" w:cs="Times New Roman"/>
          <w:iCs/>
          <w:color w:val="000000" w:themeColor="text1"/>
          <w:lang w:val="en-GB"/>
        </w:rPr>
        <w:t xml:space="preserve">were used </w:t>
      </w:r>
      <w:r w:rsidR="008B5FC5" w:rsidRPr="008E3F16">
        <w:rPr>
          <w:rFonts w:ascii="Book Antiqua" w:hAnsi="Book Antiqua" w:cs="Times New Roman"/>
          <w:iCs/>
          <w:color w:val="000000" w:themeColor="text1"/>
          <w:lang w:val="en-GB"/>
        </w:rPr>
        <w:t>as comparators.</w:t>
      </w:r>
      <w:r w:rsidR="00974031" w:rsidRPr="008E3F16">
        <w:rPr>
          <w:rFonts w:ascii="Book Antiqua" w:hAnsi="Book Antiqua" w:cs="Times New Roman"/>
          <w:iCs/>
          <w:color w:val="000000" w:themeColor="text1"/>
          <w:lang w:val="en-GB"/>
        </w:rPr>
        <w:t xml:space="preserve"> </w:t>
      </w:r>
    </w:p>
    <w:p w14:paraId="28557FB2" w14:textId="77777777" w:rsidR="00214447" w:rsidRPr="008E3F16" w:rsidRDefault="00214447" w:rsidP="00C66188">
      <w:pPr>
        <w:adjustRightInd w:val="0"/>
        <w:snapToGrid w:val="0"/>
        <w:spacing w:line="360" w:lineRule="auto"/>
        <w:jc w:val="both"/>
        <w:rPr>
          <w:rFonts w:ascii="Book Antiqua" w:hAnsi="Book Antiqua" w:cs="Times New Roman"/>
          <w:iCs/>
          <w:color w:val="000000" w:themeColor="text1"/>
          <w:lang w:val="en-GB"/>
        </w:rPr>
      </w:pPr>
    </w:p>
    <w:p w14:paraId="73108EFA" w14:textId="77777777" w:rsidR="00E50336" w:rsidRPr="008E3F16" w:rsidRDefault="00E50336" w:rsidP="00C66188">
      <w:pPr>
        <w:adjustRightInd w:val="0"/>
        <w:snapToGrid w:val="0"/>
        <w:spacing w:line="360" w:lineRule="auto"/>
        <w:jc w:val="both"/>
        <w:rPr>
          <w:rFonts w:ascii="Book Antiqua" w:hAnsi="Book Antiqua" w:cs="Times New Roman"/>
          <w:iCs/>
          <w:color w:val="000000" w:themeColor="text1"/>
          <w:lang w:val="en-GB"/>
        </w:rPr>
      </w:pPr>
      <w:r w:rsidRPr="008E3F16">
        <w:rPr>
          <w:rFonts w:ascii="Book Antiqua" w:hAnsi="Book Antiqua" w:cs="Times New Roman"/>
          <w:iCs/>
          <w:color w:val="000000" w:themeColor="text1"/>
          <w:lang w:val="en-GB"/>
        </w:rPr>
        <w:t>CONCLUSION</w:t>
      </w:r>
    </w:p>
    <w:p w14:paraId="5D49F951" w14:textId="283C1E34" w:rsidR="00E50336" w:rsidRPr="008E3F16" w:rsidRDefault="00792469" w:rsidP="00C66188">
      <w:pPr>
        <w:adjustRightInd w:val="0"/>
        <w:snapToGrid w:val="0"/>
        <w:spacing w:line="360" w:lineRule="auto"/>
        <w:jc w:val="both"/>
        <w:rPr>
          <w:rFonts w:ascii="Book Antiqua" w:hAnsi="Book Antiqua" w:cs="Times New Roman"/>
          <w:iCs/>
          <w:color w:val="000000" w:themeColor="text1"/>
          <w:lang w:val="en-GB"/>
        </w:rPr>
      </w:pPr>
      <w:r w:rsidRPr="008E3F16">
        <w:rPr>
          <w:rFonts w:ascii="Book Antiqua" w:hAnsi="Book Antiqua" w:cs="Times New Roman"/>
          <w:iCs/>
          <w:color w:val="000000" w:themeColor="text1"/>
          <w:lang w:val="en-GB"/>
        </w:rPr>
        <w:lastRenderedPageBreak/>
        <w:t>A</w:t>
      </w:r>
      <w:r w:rsidR="002C532C" w:rsidRPr="008E3F16">
        <w:rPr>
          <w:rFonts w:ascii="Book Antiqua" w:hAnsi="Book Antiqua" w:cs="Times New Roman"/>
          <w:iCs/>
          <w:color w:val="000000" w:themeColor="text1"/>
          <w:lang w:val="en-GB"/>
        </w:rPr>
        <w:t xml:space="preserve">nti-GP2 </w:t>
      </w:r>
      <w:r w:rsidRPr="008E3F16">
        <w:rPr>
          <w:rFonts w:ascii="Book Antiqua" w:hAnsi="Book Antiqua" w:cs="Times New Roman"/>
          <w:iCs/>
          <w:color w:val="000000" w:themeColor="text1"/>
          <w:lang w:val="en-GB"/>
        </w:rPr>
        <w:t xml:space="preserve">tests </w:t>
      </w:r>
      <w:r w:rsidR="002C532C" w:rsidRPr="008E3F16">
        <w:rPr>
          <w:rFonts w:ascii="Book Antiqua" w:hAnsi="Book Antiqua" w:cs="Times New Roman"/>
          <w:iCs/>
          <w:color w:val="000000" w:themeColor="text1"/>
          <w:lang w:val="en-GB"/>
        </w:rPr>
        <w:t>demonstrate low sensitivity and high specificity</w:t>
      </w:r>
      <w:r w:rsidRPr="008E3F16">
        <w:rPr>
          <w:rFonts w:ascii="Book Antiqua" w:hAnsi="Book Antiqua" w:cs="Times New Roman"/>
          <w:iCs/>
          <w:color w:val="000000" w:themeColor="text1"/>
          <w:lang w:val="en-GB"/>
        </w:rPr>
        <w:t>. These results</w:t>
      </w:r>
      <w:r w:rsidR="002C532C" w:rsidRPr="008E3F16">
        <w:rPr>
          <w:rFonts w:ascii="Book Antiqua" w:hAnsi="Book Antiqua" w:cs="Times New Roman"/>
          <w:iCs/>
          <w:color w:val="000000" w:themeColor="text1"/>
          <w:lang w:val="en-GB"/>
        </w:rPr>
        <w:t xml:space="preserve"> indicat</w:t>
      </w:r>
      <w:r w:rsidRPr="008E3F16">
        <w:rPr>
          <w:rFonts w:ascii="Book Antiqua" w:hAnsi="Book Antiqua" w:cs="Times New Roman"/>
          <w:iCs/>
          <w:color w:val="000000" w:themeColor="text1"/>
          <w:lang w:val="en-GB"/>
        </w:rPr>
        <w:t>e</w:t>
      </w:r>
      <w:r w:rsidR="002C532C" w:rsidRPr="008E3F16">
        <w:rPr>
          <w:rFonts w:ascii="Book Antiqua" w:hAnsi="Book Antiqua" w:cs="Times New Roman"/>
          <w:iCs/>
          <w:color w:val="000000" w:themeColor="text1"/>
          <w:lang w:val="en-GB"/>
        </w:rPr>
        <w:t xml:space="preserve"> </w:t>
      </w:r>
      <w:r w:rsidR="00810390" w:rsidRPr="008E3F16">
        <w:rPr>
          <w:rFonts w:ascii="Book Antiqua" w:hAnsi="Book Antiqua" w:cs="Times New Roman"/>
          <w:iCs/>
          <w:color w:val="000000" w:themeColor="text1"/>
          <w:lang w:val="en-GB"/>
        </w:rPr>
        <w:t xml:space="preserve">that </w:t>
      </w:r>
      <w:r w:rsidRPr="008E3F16">
        <w:rPr>
          <w:rFonts w:ascii="Book Antiqua" w:hAnsi="Book Antiqua" w:cs="Times New Roman"/>
          <w:iCs/>
          <w:color w:val="000000" w:themeColor="text1"/>
          <w:lang w:val="en-GB"/>
        </w:rPr>
        <w:t>caution</w:t>
      </w:r>
      <w:r w:rsidR="002C532C" w:rsidRPr="008E3F16">
        <w:rPr>
          <w:rFonts w:ascii="Book Antiqua" w:hAnsi="Book Antiqua" w:cs="Times New Roman"/>
          <w:iCs/>
          <w:color w:val="000000" w:themeColor="text1"/>
          <w:lang w:val="en-GB"/>
        </w:rPr>
        <w:t xml:space="preserve"> </w:t>
      </w:r>
      <w:r w:rsidR="00810390" w:rsidRPr="008E3F16">
        <w:rPr>
          <w:rFonts w:ascii="Book Antiqua" w:hAnsi="Book Antiqua" w:cs="Times New Roman"/>
          <w:iCs/>
          <w:color w:val="000000" w:themeColor="text1"/>
          <w:lang w:val="en-GB"/>
        </w:rPr>
        <w:t xml:space="preserve">is required </w:t>
      </w:r>
      <w:r w:rsidR="002C532C" w:rsidRPr="008E3F16">
        <w:rPr>
          <w:rFonts w:ascii="Book Antiqua" w:hAnsi="Book Antiqua" w:cs="Times New Roman"/>
          <w:iCs/>
          <w:color w:val="000000" w:themeColor="text1"/>
          <w:lang w:val="en-GB"/>
        </w:rPr>
        <w:t xml:space="preserve">before relying on its diagnostic value. Additionally, the need for improving the methodology of </w:t>
      </w:r>
      <w:r w:rsidR="008E3F16" w:rsidRPr="008E3F16">
        <w:rPr>
          <w:rFonts w:ascii="Book Antiqua" w:hAnsi="Book Antiqua" w:cs="Times New Roman"/>
          <w:iCs/>
          <w:color w:val="000000" w:themeColor="text1"/>
          <w:lang w:val="en-GB"/>
        </w:rPr>
        <w:t xml:space="preserve">diagnostic test accuracy </w:t>
      </w:r>
      <w:r w:rsidR="002C532C" w:rsidRPr="008E3F16">
        <w:rPr>
          <w:rFonts w:ascii="Book Antiqua" w:hAnsi="Book Antiqua" w:cs="Times New Roman"/>
          <w:iCs/>
          <w:color w:val="000000" w:themeColor="text1"/>
          <w:lang w:val="en-GB"/>
        </w:rPr>
        <w:t>studies is evident.</w:t>
      </w:r>
    </w:p>
    <w:p w14:paraId="79EE72DC" w14:textId="77777777" w:rsidR="004208F1" w:rsidRPr="008E3F16" w:rsidRDefault="004208F1" w:rsidP="00C66188">
      <w:pPr>
        <w:adjustRightInd w:val="0"/>
        <w:snapToGrid w:val="0"/>
        <w:spacing w:line="360" w:lineRule="auto"/>
        <w:jc w:val="both"/>
        <w:rPr>
          <w:rFonts w:ascii="Book Antiqua" w:hAnsi="Book Antiqua" w:cs="Times New Roman"/>
          <w:b/>
          <w:color w:val="000000" w:themeColor="text1"/>
          <w:lang w:val="en-GB"/>
        </w:rPr>
      </w:pPr>
    </w:p>
    <w:p w14:paraId="4BB96B57" w14:textId="2F841A44" w:rsidR="00DF717E" w:rsidRPr="008E3F16" w:rsidRDefault="00DF717E" w:rsidP="00C66188">
      <w:pPr>
        <w:adjustRightInd w:val="0"/>
        <w:snapToGrid w:val="0"/>
        <w:spacing w:line="360" w:lineRule="auto"/>
        <w:jc w:val="both"/>
        <w:rPr>
          <w:rFonts w:ascii="Book Antiqua" w:hAnsi="Book Antiqua" w:cs="Times New Roman"/>
          <w:color w:val="000000" w:themeColor="text1"/>
          <w:lang w:val="en-GB"/>
        </w:rPr>
      </w:pPr>
      <w:r w:rsidRPr="008E3F16">
        <w:rPr>
          <w:rFonts w:ascii="Book Antiqua" w:hAnsi="Book Antiqua" w:cs="Times New Roman"/>
          <w:b/>
          <w:color w:val="000000" w:themeColor="text1"/>
          <w:lang w:val="en-GB"/>
        </w:rPr>
        <w:t>Key</w:t>
      </w:r>
      <w:r w:rsidR="00E50336" w:rsidRPr="008E3F16">
        <w:rPr>
          <w:rFonts w:ascii="Book Antiqua" w:hAnsi="Book Antiqua" w:cs="Times New Roman"/>
          <w:b/>
          <w:color w:val="000000" w:themeColor="text1"/>
          <w:lang w:val="en-GB"/>
        </w:rPr>
        <w:t xml:space="preserve"> </w:t>
      </w:r>
      <w:r w:rsidRPr="008E3F16">
        <w:rPr>
          <w:rFonts w:ascii="Book Antiqua" w:hAnsi="Book Antiqua" w:cs="Times New Roman"/>
          <w:b/>
          <w:color w:val="000000" w:themeColor="text1"/>
          <w:lang w:val="en-GB"/>
        </w:rPr>
        <w:t>words:</w:t>
      </w:r>
      <w:r w:rsidRPr="008E3F16">
        <w:rPr>
          <w:rFonts w:ascii="Book Antiqua" w:hAnsi="Book Antiqua" w:cs="Times New Roman"/>
          <w:color w:val="000000" w:themeColor="text1"/>
          <w:lang w:val="en-GB"/>
        </w:rPr>
        <w:t xml:space="preserve"> </w:t>
      </w:r>
      <w:r w:rsidR="00D05D07" w:rsidRPr="008E3F16">
        <w:rPr>
          <w:rFonts w:ascii="Book Antiqua" w:hAnsi="Book Antiqua" w:cs="Times New Roman"/>
          <w:color w:val="000000" w:themeColor="text1"/>
          <w:lang w:val="en-GB"/>
        </w:rPr>
        <w:t>I</w:t>
      </w:r>
      <w:r w:rsidR="002C532C" w:rsidRPr="008E3F16">
        <w:rPr>
          <w:rFonts w:ascii="Book Antiqua" w:hAnsi="Book Antiqua" w:cs="Times New Roman"/>
          <w:color w:val="000000" w:themeColor="text1"/>
          <w:lang w:val="en-GB"/>
        </w:rPr>
        <w:t xml:space="preserve">nflammatory </w:t>
      </w:r>
      <w:r w:rsidR="00990EFE" w:rsidRPr="008E3F16">
        <w:rPr>
          <w:rFonts w:ascii="Book Antiqua" w:hAnsi="Book Antiqua" w:cs="Times New Roman"/>
          <w:color w:val="000000" w:themeColor="text1"/>
          <w:lang w:val="en-GB"/>
        </w:rPr>
        <w:t>bowel d</w:t>
      </w:r>
      <w:r w:rsidR="002C532C" w:rsidRPr="008E3F16">
        <w:rPr>
          <w:rFonts w:ascii="Book Antiqua" w:hAnsi="Book Antiqua" w:cs="Times New Roman"/>
          <w:color w:val="000000" w:themeColor="text1"/>
          <w:lang w:val="en-GB"/>
        </w:rPr>
        <w:t xml:space="preserve">isease; </w:t>
      </w:r>
      <w:r w:rsidR="00D05D07" w:rsidRPr="008E3F16">
        <w:rPr>
          <w:rFonts w:ascii="Book Antiqua" w:hAnsi="Book Antiqua" w:cs="Times New Roman"/>
          <w:color w:val="000000" w:themeColor="text1"/>
          <w:lang w:val="en-GB"/>
        </w:rPr>
        <w:t>G</w:t>
      </w:r>
      <w:r w:rsidR="002C532C" w:rsidRPr="008E3F16">
        <w:rPr>
          <w:rFonts w:ascii="Book Antiqua" w:hAnsi="Book Antiqua" w:cs="Times New Roman"/>
          <w:color w:val="000000" w:themeColor="text1"/>
          <w:lang w:val="en-GB"/>
        </w:rPr>
        <w:t xml:space="preserve">astrointestinal </w:t>
      </w:r>
      <w:r w:rsidR="00990EFE" w:rsidRPr="008E3F16">
        <w:rPr>
          <w:rFonts w:ascii="Book Antiqua" w:hAnsi="Book Antiqua" w:cs="Times New Roman"/>
          <w:color w:val="000000" w:themeColor="text1"/>
          <w:lang w:val="en-GB"/>
        </w:rPr>
        <w:t>d</w:t>
      </w:r>
      <w:r w:rsidR="002C532C" w:rsidRPr="008E3F16">
        <w:rPr>
          <w:rFonts w:ascii="Book Antiqua" w:hAnsi="Book Antiqua" w:cs="Times New Roman"/>
          <w:color w:val="000000" w:themeColor="text1"/>
          <w:lang w:val="en-GB"/>
        </w:rPr>
        <w:t xml:space="preserve">isease; </w:t>
      </w:r>
      <w:r w:rsidR="00D05D07" w:rsidRPr="008E3F16">
        <w:rPr>
          <w:rFonts w:ascii="Book Antiqua" w:hAnsi="Book Antiqua" w:cs="Times New Roman"/>
          <w:color w:val="000000" w:themeColor="text1"/>
          <w:lang w:val="en-GB"/>
        </w:rPr>
        <w:t>E</w:t>
      </w:r>
      <w:r w:rsidR="002C532C" w:rsidRPr="008E3F16">
        <w:rPr>
          <w:rFonts w:ascii="Book Antiqua" w:hAnsi="Book Antiqua" w:cs="Times New Roman"/>
          <w:color w:val="000000" w:themeColor="text1"/>
          <w:lang w:val="en-GB"/>
        </w:rPr>
        <w:t xml:space="preserve">vidence-based </w:t>
      </w:r>
      <w:r w:rsidR="00990EFE" w:rsidRPr="008E3F16">
        <w:rPr>
          <w:rFonts w:ascii="Book Antiqua" w:hAnsi="Book Antiqua" w:cs="Times New Roman"/>
          <w:color w:val="000000" w:themeColor="text1"/>
          <w:lang w:val="en-GB"/>
        </w:rPr>
        <w:t>d</w:t>
      </w:r>
      <w:r w:rsidR="002C532C" w:rsidRPr="008E3F16">
        <w:rPr>
          <w:rFonts w:ascii="Book Antiqua" w:hAnsi="Book Antiqua" w:cs="Times New Roman"/>
          <w:color w:val="000000" w:themeColor="text1"/>
          <w:lang w:val="en-GB"/>
        </w:rPr>
        <w:t xml:space="preserve">iagnosis; </w:t>
      </w:r>
      <w:r w:rsidR="00D05D07" w:rsidRPr="008E3F16">
        <w:rPr>
          <w:rFonts w:ascii="Book Antiqua" w:hAnsi="Book Antiqua" w:cs="Times New Roman"/>
          <w:color w:val="000000" w:themeColor="text1"/>
          <w:lang w:val="en-GB"/>
        </w:rPr>
        <w:t>S</w:t>
      </w:r>
      <w:r w:rsidR="002C532C" w:rsidRPr="008E3F16">
        <w:rPr>
          <w:rFonts w:ascii="Book Antiqua" w:hAnsi="Book Antiqua" w:cs="Times New Roman"/>
          <w:color w:val="000000" w:themeColor="text1"/>
          <w:lang w:val="en-GB"/>
        </w:rPr>
        <w:t xml:space="preserve">ensitivity; </w:t>
      </w:r>
      <w:r w:rsidR="00D05D07" w:rsidRPr="008E3F16">
        <w:rPr>
          <w:rFonts w:ascii="Book Antiqua" w:hAnsi="Book Antiqua" w:cs="Times New Roman"/>
          <w:color w:val="000000" w:themeColor="text1"/>
          <w:lang w:val="en-GB"/>
        </w:rPr>
        <w:t>S</w:t>
      </w:r>
      <w:r w:rsidR="002C532C" w:rsidRPr="008E3F16">
        <w:rPr>
          <w:rFonts w:ascii="Book Antiqua" w:hAnsi="Book Antiqua" w:cs="Times New Roman"/>
          <w:color w:val="000000" w:themeColor="text1"/>
          <w:lang w:val="en-GB"/>
        </w:rPr>
        <w:t xml:space="preserve">pecificity; </w:t>
      </w:r>
      <w:r w:rsidR="00D05D07" w:rsidRPr="008E3F16">
        <w:rPr>
          <w:rFonts w:ascii="Book Antiqua" w:hAnsi="Book Antiqua" w:cs="Times New Roman"/>
          <w:color w:val="000000" w:themeColor="text1"/>
          <w:lang w:val="en-GB"/>
        </w:rPr>
        <w:t>U</w:t>
      </w:r>
      <w:r w:rsidR="002C532C" w:rsidRPr="008E3F16">
        <w:rPr>
          <w:rFonts w:ascii="Book Antiqua" w:hAnsi="Book Antiqua" w:cs="Times New Roman"/>
          <w:color w:val="000000" w:themeColor="text1"/>
          <w:lang w:val="en-GB"/>
        </w:rPr>
        <w:t xml:space="preserve">lcerative </w:t>
      </w:r>
      <w:r w:rsidR="00990EFE" w:rsidRPr="008E3F16">
        <w:rPr>
          <w:rFonts w:ascii="Book Antiqua" w:hAnsi="Book Antiqua" w:cs="Times New Roman"/>
          <w:color w:val="000000" w:themeColor="text1"/>
          <w:lang w:val="en-GB"/>
        </w:rPr>
        <w:t>c</w:t>
      </w:r>
      <w:r w:rsidR="002C532C" w:rsidRPr="008E3F16">
        <w:rPr>
          <w:rFonts w:ascii="Book Antiqua" w:hAnsi="Book Antiqua" w:cs="Times New Roman"/>
          <w:color w:val="000000" w:themeColor="text1"/>
          <w:lang w:val="en-GB"/>
        </w:rPr>
        <w:t xml:space="preserve">olitis; </w:t>
      </w:r>
      <w:r w:rsidR="00D05D07" w:rsidRPr="008E3F16">
        <w:rPr>
          <w:rFonts w:ascii="Book Antiqua" w:hAnsi="Book Antiqua" w:cs="Times New Roman"/>
          <w:color w:val="000000" w:themeColor="text1"/>
          <w:lang w:val="en-GB"/>
        </w:rPr>
        <w:t>C</w:t>
      </w:r>
      <w:r w:rsidR="002C532C" w:rsidRPr="008E3F16">
        <w:rPr>
          <w:rFonts w:ascii="Book Antiqua" w:hAnsi="Book Antiqua" w:cs="Times New Roman"/>
          <w:color w:val="000000" w:themeColor="text1"/>
          <w:lang w:val="en-GB"/>
        </w:rPr>
        <w:t>onflicts of</w:t>
      </w:r>
      <w:r w:rsidR="00990EFE" w:rsidRPr="008E3F16">
        <w:rPr>
          <w:rFonts w:ascii="Book Antiqua" w:hAnsi="Book Antiqua" w:cs="Times New Roman"/>
          <w:color w:val="000000" w:themeColor="text1"/>
          <w:lang w:val="en-GB"/>
        </w:rPr>
        <w:t xml:space="preserve"> i</w:t>
      </w:r>
      <w:r w:rsidR="002C532C" w:rsidRPr="008E3F16">
        <w:rPr>
          <w:rFonts w:ascii="Book Antiqua" w:hAnsi="Book Antiqua" w:cs="Times New Roman"/>
          <w:color w:val="000000" w:themeColor="text1"/>
          <w:lang w:val="en-GB"/>
        </w:rPr>
        <w:t xml:space="preserve">nterest; </w:t>
      </w:r>
      <w:r w:rsidR="00D05D07" w:rsidRPr="008E3F16">
        <w:rPr>
          <w:rFonts w:ascii="Book Antiqua" w:hAnsi="Book Antiqua" w:cs="Times New Roman"/>
          <w:color w:val="000000" w:themeColor="text1"/>
          <w:lang w:val="en-GB"/>
        </w:rPr>
        <w:t>M</w:t>
      </w:r>
      <w:r w:rsidR="002C532C" w:rsidRPr="008E3F16">
        <w:rPr>
          <w:rFonts w:ascii="Book Antiqua" w:hAnsi="Book Antiqua" w:cs="Times New Roman"/>
          <w:color w:val="000000" w:themeColor="text1"/>
          <w:lang w:val="en-GB"/>
        </w:rPr>
        <w:t>eta-regression</w:t>
      </w:r>
    </w:p>
    <w:p w14:paraId="79F081A2" w14:textId="1AAA2960" w:rsidR="00324F8A" w:rsidRPr="008E3F16" w:rsidRDefault="00324F8A" w:rsidP="00C66188">
      <w:pPr>
        <w:adjustRightInd w:val="0"/>
        <w:snapToGrid w:val="0"/>
        <w:spacing w:line="360" w:lineRule="auto"/>
        <w:jc w:val="both"/>
        <w:rPr>
          <w:rFonts w:ascii="Book Antiqua" w:hAnsi="Book Antiqua" w:cs="Times New Roman"/>
          <w:color w:val="000000" w:themeColor="text1"/>
          <w:lang w:val="en-GB"/>
        </w:rPr>
      </w:pPr>
    </w:p>
    <w:p w14:paraId="0FB1BBBC" w14:textId="0B0A59DB" w:rsidR="00324F8A" w:rsidRPr="008E3F16" w:rsidRDefault="00324F8A" w:rsidP="00C66188">
      <w:pPr>
        <w:pStyle w:val="1"/>
        <w:adjustRightInd w:val="0"/>
        <w:snapToGrid w:val="0"/>
        <w:spacing w:before="0" w:line="360" w:lineRule="auto"/>
        <w:jc w:val="both"/>
        <w:rPr>
          <w:rFonts w:ascii="Book Antiqua" w:hAnsi="Book Antiqua" w:cs="Times New Roman"/>
          <w:color w:val="000000" w:themeColor="text1"/>
          <w:sz w:val="24"/>
          <w:szCs w:val="24"/>
          <w:vertAlign w:val="superscript"/>
          <w:lang w:val="en-GB"/>
        </w:rPr>
      </w:pPr>
      <w:r w:rsidRPr="008E3F16">
        <w:rPr>
          <w:rFonts w:ascii="Book Antiqua" w:hAnsi="Book Antiqua" w:cs="Times New Roman"/>
          <w:color w:val="000000" w:themeColor="text1"/>
          <w:sz w:val="24"/>
          <w:szCs w:val="24"/>
          <w:lang w:val="en-GB"/>
        </w:rPr>
        <w:t xml:space="preserve">Gkiouras K, Grammatikopoulou MG, Theodoridis X, Pagkalidou E, </w:t>
      </w:r>
      <w:r w:rsidRPr="008E3F16">
        <w:rPr>
          <w:rFonts w:ascii="Book Antiqua" w:hAnsi="Book Antiqua" w:cs="Times New Roman"/>
          <w:color w:val="000000" w:themeColor="text1"/>
          <w:sz w:val="24"/>
          <w:szCs w:val="24"/>
        </w:rPr>
        <w:t xml:space="preserve">Chatzikyriakou E, </w:t>
      </w:r>
      <w:r w:rsidRPr="008E3F16">
        <w:rPr>
          <w:rFonts w:ascii="Book Antiqua" w:hAnsi="Book Antiqua" w:cs="Times New Roman"/>
          <w:color w:val="000000" w:themeColor="text1"/>
          <w:sz w:val="24"/>
          <w:szCs w:val="24"/>
          <w:lang w:val="en-GB"/>
        </w:rPr>
        <w:t>Apostolidou A</w:t>
      </w:r>
      <w:r w:rsidRPr="008E3F16">
        <w:rPr>
          <w:rFonts w:ascii="Book Antiqua" w:hAnsi="Book Antiqua" w:cs="Times New Roman"/>
          <w:color w:val="000000" w:themeColor="text1"/>
          <w:sz w:val="24"/>
          <w:szCs w:val="24"/>
        </w:rPr>
        <w:t>G</w:t>
      </w:r>
      <w:r w:rsidRPr="008E3F16">
        <w:rPr>
          <w:rFonts w:ascii="Book Antiqua" w:hAnsi="Book Antiqua" w:cs="Times New Roman"/>
          <w:color w:val="000000" w:themeColor="text1"/>
          <w:sz w:val="24"/>
          <w:szCs w:val="24"/>
          <w:lang w:val="en-GB"/>
        </w:rPr>
        <w:t xml:space="preserve">, Rigopoulou EI, Sakkas LI, Bogdanos DP. </w:t>
      </w:r>
      <w:r w:rsidR="0009695E" w:rsidRPr="008E3F16">
        <w:rPr>
          <w:rFonts w:ascii="Book Antiqua" w:hAnsi="Book Antiqua" w:cs="Times New Roman"/>
          <w:color w:val="000000" w:themeColor="text1"/>
          <w:sz w:val="24"/>
          <w:szCs w:val="24"/>
          <w:lang w:val="en-GB"/>
        </w:rPr>
        <w:t>Diagnostic and clinical significance of antigen-specific pancreatic antibodies in inflammatory bowel diseases: A meta-analysis</w:t>
      </w:r>
      <w:r w:rsidRPr="008E3F16">
        <w:rPr>
          <w:rFonts w:ascii="Book Antiqua" w:hAnsi="Book Antiqua" w:cs="Times New Roman"/>
          <w:color w:val="000000" w:themeColor="text1"/>
          <w:sz w:val="24"/>
          <w:szCs w:val="24"/>
          <w:lang w:val="en-GB"/>
        </w:rPr>
        <w:t xml:space="preserve">. </w:t>
      </w:r>
      <w:r w:rsidRPr="008E3F16">
        <w:rPr>
          <w:rFonts w:ascii="Book Antiqua" w:hAnsi="Book Antiqua" w:cs="Times New Roman"/>
          <w:i/>
          <w:iCs/>
          <w:color w:val="000000" w:themeColor="text1"/>
          <w:sz w:val="24"/>
          <w:szCs w:val="24"/>
          <w:lang w:val="en-GB"/>
        </w:rPr>
        <w:t xml:space="preserve">World J Gastroenterol </w:t>
      </w:r>
      <w:r w:rsidRPr="008E3F16">
        <w:rPr>
          <w:rFonts w:ascii="Book Antiqua" w:hAnsi="Book Antiqua" w:cs="Times New Roman"/>
          <w:color w:val="000000" w:themeColor="text1"/>
          <w:sz w:val="24"/>
          <w:szCs w:val="24"/>
          <w:lang w:val="en-GB"/>
        </w:rPr>
        <w:t>2019, In press</w:t>
      </w:r>
    </w:p>
    <w:p w14:paraId="2357C78B" w14:textId="77777777" w:rsidR="00E50336" w:rsidRPr="008E3F16" w:rsidRDefault="00E50336" w:rsidP="00C66188">
      <w:pPr>
        <w:adjustRightInd w:val="0"/>
        <w:snapToGrid w:val="0"/>
        <w:spacing w:line="360" w:lineRule="auto"/>
        <w:jc w:val="both"/>
        <w:rPr>
          <w:rFonts w:ascii="Book Antiqua" w:hAnsi="Book Antiqua" w:cs="Times New Roman"/>
          <w:color w:val="000000" w:themeColor="text1"/>
          <w:lang w:val="en-GB"/>
        </w:rPr>
      </w:pPr>
    </w:p>
    <w:p w14:paraId="798ED84A" w14:textId="66956C5C" w:rsidR="00E50336" w:rsidRPr="008E3F16" w:rsidRDefault="00E50336" w:rsidP="00C66188">
      <w:pPr>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b/>
          <w:bCs/>
          <w:color w:val="000000" w:themeColor="text1"/>
          <w:lang w:val="en-GB"/>
        </w:rPr>
        <w:t>Core tip:</w:t>
      </w:r>
      <w:r w:rsidR="004208F1" w:rsidRPr="008E3F16">
        <w:rPr>
          <w:rFonts w:ascii="Book Antiqua" w:hAnsi="Book Antiqua" w:cs="Times New Roman"/>
          <w:color w:val="000000" w:themeColor="text1"/>
          <w:lang w:val="en-GB"/>
        </w:rPr>
        <w:t xml:space="preserve"> The majority of individual studies assessing </w:t>
      </w:r>
      <w:r w:rsidR="00CB6C44" w:rsidRPr="008E3F16">
        <w:rPr>
          <w:rFonts w:ascii="Book Antiqua" w:hAnsi="Book Antiqua" w:cs="Times New Roman"/>
          <w:color w:val="000000" w:themeColor="text1"/>
          <w:lang w:val="en-GB"/>
        </w:rPr>
        <w:t xml:space="preserve">the diagnostic accuracy of autoantibodies for </w:t>
      </w:r>
      <w:r w:rsidR="004208F1" w:rsidRPr="008E3F16">
        <w:rPr>
          <w:rFonts w:ascii="Book Antiqua" w:hAnsi="Book Antiqua" w:cs="Times New Roman"/>
          <w:color w:val="000000" w:themeColor="text1"/>
          <w:lang w:val="en-GB"/>
        </w:rPr>
        <w:t>anti-</w:t>
      </w:r>
      <w:r w:rsidR="00CB6C44" w:rsidRPr="008E3F16">
        <w:rPr>
          <w:rFonts w:ascii="Book Antiqua" w:hAnsi="Book Antiqua" w:cs="Times New Roman"/>
          <w:color w:val="000000" w:themeColor="text1"/>
          <w:lang w:val="en-GB"/>
        </w:rPr>
        <w:t>glycoprotein 2 (anti-</w:t>
      </w:r>
      <w:r w:rsidR="004208F1" w:rsidRPr="008E3F16">
        <w:rPr>
          <w:rFonts w:ascii="Book Antiqua" w:hAnsi="Book Antiqua" w:cs="Times New Roman"/>
          <w:color w:val="000000" w:themeColor="text1"/>
          <w:lang w:val="en-GB"/>
        </w:rPr>
        <w:t>GP2</w:t>
      </w:r>
      <w:r w:rsidR="00CB6C44" w:rsidRPr="008E3F16">
        <w:rPr>
          <w:rFonts w:ascii="Book Antiqua" w:hAnsi="Book Antiqua" w:cs="Times New Roman"/>
          <w:color w:val="000000" w:themeColor="text1"/>
          <w:lang w:val="en-GB"/>
        </w:rPr>
        <w:t>)</w:t>
      </w:r>
      <w:r w:rsidR="004208F1" w:rsidRPr="008E3F16">
        <w:rPr>
          <w:rFonts w:ascii="Book Antiqua" w:hAnsi="Book Antiqua" w:cs="Times New Roman"/>
          <w:color w:val="000000" w:themeColor="text1"/>
          <w:lang w:val="en-GB"/>
        </w:rPr>
        <w:t xml:space="preserve"> for C</w:t>
      </w:r>
      <w:r w:rsidR="00CB6C44" w:rsidRPr="008E3F16">
        <w:rPr>
          <w:rFonts w:ascii="Book Antiqua" w:hAnsi="Book Antiqua" w:cs="Times New Roman"/>
          <w:color w:val="000000" w:themeColor="text1"/>
          <w:lang w:val="en-GB"/>
        </w:rPr>
        <w:t>roh</w:t>
      </w:r>
      <w:r w:rsidR="00DE4176" w:rsidRPr="008E3F16">
        <w:rPr>
          <w:rFonts w:ascii="Book Antiqua" w:hAnsi="Book Antiqua" w:cs="Times New Roman"/>
          <w:color w:val="000000" w:themeColor="text1"/>
          <w:lang w:val="en-US"/>
        </w:rPr>
        <w:t>n</w:t>
      </w:r>
      <w:r w:rsidR="00CB6C44" w:rsidRPr="008E3F16">
        <w:rPr>
          <w:rFonts w:ascii="Book Antiqua" w:hAnsi="Book Antiqua" w:cs="Times New Roman"/>
          <w:color w:val="000000" w:themeColor="text1"/>
          <w:lang w:val="en-GB"/>
        </w:rPr>
        <w:t xml:space="preserve">’s </w:t>
      </w:r>
      <w:r w:rsidR="00B001EF" w:rsidRPr="008E3F16">
        <w:rPr>
          <w:rFonts w:ascii="Book Antiqua" w:hAnsi="Book Antiqua" w:cs="Times New Roman"/>
          <w:color w:val="000000" w:themeColor="text1"/>
          <w:lang w:val="en-GB"/>
        </w:rPr>
        <w:t>d</w:t>
      </w:r>
      <w:r w:rsidR="00CB6C44" w:rsidRPr="008E3F16">
        <w:rPr>
          <w:rFonts w:ascii="Book Antiqua" w:hAnsi="Book Antiqua" w:cs="Times New Roman"/>
          <w:color w:val="000000" w:themeColor="text1"/>
          <w:lang w:val="en-GB"/>
        </w:rPr>
        <w:t>isease (CD)</w:t>
      </w:r>
      <w:r w:rsidR="004208F1" w:rsidRPr="008E3F16">
        <w:rPr>
          <w:rFonts w:ascii="Book Antiqua" w:hAnsi="Book Antiqua" w:cs="Times New Roman"/>
          <w:color w:val="000000" w:themeColor="text1"/>
          <w:lang w:val="en-GB"/>
        </w:rPr>
        <w:t xml:space="preserve"> </w:t>
      </w:r>
      <w:r w:rsidR="00955B63" w:rsidRPr="008E3F16">
        <w:rPr>
          <w:rFonts w:ascii="Book Antiqua" w:hAnsi="Book Antiqua" w:cs="Times New Roman"/>
          <w:color w:val="000000" w:themeColor="text1"/>
          <w:lang w:val="en-GB"/>
        </w:rPr>
        <w:t xml:space="preserve">diagnosis </w:t>
      </w:r>
      <w:r w:rsidR="004208F1" w:rsidRPr="008E3F16">
        <w:rPr>
          <w:rFonts w:ascii="Book Antiqua" w:hAnsi="Book Antiqua" w:cs="Times New Roman"/>
          <w:color w:val="000000" w:themeColor="text1"/>
          <w:lang w:val="en-GB"/>
        </w:rPr>
        <w:t xml:space="preserve">either include asymptomatic participants, or patients with symptoms not akin to CD. Most studies carry industry-related conflicts-of-interest, </w:t>
      </w:r>
      <w:r w:rsidR="00D05D07" w:rsidRPr="008E3F16">
        <w:rPr>
          <w:rFonts w:ascii="Book Antiqua" w:hAnsi="Book Antiqua" w:cs="Times New Roman"/>
          <w:color w:val="000000" w:themeColor="text1"/>
          <w:lang w:val="en-GB"/>
        </w:rPr>
        <w:t xml:space="preserve">employing non-blinded evaluation of their </w:t>
      </w:r>
      <w:r w:rsidR="00DE4176" w:rsidRPr="008E3F16">
        <w:rPr>
          <w:rFonts w:ascii="Book Antiqua" w:hAnsi="Book Antiqua" w:cs="Times New Roman"/>
          <w:color w:val="000000" w:themeColor="text1"/>
          <w:lang w:val="en-US"/>
        </w:rPr>
        <w:t>a</w:t>
      </w:r>
      <w:r w:rsidR="00D05D07" w:rsidRPr="008E3F16">
        <w:rPr>
          <w:rFonts w:ascii="Book Antiqua" w:hAnsi="Book Antiqua" w:cs="Times New Roman"/>
          <w:color w:val="000000" w:themeColor="text1"/>
          <w:lang w:val="en-GB"/>
        </w:rPr>
        <w:t xml:space="preserve">ssays </w:t>
      </w:r>
      <w:r w:rsidR="004208F1" w:rsidRPr="008E3F16">
        <w:rPr>
          <w:rFonts w:ascii="Book Antiqua" w:hAnsi="Book Antiqua" w:cs="Times New Roman"/>
          <w:color w:val="000000" w:themeColor="text1"/>
          <w:lang w:val="en-GB"/>
        </w:rPr>
        <w:t>and CD diagnosis preced</w:t>
      </w:r>
      <w:r w:rsidR="00D05D07" w:rsidRPr="008E3F16">
        <w:rPr>
          <w:rFonts w:ascii="Book Antiqua" w:hAnsi="Book Antiqua" w:cs="Times New Roman"/>
          <w:color w:val="000000" w:themeColor="text1"/>
          <w:lang w:val="en-GB"/>
        </w:rPr>
        <w:t>ing</w:t>
      </w:r>
      <w:r w:rsidR="004208F1" w:rsidRPr="008E3F16">
        <w:rPr>
          <w:rFonts w:ascii="Book Antiqua" w:hAnsi="Book Antiqua" w:cs="Times New Roman"/>
          <w:color w:val="000000" w:themeColor="text1"/>
          <w:lang w:val="en-GB"/>
        </w:rPr>
        <w:t xml:space="preserve"> anti-GP2 </w:t>
      </w:r>
      <w:r w:rsidR="00D05D07" w:rsidRPr="008E3F16">
        <w:rPr>
          <w:rFonts w:ascii="Book Antiqua" w:hAnsi="Book Antiqua" w:cs="Times New Roman"/>
          <w:color w:val="000000" w:themeColor="text1"/>
          <w:lang w:val="en-GB"/>
        </w:rPr>
        <w:t>testing</w:t>
      </w:r>
      <w:r w:rsidR="004208F1" w:rsidRPr="008E3F16">
        <w:rPr>
          <w:rFonts w:ascii="Book Antiqua" w:hAnsi="Book Antiqua" w:cs="Times New Roman"/>
          <w:color w:val="000000" w:themeColor="text1"/>
          <w:lang w:val="en-GB"/>
        </w:rPr>
        <w:t>. The pooled analyses performed herein using only symptomatic patients as controls</w:t>
      </w:r>
      <w:r w:rsidR="00810390" w:rsidRPr="008E3F16">
        <w:rPr>
          <w:rFonts w:ascii="Book Antiqua" w:hAnsi="Book Antiqua" w:cs="Times New Roman"/>
          <w:color w:val="000000" w:themeColor="text1"/>
          <w:lang w:val="en-GB"/>
        </w:rPr>
        <w:t>,</w:t>
      </w:r>
      <w:r w:rsidR="004208F1" w:rsidRPr="008E3F16">
        <w:rPr>
          <w:rFonts w:ascii="Book Antiqua" w:hAnsi="Book Antiqua" w:cs="Times New Roman"/>
          <w:color w:val="000000" w:themeColor="text1"/>
          <w:lang w:val="en-GB"/>
        </w:rPr>
        <w:t xml:space="preserve"> revealed high heterogeneity and low diagnostic accuracy of the anti-GP2, </w:t>
      </w:r>
      <w:r w:rsidR="00810390" w:rsidRPr="008E3F16">
        <w:rPr>
          <w:rFonts w:ascii="Book Antiqua" w:hAnsi="Book Antiqua" w:cs="Times New Roman"/>
          <w:color w:val="000000" w:themeColor="text1"/>
          <w:lang w:val="en-GB"/>
        </w:rPr>
        <w:t>demonstrating</w:t>
      </w:r>
      <w:r w:rsidR="004208F1" w:rsidRPr="008E3F16">
        <w:rPr>
          <w:rFonts w:ascii="Book Antiqua" w:hAnsi="Book Antiqua" w:cs="Times New Roman"/>
          <w:color w:val="000000" w:themeColor="text1"/>
          <w:lang w:val="en-GB"/>
        </w:rPr>
        <w:t xml:space="preserve"> low sensitivity and high specificity. Based on the pooled sensitivity and specificity of </w:t>
      </w:r>
      <w:r w:rsidR="008B1981" w:rsidRPr="008E3F16">
        <w:rPr>
          <w:rFonts w:ascii="Book Antiqua" w:hAnsi="Book Antiqua" w:cs="Times New Roman"/>
          <w:color w:val="000000" w:themeColor="text1"/>
          <w:lang w:val="en-GB"/>
        </w:rPr>
        <w:t xml:space="preserve">the </w:t>
      </w:r>
      <w:r w:rsidR="004208F1" w:rsidRPr="008E3F16">
        <w:rPr>
          <w:rFonts w:ascii="Book Antiqua" w:hAnsi="Book Antiqua" w:cs="Times New Roman"/>
          <w:color w:val="000000" w:themeColor="text1"/>
          <w:lang w:val="en-GB"/>
        </w:rPr>
        <w:t>anti-GP2 for CD</w:t>
      </w:r>
      <w:r w:rsidR="008B1981" w:rsidRPr="008E3F16">
        <w:rPr>
          <w:rFonts w:ascii="Book Antiqua" w:hAnsi="Book Antiqua" w:cs="Times New Roman"/>
          <w:color w:val="000000" w:themeColor="text1"/>
          <w:lang w:val="en-GB"/>
        </w:rPr>
        <w:t xml:space="preserve"> diagnosis</w:t>
      </w:r>
      <w:r w:rsidR="004208F1" w:rsidRPr="008E3F16">
        <w:rPr>
          <w:rFonts w:ascii="Book Antiqua" w:hAnsi="Book Antiqua" w:cs="Times New Roman"/>
          <w:color w:val="000000" w:themeColor="text1"/>
          <w:lang w:val="en-GB"/>
        </w:rPr>
        <w:t xml:space="preserve">, </w:t>
      </w:r>
      <w:r w:rsidR="008B1981" w:rsidRPr="008E3F16">
        <w:rPr>
          <w:rFonts w:ascii="Book Antiqua" w:hAnsi="Book Antiqua" w:cs="Times New Roman"/>
          <w:color w:val="000000" w:themeColor="text1"/>
          <w:lang w:val="en-GB"/>
        </w:rPr>
        <w:t>they</w:t>
      </w:r>
      <w:r w:rsidR="004208F1" w:rsidRPr="008E3F16">
        <w:rPr>
          <w:rFonts w:ascii="Book Antiqua" w:hAnsi="Book Antiqua" w:cs="Times New Roman"/>
          <w:color w:val="000000" w:themeColor="text1"/>
          <w:lang w:val="en-GB"/>
        </w:rPr>
        <w:t xml:space="preserve"> do not appear to attain the characteristics to be used </w:t>
      </w:r>
      <w:r w:rsidR="004208F1" w:rsidRPr="008E3F16">
        <w:rPr>
          <w:rFonts w:ascii="Book Antiqua" w:hAnsi="Book Antiqua" w:cs="Times New Roman"/>
          <w:i/>
          <w:iCs/>
          <w:color w:val="000000" w:themeColor="text1"/>
          <w:lang w:val="en-GB"/>
        </w:rPr>
        <w:t>per se</w:t>
      </w:r>
      <w:r w:rsidR="004208F1" w:rsidRPr="008E3F16">
        <w:rPr>
          <w:rFonts w:ascii="Book Antiqua" w:hAnsi="Book Antiqua" w:cs="Times New Roman"/>
          <w:color w:val="000000" w:themeColor="text1"/>
          <w:lang w:val="en-GB"/>
        </w:rPr>
        <w:t xml:space="preserve"> as a proper non-invasive diagnostic tool.</w:t>
      </w:r>
    </w:p>
    <w:p w14:paraId="443200CE" w14:textId="77777777" w:rsidR="00E50336" w:rsidRPr="008E3F16" w:rsidRDefault="00E50336" w:rsidP="00C66188">
      <w:pPr>
        <w:adjustRightInd w:val="0"/>
        <w:snapToGrid w:val="0"/>
        <w:spacing w:line="360" w:lineRule="auto"/>
        <w:jc w:val="both"/>
        <w:rPr>
          <w:rFonts w:ascii="Book Antiqua" w:hAnsi="Book Antiqua" w:cs="Times New Roman"/>
          <w:color w:val="000000" w:themeColor="text1"/>
          <w:lang w:val="en-GB"/>
        </w:rPr>
      </w:pPr>
    </w:p>
    <w:p w14:paraId="4D55BFF1" w14:textId="77777777" w:rsidR="008702A6" w:rsidRPr="008E3F16" w:rsidRDefault="008702A6" w:rsidP="00C66188">
      <w:pPr>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br w:type="page"/>
      </w:r>
    </w:p>
    <w:p w14:paraId="6DB169F9" w14:textId="77777777" w:rsidR="00C91F32" w:rsidRPr="008E3F16" w:rsidRDefault="00C91F32" w:rsidP="00C66188">
      <w:pPr>
        <w:adjustRightInd w:val="0"/>
        <w:snapToGrid w:val="0"/>
        <w:spacing w:line="360" w:lineRule="auto"/>
        <w:jc w:val="both"/>
        <w:rPr>
          <w:rFonts w:ascii="Book Antiqua" w:eastAsia="Times New Roman" w:hAnsi="Book Antiqua" w:cs="Times New Roman"/>
          <w:b/>
          <w:bCs/>
          <w:color w:val="000000" w:themeColor="text1"/>
          <w:u w:val="single"/>
          <w:shd w:val="clear" w:color="auto" w:fill="FFFFFF"/>
          <w:lang w:val="en-US" w:eastAsia="el-GR"/>
        </w:rPr>
      </w:pPr>
      <w:r w:rsidRPr="008E3F16">
        <w:rPr>
          <w:rFonts w:ascii="Book Antiqua" w:eastAsia="Times New Roman" w:hAnsi="Book Antiqua" w:cs="Times New Roman"/>
          <w:b/>
          <w:bCs/>
          <w:color w:val="000000" w:themeColor="text1"/>
          <w:u w:val="single"/>
          <w:shd w:val="clear" w:color="auto" w:fill="FFFFFF"/>
          <w:lang w:val="en-US" w:eastAsia="el-GR"/>
        </w:rPr>
        <w:lastRenderedPageBreak/>
        <w:t>INTRODUCTION</w:t>
      </w:r>
    </w:p>
    <w:p w14:paraId="4A3B651A" w14:textId="61A6C005" w:rsidR="004208F1" w:rsidRPr="008E3F16" w:rsidRDefault="004208F1" w:rsidP="00C66188">
      <w:pPr>
        <w:adjustRightInd w:val="0"/>
        <w:snapToGrid w:val="0"/>
        <w:spacing w:line="360" w:lineRule="auto"/>
        <w:jc w:val="both"/>
        <w:rPr>
          <w:rFonts w:ascii="Book Antiqua" w:eastAsia="Times New Roman" w:hAnsi="Book Antiqua" w:cs="Times New Roman"/>
          <w:color w:val="000000" w:themeColor="text1"/>
          <w:shd w:val="clear" w:color="auto" w:fill="FFFFFF"/>
          <w:lang w:val="en-US" w:eastAsia="el-GR"/>
        </w:rPr>
      </w:pPr>
      <w:r w:rsidRPr="008E3F16">
        <w:rPr>
          <w:rFonts w:ascii="Book Antiqua" w:eastAsia="Times New Roman" w:hAnsi="Book Antiqua" w:cs="Times New Roman"/>
          <w:color w:val="000000" w:themeColor="text1"/>
          <w:shd w:val="clear" w:color="auto" w:fill="FFFFFF"/>
          <w:lang w:val="en-US" w:eastAsia="el-GR"/>
        </w:rPr>
        <w:t>Pancreatic secretory granule membrane glycoprotein 2 (GP2) consists of a 78</w:t>
      </w:r>
      <w:r w:rsidRPr="008E3F16">
        <w:rPr>
          <w:rFonts w:ascii="MS Gothic" w:eastAsia="MS Gothic" w:hAnsi="MS Gothic" w:cs="MS Gothic" w:hint="eastAsia"/>
          <w:color w:val="000000" w:themeColor="text1"/>
          <w:shd w:val="clear" w:color="auto" w:fill="FFFFFF"/>
          <w:lang w:val="en-US" w:eastAsia="el-GR"/>
        </w:rPr>
        <w:t>  </w:t>
      </w:r>
      <w:r w:rsidRPr="008E3F16">
        <w:rPr>
          <w:rFonts w:ascii="Book Antiqua" w:eastAsia="Times New Roman" w:hAnsi="Book Antiqua" w:cs="Times New Roman"/>
          <w:color w:val="000000" w:themeColor="text1"/>
          <w:shd w:val="clear" w:color="auto" w:fill="FFFFFF"/>
          <w:lang w:val="en-US" w:eastAsia="el-GR"/>
        </w:rPr>
        <w:t>kDa glycoprotein</w:t>
      </w:r>
      <w:r w:rsidRPr="008E3F16">
        <w:rPr>
          <w:rFonts w:ascii="Book Antiqua" w:eastAsia="Times New Roman" w:hAnsi="Book Antiqua" w:cs="Times New Roman"/>
          <w:color w:val="000000" w:themeColor="text1"/>
          <w:shd w:val="clear" w:color="auto" w:fill="FFFFFF"/>
          <w:lang w:val="en-US" w:eastAsia="el-GR"/>
        </w:rPr>
        <w:fldChar w:fldCharType="begin" w:fldLock="1"/>
      </w:r>
      <w:r w:rsidR="000D491E" w:rsidRPr="008E3F16">
        <w:rPr>
          <w:rFonts w:ascii="Book Antiqua" w:eastAsia="Times New Roman" w:hAnsi="Book Antiqua" w:cs="Times New Roman"/>
          <w:color w:val="000000" w:themeColor="text1"/>
          <w:shd w:val="clear" w:color="auto" w:fill="FFFFFF"/>
          <w:lang w:val="en-US" w:eastAsia="el-GR"/>
        </w:rPr>
        <w:instrText>ADDIN CSL_CITATION {"citationItems":[{"id":"ITEM-1","itemData":{"ISSN":"0021-9258","PMID":"7503984","abstract":"The pancreatic zymogen granule membrane protein GP-2 was introduced into cells of exocrine or endocrine origin by transfection of its cDNA in order to investigate the mechanisms by which proteins are specifically incorporated into the membranes of secretory granules. Permanent transformants expressing GP-2 were isolated from exocrine pancreatic-derived AR42J cells as well as AtT20 cells of anterior pituitary origin and insulinoma-derived Rin5F cells. In AR42J cells, GP-2 was localized by immunofluorescence and immunoelectron microscopy to the endogenous zymogen-like granules as well as to the plasma membrane. In experiments supporting the localization data, incubation of the AR42J transformants with the secretagogue cholecystokinin (CCK8) resulted in enhanced release of a shed form of GP-2 into the medium in parallel with amylase, suggesting that the two proteins were secreted from the same compartment. By contrast, when expressed in AtT20 cells, the protein was found by immunofluorescence microscopy on the plasma membrane as well as in intracellular vesicles that differed in size and location from the endogenous secretory vesicles. By electron microscopy, large (approximately 0.5 micron) multivesicular structures were observed. Single- and double-label immunoelectron microscopy demonstrated that these large organelles labeled with anti-GP-2 antibodies, whereas the smaller adrenocorticotropic hormone (ACTH)-containing secretory vesicles did not. In permanent transformants of Rin5F cells, GP-2 was also excluded from the insulin-containing granules and found in multivesicular bodies similar to those in the AtT20 cells and containing the endosomal/lysosomal marker endolyn-78. Despite the apparent accumulation of GP-2 in lysosome-like structures, it turned over slowly and did not undergo rapid endocytosis from the cell surface. We conclude that GP-2 is targeted to secretory granule membranes by cell type-specific mechanisms that likely involve its interaction with other membrane or content proteins expressed only in the exocrine cells.","author":[{"dropping-particle":"","family":"Hoops","given":"T C","non-dropping-particle":"","parse-names":false,"suffix":""},{"dropping-particle":"","family":"Ivanov","given":"I","non-dropping-particle":"","parse-names":false,"suffix":""},{"dropping-particle":"","family":"Cui","given":"Z","non-dropping-particle":"","parse-names":false,"suffix":""},{"dropping-particle":"","family":"Colomer-Gould","given":"V","non-dropping-particle":"","parse-names":false,"suffix":""},{"dropping-particle":"","family":"Rindler","given":"M J","non-dropping-particle":"","parse-names":false,"suffix":""}],"container-title":"The Journal of biological chemistry","id":"ITEM-1","issue":"34","issued":{"date-parts":[["1993","12","5"]]},"page":"25694-705","title":"Incorporation of the pancreatic membrane protein GP-2 into secretory granules in exocrine but not endocrine cells.","type":"article-journal","volume":"268"},"uris":["http://www.mendeley.com/documents/?uuid=09a82712-3ab0-3bb2-98c5-76f86a920ebe"]}],"mendeley":{"formattedCitation":"&lt;sup&gt;[1]&lt;/sup&gt;","plainTextFormattedCitation":"[1]","previouslyFormattedCitation":"&lt;sup&gt;[1]&lt;/sup&gt;"},"properties":{"noteIndex":0},"schema":"https://github.com/citation-style-language/schema/raw/master/csl-citation.json"}</w:instrText>
      </w:r>
      <w:r w:rsidRPr="008E3F16">
        <w:rPr>
          <w:rFonts w:ascii="Book Antiqua" w:eastAsia="Times New Roman" w:hAnsi="Book Antiqua" w:cs="Times New Roman"/>
          <w:color w:val="000000" w:themeColor="text1"/>
          <w:shd w:val="clear" w:color="auto" w:fill="FFFFFF"/>
          <w:lang w:val="en-US" w:eastAsia="el-GR"/>
        </w:rPr>
        <w:fldChar w:fldCharType="separate"/>
      </w:r>
      <w:r w:rsidRPr="008E3F16">
        <w:rPr>
          <w:rFonts w:ascii="Book Antiqua" w:eastAsia="Times New Roman" w:hAnsi="Book Antiqua" w:cs="Times New Roman"/>
          <w:noProof/>
          <w:color w:val="000000" w:themeColor="text1"/>
          <w:shd w:val="clear" w:color="auto" w:fill="FFFFFF"/>
          <w:vertAlign w:val="superscript"/>
          <w:lang w:val="en-US" w:eastAsia="el-GR"/>
        </w:rPr>
        <w:t>[1]</w:t>
      </w:r>
      <w:r w:rsidRPr="008E3F16">
        <w:rPr>
          <w:rFonts w:ascii="Book Antiqua" w:eastAsia="Times New Roman" w:hAnsi="Book Antiqua" w:cs="Times New Roman"/>
          <w:color w:val="000000" w:themeColor="text1"/>
          <w:shd w:val="clear" w:color="auto" w:fill="FFFFFF"/>
          <w:lang w:val="en-US" w:eastAsia="el-GR"/>
        </w:rPr>
        <w:fldChar w:fldCharType="end"/>
      </w:r>
      <w:r w:rsidR="000D491E" w:rsidRPr="008E3F16">
        <w:rPr>
          <w:rFonts w:ascii="Book Antiqua" w:eastAsia="Times New Roman" w:hAnsi="Book Antiqua" w:cs="Times New Roman"/>
          <w:color w:val="000000" w:themeColor="text1"/>
          <w:shd w:val="clear" w:color="auto" w:fill="FFFFFF"/>
          <w:lang w:val="en-US" w:eastAsia="el-GR"/>
        </w:rPr>
        <w:t>.</w:t>
      </w:r>
      <w:r w:rsidRPr="008E3F16">
        <w:rPr>
          <w:rFonts w:ascii="Book Antiqua" w:eastAsia="Times New Roman" w:hAnsi="Book Antiqua" w:cs="Times New Roman"/>
          <w:color w:val="000000" w:themeColor="text1"/>
          <w:shd w:val="clear" w:color="auto" w:fill="FFFFFF"/>
          <w:lang w:val="en-US" w:eastAsia="el-GR"/>
        </w:rPr>
        <w:t xml:space="preserve"> GP2 is synthesized by the acinus cells</w:t>
      </w:r>
      <w:r w:rsidRPr="008E3F16">
        <w:rPr>
          <w:rFonts w:ascii="Book Antiqua" w:eastAsia="Times New Roman" w:hAnsi="Book Antiqua" w:cs="Times New Roman"/>
          <w:color w:val="000000" w:themeColor="text1"/>
          <w:shd w:val="clear" w:color="auto" w:fill="FFFFFF"/>
          <w:lang w:val="en-US" w:eastAsia="el-GR"/>
        </w:rPr>
        <w:fldChar w:fldCharType="begin" w:fldLock="1"/>
      </w:r>
      <w:r w:rsidR="000D491E" w:rsidRPr="008E3F16">
        <w:rPr>
          <w:rFonts w:ascii="Book Antiqua" w:eastAsia="Times New Roman" w:hAnsi="Book Antiqua" w:cs="Times New Roman"/>
          <w:color w:val="000000" w:themeColor="text1"/>
          <w:shd w:val="clear" w:color="auto" w:fill="FFFFFF"/>
          <w:lang w:val="en-US" w:eastAsia="el-GR"/>
        </w:rPr>
        <w:instrText>ADDIN CSL_CITATION {"citationItems":[{"id":"ITEM-1","itemData":{"ISSN":"0021-9258","PMID":"7503984","abstract":"The pancreatic zymogen granule membrane protein GP-2 was introduced into cells of exocrine or endocrine origin by transfection of its cDNA in order to investigate the mechanisms by which proteins are specifically incorporated into the membranes of secretory granules. Permanent transformants expressing GP-2 were isolated from exocrine pancreatic-derived AR42J cells as well as AtT20 cells of anterior pituitary origin and insulinoma-derived Rin5F cells. In AR42J cells, GP-2 was localized by immunofluorescence and immunoelectron microscopy to the endogenous zymogen-like granules as well as to the plasma membrane. In experiments supporting the localization data, incubation of the AR42J transformants with the secretagogue cholecystokinin (CCK8) resulted in enhanced release of a shed form of GP-2 into the medium in parallel with amylase, suggesting that the two proteins were secreted from the same compartment. By contrast, when expressed in AtT20 cells, the protein was found by immunofluorescence microscopy on the plasma membrane as well as in intracellular vesicles that differed in size and location from the endogenous secretory vesicles. By electron microscopy, large (approximately 0.5 micron) multivesicular structures were observed. Single- and double-label immunoelectron microscopy demonstrated that these large organelles labeled with anti-GP-2 antibodies, whereas the smaller adrenocorticotropic hormone (ACTH)-containing secretory vesicles did not. In permanent transformants of Rin5F cells, GP-2 was also excluded from the insulin-containing granules and found in multivesicular bodies similar to those in the AtT20 cells and containing the endosomal/lysosomal marker endolyn-78. Despite the apparent accumulation of GP-2 in lysosome-like structures, it turned over slowly and did not undergo rapid endocytosis from the cell surface. We conclude that GP-2 is targeted to secretory granule membranes by cell type-specific mechanisms that likely involve its interaction with other membrane or content proteins expressed only in the exocrine cells.","author":[{"dropping-particle":"","family":"Hoops","given":"T C","non-dropping-particle":"","parse-names":false,"suffix":""},{"dropping-particle":"","family":"Ivanov","given":"I","non-dropping-particle":"","parse-names":false,"suffix":""},{"dropping-particle":"","family":"Cui","given":"Z","non-dropping-particle":"","parse-names":false,"suffix":""},{"dropping-particle":"","family":"Colomer-Gould","given":"V","non-dropping-particle":"","parse-names":false,"suffix":""},{"dropping-particle":"","family":"Rindler","given":"M J","non-dropping-particle":"","parse-names":false,"suffix":""}],"container-title":"The Journal of biological chemistry","id":"ITEM-1","issue":"34","issued":{"date-parts":[["1993","12","5"]]},"page":"25694-705","title":"Incorporation of the pancreatic membrane protein GP-2 into secretory granules in exocrine but not endocrine cells.","type":"article-journal","volume":"268"},"uris":["http://www.mendeley.com/documents/?uuid=09a82712-3ab0-3bb2-98c5-76f86a920ebe"]}],"mendeley":{"formattedCitation":"&lt;sup&gt;[1]&lt;/sup&gt;","plainTextFormattedCitation":"[1]","previouslyFormattedCitation":"&lt;sup&gt;[1]&lt;/sup&gt;"},"properties":{"noteIndex":0},"schema":"https://github.com/citation-style-language/schema/raw/master/csl-citation.json"}</w:instrText>
      </w:r>
      <w:r w:rsidRPr="008E3F16">
        <w:rPr>
          <w:rFonts w:ascii="Book Antiqua" w:eastAsia="Times New Roman" w:hAnsi="Book Antiqua" w:cs="Times New Roman"/>
          <w:color w:val="000000" w:themeColor="text1"/>
          <w:shd w:val="clear" w:color="auto" w:fill="FFFFFF"/>
          <w:lang w:val="en-US" w:eastAsia="el-GR"/>
        </w:rPr>
        <w:fldChar w:fldCharType="separate"/>
      </w:r>
      <w:r w:rsidRPr="008E3F16">
        <w:rPr>
          <w:rFonts w:ascii="Book Antiqua" w:eastAsia="Times New Roman" w:hAnsi="Book Antiqua" w:cs="Times New Roman"/>
          <w:noProof/>
          <w:color w:val="000000" w:themeColor="text1"/>
          <w:shd w:val="clear" w:color="auto" w:fill="FFFFFF"/>
          <w:vertAlign w:val="superscript"/>
          <w:lang w:val="en-US" w:eastAsia="el-GR"/>
        </w:rPr>
        <w:t>[1]</w:t>
      </w:r>
      <w:r w:rsidRPr="008E3F16">
        <w:rPr>
          <w:rFonts w:ascii="Book Antiqua" w:eastAsia="Times New Roman" w:hAnsi="Book Antiqua" w:cs="Times New Roman"/>
          <w:color w:val="000000" w:themeColor="text1"/>
          <w:shd w:val="clear" w:color="auto" w:fill="FFFFFF"/>
          <w:lang w:val="en-US" w:eastAsia="el-GR"/>
        </w:rPr>
        <w:fldChar w:fldCharType="end"/>
      </w:r>
      <w:r w:rsidRPr="008E3F16">
        <w:rPr>
          <w:rFonts w:ascii="Book Antiqua" w:eastAsia="Times New Roman" w:hAnsi="Book Antiqua" w:cs="Times New Roman"/>
          <w:color w:val="000000" w:themeColor="text1"/>
          <w:shd w:val="clear" w:color="auto" w:fill="FFFFFF"/>
          <w:lang w:val="en-US" w:eastAsia="el-GR"/>
        </w:rPr>
        <w:t xml:space="preserve"> in the pancreas, and is considered today as the main target of pancreatic autoantibody</w:t>
      </w:r>
      <w:r w:rsidRPr="008E3F16">
        <w:rPr>
          <w:rFonts w:ascii="Book Antiqua" w:eastAsia="Times New Roman" w:hAnsi="Book Antiqua" w:cs="Times New Roman"/>
          <w:color w:val="000000" w:themeColor="text1"/>
          <w:shd w:val="clear" w:color="auto" w:fill="FFFFFF"/>
          <w:lang w:val="en-US" w:eastAsia="el-GR"/>
        </w:rPr>
        <w:fldChar w:fldCharType="begin" w:fldLock="1"/>
      </w:r>
      <w:r w:rsidR="000D491E" w:rsidRPr="008E3F16">
        <w:rPr>
          <w:rFonts w:ascii="Book Antiqua" w:eastAsia="Times New Roman" w:hAnsi="Book Antiqua" w:cs="Times New Roman"/>
          <w:color w:val="000000" w:themeColor="text1"/>
          <w:shd w:val="clear" w:color="auto" w:fill="FFFFFF"/>
          <w:lang w:val="en-US" w:eastAsia="el-GR"/>
        </w:rPr>
        <w:instrText>ADDIN CSL_CITATION {"citationItems":[{"id":"ITEM-1","itemData":{"ISSN":"0065-2423","PMID":"23724745","abstract":"The pathogenesis of Crohn's disease (CrD) and ulcerative colitis (UC), the two major inflammatory bowel diseases (IBD), remains poorly understood. Autoimmunity is considered to be involved in the triggering and perpetuation of inflammatory processes leading to overt disease. Approximately 30% of CrD patients and less than 8% of UC patients show evidence of humoral autoimmunity to exocrine pancreas, detected by indirect immunofluorescence. Pancreatic autoantibodies (PAB) were described for the first time in 1984, but the autoantigenic target(s) of PABs were identified only in 2009. Utilizing immunoblotting and matrix-assisted laser desorption ionization time-of-flight mass spectrometry, the major zymogen granule membrane glycoprotein 2 (GP2) has been discovered as the main PAB autoantigen. The expression of GP2 has been demonstrated at the site of intestinal inflammation, explaining the previously unaddressed contradiction of pancreatic autoimmunity and intestinal inflammation. Recent data demonstrate GP2 to be a specific receptor on microfold (M) cells of intestinal Peyer's patches, which are considered to be the original site of inflammation in CrD. Novel ELISAs, employing recombinant GP2 as the solid phase antigen, have confirmed the presence of IgA and IgG anti-GP2 PABs in CrD patients and revealed an association of anti-GP2 IgA as well as IgG levels with a specific clinical phenotype in CrD. Also, GP2 plays an important role in modulating innate and acquired intestinal immunity. Its urinary homologue, Tamm-Horsfall protein or uromodulin, has a similar effect in the urinary tract, further indicating that GP2 is not just an epiphenomenon of intestinal destruction. This review discusses the role of anti-GP2 autoantibodies as novel CrD-specific markers, the quantification of which provides the basis for further stratification of IBD patients. Given the association with a disease phenotype and the immunomodulating properties of GP2 itself, an important role for GP2 in the immunopathogenesis of IBD cannot be excluded.","author":[{"dropping-particle":"","family":"Roggenbuck","given":"Dirk","non-dropping-particle":"","parse-names":false,"suffix":""},{"dropping-particle":"","family":"Reinhold","given":"Dirk","non-dropping-particle":"","parse-names":false,"suffix":""},{"dropping-particle":"","family":"Werner","given":"Lael","non-dropping-particle":"","parse-names":false,"suffix":""},{"dropping-particle":"","family":"Schierack","given":"Peter","non-dropping-particle":"","parse-names":false,"suffix":""},{"dropping-particle":"","family":"Bogdanos","given":"Dimitrios P","non-dropping-particle":"","parse-names":false,"suffix":""},{"dropping-particle":"","family":"Conrad","given":"Karsten","non-dropping-particle":"","parse-names":false,"suffix":""}],"container-title":"Advances in clinical chemistry","id":"ITEM-1","issued":{"date-parts":[["2013"]]},"page":"187-208","title":"Glycoprotein 2 antibodies in Crohn's disease.","type":"article-journal","volume":"60"},"uris":["http://www.mendeley.com/documents/?uuid=85f5faaf-ed0d-3503-b223-5ceb5d4c8d47"]},{"id":"ITEM-2","itemData":{"author":[{"dropping-particle":"","family":"Conrad","given":"K","non-dropping-particle":"","parse-names":false,"suffix":""},{"dropping-particle":"","family":"Hausdorf","given":"G","non-dropping-particle":"","parse-names":false,"suffix":""},{"dropping-particle":"","family":"Feist","given":"E","non-dropping-particle":"","parse-names":false,"suffix":""},{"dropping-particle":"","family":"Reinhold","given":"D","non-dropping-particle":"","parse-names":false,"suffix":""},{"dropping-particle":"","family":"Jungblut","given":"PR","non-dropping-particle":"","parse-names":false,"suffix":""},{"dropping-particle":"","family":"Porstmann","given":"T","non-dropping-particle":"","parse-names":false,"suffix":""},{"dropping-particle":"","family":"Laass","given":"M","non-dropping-particle":"","parse-names":false,"suffix":""},{"dropping-particle":"","family":"Henker","given":"J","non-dropping-particle":"","parse-names":false,"suffix":""},{"dropping-particle":"","family":"Roggenbuck","given":"D","non-dropping-particle":"","parse-names":false,"suffix":""}],"container-title":"Report on the 6th Congress on Autoimmunity","id":"ITEM-2","issued":{"date-parts":[["2008"]]},"publisher-place":"Porto, Portugal","title":"Identification of GP2 as the major autoantigen of pancreatic autoantibodies","type":"paper-conference"},"uris":["http://www.mendeley.com/documents/?uuid=e863b6c7-73a0-4346-b3aa-0fac918f6172"]}],"mendeley":{"formattedCitation":"&lt;sup&gt;[2,3]&lt;/sup&gt;","plainTextFormattedCitation":"[2,3]","previouslyFormattedCitation":"&lt;sup&gt;[2,3]&lt;/sup&gt;"},"properties":{"noteIndex":0},"schema":"https://github.com/citation-style-language/schema/raw/master/csl-citation.json"}</w:instrText>
      </w:r>
      <w:r w:rsidRPr="008E3F16">
        <w:rPr>
          <w:rFonts w:ascii="Book Antiqua" w:eastAsia="Times New Roman" w:hAnsi="Book Antiqua" w:cs="Times New Roman"/>
          <w:color w:val="000000" w:themeColor="text1"/>
          <w:shd w:val="clear" w:color="auto" w:fill="FFFFFF"/>
          <w:lang w:val="en-US" w:eastAsia="el-GR"/>
        </w:rPr>
        <w:fldChar w:fldCharType="separate"/>
      </w:r>
      <w:r w:rsidRPr="008E3F16">
        <w:rPr>
          <w:rFonts w:ascii="Book Antiqua" w:eastAsia="Times New Roman" w:hAnsi="Book Antiqua" w:cs="Times New Roman"/>
          <w:noProof/>
          <w:color w:val="000000" w:themeColor="text1"/>
          <w:shd w:val="clear" w:color="auto" w:fill="FFFFFF"/>
          <w:vertAlign w:val="superscript"/>
          <w:lang w:val="en-US" w:eastAsia="el-GR"/>
        </w:rPr>
        <w:t>[2,3]</w:t>
      </w:r>
      <w:r w:rsidRPr="008E3F16">
        <w:rPr>
          <w:rFonts w:ascii="Book Antiqua" w:eastAsia="Times New Roman" w:hAnsi="Book Antiqua" w:cs="Times New Roman"/>
          <w:color w:val="000000" w:themeColor="text1"/>
          <w:shd w:val="clear" w:color="auto" w:fill="FFFFFF"/>
          <w:lang w:val="en-US" w:eastAsia="el-GR"/>
        </w:rPr>
        <w:fldChar w:fldCharType="end"/>
      </w:r>
      <w:r w:rsidR="000D491E" w:rsidRPr="008E3F16">
        <w:rPr>
          <w:rFonts w:ascii="Book Antiqua" w:eastAsia="Times New Roman" w:hAnsi="Book Antiqua" w:cs="Times New Roman"/>
          <w:color w:val="000000" w:themeColor="text1"/>
          <w:shd w:val="clear" w:color="auto" w:fill="FFFFFF"/>
          <w:lang w:val="en-US" w:eastAsia="el-GR"/>
        </w:rPr>
        <w:t>.</w:t>
      </w:r>
      <w:r w:rsidRPr="008E3F16">
        <w:rPr>
          <w:rFonts w:ascii="Book Antiqua" w:eastAsia="Times New Roman" w:hAnsi="Book Antiqua" w:cs="Times New Roman"/>
          <w:color w:val="000000" w:themeColor="text1"/>
          <w:shd w:val="clear" w:color="auto" w:fill="FFFFFF"/>
          <w:lang w:val="en-US" w:eastAsia="el-GR"/>
        </w:rPr>
        <w:t xml:space="preserve"> Recent data indicate that GP2 is a specific receptor on microfold (M) cells of intestinal Peyer's patches</w:t>
      </w:r>
      <w:r w:rsidRPr="008E3F16">
        <w:rPr>
          <w:rFonts w:ascii="Book Antiqua" w:eastAsia="Times New Roman" w:hAnsi="Book Antiqua" w:cs="Times New Roman"/>
          <w:color w:val="000000" w:themeColor="text1"/>
          <w:shd w:val="clear" w:color="auto" w:fill="FFFFFF"/>
          <w:lang w:val="en-US" w:eastAsia="el-GR"/>
        </w:rPr>
        <w:fldChar w:fldCharType="begin" w:fldLock="1"/>
      </w:r>
      <w:r w:rsidR="001041F5" w:rsidRPr="008E3F16">
        <w:rPr>
          <w:rFonts w:ascii="Book Antiqua" w:eastAsia="Times New Roman" w:hAnsi="Book Antiqua" w:cs="Times New Roman"/>
          <w:color w:val="000000" w:themeColor="text1"/>
          <w:shd w:val="clear" w:color="auto" w:fill="FFFFFF"/>
          <w:lang w:val="en-US" w:eastAsia="el-GR"/>
        </w:rPr>
        <w:instrText>ADDIN CSL_CITATION {"citationItems":[{"id":"ITEM-1","itemData":{"DOI":"10.1038/nature08529","ISSN":"0028-0836","PMID":"19907495","abstract":"The mucosal immune system forms the largest part of the entire immune system, containing about three-quarters of all lymphocytes and producing grams of secretory IgA daily to protect the mucosal surface from pathogens. To evoke the mucosal immune response, antigens on the mucosal surface must be transported across the epithelial barrier into organized lymphoid structures such as Peyer's patches. This function, called antigen transcytosis, is mediated by specialized epithelial M cells. The molecular mechanisms promoting this antigen uptake, however, are largely unknown. Here we report that glycoprotein 2 (GP2), specifically expressed on the apical plasma membrane of M cells among enterocytes, serves as a transcytotic receptor for mucosal antigens. Recombinant GP2 protein selectively bound a subset of commensal and pathogenic enterobacteria, including Escherichia coli and Salmonella enterica serovar Typhimurium (S. Typhimurium), by recognizing FimH, a component of type I pili on the bacterial outer membrane. Consistently, these bacteria were colocalized with endogenous GP2 on the apical plasma membrane as well as in cytoplasmic vesicles in M cells. Moreover, deficiency of bacterial FimH or host GP2 led to defects in transcytosis of type-I-piliated bacteria through M cells, resulting in an attenuation of antigen-specific immune responses in Peyer's patches. GP2 is therefore a previously unrecognized transcytotic receptor on M cells for type-I-piliated bacteria and is a prerequisite for the mucosal immune response to these bacteria. Given that M cells are considered a promising target for oral vaccination against various infectious diseases, the GP2-dependent transcytotic pathway could provide a new target for the development of M-cell-targeted mucosal vaccines.","author":[{"dropping-particle":"","family":"Hase","given":"Koji","non-dropping-particle":"","parse-names":false,"suffix":""},{"dropping-particle":"","family":"Kawano","given":"Kazuya","non-dropping-particle":"","parse-names":false,"suffix":""},{"dropping-particle":"","family":"Nochi","given":"Tomonori","non-dropping-particle":"","parse-names":false,"suffix":""},{"dropping-particle":"","family":"Pontes","given":"Gemilson Soares","non-dropping-particle":"","parse-names":false,"suffix":""},{"dropping-particle":"","family":"Fukuda","given":"Shinji","non-dropping-particle":"","parse-names":false,"suffix":""},{"dropping-particle":"","family":"Ebisawa","given":"Masashi","non-dropping-particle":"","parse-names":false,"suffix":""},{"dropping-particle":"","family":"Kadokura","given":"Kazunori","non-dropping-particle":"","parse-names":false,"suffix":""},{"dropping-particle":"","family":"Tobe","given":"Toru","non-dropping-particle":"","parse-names":false,"suffix":""},{"dropping-particle":"","family":"Fujimura","given":"Yumiko","non-dropping-particle":"","parse-names":false,"suffix":""},{"dropping-particle":"","family":"Kawano","given":"Sayaka","non-dropping-particle":"","parse-names":false,"suffix":""},{"dropping-particle":"","family":"Yabashi","given":"Atsuko","non-dropping-particle":"","parse-names":false,"suffix":""},{"dropping-particle":"","family":"Waguri","given":"Satoshi","non-dropping-particle":"","parse-names":false,"suffix":""},{"dropping-particle":"","family":"Nakato","given":"Gaku","non-dropping-particle":"","parse-names":false,"suffix":""},{"dropping-particle":"","family":"Kimura","given":"Shunsuke","non-dropping-particle":"","parse-names":false,"suffix":""},{"dropping-particle":"","family":"Murakami","given":"Takaya","non-dropping-particle":"","parse-names":false,"suffix":""},{"dropping-particle":"","family":"Iimura","given":"Mitsutoshi","non-dropping-particle":"","parse-names":false,"suffix":""},{"dropping-particle":"","family":"Hamura","given":"Kimiyo","non-dropping-particle":"","parse-names":false,"suffix":""},{"dropping-particle":"","family":"Fukuoka","given":"Shin-Ichi","non-dropping-particle":"","parse-names":false,"suffix":""},{"dropping-particle":"","family":"Lowe","given":"Anson W.","non-dropping-particle":"","parse-names":false,"suffix":""},{"dropping-particle":"","family":"Itoh","given":"Kikuji","non-dropping-particle":"","parse-names":false,"suffix":""},{"dropping-particle":"","family":"Kiyono","given":"Hiroshi","non-dropping-particle":"","parse-names":false,"suffix":""},{"dropping-particle":"","family":"Ohno","given":"Hiroshi","non-dropping-particle":"","parse-names":false,"suffix":""}],"container-title":"Nature","id":"ITEM-1","issue":"7270","issued":{"date-parts":[["2009","11","12"]]},"page":"226-230","title":"Uptake through glycoprotein 2 of FimH+ bacteria by M cells initiates mucosal immune response","type":"article-journal","volume":"462"},"uris":["http://www.mendeley.com/documents/?uuid=b955f485-2e04-3436-9794-37b1fad630f6"]},{"id":"ITEM-2","itemData":{"DOI":"10.4049/jimmunol.180.12.7840","ISSN":"0022-1767","PMID":"18523247","abstract":"Separate populations of M cells have been detected in the follicle-associated epithelium of Peyer's patches (PPs) and the villous epithelium of the small intestine, but the traits shared by or distinguishing the two populations have not been characterized. Our separate study has demonstrated that a potent mucosal modulator cholera toxin (CT) can induce lectin Ulex europaeus agglutinin-1 and our newly developed M cell-specific mAb NKM 16-2-4-positive M-like cells in the duodenal villous epithelium. In this study, we determined the gene expression of PP M cells, CT-induced villous M-like cells, and intestinal epithelial cells isolated by a novel approach using FACS. Additional mRNA and protein analyses confirmed the specific expression of glycoprotein 2 and myristoylated alanine-rich C kinase substrate (MARCKS)-like protein by PP M cells but not CT-induced villous M-like cells. Comprehensive gene profiling also suggested that CT-induced villous M-like cells share traits of both PP M cells and intestinal epithelial cells, a finding that is supported by their unique expression of specific chemokines. The genome-wide assessment of gene expression facilitates discovery of M cell-specific molecules and enhances the molecular understanding of M cell immunobiology.","author":[{"dropping-particle":"","family":"Terahara","given":"Kazutaka","non-dropping-particle":"","parse-names":false,"suffix":""},{"dropping-particle":"","family":"Yoshida","given":"Masato","non-dropping-particle":"","parse-names":false,"suffix":""},{"dropping-particle":"","family":"Igarashi","given":"Osamu","non-dropping-particle":"","parse-names":false,"suffix":""},{"dropping-particle":"","family":"Nochi","given":"Tomonori","non-dropping-particle":"","parse-names":false,"suffix":""},{"dropping-particle":"","family":"Pontes","given":"Gemilson Soares","non-dropping-particle":"","parse-names":false,"suffix":""},{"dropping-particle":"","family":"Hase","given":"Koji","non-dropping-particle":"","parse-names":false,"suffix":""},{"dropping-particle":"","family":"Ohno","given":"Hiroshi","non-dropping-particle":"","parse-names":false,"suffix":""},{"dropping-particle":"","family":"Kurokawa","given":"Shiho","non-dropping-particle":"","parse-names":false,"suffix":""},{"dropping-particle":"","family":"Mejima","given":"Mio","non-dropping-particle":"","parse-names":false,"suffix":""},{"dropping-particle":"","family":"Takayama","given":"Naoko","non-dropping-particle":"","parse-names":false,"suffix":""},{"dropping-particle":"","family":"Yuki","given":"Yoshikazu","non-dropping-particle":"","parse-names":false,"suffix":""},{"dropping-particle":"","family":"Lowe","given":"Anson W","non-dropping-particle":"","parse-names":false,"suffix":""},{"dropping-particle":"","family":"Kiyono","given":"Hiroshi","non-dropping-particle":"","parse-names":false,"suffix":""}],"container-title":"Journal of immunology (Baltimore, Md. : 1950)","id":"ITEM-2","issue":"12","issued":{"date-parts":[["2008","6","15"]]},"page":"7840-6","title":"Comprehensive gene expression profiling of Peyer's patch M cells, villous M-like cells, and intestinal epithelial cells.","type":"article-journal","volume":"180"},"uris":["http://www.mendeley.com/documents/?uuid=841249c6-3ba5-3b70-bad6-20312d978f57"]},{"id":"ITEM-3","itemData":{"DOI":"10.4161/gmic.1.6.14078","ISSN":"1949-0984","PMID":"21468225","abstract":"Membranous (M) cells are specialized epithelial antigen-transporting cells scattered in the follicle-associated epithelium covering the gut lymphoid follicles such as Peyer's patches. Although the importance of M cells as a main portal for luminal antigens has long been recognized, molecular mechanisms for M-cell antigen uptake has remained largely elusive. We have recently found that glycoprotein 2 (GP2) is exclusively expressed on M cells among intestinal epithelial cells and serves as an uptake receptor for a subset of commensal and pathogenic bacteria. GP2 interacts with FimH, a major component of the type 1 pilus on the outer membrane of a subset of gram-negative enterobacilli such as E. coli and Salmonella enterica. Furthermore, GP2-FimH interaction is necessary for efficient uptake of FimH(+) bacteria by M cells and subsequent bacteria-specific mucosal immune responses. Pancreatic GP2 may also be involved in innate immunity by 'opsonization' of FimH(+) bacteria to facilitate their egestion in feces as well as translocation across the intestinal epithelium.","author":[{"dropping-particle":"","family":"Ohno","given":"Hiroshi","non-dropping-particle":"","parse-names":false,"suffix":""},{"dropping-particle":"","family":"Hase","given":"Koji","non-dropping-particle":"","parse-names":false,"suffix":""}],"container-title":"Gut microbes","id":"ITEM-3","issue":"6","issued":{"date-parts":[["2010","11","27"]]},"page":"407-10","title":"Glycoprotein 2 (GP2): grabbing the FimH bacteria into M cells for mucosal immunity.","type":"article-journal","volume":"1"},"uris":["http://www.mendeley.com/documents/?uuid=8a95c101-313b-3fdc-898f-d1b962277c27"]}],"mendeley":{"formattedCitation":"&lt;sup&gt;[4–6]&lt;/sup&gt;","plainTextFormattedCitation":"[4–6]","previouslyFormattedCitation":"&lt;sup&gt;[4–6]&lt;/sup&gt;"},"properties":{"noteIndex":0},"schema":"https://github.com/citation-style-language/schema/raw/master/csl-citation.json"}</w:instrText>
      </w:r>
      <w:r w:rsidRPr="008E3F16">
        <w:rPr>
          <w:rFonts w:ascii="Book Antiqua" w:eastAsia="Times New Roman" w:hAnsi="Book Antiqua" w:cs="Times New Roman"/>
          <w:color w:val="000000" w:themeColor="text1"/>
          <w:shd w:val="clear" w:color="auto" w:fill="FFFFFF"/>
          <w:lang w:val="en-US" w:eastAsia="el-GR"/>
        </w:rPr>
        <w:fldChar w:fldCharType="separate"/>
      </w:r>
      <w:r w:rsidRPr="008E3F16">
        <w:rPr>
          <w:rFonts w:ascii="Book Antiqua" w:eastAsia="Times New Roman" w:hAnsi="Book Antiqua" w:cs="Times New Roman"/>
          <w:noProof/>
          <w:color w:val="000000" w:themeColor="text1"/>
          <w:shd w:val="clear" w:color="auto" w:fill="FFFFFF"/>
          <w:vertAlign w:val="superscript"/>
          <w:lang w:val="en-US" w:eastAsia="el-GR"/>
        </w:rPr>
        <w:t>[4–6]</w:t>
      </w:r>
      <w:r w:rsidRPr="008E3F16">
        <w:rPr>
          <w:rFonts w:ascii="Book Antiqua" w:eastAsia="Times New Roman" w:hAnsi="Book Antiqua" w:cs="Times New Roman"/>
          <w:color w:val="000000" w:themeColor="text1"/>
          <w:shd w:val="clear" w:color="auto" w:fill="FFFFFF"/>
          <w:lang w:val="en-US" w:eastAsia="el-GR"/>
        </w:rPr>
        <w:fldChar w:fldCharType="end"/>
      </w:r>
      <w:r w:rsidR="000D491E" w:rsidRPr="008E3F16">
        <w:rPr>
          <w:rFonts w:ascii="Book Antiqua" w:eastAsia="Times New Roman" w:hAnsi="Book Antiqua" w:cs="Times New Roman"/>
          <w:color w:val="000000" w:themeColor="text1"/>
          <w:shd w:val="clear" w:color="auto" w:fill="FFFFFF"/>
          <w:lang w:val="en-US" w:eastAsia="el-GR"/>
        </w:rPr>
        <w:t>,</w:t>
      </w:r>
      <w:r w:rsidRPr="008E3F16">
        <w:rPr>
          <w:rFonts w:ascii="Book Antiqua" w:eastAsia="Times New Roman" w:hAnsi="Book Antiqua" w:cs="Times New Roman"/>
          <w:color w:val="000000" w:themeColor="text1"/>
          <w:shd w:val="clear" w:color="auto" w:fill="FFFFFF"/>
          <w:lang w:val="en-US" w:eastAsia="el-GR"/>
        </w:rPr>
        <w:t xml:space="preserve"> which consist of the original inflammation site in Crohn’s Disease (CD)</w:t>
      </w:r>
      <w:r w:rsidRPr="008E3F16">
        <w:rPr>
          <w:rFonts w:ascii="Book Antiqua" w:eastAsia="Times New Roman" w:hAnsi="Book Antiqua" w:cs="Times New Roman"/>
          <w:color w:val="000000" w:themeColor="text1"/>
          <w:shd w:val="clear" w:color="auto" w:fill="FFFFFF"/>
          <w:lang w:val="en-US" w:eastAsia="el-GR"/>
        </w:rPr>
        <w:fldChar w:fldCharType="begin" w:fldLock="1"/>
      </w:r>
      <w:r w:rsidR="000D491E" w:rsidRPr="008E3F16">
        <w:rPr>
          <w:rFonts w:ascii="Book Antiqua" w:eastAsia="Times New Roman" w:hAnsi="Book Antiqua" w:cs="Times New Roman"/>
          <w:color w:val="000000" w:themeColor="text1"/>
          <w:shd w:val="clear" w:color="auto" w:fill="FFFFFF"/>
          <w:lang w:val="en-US" w:eastAsia="el-GR"/>
        </w:rPr>
        <w:instrText>ADDIN CSL_CITATION {"citationItems":[{"id":"ITEM-1","itemData":{"ISSN":"0065-2423","PMID":"23724745","abstract":"The pathogenesis of Crohn's disease (CrD) and ulcerative colitis (UC), the two major inflammatory bowel diseases (IBD), remains poorly understood. Autoimmunity is considered to be involved in the triggering and perpetuation of inflammatory processes leading to overt disease. Approximately 30% of CrD patients and less than 8% of UC patients show evidence of humoral autoimmunity to exocrine pancreas, detected by indirect immunofluorescence. Pancreatic autoantibodies (PAB) were described for the first time in 1984, but the autoantigenic target(s) of PABs were identified only in 2009. Utilizing immunoblotting and matrix-assisted laser desorption ionization time-of-flight mass spectrometry, the major zymogen granule membrane glycoprotein 2 (GP2) has been discovered as the main PAB autoantigen. The expression of GP2 has been demonstrated at the site of intestinal inflammation, explaining the previously unaddressed contradiction of pancreatic autoimmunity and intestinal inflammation. Recent data demonstrate GP2 to be a specific receptor on microfold (M) cells of intestinal Peyer's patches, which are considered to be the original site of inflammation in CrD. Novel ELISAs, employing recombinant GP2 as the solid phase antigen, have confirmed the presence of IgA and IgG anti-GP2 PABs in CrD patients and revealed an association of anti-GP2 IgA as well as IgG levels with a specific clinical phenotype in CrD. Also, GP2 plays an important role in modulating innate and acquired intestinal immunity. Its urinary homologue, Tamm-Horsfall protein or uromodulin, has a similar effect in the urinary tract, further indicating that GP2 is not just an epiphenomenon of intestinal destruction. This review discusses the role of anti-GP2 autoantibodies as novel CrD-specific markers, the quantification of which provides the basis for further stratification of IBD patients. Given the association with a disease phenotype and the immunomodulating properties of GP2 itself, an important role for GP2 in the immunopathogenesis of IBD cannot be excluded.","author":[{"dropping-particle":"","family":"Roggenbuck","given":"Dirk","non-dropping-particle":"","parse-names":false,"suffix":""},{"dropping-particle":"","family":"Reinhold","given":"Dirk","non-dropping-particle":"","parse-names":false,"suffix":""},{"dropping-particle":"","family":"Werner","given":"Lael","non-dropping-particle":"","parse-names":false,"suffix":""},{"dropping-particle":"","family":"Schierack","given":"Peter","non-dropping-particle":"","parse-names":false,"suffix":""},{"dropping-particle":"","family":"Bogdanos","given":"Dimitrios P","non-dropping-particle":"","parse-names":false,"suffix":""},{"dropping-particle":"","family":"Conrad","given":"Karsten","non-dropping-particle":"","parse-names":false,"suffix":""}],"container-title":"Advances in clinical chemistry","id":"ITEM-1","issued":{"date-parts":[["2013"]]},"page":"187-208","title":"Glycoprotein 2 antibodies in Crohn's disease.","type":"article-journal","volume":"60"},"uris":["http://www.mendeley.com/documents/?uuid=85f5faaf-ed0d-3503-b223-5ceb5d4c8d47"]}],"mendeley":{"formattedCitation":"&lt;sup&gt;[2]&lt;/sup&gt;","plainTextFormattedCitation":"[2]","previouslyFormattedCitation":"&lt;sup&gt;[2]&lt;/sup&gt;"},"properties":{"noteIndex":0},"schema":"https://github.com/citation-style-language/schema/raw/master/csl-citation.json"}</w:instrText>
      </w:r>
      <w:r w:rsidRPr="008E3F16">
        <w:rPr>
          <w:rFonts w:ascii="Book Antiqua" w:eastAsia="Times New Roman" w:hAnsi="Book Antiqua" w:cs="Times New Roman"/>
          <w:color w:val="000000" w:themeColor="text1"/>
          <w:shd w:val="clear" w:color="auto" w:fill="FFFFFF"/>
          <w:lang w:val="en-US" w:eastAsia="el-GR"/>
        </w:rPr>
        <w:fldChar w:fldCharType="separate"/>
      </w:r>
      <w:r w:rsidRPr="008E3F16">
        <w:rPr>
          <w:rFonts w:ascii="Book Antiqua" w:eastAsia="Times New Roman" w:hAnsi="Book Antiqua" w:cs="Times New Roman"/>
          <w:noProof/>
          <w:color w:val="000000" w:themeColor="text1"/>
          <w:shd w:val="clear" w:color="auto" w:fill="FFFFFF"/>
          <w:vertAlign w:val="superscript"/>
          <w:lang w:val="en-US" w:eastAsia="el-GR"/>
        </w:rPr>
        <w:t>[2]</w:t>
      </w:r>
      <w:r w:rsidRPr="008E3F16">
        <w:rPr>
          <w:rFonts w:ascii="Book Antiqua" w:eastAsia="Times New Roman" w:hAnsi="Book Antiqua" w:cs="Times New Roman"/>
          <w:color w:val="000000" w:themeColor="text1"/>
          <w:shd w:val="clear" w:color="auto" w:fill="FFFFFF"/>
          <w:lang w:val="en-US" w:eastAsia="el-GR"/>
        </w:rPr>
        <w:fldChar w:fldCharType="end"/>
      </w:r>
      <w:r w:rsidR="000D491E" w:rsidRPr="008E3F16">
        <w:rPr>
          <w:rFonts w:ascii="Book Antiqua" w:eastAsia="Times New Roman" w:hAnsi="Book Antiqua" w:cs="Times New Roman"/>
          <w:color w:val="000000" w:themeColor="text1"/>
          <w:shd w:val="clear" w:color="auto" w:fill="FFFFFF"/>
          <w:lang w:val="en-US" w:eastAsia="el-GR"/>
        </w:rPr>
        <w:t>.</w:t>
      </w:r>
      <w:r w:rsidRPr="008E3F16">
        <w:rPr>
          <w:rFonts w:ascii="Book Antiqua" w:eastAsia="Times New Roman" w:hAnsi="Book Antiqua" w:cs="Times New Roman"/>
          <w:color w:val="000000" w:themeColor="text1"/>
          <w:shd w:val="clear" w:color="auto" w:fill="FFFFFF"/>
          <w:lang w:val="en-US" w:eastAsia="el-GR"/>
        </w:rPr>
        <w:t xml:space="preserve"> With autoreactive responses being important effectors of immune-mediated inflammation, triggering overt </w:t>
      </w:r>
      <w:r w:rsidR="00277845" w:rsidRPr="008E3F16">
        <w:rPr>
          <w:rFonts w:ascii="Book Antiqua" w:eastAsia="Times New Roman" w:hAnsi="Book Antiqua" w:cs="Times New Roman"/>
          <w:color w:val="000000" w:themeColor="text1"/>
          <w:shd w:val="clear" w:color="auto" w:fill="FFFFFF"/>
          <w:lang w:val="en-US" w:eastAsia="el-GR"/>
        </w:rPr>
        <w:t>inflammatory bowel diseases</w:t>
      </w:r>
      <w:r w:rsidRPr="008E3F16">
        <w:rPr>
          <w:rFonts w:ascii="Book Antiqua" w:eastAsia="Times New Roman" w:hAnsi="Book Antiqua" w:cs="Times New Roman"/>
          <w:color w:val="000000" w:themeColor="text1"/>
          <w:shd w:val="clear" w:color="auto" w:fill="FFFFFF"/>
          <w:lang w:val="en-US" w:eastAsia="el-GR"/>
        </w:rPr>
        <w:t xml:space="preserve"> (IBD)</w:t>
      </w:r>
      <w:r w:rsidRPr="008E3F16">
        <w:rPr>
          <w:rFonts w:ascii="Book Antiqua" w:eastAsia="Times New Roman" w:hAnsi="Book Antiqua" w:cs="Times New Roman"/>
          <w:color w:val="000000" w:themeColor="text1"/>
          <w:shd w:val="clear" w:color="auto" w:fill="FFFFFF"/>
          <w:lang w:val="en-US" w:eastAsia="el-GR"/>
        </w:rPr>
        <w:fldChar w:fldCharType="begin" w:fldLock="1"/>
      </w:r>
      <w:r w:rsidR="000D491E" w:rsidRPr="008E3F16">
        <w:rPr>
          <w:rFonts w:ascii="Book Antiqua" w:eastAsia="Times New Roman" w:hAnsi="Book Antiqua" w:cs="Times New Roman"/>
          <w:color w:val="000000" w:themeColor="text1"/>
          <w:shd w:val="clear" w:color="auto" w:fill="FFFFFF"/>
          <w:lang w:val="en-US" w:eastAsia="el-GR"/>
        </w:rPr>
        <w:instrText>ADDIN CSL_CITATION {"citationItems":[{"id":"ITEM-1","itemData":{"DOI":"10.1515/cclm-2013-0801","ISSN":"1437-4331","PMID":"24231127","abstract":"Crohn's disease (CrD) and ulcerative colitis (UC) are the main inflammatory bowel diseases (IBD). IBD-specific humoral markers of autoimmunity in the form of autoantibodies have been reported first in the late 1950s by demonstrating the occurrence of autoimmunity in UC, while humoral autoimmunity in CrD can be traced back to the 1970s. Ever since, the pathophysiological role of autoimmune responses in IBDs has remained poorly understood. Notwithstanding, autoreactive responses play a major role in inflammation leading to overt IBD. In CrD, approximately 40% of patients and &lt;20% of patients with UC demonstrate loss of tolerance to antigens of the exocrine pancreas. Glycoprotein 2 (GP2) has been identified as a major autoantigenic target of the so-called pancreatic antibodies. The previously unsolved contradiction of pancreatic autoreactivity and intestinal inflammation in IBD was elucidated by demonstrating the expression of GP2 at the site thereof. Intriguingly, GP2 has been reported to be a receptor on microfold cells of intestinal Peyer's patches, which are believed to represent the origin of CrD inflammation. The development of immunoassays for the detection of antibodies to GP2 has paved the way to investigate the association of such antibodies with the clinical phenotype in CrD. Given the recently discovered immunomodulating role of GP2 in innate and adaptive intestinal immunity, this association can shed further light on the pathophysiology of IBD. In this context, the association of anti-GP2 autoantibodies as novel CrD-specific markers with the clinical phenotype in CrD will be discussed in this review.","author":[{"dropping-particle":"","family":"Roggenbuck","given":"Dirk","non-dropping-particle":"","parse-names":false,"suffix":""},{"dropping-particle":"","family":"Reinhold","given":"Dirk","non-dropping-particle":"","parse-names":false,"suffix":""},{"dropping-particle":"","family":"Schierack","given":"Peter","non-dropping-particle":"","parse-names":false,"suffix":""},{"dropping-particle":"","family":"Bogdanos","given":"Dimitrios P.","non-dropping-particle":"","parse-names":false,"suffix":""},{"dropping-particle":"","family":"Conrad","given":"Karsten","non-dropping-particle":"","parse-names":false,"suffix":""},{"dropping-particle":"","family":"Laass","given":"Martin W.","non-dropping-particle":"","parse-names":false,"suffix":""}],"container-title":"Clinical Chemistry and Laboratory Medicine","id":"ITEM-1","issue":"4","issued":{"date-parts":[["2014","1","1"]]},"page":"483-94","title":"Crohn’s disease specific pancreatic antibodies: clinical and pathophysiological challenges","type":"article-journal","volume":"52"},"uris":["http://www.mendeley.com/documents/?uuid=2494ab72-c5d0-3966-81cb-91ea375effe8"]}],"mendeley":{"formattedCitation":"&lt;sup&gt;[7]&lt;/sup&gt;","plainTextFormattedCitation":"[7]","previouslyFormattedCitation":"&lt;sup&gt;[7]&lt;/sup&gt;"},"properties":{"noteIndex":0},"schema":"https://github.com/citation-style-language/schema/raw/master/csl-citation.json"}</w:instrText>
      </w:r>
      <w:r w:rsidRPr="008E3F16">
        <w:rPr>
          <w:rFonts w:ascii="Book Antiqua" w:eastAsia="Times New Roman" w:hAnsi="Book Antiqua" w:cs="Times New Roman"/>
          <w:color w:val="000000" w:themeColor="text1"/>
          <w:shd w:val="clear" w:color="auto" w:fill="FFFFFF"/>
          <w:lang w:val="en-US" w:eastAsia="el-GR"/>
        </w:rPr>
        <w:fldChar w:fldCharType="separate"/>
      </w:r>
      <w:r w:rsidRPr="008E3F16">
        <w:rPr>
          <w:rFonts w:ascii="Book Antiqua" w:eastAsia="Times New Roman" w:hAnsi="Book Antiqua" w:cs="Times New Roman"/>
          <w:noProof/>
          <w:color w:val="000000" w:themeColor="text1"/>
          <w:shd w:val="clear" w:color="auto" w:fill="FFFFFF"/>
          <w:vertAlign w:val="superscript"/>
          <w:lang w:val="en-US" w:eastAsia="el-GR"/>
        </w:rPr>
        <w:t>[7]</w:t>
      </w:r>
      <w:r w:rsidRPr="008E3F16">
        <w:rPr>
          <w:rFonts w:ascii="Book Antiqua" w:eastAsia="Times New Roman" w:hAnsi="Book Antiqua" w:cs="Times New Roman"/>
          <w:color w:val="000000" w:themeColor="text1"/>
          <w:shd w:val="clear" w:color="auto" w:fill="FFFFFF"/>
          <w:lang w:val="en-US" w:eastAsia="el-GR"/>
        </w:rPr>
        <w:fldChar w:fldCharType="end"/>
      </w:r>
      <w:r w:rsidR="000D491E" w:rsidRPr="008E3F16">
        <w:rPr>
          <w:rFonts w:ascii="Book Antiqua" w:eastAsia="Times New Roman" w:hAnsi="Book Antiqua" w:cs="Times New Roman"/>
          <w:color w:val="000000" w:themeColor="text1"/>
          <w:shd w:val="clear" w:color="auto" w:fill="FFFFFF"/>
          <w:lang w:val="en-US" w:eastAsia="el-GR"/>
        </w:rPr>
        <w:t>,</w:t>
      </w:r>
      <w:r w:rsidRPr="008E3F16">
        <w:rPr>
          <w:rFonts w:ascii="Book Antiqua" w:eastAsia="Times New Roman" w:hAnsi="Book Antiqua" w:cs="Times New Roman"/>
          <w:color w:val="000000" w:themeColor="text1"/>
          <w:shd w:val="clear" w:color="auto" w:fill="FFFFFF"/>
          <w:lang w:val="en-US" w:eastAsia="el-GR"/>
        </w:rPr>
        <w:t xml:space="preserve"> autoantibodies</w:t>
      </w:r>
      <w:r w:rsidR="00FE1982" w:rsidRPr="008E3F16">
        <w:rPr>
          <w:rFonts w:ascii="Book Antiqua" w:eastAsia="Times New Roman" w:hAnsi="Book Antiqua" w:cs="Times New Roman"/>
          <w:color w:val="000000" w:themeColor="text1"/>
          <w:shd w:val="clear" w:color="auto" w:fill="FFFFFF"/>
          <w:lang w:val="en-US" w:eastAsia="el-GR"/>
        </w:rPr>
        <w:t>-to-glycoprotein-2</w:t>
      </w:r>
      <w:r w:rsidRPr="008E3F16">
        <w:rPr>
          <w:rFonts w:ascii="Book Antiqua" w:eastAsia="Times New Roman" w:hAnsi="Book Antiqua" w:cs="Times New Roman"/>
          <w:color w:val="000000" w:themeColor="text1"/>
          <w:shd w:val="clear" w:color="auto" w:fill="FFFFFF"/>
          <w:lang w:val="en-US" w:eastAsia="el-GR"/>
        </w:rPr>
        <w:t xml:space="preserve"> (anti-GP2) have recently been suggested as possible diagnostic markers of CD.</w:t>
      </w:r>
    </w:p>
    <w:p w14:paraId="63A262CC" w14:textId="32A4207C" w:rsidR="004208F1" w:rsidRPr="008E3F16" w:rsidRDefault="004208F1" w:rsidP="00C66188">
      <w:pPr>
        <w:adjustRightInd w:val="0"/>
        <w:snapToGrid w:val="0"/>
        <w:spacing w:line="360" w:lineRule="auto"/>
        <w:ind w:firstLineChars="100" w:firstLine="240"/>
        <w:jc w:val="both"/>
        <w:rPr>
          <w:rFonts w:ascii="Book Antiqua" w:eastAsia="Times New Roman" w:hAnsi="Book Antiqua" w:cs="Times New Roman"/>
          <w:color w:val="000000" w:themeColor="text1"/>
          <w:shd w:val="clear" w:color="auto" w:fill="FFFFFF"/>
          <w:lang w:val="en-US" w:eastAsia="el-GR"/>
        </w:rPr>
      </w:pPr>
      <w:r w:rsidRPr="008E3F16">
        <w:rPr>
          <w:rFonts w:ascii="Book Antiqua" w:eastAsia="Times New Roman" w:hAnsi="Book Antiqua" w:cs="Times New Roman"/>
          <w:color w:val="000000" w:themeColor="text1"/>
          <w:shd w:val="clear" w:color="auto" w:fill="FFFFFF"/>
          <w:lang w:val="en-US" w:eastAsia="el-GR"/>
        </w:rPr>
        <w:t>Today, CD differential diagnosis is based on standard clinical, radiological, endoscopical and histological criteria</w:t>
      </w:r>
      <w:r w:rsidRPr="008E3F16">
        <w:rPr>
          <w:rFonts w:ascii="Book Antiqua" w:eastAsia="Times New Roman" w:hAnsi="Book Antiqua" w:cs="Times New Roman"/>
          <w:color w:val="000000" w:themeColor="text1"/>
          <w:shd w:val="clear" w:color="auto" w:fill="FFFFFF"/>
          <w:lang w:val="en-US" w:eastAsia="el-GR"/>
        </w:rPr>
        <w:fldChar w:fldCharType="begin" w:fldLock="1"/>
      </w:r>
      <w:r w:rsidR="000D491E" w:rsidRPr="008E3F16">
        <w:rPr>
          <w:rFonts w:ascii="Book Antiqua" w:eastAsia="Times New Roman" w:hAnsi="Book Antiqua" w:cs="Times New Roman"/>
          <w:color w:val="000000" w:themeColor="text1"/>
          <w:shd w:val="clear" w:color="auto" w:fill="FFFFFF"/>
          <w:lang w:val="en-US" w:eastAsia="el-GR"/>
        </w:rPr>
        <w:instrText>ADDIN CSL_CITATION {"citationItems":[{"id":"ITEM-1","itemData":{"DOI":"10.1136/gut.2005.081950a","ISSN":"0017-5749","PMID":"16481628","author":[{"dropping-particle":"","family":"Stange","given":"E F","non-dropping-particle":"","parse-names":false,"suffix":""},{"dropping-particle":"","family":"Travis","given":"S P L","non-dropping-particle":"","parse-names":false,"suffix":""},{"dropping-particle":"","family":"Vermeire","given":"S","non-dropping-particle":"","parse-names":false,"suffix":""},{"dropping-particle":"","family":"Beglinger","given":"C","non-dropping-particle":"","parse-names":false,"suffix":""},{"dropping-particle":"","family":"Kupcinkas","given":"L","non-dropping-particle":"","parse-names":false,"suffix":""},{"dropping-particle":"","family":"Geboes","given":"K","non-dropping-particle":"","parse-names":false,"suffix":""},{"dropping-particle":"","family":"Barakauskiene","given":"A","non-dropping-particle":"","parse-names":false,"suffix":""},{"dropping-particle":"","family":"Villanacci","given":"V","non-dropping-particle":"","parse-names":false,"suffix":""},{"dropping-particle":"","family":"Herbay","given":"A","non-dropping-particle":"Von","parse-names":false,"suffix":""},{"dropping-particle":"","family":"Warren","given":"B F","non-dropping-particle":"","parse-names":false,"suffix":""},{"dropping-particle":"","family":"Gasche","given":"C","non-dropping-particle":"","parse-names":false,"suffix":""},{"dropping-particle":"","family":"Tilg","given":"H","non-dropping-particle":"","parse-names":false,"suffix":""},{"dropping-particle":"","family":"Schreiber","given":"Stefan W","non-dropping-particle":"","parse-names":false,"suffix":""},{"dropping-particle":"","family":"Schölmerich","given":"J","non-dropping-particle":"","parse-names":false,"suffix":""},{"dropping-particle":"","family":"Reinisch","given":"W","non-dropping-particle":"","parse-names":false,"suffix":""},{"dropping-particle":"","family":"European Crohn's and Colitis Organisation","given":"","non-dropping-particle":"","parse-names":false,"suffix":""}],"container-title":"Gut","id":"ITEM-1","issue":"suppl_1","issued":{"date-parts":[["2006","3","1"]]},"page":"i1-i15","title":"European evidence based consensus on the diagnosis and management of Crohn's disease: definitions and diagnosis","type":"article-journal","volume":"55"},"uris":["http://www.mendeley.com/documents/?uuid=b58cb24f-3191-3ea9-8d87-e93eaf5f02b1"]},{"id":"ITEM-2","itemData":{"ISSN":"0277-2116","PMID":"15990620","abstract":"Ulcerative colitis and Crohn disease may present before the age of 20 years in 25% to 30% of all patients with inflammatory bowel disease. Reported incidence figures vary considerably depending on the collection of data. Multicenter, multinational collaboration is needed when studying pediatric inflammatory bowel disease. The essential first step is uniformity in the work-up and criteria used for diagnosis. The Porto diagnostic criteria presented here provide the tool that is needed. These criteria are the result of consensus reached by the ESPGHAN inflammatory bowel disease working group. Diagnosis of Crohn disease, ulcerative colitis and indeterminate colitis is based on clinical signs and symptoms, endoscopy and histology and radiology. Every child suspected of inflammatory bowel disease should undergo a complete diagnostic program consisting of colonoscopy with ileal intubation, upper gastrointestinal endoscopy and (in all cases except in definite ulcerative colitis) radiologic contrast imaging of the small bowel. Multiple biopsies from all segments of the gastrointestinal tract are needed for a complete histologic evaluation. A diagnosis of indeterminate colitis cannot be made unless a full diagnostic program has been performed.","author":[{"dropping-particle":"","family":"IBD Working Group of the European Society for Paediatric Gastroenterology, Hepatology and Nutrition","given":"","non-dropping-particle":"","parse-names":false,"suffix":""}],"container-title":"Journal of pediatric gastroenterology and nutrition","id":"ITEM-2","issue":"1","issued":{"date-parts":[["2005","7"]]},"page":"1-7","title":"Inflammatory bowel disease in children and adolescents: recommendations for diagnosis--the Porto criteria.","type":"article-journal","volume":"41"},"uris":["http://www.mendeley.com/documents/?uuid=be6b551a-aae9-320a-b15a-079b22309168"]}],"mendeley":{"formattedCitation":"&lt;sup&gt;[8,9]&lt;/sup&gt;","plainTextFormattedCitation":"[8,9]","previouslyFormattedCitation":"&lt;sup&gt;[8,9]&lt;/sup&gt;"},"properties":{"noteIndex":0},"schema":"https://github.com/citation-style-language/schema/raw/master/csl-citation.json"}</w:instrText>
      </w:r>
      <w:r w:rsidRPr="008E3F16">
        <w:rPr>
          <w:rFonts w:ascii="Book Antiqua" w:eastAsia="Times New Roman" w:hAnsi="Book Antiqua" w:cs="Times New Roman"/>
          <w:color w:val="000000" w:themeColor="text1"/>
          <w:shd w:val="clear" w:color="auto" w:fill="FFFFFF"/>
          <w:lang w:val="en-US" w:eastAsia="el-GR"/>
        </w:rPr>
        <w:fldChar w:fldCharType="separate"/>
      </w:r>
      <w:r w:rsidRPr="008E3F16">
        <w:rPr>
          <w:rFonts w:ascii="Book Antiqua" w:eastAsia="Times New Roman" w:hAnsi="Book Antiqua" w:cs="Times New Roman"/>
          <w:noProof/>
          <w:color w:val="000000" w:themeColor="text1"/>
          <w:shd w:val="clear" w:color="auto" w:fill="FFFFFF"/>
          <w:vertAlign w:val="superscript"/>
          <w:lang w:val="en-US" w:eastAsia="el-GR"/>
        </w:rPr>
        <w:t>[8,9]</w:t>
      </w:r>
      <w:r w:rsidRPr="008E3F16">
        <w:rPr>
          <w:rFonts w:ascii="Book Antiqua" w:eastAsia="Times New Roman" w:hAnsi="Book Antiqua" w:cs="Times New Roman"/>
          <w:color w:val="000000" w:themeColor="text1"/>
          <w:shd w:val="clear" w:color="auto" w:fill="FFFFFF"/>
          <w:lang w:val="en-US" w:eastAsia="el-GR"/>
        </w:rPr>
        <w:fldChar w:fldCharType="end"/>
      </w:r>
      <w:r w:rsidR="000D491E" w:rsidRPr="008E3F16">
        <w:rPr>
          <w:rFonts w:ascii="Book Antiqua" w:eastAsia="Times New Roman" w:hAnsi="Book Antiqua" w:cs="Times New Roman"/>
          <w:color w:val="000000" w:themeColor="text1"/>
          <w:shd w:val="clear" w:color="auto" w:fill="FFFFFF"/>
          <w:lang w:val="en-US" w:eastAsia="el-GR"/>
        </w:rPr>
        <w:t>,</w:t>
      </w:r>
      <w:r w:rsidRPr="008E3F16">
        <w:rPr>
          <w:rFonts w:ascii="Book Antiqua" w:eastAsia="Times New Roman" w:hAnsi="Book Antiqua" w:cs="Times New Roman"/>
          <w:color w:val="000000" w:themeColor="text1"/>
          <w:shd w:val="clear" w:color="auto" w:fill="FFFFFF"/>
          <w:lang w:val="en-US" w:eastAsia="el-GR"/>
        </w:rPr>
        <w:t xml:space="preserve"> and a need for less invasive diagnostic tools has been highlighted, especially given the great number of patients with clinical features mimicking CD</w:t>
      </w:r>
      <w:r w:rsidRPr="008E3F16">
        <w:rPr>
          <w:rFonts w:ascii="Book Antiqua" w:eastAsia="Times New Roman" w:hAnsi="Book Antiqua" w:cs="Times New Roman"/>
          <w:color w:val="000000" w:themeColor="text1"/>
          <w:shd w:val="clear" w:color="auto" w:fill="FFFFFF"/>
          <w:lang w:val="en-US" w:eastAsia="el-GR"/>
        </w:rPr>
        <w:fldChar w:fldCharType="begin" w:fldLock="1"/>
      </w:r>
      <w:r w:rsidR="000D491E" w:rsidRPr="008E3F16">
        <w:rPr>
          <w:rFonts w:ascii="Book Antiqua" w:eastAsia="Times New Roman" w:hAnsi="Book Antiqua" w:cs="Times New Roman"/>
          <w:color w:val="000000" w:themeColor="text1"/>
          <w:shd w:val="clear" w:color="auto" w:fill="FFFFFF"/>
          <w:lang w:val="en-US" w:eastAsia="el-GR"/>
        </w:rPr>
        <w:instrText>ADDIN CSL_CITATION {"citationItems":[{"id":"ITEM-1","itemData":{"DOI":"10.1177/1756284818769076","ISSN":"1756-283X","PMID":"29707039","abstract":"Inflammatory bowel disease (IBD) is an umbrella term for Crohn's disease (CD) and ulcerative colitis (UC). In light of evolving epidemiology of CD, its clinical management is still complex and remains a challenge for contemporary physicians. With the advent of new diagnostic and treatment paradigms, there is a growing need for new biomarkers to guide decision-making, differential diagnosis, disease activity monitoring, as well as prognosis. However, both clinical and endoscopic scoring systems, widely utilized for disease monitoring and prognosis, have drawbacks and limitations. In recent years, biochemical peptides have become available for IBD monitoring and more frequently used as surrogate markers of gut inflammation. Emerging concepts that revolve around molecular, stem cell, epigenetic, microbial or metabolomic pathways associated with vascular and epithelial gut barrier could lead to development of new CD biomarkers. Measurement of cell-derived microvesicles (MVs) in the blood of IBD patients is another emerging concept helpful in future disease management. In this review, we discuss novel concepts of non-invasive biomarkers, which may become useful in monitoring of CD activity and prognosis. We discuss metabolomics as a new powerful tool for clinicians to guide differential IBD diagnosis. In the coming years, new developments of prognostic tools are expected, aiming for breakthroughs in the management of patients with CD.","author":[{"dropping-particle":"","family":"Marlicz","given":"Wojciech","non-dropping-particle":"","parse-names":false,"suffix":""},{"dropping-particle":"","family":"Skonieczna-Żydecka","given":"Karolina","non-dropping-particle":"","parse-names":false,"suffix":""},{"dropping-particle":"","family":"Dabos","given":"Konstantinos John","non-dropping-particle":"","parse-names":false,"suffix":""},{"dropping-particle":"","family":"Łoniewski","given":"Igor","non-dropping-particle":"","parse-names":false,"suffix":""},{"dropping-particle":"","family":"Koulaouzidis","given":"Anastasios","non-dropping-particle":"","parse-names":false,"suffix":""}],"container-title":"Therapeutic advances in gastroenterology","id":"ITEM-1","issued":{"date-parts":[["2018"]]},"page":"1756284818769076","publisher":"SAGE Publications","title":"Emerging concepts in non-invasive monitoring of Crohn's disease.","type":"article-journal","volume":"11"},"uris":["http://www.mendeley.com/documents/?uuid=2f0f1039-e89d-3a6c-bf8f-b64b7355cae5"]}],"mendeley":{"formattedCitation":"&lt;sup&gt;[10]&lt;/sup&gt;","plainTextFormattedCitation":"[10]","previouslyFormattedCitation":"&lt;sup&gt;[10]&lt;/sup&gt;"},"properties":{"noteIndex":0},"schema":"https://github.com/citation-style-language/schema/raw/master/csl-citation.json"}</w:instrText>
      </w:r>
      <w:r w:rsidRPr="008E3F16">
        <w:rPr>
          <w:rFonts w:ascii="Book Antiqua" w:eastAsia="Times New Roman" w:hAnsi="Book Antiqua" w:cs="Times New Roman"/>
          <w:color w:val="000000" w:themeColor="text1"/>
          <w:shd w:val="clear" w:color="auto" w:fill="FFFFFF"/>
          <w:lang w:val="en-US" w:eastAsia="el-GR"/>
        </w:rPr>
        <w:fldChar w:fldCharType="separate"/>
      </w:r>
      <w:r w:rsidRPr="008E3F16">
        <w:rPr>
          <w:rFonts w:ascii="Book Antiqua" w:eastAsia="Times New Roman" w:hAnsi="Book Antiqua" w:cs="Times New Roman"/>
          <w:noProof/>
          <w:color w:val="000000" w:themeColor="text1"/>
          <w:shd w:val="clear" w:color="auto" w:fill="FFFFFF"/>
          <w:vertAlign w:val="superscript"/>
          <w:lang w:val="en-US" w:eastAsia="el-GR"/>
        </w:rPr>
        <w:t>[10]</w:t>
      </w:r>
      <w:r w:rsidRPr="008E3F16">
        <w:rPr>
          <w:rFonts w:ascii="Book Antiqua" w:eastAsia="Times New Roman" w:hAnsi="Book Antiqua" w:cs="Times New Roman"/>
          <w:color w:val="000000" w:themeColor="text1"/>
          <w:shd w:val="clear" w:color="auto" w:fill="FFFFFF"/>
          <w:lang w:val="en-US" w:eastAsia="el-GR"/>
        </w:rPr>
        <w:fldChar w:fldCharType="end"/>
      </w:r>
      <w:r w:rsidR="000D491E" w:rsidRPr="008E3F16">
        <w:rPr>
          <w:rFonts w:ascii="Book Antiqua" w:eastAsia="Times New Roman" w:hAnsi="Book Antiqua" w:cs="Times New Roman"/>
          <w:color w:val="000000" w:themeColor="text1"/>
          <w:shd w:val="clear" w:color="auto" w:fill="FFFFFF"/>
          <w:lang w:val="en-US" w:eastAsia="el-GR"/>
        </w:rPr>
        <w:t>.</w:t>
      </w:r>
      <w:r w:rsidRPr="008E3F16">
        <w:rPr>
          <w:rFonts w:ascii="Book Antiqua" w:eastAsia="Times New Roman" w:hAnsi="Book Antiqua" w:cs="Times New Roman"/>
          <w:color w:val="000000" w:themeColor="text1"/>
          <w:shd w:val="clear" w:color="auto" w:fill="FFFFFF"/>
          <w:lang w:val="en-US" w:eastAsia="el-GR"/>
        </w:rPr>
        <w:t xml:space="preserve"> This is why recently, many diagnostic test accuracy (DTA) studies have been </w:t>
      </w:r>
      <w:r w:rsidR="00CB6C44" w:rsidRPr="008E3F16">
        <w:rPr>
          <w:rFonts w:ascii="Book Antiqua" w:eastAsia="Times New Roman" w:hAnsi="Book Antiqua" w:cs="Times New Roman"/>
          <w:color w:val="000000" w:themeColor="text1"/>
          <w:shd w:val="clear" w:color="auto" w:fill="FFFFFF"/>
          <w:lang w:val="en-US" w:eastAsia="el-GR"/>
        </w:rPr>
        <w:t>conducted</w:t>
      </w:r>
      <w:r w:rsidRPr="008E3F16">
        <w:rPr>
          <w:rFonts w:ascii="Book Antiqua" w:eastAsia="Times New Roman" w:hAnsi="Book Antiqua" w:cs="Times New Roman"/>
          <w:color w:val="000000" w:themeColor="text1"/>
          <w:shd w:val="clear" w:color="auto" w:fill="FFFFFF"/>
          <w:lang w:val="en-US" w:eastAsia="el-GR"/>
        </w:rPr>
        <w:t xml:space="preserve">, assessing </w:t>
      </w:r>
      <w:r w:rsidR="00CB6C44" w:rsidRPr="008E3F16">
        <w:rPr>
          <w:rFonts w:ascii="Book Antiqua" w:eastAsia="Times New Roman" w:hAnsi="Book Antiqua" w:cs="Times New Roman"/>
          <w:color w:val="000000" w:themeColor="text1"/>
          <w:shd w:val="clear" w:color="auto" w:fill="FFFFFF"/>
          <w:lang w:val="en-US" w:eastAsia="el-GR"/>
        </w:rPr>
        <w:t xml:space="preserve">the </w:t>
      </w:r>
      <w:r w:rsidRPr="008E3F16">
        <w:rPr>
          <w:rFonts w:ascii="Book Antiqua" w:eastAsia="Times New Roman" w:hAnsi="Book Antiqua" w:cs="Times New Roman"/>
          <w:color w:val="000000" w:themeColor="text1"/>
          <w:shd w:val="clear" w:color="auto" w:fill="FFFFFF"/>
          <w:lang w:val="en-US" w:eastAsia="el-GR"/>
        </w:rPr>
        <w:t>specificity and sensitivity of various biomarkers against standard CD diagnostic procedures</w:t>
      </w:r>
      <w:r w:rsidRPr="008E3F16">
        <w:rPr>
          <w:rFonts w:ascii="Book Antiqua" w:eastAsia="Times New Roman" w:hAnsi="Book Antiqua" w:cs="Times New Roman"/>
          <w:color w:val="000000" w:themeColor="text1"/>
          <w:shd w:val="clear" w:color="auto" w:fill="FFFFFF"/>
          <w:lang w:val="en-US" w:eastAsia="el-GR"/>
        </w:rPr>
        <w:fldChar w:fldCharType="begin" w:fldLock="1"/>
      </w:r>
      <w:r w:rsidR="000D491E" w:rsidRPr="008E3F16">
        <w:rPr>
          <w:rFonts w:ascii="Book Antiqua" w:eastAsia="Times New Roman" w:hAnsi="Book Antiqua" w:cs="Times New Roman"/>
          <w:color w:val="000000" w:themeColor="text1"/>
          <w:shd w:val="clear" w:color="auto" w:fill="FFFFFF"/>
          <w:lang w:val="en-US" w:eastAsia="el-GR"/>
        </w:rPr>
        <w:instrText>ADDIN CSL_CITATION {"citationItems":[{"id":"ITEM-1","itemData":{"DOI":"10.1097/MIB.0b013e3182802b87","ISSN":"1078-0998","PMID":"23429465","abstract":"BACKGROUND The diagnosis of small bowel Crohn's disease (CD) is performed by ileocolonoscopy, whereas the assessment of its extension can be achieved by radiologic studies or, noninvasively, by magnetic resonance (MR) enterography and bowel sonography (BS). However, few comparative studies exist directly comparing the diagnostic accuracy of BS and MRI. The aim of this study was to evaluate the diagnostic accuracy of BS and MRI for the diagnosis of small bowel CD. METHODS We prospectively performed a noninferiority diagnostic study including 234 consecutive subjects with suspected small bowel CD. All patients underwent IC (used as gold standard for diagnosis), BS, and MR enterography performed in random order by physicians who were blinded about the results. RESULTS The diagnosis of small bowel CD was made in 120 of 249 subjects (48%). Sensitivity, specificity, positive predictive value, and negative predictive value for CD diagnosis were 94%, 97%, 97%, and 94% for BS and 96%, 94%, 94%, and 96% for MR enterography, respectively. BS was less accurate than MR enterography in defining CD extension (r = 0.69), whereas the concordance in terms of CD location between the 2 procedures was high (k = 0.81). Also, MRI showed a fair concordance with BS about strictures (k = 0.82) and abscesses (k = 0.88), with better detection of enteroenteric fistulas (k = 0.67). CONCLUSIONS BS and MR enterography are 2 accurate procedures for the diagnosis of small bowel CD, although MR seems to be more sensitive in defining its extension. BS could be used to select the patients for subsequent MRI examination.","author":[{"dropping-particle":"","family":"Castiglione","given":"Fabiana","non-dropping-particle":"","parse-names":false,"suffix":""},{"dropping-particle":"","family":"Mainenti","given":"Pier Paolo","non-dropping-particle":"","parse-names":false,"suffix":""},{"dropping-particle":"","family":"Palma","given":"Giovanni Domenico","non-dropping-particle":"De","parse-names":false,"suffix":""},{"dropping-particle":"","family":"Testa","given":"Anna","non-dropping-particle":"","parse-names":false,"suffix":""},{"dropping-particle":"","family":"Bucci","given":"Luigi","non-dropping-particle":"","parse-names":false,"suffix":""},{"dropping-particle":"","family":"Pesce","given":"Giuseppe","non-dropping-particle":"","parse-names":false,"suffix":""},{"dropping-particle":"","family":"Camera","given":"Luigi","non-dropping-particle":"","parse-names":false,"suffix":""},{"dropping-particle":"","family":"Diaferia","given":"Maria","non-dropping-particle":"","parse-names":false,"suffix":""},{"dropping-particle":"","family":"Rea","given":"Matilde","non-dropping-particle":"","parse-names":false,"suffix":""},{"dropping-particle":"","family":"Caporaso","given":"Nicola","non-dropping-particle":"","parse-names":false,"suffix":""},{"dropping-particle":"","family":"Salvatore","given":"Marco","non-dropping-particle":"","parse-names":false,"suffix":""},{"dropping-particle":"","family":"Rispo","given":"Antonio","non-dropping-particle":"","parse-names":false,"suffix":""}],"container-title":"Inflammatory Bowel Diseases","id":"ITEM-1","issue":"5","issued":{"date-parts":[["2013","4"]]},"page":"991-998","title":"Noninvasive Diagnosis of Small Bowel Crohn’s Disease","type":"article-journal","volume":"19"},"uris":["http://www.mendeley.com/documents/?uuid=d6345b20-aeb4-38ff-9255-89967a62c1ad"]}],"mendeley":{"formattedCitation":"&lt;sup&gt;[11]&lt;/sup&gt;","plainTextFormattedCitation":"[11]","previouslyFormattedCitation":"&lt;sup&gt;[11]&lt;/sup&gt;"},"properties":{"noteIndex":0},"schema":"https://github.com/citation-style-language/schema/raw/master/csl-citation.json"}</w:instrText>
      </w:r>
      <w:r w:rsidRPr="008E3F16">
        <w:rPr>
          <w:rFonts w:ascii="Book Antiqua" w:eastAsia="Times New Roman" w:hAnsi="Book Antiqua" w:cs="Times New Roman"/>
          <w:color w:val="000000" w:themeColor="text1"/>
          <w:shd w:val="clear" w:color="auto" w:fill="FFFFFF"/>
          <w:lang w:val="en-US" w:eastAsia="el-GR"/>
        </w:rPr>
        <w:fldChar w:fldCharType="separate"/>
      </w:r>
      <w:r w:rsidRPr="008E3F16">
        <w:rPr>
          <w:rFonts w:ascii="Book Antiqua" w:eastAsia="Times New Roman" w:hAnsi="Book Antiqua" w:cs="Times New Roman"/>
          <w:noProof/>
          <w:color w:val="000000" w:themeColor="text1"/>
          <w:shd w:val="clear" w:color="auto" w:fill="FFFFFF"/>
          <w:vertAlign w:val="superscript"/>
          <w:lang w:val="en-US" w:eastAsia="el-GR"/>
        </w:rPr>
        <w:t>[11]</w:t>
      </w:r>
      <w:r w:rsidRPr="008E3F16">
        <w:rPr>
          <w:rFonts w:ascii="Book Antiqua" w:eastAsia="Times New Roman" w:hAnsi="Book Antiqua" w:cs="Times New Roman"/>
          <w:color w:val="000000" w:themeColor="text1"/>
          <w:shd w:val="clear" w:color="auto" w:fill="FFFFFF"/>
          <w:lang w:val="en-US" w:eastAsia="el-GR"/>
        </w:rPr>
        <w:fldChar w:fldCharType="end"/>
      </w:r>
      <w:r w:rsidR="000D491E" w:rsidRPr="008E3F16">
        <w:rPr>
          <w:rFonts w:ascii="Book Antiqua" w:eastAsia="Times New Roman" w:hAnsi="Book Antiqua" w:cs="Times New Roman"/>
          <w:color w:val="000000" w:themeColor="text1"/>
          <w:shd w:val="clear" w:color="auto" w:fill="FFFFFF"/>
          <w:lang w:val="en-US" w:eastAsia="el-GR"/>
        </w:rPr>
        <w:t>,</w:t>
      </w:r>
      <w:r w:rsidRPr="008E3F16">
        <w:rPr>
          <w:rFonts w:ascii="Book Antiqua" w:eastAsia="Times New Roman" w:hAnsi="Book Antiqua" w:cs="Times New Roman"/>
          <w:color w:val="000000" w:themeColor="text1"/>
          <w:shd w:val="clear" w:color="auto" w:fill="FFFFFF"/>
          <w:lang w:val="en-US" w:eastAsia="el-GR"/>
        </w:rPr>
        <w:t xml:space="preserve"> including the anti-GP2.</w:t>
      </w:r>
    </w:p>
    <w:p w14:paraId="67B50978" w14:textId="0B13E0B3" w:rsidR="004208F1" w:rsidRPr="008E3F16" w:rsidRDefault="00CB6C44" w:rsidP="00C66188">
      <w:pPr>
        <w:adjustRightInd w:val="0"/>
        <w:snapToGrid w:val="0"/>
        <w:spacing w:line="360" w:lineRule="auto"/>
        <w:ind w:firstLineChars="100" w:firstLine="240"/>
        <w:jc w:val="both"/>
        <w:rPr>
          <w:rFonts w:ascii="Book Antiqua" w:eastAsia="Times New Roman" w:hAnsi="Book Antiqua" w:cs="Times New Roman"/>
          <w:color w:val="000000" w:themeColor="text1"/>
          <w:shd w:val="clear" w:color="auto" w:fill="FFFFFF"/>
          <w:lang w:val="en-US" w:eastAsia="el-GR"/>
        </w:rPr>
      </w:pPr>
      <w:r w:rsidRPr="008E3F16">
        <w:rPr>
          <w:rFonts w:ascii="Book Antiqua" w:eastAsia="Times New Roman" w:hAnsi="Book Antiqua" w:cs="Times New Roman"/>
          <w:color w:val="000000" w:themeColor="text1"/>
          <w:shd w:val="clear" w:color="auto" w:fill="FFFFFF"/>
          <w:lang w:val="en-US" w:eastAsia="el-GR"/>
        </w:rPr>
        <w:t>Despite the fact that</w:t>
      </w:r>
      <w:r w:rsidR="004208F1" w:rsidRPr="008E3F16">
        <w:rPr>
          <w:rFonts w:ascii="Book Antiqua" w:eastAsia="Times New Roman" w:hAnsi="Book Antiqua" w:cs="Times New Roman"/>
          <w:color w:val="000000" w:themeColor="text1"/>
          <w:shd w:val="clear" w:color="auto" w:fill="FFFFFF"/>
          <w:lang w:val="en-US" w:eastAsia="el-GR"/>
        </w:rPr>
        <w:t xml:space="preserve"> a plethora of DTA studies </w:t>
      </w:r>
      <w:r w:rsidRPr="008E3F16">
        <w:rPr>
          <w:rFonts w:ascii="Book Antiqua" w:eastAsia="Times New Roman" w:hAnsi="Book Antiqua" w:cs="Times New Roman"/>
          <w:color w:val="000000" w:themeColor="text1"/>
          <w:shd w:val="clear" w:color="auto" w:fill="FFFFFF"/>
          <w:lang w:val="en-US" w:eastAsia="el-GR"/>
        </w:rPr>
        <w:t xml:space="preserve">has </w:t>
      </w:r>
      <w:r w:rsidR="00810390" w:rsidRPr="008E3F16">
        <w:rPr>
          <w:rFonts w:ascii="Book Antiqua" w:eastAsia="Times New Roman" w:hAnsi="Book Antiqua" w:cs="Times New Roman"/>
          <w:color w:val="000000" w:themeColor="text1"/>
          <w:shd w:val="clear" w:color="auto" w:fill="FFFFFF"/>
          <w:lang w:val="en-US" w:eastAsia="el-GR"/>
        </w:rPr>
        <w:t xml:space="preserve">recently </w:t>
      </w:r>
      <w:r w:rsidRPr="008E3F16">
        <w:rPr>
          <w:rFonts w:ascii="Book Antiqua" w:eastAsia="Times New Roman" w:hAnsi="Book Antiqua" w:cs="Times New Roman"/>
          <w:color w:val="000000" w:themeColor="text1"/>
          <w:shd w:val="clear" w:color="auto" w:fill="FFFFFF"/>
          <w:lang w:val="en-US" w:eastAsia="el-GR"/>
        </w:rPr>
        <w:t xml:space="preserve">been conducted </w:t>
      </w:r>
      <w:r w:rsidR="004208F1" w:rsidRPr="008E3F16">
        <w:rPr>
          <w:rFonts w:ascii="Book Antiqua" w:eastAsia="Times New Roman" w:hAnsi="Book Antiqua" w:cs="Times New Roman"/>
          <w:color w:val="000000" w:themeColor="text1"/>
          <w:shd w:val="clear" w:color="auto" w:fill="FFFFFF"/>
          <w:lang w:val="en-US" w:eastAsia="el-GR"/>
        </w:rPr>
        <w:t xml:space="preserve">assessing the sensitivity and specificity of </w:t>
      </w:r>
      <w:r w:rsidR="00810390" w:rsidRPr="008E3F16">
        <w:rPr>
          <w:rFonts w:ascii="Book Antiqua" w:eastAsia="Times New Roman" w:hAnsi="Book Antiqua" w:cs="Times New Roman"/>
          <w:color w:val="000000" w:themeColor="text1"/>
          <w:shd w:val="clear" w:color="auto" w:fill="FFFFFF"/>
          <w:lang w:val="en-US" w:eastAsia="el-GR"/>
        </w:rPr>
        <w:t xml:space="preserve">the </w:t>
      </w:r>
      <w:r w:rsidR="004208F1" w:rsidRPr="008E3F16">
        <w:rPr>
          <w:rFonts w:ascii="Book Antiqua" w:eastAsia="Times New Roman" w:hAnsi="Book Antiqua" w:cs="Times New Roman"/>
          <w:color w:val="000000" w:themeColor="text1"/>
          <w:shd w:val="clear" w:color="auto" w:fill="FFFFFF"/>
          <w:lang w:val="en-US" w:eastAsia="el-GR"/>
        </w:rPr>
        <w:t xml:space="preserve">GP2 </w:t>
      </w:r>
      <w:r w:rsidR="006E49AF" w:rsidRPr="008E3F16">
        <w:rPr>
          <w:rFonts w:ascii="Book Antiqua" w:eastAsia="Times New Roman" w:hAnsi="Book Antiqua" w:cs="Times New Roman"/>
          <w:color w:val="000000" w:themeColor="text1"/>
          <w:shd w:val="clear" w:color="auto" w:fill="FFFFFF"/>
          <w:lang w:val="en-US" w:eastAsia="el-GR"/>
        </w:rPr>
        <w:t>auto</w:t>
      </w:r>
      <w:r w:rsidR="004208F1" w:rsidRPr="008E3F16">
        <w:rPr>
          <w:rFonts w:ascii="Book Antiqua" w:eastAsia="Times New Roman" w:hAnsi="Book Antiqua" w:cs="Times New Roman"/>
          <w:color w:val="000000" w:themeColor="text1"/>
          <w:shd w:val="clear" w:color="auto" w:fill="FFFFFF"/>
          <w:lang w:val="en-US" w:eastAsia="el-GR"/>
        </w:rPr>
        <w:t>antibod</w:t>
      </w:r>
      <w:r w:rsidR="00810390" w:rsidRPr="008E3F16">
        <w:rPr>
          <w:rFonts w:ascii="Book Antiqua" w:eastAsia="Times New Roman" w:hAnsi="Book Antiqua" w:cs="Times New Roman"/>
          <w:color w:val="000000" w:themeColor="text1"/>
          <w:shd w:val="clear" w:color="auto" w:fill="FFFFFF"/>
          <w:lang w:val="en-US" w:eastAsia="el-GR"/>
        </w:rPr>
        <w:t>ies</w:t>
      </w:r>
      <w:r w:rsidR="004208F1" w:rsidRPr="008E3F16">
        <w:rPr>
          <w:rFonts w:ascii="Book Antiqua" w:eastAsia="Times New Roman" w:hAnsi="Book Antiqua" w:cs="Times New Roman"/>
          <w:color w:val="000000" w:themeColor="text1"/>
          <w:shd w:val="clear" w:color="auto" w:fill="FFFFFF"/>
          <w:lang w:val="en-US" w:eastAsia="el-GR"/>
        </w:rPr>
        <w:t xml:space="preserve"> for CD’s differential diagnosis,</w:t>
      </w:r>
      <w:r w:rsidRPr="008E3F16">
        <w:rPr>
          <w:rFonts w:ascii="Book Antiqua" w:eastAsia="Times New Roman" w:hAnsi="Book Antiqua" w:cs="Times New Roman"/>
          <w:color w:val="000000" w:themeColor="text1"/>
          <w:shd w:val="clear" w:color="auto" w:fill="FFFFFF"/>
          <w:lang w:val="en-US" w:eastAsia="el-GR"/>
        </w:rPr>
        <w:t xml:space="preserve"> </w:t>
      </w:r>
      <w:r w:rsidR="004208F1" w:rsidRPr="008E3F16">
        <w:rPr>
          <w:rFonts w:ascii="Book Antiqua" w:eastAsia="Times New Roman" w:hAnsi="Book Antiqua" w:cs="Times New Roman"/>
          <w:color w:val="000000" w:themeColor="text1"/>
          <w:shd w:val="clear" w:color="auto" w:fill="FFFFFF"/>
          <w:lang w:val="en-US" w:eastAsia="el-GR"/>
        </w:rPr>
        <w:t xml:space="preserve">synthesis of these studies in </w:t>
      </w:r>
      <w:r w:rsidRPr="008E3F16">
        <w:rPr>
          <w:rFonts w:ascii="Book Antiqua" w:eastAsia="Times New Roman" w:hAnsi="Book Antiqua" w:cs="Times New Roman"/>
          <w:color w:val="000000" w:themeColor="text1"/>
          <w:shd w:val="clear" w:color="auto" w:fill="FFFFFF"/>
          <w:lang w:val="en-US" w:eastAsia="el-GR"/>
        </w:rPr>
        <w:t>the form of a</w:t>
      </w:r>
      <w:r w:rsidR="004208F1" w:rsidRPr="008E3F16">
        <w:rPr>
          <w:rFonts w:ascii="Book Antiqua" w:eastAsia="Times New Roman" w:hAnsi="Book Antiqua" w:cs="Times New Roman"/>
          <w:color w:val="000000" w:themeColor="text1"/>
          <w:shd w:val="clear" w:color="auto" w:fill="FFFFFF"/>
          <w:lang w:val="en-US" w:eastAsia="el-GR"/>
        </w:rPr>
        <w:t xml:space="preserve"> systematic review and meta-analysis would undoubtedly produce more valid results, as compared to individual studies, aiding evidence-based diagnosis</w:t>
      </w:r>
      <w:r w:rsidR="004208F1" w:rsidRPr="008E3F16">
        <w:rPr>
          <w:rFonts w:ascii="Book Antiqua" w:eastAsia="Times New Roman" w:hAnsi="Book Antiqua" w:cs="Times New Roman"/>
          <w:color w:val="000000" w:themeColor="text1"/>
          <w:shd w:val="clear" w:color="auto" w:fill="FFFFFF"/>
          <w:lang w:val="en-US" w:eastAsia="el-GR"/>
        </w:rPr>
        <w:fldChar w:fldCharType="begin" w:fldLock="1"/>
      </w:r>
      <w:r w:rsidR="000D491E" w:rsidRPr="008E3F16">
        <w:rPr>
          <w:rFonts w:ascii="Book Antiqua" w:eastAsia="Times New Roman" w:hAnsi="Book Antiqua" w:cs="Times New Roman"/>
          <w:color w:val="000000" w:themeColor="text1"/>
          <w:shd w:val="clear" w:color="auto" w:fill="FFFFFF"/>
          <w:lang w:val="en-US" w:eastAsia="el-GR"/>
        </w:rPr>
        <w:instrText>ADDIN CSL_CITATION {"citationItems":[{"id":"ITEM-1","itemData":{"DOI":"10.1136/bmj.38915.558738.55","ISSN":"1756-1833","PMID":"16931846","abstract":"Much effort is directed towards optimising doctor-patient communication and avoiding misunderstandings. The language of everyday diagnostic reasoning as it routinely occurs among doctors in teaching hospitals could benefit from similar attention \n\nAlthough interest in evidence based medicine has increased in recent years, and it is taught in most medical schools, evidence based strategies have been adopted inconsistently into routine care.1 2 One aspect of evidence based medicine involves understanding the limitations of inherently imperfect diagnostic tests. Many trainees appreciate the concepts of sensitivity and specificity and learn how to combine the “art” of the history and physical exam (pre-test probability of disease) with the “science” of diagnostic testing (post-test probability of disease) without explicit use of quantitative probability theory. Nevertheless, it seems that quantitative reasoning is neither intuitive nor well understood. As diagnostic testing is a common and critical component of evaluating patients, it is worth considering whether the manner in which we verbally communicate these ideas may represent a fundamental (yet reparable) hindrance to diagnostic reasoning. We discuss common examples of diagnostic language that do not accurately reflect the underlying theory, and review the evidence for inadequate clinical application of bayesian strategies.\n\nAs trainees, we can all recall hearing pearls of wisdom conveyed in the form of: “Any patient presenting with this sign/symptom is assumed to have disease X until proved otherwise.” The common mnemonic “SPin/SNout” is used to indicate that positive results from specific tests rule in disease, while negative results from sensitive tests rule out disease. One may hear sensitivity or specificity discussed in isolation (“that test is so sensitive that a negative result rules out disease”) or, more commonly, of a test having good positive or negative predictive value. Certain findings are called “non-specific” because they manifest in multiple diseases. Although this language seems to …","author":[{"dropping-particle":"","family":"Bianchi","given":"Matt T","non-dropping-particle":"","parse-names":false,"suffix":""},{"dropping-particle":"","family":"Alexander","given":"Brian M","non-dropping-particle":"","parse-names":false,"suffix":""}],"container-title":"BMJ (Clinical research ed.)","id":"ITEM-1","issue":"7565","issued":{"date-parts":[["2006","8","26"]]},"page":"442-5","publisher":"British Medical Journal Publishing Group","title":"Evidence based diagnosis: does the language reflect the theory?","type":"article-journal","volume":"333"},"uris":["http://www.mendeley.com/documents/?uuid=2ad1d323-da3e-3b4e-9911-2cde725f865c"]}],"mendeley":{"formattedCitation":"&lt;sup&gt;[12]&lt;/sup&gt;","plainTextFormattedCitation":"[12]","previouslyFormattedCitation":"&lt;sup&gt;[12]&lt;/sup&gt;"},"properties":{"noteIndex":0},"schema":"https://github.com/citation-style-language/schema/raw/master/csl-citation.json"}</w:instrText>
      </w:r>
      <w:r w:rsidR="004208F1" w:rsidRPr="008E3F16">
        <w:rPr>
          <w:rFonts w:ascii="Book Antiqua" w:eastAsia="Times New Roman" w:hAnsi="Book Antiqua" w:cs="Times New Roman"/>
          <w:color w:val="000000" w:themeColor="text1"/>
          <w:shd w:val="clear" w:color="auto" w:fill="FFFFFF"/>
          <w:lang w:val="en-US" w:eastAsia="el-GR"/>
        </w:rPr>
        <w:fldChar w:fldCharType="separate"/>
      </w:r>
      <w:r w:rsidR="004208F1" w:rsidRPr="008E3F16">
        <w:rPr>
          <w:rFonts w:ascii="Book Antiqua" w:eastAsia="Times New Roman" w:hAnsi="Book Antiqua" w:cs="Times New Roman"/>
          <w:noProof/>
          <w:color w:val="000000" w:themeColor="text1"/>
          <w:shd w:val="clear" w:color="auto" w:fill="FFFFFF"/>
          <w:vertAlign w:val="superscript"/>
          <w:lang w:val="en-US" w:eastAsia="el-GR"/>
        </w:rPr>
        <w:t>[12]</w:t>
      </w:r>
      <w:r w:rsidR="004208F1" w:rsidRPr="008E3F16">
        <w:rPr>
          <w:rFonts w:ascii="Book Antiqua" w:eastAsia="Times New Roman" w:hAnsi="Book Antiqua" w:cs="Times New Roman"/>
          <w:color w:val="000000" w:themeColor="text1"/>
          <w:shd w:val="clear" w:color="auto" w:fill="FFFFFF"/>
          <w:lang w:val="en-US" w:eastAsia="el-GR"/>
        </w:rPr>
        <w:fldChar w:fldCharType="end"/>
      </w:r>
      <w:r w:rsidR="000D491E" w:rsidRPr="008E3F16">
        <w:rPr>
          <w:rFonts w:ascii="Book Antiqua" w:eastAsia="Times New Roman" w:hAnsi="Book Antiqua" w:cs="Times New Roman"/>
          <w:color w:val="000000" w:themeColor="text1"/>
          <w:shd w:val="clear" w:color="auto" w:fill="FFFFFF"/>
          <w:lang w:val="en-US" w:eastAsia="el-GR"/>
        </w:rPr>
        <w:t>.</w:t>
      </w:r>
      <w:r w:rsidR="004208F1" w:rsidRPr="008E3F16">
        <w:rPr>
          <w:rFonts w:ascii="Book Antiqua" w:eastAsia="Times New Roman" w:hAnsi="Book Antiqua" w:cs="Times New Roman"/>
          <w:color w:val="000000" w:themeColor="text1"/>
          <w:shd w:val="clear" w:color="auto" w:fill="FFFFFF"/>
          <w:lang w:val="en-US" w:eastAsia="el-GR"/>
        </w:rPr>
        <w:t xml:space="preserve"> Meta-analyses of DTA studies are important to obtain more valid, summary estimates of the diagnostic accuracy of an index test</w:t>
      </w:r>
      <w:r w:rsidR="004208F1" w:rsidRPr="008E3F16">
        <w:rPr>
          <w:rFonts w:ascii="Book Antiqua" w:eastAsia="Times New Roman" w:hAnsi="Book Antiqua" w:cs="Times New Roman"/>
          <w:color w:val="000000" w:themeColor="text1"/>
          <w:shd w:val="clear" w:color="auto" w:fill="FFFFFF"/>
          <w:lang w:val="en-US" w:eastAsia="el-GR"/>
        </w:rPr>
        <w:fldChar w:fldCharType="begin" w:fldLock="1"/>
      </w:r>
      <w:r w:rsidR="000D491E" w:rsidRPr="008E3F16">
        <w:rPr>
          <w:rFonts w:ascii="Book Antiqua" w:eastAsia="Times New Roman" w:hAnsi="Book Antiqua" w:cs="Times New Roman"/>
          <w:color w:val="000000" w:themeColor="text1"/>
          <w:shd w:val="clear" w:color="auto" w:fill="FFFFFF"/>
          <w:lang w:val="en-US" w:eastAsia="el-GR"/>
        </w:rPr>
        <w:instrText>ADDIN CSL_CITATION {"citationItems":[{"id":"ITEM-1","itemData":{"DOI":"10.3348/kjr.2015.16.6.1175","ISSN":"2005-8330","PMID":"26576106","abstract":"In the field of diagnostic test accuracy (DTA), the use of systematic review and meta-analyses is steadily increasing. By means of objective evaluation of all available primary studies, these two processes generate an evidence-based systematic summary regarding a specific research topic. The methodology for systematic review and meta-analysis in DTA studies differs from that in therapeutic/interventional studies, and its content is still evolving. Here we review the overall process from a practical standpoint, which may serve as a reference for those who implement these methods.","author":[{"dropping-particle":"","family":"Kim","given":"Kyung Won","non-dropping-particle":"","parse-names":false,"suffix":""},{"dropping-particle":"","family":"Lee","given":"Juneyoung","non-dropping-particle":"","parse-names":false,"suffix":""},{"dropping-particle":"","family":"Choi","given":"Sang Hyun","non-dropping-particle":"","parse-names":false,"suffix":""},{"dropping-particle":"","family":"Huh","given":"Jimi","non-dropping-particle":"","parse-names":false,"suffix":""},{"dropping-particle":"","family":"Park","given":"Seong Ho","non-dropping-particle":"","parse-names":false,"suffix":""}],"container-title":"Korean journal of radiology","id":"ITEM-1","issue":"6","issued":{"date-parts":[["2015"]]},"page":"1175-87","publisher":"Korean Society of Radiology","title":"Systematic Review and Meta-Analysis of Studies Evaluating Diagnostic Test Accuracy: A Practical Review for Clinical Researchers-Part I. General Guidance and Tips.","type":"article-journal","volume":"16"},"uris":["http://www.mendeley.com/documents/?uuid=9e10b36c-9277-3f5e-88e8-074e109858fb"]}],"mendeley":{"formattedCitation":"&lt;sup&gt;[13]&lt;/sup&gt;","plainTextFormattedCitation":"[13]","previouslyFormattedCitation":"&lt;sup&gt;[13]&lt;/sup&gt;"},"properties":{"noteIndex":0},"schema":"https://github.com/citation-style-language/schema/raw/master/csl-citation.json"}</w:instrText>
      </w:r>
      <w:r w:rsidR="004208F1" w:rsidRPr="008E3F16">
        <w:rPr>
          <w:rFonts w:ascii="Book Antiqua" w:eastAsia="Times New Roman" w:hAnsi="Book Antiqua" w:cs="Times New Roman"/>
          <w:color w:val="000000" w:themeColor="text1"/>
          <w:shd w:val="clear" w:color="auto" w:fill="FFFFFF"/>
          <w:lang w:val="en-US" w:eastAsia="el-GR"/>
        </w:rPr>
        <w:fldChar w:fldCharType="separate"/>
      </w:r>
      <w:r w:rsidR="004208F1" w:rsidRPr="008E3F16">
        <w:rPr>
          <w:rFonts w:ascii="Book Antiqua" w:eastAsia="Times New Roman" w:hAnsi="Book Antiqua" w:cs="Times New Roman"/>
          <w:noProof/>
          <w:color w:val="000000" w:themeColor="text1"/>
          <w:shd w:val="clear" w:color="auto" w:fill="FFFFFF"/>
          <w:vertAlign w:val="superscript"/>
          <w:lang w:val="en-US" w:eastAsia="el-GR"/>
        </w:rPr>
        <w:t>[13]</w:t>
      </w:r>
      <w:r w:rsidR="004208F1" w:rsidRPr="008E3F16">
        <w:rPr>
          <w:rFonts w:ascii="Book Antiqua" w:eastAsia="Times New Roman" w:hAnsi="Book Antiqua" w:cs="Times New Roman"/>
          <w:color w:val="000000" w:themeColor="text1"/>
          <w:shd w:val="clear" w:color="auto" w:fill="FFFFFF"/>
          <w:lang w:val="en-US" w:eastAsia="el-GR"/>
        </w:rPr>
        <w:fldChar w:fldCharType="end"/>
      </w:r>
      <w:r w:rsidR="000D491E" w:rsidRPr="008E3F16">
        <w:rPr>
          <w:rFonts w:ascii="Book Antiqua" w:eastAsia="Times New Roman" w:hAnsi="Book Antiqua" w:cs="Times New Roman"/>
          <w:color w:val="000000" w:themeColor="text1"/>
          <w:shd w:val="clear" w:color="auto" w:fill="FFFFFF"/>
          <w:lang w:val="en-US" w:eastAsia="el-GR"/>
        </w:rPr>
        <w:t>.</w:t>
      </w:r>
      <w:r w:rsidR="004208F1" w:rsidRPr="008E3F16">
        <w:rPr>
          <w:rFonts w:ascii="Book Antiqua" w:eastAsia="Times New Roman" w:hAnsi="Book Antiqua" w:cs="Times New Roman"/>
          <w:color w:val="000000" w:themeColor="text1"/>
          <w:shd w:val="clear" w:color="auto" w:fill="FFFFFF"/>
          <w:lang w:val="en-US" w:eastAsia="el-GR"/>
        </w:rPr>
        <w:t xml:space="preserve"> One such meta-analysis investigating the diagnostic accuracy of anti-GP2 for CD was published </w:t>
      </w:r>
      <w:r w:rsidR="00076E58" w:rsidRPr="008E3F16">
        <w:rPr>
          <w:rFonts w:ascii="Book Antiqua" w:eastAsia="Times New Roman" w:hAnsi="Book Antiqua" w:cs="Times New Roman"/>
          <w:color w:val="000000" w:themeColor="text1"/>
          <w:shd w:val="clear" w:color="auto" w:fill="FFFFFF"/>
          <w:lang w:val="en-US" w:eastAsia="el-GR"/>
        </w:rPr>
        <w:t>during</w:t>
      </w:r>
      <w:r w:rsidR="004208F1" w:rsidRPr="008E3F16">
        <w:rPr>
          <w:rFonts w:ascii="Book Antiqua" w:eastAsia="Times New Roman" w:hAnsi="Book Antiqua" w:cs="Times New Roman"/>
          <w:color w:val="000000" w:themeColor="text1"/>
          <w:shd w:val="clear" w:color="auto" w:fill="FFFFFF"/>
          <w:lang w:val="en-US" w:eastAsia="el-GR"/>
        </w:rPr>
        <w:t xml:space="preserve"> </w:t>
      </w:r>
      <w:r w:rsidR="006E49AF" w:rsidRPr="008E3F16">
        <w:rPr>
          <w:rFonts w:ascii="Book Antiqua" w:eastAsia="Times New Roman" w:hAnsi="Book Antiqua" w:cs="Times New Roman"/>
          <w:color w:val="000000" w:themeColor="text1"/>
          <w:shd w:val="clear" w:color="auto" w:fill="FFFFFF"/>
          <w:lang w:val="en-US" w:eastAsia="el-GR"/>
        </w:rPr>
        <w:t xml:space="preserve">the year </w:t>
      </w:r>
      <w:r w:rsidR="004208F1" w:rsidRPr="008E3F16">
        <w:rPr>
          <w:rFonts w:ascii="Book Antiqua" w:eastAsia="Times New Roman" w:hAnsi="Book Antiqua" w:cs="Times New Roman"/>
          <w:color w:val="000000" w:themeColor="text1"/>
          <w:shd w:val="clear" w:color="auto" w:fill="FFFFFF"/>
          <w:lang w:val="en-US" w:eastAsia="el-GR"/>
        </w:rPr>
        <w:t>2017</w:t>
      </w:r>
      <w:r w:rsidR="004208F1" w:rsidRPr="008E3F16">
        <w:rPr>
          <w:rFonts w:ascii="Book Antiqua" w:eastAsia="Times New Roman" w:hAnsi="Book Antiqua" w:cs="Times New Roman"/>
          <w:color w:val="000000" w:themeColor="text1"/>
          <w:shd w:val="clear" w:color="auto" w:fill="FFFFFF"/>
          <w:lang w:val="en-US" w:eastAsia="el-GR"/>
        </w:rPr>
        <w:fldChar w:fldCharType="begin" w:fldLock="1"/>
      </w:r>
      <w:r w:rsidR="000D491E" w:rsidRPr="008E3F16">
        <w:rPr>
          <w:rFonts w:ascii="Book Antiqua" w:eastAsia="Times New Roman" w:hAnsi="Book Antiqua" w:cs="Times New Roman"/>
          <w:color w:val="000000" w:themeColor="text1"/>
          <w:shd w:val="clear" w:color="auto" w:fill="FFFFFF"/>
          <w:lang w:val="en-US" w:eastAsia="el-GR"/>
        </w:rPr>
        <w:instrText>ADDIN CSL_CITATION {"citationItems":[{"id":"ITEM-1","itemData":{"DOI":"10.1136/bmjopen-2016-014843","ISSN":"2044-6055","PMID":"28601823","abstract":"OBJECTIVES To perform a meta-analysis to evaluate the diagnostic performance of the antiglycoprotein-2 (GP2) antibody for Crohn's disease (CD). METHODS Three databases (EMBASE, ISI Web of Knowledge and PubMed) were systematically searched. There were 17 eligible studies included in the meta-analysis. A total of 2439</w:instrText>
      </w:r>
      <w:r w:rsidR="000D491E" w:rsidRPr="008E3F16">
        <w:rPr>
          <w:rFonts w:ascii="MS Gothic" w:eastAsia="MS Gothic" w:hAnsi="MS Gothic" w:cs="MS Gothic" w:hint="eastAsia"/>
          <w:color w:val="000000" w:themeColor="text1"/>
          <w:shd w:val="clear" w:color="auto" w:fill="FFFFFF"/>
          <w:lang w:val="en-US" w:eastAsia="el-GR"/>
        </w:rPr>
        <w:instrText> </w:instrText>
      </w:r>
      <w:r w:rsidR="000D491E" w:rsidRPr="008E3F16">
        <w:rPr>
          <w:rFonts w:ascii="Book Antiqua" w:eastAsia="Times New Roman" w:hAnsi="Book Antiqua" w:cs="Times New Roman"/>
          <w:color w:val="000000" w:themeColor="text1"/>
          <w:shd w:val="clear" w:color="auto" w:fill="FFFFFF"/>
          <w:lang w:val="en-US" w:eastAsia="el-GR"/>
        </w:rPr>
        <w:instrText>patients with CD and 3184 controls were involved in these studies. STATA V.11.2 and Meta-DiSc V.1.4 were used to perform the meta-analysis. RESULTS The area under the summary receiver operating characteristic curve was 0.68-0.72. The pooled diagnostic sensitivity of the anti-GP2 antibody ranged from 14% to 24%, and the specificity was 96%-98%. CONCLUSIONS The anti-GP2 antibody is a specific biomarker for CD, and further exploration of its prevalence among different clinical phenotypes of CD will provide a better understanding of its diagnostic performance.","author":[{"dropping-particle":"","family":"Deng","given":"Chuiwen","non-dropping-particle":"","parse-names":false,"suffix":""},{"dropping-particle":"","family":"Li","given":"Wenli","non-dropping-particle":"","parse-names":false,"suffix":""},{"dropping-particle":"","family":"Li","given":"Jing","non-dropping-particle":"","parse-names":false,"suffix":""},{"dropping-particle":"","family":"Zhang","given":"Shulan","non-dropping-particle":"","parse-names":false,"suffix":""},{"dropping-particle":"","family":"Li","given":"Yongzhe","non-dropping-particle":"","parse-names":false,"suffix":""}],"container-title":"BMJ Open","id":"ITEM-1","issue":"6","issued":{"date-parts":[["2017","6","9"]]},"page":"e014843","title":"Diagnostic value of the antiglycoprotein-2 antibody for Crohn’s disease: a PRISMA-compliant systematic review and meta-analysis","type":"article-journal","volume":"7"},"uris":["http://www.mendeley.com/documents/?uuid=2e5b7b7a-7360-3c71-8a64-7cb5090f41e8"]}],"mendeley":{"formattedCitation":"&lt;sup&gt;[14]&lt;/sup&gt;","plainTextFormattedCitation":"[14]","previouslyFormattedCitation":"&lt;sup&gt;[14]&lt;/sup&gt;"},"properties":{"noteIndex":0},"schema":"https://github.com/citation-style-language/schema/raw/master/csl-citation.json"}</w:instrText>
      </w:r>
      <w:r w:rsidR="004208F1" w:rsidRPr="008E3F16">
        <w:rPr>
          <w:rFonts w:ascii="Book Antiqua" w:eastAsia="Times New Roman" w:hAnsi="Book Antiqua" w:cs="Times New Roman"/>
          <w:color w:val="000000" w:themeColor="text1"/>
          <w:shd w:val="clear" w:color="auto" w:fill="FFFFFF"/>
          <w:lang w:val="en-US" w:eastAsia="el-GR"/>
        </w:rPr>
        <w:fldChar w:fldCharType="separate"/>
      </w:r>
      <w:r w:rsidR="004208F1" w:rsidRPr="008E3F16">
        <w:rPr>
          <w:rFonts w:ascii="Book Antiqua" w:eastAsia="Times New Roman" w:hAnsi="Book Antiqua" w:cs="Times New Roman"/>
          <w:noProof/>
          <w:color w:val="000000" w:themeColor="text1"/>
          <w:shd w:val="clear" w:color="auto" w:fill="FFFFFF"/>
          <w:vertAlign w:val="superscript"/>
          <w:lang w:val="en-US" w:eastAsia="el-GR"/>
        </w:rPr>
        <w:t>[14]</w:t>
      </w:r>
      <w:r w:rsidR="004208F1" w:rsidRPr="008E3F16">
        <w:rPr>
          <w:rFonts w:ascii="Book Antiqua" w:eastAsia="Times New Roman" w:hAnsi="Book Antiqua" w:cs="Times New Roman"/>
          <w:color w:val="000000" w:themeColor="text1"/>
          <w:shd w:val="clear" w:color="auto" w:fill="FFFFFF"/>
          <w:lang w:val="en-US" w:eastAsia="el-GR"/>
        </w:rPr>
        <w:fldChar w:fldCharType="end"/>
      </w:r>
      <w:r w:rsidR="000D491E" w:rsidRPr="008E3F16">
        <w:rPr>
          <w:rFonts w:ascii="Book Antiqua" w:eastAsia="Times New Roman" w:hAnsi="Book Antiqua" w:cs="Times New Roman"/>
          <w:color w:val="000000" w:themeColor="text1"/>
          <w:shd w:val="clear" w:color="auto" w:fill="FFFFFF"/>
          <w:lang w:val="en-US" w:eastAsia="el-GR"/>
        </w:rPr>
        <w:t>,</w:t>
      </w:r>
      <w:r w:rsidR="004208F1" w:rsidRPr="008E3F16">
        <w:rPr>
          <w:rFonts w:ascii="Book Antiqua" w:eastAsia="Times New Roman" w:hAnsi="Book Antiqua" w:cs="Times New Roman"/>
          <w:color w:val="000000" w:themeColor="text1"/>
          <w:shd w:val="clear" w:color="auto" w:fill="FFFFFF"/>
          <w:lang w:val="en-US" w:eastAsia="el-GR"/>
        </w:rPr>
        <w:t xml:space="preserve"> missing however, many of the DTA studies published since</w:t>
      </w:r>
      <w:r w:rsidR="006E49AF" w:rsidRPr="008E3F16">
        <w:rPr>
          <w:rFonts w:ascii="Book Antiqua" w:eastAsia="Times New Roman" w:hAnsi="Book Antiqua" w:cs="Times New Roman"/>
          <w:color w:val="000000" w:themeColor="text1"/>
          <w:shd w:val="clear" w:color="auto" w:fill="FFFFFF"/>
          <w:lang w:val="en-US" w:eastAsia="el-GR"/>
        </w:rPr>
        <w:t xml:space="preserve"> then</w:t>
      </w:r>
      <w:r w:rsidR="004208F1" w:rsidRPr="008E3F16">
        <w:rPr>
          <w:rFonts w:ascii="Book Antiqua" w:eastAsia="Times New Roman" w:hAnsi="Book Antiqua" w:cs="Times New Roman"/>
          <w:color w:val="000000" w:themeColor="text1"/>
          <w:shd w:val="clear" w:color="auto" w:fill="FFFFFF"/>
          <w:lang w:val="en-US" w:eastAsia="el-GR"/>
        </w:rPr>
        <w:t>. Additionally, this specific meta-analysis</w:t>
      </w:r>
      <w:r w:rsidR="004208F1" w:rsidRPr="008E3F16">
        <w:rPr>
          <w:rFonts w:ascii="Book Antiqua" w:eastAsia="Times New Roman" w:hAnsi="Book Antiqua" w:cs="Times New Roman"/>
          <w:color w:val="000000" w:themeColor="text1"/>
          <w:shd w:val="clear" w:color="auto" w:fill="FFFFFF"/>
          <w:lang w:val="en-US" w:eastAsia="el-GR"/>
        </w:rPr>
        <w:fldChar w:fldCharType="begin" w:fldLock="1"/>
      </w:r>
      <w:r w:rsidR="000D491E" w:rsidRPr="008E3F16">
        <w:rPr>
          <w:rFonts w:ascii="Book Antiqua" w:eastAsia="Times New Roman" w:hAnsi="Book Antiqua" w:cs="Times New Roman"/>
          <w:color w:val="000000" w:themeColor="text1"/>
          <w:shd w:val="clear" w:color="auto" w:fill="FFFFFF"/>
          <w:lang w:val="en-US" w:eastAsia="el-GR"/>
        </w:rPr>
        <w:instrText>ADDIN CSL_CITATION {"citationItems":[{"id":"ITEM-1","itemData":{"DOI":"10.1136/bmjopen-2016-014843","ISSN":"2044-6055","PMID":"28601823","abstract":"OBJECTIVES To perform a meta-analysis to evaluate the diagnostic performance of the antiglycoprotein-2 (GP2) antibody for Crohn's disease (CD). METHODS Three databases (EMBASE, ISI Web of Knowledge and PubMed) were systematically searched. There were 17 eligible studies included in the meta-analysis. A total of 2439</w:instrText>
      </w:r>
      <w:r w:rsidR="000D491E" w:rsidRPr="008E3F16">
        <w:rPr>
          <w:rFonts w:ascii="MS Gothic" w:eastAsia="MS Gothic" w:hAnsi="MS Gothic" w:cs="MS Gothic" w:hint="eastAsia"/>
          <w:color w:val="000000" w:themeColor="text1"/>
          <w:shd w:val="clear" w:color="auto" w:fill="FFFFFF"/>
          <w:lang w:val="en-US" w:eastAsia="el-GR"/>
        </w:rPr>
        <w:instrText> </w:instrText>
      </w:r>
      <w:r w:rsidR="000D491E" w:rsidRPr="008E3F16">
        <w:rPr>
          <w:rFonts w:ascii="Book Antiqua" w:eastAsia="Times New Roman" w:hAnsi="Book Antiqua" w:cs="Times New Roman"/>
          <w:color w:val="000000" w:themeColor="text1"/>
          <w:shd w:val="clear" w:color="auto" w:fill="FFFFFF"/>
          <w:lang w:val="en-US" w:eastAsia="el-GR"/>
        </w:rPr>
        <w:instrText>patients with CD and 3184 controls were involved in these studies. STATA V.11.2 and Meta-DiSc V.1.4 were used to perform the meta-analysis. RESULTS The area under the summary receiver operating characteristic curve was 0.68-0.72. The pooled diagnostic sensitivity of the anti-GP2 antibody ranged from 14% to 24%, and the specificity was 96%-98%. CONCLUSIONS The anti-GP2 antibody is a specific biomarker for CD, and further exploration of its prevalence among different clinical phenotypes of CD will provide a better understanding of its diagnostic performance.","author":[{"dropping-particle":"","family":"Deng","given":"Chuiwen","non-dropping-particle":"","parse-names":false,"suffix":""},{"dropping-particle":"","family":"Li","given":"Wenli","non-dropping-particle":"","parse-names":false,"suffix":""},{"dropping-particle":"","family":"Li","given":"Jing","non-dropping-particle":"","parse-names":false,"suffix":""},{"dropping-particle":"","family":"Zhang","given":"Shulan","non-dropping-particle":"","parse-names":false,"suffix":""},{"dropping-particle":"","family":"Li","given":"Yongzhe","non-dropping-particle":"","parse-names":false,"suffix":""}],"container-title":"BMJ Open","id":"ITEM-1","issue":"6","issued":{"date-parts":[["2017","6","9"]]},"page":"e014843","title":"Diagnostic value of the antiglycoprotein-2 antibody for Crohn’s disease: a PRISMA-compliant systematic review and meta-analysis","type":"article-journal","volume":"7"},"uris":["http://www.mendeley.com/documents/?uuid=2e5b7b7a-7360-3c71-8a64-7cb5090f41e8"]}],"mendeley":{"formattedCitation":"&lt;sup&gt;[14]&lt;/sup&gt;","plainTextFormattedCitation":"[14]","previouslyFormattedCitation":"&lt;sup&gt;[14]&lt;/sup&gt;"},"properties":{"noteIndex":0},"schema":"https://github.com/citation-style-language/schema/raw/master/csl-citation.json"}</w:instrText>
      </w:r>
      <w:r w:rsidR="004208F1" w:rsidRPr="008E3F16">
        <w:rPr>
          <w:rFonts w:ascii="Book Antiqua" w:eastAsia="Times New Roman" w:hAnsi="Book Antiqua" w:cs="Times New Roman"/>
          <w:color w:val="000000" w:themeColor="text1"/>
          <w:shd w:val="clear" w:color="auto" w:fill="FFFFFF"/>
          <w:lang w:val="en-US" w:eastAsia="el-GR"/>
        </w:rPr>
        <w:fldChar w:fldCharType="separate"/>
      </w:r>
      <w:r w:rsidR="004208F1" w:rsidRPr="008E3F16">
        <w:rPr>
          <w:rFonts w:ascii="Book Antiqua" w:eastAsia="Times New Roman" w:hAnsi="Book Antiqua" w:cs="Times New Roman"/>
          <w:noProof/>
          <w:color w:val="000000" w:themeColor="text1"/>
          <w:shd w:val="clear" w:color="auto" w:fill="FFFFFF"/>
          <w:vertAlign w:val="superscript"/>
          <w:lang w:val="en-US" w:eastAsia="el-GR"/>
        </w:rPr>
        <w:t>[14]</w:t>
      </w:r>
      <w:r w:rsidR="004208F1" w:rsidRPr="008E3F16">
        <w:rPr>
          <w:rFonts w:ascii="Book Antiqua" w:eastAsia="Times New Roman" w:hAnsi="Book Antiqua" w:cs="Times New Roman"/>
          <w:color w:val="000000" w:themeColor="text1"/>
          <w:shd w:val="clear" w:color="auto" w:fill="FFFFFF"/>
          <w:lang w:val="en-US" w:eastAsia="el-GR"/>
        </w:rPr>
        <w:fldChar w:fldCharType="end"/>
      </w:r>
      <w:r w:rsidR="004208F1" w:rsidRPr="008E3F16">
        <w:rPr>
          <w:rFonts w:ascii="Book Antiqua" w:eastAsia="Times New Roman" w:hAnsi="Book Antiqua" w:cs="Times New Roman"/>
          <w:color w:val="000000" w:themeColor="text1"/>
          <w:shd w:val="clear" w:color="auto" w:fill="FFFFFF"/>
          <w:lang w:val="en-US" w:eastAsia="el-GR"/>
        </w:rPr>
        <w:t xml:space="preserve"> also exhibited few methodological shortcomings, like the improper inclusion of healthy controls in the samples analyzed, although for DTA studies, only patients with symptoms akin to the disease investigated are to be used</w:t>
      </w:r>
      <w:r w:rsidR="004208F1" w:rsidRPr="008E3F16">
        <w:rPr>
          <w:rFonts w:ascii="Book Antiqua" w:eastAsia="Times New Roman" w:hAnsi="Book Antiqua" w:cs="Times New Roman"/>
          <w:color w:val="000000" w:themeColor="text1"/>
          <w:shd w:val="clear" w:color="auto" w:fill="FFFFFF"/>
          <w:lang w:val="en-US" w:eastAsia="el-GR"/>
        </w:rPr>
        <w:fldChar w:fldCharType="begin" w:fldLock="1"/>
      </w:r>
      <w:r w:rsidR="003E6BBC" w:rsidRPr="008E3F16">
        <w:rPr>
          <w:rFonts w:ascii="Book Antiqua" w:eastAsia="Times New Roman" w:hAnsi="Book Antiqua" w:cs="Times New Roman"/>
          <w:color w:val="000000" w:themeColor="text1"/>
          <w:shd w:val="clear" w:color="auto" w:fill="FFFFFF"/>
          <w:lang w:val="en-US" w:eastAsia="el-GR"/>
        </w:rPr>
        <w:instrText>ADDIN CSL_CITATION {"citationItems":[{"id":"ITEM-1","itemData":{"DOI":"10.7326/0003-4819-149-12-200812160-00008","ISSN":"1539-3704","PMID":"19075208","abstract":"More and more systematic reviews of diagnostic test accuracy studies are being published, but they can be methodologically challenging. In this paper, the authors present some of the recent developments in the methodology for conducting systematic reviews of diagnostic test accuracy studies. Restrictive electronic search filters are discouraged, as is the use of summary quality scores. Methods for meta-analysis should take into account the paired nature of the estimates and their dependence on threshold. Authors of these reviews are advised to use the hierarchical summary receiver-operating characteristic or the bivariate model for the data analysis. Challenges that remain are the poor reporting of original diagnostic test accuracy studies and difficulties with the interpretation of the results of diagnostic test accuracy research.","author":[{"dropping-particle":"","family":"Leeflang","given":"Mariska M G","non-dropping-particle":"","parse-names":false,"suffix":""},{"dropping-particle":"","family":"Deeks","given":"Jonathan J","non-dropping-particle":"","parse-names":false,"suffix":""},{"dropping-particle":"","family":"Gatsonis","given":"Constantine","non-dropping-particle":"","parse-names":false,"suffix":""},{"dropping-particle":"","family":"Bossuyt","given":"Patrick M M","non-dropping-particle":"","parse-names":false,"suffix":""},{"dropping-particle":"","family":"Cochrane Diagnostic Test Accuracy Working Group","given":"","non-dropping-particle":"","parse-names":false,"suffix":""}],"container-title":"Annals of internal medicine","id":"ITEM-1","issue":"12","issued":{"date-parts":[["2008","12","16"]]},"page":"889-97","publisher":"NIH Public Access","title":"Systematic reviews of diagnostic test accuracy.","type":"article-journal","volume":"149"},"uris":["http://www.mendeley.com/documents/?uuid=a9b36b4e-0a6b-3467-bf85-6b6a526e7270"]},{"id":"ITEM-2","itemData":{"DOI":"10.1503/cmaj.050090","ISSN":"0820-3946","PMID":"16477057","abstract":"BACKGROUND Studies with methodologic shortcomings can overestimate the accuracy of a medical test. We sought to determine and compare the direction and magnitude of the effects of a number of potential sources of bias and variation in studies on estimates of diagnostic accuracy. METHODS We identified meta-analyses of the diagnostic accuracy of tests through an electronic search of the databases MEDLINE, EMBASE, DARE and MEDION (1999-2002). We included meta-analyses with at least 10 primary studies without preselection based on design features. Pairs of reviewers independently extracted study characteristics and original data from the primary studies. We used a multivariable meta-epidemiologic regression model to investigate the direction and strength of the association between 15 study features on estimates of diagnostic accuracy. RESULTS We selected 31 meta-analyses with 487 primary studies of test evaluations. Only 1 study had no design deficiencies. The quality of reporting was poor in most of the studies. We found significantly higher estimates of diagnostic accuracy in studies with nonconsecutive inclusion of patients (relative diagnostic odds ratio [RDOR] 1.5, 95% confidence interval [CI] 1.0-2.1) and retrospective data collection (RDOR 1.6, 95% CI 1.1-2.2). The estimates were highest in studies that had severe cases and healthy controls (RDOR 4.9, 95% CI 0.6-37.3). Studies that selected patients based on whether they had been referred for the index test, rather than on clinical symptoms, produced significantly lower estimates of diagnostic accuracy (RDOR 0.5, 95% CI 0.3-0.9). The variance between meta-analyses of the effect of design features was large to moderate for type of design (cohort v. case-control), the use of composite reference standards and the use of differential verification; the variance was close to zero for the other design features. INTERPRETATION Shortcomings in study design can affect estimates of diagnostic accuracy, but the magnitude of the effect may vary from one situation to another. Design features and clinical characteristics of patient groups should be carefully considered by researchers when designing new studies and by readers when appraising the results of such studies. Unfortunately, incomplete reporting hampers the evaluation of potential sources of bias in diagnostic accuracy studies.","author":[{"dropping-particle":"","family":"Rutjes","given":"A. W.S.","non-dropping-particle":"","parse-names":false,"suffix":""},{"dropping-particle":"","family":"Reitsma","given":"Johannes B","non-dropping-particle":"","parse-names":false,"suffix":""},{"dropping-particle":"","family":"Nisio","given":"Marcello","non-dropping-particle":"Di","parse-names":false,"suffix":""},{"dropping-particle":"","family":"Smidt","given":"Nynke","non-dropping-particle":"","parse-names":false,"suffix":""},{"dropping-particle":"","family":"Rijn","given":"Jeroen C","non-dropping-particle":"van","parse-names":false,"suffix":""},{"dropping-particle":"","family":"Bossuyt","given":"Patrick M M","non-dropping-particle":"","parse-names":false,"suffix":""}],"container-title":"Canadian Medical Association Journal","id":"ITEM-2","issue":"4","issued":{"date-parts":[["2006","2","14"]]},"page":"469-476","title":"Evidence of bias and variation in diagnostic accuracy studies","type":"article-journal","volume":"174"},"uris":["http://www.mendeley.com/documents/?uuid=c4edbef1-a677-32f7-8d7c-f3908d67e73e"]},{"id":"ITEM-3","itemData":{"DOI":"10.1001/jama.282.11.1061","ISSN":"0098-7484","PMID":"10493205","abstract":"CONTEXT The literature contains a large number of potential biases in the evaluation of diagnostic tests. Strict application of appropriate methodological criteria would invalidate the clinical application of most study results. OBJECTIVE To empirically determine the quantitative effect of study design shortcomings on estimates of diagnostic accuracy. DESIGN AND SETTING Observational study of the methodological features of 184 original studies evaluating 218 diagnostic tests. Meta-analyses on diagnostic tests were identified through a systematic search of the literature using MEDLINE, EMBASE, and DARE databases and the Cochrane Library (1996-1997). Associations between study characteristics and estimates of diagnostic accuracy were evaluated with a regression model. MAIN OUTCOME MEASURES Relative diagnostic odds ratio (RDOR), which compared the diagnostic odds ratios of studies of a given test that lacked a particular methodological feature with those without the corresponding shortcomings in design. RESULTS Fifteen (6.8%) of 218 evaluations met all 8 criteria; 64 (30%) met 6 or more. Studies evaluating tests in a diseased population and a separate control group overestimated the diagnostic performance compared with studies that used a clinical population (RDOR, 3.0; 95% confidence interval [CI], 2.0-4.5). Studies in which different reference tests were used for positive and negative results of the test under study overestimated the diagnostic performance compared with studies using a single reference test for all patients (RDOR, 2.2; 95% CI, 1.5-3.3). Diagnostic performance was also overestimated when the reference test was interpreted with knowledge of the test result (RDOR, 1.3; 95% CI, 1.0-1.9), when no criteria for the test were described (RDOR, 1.7; 95% CI, 1.1-2.5), and when no description of the population under study was provided (RDOR, 1.4; 95% CI, 1.1-1.7). CONCLUSION These data provide empirical evidence that diagnostic studies with methodological shortcomings may overestimate the accuracy of a diagnostic test, particularly those including nonrepresentative patients or applying different reference standards.","author":[{"dropping-particle":"","family":"Lijmer","given":"J G","non-dropping-particle":"","parse-names":false,"suffix":""},{"dropping-particle":"","family":"Mol","given":"B W","non-dropping-particle":"","parse-names":false,"suffix":""},{"dropping-particle":"","family":"Heisterkamp","given":"S","non-dropping-particle":"","parse-names":false,"suffix":""},{"dropping-particle":"","family":"Bonsel","given":"G J","non-dropping-particle":"","parse-names":false,"suffix":""},{"dropping-particle":"","family":"Prins","given":"M H","non-dropping-particle":"","parse-names":false,"suffix":""},{"dropping-particle":"","family":"Meulen","given":"J H","non-dropping-particle":"van der","parse-names":false,"suffix":""},{"dropping-particle":"","family":"Bossuyt","given":"P M","non-dropping-particle":"","parse-names":false,"suffix":""}],"container-title":"JAMA","id":"ITEM-3","issue":"11","issued":{"date-parts":[["1999","9","15"]]},"page":"1061-6","title":"Empirical evidence of design-related bias in studies of diagnostic tests.","type":"article-journal","volume":"282"},"uris":["http://www.mendeley.com/documents/?uuid=062147dd-737c-31e2-839e-7caa3d4dab3d"]}],"mendeley":{"formattedCitation":"&lt;sup&gt;[15–17]&lt;/sup&gt;","plainTextFormattedCitation":"[15–17]","previouslyFormattedCitation":"&lt;sup&gt;[15–17]&lt;/sup&gt;"},"properties":{"noteIndex":0},"schema":"https://github.com/citation-style-language/schema/raw/master/csl-citation.json"}</w:instrText>
      </w:r>
      <w:r w:rsidR="004208F1" w:rsidRPr="008E3F16">
        <w:rPr>
          <w:rFonts w:ascii="Book Antiqua" w:eastAsia="Times New Roman" w:hAnsi="Book Antiqua" w:cs="Times New Roman"/>
          <w:color w:val="000000" w:themeColor="text1"/>
          <w:shd w:val="clear" w:color="auto" w:fill="FFFFFF"/>
          <w:lang w:val="en-US" w:eastAsia="el-GR"/>
        </w:rPr>
        <w:fldChar w:fldCharType="separate"/>
      </w:r>
      <w:r w:rsidR="004208F1" w:rsidRPr="008E3F16">
        <w:rPr>
          <w:rFonts w:ascii="Book Antiqua" w:eastAsia="Times New Roman" w:hAnsi="Book Antiqua" w:cs="Times New Roman"/>
          <w:noProof/>
          <w:color w:val="000000" w:themeColor="text1"/>
          <w:shd w:val="clear" w:color="auto" w:fill="FFFFFF"/>
          <w:vertAlign w:val="superscript"/>
          <w:lang w:val="en-US" w:eastAsia="el-GR"/>
        </w:rPr>
        <w:t>[15–17]</w:t>
      </w:r>
      <w:r w:rsidR="004208F1" w:rsidRPr="008E3F16">
        <w:rPr>
          <w:rFonts w:ascii="Book Antiqua" w:eastAsia="Times New Roman" w:hAnsi="Book Antiqua" w:cs="Times New Roman"/>
          <w:color w:val="000000" w:themeColor="text1"/>
          <w:shd w:val="clear" w:color="auto" w:fill="FFFFFF"/>
          <w:lang w:val="en-US" w:eastAsia="el-GR"/>
        </w:rPr>
        <w:fldChar w:fldCharType="end"/>
      </w:r>
      <w:r w:rsidR="000D491E" w:rsidRPr="008E3F16">
        <w:rPr>
          <w:rFonts w:ascii="Book Antiqua" w:eastAsia="Times New Roman" w:hAnsi="Book Antiqua" w:cs="Times New Roman"/>
          <w:color w:val="000000" w:themeColor="text1"/>
          <w:shd w:val="clear" w:color="auto" w:fill="FFFFFF"/>
          <w:lang w:val="en-US" w:eastAsia="el-GR"/>
        </w:rPr>
        <w:t>.</w:t>
      </w:r>
    </w:p>
    <w:p w14:paraId="273926DF" w14:textId="6F061CE1" w:rsidR="004208F1" w:rsidRPr="00336512" w:rsidRDefault="004208F1" w:rsidP="00C66188">
      <w:pPr>
        <w:adjustRightInd w:val="0"/>
        <w:snapToGrid w:val="0"/>
        <w:spacing w:line="360" w:lineRule="auto"/>
        <w:ind w:firstLineChars="100" w:firstLine="240"/>
        <w:jc w:val="both"/>
        <w:rPr>
          <w:rFonts w:ascii="Book Antiqua" w:eastAsia="Times New Roman" w:hAnsi="Book Antiqua" w:cs="Times New Roman"/>
          <w:color w:val="000000" w:themeColor="text1"/>
          <w:shd w:val="clear" w:color="auto" w:fill="FFFFFF"/>
          <w:lang w:val="en-US" w:eastAsia="el-GR"/>
        </w:rPr>
      </w:pPr>
      <w:r w:rsidRPr="008E3F16">
        <w:rPr>
          <w:rFonts w:ascii="Book Antiqua" w:eastAsia="Times New Roman" w:hAnsi="Book Antiqua" w:cs="Times New Roman"/>
          <w:color w:val="000000" w:themeColor="text1"/>
          <w:shd w:val="clear" w:color="auto" w:fill="FFFFFF"/>
          <w:lang w:val="en-US" w:eastAsia="el-GR"/>
        </w:rPr>
        <w:t xml:space="preserve">Given the need for less invasive diagnostic tests (preferably serological) to be used in individuals with clinical suspicion of CD, while identifying the </w:t>
      </w:r>
      <w:r w:rsidR="006E49AF" w:rsidRPr="008E3F16">
        <w:rPr>
          <w:rFonts w:ascii="Book Antiqua" w:eastAsia="Times New Roman" w:hAnsi="Book Antiqua" w:cs="Times New Roman"/>
          <w:color w:val="000000" w:themeColor="text1"/>
          <w:shd w:val="clear" w:color="auto" w:fill="FFFFFF"/>
          <w:lang w:val="en-US" w:eastAsia="el-GR"/>
        </w:rPr>
        <w:t xml:space="preserve">literature </w:t>
      </w:r>
      <w:r w:rsidRPr="008E3F16">
        <w:rPr>
          <w:rFonts w:ascii="Book Antiqua" w:eastAsia="Times New Roman" w:hAnsi="Book Antiqua" w:cs="Times New Roman"/>
          <w:color w:val="000000" w:themeColor="text1"/>
          <w:shd w:val="clear" w:color="auto" w:fill="FFFFFF"/>
          <w:lang w:val="en-US" w:eastAsia="el-GR"/>
        </w:rPr>
        <w:t>gap as per relevant state-of-the-art systematic reviews, the aim of the present systematic review and meta-analysis was to synthetize evidence examining the diagnostic accuracy of anti-GP2 tests in patients with suspected or confirmed CD. The PPPICPTR</w:t>
      </w:r>
      <w:r w:rsidRPr="008E3F16">
        <w:rPr>
          <w:rFonts w:ascii="Book Antiqua" w:eastAsia="Times New Roman" w:hAnsi="Book Antiqua" w:cs="Times New Roman"/>
          <w:color w:val="000000" w:themeColor="text1"/>
          <w:shd w:val="clear" w:color="auto" w:fill="FFFFFF"/>
          <w:lang w:val="en-US" w:eastAsia="el-GR"/>
        </w:rPr>
        <w:fldChar w:fldCharType="begin" w:fldLock="1"/>
      </w:r>
      <w:r w:rsidR="000D491E" w:rsidRPr="008E3F16">
        <w:rPr>
          <w:rFonts w:ascii="Book Antiqua" w:eastAsia="Times New Roman" w:hAnsi="Book Antiqua" w:cs="Times New Roman"/>
          <w:color w:val="000000" w:themeColor="text1"/>
          <w:shd w:val="clear" w:color="auto" w:fill="FFFFFF"/>
          <w:lang w:val="en-US" w:eastAsia="el-GR"/>
        </w:rPr>
        <w:instrText>ADDIN CSL_CITATION {"citationItems":[{"id":"ITEM-1","itemData":{"DOI":"10.4178/epih/e2014016","ISSN":"2092-7193","PMID":"25209601","abstract":"The Cochrane Collaboration says that the Cochrane handbook for diagnostic test accuracy reviews (DTAR) is currently in development as per the Cochrane Collaboration. This implies that the methodology of systematic reviews (SR) of diagnostic test accuracy is still a matter of debate. At this point, comparison of methodologies for SR in case of interventions as against diagnostics would be helpful to understand DTAR.","author":[{"dropping-particle":"","family":"Bae","given":"Jong-Myon","non-dropping-particle":"","parse-names":false,"suffix":""}],"container-title":"Epidemiology and health","id":"ITEM-1","issued":{"date-parts":[["2014"]]},"page":"e2014016","publisher":"Korean Society of Epidemiology","title":"An overview of systematic reviews of diagnostic tests accuracy.","type":"article-journal","volume":"36"},"uris":["http://www.mendeley.com/documents/?uuid=73089088-7e68-3558-8fe7-b5efe9027512"]}],"mendeley":{"formattedCitation":"&lt;sup&gt;[18]&lt;/sup&gt;","plainTextFormattedCitation":"[18]","previouslyFormattedCitation":"&lt;sup&gt;[18]&lt;/sup&gt;"},"properties":{"noteIndex":0},"schema":"https://github.com/citation-style-language/schema/raw/master/csl-citation.json"}</w:instrText>
      </w:r>
      <w:r w:rsidRPr="008E3F16">
        <w:rPr>
          <w:rFonts w:ascii="Book Antiqua" w:eastAsia="Times New Roman" w:hAnsi="Book Antiqua" w:cs="Times New Roman"/>
          <w:color w:val="000000" w:themeColor="text1"/>
          <w:shd w:val="clear" w:color="auto" w:fill="FFFFFF"/>
          <w:lang w:val="en-US" w:eastAsia="el-GR"/>
        </w:rPr>
        <w:fldChar w:fldCharType="separate"/>
      </w:r>
      <w:r w:rsidRPr="008E3F16">
        <w:rPr>
          <w:rFonts w:ascii="Book Antiqua" w:eastAsia="Times New Roman" w:hAnsi="Book Antiqua" w:cs="Times New Roman"/>
          <w:noProof/>
          <w:color w:val="000000" w:themeColor="text1"/>
          <w:shd w:val="clear" w:color="auto" w:fill="FFFFFF"/>
          <w:vertAlign w:val="superscript"/>
          <w:lang w:val="en-US" w:eastAsia="el-GR"/>
        </w:rPr>
        <w:t>[18]</w:t>
      </w:r>
      <w:r w:rsidRPr="008E3F16">
        <w:rPr>
          <w:rFonts w:ascii="Book Antiqua" w:eastAsia="Times New Roman" w:hAnsi="Book Antiqua" w:cs="Times New Roman"/>
          <w:color w:val="000000" w:themeColor="text1"/>
          <w:shd w:val="clear" w:color="auto" w:fill="FFFFFF"/>
          <w:lang w:val="en-US" w:eastAsia="el-GR"/>
        </w:rPr>
        <w:fldChar w:fldCharType="end"/>
      </w:r>
      <w:r w:rsidRPr="008E3F16">
        <w:rPr>
          <w:rFonts w:ascii="Book Antiqua" w:eastAsia="Times New Roman" w:hAnsi="Book Antiqua" w:cs="Times New Roman"/>
          <w:color w:val="000000" w:themeColor="text1"/>
          <w:shd w:val="clear" w:color="auto" w:fill="FFFFFF"/>
          <w:lang w:val="en-US" w:eastAsia="el-GR"/>
        </w:rPr>
        <w:t xml:space="preserve"> an adapted PICO for </w:t>
      </w:r>
      <w:r w:rsidRPr="00336512">
        <w:rPr>
          <w:rFonts w:ascii="Book Antiqua" w:eastAsia="Times New Roman" w:hAnsi="Book Antiqua" w:cs="Times New Roman"/>
          <w:color w:val="000000" w:themeColor="text1"/>
          <w:shd w:val="clear" w:color="auto" w:fill="FFFFFF"/>
          <w:lang w:val="en-US" w:eastAsia="el-GR"/>
        </w:rPr>
        <w:t xml:space="preserve">systematic reviews of DTA was applied. In further detail, the PICPTR of the study was Population including patients with gastrointestinal symptoms akin to CD, with the Index test being positive anti-GP2 testing, the Comparator being standard CD diagnosis, the Purpose of test </w:t>
      </w:r>
      <w:r w:rsidRPr="00336512">
        <w:rPr>
          <w:rFonts w:ascii="Book Antiqua" w:eastAsia="Times New Roman" w:hAnsi="Book Antiqua" w:cs="Times New Roman"/>
          <w:color w:val="000000" w:themeColor="text1"/>
          <w:shd w:val="clear" w:color="auto" w:fill="FFFFFF"/>
          <w:lang w:val="en-US" w:eastAsia="el-GR"/>
        </w:rPr>
        <w:lastRenderedPageBreak/>
        <w:t>was diagnostic, with the Target disorder being CD, and the Reference standard included the standard clinical, radiological, endoscopical and histological criteria for CD diagnosis</w:t>
      </w:r>
      <w:r w:rsidRPr="00336512">
        <w:rPr>
          <w:rFonts w:ascii="Book Antiqua" w:eastAsia="Times New Roman" w:hAnsi="Book Antiqua" w:cs="Times New Roman"/>
          <w:color w:val="000000" w:themeColor="text1"/>
          <w:shd w:val="clear" w:color="auto" w:fill="FFFFFF"/>
          <w:lang w:val="en-US" w:eastAsia="el-GR"/>
        </w:rPr>
        <w:fldChar w:fldCharType="begin" w:fldLock="1"/>
      </w:r>
      <w:r w:rsidR="000D491E" w:rsidRPr="00336512">
        <w:rPr>
          <w:rFonts w:ascii="Book Antiqua" w:eastAsia="Times New Roman" w:hAnsi="Book Antiqua" w:cs="Times New Roman"/>
          <w:color w:val="000000" w:themeColor="text1"/>
          <w:shd w:val="clear" w:color="auto" w:fill="FFFFFF"/>
          <w:lang w:val="en-US" w:eastAsia="el-GR"/>
        </w:rPr>
        <w:instrText>ADDIN CSL_CITATION {"citationItems":[{"id":"ITEM-1","itemData":{"DOI":"10.4178/epih/e2014016","ISSN":"2092-7193","PMID":"25209601","abstract":"The Cochrane Collaboration says that the Cochrane handbook for diagnostic test accuracy reviews (DTAR) is currently in development as per the Cochrane Collaboration. This implies that the methodology of systematic reviews (SR) of diagnostic test accuracy is still a matter of debate. At this point, comparison of methodologies for SR in case of interventions as against diagnostics would be helpful to understand DTAR.","author":[{"dropping-particle":"","family":"Bae","given":"Jong-Myon","non-dropping-particle":"","parse-names":false,"suffix":""}],"container-title":"Epidemiology and health","id":"ITEM-1","issued":{"date-parts":[["2014"]]},"page":"e2014016","publisher":"Korean Society of Epidemiology","title":"An overview of systematic reviews of diagnostic tests accuracy.","type":"article-journal","volume":"36"},"uris":["http://www.mendeley.com/documents/?uuid=73089088-7e68-3558-8fe7-b5efe9027512"]}],"mendeley":{"formattedCitation":"&lt;sup&gt;[18]&lt;/sup&gt;","plainTextFormattedCitation":"[18]","previouslyFormattedCitation":"&lt;sup&gt;[18]&lt;/sup&gt;"},"properties":{"noteIndex":0},"schema":"https://github.com/citation-style-language/schema/raw/master/csl-citation.json"}</w:instrText>
      </w:r>
      <w:r w:rsidRPr="00336512">
        <w:rPr>
          <w:rFonts w:ascii="Book Antiqua" w:eastAsia="Times New Roman" w:hAnsi="Book Antiqua" w:cs="Times New Roman"/>
          <w:color w:val="000000" w:themeColor="text1"/>
          <w:shd w:val="clear" w:color="auto" w:fill="FFFFFF"/>
          <w:lang w:val="en-US" w:eastAsia="el-GR"/>
        </w:rPr>
        <w:fldChar w:fldCharType="separate"/>
      </w:r>
      <w:r w:rsidRPr="00336512">
        <w:rPr>
          <w:rFonts w:ascii="Book Antiqua" w:eastAsia="Times New Roman" w:hAnsi="Book Antiqua" w:cs="Times New Roman"/>
          <w:noProof/>
          <w:color w:val="000000" w:themeColor="text1"/>
          <w:shd w:val="clear" w:color="auto" w:fill="FFFFFF"/>
          <w:vertAlign w:val="superscript"/>
          <w:lang w:val="en-US" w:eastAsia="el-GR"/>
        </w:rPr>
        <w:t>[18]</w:t>
      </w:r>
      <w:r w:rsidRPr="00336512">
        <w:rPr>
          <w:rFonts w:ascii="Book Antiqua" w:eastAsia="Times New Roman" w:hAnsi="Book Antiqua" w:cs="Times New Roman"/>
          <w:color w:val="000000" w:themeColor="text1"/>
          <w:shd w:val="clear" w:color="auto" w:fill="FFFFFF"/>
          <w:lang w:val="en-US" w:eastAsia="el-GR"/>
        </w:rPr>
        <w:fldChar w:fldCharType="end"/>
      </w:r>
      <w:r w:rsidR="000D491E" w:rsidRPr="00336512">
        <w:rPr>
          <w:rFonts w:ascii="Book Antiqua" w:eastAsia="Times New Roman" w:hAnsi="Book Antiqua" w:cs="Times New Roman"/>
          <w:color w:val="000000" w:themeColor="text1"/>
          <w:shd w:val="clear" w:color="auto" w:fill="FFFFFF"/>
          <w:lang w:val="en-US" w:eastAsia="el-GR"/>
        </w:rPr>
        <w:t>.</w:t>
      </w:r>
    </w:p>
    <w:p w14:paraId="56951087" w14:textId="77777777" w:rsidR="003C4C41" w:rsidRPr="008E3F16" w:rsidRDefault="003C4C41" w:rsidP="00C66188">
      <w:pPr>
        <w:adjustRightInd w:val="0"/>
        <w:snapToGrid w:val="0"/>
        <w:spacing w:line="360" w:lineRule="auto"/>
        <w:jc w:val="both"/>
        <w:rPr>
          <w:rFonts w:ascii="Book Antiqua" w:hAnsi="Book Antiqua" w:cs="Times New Roman"/>
          <w:color w:val="000000" w:themeColor="text1"/>
          <w:lang w:val="en-US"/>
        </w:rPr>
      </w:pPr>
    </w:p>
    <w:p w14:paraId="2FA7EAE1" w14:textId="77777777" w:rsidR="00EC2C03" w:rsidRPr="008E3F16" w:rsidRDefault="00C91F32" w:rsidP="00C66188">
      <w:pPr>
        <w:adjustRightInd w:val="0"/>
        <w:snapToGrid w:val="0"/>
        <w:spacing w:line="360" w:lineRule="auto"/>
        <w:jc w:val="both"/>
        <w:rPr>
          <w:rFonts w:ascii="Book Antiqua" w:hAnsi="Book Antiqua" w:cs="Times New Roman"/>
          <w:b/>
          <w:bCs/>
          <w:color w:val="000000" w:themeColor="text1"/>
          <w:u w:val="single"/>
          <w:lang w:val="en-US"/>
        </w:rPr>
      </w:pPr>
      <w:r w:rsidRPr="008E3F16">
        <w:rPr>
          <w:rFonts w:ascii="Book Antiqua" w:hAnsi="Book Antiqua" w:cs="Times New Roman"/>
          <w:b/>
          <w:bCs/>
          <w:color w:val="000000" w:themeColor="text1"/>
          <w:u w:val="single"/>
          <w:lang w:val="en-US"/>
        </w:rPr>
        <w:t>MATERIALS AND METHODS</w:t>
      </w:r>
    </w:p>
    <w:p w14:paraId="57EA796D" w14:textId="411BBB55" w:rsidR="008702A6" w:rsidRPr="008E3F16" w:rsidRDefault="00E11273" w:rsidP="00C66188">
      <w:pPr>
        <w:adjustRightInd w:val="0"/>
        <w:snapToGrid w:val="0"/>
        <w:spacing w:line="360" w:lineRule="auto"/>
        <w:jc w:val="both"/>
        <w:rPr>
          <w:rFonts w:ascii="Book Antiqua" w:hAnsi="Book Antiqua" w:cs="Times New Roman"/>
          <w:b/>
          <w:bCs/>
          <w:i/>
          <w:color w:val="000000" w:themeColor="text1"/>
          <w:lang w:val="en-US"/>
        </w:rPr>
      </w:pPr>
      <w:r w:rsidRPr="008E3F16">
        <w:rPr>
          <w:rFonts w:ascii="Book Antiqua" w:hAnsi="Book Antiqua" w:cs="Times New Roman"/>
          <w:b/>
          <w:bCs/>
          <w:i/>
          <w:color w:val="000000" w:themeColor="text1"/>
          <w:lang w:val="en-US"/>
        </w:rPr>
        <w:t xml:space="preserve">Literature </w:t>
      </w:r>
      <w:r w:rsidR="00324F8A" w:rsidRPr="008E3F16">
        <w:rPr>
          <w:rFonts w:ascii="Book Antiqua" w:hAnsi="Book Antiqua" w:cs="Times New Roman"/>
          <w:b/>
          <w:bCs/>
          <w:i/>
          <w:color w:val="000000" w:themeColor="text1"/>
          <w:lang w:val="en-US"/>
        </w:rPr>
        <w:t>s</w:t>
      </w:r>
      <w:r w:rsidRPr="008E3F16">
        <w:rPr>
          <w:rFonts w:ascii="Book Antiqua" w:hAnsi="Book Antiqua" w:cs="Times New Roman"/>
          <w:b/>
          <w:bCs/>
          <w:i/>
          <w:color w:val="000000" w:themeColor="text1"/>
          <w:lang w:val="en-US"/>
        </w:rPr>
        <w:t>earch</w:t>
      </w:r>
    </w:p>
    <w:p w14:paraId="0A282E15" w14:textId="7D2B602C" w:rsidR="000C4C95" w:rsidRPr="008E3F16" w:rsidRDefault="004208F1" w:rsidP="00C66188">
      <w:pPr>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Reporting standards are based on the Preferred Reporting Items for Systematic Reviews and Meta-Analyses of Diagnostic Test Accuracy</w:t>
      </w:r>
      <w:r w:rsidRPr="008E3F16">
        <w:rPr>
          <w:rFonts w:ascii="Book Antiqua" w:hAnsi="Book Antiqua" w:cs="Times New Roman"/>
          <w:color w:val="000000" w:themeColor="text1"/>
          <w:lang w:val="en-US"/>
        </w:rPr>
        <w:fldChar w:fldCharType="begin" w:fldLock="1"/>
      </w:r>
      <w:r w:rsidR="000D491E" w:rsidRPr="008E3F16">
        <w:rPr>
          <w:rFonts w:ascii="Book Antiqua" w:hAnsi="Book Antiqua" w:cs="Times New Roman"/>
          <w:color w:val="000000" w:themeColor="text1"/>
          <w:lang w:val="en-US"/>
        </w:rPr>
        <w:instrText>ADDIN CSL_CITATION {"citationItems":[{"id":"ITEM-1","itemData":{"DOI":"10.1186/s13643-017-0590-8","ISSN":"2046-4053","PMID":"29017574","abstract":"BACKGROUND This study is to perform a systematic review of existing guidance on quality of reporting and methodology for systematic reviews of diagnostic test accuracy (DTA) in order to compile a list of potential items that might be included in a reporting guideline for such reviews: Preferred Reporting Items for Systematic Reviews and Meta-Analyses of Diagnostic Test Accuracy (PRISMA-DTA). METHODS Study protocol published on EQUATOR website. Articles in full text or abstract form that reported on any aspect of reporting systematic reviews of diagnostic test accuracy were eligible for inclusion. We used the Ovid platform to search Ovid MEDLINE®, Ovid MEDLINE® In-Process &amp; Other Non-Indexed Citations and Embase Classic+Embase through May 5, 2016. The Cochrane Methodology Register in the Cochrane Library (Wiley version) was also searched. Title and abstract screening followed by full-text screening of all search results was performed independently by two investigators. Guideline organization websites, published guidance statements, and the Cochrane Handbook for Diagnostic Test Accuracy were also searched. Preferred Reporting Items for Systematic Reviews and Meta-Analyses (PRISMA) and Standards for Reporting Diagnostic Accuracy (STARD) were assessed independently by two investigators for relevant items. RESULTS The literature searched yielded 6967 results; 386 were included after title and abstract screening and 203 after full-text screening. After reviewing the existing literature and guidance documents, a preliminary list of 64 items was compiled into the following categories: title (three items); introduction (two items); methods (35 items); results (13 items); discussion (nine items), and disclosure (two items). CONCLUSION Items on the methods and reporting of DTA systematic reviews in the present systematic review will provide a basis for generating a PRISMA extension for DTA systematic reviews.","author":[{"dropping-particle":"","family":"McGrath","given":"Trevor A","non-dropping-particle":"","parse-names":false,"suffix":""},{"dropping-particle":"","family":"Alabousi","given":"Mostafa","non-dropping-particle":"","parse-names":false,"suffix":""},{"dropping-particle":"","family":"Skidmore","given":"Becky","non-dropping-particle":"","parse-names":false,"suffix":""},{"dropping-particle":"","family":"Korevaar","given":"Daniël A","non-dropping-particle":"","parse-names":false,"suffix":""},{"dropping-particle":"","family":"Bossuyt","given":"Patrick M M","non-dropping-particle":"","parse-names":false,"suffix":""},{"dropping-particle":"","family":"Moher","given":"David","non-dropping-particle":"","parse-names":false,"suffix":""},{"dropping-particle":"","family":"Thombs","given":"Brett","non-dropping-particle":"","parse-names":false,"suffix":""},{"dropping-particle":"","family":"McInnes","given":"Matthew D F","non-dropping-particle":"","parse-names":false,"suffix":""}],"container-title":"Systematic reviews","id":"ITEM-1","issue":"1","issued":{"date-parts":[["2017"]]},"page":"194","publisher":"BioMed Central","title":"Recommendations for reporting of systematic reviews and meta-analyses of diagnostic test accuracy: a systematic review.","type":"article-journal","volume":"6"},"uris":["http://www.mendeley.com/documents/?uuid=7c022a21-aa00-3769-84a3-82dba0a625f5"]},{"id":"ITEM-2","itemData":{"DOI":"10.1001/jama.2017.19163","ISSN":"0098-7484","PMID":"29362800","abstract":"Importance Systematic reviews of diagnostic test accuracy synthesize data from primary diagnostic studies that have evaluated the accuracy of 1 or more index tests against a reference standard, provide estimates of test performance, allow comparisons of the accuracy of different tests, and facilitate the identification of sources of variability in test accuracy. Objective To develop the Preferred Reporting Items for Systematic Reviews and Meta-Analyses (PRISMA) diagnostic test accuracy guideline as a stand-alone extension of the PRISMA statement. Modifications to the PRISMA statement reflect the specific requirements for reporting of systematic reviews and meta-analyses of diagnostic test accuracy studies and the abstracts for these reviews. Design Established standards from the Enhancing the Quality and Transparency of Health Research (EQUATOR) Network were followed for the development of the guideline. The original PRISMA statement was used as a framework on which to modify and add items. A group of 24 multidisciplinary experts used a systematic review of articles on existing reporting guidelines and methods, a 3-round Delphi process, a consensus meeting, pilot testing, and iterative refinement to develop the PRISMA diagnostic test accuracy guideline. The final version of the PRISMA diagnostic test accuracy guideline checklist was approved by the group. Findings The systematic review (produced 64 items) and the Delphi process (provided feedback on 7 proposed items; 1 item was later split into 2 items) identified 71 potentially relevant items for consideration. The Delphi process reduced these to 60 items that were discussed at the consensus meeting. Following the meeting, pilot testing and iterative feedback were used to generate the 27-item PRISMA diagnostic test accuracy checklist. To reflect specific or optimal contemporary systematic review methods for diagnostic test accuracy, 8 of the 27 original PRISMA items were left unchanged, 17 were modified, 2 were added, and 2 were omitted. Conclusions and Relevance The 27-item PRISMA diagnostic test accuracy checklist provides specific guidance for reporting of systematic reviews. The PRISMA diagnostic test accuracy guideline can facilitate the transparent reporting of reviews, and may assist in the evaluation of validity and applicability, enhance replicability of reviews, and make the results from systematic reviews of diagnostic test accuracy studies more useful.","author":[{"dropping-particle":"","family":"McInnes","given":"Matthew D. F.","non-dropping-particle":"","parse-names":false,"suffix":""},{"dropping-particle":"","family":"Moher","given":"David","non-dropping-particle":"","parse-names":false,"suffix":""},{"dropping-particle":"","family":"Thombs","given":"Brett D.","non-dropping-particle":"","parse-names":false,"suffix":""},{"dropping-particle":"","family":"McGrath","given":"Trevor A.","non-dropping-particle":"","parse-names":false,"suffix":""},{"dropping-particle":"","family":"Bossuyt","given":"Patrick M.","non-dropping-particle":"","parse-names":false,"suffix":""},{"dropping-particle":"","family":"Clifford","given":"Tammy","non-dropping-particle":"","parse-names":false,"suffix":""},{"dropping-particle":"","family":"Cohen","given":"Jérémie F.","non-dropping-particle":"","parse-names":false,"suffix":""},{"dropping-particle":"","family":"Deeks","given":"Jonathan J.","non-dropping-particle":"","parse-names":false,"suffix":""},{"dropping-particle":"","family":"Gatsonis","given":"Constantine","non-dropping-particle":"","parse-names":false,"suffix":""},{"dropping-particle":"","family":"Hooft","given":"Lotty","non-dropping-particle":"","parse-names":false,"suffix":""},{"dropping-particle":"","family":"Hunt","given":"Harriet A.","non-dropping-particle":"","parse-names":false,"suffix":""},{"dropping-particle":"","family":"Hyde","given":"Christopher J.","non-dropping-particle":"","parse-names":false,"suffix":""},{"dropping-particle":"","family":"Korevaar","given":"Daniël A.","non-dropping-particle":"","parse-names":false,"suffix":""},{"dropping-particle":"","family":"Leeflang","given":"Mariska M. G.","non-dropping-particle":"","parse-names":false,"suffix":""},{"dropping-particle":"","family":"Macaskill","given":"Petra","non-dropping-particle":"","parse-names":false,"suffix":""},{"dropping-particle":"","family":"Reitsma","given":"Johannes B.","non-dropping-particle":"","parse-names":false,"suffix":""},{"dropping-particle":"","family":"Rodin","given":"Rachel","non-dropping-particle":"","parse-names":false,"suffix":""},{"dropping-particle":"","family":"Rutjes","given":"Anne W. S.","non-dropping-particle":"","parse-names":false,"suffix":""},{"dropping-particle":"","family":"Salameh","given":"Jean-Paul","non-dropping-particle":"","parse-names":false,"suffix":""},{"dropping-particle":"","family":"Stevens","given":"Adrienne","non-dropping-particle":"","parse-names":false,"suffix":""},{"dropping-particle":"","family":"Takwoingi","given":"Yemisi","non-dropping-particle":"","parse-names":false,"suffix":""},{"dropping-particle":"","family":"Tonelli","given":"Marcello","non-dropping-particle":"","parse-names":false,"suffix":""},{"dropping-particle":"","family":"Weeks","given":"Laura","non-dropping-particle":"","parse-names":false,"suffix":""},{"dropping-particle":"","family":"Whiting","given":"Penny","non-dropping-particle":"","parse-names":false,"suffix":""},{"dropping-particle":"","family":"Willis","given":"Brian H.","non-dropping-particle":"","parse-names":false,"suffix":""},{"dropping-particle":"","family":"Willis","given":"Brian H","non-dropping-particle":"","parse-names":false,"suffix":""}],"container-title":"JAMA","id":"ITEM-2","issue":"4","issued":{"date-parts":[["2018","1","23"]]},"page":"388","title":"Preferred Reporting Items for a Systematic Review and Meta-analysis of Diagnostic Test Accuracy Studies","type":"article-journal","volume":"319"},"uris":["http://www.mendeley.com/documents/?uuid=dd8f1a8a-1547-3cbd-95ea-489d7566e14a"]}],"mendeley":{"formattedCitation":"&lt;sup&gt;[19,20]&lt;/sup&gt;","plainTextFormattedCitation":"[19,20]","previouslyFormattedCitation":"&lt;sup&gt;[19,20]&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000D491E" w:rsidRPr="008E3F16">
        <w:rPr>
          <w:rFonts w:ascii="Book Antiqua" w:hAnsi="Book Antiqua" w:cs="Times New Roman"/>
          <w:noProof/>
          <w:color w:val="000000" w:themeColor="text1"/>
          <w:vertAlign w:val="superscript"/>
          <w:lang w:val="en-US"/>
        </w:rPr>
        <w:t>[19,20]</w:t>
      </w:r>
      <w:r w:rsidRPr="008E3F16">
        <w:rPr>
          <w:rFonts w:ascii="Book Antiqua" w:hAnsi="Book Antiqua" w:cs="Times New Roman"/>
          <w:color w:val="000000" w:themeColor="text1"/>
          <w:lang w:val="en-US"/>
        </w:rPr>
        <w:fldChar w:fldCharType="end"/>
      </w:r>
      <w:r w:rsidR="000D491E" w:rsidRPr="008E3F16">
        <w:rPr>
          <w:rFonts w:ascii="Book Antiqua" w:hAnsi="Book Antiqua" w:cs="Times New Roman"/>
          <w:color w:val="000000" w:themeColor="text1"/>
          <w:lang w:val="en-US"/>
        </w:rPr>
        <w:t>.</w:t>
      </w:r>
      <w:r w:rsidRPr="008E3F16">
        <w:rPr>
          <w:rFonts w:ascii="Book Antiqua" w:hAnsi="Book Antiqua" w:cs="Times New Roman"/>
          <w:color w:val="000000" w:themeColor="text1"/>
          <w:lang w:val="en-US"/>
        </w:rPr>
        <w:t xml:space="preserve"> </w:t>
      </w:r>
      <w:r w:rsidR="000C4C95" w:rsidRPr="008E3F16">
        <w:rPr>
          <w:rFonts w:ascii="Book Antiqua" w:hAnsi="Book Antiqua" w:cs="Times New Roman"/>
          <w:color w:val="000000" w:themeColor="text1"/>
          <w:lang w:val="en-US"/>
        </w:rPr>
        <w:t xml:space="preserve">The protocol of the present systematic review was registered at PROSPERO (CRD42019125947). </w:t>
      </w:r>
    </w:p>
    <w:p w14:paraId="59413392" w14:textId="5FF07832" w:rsidR="00EA4E33" w:rsidRPr="008E3F16" w:rsidRDefault="004208F1" w:rsidP="00C66188">
      <w:pPr>
        <w:adjustRightInd w:val="0"/>
        <w:snapToGrid w:val="0"/>
        <w:spacing w:line="360" w:lineRule="auto"/>
        <w:ind w:firstLineChars="100" w:firstLine="240"/>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A systematic search was conducted using </w:t>
      </w:r>
      <w:r w:rsidR="006E49AF" w:rsidRPr="008E3F16">
        <w:rPr>
          <w:rFonts w:ascii="Book Antiqua" w:hAnsi="Book Antiqua" w:cs="Times New Roman"/>
          <w:color w:val="000000" w:themeColor="text1"/>
          <w:lang w:val="en-US"/>
        </w:rPr>
        <w:t>the PubMed</w:t>
      </w:r>
      <w:r w:rsidRPr="008E3F16">
        <w:rPr>
          <w:rFonts w:ascii="Book Antiqua" w:hAnsi="Book Antiqua" w:cs="Times New Roman"/>
          <w:color w:val="000000" w:themeColor="text1"/>
          <w:lang w:val="en-US"/>
        </w:rPr>
        <w:t xml:space="preserve"> and Cochrane CENTRAL databases, until February</w:t>
      </w:r>
      <w:r w:rsidR="00324F8A" w:rsidRPr="008E3F16">
        <w:rPr>
          <w:rFonts w:ascii="Book Antiqua" w:hAnsi="Book Antiqua" w:cs="Times New Roman"/>
          <w:color w:val="000000" w:themeColor="text1"/>
          <w:lang w:val="en-US"/>
        </w:rPr>
        <w:t>, 28</w:t>
      </w:r>
      <w:r w:rsidRPr="008E3F16">
        <w:rPr>
          <w:rFonts w:ascii="Book Antiqua" w:hAnsi="Book Antiqua" w:cs="Times New Roman"/>
          <w:color w:val="000000" w:themeColor="text1"/>
          <w:lang w:val="en-US"/>
        </w:rPr>
        <w:t xml:space="preserve"> 2019. </w:t>
      </w:r>
      <w:r w:rsidR="006E49AF" w:rsidRPr="008E3F16">
        <w:rPr>
          <w:rFonts w:ascii="Book Antiqua" w:hAnsi="Book Antiqua" w:cs="Times New Roman"/>
          <w:color w:val="000000" w:themeColor="text1"/>
          <w:lang w:val="en-US"/>
        </w:rPr>
        <w:t>The g</w:t>
      </w:r>
      <w:r w:rsidRPr="008E3F16">
        <w:rPr>
          <w:rFonts w:ascii="Book Antiqua" w:hAnsi="Book Antiqua" w:cs="Times New Roman"/>
          <w:color w:val="000000" w:themeColor="text1"/>
          <w:lang w:val="en-US"/>
        </w:rPr>
        <w:t>r</w:t>
      </w:r>
      <w:r w:rsidR="006E49AF" w:rsidRPr="008E3F16">
        <w:rPr>
          <w:rFonts w:ascii="Book Antiqua" w:hAnsi="Book Antiqua" w:cs="Times New Roman"/>
          <w:color w:val="000000" w:themeColor="text1"/>
          <w:lang w:val="en-US"/>
        </w:rPr>
        <w:t>e</w:t>
      </w:r>
      <w:r w:rsidRPr="008E3F16">
        <w:rPr>
          <w:rFonts w:ascii="Book Antiqua" w:hAnsi="Book Antiqua" w:cs="Times New Roman"/>
          <w:color w:val="000000" w:themeColor="text1"/>
          <w:lang w:val="en-US"/>
        </w:rPr>
        <w:t xml:space="preserve">y literature and websites of companies manufacturing anti-GP2 kits were also explored for possible references using the </w:t>
      </w:r>
      <w:r w:rsidR="006E49AF" w:rsidRPr="008E3F16">
        <w:rPr>
          <w:rFonts w:ascii="Book Antiqua" w:hAnsi="Book Antiqua" w:cs="Times New Roman"/>
          <w:color w:val="000000" w:themeColor="text1"/>
          <w:lang w:val="en-US"/>
        </w:rPr>
        <w:t xml:space="preserve">specific </w:t>
      </w:r>
      <w:r w:rsidRPr="008E3F16">
        <w:rPr>
          <w:rFonts w:ascii="Book Antiqua" w:hAnsi="Book Antiqua" w:cs="Times New Roman"/>
          <w:color w:val="000000" w:themeColor="text1"/>
          <w:lang w:val="en-US"/>
        </w:rPr>
        <w:t>tests. The keywords used in the searches included (anti-glycoprotein 2 antibody), (autoantibodies to glycoprotein 2), (anti-gp2), (autoantibodies), (Crohn’s disease), with a combination of MeSH terms wherever possible.</w:t>
      </w:r>
      <w:r w:rsidR="006F5EC4" w:rsidRPr="008E3F16">
        <w:rPr>
          <w:rFonts w:ascii="Book Antiqua" w:hAnsi="Book Antiqua" w:cs="Times New Roman"/>
          <w:color w:val="000000" w:themeColor="text1"/>
          <w:lang w:val="en-US"/>
        </w:rPr>
        <w:t xml:space="preserve"> In particular, Table 1 details the search strategy used for PubMed</w:t>
      </w:r>
      <w:r w:rsidR="00E6147D" w:rsidRPr="008E3F16">
        <w:rPr>
          <w:rFonts w:ascii="Book Antiqua" w:hAnsi="Book Antiqua" w:cs="Times New Roman"/>
          <w:color w:val="000000" w:themeColor="text1"/>
          <w:lang w:val="en-US"/>
        </w:rPr>
        <w:t xml:space="preserve"> and Cochrane-CENTRAL</w:t>
      </w:r>
      <w:r w:rsidR="006F5EC4" w:rsidRPr="008E3F16">
        <w:rPr>
          <w:rFonts w:ascii="Book Antiqua" w:hAnsi="Book Antiqua" w:cs="Times New Roman"/>
          <w:color w:val="000000" w:themeColor="text1"/>
          <w:lang w:val="en-US"/>
        </w:rPr>
        <w:t xml:space="preserve">. </w:t>
      </w:r>
      <w:r w:rsidR="00E6147D" w:rsidRPr="008E3F16">
        <w:rPr>
          <w:rFonts w:ascii="Book Antiqua" w:hAnsi="Book Antiqua" w:cs="Times New Roman"/>
          <w:color w:val="000000" w:themeColor="text1"/>
          <w:lang w:val="en-US"/>
        </w:rPr>
        <w:t>T</w:t>
      </w:r>
      <w:r w:rsidR="006F5EC4" w:rsidRPr="008E3F16">
        <w:rPr>
          <w:rFonts w:ascii="Book Antiqua" w:hAnsi="Book Antiqua" w:cs="Times New Roman"/>
          <w:color w:val="000000" w:themeColor="text1"/>
          <w:lang w:val="en-US"/>
        </w:rPr>
        <w:t xml:space="preserve">he </w:t>
      </w:r>
      <w:r w:rsidR="00E60474" w:rsidRPr="008E3F16">
        <w:rPr>
          <w:rFonts w:ascii="Book Antiqua" w:hAnsi="Book Antiqua" w:cs="Times New Roman"/>
          <w:color w:val="000000" w:themeColor="text1"/>
          <w:lang w:val="en-US"/>
        </w:rPr>
        <w:t xml:space="preserve">keyword </w:t>
      </w:r>
      <w:r w:rsidR="006F5EC4" w:rsidRPr="008E3F16">
        <w:rPr>
          <w:rFonts w:ascii="Book Antiqua" w:hAnsi="Book Antiqua" w:cs="Times New Roman"/>
          <w:color w:val="000000" w:themeColor="text1"/>
          <w:lang w:val="en-US"/>
        </w:rPr>
        <w:t xml:space="preserve">‘anti-glycoprotein’ was used </w:t>
      </w:r>
      <w:r w:rsidR="00E60474" w:rsidRPr="008E3F16">
        <w:rPr>
          <w:rFonts w:ascii="Book Antiqua" w:hAnsi="Book Antiqua" w:cs="Times New Roman"/>
          <w:color w:val="000000" w:themeColor="text1"/>
          <w:lang w:val="en-US"/>
        </w:rPr>
        <w:t xml:space="preserve">for </w:t>
      </w:r>
      <w:r w:rsidR="006E49AF" w:rsidRPr="008E3F16">
        <w:rPr>
          <w:rFonts w:ascii="Book Antiqua" w:hAnsi="Book Antiqua" w:cs="Times New Roman"/>
          <w:color w:val="000000" w:themeColor="text1"/>
          <w:lang w:val="en-US"/>
        </w:rPr>
        <w:t xml:space="preserve">searches within </w:t>
      </w:r>
      <w:r w:rsidR="00E60474" w:rsidRPr="008E3F16">
        <w:rPr>
          <w:rFonts w:ascii="Book Antiqua" w:hAnsi="Book Antiqua" w:cs="Times New Roman"/>
          <w:color w:val="000000" w:themeColor="text1"/>
          <w:lang w:val="en-US"/>
        </w:rPr>
        <w:t>gr</w:t>
      </w:r>
      <w:r w:rsidR="006E49AF" w:rsidRPr="008E3F16">
        <w:rPr>
          <w:rFonts w:ascii="Book Antiqua" w:hAnsi="Book Antiqua" w:cs="Times New Roman"/>
          <w:color w:val="000000" w:themeColor="text1"/>
          <w:lang w:val="en-US"/>
        </w:rPr>
        <w:t>e</w:t>
      </w:r>
      <w:r w:rsidR="00E60474" w:rsidRPr="008E3F16">
        <w:rPr>
          <w:rFonts w:ascii="Book Antiqua" w:hAnsi="Book Antiqua" w:cs="Times New Roman"/>
          <w:color w:val="000000" w:themeColor="text1"/>
          <w:lang w:val="en-US"/>
        </w:rPr>
        <w:t xml:space="preserve">y literature sources (Open Grey and National Technical Information Service) and </w:t>
      </w:r>
      <w:r w:rsidR="006F5EC4" w:rsidRPr="008E3F16">
        <w:rPr>
          <w:rFonts w:ascii="Book Antiqua" w:hAnsi="Book Antiqua" w:cs="Times New Roman"/>
          <w:color w:val="000000" w:themeColor="text1"/>
          <w:lang w:val="en-US"/>
        </w:rPr>
        <w:t xml:space="preserve">on websites of </w:t>
      </w:r>
      <w:r w:rsidR="00842031" w:rsidRPr="008E3F16">
        <w:rPr>
          <w:rFonts w:ascii="Book Antiqua" w:hAnsi="Book Antiqua" w:cs="Times New Roman"/>
          <w:color w:val="000000" w:themeColor="text1"/>
          <w:lang w:val="en-US"/>
        </w:rPr>
        <w:t xml:space="preserve">anti-GP2 manufacturers </w:t>
      </w:r>
      <w:r w:rsidR="006F5EC4" w:rsidRPr="008E3F16">
        <w:rPr>
          <w:rFonts w:ascii="Book Antiqua" w:hAnsi="Book Antiqua" w:cs="Times New Roman"/>
          <w:color w:val="000000" w:themeColor="text1"/>
          <w:lang w:val="en-US"/>
        </w:rPr>
        <w:t>(</w:t>
      </w:r>
      <w:r w:rsidR="00872DBE" w:rsidRPr="008E3F16">
        <w:rPr>
          <w:rFonts w:ascii="Book Antiqua" w:hAnsi="Book Antiqua" w:cs="Times New Roman"/>
          <w:color w:val="000000" w:themeColor="text1"/>
          <w:lang w:val="en-US"/>
        </w:rPr>
        <w:t xml:space="preserve">Euroimmun, GA Generic Assays, </w:t>
      </w:r>
      <w:r w:rsidR="00842031" w:rsidRPr="008E3F16">
        <w:rPr>
          <w:rFonts w:ascii="Book Antiqua" w:hAnsi="Book Antiqua" w:cs="Times New Roman"/>
          <w:color w:val="000000" w:themeColor="text1"/>
          <w:lang w:val="en-US"/>
        </w:rPr>
        <w:t>Thermo Fisher</w:t>
      </w:r>
      <w:r w:rsidR="00872DBE" w:rsidRPr="008E3F16">
        <w:rPr>
          <w:rFonts w:ascii="Book Antiqua" w:hAnsi="Book Antiqua" w:cs="Times New Roman"/>
          <w:color w:val="000000" w:themeColor="text1"/>
          <w:lang w:val="en-US"/>
        </w:rPr>
        <w:t>,</w:t>
      </w:r>
      <w:r w:rsidR="00E60474" w:rsidRPr="008E3F16">
        <w:rPr>
          <w:rFonts w:ascii="Book Antiqua" w:hAnsi="Book Antiqua" w:cs="Times New Roman"/>
          <w:color w:val="000000" w:themeColor="text1"/>
          <w:lang w:val="en-US"/>
        </w:rPr>
        <w:t xml:space="preserve"> and</w:t>
      </w:r>
      <w:r w:rsidR="00872DBE" w:rsidRPr="008E3F16">
        <w:rPr>
          <w:rFonts w:ascii="Book Antiqua" w:hAnsi="Book Antiqua" w:cs="Times New Roman"/>
          <w:color w:val="000000" w:themeColor="text1"/>
          <w:lang w:val="en-US"/>
        </w:rPr>
        <w:t xml:space="preserve"> AMS Biotechnology</w:t>
      </w:r>
      <w:r w:rsidR="006F5EC4" w:rsidRPr="008E3F16">
        <w:rPr>
          <w:rFonts w:ascii="Book Antiqua" w:hAnsi="Book Antiqua" w:cs="Times New Roman"/>
          <w:color w:val="000000" w:themeColor="text1"/>
          <w:lang w:val="en-US"/>
        </w:rPr>
        <w:t>).</w:t>
      </w:r>
      <w:r w:rsidRPr="008E3F16">
        <w:rPr>
          <w:rFonts w:ascii="Book Antiqua" w:hAnsi="Book Antiqua" w:cs="Times New Roman"/>
          <w:color w:val="000000" w:themeColor="text1"/>
          <w:lang w:val="en-US"/>
        </w:rPr>
        <w:t xml:space="preserve"> Studies were assessed for eligibility independently and in duplicate, by three researchers (</w:t>
      </w:r>
      <w:r w:rsidR="00277845" w:rsidRPr="008E3F16">
        <w:rPr>
          <w:rFonts w:ascii="Book Antiqua" w:hAnsi="Book Antiqua" w:cs="Times New Roman"/>
          <w:color w:val="000000" w:themeColor="text1"/>
          <w:lang w:val="en-US"/>
        </w:rPr>
        <w:t>Gkiouras K</w:t>
      </w:r>
      <w:r w:rsidRPr="008E3F16">
        <w:rPr>
          <w:rFonts w:ascii="Book Antiqua" w:hAnsi="Book Antiqua" w:cs="Times New Roman"/>
          <w:color w:val="000000" w:themeColor="text1"/>
          <w:lang w:val="en-US"/>
        </w:rPr>
        <w:t xml:space="preserve">, </w:t>
      </w:r>
      <w:r w:rsidR="0011471A" w:rsidRPr="008E3F16">
        <w:rPr>
          <w:rFonts w:ascii="Book Antiqua" w:hAnsi="Book Antiqua" w:cs="Times New Roman"/>
          <w:color w:val="000000" w:themeColor="text1"/>
          <w:lang w:val="en-US"/>
        </w:rPr>
        <w:t>Grammatikopoulou MG</w:t>
      </w:r>
      <w:r w:rsidRPr="008E3F16">
        <w:rPr>
          <w:rFonts w:ascii="Book Antiqua" w:hAnsi="Book Antiqua" w:cs="Times New Roman"/>
          <w:color w:val="000000" w:themeColor="text1"/>
          <w:lang w:val="en-US"/>
        </w:rPr>
        <w:t xml:space="preserve"> and </w:t>
      </w:r>
      <w:r w:rsidR="0011471A" w:rsidRPr="008E3F16">
        <w:rPr>
          <w:rFonts w:ascii="Book Antiqua" w:hAnsi="Book Antiqua" w:cs="Times New Roman"/>
          <w:color w:val="000000" w:themeColor="text1"/>
          <w:lang w:val="en-US"/>
        </w:rPr>
        <w:t>Bogdanos DP</w:t>
      </w:r>
      <w:r w:rsidRPr="008E3F16">
        <w:rPr>
          <w:rFonts w:ascii="Book Antiqua" w:hAnsi="Book Antiqua" w:cs="Times New Roman"/>
          <w:color w:val="000000" w:themeColor="text1"/>
          <w:lang w:val="en-US"/>
        </w:rPr>
        <w:t>), and any disagreements were resolved by consensus.</w:t>
      </w:r>
    </w:p>
    <w:p w14:paraId="35160EAC" w14:textId="77777777" w:rsidR="003C4C41" w:rsidRPr="008E3F16" w:rsidRDefault="003C4C41" w:rsidP="00C66188">
      <w:pPr>
        <w:adjustRightInd w:val="0"/>
        <w:snapToGrid w:val="0"/>
        <w:spacing w:line="360" w:lineRule="auto"/>
        <w:jc w:val="both"/>
        <w:rPr>
          <w:rFonts w:ascii="Book Antiqua" w:eastAsia="Times New Roman" w:hAnsi="Book Antiqua" w:cs="Times New Roman"/>
          <w:color w:val="000000" w:themeColor="text1"/>
          <w:lang w:val="en-US" w:eastAsia="el-GR"/>
        </w:rPr>
      </w:pPr>
    </w:p>
    <w:p w14:paraId="2A3DBBCB" w14:textId="77777777" w:rsidR="003C4C41" w:rsidRPr="008E3F16" w:rsidRDefault="003C4C41" w:rsidP="00C66188">
      <w:pPr>
        <w:adjustRightInd w:val="0"/>
        <w:snapToGrid w:val="0"/>
        <w:spacing w:line="360" w:lineRule="auto"/>
        <w:jc w:val="both"/>
        <w:rPr>
          <w:rFonts w:ascii="Book Antiqua" w:eastAsia="Times New Roman" w:hAnsi="Book Antiqua" w:cs="Times New Roman"/>
          <w:b/>
          <w:bCs/>
          <w:i/>
          <w:color w:val="000000" w:themeColor="text1"/>
          <w:lang w:val="en-US" w:eastAsia="el-GR"/>
        </w:rPr>
      </w:pPr>
      <w:r w:rsidRPr="008E3F16">
        <w:rPr>
          <w:rFonts w:ascii="Book Antiqua" w:eastAsia="Times New Roman" w:hAnsi="Book Antiqua" w:cs="Times New Roman"/>
          <w:b/>
          <w:bCs/>
          <w:i/>
          <w:color w:val="000000" w:themeColor="text1"/>
          <w:lang w:val="en-US" w:eastAsia="el-GR"/>
        </w:rPr>
        <w:t>Inclusion and exclusion criteria</w:t>
      </w:r>
    </w:p>
    <w:p w14:paraId="37573806" w14:textId="36ABCD93" w:rsidR="000C4C95" w:rsidRPr="008E3F16" w:rsidRDefault="004208F1" w:rsidP="00C66188">
      <w:pPr>
        <w:adjustRightInd w:val="0"/>
        <w:snapToGrid w:val="0"/>
        <w:spacing w:line="360" w:lineRule="auto"/>
        <w:jc w:val="both"/>
        <w:rPr>
          <w:rFonts w:ascii="Book Antiqua" w:hAnsi="Book Antiqua" w:cs="Times New Roman"/>
          <w:color w:val="000000" w:themeColor="text1"/>
          <w:lang w:val="en-US"/>
        </w:rPr>
      </w:pPr>
      <w:r w:rsidRPr="008E3F16">
        <w:rPr>
          <w:rFonts w:ascii="Book Antiqua" w:eastAsia="Times New Roman" w:hAnsi="Book Antiqua" w:cs="Times New Roman"/>
          <w:color w:val="000000" w:themeColor="text1"/>
          <w:lang w:val="en-US" w:eastAsia="el-GR"/>
        </w:rPr>
        <w:t xml:space="preserve">We imposed no restrictions on the age of the study population, language, or the quality of retrieved DTA studies. </w:t>
      </w:r>
      <w:r w:rsidR="000C4C95" w:rsidRPr="008E3F16">
        <w:rPr>
          <w:rFonts w:ascii="Book Antiqua" w:hAnsi="Book Antiqua" w:cs="Times New Roman"/>
          <w:color w:val="000000" w:themeColor="text1"/>
          <w:lang w:val="en-US"/>
        </w:rPr>
        <w:t>Studies assessing anti-GP2 levels to diagnose CD in patients with relevant clinical features were selected. Additionally, studies assessing anti-GP2 levels among IBD patients were also considered eligible. The reference standard to verify CD diagnosis was the standard clinical, radiological, endoscopical and histological criteria for CD diagnosis</w:t>
      </w:r>
      <w:r w:rsidR="000C4C95" w:rsidRPr="008E3F16">
        <w:rPr>
          <w:rFonts w:ascii="Book Antiqua" w:hAnsi="Book Antiqua" w:cs="Times New Roman"/>
          <w:color w:val="000000" w:themeColor="text1"/>
          <w:lang w:val="en-US"/>
        </w:rPr>
        <w:fldChar w:fldCharType="begin" w:fldLock="1"/>
      </w:r>
      <w:r w:rsidR="003E6BBC" w:rsidRPr="008E3F16">
        <w:rPr>
          <w:rFonts w:ascii="Book Antiqua" w:hAnsi="Book Antiqua" w:cs="Times New Roman"/>
          <w:color w:val="000000" w:themeColor="text1"/>
          <w:lang w:val="en-US"/>
        </w:rPr>
        <w:instrText>ADDIN CSL_CITATION {"citationItems":[{"id":"ITEM-1","itemData":{"DOI":"10.1136/gut.2005.081950a","ISSN":"0017-5749","PMID":"16481628","author":[{"dropping-particle":"","family":"Stange","given":"E F","non-dropping-particle":"","parse-names":false,"suffix":""},{"dropping-particle":"","family":"Travis","given":"S P L","non-dropping-particle":"","parse-names":false,"suffix":""},{"dropping-particle":"","family":"Vermeire","given":"S","non-dropping-particle":"","parse-names":false,"suffix":""},{"dropping-particle":"","family":"Beglinger","given":"C","non-dropping-particle":"","parse-names":false,"suffix":""},{"dropping-particle":"","family":"Kupcinkas","given":"L","non-dropping-particle":"","parse-names":false,"suffix":""},{"dropping-particle":"","family":"Geboes","given":"K","non-dropping-particle":"","parse-names":false,"suffix":""},{"dropping-particle":"","family":"Barakauskiene","given":"A","non-dropping-particle":"","parse-names":false,"suffix":""},{"dropping-particle":"","family":"Villanacci","given":"V","non-dropping-particle":"","parse-names":false,"suffix":""},{"dropping-particle":"","family":"Herbay","given":"A","non-dropping-particle":"Von","parse-names":false,"suffix":""},{"dropping-particle":"","family":"Warren","given":"B F","non-dropping-particle":"","parse-names":false,"suffix":""},{"dropping-particle":"","family":"Gasche","given":"C","non-dropping-particle":"","parse-names":false,"suffix":""},{"dropping-particle":"","family":"Tilg","given":"H","non-dropping-particle":"","parse-names":false,"suffix":""},{"dropping-particle":"","family":"Schreiber","given":"Stefan W","non-dropping-particle":"","parse-names":false,"suffix":""},{"dropping-particle":"","family":"Schölmerich","given":"J","non-dropping-particle":"","parse-names":false,"suffix":""},{"dropping-particle":"","family":"Reinisch","given":"W","non-dropping-particle":"","parse-names":false,"suffix":""},{"dropping-particle":"","family":"European Crohn's and Colitis Organisation","given":"","non-dropping-particle":"","parse-names":false,"suffix":""}],"container-title":"Gut","id":"ITEM-1","issue":"suppl_1","issued":{"date-parts":[["2006","3","1"]]},"page":"i1-i15","title":"European evidence based consensus on the diagnosis and management of Crohn's disease: definitions and diagnosis","type":"article-journal","volume":"55"},"uris":["http://www.mendeley.com/documents/?uuid=b58cb24f-3191-3ea9-8d87-e93eaf5f02b1"]},{"id":"ITEM-2","itemData":{"ISSN":"0277-2116","PMID":"15990620","abstract":"Ulcerative colitis and Crohn disease may present before the age of 20 years in 25% to 30% of all patients with inflammatory bowel disease. Reported incidence figures vary considerably depending on the collection of data. Multicenter, multinational collaboration is needed when studying pediatric inflammatory bowel disease. The essential first step is uniformity in the work-up and criteria used for diagnosis. The Porto diagnostic criteria presented here provide the tool that is needed. These criteria are the result of consensus reached by the ESPGHAN inflammatory bowel disease working group. Diagnosis of Crohn disease, ulcerative colitis and indeterminate colitis is based on clinical signs and symptoms, endoscopy and histology and radiology. Every child suspected of inflammatory bowel disease should undergo a complete diagnostic program consisting of colonoscopy with ileal intubation, upper gastrointestinal endoscopy and (in all cases except in definite ulcerative colitis) radiologic contrast imaging of the small bowel. Multiple biopsies from all segments of the gastrointestinal tract are needed for a complete histologic evaluation. A diagnosis of indeterminate colitis cannot be made unless a full diagnostic program has been performed.","author":[{"dropping-particle":"","family":"IBD Working Group of the European Society for Paediatric Gastroenterology, Hepatology and Nutrition","given":"","non-dropping-particle":"","parse-names":false,"suffix":""}],"container-title":"Journal of pediatric gastroenterology and nutrition","id":"ITEM-2","issue":"1","issued":{"date-parts":[["2005","7"]]},"page":"1-7","title":"Inflammatory bowel disease in children and adolescents: recommendations for diagnosis--the Porto criteria.","type":"article-journal","volume":"41"},"uris":["http://www.mendeley.com/documents/?uuid=be6b551a-aae9-320a-b15a-079b22309168"]},{"id":"ITEM-3","itemData":{"DOI":"10.1056/NEJM199603283341307","ISSN":"0028-4793","PMID":"8596552","author":[{"dropping-particle":"","family":"Hanauer","given":"Stephen B.","non-dropping-particle":"","parse-names":false,"suffix":""}],"container-title":"New England Journal of Medicine","editor":[{"dropping-particle":"","family":"Wood","given":"Alastair J.J.","non-dropping-particle":"","parse-names":false,"suffix":""}],"id":"ITEM-3","issue":"13","issued":{"date-parts":[["1996","3","28"]]},"page":"841-848","title":"Inflammatory Bowel Disease","type":"article-journal","volume":"334"},"uris":["http://www.mendeley.com/documents/?uuid=28ce90a2-a4b8-3e47-8d4a-4efcbb49c338"]},{"id":"ITEM-4","itemData":{"DOI":"10.1093/ecco-jcc/jjv213","ISSN":"1876-4479","PMID":"26614685","author":[{"dropping-particle":"","family":"Harbord","given":"Marcus","non-dropping-particle":"","parse-names":false,"suffix":""},{"dropping-particle":"","family":"Annese","given":"Vito","non-dropping-particle":"","parse-names":false,"suffix":""},{"dropping-particle":"","family":"Vavricka","given":"Stephan R.","non-dropping-particle":"","parse-names":false,"suffix":""},{"dropping-particle":"","family":"Allez","given":"Matthieu","non-dropping-particle":"","parse-names":false,"suffix":""},{"dropping-particle":"","family":"Barreiro-de Acosta","given":"Manuel","non-dropping-particle":"","parse-names":false,"suffix":""},{"dropping-particle":"","family":"Boberg","given":"Kirsten Muri","non-dropping-particle":"","parse-names":false,"suffix":""},{"dropping-particle":"","family":"Burisch","given":"Johan","non-dropping-particle":"","parse-names":false,"suffix":""},{"dropping-particle":"","family":"Vos","given":"Martine","non-dropping-particle":"De","parse-names":false,"suffix":""},{"dropping-particle":"","family":"Vries","given":"Anne-Marie","non-dropping-particle":"De","parse-names":false,"suffix":""},{"dropping-particle":"","family":"Dick","given":"Andrew D.","non-dropping-particle":"","parse-names":false,"suffix":""},{"dropping-particle":"","family":"Juillerat","given":"Pascal","non-dropping-particle":"","parse-names":false,"suffix":""},{"dropping-particle":"","family":"Karlsen","given":"Tom H.","non-dropping-particle":"","parse-names":false,"suffix":""},{"dropping-particle":"","family":"Koutroubakis","given":"Ioannis","non-dropping-particle":"","parse-names":false,"suffix":""},{"dropping-particle":"","family":"Lakatos","given":"Peter L.","non-dropping-particle":"","parse-names":false,"suffix":""},{"dropping-particle":"","family":"Orchard","given":"Tim","non-dropping-particle":"","parse-names":false,"suffix":""},{"dropping-particle":"","family":"Papay","given":"Pavol","non-dropping-particle":"","parse-names":false,"suffix":""},{"dropping-particle":"","family":"Raine","given":"Tim","non-dropping-particle":"","parse-names":false,"suffix":""},{"dropping-particle":"","family":"Reinshagen","given":"Max","non-dropping-particle":"","parse-names":false,"suffix":""},{"dropping-particle":"","family":"Thaci","given":"Diamant","non-dropping-particle":"","parse-names":false,"suffix":""},{"dropping-particle":"","family":"Tilg","given":"Herbert","non-dropping-particle":"","parse-names":false,"suffix":""},{"dropping-particle":"","family":"Carbonnel","given":"Franck","non-dropping-particle":"","parse-names":false,"suffix":""},{"dropping-particle":"","family":"European Crohn’s and Colitis Organisation","given":"","non-dropping-particle":"","parse-names":false,"suffix":""}],"container-title":"Journal of Crohn's and Colitis","id":"ITEM-4","issue":"3","issued":{"date-parts":[["2016","3","1"]]},"page":"239-254","title":"The First European Evidence-based Consensus on Extra-intestinal Manifestations in Inflammatory Bowel Disease","type":"article-journal","volume":"10"},"uris":["http://www.mendeley.com/documents/?uuid=3290107c-bd9d-3b25-babe-bfbcaef880eb"]},{"id":"ITEM-5","itemData":{"DOI":"10.1016/j.crohns.2009.12.002","ISSN":"18739946","PMID":"21122489","author":[{"dropping-particle":"","family":"Dignass","given":"A.","non-dropping-particle":"","parse-names":false,"suffix":""},{"dropping-particle":"","family":"Assche","given":"G.","non-dropping-particle":"Van","parse-names":false,"suffix":""},{"dropping-particle":"","family":"Lindsay","given":"J.O.","non-dropping-particle":"","parse-names":false,"suffix":""},{"dropping-particle":"","family":"Lémann","given":"M.","non-dropping-particle":"","parse-names":false,"suffix":""},{"dropping-particle":"","family":"Söderholm","given":"J.","non-dropping-particle":"","parse-names":false,"suffix":""},{"dropping-particle":"","family":"Colombel","given":"J.F.","non-dropping-particle":"","parse-names":false,"suffix":""},{"dropping-particle":"","family":"Danese","given":"S.","non-dropping-particle":"","parse-names":false,"suffix":""},{"dropping-particle":"","family":"D'Hoore","given":"A.","non-dropping-particle":"","parse-names":false,"suffix":""},{"dropping-particle":"","family":"Gassull","given":"M.","non-dropping-particle":"","parse-names":false,"suffix":""},{"dropping-particle":"","family":"Gomollón","given":"F.","non-dropping-particle":"","parse-names":false,"suffix":""},{"dropping-particle":"","family":"Hommes","given":"D.W.","non-dropping-particle":"","parse-names":false,"suffix":""},{"dropping-particle":"","family":"Michetti","given":"P.","non-dropping-particle":"","parse-names":false,"suffix":""},{"dropping-particle":"","family":"O'Morain","given":"C.","non-dropping-particle":"","parse-names":false,"suffix":""},{"dropping-particle":"","family":"Öresland","given":"T.","non-dropping-particle":"","parse-names":false,"suffix":""},{"dropping-particle":"","family":"Windsor","given":"A.","non-dropping-particle":"","parse-names":false,"suffix":""},{"dropping-particle":"","family":"Stange","given":"E.F.","non-dropping-particle":"","parse-names":false,"suffix":""},{"dropping-particle":"","family":"Travis","given":"S.P.L.","non-dropping-particle":"","parse-names":false,"suffix":""},{"dropping-particle":"","family":"European Crohn's and Colitis Organisation (ECCO)","given":"","non-dropping-particle":"","parse-names":false,"suffix":""}],"container-title":"Journal of Crohn's and Colitis","id":"ITEM-5","issue":"1","issued":{"date-parts":[["2010","2"]]},"page":"28-62","title":"The second European evidence-based Consensus on the diagnosis and management of Crohn's disease: Current management","type":"article-journal","volume":"4"},"uris":["http://www.mendeley.com/documents/?uuid=0837df63-bb41-3d76-aac3-09511fd9946c"]},{"id":"ITEM-6","itemData":{"DOI":"10.3109/00365528909091339","ISSN":"0085-5928","PMID":"2617184","abstract":"Infection,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Supplement","id":"ITEM-6","issued":{"date-parts":[["1989"]]},"page":"2-6; discussion 16-9","title":"Classification of inflammatory bowel disease.","type":"article-journal","volume":"170"},"uris":["http://www.mendeley.com/documents/?uuid=f4e0616a-8705-3882-9e66-eb579abe1593"]},{"id":"ITEM-7","itemData":{"DOI":"10.1097/MPG.0000000000000239","ISSN":"0277-2116","PMID":"24231644","abstract":"BACKGROUND The diagnosis of pediatric-onset inflammatory bowel disease (PIBD) can be challenging in choosing the most informative diagnostic tests and correctly classifying PIBD into its different subtypes. Recent advances in our understanding of the natural history and phenotype of PIBD, increasing availability of serological and fecal biomarkers, and the emergence of novel endoscopic and imaging technologies taken together have made the previous Porto criteria for the diagnosis of PIBD obsolete. METHODS We aimed to revise the original Porto criteria using an evidence-based approach and consensus process to yield specific practice recommendations for the diagnosis of PIBD. These revised criteria are based on the Paris classification of PIBD and the original Porto criteria while incorporating novel data, such as for serum and fecal biomarkers. A consensus of at least 80% of participants was achieved for all recommendations and the summary algorithm. RESULTS The revised criteria depart from existing criteria by defining 2 categories of ulcerative colitis (UC, typical and atypical); atypical phenotypes of UC should be treated as UC. A novel approach based on multiple criteria for diagnosing IBD-unclassified (IBD-U) is proposed. Specifically, these revised criteria recommend upper gastrointestinal endoscopy and ileocolonscopy for all suspected patients with PIBD, with small bowel imaging (unless typical UC after endoscopy and histology) by magnetic resonance enterography or wireless capsule endoscopy. CONCLUSIONS These revised Porto criteria for the diagnosis of PIBD have been developed to meet present challenges and developments in PIBD and provide up-to-date guidelines for the definition and diagnosis of the IBD spectrum.","author":[{"dropping-particle":"","family":"Levine","given":"Arie","non-dropping-particle":"","parse-names":false,"suffix":""},{"dropping-particle":"","family":"Koletzko","given":"Sibylle","non-dropping-particle":"","parse-names":false,"suffix":""},{"dropping-particle":"","family":"Turner","given":"Dan","non-dropping-particle":"","parse-names":false,"suffix":""},{"dropping-particle":"","family":"Escher","given":"Johanna C.","non-dropping-particle":"","parse-names":false,"suffix":""},{"dropping-particle":"","family":"Cucchiara","given":"Salvatore","non-dropping-particle":"","parse-names":false,"suffix":""},{"dropping-particle":"","family":"Ridder","given":"Lissy","non-dropping-particle":"de","parse-names":false,"suffix":""},{"dropping-particle":"","family":"Kolho","given":"Kaija-Leena","non-dropping-particle":"","parse-names":false,"suffix":""},{"dropping-particle":"","family":"Veres","given":"Gabor","non-dropping-particle":"","parse-names":false,"suffix":""},{"dropping-particle":"","family":"Russell","given":"Richard K.","non-dropping-particle":"","parse-names":false,"suffix":""},{"dropping-particle":"","family":"Paerregaard","given":"Anders","non-dropping-particle":"","parse-names":false,"suffix":""},{"dropping-particle":"","family":"Buderus","given":"Stephan","non-dropping-particle":"","parse-names":false,"suffix":""},{"dropping-particle":"","family":"Greer","given":"Mary-Louise C.","non-dropping-particle":"","parse-names":false,"suffix":""},{"dropping-particle":"","family":"Dias","given":"Jorge Amil","non-dropping-particle":"","parse-names":false,"suffix":""},{"dropping-particle":"","family":"Veereman-Wauters","given":"Gigi","non-dropping-particle":"","parse-names":false,"suffix":""},{"dropping-particle":"","family":"Lionetti","given":"Paolo","non-dropping-particle":"","parse-names":false,"suffix":""},{"dropping-particle":"","family":"Sladek","given":"Malgorzata","non-dropping-particle":"","parse-names":false,"suffix":""},{"dropping-particle":"de","family":"Carpi","given":"Javier Martin","non-dropping-particle":"","parse-names":false,"suffix":""},{"dropping-particle":"","family":"Staiano","given":"Annamaria","non-dropping-particle":"","parse-names":false,"suffix":""},{"dropping-particle":"","family":"Ruemmele","given":"Frank M.","non-dropping-particle":"","parse-names":false,"suffix":""},{"dropping-particle":"","family":"Wilson","given":"David C.","non-dropping-particle":"","parse-names":false,"suffix":""},{"dropping-particle":"","family":"European Society of Pediatric Gastroenterology, Hepatology, and Nutrition","given":"","non-dropping-particle":"","parse-names":false,"suffix":""}],"container-title":"Journal of Pediatric Gastroenterology and Nutrition","id":"ITEM-7","issue":"6","issued":{"date-parts":[["2013","11"]]},"page":"1","title":"The ESPGHAN Revised Porto Criteria for the Diagnosis of Inflammatory Bowel Disease in Children and Adolescents","type":"article-journal","volume":"58"},"uris":["http://www.mendeley.com/documents/?uuid=8890fba6-f624-3677-a29f-2f8f96aae9d2"]}],"mendeley":{"formattedCitation":"&lt;sup&gt;[8,9,21–25]&lt;/sup&gt;","plainTextFormattedCitation":"[8,9,21–25]","previouslyFormattedCitation":"&lt;sup&gt;[8,9,21–25]&lt;/sup&gt;"},"properties":{"noteIndex":0},"schema":"https://github.com/citation-style-language/schema/raw/master/csl-citation.json"}</w:instrText>
      </w:r>
      <w:r w:rsidR="000C4C95" w:rsidRPr="008E3F16">
        <w:rPr>
          <w:rFonts w:ascii="Book Antiqua" w:hAnsi="Book Antiqua" w:cs="Times New Roman"/>
          <w:color w:val="000000" w:themeColor="text1"/>
          <w:lang w:val="en-US"/>
        </w:rPr>
        <w:fldChar w:fldCharType="separate"/>
      </w:r>
      <w:r w:rsidR="000C4C95" w:rsidRPr="008E3F16">
        <w:rPr>
          <w:rFonts w:ascii="Book Antiqua" w:hAnsi="Book Antiqua" w:cs="Times New Roman"/>
          <w:noProof/>
          <w:color w:val="000000" w:themeColor="text1"/>
          <w:vertAlign w:val="superscript"/>
          <w:lang w:val="en-US"/>
        </w:rPr>
        <w:t>[8,9,21–25]</w:t>
      </w:r>
      <w:r w:rsidR="000C4C95" w:rsidRPr="008E3F16">
        <w:rPr>
          <w:rFonts w:ascii="Book Antiqua" w:hAnsi="Book Antiqua" w:cs="Times New Roman"/>
          <w:color w:val="000000" w:themeColor="text1"/>
          <w:lang w:val="en-US"/>
        </w:rPr>
        <w:fldChar w:fldCharType="end"/>
      </w:r>
      <w:r w:rsidR="000C4C95" w:rsidRPr="008E3F16">
        <w:rPr>
          <w:rFonts w:ascii="Book Antiqua" w:hAnsi="Book Antiqua" w:cs="Times New Roman"/>
          <w:color w:val="000000" w:themeColor="text1"/>
          <w:lang w:val="en-US"/>
        </w:rPr>
        <w:t>.</w:t>
      </w:r>
    </w:p>
    <w:p w14:paraId="1D5A3663" w14:textId="465331B0" w:rsidR="004208F1" w:rsidRPr="008E3F16" w:rsidRDefault="004208F1" w:rsidP="00C66188">
      <w:pPr>
        <w:adjustRightInd w:val="0"/>
        <w:snapToGrid w:val="0"/>
        <w:spacing w:line="360" w:lineRule="auto"/>
        <w:ind w:firstLineChars="100" w:firstLine="240"/>
        <w:jc w:val="both"/>
        <w:rPr>
          <w:rFonts w:ascii="Book Antiqua" w:eastAsia="Times New Roman" w:hAnsi="Book Antiqua" w:cs="Times New Roman"/>
          <w:color w:val="000000" w:themeColor="text1"/>
          <w:lang w:val="en-US" w:eastAsia="el-GR"/>
        </w:rPr>
      </w:pPr>
      <w:r w:rsidRPr="008E3F16">
        <w:rPr>
          <w:rFonts w:ascii="Book Antiqua" w:eastAsia="Times New Roman" w:hAnsi="Book Antiqua" w:cs="Times New Roman"/>
          <w:color w:val="000000" w:themeColor="text1"/>
          <w:lang w:val="en-US" w:eastAsia="el-GR"/>
        </w:rPr>
        <w:t xml:space="preserve">However, studies were excluded when </w:t>
      </w:r>
      <w:r w:rsidR="00324F8A" w:rsidRPr="008E3F16">
        <w:rPr>
          <w:rFonts w:ascii="Book Antiqua" w:eastAsia="Times New Roman" w:hAnsi="Book Antiqua" w:cs="Times New Roman"/>
          <w:color w:val="000000" w:themeColor="text1"/>
          <w:lang w:val="en-US" w:eastAsia="el-GR"/>
        </w:rPr>
        <w:t>(1</w:t>
      </w:r>
      <w:r w:rsidRPr="008E3F16">
        <w:rPr>
          <w:rFonts w:ascii="Book Antiqua" w:eastAsia="Times New Roman" w:hAnsi="Book Antiqua" w:cs="Times New Roman"/>
          <w:color w:val="000000" w:themeColor="text1"/>
          <w:lang w:val="en-US" w:eastAsia="el-GR"/>
        </w:rPr>
        <w:t xml:space="preserve">) </w:t>
      </w:r>
      <w:r w:rsidR="000C4C95" w:rsidRPr="008E3F16">
        <w:rPr>
          <w:rFonts w:ascii="Book Antiqua" w:eastAsia="Times New Roman" w:hAnsi="Book Antiqua" w:cs="Times New Roman"/>
          <w:color w:val="000000" w:themeColor="text1"/>
          <w:lang w:val="en-US" w:eastAsia="el-GR"/>
        </w:rPr>
        <w:t>based</w:t>
      </w:r>
      <w:r w:rsidRPr="008E3F16">
        <w:rPr>
          <w:rFonts w:ascii="Book Antiqua" w:eastAsia="Times New Roman" w:hAnsi="Book Antiqua" w:cs="Times New Roman"/>
          <w:color w:val="000000" w:themeColor="text1"/>
          <w:lang w:val="en-US" w:eastAsia="el-GR"/>
        </w:rPr>
        <w:t xml:space="preserve"> on animals or non-human samples</w:t>
      </w:r>
      <w:r w:rsidR="00324F8A" w:rsidRPr="008E3F16">
        <w:rPr>
          <w:rFonts w:ascii="Book Antiqua" w:eastAsia="Times New Roman" w:hAnsi="Book Antiqua" w:cs="Times New Roman"/>
          <w:color w:val="000000" w:themeColor="text1"/>
          <w:lang w:val="en-US" w:eastAsia="el-GR"/>
        </w:rPr>
        <w:t>;</w:t>
      </w:r>
      <w:r w:rsidRPr="008E3F16">
        <w:rPr>
          <w:rFonts w:ascii="Book Antiqua" w:eastAsia="Times New Roman" w:hAnsi="Book Antiqua" w:cs="Times New Roman"/>
          <w:color w:val="000000" w:themeColor="text1"/>
          <w:lang w:val="en-US" w:eastAsia="el-GR"/>
        </w:rPr>
        <w:t xml:space="preserve"> </w:t>
      </w:r>
      <w:r w:rsidR="00324F8A" w:rsidRPr="008E3F16">
        <w:rPr>
          <w:rFonts w:ascii="Book Antiqua" w:eastAsia="Times New Roman" w:hAnsi="Book Antiqua" w:cs="Times New Roman"/>
          <w:color w:val="000000" w:themeColor="text1"/>
          <w:lang w:val="en-US" w:eastAsia="el-GR"/>
        </w:rPr>
        <w:t>(2</w:t>
      </w:r>
      <w:r w:rsidRPr="008E3F16">
        <w:rPr>
          <w:rFonts w:ascii="Book Antiqua" w:eastAsia="Times New Roman" w:hAnsi="Book Antiqua" w:cs="Times New Roman"/>
          <w:color w:val="000000" w:themeColor="text1"/>
          <w:lang w:val="en-US" w:eastAsia="el-GR"/>
        </w:rPr>
        <w:t>) not providing sufficient data to construct a 2</w:t>
      </w:r>
      <w:r w:rsidR="00324F8A" w:rsidRPr="008E3F16">
        <w:rPr>
          <w:rFonts w:ascii="Book Antiqua" w:eastAsia="Times New Roman" w:hAnsi="Book Antiqua" w:cs="Times New Roman"/>
          <w:color w:val="000000" w:themeColor="text1"/>
          <w:lang w:val="en-US" w:eastAsia="el-GR"/>
        </w:rPr>
        <w:t xml:space="preserve"> </w:t>
      </w:r>
      <w:r w:rsidRPr="008E3F16">
        <w:rPr>
          <w:rFonts w:ascii="Book Antiqua" w:eastAsia="Times New Roman" w:hAnsi="Book Antiqua" w:cs="Times New Roman"/>
          <w:color w:val="000000" w:themeColor="text1"/>
          <w:lang w:val="en-US" w:eastAsia="el-GR"/>
        </w:rPr>
        <w:t>×</w:t>
      </w:r>
      <w:r w:rsidR="00324F8A" w:rsidRPr="008E3F16">
        <w:rPr>
          <w:rFonts w:ascii="Book Antiqua" w:eastAsia="Times New Roman" w:hAnsi="Book Antiqua" w:cs="Times New Roman"/>
          <w:color w:val="000000" w:themeColor="text1"/>
          <w:lang w:val="en-US" w:eastAsia="el-GR"/>
        </w:rPr>
        <w:t xml:space="preserve"> </w:t>
      </w:r>
      <w:r w:rsidRPr="008E3F16">
        <w:rPr>
          <w:rFonts w:ascii="Book Antiqua" w:eastAsia="Times New Roman" w:hAnsi="Book Antiqua" w:cs="Times New Roman"/>
          <w:color w:val="000000" w:themeColor="text1"/>
          <w:lang w:val="en-US" w:eastAsia="el-GR"/>
        </w:rPr>
        <w:t>2 table</w:t>
      </w:r>
      <w:r w:rsidR="00324F8A" w:rsidRPr="008E3F16">
        <w:rPr>
          <w:rFonts w:ascii="Book Antiqua" w:eastAsia="Times New Roman" w:hAnsi="Book Antiqua" w:cs="Times New Roman"/>
          <w:color w:val="000000" w:themeColor="text1"/>
          <w:lang w:val="en-US" w:eastAsia="el-GR"/>
        </w:rPr>
        <w:t>;</w:t>
      </w:r>
      <w:r w:rsidRPr="008E3F16">
        <w:rPr>
          <w:rFonts w:ascii="Book Antiqua" w:eastAsia="Times New Roman" w:hAnsi="Book Antiqua" w:cs="Times New Roman"/>
          <w:color w:val="000000" w:themeColor="text1"/>
          <w:lang w:val="en-US" w:eastAsia="el-GR"/>
        </w:rPr>
        <w:t xml:space="preserve"> </w:t>
      </w:r>
      <w:r w:rsidR="00324F8A" w:rsidRPr="008E3F16">
        <w:rPr>
          <w:rFonts w:ascii="Book Antiqua" w:eastAsia="Times New Roman" w:hAnsi="Book Antiqua" w:cs="Times New Roman"/>
          <w:color w:val="000000" w:themeColor="text1"/>
          <w:lang w:val="en-US" w:eastAsia="el-GR"/>
        </w:rPr>
        <w:t>(3</w:t>
      </w:r>
      <w:r w:rsidRPr="008E3F16">
        <w:rPr>
          <w:rFonts w:ascii="Book Antiqua" w:eastAsia="Times New Roman" w:hAnsi="Book Antiqua" w:cs="Times New Roman"/>
          <w:color w:val="000000" w:themeColor="text1"/>
          <w:lang w:val="en-US" w:eastAsia="el-GR"/>
        </w:rPr>
        <w:t>) presenting duplicate data already reported in other manuscripts</w:t>
      </w:r>
      <w:r w:rsidR="00324F8A" w:rsidRPr="008E3F16">
        <w:rPr>
          <w:rFonts w:ascii="Book Antiqua" w:eastAsia="Times New Roman" w:hAnsi="Book Antiqua" w:cs="Times New Roman"/>
          <w:color w:val="000000" w:themeColor="text1"/>
          <w:lang w:val="en-US" w:eastAsia="el-GR"/>
        </w:rPr>
        <w:t>; and (4</w:t>
      </w:r>
      <w:r w:rsidRPr="008E3F16">
        <w:rPr>
          <w:rFonts w:ascii="Book Antiqua" w:eastAsia="Times New Roman" w:hAnsi="Book Antiqua" w:cs="Times New Roman"/>
          <w:color w:val="000000" w:themeColor="text1"/>
          <w:lang w:val="en-US" w:eastAsia="el-GR"/>
        </w:rPr>
        <w:t>) not reporting the reference CD diagnostic criteria. When two publications had been identified as using overlapping populations, they were counted as a single study</w:t>
      </w:r>
      <w:r w:rsidRPr="008E3F16">
        <w:rPr>
          <w:rFonts w:ascii="Book Antiqua" w:eastAsia="Times New Roman" w:hAnsi="Book Antiqua" w:cs="Times New Roman"/>
          <w:color w:val="000000" w:themeColor="text1"/>
          <w:lang w:val="en-US" w:eastAsia="el-GR"/>
        </w:rPr>
        <w:fldChar w:fldCharType="begin" w:fldLock="1"/>
      </w:r>
      <w:r w:rsidR="00FD4A65" w:rsidRPr="008E3F16">
        <w:rPr>
          <w:rFonts w:ascii="Book Antiqua" w:eastAsia="Times New Roman" w:hAnsi="Book Antiqua" w:cs="Times New Roman"/>
          <w:color w:val="000000" w:themeColor="text1"/>
          <w:lang w:val="en-US" w:eastAsia="el-GR"/>
        </w:rPr>
        <w:instrText>ADDIN CSL_CITATION {"citationItems":[{"id":"ITEM-1","itemData":{"DOI":"10.1136/BMJ.K1450","ISSN":"0959-8138","PMID":"29785952","abstract":"Objective To assess the diagnostic accuracy of point-of-care natriuretic peptide tests in patients with chronic heart failure, with a focus on the ambulatory care setting.\n\nDesign Systematic review and meta-analysis.\n\nData sources Ovid Medline, Cochrane Central Register of Controlled Trials, Cochrane Database of Systematic Reviews, Database of Abstracts of Reviews of Effects, Embase, Health Technology Assessment Database, Science Citation Index, and Conference Proceedings Citation Index until 31 March 2017.\n\nStudy selection Eligible studies evaluated point-of-care natriuretic peptide testing (B-type natriuretic peptide (BNP) or N terminal fragment pro B-type natriuretic peptide (NTproBNP)) against any relevant reference standard, including echocardiography, clinical examination, or combinations of these, in humans. Studies were excluded if reported data were insufficient to construct 2×2 tables. No language restrictions were applied.\n\nResults 42 publications of 39 individual studies met the inclusion criteria and 40 publications of 37 studies were included in the analysis. Of the 37 studies, 30 evaluated BNP point-of-care testing and seven evaluated NTproBNP testing. 15 studies were done in ambulatory care settings in populations with a low prevalence of chronic heart failure. Five studies were done in primary care. At thresholds &gt;100 pg/mL, the sensitivity of BNP, measured with the point-of-care index device Triage, was generally high and was 0.95 (95% confidence interval 0.90 to 0.98) at 100 pg/mL. At thresholds &lt;100 pg/mL, sensitivity ranged from 0.46 to 0.97 and specificity from 0.31 to 0.98. Primary care studies that used NTproBNP testing reported a sensitivity of 0.99 (0.57 to 1.00) and specificity of 0.60 (0.44 to 0.74) at 135 pg/mL. No statistically significant difference in diagnostic accuracy was found between point-of-care BNP and NTproBNP tests.\n\nConclusions Given the lack of studies in primary care, the paucity of NTproBNP data, and potential methodological limitations in these studies, large scale trials in primary care are needed to assess the role of point-of-care natriuretic peptide testing and clarify appropriate thresholds to improve care of patients with suspected or chronic heart failure.","author":[{"dropping-particle":"","family":"Taylor","given":"Kathryn S","non-dropping-particle":"","parse-names":false,"suffix":""},{"dropping-particle":"","family":"Verbakel","given":"Jan Y","non-dropping-particle":"","parse-names":false,"suffix":""},{"dropping-particle":"","family":"Feakins","given":"Benjamin G","non-dropping-particle":"","parse-names":false,"suffix":""},{"dropping-particle":"","family":"Price","given":"Christopher P","non-dropping-particle":"","parse-names":false,"suffix":""},{"dropping-particle":"","family":"Perera","given":"Rafael","non-dropping-particle":"","parse-names":false,"suffix":""},{"dropping-particle":"","family":"Bankhead","given":"Clare","non-dropping-particle":"","parse-names":false,"suffix":""},{"dropping-particle":"","family":"Plüddemann","given":"Annette","non-dropping-particle":"","parse-names":false,"suffix":""}],"container-title":"BMJ","id":"ITEM-1","issued":{"date-parts":[["2018","5","21"]]},"page":"k1450","publisher":"British Medical Journal Publishing Group","title":"Diagnostic accuracy of point-of-care natriuretic peptide testing for chronic heart failure in ambulatory care: systematic review and meta-analysis","type":"article-journal","volume":"361"},"uris":["http://www.mendeley.com/documents/?uuid=94202733-01df-3808-b7b2-8d85cf44b913"]}],"mendeley":{"formattedCitation":"&lt;sup&gt;[26]&lt;/sup&gt;","plainTextFormattedCitation":"[26]","previouslyFormattedCitation":"&lt;sup&gt;[26]&lt;/sup&gt;"},"properties":{"noteIndex":0},"schema":"https://github.com/citation-style-language/schema/raw/master/csl-citation.json"}</w:instrText>
      </w:r>
      <w:r w:rsidRPr="008E3F16">
        <w:rPr>
          <w:rFonts w:ascii="Book Antiqua" w:eastAsia="Times New Roman" w:hAnsi="Book Antiqua" w:cs="Times New Roman"/>
          <w:color w:val="000000" w:themeColor="text1"/>
          <w:lang w:val="en-US" w:eastAsia="el-GR"/>
        </w:rPr>
        <w:fldChar w:fldCharType="separate"/>
      </w:r>
      <w:r w:rsidR="00BB6AD9" w:rsidRPr="008E3F16">
        <w:rPr>
          <w:rFonts w:ascii="Book Antiqua" w:eastAsia="Times New Roman" w:hAnsi="Book Antiqua" w:cs="Times New Roman"/>
          <w:noProof/>
          <w:color w:val="000000" w:themeColor="text1"/>
          <w:vertAlign w:val="superscript"/>
          <w:lang w:val="en-US" w:eastAsia="el-GR"/>
        </w:rPr>
        <w:t>[26]</w:t>
      </w:r>
      <w:r w:rsidRPr="008E3F16">
        <w:rPr>
          <w:rFonts w:ascii="Book Antiqua" w:eastAsia="Times New Roman" w:hAnsi="Book Antiqua" w:cs="Times New Roman"/>
          <w:color w:val="000000" w:themeColor="text1"/>
          <w:lang w:val="en-US" w:eastAsia="el-GR"/>
        </w:rPr>
        <w:fldChar w:fldCharType="end"/>
      </w:r>
      <w:r w:rsidR="000D491E" w:rsidRPr="008E3F16">
        <w:rPr>
          <w:rFonts w:ascii="Book Antiqua" w:eastAsia="Times New Roman" w:hAnsi="Book Antiqua" w:cs="Times New Roman"/>
          <w:color w:val="000000" w:themeColor="text1"/>
          <w:lang w:val="en-US" w:eastAsia="el-GR"/>
        </w:rPr>
        <w:t>.</w:t>
      </w:r>
    </w:p>
    <w:p w14:paraId="7A9A4DEB" w14:textId="0CAC3A9E" w:rsidR="000C4C95" w:rsidRPr="008E3F16" w:rsidRDefault="000C4C95" w:rsidP="00C66188">
      <w:pPr>
        <w:adjustRightInd w:val="0"/>
        <w:snapToGrid w:val="0"/>
        <w:spacing w:line="360" w:lineRule="auto"/>
        <w:jc w:val="both"/>
        <w:rPr>
          <w:rFonts w:ascii="Book Antiqua" w:eastAsia="Times New Roman" w:hAnsi="Book Antiqua" w:cs="Times New Roman"/>
          <w:color w:val="000000" w:themeColor="text1"/>
          <w:lang w:val="en-US" w:eastAsia="el-GR"/>
        </w:rPr>
      </w:pPr>
    </w:p>
    <w:p w14:paraId="465177D2" w14:textId="5F66381B" w:rsidR="000C4C95" w:rsidRPr="008E3F16" w:rsidRDefault="000C4C95" w:rsidP="00C66188">
      <w:pPr>
        <w:adjustRightInd w:val="0"/>
        <w:snapToGrid w:val="0"/>
        <w:spacing w:line="360" w:lineRule="auto"/>
        <w:jc w:val="both"/>
        <w:rPr>
          <w:rFonts w:ascii="Book Antiqua" w:eastAsia="Times New Roman" w:hAnsi="Book Antiqua" w:cs="Times New Roman"/>
          <w:b/>
          <w:bCs/>
          <w:i/>
          <w:iCs/>
          <w:color w:val="000000" w:themeColor="text1"/>
          <w:lang w:val="en-US" w:eastAsia="el-GR"/>
        </w:rPr>
      </w:pPr>
      <w:r w:rsidRPr="008E3F16">
        <w:rPr>
          <w:rFonts w:ascii="Book Antiqua" w:eastAsia="Times New Roman" w:hAnsi="Book Antiqua" w:cs="Times New Roman"/>
          <w:b/>
          <w:bCs/>
          <w:i/>
          <w:iCs/>
          <w:color w:val="000000" w:themeColor="text1"/>
          <w:lang w:val="en-US" w:eastAsia="el-GR"/>
        </w:rPr>
        <w:lastRenderedPageBreak/>
        <w:t>Data extraction</w:t>
      </w:r>
    </w:p>
    <w:p w14:paraId="5E796B74" w14:textId="455A8A80" w:rsidR="000C4C95" w:rsidRPr="008E3F16" w:rsidRDefault="000C4C95" w:rsidP="00C66188">
      <w:pPr>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The main outcomes of interest involved sensitivity, specificity and the diagnostic odds ratio</w:t>
      </w:r>
      <w:r w:rsidRPr="008E3F16">
        <w:rPr>
          <w:rFonts w:ascii="Book Antiqua" w:hAnsi="Book Antiqua" w:cs="Times New Roman"/>
          <w:color w:val="000000" w:themeColor="text1"/>
          <w:lang w:val="en-US"/>
        </w:rPr>
        <w:fldChar w:fldCharType="begin" w:fldLock="1"/>
      </w:r>
      <w:r w:rsidR="003E6BBC" w:rsidRPr="008E3F16">
        <w:rPr>
          <w:rFonts w:ascii="Book Antiqua" w:hAnsi="Book Antiqua" w:cs="Times New Roman"/>
          <w:color w:val="000000" w:themeColor="text1"/>
          <w:lang w:val="en-US"/>
        </w:rPr>
        <w:instrText>ADDIN CSL_CITATION {"citationItems":[{"id":"ITEM-1","itemData":{"DOI":"10.1016/s0895-4356(03)00177-x","ISSN":"0895-4356","PMID":"14615004","abstract":"Diagnostic testing can be used to discriminate subjects with a target disorder from subjects without it. Several indicators of diagnostic performance have been proposed, such as sensitivity and specificity. Using paired indicators can be a disadvantage in comparing the performance of competing tests, especially if one test does not outperform the other on both indicators. Here we propose the use of the odds ratio as a single indicator of diagnostic performance. The diagnostic odds ratio is closely linked to existing indicators, it facilitates formal meta-analysis of studies on diagnostic test performance, and it is derived from logistic models, which allow for the inclusion of additional variables to correct for heterogeneity. A disadvantage is the impossibility of weighing the true positive and false positive rate separately. In this article the application of the diagnostic odds ratio in test evaluation is illustrated.","author":[{"dropping-particle":"","family":"Glas","given":"Afina S","non-dropping-particle":"","parse-names":false,"suffix":""},{"dropping-particle":"","family":"Lijmer","given":"Jeroen G","non-dropping-particle":"","parse-names":false,"suffix":""},{"dropping-particle":"","family":"Prins","given":"Martin H","non-dropping-particle":"","parse-names":false,"suffix":""},{"dropping-particle":"","family":"Bonsel","given":"Gouke J","non-dropping-particle":"","parse-names":false,"suffix":""},{"dropping-particle":"","family":"Bossuyt","given":"Patrick M M","non-dropping-particle":"","parse-names":false,"suffix":""}],"container-title":"Journal of clinical epidemiology","id":"ITEM-1","issue":"11","issued":{"date-parts":[["2003","11"]]},"page":"1129-35","title":"The diagnostic odds ratio: a single indicator of test performance.","type":"article-journal","volume":"56"},"uris":["http://www.mendeley.com/documents/?uuid=dabb2912-21b6-3337-9c69-0390b781f8b4"]},{"id":"ITEM-2","itemData":{"DOI":"10.1186/1471-2288-2-9","ISSN":"1471-2288","PMID":"12097142","abstract":"BACKGROUND Although guidelines for critical appraisal of diagnostic research and meta-analyses have already been published, these may be difficult to understand for clinical researchers or do not provide enough detailed information. METHODS Development of guidelines based on a systematic review of the evidence in reports of systematic searches of the literature for diagnostic research, of methodological criteria to evaluate diagnostic research, of methods for statistical pooling of data on diagnostic accuracy, and of methods for exploring heterogeneity. RESULTS Guidelines for conducting diagnostic systematic reviews are presented in a stepwise fashion and are followed by comments providing further information. Examples are given using the results of two systematic reviews on the accuracy of the urine dipstick in the diagnosis of urinary tract infections, and on the accuracy of the straight-leg-raising test in the diagnosis of intervertebral disc hernia.","author":[{"dropping-particle":"","family":"Devillé","given":"Walter L","non-dropping-particle":"","parse-names":false,"suffix":""},{"dropping-particle":"","family":"Buntinx","given":"Frank","non-dropping-particle":"","parse-names":false,"suffix":""},{"dropping-particle":"","family":"Bouter","given":"Lex M","non-dropping-particle":"","parse-names":false,"suffix":""},{"dropping-particle":"","family":"Montori","given":"Victor M","non-dropping-particle":"","parse-names":false,"suffix":""},{"dropping-particle":"","family":"Vet","given":"Henrica C W","non-dropping-particle":"de","parse-names":false,"suffix":""},{"dropping-particle":"","family":"Windt","given":"Danielle A W M","non-dropping-particle":"van der","parse-names":false,"suffix":""},{"dropping-particle":"","family":"Bezemer","given":"P Dick","non-dropping-particle":"","parse-names":false,"suffix":""}],"container-title":"BMC medical research methodology","id":"ITEM-2","issued":{"date-parts":[["2002","7","3"]]},"page":"9","title":"Conducting systematic reviews of diagnostic studies: didactic guidelines.","type":"article-journal","volume":"2"},"uris":["http://www.mendeley.com/documents/?uuid=f675dd91-41e7-3fbd-b041-64bb3f605a0c"]}],"mendeley":{"formattedCitation":"&lt;sup&gt;[27,28]&lt;/sup&gt;","plainTextFormattedCitation":"[27,28]","previouslyFormattedCitation":"&lt;sup&gt;[27,28]&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00BB6AD9" w:rsidRPr="008E3F16">
        <w:rPr>
          <w:rFonts w:ascii="Book Antiqua" w:hAnsi="Book Antiqua" w:cs="Times New Roman"/>
          <w:noProof/>
          <w:color w:val="000000" w:themeColor="text1"/>
          <w:vertAlign w:val="superscript"/>
          <w:lang w:val="en-US"/>
        </w:rPr>
        <w:t>[27,28]</w:t>
      </w:r>
      <w:r w:rsidRPr="008E3F16">
        <w:rPr>
          <w:rFonts w:ascii="Book Antiqua" w:hAnsi="Book Antiqua" w:cs="Times New Roman"/>
          <w:color w:val="000000" w:themeColor="text1"/>
          <w:lang w:val="en-US"/>
        </w:rPr>
        <w:fldChar w:fldCharType="end"/>
      </w:r>
      <w:r w:rsidRPr="008E3F16">
        <w:rPr>
          <w:rFonts w:ascii="Book Antiqua" w:hAnsi="Book Antiqua" w:cs="Times New Roman"/>
          <w:color w:val="000000" w:themeColor="text1"/>
          <w:lang w:val="en-US"/>
        </w:rPr>
        <w:t>.</w:t>
      </w:r>
    </w:p>
    <w:p w14:paraId="731C2C5C" w14:textId="4B381992" w:rsidR="000C4C95" w:rsidRPr="008E3F16" w:rsidRDefault="000C4C95" w:rsidP="00C66188">
      <w:pPr>
        <w:adjustRightInd w:val="0"/>
        <w:snapToGrid w:val="0"/>
        <w:spacing w:line="360" w:lineRule="auto"/>
        <w:ind w:firstLineChars="100" w:firstLine="240"/>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Data were extracted by </w:t>
      </w:r>
      <w:r w:rsidR="0011471A" w:rsidRPr="008E3F16">
        <w:rPr>
          <w:rFonts w:ascii="Book Antiqua" w:hAnsi="Book Antiqua" w:cs="Times New Roman"/>
          <w:color w:val="000000" w:themeColor="text1"/>
          <w:lang w:val="en-US"/>
        </w:rPr>
        <w:t>Gkiouras K</w:t>
      </w:r>
      <w:r w:rsidRPr="008E3F16">
        <w:rPr>
          <w:rFonts w:ascii="Book Antiqua" w:hAnsi="Book Antiqua" w:cs="Times New Roman"/>
          <w:color w:val="000000" w:themeColor="text1"/>
          <w:lang w:val="en-US"/>
        </w:rPr>
        <w:t xml:space="preserve"> and </w:t>
      </w:r>
      <w:r w:rsidR="0011471A" w:rsidRPr="008E3F16">
        <w:rPr>
          <w:rFonts w:ascii="Book Antiqua" w:hAnsi="Book Antiqua" w:cs="Times New Roman"/>
          <w:color w:val="000000" w:themeColor="text1"/>
          <w:lang w:val="en-US"/>
        </w:rPr>
        <w:t>Grammatikopoulou MG</w:t>
      </w:r>
      <w:r w:rsidRPr="008E3F16">
        <w:rPr>
          <w:rFonts w:ascii="Book Antiqua" w:hAnsi="Book Antiqua" w:cs="Times New Roman"/>
          <w:color w:val="000000" w:themeColor="text1"/>
          <w:lang w:val="en-US"/>
        </w:rPr>
        <w:t xml:space="preserve"> on prespecified data extraction sheets for DTA studies, as suggested by the Joanna Briggs Institute</w:t>
      </w:r>
      <w:r w:rsidRPr="008E3F16">
        <w:rPr>
          <w:rFonts w:ascii="Book Antiqua" w:hAnsi="Book Antiqua" w:cs="Times New Roman"/>
          <w:color w:val="000000" w:themeColor="text1"/>
          <w:lang w:val="en-US"/>
        </w:rPr>
        <w:fldChar w:fldCharType="begin" w:fldLock="1"/>
      </w:r>
      <w:r w:rsidR="00FD4A65" w:rsidRPr="008E3F16">
        <w:rPr>
          <w:rFonts w:ascii="Book Antiqua" w:hAnsi="Book Antiqua" w:cs="Times New Roman"/>
          <w:color w:val="000000" w:themeColor="text1"/>
          <w:lang w:val="en-US"/>
        </w:rPr>
        <w:instrText>ADDIN CSL_CITATION {"citationItems":[{"id":"ITEM-1","itemData":{"author":[{"dropping-particle":"","family":"The Joanna Briggs Institute","given":"","non-dropping-particle":"","parse-names":false,"suffix":""}],"id":"ITEM-1","issued":{"date-parts":[["2015"]]},"publisher-place":"Adelaide","title":"The Joanna Briggs Institute Reviewers’ Manual 2015: The systematic review of studies of diagnostic test accuracy","type":"report"},"uris":["http://www.mendeley.com/documents/?uuid=4816c4d3-43ce-349d-96ea-8774249d93ca"]}],"mendeley":{"formattedCitation":"&lt;sup&gt;[29]&lt;/sup&gt;","plainTextFormattedCitation":"[29]","previouslyFormattedCitation":"&lt;sup&gt;[29]&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00BB6AD9" w:rsidRPr="008E3F16">
        <w:rPr>
          <w:rFonts w:ascii="Book Antiqua" w:hAnsi="Book Antiqua" w:cs="Times New Roman"/>
          <w:noProof/>
          <w:color w:val="000000" w:themeColor="text1"/>
          <w:vertAlign w:val="superscript"/>
          <w:lang w:val="en-US"/>
        </w:rPr>
        <w:t>[29]</w:t>
      </w:r>
      <w:r w:rsidRPr="008E3F16">
        <w:rPr>
          <w:rFonts w:ascii="Book Antiqua" w:hAnsi="Book Antiqua" w:cs="Times New Roman"/>
          <w:color w:val="000000" w:themeColor="text1"/>
          <w:lang w:val="en-US"/>
        </w:rPr>
        <w:fldChar w:fldCharType="end"/>
      </w:r>
      <w:r w:rsidRPr="008E3F16">
        <w:rPr>
          <w:rFonts w:ascii="Book Antiqua" w:hAnsi="Book Antiqua" w:cs="Times New Roman"/>
          <w:color w:val="000000" w:themeColor="text1"/>
          <w:lang w:val="en-US"/>
        </w:rPr>
        <w:t xml:space="preserve">, which were then checked by </w:t>
      </w:r>
      <w:r w:rsidR="0011471A" w:rsidRPr="008E3F16">
        <w:rPr>
          <w:rFonts w:ascii="Book Antiqua" w:hAnsi="Book Antiqua" w:cs="Times New Roman"/>
          <w:color w:val="000000" w:themeColor="text1"/>
          <w:lang w:val="en-US"/>
        </w:rPr>
        <w:t>Bogdanos DP</w:t>
      </w:r>
      <w:r w:rsidRPr="008E3F16">
        <w:rPr>
          <w:rFonts w:ascii="Book Antiqua" w:hAnsi="Book Antiqua" w:cs="Times New Roman"/>
          <w:color w:val="000000" w:themeColor="text1"/>
          <w:lang w:val="en-US"/>
        </w:rPr>
        <w:t>. For studies reporting sensitivity, specificity, positive and negative predictive values and a total number of included patients, 2</w:t>
      </w:r>
      <w:r w:rsidR="00324F8A"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324F8A"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2 tables of true positives (TP), false positives, false negatives</w:t>
      </w:r>
      <w:r w:rsidR="00542004" w:rsidRPr="008E3F16">
        <w:rPr>
          <w:rFonts w:ascii="Book Antiqua" w:hAnsi="Book Antiqua" w:cs="Times New Roman"/>
          <w:color w:val="000000" w:themeColor="text1"/>
          <w:lang w:val="en-US"/>
        </w:rPr>
        <w:t>,</w:t>
      </w:r>
      <w:r w:rsidRPr="008E3F16">
        <w:rPr>
          <w:rFonts w:ascii="Book Antiqua" w:hAnsi="Book Antiqua" w:cs="Times New Roman"/>
          <w:color w:val="000000" w:themeColor="text1"/>
          <w:lang w:val="en-US"/>
        </w:rPr>
        <w:t xml:space="preserve"> and true negatives (TN) were calculated, following the instructions of the Oxford Centre for Evidence-Based Medicine</w:t>
      </w:r>
      <w:r w:rsidRPr="008E3F16">
        <w:rPr>
          <w:rFonts w:ascii="Book Antiqua" w:hAnsi="Book Antiqua" w:cs="Times New Roman"/>
          <w:color w:val="000000" w:themeColor="text1"/>
          <w:lang w:val="en-US"/>
        </w:rPr>
        <w:fldChar w:fldCharType="begin" w:fldLock="1"/>
      </w:r>
      <w:r w:rsidR="00FD4A65" w:rsidRPr="008E3F16">
        <w:rPr>
          <w:rFonts w:ascii="Book Antiqua" w:hAnsi="Book Antiqua" w:cs="Times New Roman"/>
          <w:color w:val="000000" w:themeColor="text1"/>
          <w:lang w:val="en-US"/>
        </w:rPr>
        <w:instrText>ADDIN CSL_CITATION {"citationItems":[{"id":"ITEM-1","itemData":{"URL":"https://www.cebm.net/2019/02/tip-for-data-extraction-in-meta-analysis-1/","accessed":{"date-parts":[["2019","3","17"]]},"author":[{"dropping-particle":"","family":"Taylor","given":"Kathryn S","non-dropping-particle":"","parse-names":false,"suffix":""}],"id":"ITEM-1","issued":{"date-parts":[["2019"]]},"title":"Tip for data extraction in meta-analysis - 1 - Center for Evidence Based Medicine, Oxford University","type":"webpage"},"uris":["http://www.mendeley.com/documents/?uuid=1923382b-22ab-359f-ab60-f5f972066952"]}],"mendeley":{"formattedCitation":"&lt;sup&gt;[30]&lt;/sup&gt;","plainTextFormattedCitation":"[30]","previouslyFormattedCitation":"&lt;sup&gt;[30]&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00BB6AD9" w:rsidRPr="008E3F16">
        <w:rPr>
          <w:rFonts w:ascii="Book Antiqua" w:hAnsi="Book Antiqua" w:cs="Times New Roman"/>
          <w:noProof/>
          <w:color w:val="000000" w:themeColor="text1"/>
          <w:vertAlign w:val="superscript"/>
          <w:lang w:val="en-US"/>
        </w:rPr>
        <w:t>[30]</w:t>
      </w:r>
      <w:r w:rsidRPr="008E3F16">
        <w:rPr>
          <w:rFonts w:ascii="Book Antiqua" w:hAnsi="Book Antiqua" w:cs="Times New Roman"/>
          <w:color w:val="000000" w:themeColor="text1"/>
          <w:lang w:val="en-US"/>
        </w:rPr>
        <w:fldChar w:fldCharType="end"/>
      </w:r>
      <w:r w:rsidRPr="008E3F16">
        <w:rPr>
          <w:rFonts w:ascii="Book Antiqua" w:hAnsi="Book Antiqua" w:cs="Times New Roman"/>
          <w:color w:val="000000" w:themeColor="text1"/>
          <w:lang w:val="en-US"/>
        </w:rPr>
        <w:t>.</w:t>
      </w:r>
    </w:p>
    <w:p w14:paraId="28E52D10" w14:textId="77777777" w:rsidR="002B1323" w:rsidRPr="008E3F16" w:rsidRDefault="002B1323" w:rsidP="00C66188">
      <w:pPr>
        <w:adjustRightInd w:val="0"/>
        <w:snapToGrid w:val="0"/>
        <w:spacing w:line="360" w:lineRule="auto"/>
        <w:jc w:val="both"/>
        <w:rPr>
          <w:rFonts w:ascii="Book Antiqua" w:eastAsia="Times New Roman" w:hAnsi="Book Antiqua" w:cs="Times New Roman"/>
          <w:color w:val="000000" w:themeColor="text1"/>
          <w:lang w:val="en-US" w:eastAsia="el-GR"/>
        </w:rPr>
      </w:pPr>
    </w:p>
    <w:p w14:paraId="7AFE8205" w14:textId="77777777" w:rsidR="003C4C41" w:rsidRPr="008E3F16" w:rsidRDefault="003C4C41" w:rsidP="00C66188">
      <w:pPr>
        <w:adjustRightInd w:val="0"/>
        <w:snapToGrid w:val="0"/>
        <w:spacing w:line="360" w:lineRule="auto"/>
        <w:jc w:val="both"/>
        <w:rPr>
          <w:rFonts w:ascii="Book Antiqua" w:eastAsia="Times New Roman" w:hAnsi="Book Antiqua" w:cs="Times New Roman"/>
          <w:b/>
          <w:bCs/>
          <w:i/>
          <w:color w:val="000000" w:themeColor="text1"/>
          <w:shd w:val="clear" w:color="auto" w:fill="FFFFFF"/>
          <w:lang w:val="en-US" w:eastAsia="el-GR"/>
        </w:rPr>
      </w:pPr>
      <w:r w:rsidRPr="008E3F16">
        <w:rPr>
          <w:rFonts w:ascii="Book Antiqua" w:eastAsia="Times New Roman" w:hAnsi="Book Antiqua" w:cs="Times New Roman"/>
          <w:b/>
          <w:bCs/>
          <w:i/>
          <w:color w:val="000000" w:themeColor="text1"/>
          <w:shd w:val="clear" w:color="auto" w:fill="FFFFFF"/>
          <w:lang w:val="en-US" w:eastAsia="el-GR"/>
        </w:rPr>
        <w:t>Quality assessment</w:t>
      </w:r>
    </w:p>
    <w:p w14:paraId="10CEF766" w14:textId="2C6C60C3" w:rsidR="004208F1" w:rsidRPr="008E3F16" w:rsidRDefault="004208F1" w:rsidP="00C66188">
      <w:pPr>
        <w:adjustRightInd w:val="0"/>
        <w:snapToGrid w:val="0"/>
        <w:spacing w:line="360" w:lineRule="auto"/>
        <w:jc w:val="both"/>
        <w:rPr>
          <w:rFonts w:ascii="Book Antiqua" w:eastAsia="Times New Roman" w:hAnsi="Book Antiqua" w:cs="Times New Roman"/>
          <w:color w:val="000000" w:themeColor="text1"/>
          <w:shd w:val="clear" w:color="auto" w:fill="FFFFFF"/>
          <w:lang w:val="en-US" w:eastAsia="el-GR"/>
        </w:rPr>
      </w:pPr>
      <w:r w:rsidRPr="008E3F16">
        <w:rPr>
          <w:rFonts w:ascii="Book Antiqua" w:eastAsia="Times New Roman" w:hAnsi="Book Antiqua" w:cs="Times New Roman"/>
          <w:color w:val="000000" w:themeColor="text1"/>
          <w:shd w:val="clear" w:color="auto" w:fill="FFFFFF"/>
          <w:lang w:val="en-US" w:eastAsia="el-GR"/>
        </w:rPr>
        <w:t>Quality of included studies was assessed independently and in duplicate by two reviewers (</w:t>
      </w:r>
      <w:r w:rsidR="004F54FF" w:rsidRPr="008E3F16">
        <w:rPr>
          <w:rFonts w:ascii="Book Antiqua" w:eastAsia="Times New Roman" w:hAnsi="Book Antiqua" w:cs="Times New Roman"/>
          <w:color w:val="000000" w:themeColor="text1"/>
          <w:shd w:val="clear" w:color="auto" w:fill="FFFFFF"/>
          <w:lang w:val="en-US" w:eastAsia="el-GR"/>
        </w:rPr>
        <w:t>Theodoridis X</w:t>
      </w:r>
      <w:r w:rsidRPr="008E3F16">
        <w:rPr>
          <w:rFonts w:ascii="Book Antiqua" w:eastAsia="Times New Roman" w:hAnsi="Book Antiqua" w:cs="Times New Roman"/>
          <w:color w:val="000000" w:themeColor="text1"/>
          <w:shd w:val="clear" w:color="auto" w:fill="FFFFFF"/>
          <w:lang w:val="en-US" w:eastAsia="el-GR"/>
        </w:rPr>
        <w:t xml:space="preserve"> and </w:t>
      </w:r>
      <w:r w:rsidR="004F54FF" w:rsidRPr="008E3F16">
        <w:rPr>
          <w:rFonts w:ascii="Book Antiqua" w:eastAsia="Times New Roman" w:hAnsi="Book Antiqua" w:cs="Times New Roman"/>
          <w:color w:val="000000" w:themeColor="text1"/>
          <w:shd w:val="clear" w:color="auto" w:fill="FFFFFF"/>
          <w:lang w:val="en-US" w:eastAsia="el-GR"/>
        </w:rPr>
        <w:t>Chatzikyriakou E</w:t>
      </w:r>
      <w:r w:rsidRPr="008E3F16">
        <w:rPr>
          <w:rFonts w:ascii="Book Antiqua" w:eastAsia="Times New Roman" w:hAnsi="Book Antiqua" w:cs="Times New Roman"/>
          <w:color w:val="000000" w:themeColor="text1"/>
          <w:shd w:val="clear" w:color="auto" w:fill="FFFFFF"/>
          <w:lang w:val="en-US" w:eastAsia="el-GR"/>
        </w:rPr>
        <w:t>), using the</w:t>
      </w:r>
      <w:r w:rsidR="00407D9C" w:rsidRPr="008E3F16">
        <w:rPr>
          <w:rFonts w:ascii="Book Antiqua" w:eastAsia="Times New Roman" w:hAnsi="Book Antiqua" w:cs="Times New Roman"/>
          <w:color w:val="000000" w:themeColor="text1"/>
          <w:shd w:val="clear" w:color="auto" w:fill="FFFFFF"/>
          <w:lang w:val="en-US" w:eastAsia="el-GR"/>
        </w:rPr>
        <w:t xml:space="preserve"> criteria of the</w:t>
      </w:r>
      <w:r w:rsidRPr="008E3F16">
        <w:rPr>
          <w:rFonts w:ascii="Book Antiqua" w:eastAsia="Times New Roman" w:hAnsi="Book Antiqua" w:cs="Times New Roman"/>
          <w:color w:val="000000" w:themeColor="text1"/>
          <w:shd w:val="clear" w:color="auto" w:fill="FFFFFF"/>
          <w:lang w:val="en-US" w:eastAsia="el-GR"/>
        </w:rPr>
        <w:t xml:space="preserve"> Quality Assessment of Diagnostic Accuracy Studies-2 </w:t>
      </w:r>
      <w:r w:rsidR="00407D9C" w:rsidRPr="008E3F16">
        <w:rPr>
          <w:rFonts w:ascii="Book Antiqua" w:eastAsia="Times New Roman" w:hAnsi="Book Antiqua" w:cs="Times New Roman"/>
          <w:color w:val="000000" w:themeColor="text1"/>
          <w:shd w:val="clear" w:color="auto" w:fill="FFFFFF"/>
          <w:lang w:val="en-US" w:eastAsia="el-GR"/>
        </w:rPr>
        <w:t>tool</w:t>
      </w:r>
      <w:r w:rsidRPr="008E3F16">
        <w:rPr>
          <w:rFonts w:ascii="Book Antiqua" w:eastAsia="Times New Roman" w:hAnsi="Book Antiqua" w:cs="Times New Roman"/>
          <w:color w:val="000000" w:themeColor="text1"/>
          <w:shd w:val="clear" w:color="auto" w:fill="FFFFFF"/>
          <w:lang w:val="en-US" w:eastAsia="el-GR"/>
        </w:rPr>
        <w:fldChar w:fldCharType="begin" w:fldLock="1"/>
      </w:r>
      <w:r w:rsidR="000D491E" w:rsidRPr="008E3F16">
        <w:rPr>
          <w:rFonts w:ascii="Book Antiqua" w:eastAsia="Times New Roman" w:hAnsi="Book Antiqua" w:cs="Times New Roman"/>
          <w:color w:val="000000" w:themeColor="text1"/>
          <w:shd w:val="clear" w:color="auto" w:fill="FFFFFF"/>
          <w:lang w:val="en-US" w:eastAsia="el-GR"/>
        </w:rPr>
        <w:instrText>ADDIN CSL_CITATION {"citationItems":[{"id":"ITEM-1","itemData":{"DOI":"10.7326/0003-4819-155-8-201110180-00009","ISSN":"0003-4819","PMID":"22007046","abstract":"In 2003, the QUADAS tool for systematic reviews of diagnostic accuracy studies was developed. Experience, anecdotal reports, and feedback suggested areas for improvement; therefore, QUADAS-2 was developed. This tool comprises 4 domains: patient selection, index test, reference standard, and flow and timing. Each domain is assessed in terms of risk of bias, and the first 3 domains are also assessed in terms of concerns regarding applicability. Signalling questions are included to help judge risk of bias. The QUADAS-2 tool is applied in 4 phases: summarize the review question, tailor the tool and produce review-specific guidance, construct a flow diagram for the primary study, and judge bias and applicability. This tool will allow for more transparent rating of bias and applicability of primary diagnostic accuracy studies.","author":[{"dropping-particle":"","family":"Whiting","given":"Penny F.","non-dropping-particle":"","parse-names":false,"suffix":""},{"dropping-particle":"","family":"Rutjes","given":"Anne W S","non-dropping-particle":"","parse-names":false,"suffix":""},{"dropping-particle":"","family":"Westwood","given":"Marie E","non-dropping-particle":"","parse-names":false,"suffix":""},{"dropping-particle":"","family":"Mallett","given":"Susan","non-dropping-particle":"","parse-names":false,"suffix":""},{"dropping-particle":"","family":"Deeks","given":"Jonathan J","non-dropping-particle":"","parse-names":false,"suffix":""},{"dropping-particle":"","family":"Reitsma","given":"Johannes B","non-dropping-particle":"","parse-names":false,"suffix":""},{"dropping-particle":"","family":"Leeflang","given":"Mariska M G","non-dropping-particle":"","parse-names":false,"suffix":""},{"dropping-particle":"","family":"Sterne","given":"Jonathan A C","non-dropping-particle":"","parse-names":false,"suffix":""},{"dropping-particle":"","family":"Bossuyt","given":"Patrick M M","non-dropping-particle":"","parse-names":false,"suffix":""},{"dropping-particle":"","family":"QUADAS-2 Group","given":"","non-dropping-particle":"","parse-names":false,"suffix":""}],"container-title":"Annals of Internal Medicine","id":"ITEM-1","issue":"8","issued":{"date-parts":[["2011","10","18"]]},"page":"529","title":"QUADAS-2: A Revised Tool for the Quality Assessment of Diagnostic Accuracy Studies","type":"article-journal","volume":"155"},"uris":["http://www.mendeley.com/documents/?uuid=51c7a18e-ddd1-3d96-bc51-97ba1e05e496"]}],"mendeley":{"formattedCitation":"&lt;sup&gt;[31]&lt;/sup&gt;","plainTextFormattedCitation":"[31]","previouslyFormattedCitation":"&lt;sup&gt;[31]&lt;/sup&gt;"},"properties":{"noteIndex":0},"schema":"https://github.com/citation-style-language/schema/raw/master/csl-citation.json"}</w:instrText>
      </w:r>
      <w:r w:rsidRPr="008E3F16">
        <w:rPr>
          <w:rFonts w:ascii="Book Antiqua" w:eastAsia="Times New Roman" w:hAnsi="Book Antiqua" w:cs="Times New Roman"/>
          <w:color w:val="000000" w:themeColor="text1"/>
          <w:shd w:val="clear" w:color="auto" w:fill="FFFFFF"/>
          <w:lang w:val="en-US" w:eastAsia="el-GR"/>
        </w:rPr>
        <w:fldChar w:fldCharType="separate"/>
      </w:r>
      <w:r w:rsidR="000D491E" w:rsidRPr="008E3F16">
        <w:rPr>
          <w:rFonts w:ascii="Book Antiqua" w:eastAsia="Times New Roman" w:hAnsi="Book Antiqua" w:cs="Times New Roman"/>
          <w:noProof/>
          <w:color w:val="000000" w:themeColor="text1"/>
          <w:shd w:val="clear" w:color="auto" w:fill="FFFFFF"/>
          <w:vertAlign w:val="superscript"/>
          <w:lang w:val="en-US" w:eastAsia="el-GR"/>
        </w:rPr>
        <w:t>[31]</w:t>
      </w:r>
      <w:r w:rsidRPr="008E3F16">
        <w:rPr>
          <w:rFonts w:ascii="Book Antiqua" w:eastAsia="Times New Roman" w:hAnsi="Book Antiqua" w:cs="Times New Roman"/>
          <w:color w:val="000000" w:themeColor="text1"/>
          <w:shd w:val="clear" w:color="auto" w:fill="FFFFFF"/>
          <w:lang w:val="en-US" w:eastAsia="el-GR"/>
        </w:rPr>
        <w:fldChar w:fldCharType="end"/>
      </w:r>
      <w:r w:rsidR="000D491E" w:rsidRPr="008E3F16">
        <w:rPr>
          <w:rFonts w:ascii="Book Antiqua" w:eastAsia="Times New Roman" w:hAnsi="Book Antiqua" w:cs="Times New Roman"/>
          <w:color w:val="000000" w:themeColor="text1"/>
          <w:shd w:val="clear" w:color="auto" w:fill="FFFFFF"/>
          <w:lang w:val="en-US" w:eastAsia="el-GR"/>
        </w:rPr>
        <w:t>.</w:t>
      </w:r>
    </w:p>
    <w:p w14:paraId="6EF5C803" w14:textId="77777777" w:rsidR="008702A6" w:rsidRPr="008E3F16" w:rsidRDefault="008702A6" w:rsidP="00C66188">
      <w:pPr>
        <w:adjustRightInd w:val="0"/>
        <w:snapToGrid w:val="0"/>
        <w:spacing w:line="360" w:lineRule="auto"/>
        <w:jc w:val="both"/>
        <w:rPr>
          <w:rFonts w:ascii="Book Antiqua" w:eastAsia="Times New Roman" w:hAnsi="Book Antiqua" w:cs="Times New Roman"/>
          <w:color w:val="000000" w:themeColor="text1"/>
          <w:lang w:val="en-US" w:eastAsia="el-GR"/>
        </w:rPr>
      </w:pPr>
    </w:p>
    <w:p w14:paraId="660711A0" w14:textId="77777777" w:rsidR="005673EC" w:rsidRPr="008E3F16" w:rsidRDefault="004208F1" w:rsidP="00C66188">
      <w:pPr>
        <w:adjustRightInd w:val="0"/>
        <w:snapToGrid w:val="0"/>
        <w:spacing w:line="360" w:lineRule="auto"/>
        <w:jc w:val="both"/>
        <w:rPr>
          <w:rFonts w:ascii="Book Antiqua" w:eastAsia="Times New Roman" w:hAnsi="Book Antiqua" w:cs="Times New Roman"/>
          <w:b/>
          <w:bCs/>
          <w:i/>
          <w:color w:val="000000" w:themeColor="text1"/>
          <w:lang w:val="en-US" w:eastAsia="el-GR"/>
        </w:rPr>
      </w:pPr>
      <w:r w:rsidRPr="008E3F16">
        <w:rPr>
          <w:rFonts w:ascii="Book Antiqua" w:eastAsia="Times New Roman" w:hAnsi="Book Antiqua" w:cs="Times New Roman"/>
          <w:b/>
          <w:bCs/>
          <w:i/>
          <w:color w:val="000000" w:themeColor="text1"/>
          <w:lang w:val="en-US" w:eastAsia="el-GR"/>
        </w:rPr>
        <w:t>Meta-analysis</w:t>
      </w:r>
    </w:p>
    <w:p w14:paraId="383C0EC0" w14:textId="54C8F6B9" w:rsidR="00E82B0E" w:rsidRPr="008E3F16" w:rsidRDefault="00DE7D6C" w:rsidP="00C66188">
      <w:pPr>
        <w:adjustRightInd w:val="0"/>
        <w:snapToGrid w:val="0"/>
        <w:spacing w:line="360" w:lineRule="auto"/>
        <w:jc w:val="both"/>
        <w:rPr>
          <w:rFonts w:ascii="Book Antiqua" w:eastAsia="Times New Roman" w:hAnsi="Book Antiqua" w:cs="Arial"/>
          <w:color w:val="000000" w:themeColor="text1"/>
          <w:lang w:val="en-US" w:eastAsia="el-GR"/>
        </w:rPr>
      </w:pPr>
      <w:r w:rsidRPr="008E3F16">
        <w:rPr>
          <w:rFonts w:ascii="Book Antiqua" w:eastAsia="Times New Roman" w:hAnsi="Book Antiqua" w:cs="Arial"/>
          <w:color w:val="000000" w:themeColor="text1"/>
          <w:lang w:val="en-US" w:eastAsia="el-GR"/>
        </w:rPr>
        <w:t>Given the great variability regarding the cut-offs used to define disease status in the primary studies</w:t>
      </w:r>
      <w:r w:rsidRPr="008E3F16">
        <w:rPr>
          <w:rFonts w:ascii="Book Antiqua" w:eastAsia="Times New Roman" w:hAnsi="Book Antiqua" w:cs="Arial"/>
          <w:color w:val="000000" w:themeColor="text1"/>
          <w:lang w:val="en-US" w:eastAsia="el-GR"/>
        </w:rPr>
        <w:fldChar w:fldCharType="begin" w:fldLock="1"/>
      </w:r>
      <w:r w:rsidR="00FD4A65" w:rsidRPr="008E3F16">
        <w:rPr>
          <w:rFonts w:ascii="Book Antiqua" w:eastAsia="Times New Roman" w:hAnsi="Book Antiqua" w:cs="Arial"/>
          <w:color w:val="000000" w:themeColor="text1"/>
          <w:lang w:val="en-US" w:eastAsia="el-GR"/>
        </w:rPr>
        <w:instrText>ADDIN CSL_CITATION {"citationItems":[{"id":"ITEM-1","itemData":{"author":[{"dropping-particle":"","family":"Dukic","given":"V","non-dropping-particle":"","parse-names":false,"suffix":""},{"dropping-particle":"","family":"Gatsonis","given":"C","non-dropping-particle":"","parse-names":false,"suffix":""}],"container-title":"Biometrics","id":"ITEM-1","issue":"4","issued":{"date-parts":[["2003"]]},"page":"936–46","title":"Meta-analysis of diagnostic test accuracy assessment studies with varying number of thresholds. - PubMed - NCBI","type":"article-journal","volume":"59"},"uris":["http://www.mendeley.com/documents/?uuid=fcbfad70-2b98-37d8-8afe-1bb2ff7fcc44"]},{"id":"ITEM-2","itemData":{"DOI":"10.1136/eb-2015-102228","ISSN":"1468-960X","PMID":"26446042","abstract":"OBJECTIVES To explain methods for data synthesis of evidence from diagnostic test accuracy (DTA) studies, and to illustrate different types of analyses that may be performed in a DTA systematic review. METHODS We described properties of meta-analytic methods for quantitative synthesis of evidence. We used a DTA review comparing the accuracy of three screening questionnaires for bipolar disorder to illustrate application of the methods for each type of analysis. RESULTS The discriminatory ability of a test is commonly expressed in terms of sensitivity (proportion of those with the condition who test positive) and specificity (proportion of those without the condition who test negative). There is a trade-off between sensitivity and specificity, as an increasing threshold for defining test positivity will decrease sensitivity and increase specificity. Methods recommended for meta-analysis of DTA studies --such as the bivariate or hierarchical summary receiver operating characteristic (HSROC) model --jointly summarise sensitivity and specificity while taking into account this threshold effect, as well as allowing for between study differences in test performance beyond what would be expected by chance. The bivariate model focuses on estimation of a summary sensitivity and specificity at a common threshold while the HSROC model focuses on the estimation of a summary curve from studies that have used different thresholds. CONCLUSIONS Meta-analyses of diagnostic accuracy studies can provide answers to important clinical questions. We hope this article will provide clinicians with sufficient understanding of the terminology and methods to aid interpretation of systematic reviews and facilitate better patient care.","author":[{"dropping-particle":"","family":"Takwoingi","given":"Yemisi","non-dropping-particle":"","parse-names":false,"suffix":""},{"dropping-particle":"","family":"Riley","given":"Richard D","non-dropping-particle":"","parse-names":false,"suffix":""},{"dropping-particle":"","family":"Deeks","given":"Jonathan J","non-dropping-particle":"","parse-names":false,"suffix":""}],"container-title":"Evidence-based mental health","id":"ITEM-2","issue":"4","issued":{"date-parts":[["2015","11","1"]]},"page":"103-9","publisher":"Royal College of Psychiatrists","title":"Meta-analysis of diagnostic accuracy studies in mental health.","type":"article-journal","volume":"18"},"uris":["http://www.mendeley.com/documents/?uuid=8583a476-b09e-3cef-99f1-cc030947ec69"]}],"mendeley":{"formattedCitation":"&lt;sup&gt;[32,33]&lt;/sup&gt;","plainTextFormattedCitation":"[32,33]","previouslyFormattedCitation":"&lt;sup&gt;[32,33]&lt;/sup&gt;"},"properties":{"noteIndex":0},"schema":"https://github.com/citation-style-language/schema/raw/master/csl-citation.json"}</w:instrText>
      </w:r>
      <w:r w:rsidRPr="008E3F16">
        <w:rPr>
          <w:rFonts w:ascii="Book Antiqua" w:eastAsia="Times New Roman" w:hAnsi="Book Antiqua" w:cs="Arial"/>
          <w:color w:val="000000" w:themeColor="text1"/>
          <w:lang w:val="en-US" w:eastAsia="el-GR"/>
        </w:rPr>
        <w:fldChar w:fldCharType="separate"/>
      </w:r>
      <w:r w:rsidR="00BB6AD9" w:rsidRPr="008E3F16">
        <w:rPr>
          <w:rFonts w:ascii="Book Antiqua" w:eastAsia="Times New Roman" w:hAnsi="Book Antiqua" w:cs="Arial"/>
          <w:noProof/>
          <w:color w:val="000000" w:themeColor="text1"/>
          <w:vertAlign w:val="superscript"/>
          <w:lang w:val="en-US" w:eastAsia="el-GR"/>
        </w:rPr>
        <w:t>[32,33]</w:t>
      </w:r>
      <w:r w:rsidRPr="008E3F16">
        <w:rPr>
          <w:rFonts w:ascii="Book Antiqua" w:eastAsia="Times New Roman" w:hAnsi="Book Antiqua" w:cs="Arial"/>
          <w:color w:val="000000" w:themeColor="text1"/>
          <w:lang w:val="en-US" w:eastAsia="el-GR"/>
        </w:rPr>
        <w:fldChar w:fldCharType="end"/>
      </w:r>
      <w:r w:rsidRPr="008E3F16">
        <w:rPr>
          <w:rFonts w:ascii="Book Antiqua" w:eastAsia="Times New Roman" w:hAnsi="Book Antiqua" w:cs="Arial"/>
          <w:color w:val="000000" w:themeColor="text1"/>
          <w:lang w:val="en-US" w:eastAsia="el-GR"/>
        </w:rPr>
        <w:t>, t</w:t>
      </w:r>
      <w:r w:rsidR="00E82B0E" w:rsidRPr="008E3F16">
        <w:rPr>
          <w:rFonts w:ascii="Book Antiqua" w:eastAsia="Times New Roman" w:hAnsi="Book Antiqua" w:cs="Arial"/>
          <w:color w:val="000000" w:themeColor="text1"/>
          <w:lang w:val="en-US" w:eastAsia="el-GR"/>
        </w:rPr>
        <w:t>he hierarchical summary receiver operating characteristic (HSROC) model</w:t>
      </w:r>
      <w:r w:rsidR="00E82B0E" w:rsidRPr="008E3F16">
        <w:rPr>
          <w:rFonts w:ascii="Book Antiqua" w:eastAsia="Times New Roman" w:hAnsi="Book Antiqua" w:cs="Arial"/>
          <w:color w:val="000000" w:themeColor="text1"/>
          <w:lang w:val="en-US" w:eastAsia="el-GR"/>
        </w:rPr>
        <w:fldChar w:fldCharType="begin" w:fldLock="1"/>
      </w:r>
      <w:r w:rsidR="003E6BBC" w:rsidRPr="008E3F16">
        <w:rPr>
          <w:rFonts w:ascii="Book Antiqua" w:eastAsia="Times New Roman" w:hAnsi="Book Antiqua" w:cs="Arial"/>
          <w:color w:val="000000" w:themeColor="text1"/>
          <w:lang w:val="en-US" w:eastAsia="el-GR"/>
        </w:rPr>
        <w:instrText>ADDIN CSL_CITATION {"citationItems":[{"id":"ITEM-1","itemData":{"DOI":"10.1002/sim.942","ISSN":"0277-6715","PMID":"11568945","abstract":"An important quality of meta-analytic models for research synthesis is their ability to account for both within- and between-study variability. Currently available meta-analytic approaches for studies of diagnostic test accuracy work primarily within a fixed-effects framework. In this paper we describe a hierarchical regression model for meta-analysis of studies reporting estimates of test sensitivity and specificity. The model allows more between- and within-study variability than fixed-effect approaches, by allowing both test stringency and test accuracy to vary across studies. It is also possible to examine the effects of study specific covariates. Estimates are computed using Markov Chain Monte Carlo simulation with publicly available software (BUGS). This estimation method allows flexibility in the choice of summary statistics. We demonstrate the advantages of this modelling approach using a recently published meta-analysis comparing three tests used to detect nodal metastasis of cervical cancer.","author":[{"dropping-particle":"","family":"Rutter","given":"CM","non-dropping-particle":"","parse-names":false,"suffix":""},{"dropping-particle":"","family":"Gatsonis","given":"CA","non-dropping-particle":"","parse-names":false,"suffix":""}],"container-title":"Statistics in medicine","id":"ITEM-1","issue":"19","issued":{"date-parts":[["2001","10","15"]]},"page":"2865-84","title":"A hierarchical regression approach to meta-analysis of diagnostic test accuracy evaluations.","type":"article-journal","volume":"20"},"uris":["http://www.mendeley.com/documents/?uuid=c88eaa7c-6e99-3c7f-ba84-201016d795d9"]},{"id":"ITEM-2","itemData":{"author":[{"dropping-particle":"","family":"Macaskill","given":"Petra","non-dropping-particle":"","parse-names":false,"suffix":""},{"dropping-particle":"","family":"Gatsonis","given":"Constantine","non-dropping-particle":"","parse-names":false,"suffix":""},{"dropping-particle":"","family":"Deeks","given":"Jonathan","non-dropping-particle":"","parse-names":false,"suffix":""},{"dropping-particle":"","family":"Harbord","given":"Roger","non-dropping-particle":"","parse-names":false,"suffix":""},{"dropping-particle":"","family":"Takwoingi","given":"Yemisi","non-dropping-particle":"","parse-names":false,"suffix":""}],"edition":"Version 1.0","editor":[{"dropping-particle":"","family":"Deeks","given":"JJ","non-dropping-particle":"","parse-names":false,"suffix":""},{"dropping-particle":"","family":"Bossuyt","given":"PM","non-dropping-particle":"","parse-names":false,"suffix":""},{"dropping-particle":"","family":"Gatsonis","given":"C","non-dropping-particle":"","parse-names":false,"suffix":""}],"id":"ITEM-2","issued":{"date-parts":[["2010"]]},"publisher":"©The Cochrane Collaboration","title":"Analysing and Presenting Results: Cochrane Handbook for Systematic Reviews of Diagnostic Test Accuracy","type":"book"},"uris":["http://www.mendeley.com/documents/?uuid=92751810-07eb-347c-b9aa-e8d8634abc0e"]}],"mendeley":{"formattedCitation":"&lt;sup&gt;[34,35]&lt;/sup&gt;","plainTextFormattedCitation":"[34,35]","previouslyFormattedCitation":"&lt;sup&gt;[34,35]&lt;/sup&gt;"},"properties":{"noteIndex":0},"schema":"https://github.com/citation-style-language/schema/raw/master/csl-citation.json"}</w:instrText>
      </w:r>
      <w:r w:rsidR="00E82B0E" w:rsidRPr="008E3F16">
        <w:rPr>
          <w:rFonts w:ascii="Book Antiqua" w:eastAsia="Times New Roman" w:hAnsi="Book Antiqua" w:cs="Arial"/>
          <w:color w:val="000000" w:themeColor="text1"/>
          <w:lang w:val="en-US" w:eastAsia="el-GR"/>
        </w:rPr>
        <w:fldChar w:fldCharType="separate"/>
      </w:r>
      <w:r w:rsidR="00BB6AD9" w:rsidRPr="008E3F16">
        <w:rPr>
          <w:rFonts w:ascii="Book Antiqua" w:eastAsia="Times New Roman" w:hAnsi="Book Antiqua" w:cs="Arial"/>
          <w:noProof/>
          <w:color w:val="000000" w:themeColor="text1"/>
          <w:vertAlign w:val="superscript"/>
          <w:lang w:val="en-US" w:eastAsia="el-GR"/>
        </w:rPr>
        <w:t>[34,35]</w:t>
      </w:r>
      <w:r w:rsidR="00E82B0E" w:rsidRPr="008E3F16">
        <w:rPr>
          <w:rFonts w:ascii="Book Antiqua" w:eastAsia="Times New Roman" w:hAnsi="Book Antiqua" w:cs="Arial"/>
          <w:color w:val="000000" w:themeColor="text1"/>
          <w:lang w:val="en-US" w:eastAsia="el-GR"/>
        </w:rPr>
        <w:fldChar w:fldCharType="end"/>
      </w:r>
      <w:r w:rsidR="00E82B0E" w:rsidRPr="008E3F16">
        <w:rPr>
          <w:rFonts w:ascii="Book Antiqua" w:eastAsia="Times New Roman" w:hAnsi="Book Antiqua" w:cs="Arial"/>
          <w:color w:val="000000" w:themeColor="text1"/>
          <w:lang w:val="en-US" w:eastAsia="el-GR"/>
        </w:rPr>
        <w:t xml:space="preserve"> was employed to synthesize data</w:t>
      </w:r>
      <w:r w:rsidR="00522A2F" w:rsidRPr="008E3F16">
        <w:rPr>
          <w:rFonts w:ascii="Book Antiqua" w:eastAsia="Times New Roman" w:hAnsi="Book Antiqua" w:cs="Arial"/>
          <w:color w:val="000000" w:themeColor="text1"/>
          <w:lang w:val="en-US" w:eastAsia="el-GR"/>
        </w:rPr>
        <w:t>.</w:t>
      </w:r>
      <w:r w:rsidR="00E82B0E" w:rsidRPr="008E3F16">
        <w:rPr>
          <w:rFonts w:ascii="Book Antiqua" w:eastAsia="Times New Roman" w:hAnsi="Book Antiqua" w:cs="Arial"/>
          <w:color w:val="000000" w:themeColor="text1"/>
          <w:lang w:val="en-US" w:eastAsia="el-GR"/>
        </w:rPr>
        <w:t xml:space="preserve"> SROC curves were constructed</w:t>
      </w:r>
      <w:r w:rsidRPr="008E3F16">
        <w:rPr>
          <w:rFonts w:ascii="Book Antiqua" w:eastAsia="Times New Roman" w:hAnsi="Book Antiqua" w:cs="Arial"/>
          <w:color w:val="000000" w:themeColor="text1"/>
          <w:lang w:val="en-US" w:eastAsia="el-GR"/>
        </w:rPr>
        <w:t>,</w:t>
      </w:r>
      <w:r w:rsidR="00E82B0E" w:rsidRPr="008E3F16">
        <w:rPr>
          <w:rFonts w:ascii="Book Antiqua" w:eastAsia="Times New Roman" w:hAnsi="Book Antiqua" w:cs="Arial"/>
          <w:color w:val="000000" w:themeColor="text1"/>
          <w:lang w:val="en-US" w:eastAsia="el-GR"/>
        </w:rPr>
        <w:t xml:space="preserve"> </w:t>
      </w:r>
      <w:r w:rsidRPr="008E3F16">
        <w:rPr>
          <w:rFonts w:ascii="Book Antiqua" w:eastAsia="Times New Roman" w:hAnsi="Book Antiqua" w:cs="Arial"/>
          <w:color w:val="000000" w:themeColor="text1"/>
          <w:lang w:val="en-US" w:eastAsia="el-GR"/>
        </w:rPr>
        <w:t>but considering that</w:t>
      </w:r>
      <w:r w:rsidR="00E82B0E" w:rsidRPr="008E3F16">
        <w:rPr>
          <w:rFonts w:ascii="Book Antiqua" w:eastAsia="Times New Roman" w:hAnsi="Book Antiqua" w:cs="Arial"/>
          <w:color w:val="000000" w:themeColor="text1"/>
          <w:lang w:val="en-US" w:eastAsia="el-GR"/>
        </w:rPr>
        <w:t xml:space="preserve"> a summary point of sensitivity or specificity </w:t>
      </w:r>
      <w:r w:rsidRPr="008E3F16">
        <w:rPr>
          <w:rFonts w:ascii="Book Antiqua" w:eastAsia="Times New Roman" w:hAnsi="Book Antiqua" w:cs="Arial"/>
          <w:color w:val="000000" w:themeColor="text1"/>
          <w:lang w:val="en-US" w:eastAsia="el-GR"/>
        </w:rPr>
        <w:t>among</w:t>
      </w:r>
      <w:r w:rsidR="00E82B0E" w:rsidRPr="008E3F16">
        <w:rPr>
          <w:rFonts w:ascii="Book Antiqua" w:eastAsia="Times New Roman" w:hAnsi="Book Antiqua" w:cs="Arial"/>
          <w:color w:val="000000" w:themeColor="text1"/>
          <w:lang w:val="en-US" w:eastAsia="el-GR"/>
        </w:rPr>
        <w:t xml:space="preserve"> studies using mixed thresholds would be clinically uninterpretable, </w:t>
      </w:r>
      <w:r w:rsidRPr="008E3F16">
        <w:rPr>
          <w:rFonts w:ascii="Book Antiqua" w:eastAsia="Times New Roman" w:hAnsi="Book Antiqua" w:cs="Arial"/>
          <w:color w:val="000000" w:themeColor="text1"/>
          <w:lang w:val="en-US" w:eastAsia="el-GR"/>
        </w:rPr>
        <w:t xml:space="preserve">we chose to estimate </w:t>
      </w:r>
      <w:r w:rsidR="00E82B0E" w:rsidRPr="008E3F16">
        <w:rPr>
          <w:rFonts w:ascii="Book Antiqua" w:eastAsia="Times New Roman" w:hAnsi="Book Antiqua" w:cs="Arial"/>
          <w:color w:val="000000" w:themeColor="text1"/>
          <w:lang w:val="en-US" w:eastAsia="el-GR"/>
        </w:rPr>
        <w:t>summary sensitivity at its median specificity, based on the SROC curves</w:t>
      </w:r>
      <w:r w:rsidR="00E82B0E" w:rsidRPr="008E3F16">
        <w:rPr>
          <w:rFonts w:ascii="Book Antiqua" w:eastAsia="Times New Roman" w:hAnsi="Book Antiqua" w:cs="Arial"/>
          <w:color w:val="000000" w:themeColor="text1"/>
          <w:lang w:val="en-US" w:eastAsia="el-GR"/>
        </w:rPr>
        <w:fldChar w:fldCharType="begin" w:fldLock="1"/>
      </w:r>
      <w:r w:rsidR="001041F5" w:rsidRPr="008E3F16">
        <w:rPr>
          <w:rFonts w:ascii="Book Antiqua" w:eastAsia="Times New Roman" w:hAnsi="Book Antiqua" w:cs="Arial"/>
          <w:color w:val="000000" w:themeColor="text1"/>
          <w:lang w:val="en-US" w:eastAsia="el-GR"/>
        </w:rPr>
        <w:instrText>ADDIN CSL_CITATION {"citationItems":[{"id":"ITEM-1","itemData":{"DOI":"10.1136/eb-2015-102228","ISSN":"1468-960X","PMID":"26446042","abstract":"OBJECTIVES To explain methods for data synthesis of evidence from diagnostic test accuracy (DTA) studies, and to illustrate different types of analyses that may be performed in a DTA systematic review. METHODS We described properties of meta-analytic methods for quantitative synthesis of evidence. We used a DTA review comparing the accuracy of three screening questionnaires for bipolar disorder to illustrate application of the methods for each type of analysis. RESULTS The discriminatory ability of a test is commonly expressed in terms of sensitivity (proportion of those with the condition who test positive) and specificity (proportion of those without the condition who test negative). There is a trade-off between sensitivity and specificity, as an increasing threshold for defining test positivity will decrease sensitivity and increase specificity. Methods recommended for meta-analysis of DTA studies --such as the bivariate or hierarchical summary receiver operating characteristic (HSROC) model --jointly summarise sensitivity and specificity while taking into account this threshold effect, as well as allowing for between study differences in test performance beyond what would be expected by chance. The bivariate model focuses on estimation of a summary sensitivity and specificity at a common threshold while the HSROC model focuses on the estimation of a summary curve from studies that have used different thresholds. CONCLUSIONS Meta-analyses of diagnostic accuracy studies can provide answers to important clinical questions. We hope this article will provide clinicians with sufficient understanding of the terminology and methods to aid interpretation of systematic reviews and facilitate better patient care.","author":[{"dropping-particle":"","family":"Takwoingi","given":"Yemisi","non-dropping-particle":"","parse-names":false,"suffix":""},{"dropping-particle":"","family":"Riley","given":"Richard D","non-dropping-particle":"","parse-names":false,"suffix":""},{"dropping-particle":"","family":"Deeks","given":"Jonathan J","non-dropping-particle":"","parse-names":false,"suffix":""}],"container-title":"Evidence-based mental health","id":"ITEM-1","issue":"4","issued":{"date-parts":[["2015","11","1"]]},"page":"103-9","publisher":"Royal College of Psychiatrists","title":"Meta-analysis of diagnostic accuracy studies in mental health.","type":"article-journal","volume":"18"},"uris":["http://www.mendeley.com/documents/?uuid=8583a476-b09e-3cef-99f1-cc030947ec69"]},{"id":"ITEM-2","itemData":{"DOI":"10.7326/0003-4819-149-12-200812160-00008","ISSN":"1539-3704","PMID":"19075208","abstract":"More and more systematic reviews of diagnostic test accuracy studies are being published, but they can be methodologically challenging. In this paper, the authors present some of the recent developments in the methodology for conducting systematic reviews of diagnostic test accuracy studies. Restrictive electronic search filters are discouraged, as is the use of summary quality scores. Methods for meta-analysis should take into account the paired nature of the estimates and their dependence on threshold. Authors of these reviews are advised to use the hierarchical summary receiver-operating characteristic or the bivariate model for the data analysis. Challenges that remain are the poor reporting of original diagnostic test accuracy studies and difficulties with the interpretation of the results of diagnostic test accuracy research.","author":[{"dropping-particle":"","family":"Leeflang","given":"Mariska M G","non-dropping-particle":"","parse-names":false,"suffix":""},{"dropping-particle":"","family":"Deeks","given":"Jonathan J","non-dropping-particle":"","parse-names":false,"suffix":""},{"dropping-particle":"","family":"Gatsonis","given":"Constantine","non-dropping-particle":"","parse-names":false,"suffix":""},{"dropping-particle":"","family":"Bossuyt","given":"Patrick M M","non-dropping-particle":"","parse-names":false,"suffix":""},{"dropping-particle":"","family":"Cochrane Diagnostic Test Accuracy Working Group","given":"","non-dropping-particle":"","parse-names":false,"suffix":""}],"container-title":"Annals of internal medicine","id":"ITEM-2","issue":"12","issued":{"date-parts":[["2008","12","16"]]},"page":"889-97","publisher":"NIH Public Access","title":"Systematic reviews of diagnostic test accuracy.","type":"article-journal","volume":"149"},"uris":["http://www.mendeley.com/documents/?uuid=a9b36b4e-0a6b-3467-bf85-6b6a526e7270"]}],"mendeley":{"formattedCitation":"&lt;sup&gt;[15,33]&lt;/sup&gt;","plainTextFormattedCitation":"[15,33]","previouslyFormattedCitation":"&lt;sup&gt;[15,33]&lt;/sup&gt;"},"properties":{"noteIndex":0},"schema":"https://github.com/citation-style-language/schema/raw/master/csl-citation.json"}</w:instrText>
      </w:r>
      <w:r w:rsidR="00E82B0E" w:rsidRPr="008E3F16">
        <w:rPr>
          <w:rFonts w:ascii="Book Antiqua" w:eastAsia="Times New Roman" w:hAnsi="Book Antiqua" w:cs="Arial"/>
          <w:color w:val="000000" w:themeColor="text1"/>
          <w:lang w:val="en-US" w:eastAsia="el-GR"/>
        </w:rPr>
        <w:fldChar w:fldCharType="separate"/>
      </w:r>
      <w:r w:rsidR="00BB6AD9" w:rsidRPr="008E3F16">
        <w:rPr>
          <w:rFonts w:ascii="Book Antiqua" w:eastAsia="Times New Roman" w:hAnsi="Book Antiqua" w:cs="Arial"/>
          <w:noProof/>
          <w:color w:val="000000" w:themeColor="text1"/>
          <w:vertAlign w:val="superscript"/>
          <w:lang w:val="en-US" w:eastAsia="el-GR"/>
        </w:rPr>
        <w:t>[15,33]</w:t>
      </w:r>
      <w:r w:rsidR="00E82B0E" w:rsidRPr="008E3F16">
        <w:rPr>
          <w:rFonts w:ascii="Book Antiqua" w:eastAsia="Times New Roman" w:hAnsi="Book Antiqua" w:cs="Arial"/>
          <w:color w:val="000000" w:themeColor="text1"/>
          <w:lang w:val="en-US" w:eastAsia="el-GR"/>
        </w:rPr>
        <w:fldChar w:fldCharType="end"/>
      </w:r>
      <w:r w:rsidR="00407D9C" w:rsidRPr="008E3F16">
        <w:rPr>
          <w:rFonts w:ascii="Book Antiqua" w:eastAsia="Times New Roman" w:hAnsi="Book Antiqua" w:cs="Arial"/>
          <w:color w:val="000000" w:themeColor="text1"/>
          <w:lang w:val="en-US" w:eastAsia="el-GR"/>
        </w:rPr>
        <w:t>.</w:t>
      </w:r>
      <w:r w:rsidR="00E82B0E" w:rsidRPr="008E3F16">
        <w:rPr>
          <w:rFonts w:ascii="Book Antiqua" w:eastAsia="Times New Roman" w:hAnsi="Book Antiqua" w:cs="Arial"/>
          <w:color w:val="000000" w:themeColor="text1"/>
          <w:lang w:val="en-US" w:eastAsia="el-GR"/>
        </w:rPr>
        <w:t xml:space="preserve"> When more than three primary studies reported </w:t>
      </w:r>
      <w:r w:rsidR="00777245" w:rsidRPr="008E3F16">
        <w:rPr>
          <w:rFonts w:ascii="Book Antiqua" w:eastAsia="Times New Roman" w:hAnsi="Book Antiqua" w:cs="Arial"/>
          <w:color w:val="000000" w:themeColor="text1"/>
          <w:lang w:val="en-US" w:eastAsia="el-GR"/>
        </w:rPr>
        <w:t>similar</w:t>
      </w:r>
      <w:r w:rsidR="00E82B0E" w:rsidRPr="008E3F16">
        <w:rPr>
          <w:rFonts w:ascii="Book Antiqua" w:eastAsia="Times New Roman" w:hAnsi="Book Antiqua" w:cs="Arial"/>
          <w:color w:val="000000" w:themeColor="text1"/>
          <w:lang w:val="en-US" w:eastAsia="el-GR"/>
        </w:rPr>
        <w:t xml:space="preserve"> cut-offs, the analysis was repeated with the hierarchical Bivariate model in order to obtain summary points of sensitivity and specificity</w:t>
      </w:r>
      <w:r w:rsidR="00E82B0E" w:rsidRPr="008E3F16">
        <w:rPr>
          <w:rFonts w:ascii="Book Antiqua" w:eastAsia="Times New Roman" w:hAnsi="Book Antiqua" w:cs="Arial"/>
          <w:color w:val="000000" w:themeColor="text1"/>
          <w:lang w:val="en-US" w:eastAsia="el-GR"/>
        </w:rPr>
        <w:fldChar w:fldCharType="begin" w:fldLock="1"/>
      </w:r>
      <w:r w:rsidR="00FD4A65" w:rsidRPr="008E3F16">
        <w:rPr>
          <w:rFonts w:ascii="Book Antiqua" w:eastAsia="Times New Roman" w:hAnsi="Book Antiqua" w:cs="Arial"/>
          <w:color w:val="000000" w:themeColor="text1"/>
          <w:lang w:val="en-US" w:eastAsia="el-GR"/>
        </w:rPr>
        <w:instrText>ADDIN CSL_CITATION {"citationItems":[{"id":"ITEM-1","itemData":{"author":[{"dropping-particle":"","family":"Macaskill","given":"Petra","non-dropping-particle":"","parse-names":false,"suffix":""},{"dropping-particle":"","family":"Gatsonis","given":"Constantine","non-dropping-particle":"","parse-names":false,"suffix":""},{"dropping-particle":"","family":"Deeks","given":"Jonathan","non-dropping-particle":"","parse-names":false,"suffix":""},{"dropping-particle":"","family":"Harbord","given":"Roger","non-dropping-particle":"","parse-names":false,"suffix":""},{"dropping-particle":"","family":"Takwoingi","given":"Yemisi","non-dropping-particle":"","parse-names":false,"suffix":""}],"edition":"Version 1.0","editor":[{"dropping-particle":"","family":"Deeks","given":"JJ","non-dropping-particle":"","parse-names":false,"suffix":""},{"dropping-particle":"","family":"Bossuyt","given":"PM","non-dropping-particle":"","parse-names":false,"suffix":""},{"dropping-particle":"","family":"Gatsonis","given":"C","non-dropping-particle":"","parse-names":false,"suffix":""}],"id":"ITEM-1","issued":{"date-parts":[["2010"]]},"publisher":"©The Cochrane Collaboration","title":"Analysing and Presenting Results: Cochrane Handbook for Systematic Reviews of Diagnostic Test Accuracy","type":"book"},"uris":["http://www.mendeley.com/documents/?uuid=92751810-07eb-347c-b9aa-e8d8634abc0e"]}],"mendeley":{"formattedCitation":"&lt;sup&gt;[35]&lt;/sup&gt;","plainTextFormattedCitation":"[35]","previouslyFormattedCitation":"&lt;sup&gt;[35]&lt;/sup&gt;"},"properties":{"noteIndex":0},"schema":"https://github.com/citation-style-language/schema/raw/master/csl-citation.json"}</w:instrText>
      </w:r>
      <w:r w:rsidR="00E82B0E" w:rsidRPr="008E3F16">
        <w:rPr>
          <w:rFonts w:ascii="Book Antiqua" w:eastAsia="Times New Roman" w:hAnsi="Book Antiqua" w:cs="Arial"/>
          <w:color w:val="000000" w:themeColor="text1"/>
          <w:lang w:val="en-US" w:eastAsia="el-GR"/>
        </w:rPr>
        <w:fldChar w:fldCharType="separate"/>
      </w:r>
      <w:r w:rsidR="00BB6AD9" w:rsidRPr="008E3F16">
        <w:rPr>
          <w:rFonts w:ascii="Book Antiqua" w:eastAsia="Times New Roman" w:hAnsi="Book Antiqua" w:cs="Arial"/>
          <w:noProof/>
          <w:color w:val="000000" w:themeColor="text1"/>
          <w:vertAlign w:val="superscript"/>
          <w:lang w:val="en-US" w:eastAsia="el-GR"/>
        </w:rPr>
        <w:t>[35]</w:t>
      </w:r>
      <w:r w:rsidR="00E82B0E" w:rsidRPr="008E3F16">
        <w:rPr>
          <w:rFonts w:ascii="Book Antiqua" w:eastAsia="Times New Roman" w:hAnsi="Book Antiqua" w:cs="Arial"/>
          <w:color w:val="000000" w:themeColor="text1"/>
          <w:lang w:val="en-US" w:eastAsia="el-GR"/>
        </w:rPr>
        <w:fldChar w:fldCharType="end"/>
      </w:r>
      <w:r w:rsidR="00407D9C" w:rsidRPr="008E3F16">
        <w:rPr>
          <w:rFonts w:ascii="Book Antiqua" w:eastAsia="Times New Roman" w:hAnsi="Book Antiqua" w:cs="Arial"/>
          <w:color w:val="000000" w:themeColor="text1"/>
          <w:lang w:val="en-US" w:eastAsia="el-GR"/>
        </w:rPr>
        <w:t>.</w:t>
      </w:r>
    </w:p>
    <w:p w14:paraId="730EBD9B" w14:textId="418C3E05" w:rsidR="00E82B0E" w:rsidRPr="008E3F16" w:rsidRDefault="004208F1" w:rsidP="00C66188">
      <w:pPr>
        <w:adjustRightInd w:val="0"/>
        <w:snapToGrid w:val="0"/>
        <w:spacing w:line="360" w:lineRule="auto"/>
        <w:ind w:firstLineChars="100" w:firstLine="240"/>
        <w:jc w:val="both"/>
        <w:rPr>
          <w:rFonts w:ascii="Book Antiqua" w:eastAsia="Times New Roman" w:hAnsi="Book Antiqua" w:cs="Times New Roman"/>
          <w:color w:val="000000" w:themeColor="text1"/>
          <w:lang w:val="en-US" w:eastAsia="el-GR"/>
        </w:rPr>
      </w:pPr>
      <w:r w:rsidRPr="008E3F16">
        <w:rPr>
          <w:rFonts w:ascii="Book Antiqua" w:eastAsia="Times New Roman" w:hAnsi="Book Antiqua" w:cs="Times New Roman"/>
          <w:color w:val="000000" w:themeColor="text1"/>
          <w:lang w:val="en-US" w:eastAsia="el-GR"/>
        </w:rPr>
        <w:t>Furthermore, heterogeneity was assessed statistically by including covariates in the HSROC model (meta-regression)</w:t>
      </w:r>
      <w:r w:rsidR="00777245" w:rsidRPr="008E3F16">
        <w:rPr>
          <w:rFonts w:ascii="Book Antiqua" w:eastAsia="Times New Roman" w:hAnsi="Book Antiqua" w:cs="Times New Roman"/>
          <w:color w:val="000000" w:themeColor="text1"/>
          <w:lang w:val="en-US" w:eastAsia="el-GR"/>
        </w:rPr>
        <w:t>.</w:t>
      </w:r>
      <w:r w:rsidRPr="008E3F16">
        <w:rPr>
          <w:rFonts w:ascii="Book Antiqua" w:eastAsia="Times New Roman" w:hAnsi="Book Antiqua" w:cs="Times New Roman"/>
          <w:color w:val="000000" w:themeColor="text1"/>
          <w:lang w:val="en-US" w:eastAsia="el-GR"/>
        </w:rPr>
        <w:t xml:space="preserve"> </w:t>
      </w:r>
      <w:r w:rsidR="00777245" w:rsidRPr="008E3F16">
        <w:rPr>
          <w:rFonts w:ascii="Book Antiqua" w:eastAsia="Times New Roman" w:hAnsi="Book Antiqua" w:cs="Times New Roman"/>
          <w:color w:val="000000" w:themeColor="text1"/>
          <w:lang w:val="en-US" w:eastAsia="el-GR"/>
        </w:rPr>
        <w:t>Heterogeneity</w:t>
      </w:r>
      <w:r w:rsidRPr="008E3F16">
        <w:rPr>
          <w:rFonts w:ascii="Book Antiqua" w:eastAsia="Times New Roman" w:hAnsi="Book Antiqua" w:cs="Times New Roman"/>
          <w:color w:val="000000" w:themeColor="text1"/>
          <w:lang w:val="en-US" w:eastAsia="el-GR"/>
        </w:rPr>
        <w:t xml:space="preserve"> is summarized with the </w:t>
      </w:r>
      <w:r w:rsidR="00D25A2A" w:rsidRPr="008E3F16">
        <w:rPr>
          <w:rFonts w:ascii="Book Antiqua" w:eastAsia="Times New Roman" w:hAnsi="Book Antiqua" w:cs="Times New Roman"/>
          <w:color w:val="000000" w:themeColor="text1"/>
          <w:lang w:val="en-US" w:eastAsia="el-GR"/>
        </w:rPr>
        <w:t>relative diagnostic odds ratios</w:t>
      </w:r>
      <w:r w:rsidRPr="008E3F16">
        <w:rPr>
          <w:rFonts w:ascii="Book Antiqua" w:eastAsia="Times New Roman" w:hAnsi="Book Antiqua" w:cs="Times New Roman"/>
          <w:color w:val="000000" w:themeColor="text1"/>
          <w:lang w:val="en-US" w:eastAsia="el-GR"/>
        </w:rPr>
        <w:t xml:space="preserve"> (RDOR) along with their 95% </w:t>
      </w:r>
      <w:r w:rsidR="004F54FF" w:rsidRPr="008E3F16">
        <w:rPr>
          <w:rFonts w:ascii="Book Antiqua" w:eastAsia="Times New Roman" w:hAnsi="Book Antiqua" w:cs="Times New Roman"/>
          <w:color w:val="000000" w:themeColor="text1"/>
          <w:lang w:val="en-US" w:eastAsia="el-GR"/>
        </w:rPr>
        <w:t>confidence inte</w:t>
      </w:r>
      <w:r w:rsidRPr="008E3F16">
        <w:rPr>
          <w:rFonts w:ascii="Book Antiqua" w:eastAsia="Times New Roman" w:hAnsi="Book Antiqua" w:cs="Times New Roman"/>
          <w:color w:val="000000" w:themeColor="text1"/>
          <w:lang w:val="en-US" w:eastAsia="el-GR"/>
        </w:rPr>
        <w:t xml:space="preserve">rvals (95%CI). The </w:t>
      </w:r>
      <w:r w:rsidR="00777245" w:rsidRPr="008E3F16">
        <w:rPr>
          <w:rFonts w:ascii="Book Antiqua" w:eastAsia="Times New Roman" w:hAnsi="Book Antiqua" w:cs="Times New Roman"/>
          <w:color w:val="000000" w:themeColor="text1"/>
          <w:lang w:val="en-US" w:eastAsia="el-GR"/>
        </w:rPr>
        <w:t xml:space="preserve">included </w:t>
      </w:r>
      <w:r w:rsidRPr="008E3F16">
        <w:rPr>
          <w:rFonts w:ascii="Book Antiqua" w:eastAsia="Times New Roman" w:hAnsi="Book Antiqua" w:cs="Times New Roman"/>
          <w:color w:val="000000" w:themeColor="text1"/>
          <w:lang w:val="en-US" w:eastAsia="el-GR"/>
        </w:rPr>
        <w:t xml:space="preserve">covariates </w:t>
      </w:r>
      <w:r w:rsidR="00777245" w:rsidRPr="008E3F16">
        <w:rPr>
          <w:rFonts w:ascii="Book Antiqua" w:eastAsia="Times New Roman" w:hAnsi="Book Antiqua" w:cs="Times New Roman"/>
          <w:color w:val="000000" w:themeColor="text1"/>
          <w:lang w:val="en-US" w:eastAsia="el-GR"/>
        </w:rPr>
        <w:t>involved</w:t>
      </w:r>
      <w:r w:rsidRPr="008E3F16">
        <w:rPr>
          <w:rFonts w:ascii="Book Antiqua" w:eastAsia="Times New Roman" w:hAnsi="Book Antiqua" w:cs="Times New Roman"/>
          <w:color w:val="000000" w:themeColor="text1"/>
          <w:lang w:val="en-US" w:eastAsia="el-GR"/>
        </w:rPr>
        <w:t xml:space="preserve">: </w:t>
      </w:r>
      <w:r w:rsidR="00324F8A" w:rsidRPr="008E3F16">
        <w:rPr>
          <w:rFonts w:ascii="Book Antiqua" w:eastAsia="Times New Roman" w:hAnsi="Book Antiqua" w:cs="Times New Roman"/>
          <w:color w:val="000000" w:themeColor="text1"/>
          <w:lang w:val="en-US" w:eastAsia="el-GR"/>
        </w:rPr>
        <w:t>S</w:t>
      </w:r>
      <w:r w:rsidRPr="008E3F16">
        <w:rPr>
          <w:rFonts w:ascii="Book Antiqua" w:eastAsia="Times New Roman" w:hAnsi="Book Antiqua" w:cs="Times New Roman"/>
          <w:color w:val="000000" w:themeColor="text1"/>
          <w:lang w:val="en-US" w:eastAsia="el-GR"/>
        </w:rPr>
        <w:t xml:space="preserve">ource of funding </w:t>
      </w:r>
      <w:r w:rsidR="00324F8A" w:rsidRPr="008E3F16">
        <w:rPr>
          <w:rFonts w:ascii="Book Antiqua" w:eastAsia="Times New Roman" w:hAnsi="Book Antiqua" w:cs="Times New Roman"/>
          <w:color w:val="000000" w:themeColor="text1"/>
          <w:lang w:val="en-US" w:eastAsia="el-GR"/>
        </w:rPr>
        <w:t>[</w:t>
      </w:r>
      <w:r w:rsidRPr="008E3F16">
        <w:rPr>
          <w:rFonts w:ascii="Book Antiqua" w:eastAsia="Times New Roman" w:hAnsi="Book Antiqua" w:cs="Times New Roman"/>
          <w:color w:val="000000" w:themeColor="text1"/>
          <w:lang w:val="en-US" w:eastAsia="el-GR"/>
        </w:rPr>
        <w:t xml:space="preserve">state </w:t>
      </w:r>
      <w:r w:rsidR="00324F8A" w:rsidRPr="008E3F16">
        <w:rPr>
          <w:rFonts w:ascii="Book Antiqua" w:eastAsia="Times New Roman" w:hAnsi="Book Antiqua" w:cs="Times New Roman"/>
          <w:i/>
          <w:iCs/>
          <w:color w:val="000000" w:themeColor="text1"/>
          <w:lang w:val="en-US" w:eastAsia="el-GR"/>
        </w:rPr>
        <w:t>vs</w:t>
      </w:r>
      <w:r w:rsidRPr="008E3F16">
        <w:rPr>
          <w:rFonts w:ascii="Book Antiqua" w:eastAsia="Times New Roman" w:hAnsi="Book Antiqua" w:cs="Times New Roman"/>
          <w:color w:val="000000" w:themeColor="text1"/>
          <w:lang w:val="en-US" w:eastAsia="el-GR"/>
        </w:rPr>
        <w:t xml:space="preserve"> other </w:t>
      </w:r>
      <w:r w:rsidR="00324F8A" w:rsidRPr="008E3F16">
        <w:rPr>
          <w:rFonts w:ascii="Book Antiqua" w:eastAsia="Times New Roman" w:hAnsi="Book Antiqua" w:cs="Times New Roman"/>
          <w:color w:val="000000" w:themeColor="text1"/>
          <w:lang w:val="en-US" w:eastAsia="el-GR"/>
        </w:rPr>
        <w:t>(</w:t>
      </w:r>
      <w:r w:rsidRPr="008E3F16">
        <w:rPr>
          <w:rFonts w:ascii="Book Antiqua" w:eastAsia="Times New Roman" w:hAnsi="Book Antiqua" w:cs="Times New Roman"/>
          <w:color w:val="000000" w:themeColor="text1"/>
          <w:lang w:val="en-US" w:eastAsia="el-GR"/>
        </w:rPr>
        <w:t>including private or not stated</w:t>
      </w:r>
      <w:r w:rsidR="00324F8A" w:rsidRPr="008E3F16">
        <w:rPr>
          <w:rFonts w:ascii="Book Antiqua" w:eastAsia="Times New Roman" w:hAnsi="Book Antiqua" w:cs="Times New Roman"/>
          <w:color w:val="000000" w:themeColor="text1"/>
          <w:lang w:val="en-US" w:eastAsia="el-GR"/>
        </w:rPr>
        <w:t>)]</w:t>
      </w:r>
      <w:r w:rsidRPr="008E3F16">
        <w:rPr>
          <w:rFonts w:ascii="Book Antiqua" w:eastAsia="Times New Roman" w:hAnsi="Book Antiqua" w:cs="Times New Roman"/>
          <w:color w:val="000000" w:themeColor="text1"/>
          <w:lang w:val="en-US" w:eastAsia="el-GR"/>
        </w:rPr>
        <w:t>, diagnostic kit industry conflicts</w:t>
      </w:r>
      <w:r w:rsidR="00777245" w:rsidRPr="008E3F16">
        <w:rPr>
          <w:rFonts w:ascii="Book Antiqua" w:eastAsia="Times New Roman" w:hAnsi="Book Antiqua" w:cs="Times New Roman"/>
          <w:color w:val="000000" w:themeColor="text1"/>
          <w:lang w:val="en-US" w:eastAsia="el-GR"/>
        </w:rPr>
        <w:t>-</w:t>
      </w:r>
      <w:r w:rsidRPr="008E3F16">
        <w:rPr>
          <w:rFonts w:ascii="Book Antiqua" w:eastAsia="Times New Roman" w:hAnsi="Book Antiqua" w:cs="Times New Roman"/>
          <w:color w:val="000000" w:themeColor="text1"/>
          <w:lang w:val="en-US" w:eastAsia="el-GR"/>
        </w:rPr>
        <w:t>of</w:t>
      </w:r>
      <w:r w:rsidR="00777245" w:rsidRPr="008E3F16">
        <w:rPr>
          <w:rFonts w:ascii="Book Antiqua" w:eastAsia="Times New Roman" w:hAnsi="Book Antiqua" w:cs="Times New Roman"/>
          <w:color w:val="000000" w:themeColor="text1"/>
          <w:lang w:val="en-US" w:eastAsia="el-GR"/>
        </w:rPr>
        <w:t>-</w:t>
      </w:r>
      <w:r w:rsidRPr="008E3F16">
        <w:rPr>
          <w:rFonts w:ascii="Book Antiqua" w:eastAsia="Times New Roman" w:hAnsi="Book Antiqua" w:cs="Times New Roman"/>
          <w:color w:val="000000" w:themeColor="text1"/>
          <w:lang w:val="en-US" w:eastAsia="el-GR"/>
        </w:rPr>
        <w:t xml:space="preserve">interest (COI) [industry (studies either reporting funding from diagnostic kit manufacturers, or having authors employed in the industry) </w:t>
      </w:r>
      <w:r w:rsidR="00324F8A" w:rsidRPr="008E3F16">
        <w:rPr>
          <w:rFonts w:ascii="Book Antiqua" w:eastAsia="Times New Roman" w:hAnsi="Book Antiqua" w:cs="Times New Roman"/>
          <w:i/>
          <w:iCs/>
          <w:color w:val="000000" w:themeColor="text1"/>
          <w:lang w:val="en-US" w:eastAsia="el-GR"/>
        </w:rPr>
        <w:t>vs</w:t>
      </w:r>
      <w:r w:rsidRPr="008E3F16">
        <w:rPr>
          <w:rFonts w:ascii="Book Antiqua" w:eastAsia="Times New Roman" w:hAnsi="Book Antiqua" w:cs="Times New Roman"/>
          <w:color w:val="000000" w:themeColor="text1"/>
          <w:lang w:val="en-US" w:eastAsia="el-GR"/>
        </w:rPr>
        <w:t xml:space="preserve"> other (lack of apparent industry-related COI)], the assay used for detecting autoantibod</w:t>
      </w:r>
      <w:r w:rsidR="00777245" w:rsidRPr="008E3F16">
        <w:rPr>
          <w:rFonts w:ascii="Book Antiqua" w:eastAsia="Times New Roman" w:hAnsi="Book Antiqua" w:cs="Times New Roman"/>
          <w:color w:val="000000" w:themeColor="text1"/>
          <w:lang w:val="en-US" w:eastAsia="el-GR"/>
        </w:rPr>
        <w:t>ies</w:t>
      </w:r>
      <w:r w:rsidRPr="008E3F16">
        <w:rPr>
          <w:rFonts w:ascii="Book Antiqua" w:eastAsia="Times New Roman" w:hAnsi="Book Antiqua" w:cs="Times New Roman"/>
          <w:color w:val="000000" w:themeColor="text1"/>
          <w:lang w:val="en-US" w:eastAsia="el-GR"/>
        </w:rPr>
        <w:t xml:space="preserve"> (</w:t>
      </w:r>
      <w:r w:rsidR="003141F2" w:rsidRPr="008E3F16">
        <w:rPr>
          <w:rFonts w:ascii="Book Antiqua" w:eastAsia="Times New Roman" w:hAnsi="Book Antiqua" w:cs="Times New Roman"/>
          <w:color w:val="000000" w:themeColor="text1"/>
          <w:lang w:val="en-US" w:eastAsia="el-GR"/>
        </w:rPr>
        <w:t>enzyme-linked immunosorbent assay</w:t>
      </w:r>
      <w:r w:rsidRPr="008E3F16">
        <w:rPr>
          <w:rFonts w:ascii="Book Antiqua" w:eastAsia="Times New Roman" w:hAnsi="Book Antiqua" w:cs="Times New Roman"/>
          <w:color w:val="000000" w:themeColor="text1"/>
          <w:lang w:val="en-US" w:eastAsia="el-GR"/>
        </w:rPr>
        <w:t xml:space="preserve"> </w:t>
      </w:r>
      <w:r w:rsidR="00324F8A" w:rsidRPr="008E3F16">
        <w:rPr>
          <w:rFonts w:ascii="Book Antiqua" w:eastAsia="Times New Roman" w:hAnsi="Book Antiqua" w:cs="Times New Roman"/>
          <w:i/>
          <w:iCs/>
          <w:color w:val="000000" w:themeColor="text1"/>
          <w:lang w:val="en-US" w:eastAsia="el-GR"/>
        </w:rPr>
        <w:t>vs</w:t>
      </w:r>
      <w:r w:rsidRPr="008E3F16">
        <w:rPr>
          <w:rFonts w:ascii="Book Antiqua" w:eastAsia="Times New Roman" w:hAnsi="Book Antiqua" w:cs="Times New Roman"/>
          <w:color w:val="000000" w:themeColor="text1"/>
          <w:lang w:val="en-US" w:eastAsia="el-GR"/>
        </w:rPr>
        <w:t xml:space="preserve"> indirect immunofluorescence), the manufacturer</w:t>
      </w:r>
      <w:r w:rsidR="00777245" w:rsidRPr="008E3F16">
        <w:rPr>
          <w:rFonts w:ascii="Book Antiqua" w:eastAsia="Times New Roman" w:hAnsi="Book Antiqua" w:cs="Times New Roman"/>
          <w:color w:val="000000" w:themeColor="text1"/>
          <w:lang w:val="en-US" w:eastAsia="el-GR"/>
        </w:rPr>
        <w:t>s</w:t>
      </w:r>
      <w:r w:rsidRPr="008E3F16">
        <w:rPr>
          <w:rFonts w:ascii="Book Antiqua" w:eastAsia="Times New Roman" w:hAnsi="Book Antiqua" w:cs="Times New Roman"/>
          <w:color w:val="000000" w:themeColor="text1"/>
          <w:lang w:val="en-US" w:eastAsia="el-GR"/>
        </w:rPr>
        <w:t xml:space="preserve"> of </w:t>
      </w:r>
      <w:r w:rsidR="00777245" w:rsidRPr="008E3F16">
        <w:rPr>
          <w:rFonts w:ascii="Book Antiqua" w:eastAsia="Times New Roman" w:hAnsi="Book Antiqua" w:cs="Times New Roman"/>
          <w:color w:val="000000" w:themeColor="text1"/>
          <w:lang w:val="en-US" w:eastAsia="el-GR"/>
        </w:rPr>
        <w:t xml:space="preserve">the </w:t>
      </w:r>
      <w:r w:rsidRPr="008E3F16">
        <w:rPr>
          <w:rFonts w:ascii="Book Antiqua" w:eastAsia="Times New Roman" w:hAnsi="Book Antiqua" w:cs="Times New Roman"/>
          <w:color w:val="000000" w:themeColor="text1"/>
          <w:lang w:val="en-US" w:eastAsia="el-GR"/>
        </w:rPr>
        <w:t xml:space="preserve">anti-GP2 kits (Generic </w:t>
      </w:r>
      <w:r w:rsidR="00542004" w:rsidRPr="008E3F16">
        <w:rPr>
          <w:rFonts w:ascii="Book Antiqua" w:eastAsia="Times New Roman" w:hAnsi="Book Antiqua" w:cs="Times New Roman"/>
          <w:color w:val="000000" w:themeColor="text1"/>
          <w:lang w:val="en-US" w:eastAsia="el-GR"/>
        </w:rPr>
        <w:t>a</w:t>
      </w:r>
      <w:r w:rsidRPr="008E3F16">
        <w:rPr>
          <w:rFonts w:ascii="Book Antiqua" w:eastAsia="Times New Roman" w:hAnsi="Book Antiqua" w:cs="Times New Roman"/>
          <w:color w:val="000000" w:themeColor="text1"/>
          <w:lang w:val="en-US" w:eastAsia="el-GR"/>
        </w:rPr>
        <w:t xml:space="preserve">ssays </w:t>
      </w:r>
      <w:r w:rsidR="00324F8A" w:rsidRPr="008E3F16">
        <w:rPr>
          <w:rFonts w:ascii="Book Antiqua" w:eastAsia="Times New Roman" w:hAnsi="Book Antiqua" w:cs="Times New Roman"/>
          <w:i/>
          <w:iCs/>
          <w:color w:val="000000" w:themeColor="text1"/>
          <w:lang w:val="en-US" w:eastAsia="el-GR"/>
        </w:rPr>
        <w:t>vs</w:t>
      </w:r>
      <w:r w:rsidRPr="008E3F16">
        <w:rPr>
          <w:rFonts w:ascii="Book Antiqua" w:eastAsia="Times New Roman" w:hAnsi="Book Antiqua" w:cs="Times New Roman"/>
          <w:color w:val="000000" w:themeColor="text1"/>
          <w:lang w:val="en-US" w:eastAsia="el-GR"/>
        </w:rPr>
        <w:t xml:space="preserve"> other), blinding of the assay (</w:t>
      </w:r>
      <w:r w:rsidR="00777245" w:rsidRPr="008E3F16">
        <w:rPr>
          <w:rFonts w:ascii="Book Antiqua" w:eastAsia="Times New Roman" w:hAnsi="Book Antiqua" w:cs="Times New Roman"/>
          <w:color w:val="000000" w:themeColor="text1"/>
          <w:lang w:val="en-US" w:eastAsia="el-GR"/>
        </w:rPr>
        <w:t xml:space="preserve">lacking or </w:t>
      </w:r>
      <w:r w:rsidRPr="008E3F16">
        <w:rPr>
          <w:rFonts w:ascii="Book Antiqua" w:eastAsia="Times New Roman" w:hAnsi="Book Antiqua" w:cs="Times New Roman"/>
          <w:color w:val="000000" w:themeColor="text1"/>
          <w:lang w:val="en-US" w:eastAsia="el-GR"/>
        </w:rPr>
        <w:t xml:space="preserve">not stated </w:t>
      </w:r>
      <w:r w:rsidR="00324F8A" w:rsidRPr="008E3F16">
        <w:rPr>
          <w:rFonts w:ascii="Book Antiqua" w:eastAsia="Times New Roman" w:hAnsi="Book Antiqua" w:cs="Times New Roman"/>
          <w:i/>
          <w:iCs/>
          <w:color w:val="000000" w:themeColor="text1"/>
          <w:lang w:val="en-US" w:eastAsia="el-GR"/>
        </w:rPr>
        <w:t>vs</w:t>
      </w:r>
      <w:r w:rsidRPr="008E3F16">
        <w:rPr>
          <w:rFonts w:ascii="Book Antiqua" w:eastAsia="Times New Roman" w:hAnsi="Book Antiqua" w:cs="Times New Roman"/>
          <w:color w:val="000000" w:themeColor="text1"/>
          <w:lang w:val="en-US" w:eastAsia="el-GR"/>
        </w:rPr>
        <w:t xml:space="preserve"> </w:t>
      </w:r>
      <w:r w:rsidRPr="008E3F16">
        <w:rPr>
          <w:rFonts w:ascii="Book Antiqua" w:eastAsia="Times New Roman" w:hAnsi="Book Antiqua" w:cs="Times New Roman"/>
          <w:color w:val="000000" w:themeColor="text1"/>
          <w:lang w:val="en-US" w:eastAsia="el-GR"/>
        </w:rPr>
        <w:lastRenderedPageBreak/>
        <w:t xml:space="preserve">yes), recruitment of consecutive patients (no/not stated </w:t>
      </w:r>
      <w:r w:rsidR="00324F8A" w:rsidRPr="008E3F16">
        <w:rPr>
          <w:rFonts w:ascii="Book Antiqua" w:eastAsia="Times New Roman" w:hAnsi="Book Antiqua" w:cs="Times New Roman"/>
          <w:i/>
          <w:iCs/>
          <w:color w:val="000000" w:themeColor="text1"/>
          <w:lang w:val="en-US" w:eastAsia="el-GR"/>
        </w:rPr>
        <w:t>vs</w:t>
      </w:r>
      <w:r w:rsidRPr="008E3F16">
        <w:rPr>
          <w:rFonts w:ascii="Book Antiqua" w:eastAsia="Times New Roman" w:hAnsi="Book Antiqua" w:cs="Times New Roman"/>
          <w:color w:val="000000" w:themeColor="text1"/>
          <w:lang w:val="en-US" w:eastAsia="el-GR"/>
        </w:rPr>
        <w:t xml:space="preserve"> yes)</w:t>
      </w:r>
      <w:r w:rsidR="00324F8A" w:rsidRPr="008E3F16">
        <w:rPr>
          <w:rFonts w:ascii="Book Antiqua" w:eastAsia="Times New Roman" w:hAnsi="Book Antiqua" w:cs="Times New Roman"/>
          <w:color w:val="000000" w:themeColor="text1"/>
          <w:lang w:val="en-US" w:eastAsia="el-GR"/>
        </w:rPr>
        <w:t>,</w:t>
      </w:r>
      <w:r w:rsidRPr="008E3F16">
        <w:rPr>
          <w:rFonts w:ascii="Book Antiqua" w:eastAsia="Times New Roman" w:hAnsi="Book Antiqua" w:cs="Times New Roman"/>
          <w:color w:val="000000" w:themeColor="text1"/>
          <w:lang w:val="en-US" w:eastAsia="el-GR"/>
        </w:rPr>
        <w:t xml:space="preserve"> and the percentage of female participants categorized as ≥</w:t>
      </w:r>
      <w:r w:rsidR="00324F8A" w:rsidRPr="008E3F16">
        <w:rPr>
          <w:rFonts w:ascii="Book Antiqua" w:eastAsia="Times New Roman" w:hAnsi="Book Antiqua" w:cs="Times New Roman"/>
          <w:color w:val="000000" w:themeColor="text1"/>
          <w:lang w:val="en-US" w:eastAsia="el-GR"/>
        </w:rPr>
        <w:t xml:space="preserve"> </w:t>
      </w:r>
      <w:r w:rsidRPr="008E3F16">
        <w:rPr>
          <w:rFonts w:ascii="Book Antiqua" w:eastAsia="Times New Roman" w:hAnsi="Book Antiqua" w:cs="Times New Roman"/>
          <w:color w:val="000000" w:themeColor="text1"/>
          <w:lang w:val="en-US" w:eastAsia="el-GR"/>
        </w:rPr>
        <w:t xml:space="preserve">50% </w:t>
      </w:r>
      <w:r w:rsidR="00324F8A" w:rsidRPr="008E3F16">
        <w:rPr>
          <w:rFonts w:ascii="Book Antiqua" w:eastAsia="Times New Roman" w:hAnsi="Book Antiqua" w:cs="Times New Roman"/>
          <w:i/>
          <w:iCs/>
          <w:color w:val="000000" w:themeColor="text1"/>
          <w:lang w:val="en-US" w:eastAsia="el-GR"/>
        </w:rPr>
        <w:t>vs</w:t>
      </w:r>
      <w:r w:rsidRPr="008E3F16">
        <w:rPr>
          <w:rFonts w:ascii="Book Antiqua" w:eastAsia="Times New Roman" w:hAnsi="Book Antiqua" w:cs="Times New Roman"/>
          <w:color w:val="000000" w:themeColor="text1"/>
          <w:lang w:val="en-US" w:eastAsia="el-GR"/>
        </w:rPr>
        <w:t xml:space="preserve"> &lt;</w:t>
      </w:r>
      <w:r w:rsidR="00324F8A" w:rsidRPr="008E3F16">
        <w:rPr>
          <w:rFonts w:ascii="Book Antiqua" w:eastAsia="Times New Roman" w:hAnsi="Book Antiqua" w:cs="Times New Roman"/>
          <w:color w:val="000000" w:themeColor="text1"/>
          <w:lang w:val="en-US" w:eastAsia="el-GR"/>
        </w:rPr>
        <w:t xml:space="preserve"> </w:t>
      </w:r>
      <w:r w:rsidRPr="008E3F16">
        <w:rPr>
          <w:rFonts w:ascii="Book Antiqua" w:eastAsia="Times New Roman" w:hAnsi="Book Antiqua" w:cs="Times New Roman"/>
          <w:color w:val="000000" w:themeColor="text1"/>
          <w:lang w:val="en-US" w:eastAsia="el-GR"/>
        </w:rPr>
        <w:t>50%.</w:t>
      </w:r>
    </w:p>
    <w:p w14:paraId="178CC5B1" w14:textId="2DA6DC7B" w:rsidR="00EA4E33" w:rsidRPr="008E3F16" w:rsidRDefault="00E82B0E" w:rsidP="00C66188">
      <w:pPr>
        <w:adjustRightInd w:val="0"/>
        <w:snapToGrid w:val="0"/>
        <w:spacing w:line="360" w:lineRule="auto"/>
        <w:ind w:firstLineChars="100" w:firstLine="240"/>
        <w:jc w:val="both"/>
        <w:rPr>
          <w:rFonts w:ascii="Book Antiqua" w:eastAsia="Times New Roman" w:hAnsi="Book Antiqua" w:cs="Times New Roman"/>
          <w:color w:val="000000" w:themeColor="text1"/>
          <w:lang w:val="en-US" w:eastAsia="el-GR"/>
        </w:rPr>
      </w:pPr>
      <w:r w:rsidRPr="008E3F16">
        <w:rPr>
          <w:rFonts w:ascii="Book Antiqua" w:eastAsia="Times New Roman" w:hAnsi="Book Antiqua" w:cs="Times New Roman"/>
          <w:color w:val="000000" w:themeColor="text1"/>
          <w:lang w:val="en-US" w:eastAsia="el-GR"/>
        </w:rPr>
        <w:t>When the complete HSROC models failed to converge and/or returned unstable parameters they were simplified with the symmetric HSROC model or the HSROC model with fixed accuracy, as previously described</w:t>
      </w:r>
      <w:r w:rsidRPr="008E3F16">
        <w:rPr>
          <w:rFonts w:ascii="Book Antiqua" w:eastAsia="Times New Roman" w:hAnsi="Book Antiqua" w:cs="Times New Roman"/>
          <w:color w:val="000000" w:themeColor="text1"/>
          <w:vertAlign w:val="superscript"/>
          <w:lang w:val="en-US" w:eastAsia="el-GR"/>
        </w:rPr>
        <w:fldChar w:fldCharType="begin" w:fldLock="1"/>
      </w:r>
      <w:r w:rsidRPr="008E3F16">
        <w:rPr>
          <w:rFonts w:ascii="Book Antiqua" w:eastAsia="Times New Roman" w:hAnsi="Book Antiqua" w:cs="Times New Roman"/>
          <w:color w:val="000000" w:themeColor="text1"/>
          <w:vertAlign w:val="superscript"/>
          <w:lang w:val="en-US" w:eastAsia="el-GR"/>
        </w:rPr>
        <w:instrText>ADDIN CSL_CITATION {"citationItems":[{"id":"ITEM-1","itemData":{"DOI":"10.1177/0962280215592269","ISSN":"1477-0334","PMID":"26116616","abstract":"Hierarchical models such as the bivariate and hierarchical summary receiver operating characteristic (HSROC) models are recommended for meta-analysis of test accuracy studies. These models are challenging to fit when there are few studies and/or sparse data (for example zero cells in contingency tables due to studies reporting 100% sensitivity or specificity); the models may not converge, or give unreliable parameter estimates. Using simulation, we investigated the performance of seven hierarchical models incorporating increasing simplifications in scenarios designed to replicate realistic situations for meta-analysis of test accuracy studies. Performance of the models was assessed in terms of estimability (percentage of meta-analyses that successfully converged and percentage where the between study correlation was estimable), bias, mean square error and coverage of the 95% confidence intervals. Our results indicate that simpler hierarchical models are valid in situations with few studies or sparse data. For synthesis of sensitivity and specificity, univariate random effects logistic regression models are appropriate when a bivariate model cannot be fitted. Alternatively, an HSROC model that assumes a symmetric SROC curve (by excluding the shape parameter) can be used if the HSROC model is the chosen meta-analytic approach. In the absence of heterogeneity, fixed effect equivalent of the models can be applied.","author":[{"dropping-particle":"","family":"Takwoingi","given":"Yemisi","non-dropping-particle":"","parse-names":false,"suffix":""},{"dropping-particle":"","family":"Guo","given":"Boliang","non-dropping-particle":"","parse-names":false,"suffix":""},{"dropping-particle":"","family":"Riley","given":"Richard D","non-dropping-particle":"","parse-names":false,"suffix":""},{"dropping-particle":"","family":"Deeks","given":"Jonathan J","non-dropping-particle":"","parse-names":false,"suffix":""}],"container-title":"Statistical methods in medical research","id":"ITEM-1","issue":"4","issued":{"date-parts":[["2017","8"]]},"page":"1896-1911","publisher":"SAGE Publications","title":"Performance of methods for meta-analysis of diagnostic test accuracy with few studies or sparse data.","type":"article-journal","volume":"26"},"uris":["http://www.mendeley.com/documents/?uuid=8ff16e4f-7fb6-3b25-a2b8-e6ebd43b544f"]}],"mendeley":{"formattedCitation":"&lt;sup&gt;[36]&lt;/sup&gt;","plainTextFormattedCitation":"[36]","previouslyFormattedCitation":"&lt;sup&gt;[36]&lt;/sup&gt;"},"properties":{"noteIndex":0},"schema":"https://github.com/citation-style-language/schema/raw/master/csl-citation.json"}</w:instrText>
      </w:r>
      <w:r w:rsidRPr="008E3F16">
        <w:rPr>
          <w:rFonts w:ascii="Book Antiqua" w:eastAsia="Times New Roman" w:hAnsi="Book Antiqua" w:cs="Times New Roman"/>
          <w:color w:val="000000" w:themeColor="text1"/>
          <w:vertAlign w:val="superscript"/>
          <w:lang w:val="en-US" w:eastAsia="el-GR"/>
        </w:rPr>
        <w:fldChar w:fldCharType="separate"/>
      </w:r>
      <w:r w:rsidRPr="008E3F16">
        <w:rPr>
          <w:rFonts w:ascii="Book Antiqua" w:eastAsia="Times New Roman" w:hAnsi="Book Antiqua" w:cs="Times New Roman"/>
          <w:noProof/>
          <w:color w:val="000000" w:themeColor="text1"/>
          <w:vertAlign w:val="superscript"/>
          <w:lang w:val="en-US" w:eastAsia="el-GR"/>
        </w:rPr>
        <w:t>[36]</w:t>
      </w:r>
      <w:r w:rsidRPr="008E3F16">
        <w:rPr>
          <w:rFonts w:ascii="Book Antiqua" w:eastAsia="Times New Roman" w:hAnsi="Book Antiqua" w:cs="Times New Roman"/>
          <w:color w:val="000000" w:themeColor="text1"/>
          <w:vertAlign w:val="superscript"/>
          <w:lang w:val="en-US" w:eastAsia="el-GR"/>
        </w:rPr>
        <w:fldChar w:fldCharType="end"/>
      </w:r>
      <w:r w:rsidR="00407D9C" w:rsidRPr="008E3F16">
        <w:rPr>
          <w:rFonts w:ascii="Book Antiqua" w:eastAsia="Times New Roman" w:hAnsi="Book Antiqua" w:cs="Times New Roman"/>
          <w:color w:val="000000" w:themeColor="text1"/>
          <w:lang w:val="en-US" w:eastAsia="el-GR"/>
        </w:rPr>
        <w:t>.</w:t>
      </w:r>
      <w:r w:rsidRPr="008E3F16">
        <w:rPr>
          <w:rFonts w:ascii="Book Antiqua" w:eastAsia="Times New Roman" w:hAnsi="Book Antiqua" w:cs="Times New Roman"/>
          <w:color w:val="000000" w:themeColor="text1"/>
          <w:lang w:val="en-US" w:eastAsia="el-GR"/>
        </w:rPr>
        <w:t xml:space="preserve"> Similarly, when the Bivariate model returned unstable parameters, the analysis was repeated with univariate random effects models (UREM), as previously proposed</w:t>
      </w:r>
      <w:r w:rsidRPr="008E3F16">
        <w:rPr>
          <w:rFonts w:ascii="Book Antiqua" w:eastAsia="Times New Roman" w:hAnsi="Book Antiqua" w:cs="Times New Roman"/>
          <w:color w:val="000000" w:themeColor="text1"/>
          <w:vertAlign w:val="superscript"/>
          <w:lang w:val="en-US" w:eastAsia="el-GR"/>
        </w:rPr>
        <w:fldChar w:fldCharType="begin" w:fldLock="1"/>
      </w:r>
      <w:r w:rsidRPr="008E3F16">
        <w:rPr>
          <w:rFonts w:ascii="Book Antiqua" w:eastAsia="Times New Roman" w:hAnsi="Book Antiqua" w:cs="Times New Roman"/>
          <w:color w:val="000000" w:themeColor="text1"/>
          <w:vertAlign w:val="superscript"/>
          <w:lang w:val="en-US" w:eastAsia="el-GR"/>
        </w:rPr>
        <w:instrText>ADDIN CSL_CITATION {"citationItems":[{"id":"ITEM-1","itemData":{"DOI":"10.1177/0962280215592269","ISSN":"1477-0334","PMID":"26116616","abstract":"Hierarchical models such as the bivariate and hierarchical summary receiver operating characteristic (HSROC) models are recommended for meta-analysis of test accuracy studies. These models are challenging to fit when there are few studies and/or sparse data (for example zero cells in contingency tables due to studies reporting 100% sensitivity or specificity); the models may not converge, or give unreliable parameter estimates. Using simulation, we investigated the performance of seven hierarchical models incorporating increasing simplifications in scenarios designed to replicate realistic situations for meta-analysis of test accuracy studies. Performance of the models was assessed in terms of estimability (percentage of meta-analyses that successfully converged and percentage where the between study correlation was estimable), bias, mean square error and coverage of the 95% confidence intervals. Our results indicate that simpler hierarchical models are valid in situations with few studies or sparse data. For synthesis of sensitivity and specificity, univariate random effects logistic regression models are appropriate when a bivariate model cannot be fitted. Alternatively, an HSROC model that assumes a symmetric SROC curve (by excluding the shape parameter) can be used if the HSROC model is the chosen meta-analytic approach. In the absence of heterogeneity, fixed effect equivalent of the models can be applied.","author":[{"dropping-particle":"","family":"Takwoingi","given":"Yemisi","non-dropping-particle":"","parse-names":false,"suffix":""},{"dropping-particle":"","family":"Guo","given":"Boliang","non-dropping-particle":"","parse-names":false,"suffix":""},{"dropping-particle":"","family":"Riley","given":"Richard D","non-dropping-particle":"","parse-names":false,"suffix":""},{"dropping-particle":"","family":"Deeks","given":"Jonathan J","non-dropping-particle":"","parse-names":false,"suffix":""}],"container-title":"Statistical methods in medical research","id":"ITEM-1","issue":"4","issued":{"date-parts":[["2017","8"]]},"page":"1896-1911","publisher":"SAGE Publications","title":"Performance of methods for meta-analysis of diagnostic test accuracy with few studies or sparse data.","type":"article-journal","volume":"26"},"uris":["http://www.mendeley.com/documents/?uuid=8ff16e4f-7fb6-3b25-a2b8-e6ebd43b544f"]}],"mendeley":{"formattedCitation":"&lt;sup&gt;[36]&lt;/sup&gt;","plainTextFormattedCitation":"[36]","previouslyFormattedCitation":"&lt;sup&gt;[36]&lt;/sup&gt;"},"properties":{"noteIndex":0},"schema":"https://github.com/citation-style-language/schema/raw/master/csl-citation.json"}</w:instrText>
      </w:r>
      <w:r w:rsidRPr="008E3F16">
        <w:rPr>
          <w:rFonts w:ascii="Book Antiqua" w:eastAsia="Times New Roman" w:hAnsi="Book Antiqua" w:cs="Times New Roman"/>
          <w:color w:val="000000" w:themeColor="text1"/>
          <w:vertAlign w:val="superscript"/>
          <w:lang w:val="en-US" w:eastAsia="el-GR"/>
        </w:rPr>
        <w:fldChar w:fldCharType="separate"/>
      </w:r>
      <w:r w:rsidRPr="008E3F16">
        <w:rPr>
          <w:rFonts w:ascii="Book Antiqua" w:eastAsia="Times New Roman" w:hAnsi="Book Antiqua" w:cs="Times New Roman"/>
          <w:noProof/>
          <w:color w:val="000000" w:themeColor="text1"/>
          <w:vertAlign w:val="superscript"/>
          <w:lang w:val="en-US" w:eastAsia="el-GR"/>
        </w:rPr>
        <w:t>[36]</w:t>
      </w:r>
      <w:r w:rsidRPr="008E3F16">
        <w:rPr>
          <w:rFonts w:ascii="Book Antiqua" w:eastAsia="Times New Roman" w:hAnsi="Book Antiqua" w:cs="Times New Roman"/>
          <w:color w:val="000000" w:themeColor="text1"/>
          <w:vertAlign w:val="superscript"/>
          <w:lang w:val="en-US" w:eastAsia="el-GR"/>
        </w:rPr>
        <w:fldChar w:fldCharType="end"/>
      </w:r>
      <w:r w:rsidR="00407D9C" w:rsidRPr="008E3F16">
        <w:rPr>
          <w:rFonts w:ascii="Book Antiqua" w:eastAsia="Times New Roman" w:hAnsi="Book Antiqua" w:cs="Times New Roman"/>
          <w:color w:val="000000" w:themeColor="text1"/>
          <w:lang w:val="en-US" w:eastAsia="el-GR"/>
        </w:rPr>
        <w:t>.</w:t>
      </w:r>
      <w:r w:rsidRPr="008E3F16">
        <w:rPr>
          <w:rFonts w:ascii="Book Antiqua" w:eastAsia="Times New Roman" w:hAnsi="Book Antiqua" w:cs="Times New Roman"/>
          <w:color w:val="000000" w:themeColor="text1"/>
          <w:lang w:val="en-US" w:eastAsia="el-GR"/>
        </w:rPr>
        <w:t xml:space="preserve"> The fit of the models was assessed with the -2 Loglikelihood test</w:t>
      </w:r>
      <w:r w:rsidRPr="008E3F16">
        <w:rPr>
          <w:rFonts w:ascii="Book Antiqua" w:eastAsia="Times New Roman" w:hAnsi="Book Antiqua" w:cs="Times New Roman"/>
          <w:color w:val="000000" w:themeColor="text1"/>
          <w:vertAlign w:val="superscript"/>
          <w:lang w:val="en-US" w:eastAsia="el-GR"/>
        </w:rPr>
        <w:fldChar w:fldCharType="begin" w:fldLock="1"/>
      </w:r>
      <w:r w:rsidR="00FD4A65" w:rsidRPr="008E3F16">
        <w:rPr>
          <w:rFonts w:ascii="Book Antiqua" w:eastAsia="Times New Roman" w:hAnsi="Book Antiqua" w:cs="Times New Roman"/>
          <w:color w:val="000000" w:themeColor="text1"/>
          <w:vertAlign w:val="superscript"/>
          <w:lang w:val="en-US" w:eastAsia="el-GR"/>
        </w:rPr>
        <w:instrText>ADDIN CSL_CITATION {"citationItems":[{"id":"ITEM-1","itemData":{"author":[{"dropping-particle":"","family":"Macaskill","given":"Petra","non-dropping-particle":"","parse-names":false,"suffix":""},{"dropping-particle":"","family":"Gatsonis","given":"Constantine","non-dropping-particle":"","parse-names":false,"suffix":""},{"dropping-particle":"","family":"Deeks","given":"Jonathan","non-dropping-particle":"","parse-names":false,"suffix":""},{"dropping-particle":"","family":"Harbord","given":"Roger","non-dropping-particle":"","parse-names":false,"suffix":""},{"dropping-particle":"","family":"Takwoingi","given":"Yemisi","non-dropping-particle":"","parse-names":false,"suffix":""}],"edition":"Version 1.0","editor":[{"dropping-particle":"","family":"Deeks","given":"JJ","non-dropping-particle":"","parse-names":false,"suffix":""},{"dropping-particle":"","family":"Bossuyt","given":"PM","non-dropping-particle":"","parse-names":false,"suffix":""},{"dropping-particle":"","family":"Gatsonis","given":"C","non-dropping-particle":"","parse-names":false,"suffix":""}],"id":"ITEM-1","issued":{"date-parts":[["2010"]]},"publisher":"©The Cochrane Collaboration","title":"Analysing and Presenting Results: Cochrane Handbook for Systematic Reviews of Diagnostic Test Accuracy","type":"book"},"uris":["http://www.mendeley.com/documents/?uuid=92751810-07eb-347c-b9aa-e8d8634abc0e"]}],"mendeley":{"formattedCitation":"&lt;sup&gt;[35]&lt;/sup&gt;","plainTextFormattedCitation":"[35]","previouslyFormattedCitation":"&lt;sup&gt;[35]&lt;/sup&gt;"},"properties":{"noteIndex":0},"schema":"https://github.com/citation-style-language/schema/raw/master/csl-citation.json"}</w:instrText>
      </w:r>
      <w:r w:rsidRPr="008E3F16">
        <w:rPr>
          <w:rFonts w:ascii="Book Antiqua" w:eastAsia="Times New Roman" w:hAnsi="Book Antiqua" w:cs="Times New Roman"/>
          <w:color w:val="000000" w:themeColor="text1"/>
          <w:vertAlign w:val="superscript"/>
          <w:lang w:val="en-US" w:eastAsia="el-GR"/>
        </w:rPr>
        <w:fldChar w:fldCharType="separate"/>
      </w:r>
      <w:r w:rsidR="00BB6AD9" w:rsidRPr="008E3F16">
        <w:rPr>
          <w:rFonts w:ascii="Book Antiqua" w:eastAsia="Times New Roman" w:hAnsi="Book Antiqua" w:cs="Times New Roman"/>
          <w:noProof/>
          <w:color w:val="000000" w:themeColor="text1"/>
          <w:vertAlign w:val="superscript"/>
          <w:lang w:val="en-US" w:eastAsia="el-GR"/>
        </w:rPr>
        <w:t>[35]</w:t>
      </w:r>
      <w:r w:rsidRPr="008E3F16">
        <w:rPr>
          <w:rFonts w:ascii="Book Antiqua" w:eastAsia="Times New Roman" w:hAnsi="Book Antiqua" w:cs="Times New Roman"/>
          <w:color w:val="000000" w:themeColor="text1"/>
          <w:vertAlign w:val="superscript"/>
          <w:lang w:val="en-US" w:eastAsia="el-GR"/>
        </w:rPr>
        <w:fldChar w:fldCharType="end"/>
      </w:r>
      <w:r w:rsidR="00407D9C" w:rsidRPr="008E3F16">
        <w:rPr>
          <w:rFonts w:ascii="Book Antiqua" w:eastAsia="Times New Roman" w:hAnsi="Book Antiqua" w:cs="Times New Roman"/>
          <w:color w:val="000000" w:themeColor="text1"/>
          <w:lang w:val="en-US" w:eastAsia="el-GR"/>
        </w:rPr>
        <w:t>.</w:t>
      </w:r>
      <w:r w:rsidRPr="008E3F16">
        <w:rPr>
          <w:rFonts w:ascii="Book Antiqua" w:eastAsia="Times New Roman" w:hAnsi="Book Antiqua" w:cs="Times New Roman"/>
          <w:color w:val="000000" w:themeColor="text1"/>
          <w:lang w:val="en-US" w:eastAsia="el-GR"/>
        </w:rPr>
        <w:t xml:space="preserve"> All analyses were repeated twice, once including DTA studies reporting results from CD cases </w:t>
      </w:r>
      <w:r w:rsidR="00777245" w:rsidRPr="008E3F16">
        <w:rPr>
          <w:rFonts w:ascii="Book Antiqua" w:eastAsia="Times New Roman" w:hAnsi="Book Antiqua" w:cs="Times New Roman"/>
          <w:color w:val="000000" w:themeColor="text1"/>
          <w:lang w:val="en-US" w:eastAsia="el-GR"/>
        </w:rPr>
        <w:t>against</w:t>
      </w:r>
      <w:r w:rsidRPr="008E3F16">
        <w:rPr>
          <w:rFonts w:ascii="Book Antiqua" w:eastAsia="Times New Roman" w:hAnsi="Book Antiqua" w:cs="Times New Roman"/>
          <w:color w:val="000000" w:themeColor="text1"/>
          <w:lang w:val="en-US" w:eastAsia="el-GR"/>
        </w:rPr>
        <w:t xml:space="preserve"> all patients with relevant symptoms, and the second time including studies reporting CD cases against </w:t>
      </w:r>
      <w:r w:rsidR="00777245" w:rsidRPr="008E3F16">
        <w:rPr>
          <w:rFonts w:ascii="Book Antiqua" w:eastAsia="Times New Roman" w:hAnsi="Book Antiqua" w:cs="Times New Roman"/>
          <w:color w:val="000000" w:themeColor="text1"/>
          <w:lang w:val="en-US" w:eastAsia="el-GR"/>
        </w:rPr>
        <w:t>ulcerative colitis (</w:t>
      </w:r>
      <w:r w:rsidRPr="008E3F16">
        <w:rPr>
          <w:rFonts w:ascii="Book Antiqua" w:eastAsia="Times New Roman" w:hAnsi="Book Antiqua" w:cs="Times New Roman"/>
          <w:color w:val="000000" w:themeColor="text1"/>
          <w:lang w:val="en-US" w:eastAsia="el-GR"/>
        </w:rPr>
        <w:t>UC</w:t>
      </w:r>
      <w:r w:rsidR="00777245" w:rsidRPr="008E3F16">
        <w:rPr>
          <w:rFonts w:ascii="Book Antiqua" w:eastAsia="Times New Roman" w:hAnsi="Book Antiqua" w:cs="Times New Roman"/>
          <w:color w:val="000000" w:themeColor="text1"/>
          <w:lang w:val="en-US" w:eastAsia="el-GR"/>
        </w:rPr>
        <w:t>)</w:t>
      </w:r>
      <w:r w:rsidRPr="008E3F16">
        <w:rPr>
          <w:rFonts w:ascii="Book Antiqua" w:eastAsia="Times New Roman" w:hAnsi="Book Antiqua" w:cs="Times New Roman"/>
          <w:color w:val="000000" w:themeColor="text1"/>
          <w:lang w:val="en-US" w:eastAsia="el-GR"/>
        </w:rPr>
        <w:t xml:space="preserve"> cases only. In the analyses combining the result of IgA and/or IgG positive antibodies, studies were included </w:t>
      </w:r>
      <w:r w:rsidR="009073D5" w:rsidRPr="008E3F16">
        <w:rPr>
          <w:rFonts w:ascii="Book Antiqua" w:eastAsia="Times New Roman" w:hAnsi="Book Antiqua" w:cs="Times New Roman"/>
          <w:color w:val="000000" w:themeColor="text1"/>
          <w:lang w:val="en-US" w:eastAsia="el-GR"/>
        </w:rPr>
        <w:t xml:space="preserve">only </w:t>
      </w:r>
      <w:r w:rsidRPr="008E3F16">
        <w:rPr>
          <w:rFonts w:ascii="Book Antiqua" w:eastAsia="Times New Roman" w:hAnsi="Book Antiqua" w:cs="Times New Roman"/>
          <w:color w:val="000000" w:themeColor="text1"/>
          <w:lang w:val="en-US" w:eastAsia="el-GR"/>
        </w:rPr>
        <w:t xml:space="preserve">when reporting </w:t>
      </w:r>
      <w:r w:rsidR="009073D5" w:rsidRPr="008E3F16">
        <w:rPr>
          <w:rFonts w:ascii="Book Antiqua" w:eastAsia="Times New Roman" w:hAnsi="Book Antiqua" w:cs="Times New Roman"/>
          <w:color w:val="000000" w:themeColor="text1"/>
          <w:lang w:val="en-US" w:eastAsia="el-GR"/>
        </w:rPr>
        <w:t>relevant</w:t>
      </w:r>
      <w:r w:rsidRPr="008E3F16">
        <w:rPr>
          <w:rFonts w:ascii="Book Antiqua" w:eastAsia="Times New Roman" w:hAnsi="Book Antiqua" w:cs="Times New Roman"/>
          <w:color w:val="000000" w:themeColor="text1"/>
          <w:lang w:val="en-US" w:eastAsia="el-GR"/>
        </w:rPr>
        <w:t xml:space="preserve"> </w:t>
      </w:r>
      <w:r w:rsidR="009073D5" w:rsidRPr="008E3F16">
        <w:rPr>
          <w:rFonts w:ascii="Book Antiqua" w:eastAsia="Times New Roman" w:hAnsi="Book Antiqua" w:cs="Times New Roman"/>
          <w:color w:val="000000" w:themeColor="text1"/>
          <w:lang w:val="en-US" w:eastAsia="el-GR"/>
        </w:rPr>
        <w:t>results in detail</w:t>
      </w:r>
      <w:r w:rsidRPr="008E3F16">
        <w:rPr>
          <w:rFonts w:ascii="Book Antiqua" w:eastAsia="Times New Roman" w:hAnsi="Book Antiqua" w:cs="Times New Roman"/>
          <w:color w:val="000000" w:themeColor="text1"/>
          <w:lang w:val="en-US" w:eastAsia="el-GR"/>
        </w:rPr>
        <w:t>.</w:t>
      </w:r>
    </w:p>
    <w:p w14:paraId="0E88DDD0" w14:textId="2833F468" w:rsidR="00EA4E33" w:rsidRPr="008E3F16" w:rsidRDefault="00E82B0E" w:rsidP="00C66188">
      <w:pPr>
        <w:adjustRightInd w:val="0"/>
        <w:snapToGrid w:val="0"/>
        <w:spacing w:line="360" w:lineRule="auto"/>
        <w:ind w:firstLineChars="100" w:firstLine="240"/>
        <w:jc w:val="both"/>
        <w:rPr>
          <w:rFonts w:ascii="Book Antiqua" w:eastAsia="Times New Roman" w:hAnsi="Book Antiqua" w:cs="Times New Roman"/>
          <w:color w:val="000000" w:themeColor="text1"/>
          <w:lang w:val="en-US" w:eastAsia="el-GR"/>
        </w:rPr>
      </w:pPr>
      <w:r w:rsidRPr="008E3F16">
        <w:rPr>
          <w:rFonts w:ascii="Book Antiqua" w:eastAsia="Times New Roman" w:hAnsi="Book Antiqua" w:cs="Times New Roman"/>
          <w:color w:val="000000" w:themeColor="text1"/>
          <w:lang w:val="en-US" w:eastAsia="el-GR"/>
        </w:rPr>
        <w:t>Estimates of sensitivities and specificities derived for specific cut-off values were expressed as natural frequencies and summarized in a table</w:t>
      </w:r>
      <w:r w:rsidRPr="008E3F16">
        <w:rPr>
          <w:rFonts w:ascii="Book Antiqua" w:eastAsia="Times New Roman" w:hAnsi="Book Antiqua" w:cs="Times New Roman"/>
          <w:color w:val="000000" w:themeColor="text1"/>
          <w:vertAlign w:val="superscript"/>
          <w:lang w:val="en-US" w:eastAsia="el-GR"/>
        </w:rPr>
        <w:fldChar w:fldCharType="begin" w:fldLock="1"/>
      </w:r>
      <w:r w:rsidRPr="008E3F16">
        <w:rPr>
          <w:rFonts w:ascii="Book Antiqua" w:eastAsia="Times New Roman" w:hAnsi="Book Antiqua" w:cs="Times New Roman"/>
          <w:color w:val="000000" w:themeColor="text1"/>
          <w:vertAlign w:val="superscript"/>
          <w:lang w:val="en-US" w:eastAsia="el-GR"/>
        </w:rPr>
        <w:instrText>ADDIN CSL_CITATION {"citationItems":[{"id":"ITEM-1","itemData":{"DOI":"10.1111/jvim.14893","ISSN":"08916640","PMID":"29210105","abstract":"BACKGROUND Transfer of passive immunity in calves can be assessed by direct measurement of immunoglobulin G (IgG) by methods such as radial immunodiffusion (RID) or turbidimetric immunoassay (TIA). IgG can also be measured indirectly by methods such as serum refractometry (REF) or Brix refractometry (BRIX). OBJECTIVES To determine the accuracy of REF and BRIX for assessment of inadequate transfer of passive immunity (ITPI) in calves. DESIGN Systematic review and meta-analysis of diagnostic accuracy studies. METHODS Databases (PubMed and CAB Abstract, Searchable Proceedings of Animal Science) and Google Scholar were searched for relevant studies. Studies were eligible if the accuracy (sensitivity and specificity) of REF or BRIX was determined using direct measurement of IgG by RID or turbidimetry as the reference standard. The study population included calves &lt;14 days old that were fed with natural colostrum (colostrum replacement products were excluded). Quality assessment was performed by the QUADAS-2 tool. Hierarchical models were used for meta-analysis. RESULTS From 1,291 references identified, 13 studies of 3,788 calves were included. Of these, 11 studies evaluated REF and 5 studies evaluated BRIX. The median (range) prevalence of ITPI (defined as calves with IgG &lt;10 g/L by RID or TIA) was 21% (1.3-56%). Risk of bias and applicability concerns were generally low or unclear. For REF, summary estimates were obtained for 2 different cutoffs: 5.2 g/dL (6 studies) and 5.5 g/dL (5 studies). For the 5.2 g/dL cutoff, the summary sensitivity (95% CI) and specificity (95% CI) were 76.1% (63.8-85.2%) and 89.3% (82.3-93.7%), and 88.2% (80.2-93.3%) and 77.9% (74.5-81.0%) for the 5.5 g/dL cutoff. Due to the low number of studies using the same cutoffs, summary estimates could not be obtained for BRIX. CONCLUSIONS AND CLINICAL IMPORTANCE Despite their widespread use on dairy farms, evidence about the optimal strategy for using refractometry, including the optimal cutoff, are sparse (especially for BRIX). When using REF to rule out ITPI in herds, the 5.5 g/dL cutoff may be used whereas for ruling in ITPI, the 5.2 g/dL cutoff may be used.","author":[{"dropping-particle":"","family":"Buczinski","given":"S.","non-dropping-particle":"","parse-names":false,"suffix":""},{"dropping-particle":"","family":"Gicquel","given":"E.","non-dropping-particle":"","parse-names":false,"suffix":""},{"dropping-particle":"","family":"Fecteau","given":"G.","non-dropping-particle":"","parse-names":false,"suffix":""},{"dropping-particle":"","family":"Takwoingi","given":"Y.","non-dropping-particle":"","parse-names":false,"suffix":""},{"dropping-particle":"","family":"Chigerwe","given":"M.","non-dropping-particle":"","parse-names":false,"suffix":""},{"dropping-particle":"","family":"Vandeweerd","given":"J.M.","non-dropping-particle":"","parse-names":false,"suffix":""}],"container-title":"Journal of Veterinary Internal Medicine","id":"ITEM-1","issue":"1","issued":{"date-parts":[["2018","1"]]},"page":"474-483","title":"Systematic Review and Meta-Analysis of Diagnostic Accuracy of Serum Refractometry and Brix Refractometry for the Diagnosis of Inadequate Transfer of Passive Immunity in Calves","type":"article-journal","volume":"32"},"uris":["http://www.mendeley.com/documents/?uuid=62bcea4e-95d7-3e30-8f83-0dfc626ad209"]}],"mendeley":{"formattedCitation":"&lt;sup&gt;[37]&lt;/sup&gt;","plainTextFormattedCitation":"[37]","previouslyFormattedCitation":"&lt;sup&gt;[37]&lt;/sup&gt;"},"properties":{"noteIndex":0},"schema":"https://github.com/citation-style-language/schema/raw/master/csl-citation.json"}</w:instrText>
      </w:r>
      <w:r w:rsidRPr="008E3F16">
        <w:rPr>
          <w:rFonts w:ascii="Book Antiqua" w:eastAsia="Times New Roman" w:hAnsi="Book Antiqua" w:cs="Times New Roman"/>
          <w:color w:val="000000" w:themeColor="text1"/>
          <w:vertAlign w:val="superscript"/>
          <w:lang w:val="en-US" w:eastAsia="el-GR"/>
        </w:rPr>
        <w:fldChar w:fldCharType="separate"/>
      </w:r>
      <w:r w:rsidRPr="008E3F16">
        <w:rPr>
          <w:rFonts w:ascii="Book Antiqua" w:eastAsia="Times New Roman" w:hAnsi="Book Antiqua" w:cs="Times New Roman"/>
          <w:noProof/>
          <w:color w:val="000000" w:themeColor="text1"/>
          <w:vertAlign w:val="superscript"/>
          <w:lang w:val="en-US" w:eastAsia="el-GR"/>
        </w:rPr>
        <w:t>[37]</w:t>
      </w:r>
      <w:r w:rsidRPr="008E3F16">
        <w:rPr>
          <w:rFonts w:ascii="Book Antiqua" w:eastAsia="Times New Roman" w:hAnsi="Book Antiqua" w:cs="Times New Roman"/>
          <w:color w:val="000000" w:themeColor="text1"/>
          <w:vertAlign w:val="superscript"/>
          <w:lang w:val="en-US" w:eastAsia="el-GR"/>
        </w:rPr>
        <w:fldChar w:fldCharType="end"/>
      </w:r>
      <w:r w:rsidR="00407D9C" w:rsidRPr="008E3F16">
        <w:rPr>
          <w:rFonts w:ascii="Book Antiqua" w:eastAsia="Times New Roman" w:hAnsi="Book Antiqua" w:cs="Times New Roman"/>
          <w:color w:val="000000" w:themeColor="text1"/>
          <w:lang w:val="en-US" w:eastAsia="el-GR"/>
        </w:rPr>
        <w:t>.</w:t>
      </w:r>
      <w:r w:rsidRPr="008E3F16">
        <w:rPr>
          <w:rFonts w:ascii="Book Antiqua" w:eastAsia="Times New Roman" w:hAnsi="Book Antiqua" w:cs="Times New Roman"/>
          <w:color w:val="000000" w:themeColor="text1"/>
          <w:lang w:val="en-US" w:eastAsia="el-GR"/>
        </w:rPr>
        <w:t xml:space="preserve"> Since the majority of included studies were based in Europe</w:t>
      </w:r>
      <w:r w:rsidR="009073D5" w:rsidRPr="008E3F16">
        <w:rPr>
          <w:rFonts w:ascii="Book Antiqua" w:eastAsia="Times New Roman" w:hAnsi="Book Antiqua" w:cs="Times New Roman"/>
          <w:color w:val="000000" w:themeColor="text1"/>
          <w:lang w:val="en-US" w:eastAsia="el-GR"/>
        </w:rPr>
        <w:t>,</w:t>
      </w:r>
      <w:r w:rsidRPr="008E3F16">
        <w:rPr>
          <w:rFonts w:ascii="Book Antiqua" w:eastAsia="Times New Roman" w:hAnsi="Book Antiqua" w:cs="Times New Roman"/>
          <w:color w:val="000000" w:themeColor="text1"/>
          <w:lang w:val="en-US" w:eastAsia="el-GR"/>
        </w:rPr>
        <w:t xml:space="preserve"> Germany</w:t>
      </w:r>
      <w:r w:rsidR="009073D5" w:rsidRPr="008E3F16">
        <w:rPr>
          <w:rFonts w:ascii="Book Antiqua" w:eastAsia="Times New Roman" w:hAnsi="Book Antiqua" w:cs="Times New Roman"/>
          <w:color w:val="000000" w:themeColor="text1"/>
          <w:lang w:val="en-US" w:eastAsia="el-GR"/>
        </w:rPr>
        <w:t xml:space="preserve"> in particular</w:t>
      </w:r>
      <w:r w:rsidRPr="008E3F16">
        <w:rPr>
          <w:rFonts w:ascii="Book Antiqua" w:eastAsia="Times New Roman" w:hAnsi="Book Antiqua" w:cs="Times New Roman"/>
          <w:color w:val="000000" w:themeColor="text1"/>
          <w:lang w:val="en-US" w:eastAsia="el-GR"/>
        </w:rPr>
        <w:t>, and had a case-control design, the estimation of CD prevalence would not have been precise. Subsequently, the prevalence rates used herein were extracted from a recent systematic review</w:t>
      </w:r>
      <w:r w:rsidRPr="008E3F16">
        <w:rPr>
          <w:rFonts w:ascii="Book Antiqua" w:eastAsia="Times New Roman" w:hAnsi="Book Antiqua" w:cs="Times New Roman"/>
          <w:color w:val="000000" w:themeColor="text1"/>
          <w:vertAlign w:val="superscript"/>
          <w:lang w:val="en-US" w:eastAsia="el-GR"/>
        </w:rPr>
        <w:fldChar w:fldCharType="begin" w:fldLock="1"/>
      </w:r>
      <w:r w:rsidRPr="008E3F16">
        <w:rPr>
          <w:rFonts w:ascii="Book Antiqua" w:eastAsia="Times New Roman" w:hAnsi="Book Antiqua" w:cs="Times New Roman"/>
          <w:color w:val="000000" w:themeColor="text1"/>
          <w:vertAlign w:val="superscript"/>
          <w:lang w:val="en-US" w:eastAsia="el-GR"/>
        </w:rPr>
        <w:instrText>ADDIN CSL_CITATION {"citationItems":[{"id":"ITEM-1","itemData":{"DOI":"10.1016/S0140-6736(17)32448-0","ISSN":"1474-547X","PMID":"29050646","abstract":"BACKGROUND Inflammatory bowel disease is a global disease in the 21st century. We aimed to assess the changing incidence and prevalence of inflammatory bowel disease around the world. METHODS 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 FINDINGS We identified 147 studies that were eligible for final inclusion in the systematic review, including 119 studies of incidence and 69 studies of prevalence. The highest reported prevalence values were in Europe (ulcerative colitis 505 per 100</w:instrText>
      </w:r>
      <w:r w:rsidRPr="008E3F16">
        <w:rPr>
          <w:rFonts w:ascii="MS Gothic" w:eastAsia="MS Gothic" w:hAnsi="MS Gothic" w:cs="MS Gothic" w:hint="eastAsia"/>
          <w:color w:val="000000" w:themeColor="text1"/>
          <w:vertAlign w:val="superscript"/>
          <w:lang w:val="en-US" w:eastAsia="el-GR"/>
        </w:rPr>
        <w:instrText> </w:instrText>
      </w:r>
      <w:r w:rsidRPr="008E3F16">
        <w:rPr>
          <w:rFonts w:ascii="Book Antiqua" w:eastAsia="Times New Roman" w:hAnsi="Book Antiqua" w:cs="Times New Roman"/>
          <w:color w:val="000000" w:themeColor="text1"/>
          <w:vertAlign w:val="superscript"/>
          <w:lang w:val="en-US" w:eastAsia="el-GR"/>
        </w:rPr>
        <w:instrText>000 in Norway; Crohn's disease 322 per 100</w:instrText>
      </w:r>
      <w:r w:rsidRPr="008E3F16">
        <w:rPr>
          <w:rFonts w:ascii="MS Gothic" w:eastAsia="MS Gothic" w:hAnsi="MS Gothic" w:cs="MS Gothic" w:hint="eastAsia"/>
          <w:color w:val="000000" w:themeColor="text1"/>
          <w:vertAlign w:val="superscript"/>
          <w:lang w:val="en-US" w:eastAsia="el-GR"/>
        </w:rPr>
        <w:instrText> </w:instrText>
      </w:r>
      <w:r w:rsidRPr="008E3F16">
        <w:rPr>
          <w:rFonts w:ascii="Book Antiqua" w:eastAsia="Times New Roman" w:hAnsi="Book Antiqua" w:cs="Times New Roman"/>
          <w:color w:val="000000" w:themeColor="text1"/>
          <w:vertAlign w:val="superscript"/>
          <w:lang w:val="en-US" w:eastAsia="el-GR"/>
        </w:rPr>
        <w:instrText>000 in Germany) and North America (ulcerative colitis 286 per 100</w:instrText>
      </w:r>
      <w:r w:rsidRPr="008E3F16">
        <w:rPr>
          <w:rFonts w:ascii="MS Gothic" w:eastAsia="MS Gothic" w:hAnsi="MS Gothic" w:cs="MS Gothic" w:hint="eastAsia"/>
          <w:color w:val="000000" w:themeColor="text1"/>
          <w:vertAlign w:val="superscript"/>
          <w:lang w:val="en-US" w:eastAsia="el-GR"/>
        </w:rPr>
        <w:instrText> </w:instrText>
      </w:r>
      <w:r w:rsidRPr="008E3F16">
        <w:rPr>
          <w:rFonts w:ascii="Book Antiqua" w:eastAsia="Times New Roman" w:hAnsi="Book Antiqua" w:cs="Times New Roman"/>
          <w:color w:val="000000" w:themeColor="text1"/>
          <w:vertAlign w:val="superscript"/>
          <w:lang w:val="en-US" w:eastAsia="el-GR"/>
        </w:rPr>
        <w:instrText>000 in the USA; Crohn's disease 319 per 100</w:instrText>
      </w:r>
      <w:r w:rsidRPr="008E3F16">
        <w:rPr>
          <w:rFonts w:ascii="MS Gothic" w:eastAsia="MS Gothic" w:hAnsi="MS Gothic" w:cs="MS Gothic" w:hint="eastAsia"/>
          <w:color w:val="000000" w:themeColor="text1"/>
          <w:vertAlign w:val="superscript"/>
          <w:lang w:val="en-US" w:eastAsia="el-GR"/>
        </w:rPr>
        <w:instrText> </w:instrText>
      </w:r>
      <w:r w:rsidRPr="008E3F16">
        <w:rPr>
          <w:rFonts w:ascii="Book Antiqua" w:eastAsia="Times New Roman" w:hAnsi="Book Antiqua" w:cs="Times New Roman"/>
          <w:color w:val="000000" w:themeColor="text1"/>
          <w:vertAlign w:val="superscript"/>
          <w:lang w:val="en-US" w:eastAsia="el-GR"/>
        </w:rPr>
        <w:instrText>000 in Canada). The prevalence of inflammatory bowel disease exceeded 0·3% in North America, Oceania, and many countries in Europe. Overall, 16 (72·7%) of 22 studies on Crohn's disease and 15 (83·3%)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+11·1% [95% CI 4·8-17·8] and APC for ulcerative colitis +14·9% [10·4-19·6]) and Taiwan (APC for Crohn's disease +4·0% [1·0-7·1] and APC for ulcerative colitis +4·8% [1·8-8·0]). INTERPRETATION 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0·3%. These data highlight the n…","author":[{"dropping-particle":"","family":"Ng","given":"Siew C","non-dropping-particle":"","parse-names":false,"suffix":""},{"dropping-particle":"","family":"Shi","given":"Hai Yun","non-dropping-particle":"","parse-names":false,"suffix":""},{"dropping-particle":"","family":"Hamidi","given":"Nima","non-dropping-particle":"","parse-names":false,"suffix":""},{"dropping-particle":"","family":"Underwood","given":"Fox E","non-dropping-particle":"","parse-names":false,"suffix":""},{"dropping-particle":"","family":"Tang","given":"Whitney","non-dropping-particle":"","parse-names":false,"suffix":""},{"dropping-particle":"","family":"Benchimol","given":"Eric I","non-dropping-particle":"","parse-names":false,"suffix":""},{"dropping-particle":"","family":"Panaccione","given":"Remo","non-dropping-particle":"","parse-names":false,"suffix":""},{"dropping-particle":"","family":"Ghosh","given":"Subrata","non-dropping-particle":"","parse-names":false,"suffix":""},{"dropping-particle":"","family":"Wu","given":"Justin C Y","non-dropping-particle":"","parse-names":false,"suffix":""},{"dropping-particle":"","family":"Chan","given":"Francis K L","non-dropping-particle":"","parse-names":false,"suffix":""},{"dropping-particle":"","family":"Sung","given":"Joseph J Y","non-dropping-particle":"","parse-names":false,"suffix":""},{"dropping-particle":"","family":"Kaplan","given":"Gilaad G","non-dropping-particle":"","parse-names":false,"suffix":""}],"container-title":"Lancet (London, England)","id":"ITEM-1","issue":"10114","issued":{"date-parts":[["2018","12","23"]]},"page":"2769-2778","publisher":"Elsevier","title":"Worldwide incidence and prevalence of inflammatory bowel disease in the 21st century: a systematic review of population-based studies.","type":"article-journal","volume":"390"},"uris":["http://www.mendeley.com/documents/?uuid=a31ddbd6-2b56-3150-857b-071b78e71957"]}],"mendeley":{"formattedCitation":"&lt;sup&gt;[38]&lt;/sup&gt;","plainTextFormattedCitation":"[38]","previouslyFormattedCitation":"&lt;sup&gt;[38]&lt;/sup&gt;"},"properties":{"noteIndex":0},"schema":"https://github.com/citation-style-language/schema/raw/master/csl-citation.json"}</w:instrText>
      </w:r>
      <w:r w:rsidRPr="008E3F16">
        <w:rPr>
          <w:rFonts w:ascii="Book Antiqua" w:eastAsia="Times New Roman" w:hAnsi="Book Antiqua" w:cs="Times New Roman"/>
          <w:color w:val="000000" w:themeColor="text1"/>
          <w:vertAlign w:val="superscript"/>
          <w:lang w:val="en-US" w:eastAsia="el-GR"/>
        </w:rPr>
        <w:fldChar w:fldCharType="separate"/>
      </w:r>
      <w:r w:rsidRPr="008E3F16">
        <w:rPr>
          <w:rFonts w:ascii="Book Antiqua" w:eastAsia="Times New Roman" w:hAnsi="Book Antiqua" w:cs="Times New Roman"/>
          <w:noProof/>
          <w:color w:val="000000" w:themeColor="text1"/>
          <w:vertAlign w:val="superscript"/>
          <w:lang w:val="en-US" w:eastAsia="el-GR"/>
        </w:rPr>
        <w:t>[38]</w:t>
      </w:r>
      <w:r w:rsidRPr="008E3F16">
        <w:rPr>
          <w:rFonts w:ascii="Book Antiqua" w:eastAsia="Times New Roman" w:hAnsi="Book Antiqua" w:cs="Times New Roman"/>
          <w:color w:val="000000" w:themeColor="text1"/>
          <w:vertAlign w:val="superscript"/>
          <w:lang w:val="en-US" w:eastAsia="el-GR"/>
        </w:rPr>
        <w:fldChar w:fldCharType="end"/>
      </w:r>
      <w:r w:rsidR="00407D9C" w:rsidRPr="008E3F16">
        <w:rPr>
          <w:rFonts w:ascii="Book Antiqua" w:eastAsia="Times New Roman" w:hAnsi="Book Antiqua" w:cs="Times New Roman"/>
          <w:color w:val="000000" w:themeColor="text1"/>
          <w:lang w:val="en-US" w:eastAsia="el-GR"/>
        </w:rPr>
        <w:t>.</w:t>
      </w:r>
      <w:r w:rsidRPr="008E3F16">
        <w:rPr>
          <w:rFonts w:ascii="Book Antiqua" w:eastAsia="Times New Roman" w:hAnsi="Book Antiqua" w:cs="Times New Roman"/>
          <w:color w:val="000000" w:themeColor="text1"/>
          <w:lang w:val="en-US" w:eastAsia="el-GR"/>
        </w:rPr>
        <w:t xml:space="preserve"> The prevalence rate used was 322 per 100000</w:t>
      </w:r>
      <w:r w:rsidRPr="008E3F16">
        <w:rPr>
          <w:rFonts w:ascii="Book Antiqua" w:eastAsia="Times New Roman" w:hAnsi="Book Antiqua" w:cs="Times New Roman"/>
          <w:color w:val="000000" w:themeColor="text1"/>
          <w:vertAlign w:val="superscript"/>
          <w:lang w:val="en-US" w:eastAsia="el-GR"/>
        </w:rPr>
        <w:fldChar w:fldCharType="begin" w:fldLock="1"/>
      </w:r>
      <w:r w:rsidRPr="008E3F16">
        <w:rPr>
          <w:rFonts w:ascii="Book Antiqua" w:eastAsia="Times New Roman" w:hAnsi="Book Antiqua" w:cs="Times New Roman"/>
          <w:color w:val="000000" w:themeColor="text1"/>
          <w:vertAlign w:val="superscript"/>
          <w:lang w:val="en-US" w:eastAsia="el-GR"/>
        </w:rPr>
        <w:instrText>ADDIN CSL_CITATION {"citationItems":[{"id":"ITEM-1","itemData":{"DOI":"10.1016/S0140-6736(17)32448-0","ISSN":"1474-547X","PMID":"29050646","abstract":"BACKGROUND Inflammatory bowel disease is a global disease in the 21st century. We aimed to assess the changing incidence and prevalence of inflammatory bowel disease around the world. METHODS 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 FINDINGS We identified 147 studies that were eligible for final inclusion in the systematic review, including 119 studies of incidence and 69 studies of prevalence. The highest reported prevalence values were in Europe (ulcerative colitis 505 per 100</w:instrText>
      </w:r>
      <w:r w:rsidRPr="008E3F16">
        <w:rPr>
          <w:rFonts w:ascii="MS Gothic" w:eastAsia="MS Gothic" w:hAnsi="MS Gothic" w:cs="MS Gothic" w:hint="eastAsia"/>
          <w:color w:val="000000" w:themeColor="text1"/>
          <w:vertAlign w:val="superscript"/>
          <w:lang w:val="en-US" w:eastAsia="el-GR"/>
        </w:rPr>
        <w:instrText> </w:instrText>
      </w:r>
      <w:r w:rsidRPr="008E3F16">
        <w:rPr>
          <w:rFonts w:ascii="Book Antiqua" w:eastAsia="Times New Roman" w:hAnsi="Book Antiqua" w:cs="Times New Roman"/>
          <w:color w:val="000000" w:themeColor="text1"/>
          <w:vertAlign w:val="superscript"/>
          <w:lang w:val="en-US" w:eastAsia="el-GR"/>
        </w:rPr>
        <w:instrText>000 in Norway; Crohn's disease 322 per 100</w:instrText>
      </w:r>
      <w:r w:rsidRPr="008E3F16">
        <w:rPr>
          <w:rFonts w:ascii="MS Gothic" w:eastAsia="MS Gothic" w:hAnsi="MS Gothic" w:cs="MS Gothic" w:hint="eastAsia"/>
          <w:color w:val="000000" w:themeColor="text1"/>
          <w:vertAlign w:val="superscript"/>
          <w:lang w:val="en-US" w:eastAsia="el-GR"/>
        </w:rPr>
        <w:instrText> </w:instrText>
      </w:r>
      <w:r w:rsidRPr="008E3F16">
        <w:rPr>
          <w:rFonts w:ascii="Book Antiqua" w:eastAsia="Times New Roman" w:hAnsi="Book Antiqua" w:cs="Times New Roman"/>
          <w:color w:val="000000" w:themeColor="text1"/>
          <w:vertAlign w:val="superscript"/>
          <w:lang w:val="en-US" w:eastAsia="el-GR"/>
        </w:rPr>
        <w:instrText>000 in Germany) and North America (ulcerative colitis 286 per 100</w:instrText>
      </w:r>
      <w:r w:rsidRPr="008E3F16">
        <w:rPr>
          <w:rFonts w:ascii="MS Gothic" w:eastAsia="MS Gothic" w:hAnsi="MS Gothic" w:cs="MS Gothic" w:hint="eastAsia"/>
          <w:color w:val="000000" w:themeColor="text1"/>
          <w:vertAlign w:val="superscript"/>
          <w:lang w:val="en-US" w:eastAsia="el-GR"/>
        </w:rPr>
        <w:instrText> </w:instrText>
      </w:r>
      <w:r w:rsidRPr="008E3F16">
        <w:rPr>
          <w:rFonts w:ascii="Book Antiqua" w:eastAsia="Times New Roman" w:hAnsi="Book Antiqua" w:cs="Times New Roman"/>
          <w:color w:val="000000" w:themeColor="text1"/>
          <w:vertAlign w:val="superscript"/>
          <w:lang w:val="en-US" w:eastAsia="el-GR"/>
        </w:rPr>
        <w:instrText>000 in the USA; Crohn's disease 319 per 100</w:instrText>
      </w:r>
      <w:r w:rsidRPr="008E3F16">
        <w:rPr>
          <w:rFonts w:ascii="MS Gothic" w:eastAsia="MS Gothic" w:hAnsi="MS Gothic" w:cs="MS Gothic" w:hint="eastAsia"/>
          <w:color w:val="000000" w:themeColor="text1"/>
          <w:vertAlign w:val="superscript"/>
          <w:lang w:val="en-US" w:eastAsia="el-GR"/>
        </w:rPr>
        <w:instrText> </w:instrText>
      </w:r>
      <w:r w:rsidRPr="008E3F16">
        <w:rPr>
          <w:rFonts w:ascii="Book Antiqua" w:eastAsia="Times New Roman" w:hAnsi="Book Antiqua" w:cs="Times New Roman"/>
          <w:color w:val="000000" w:themeColor="text1"/>
          <w:vertAlign w:val="superscript"/>
          <w:lang w:val="en-US" w:eastAsia="el-GR"/>
        </w:rPr>
        <w:instrText>000 in Canada). The prevalence of inflammatory bowel disease exceeded 0·3% in North America, Oceania, and many countries in Europe. Overall, 16 (72·7%) of 22 studies on Crohn's disease and 15 (83·3%)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+11·1% [95% CI 4·8-17·8] and APC for ulcerative colitis +14·9% [10·4-19·6]) and Taiwan (APC for Crohn's disease +4·0% [1·0-7·1] and APC for ulcerative colitis +4·8% [1·8-8·0]). INTERPRETATION 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0·3%. These data highlight the n…","author":[{"dropping-particle":"","family":"Ng","given":"Siew C","non-dropping-particle":"","parse-names":false,"suffix":""},{"dropping-particle":"","family":"Shi","given":"Hai Yun","non-dropping-particle":"","parse-names":false,"suffix":""},{"dropping-particle":"","family":"Hamidi","given":"Nima","non-dropping-particle":"","parse-names":false,"suffix":""},{"dropping-particle":"","family":"Underwood","given":"Fox E","non-dropping-particle":"","parse-names":false,"suffix":""},{"dropping-particle":"","family":"Tang","given":"Whitney","non-dropping-particle":"","parse-names":false,"suffix":""},{"dropping-particle":"","family":"Benchimol","given":"Eric I","non-dropping-particle":"","parse-names":false,"suffix":""},{"dropping-particle":"","family":"Panaccione","given":"Remo","non-dropping-particle":"","parse-names":false,"suffix":""},{"dropping-particle":"","family":"Ghosh","given":"Subrata","non-dropping-particle":"","parse-names":false,"suffix":""},{"dropping-particle":"","family":"Wu","given":"Justin C Y","non-dropping-particle":"","parse-names":false,"suffix":""},{"dropping-particle":"","family":"Chan","given":"Francis K L","non-dropping-particle":"","parse-names":false,"suffix":""},{"dropping-particle":"","family":"Sung","given":"Joseph J Y","non-dropping-particle":"","parse-names":false,"suffix":""},{"dropping-particle":"","family":"Kaplan","given":"Gilaad G","non-dropping-particle":"","parse-names":false,"suffix":""}],"container-title":"Lancet (London, England)","id":"ITEM-1","issue":"10114","issued":{"date-parts":[["2018","12","23"]]},"page":"2769-2778","publisher":"Elsevier","title":"Worldwide incidence and prevalence of inflammatory bowel disease in the 21st century: a systematic review of population-based studies.","type":"article-journal","volume":"390"},"uris":["http://www.mendeley.com/documents/?uuid=a31ddbd6-2b56-3150-857b-071b78e71957"]}],"mendeley":{"formattedCitation":"&lt;sup&gt;[38]&lt;/sup&gt;","plainTextFormattedCitation":"[38]","previouslyFormattedCitation":"&lt;sup&gt;[38]&lt;/sup&gt;"},"properties":{"noteIndex":0},"schema":"https://github.com/citation-style-language/schema/raw/master/csl-citation.json"}</w:instrText>
      </w:r>
      <w:r w:rsidRPr="008E3F16">
        <w:rPr>
          <w:rFonts w:ascii="Book Antiqua" w:eastAsia="Times New Roman" w:hAnsi="Book Antiqua" w:cs="Times New Roman"/>
          <w:color w:val="000000" w:themeColor="text1"/>
          <w:vertAlign w:val="superscript"/>
          <w:lang w:val="en-US" w:eastAsia="el-GR"/>
        </w:rPr>
        <w:fldChar w:fldCharType="separate"/>
      </w:r>
      <w:r w:rsidRPr="008E3F16">
        <w:rPr>
          <w:rFonts w:ascii="Book Antiqua" w:eastAsia="Times New Roman" w:hAnsi="Book Antiqua" w:cs="Times New Roman"/>
          <w:noProof/>
          <w:color w:val="000000" w:themeColor="text1"/>
          <w:vertAlign w:val="superscript"/>
          <w:lang w:val="en-US" w:eastAsia="el-GR"/>
        </w:rPr>
        <w:t>[38]</w:t>
      </w:r>
      <w:r w:rsidRPr="008E3F16">
        <w:rPr>
          <w:rFonts w:ascii="Book Antiqua" w:eastAsia="Times New Roman" w:hAnsi="Book Antiqua" w:cs="Times New Roman"/>
          <w:color w:val="000000" w:themeColor="text1"/>
          <w:vertAlign w:val="superscript"/>
          <w:lang w:val="en-US" w:eastAsia="el-GR"/>
        </w:rPr>
        <w:fldChar w:fldCharType="end"/>
      </w:r>
      <w:r w:rsidRPr="008E3F16">
        <w:rPr>
          <w:rFonts w:ascii="Book Antiqua" w:eastAsia="Times New Roman" w:hAnsi="Book Antiqua" w:cs="Times New Roman"/>
          <w:color w:val="000000" w:themeColor="text1"/>
          <w:lang w:val="en-US" w:eastAsia="el-GR"/>
        </w:rPr>
        <w:t xml:space="preserve"> </w:t>
      </w:r>
      <w:r w:rsidR="009073D5" w:rsidRPr="008E3F16">
        <w:rPr>
          <w:rFonts w:ascii="Book Antiqua" w:eastAsia="Times New Roman" w:hAnsi="Book Antiqua" w:cs="Times New Roman"/>
          <w:color w:val="000000" w:themeColor="text1"/>
          <w:lang w:val="en-US" w:eastAsia="el-GR"/>
        </w:rPr>
        <w:t>in</w:t>
      </w:r>
      <w:r w:rsidRPr="008E3F16">
        <w:rPr>
          <w:rFonts w:ascii="Book Antiqua" w:eastAsia="Times New Roman" w:hAnsi="Book Antiqua" w:cs="Times New Roman"/>
          <w:color w:val="000000" w:themeColor="text1"/>
          <w:lang w:val="en-US" w:eastAsia="el-GR"/>
        </w:rPr>
        <w:t xml:space="preserve"> a hypothetical cohort </w:t>
      </w:r>
      <w:r w:rsidR="009073D5" w:rsidRPr="008E3F16">
        <w:rPr>
          <w:rFonts w:ascii="Book Antiqua" w:eastAsia="Times New Roman" w:hAnsi="Book Antiqua" w:cs="Times New Roman"/>
          <w:color w:val="000000" w:themeColor="text1"/>
          <w:lang w:val="en-US" w:eastAsia="el-GR"/>
        </w:rPr>
        <w:t>of</w:t>
      </w:r>
      <w:r w:rsidRPr="008E3F16">
        <w:rPr>
          <w:rFonts w:ascii="Book Antiqua" w:eastAsia="Times New Roman" w:hAnsi="Book Antiqua" w:cs="Times New Roman"/>
          <w:color w:val="000000" w:themeColor="text1"/>
          <w:lang w:val="en-US" w:eastAsia="el-GR"/>
        </w:rPr>
        <w:t xml:space="preserve"> 10000 suspected patients. This figure was selected based on its efficiency to produce logical natural frequencies.</w:t>
      </w:r>
    </w:p>
    <w:p w14:paraId="33B2251E" w14:textId="1708AC35" w:rsidR="00E82B0E" w:rsidRPr="008E3F16" w:rsidRDefault="00E82B0E" w:rsidP="00C66188">
      <w:pPr>
        <w:adjustRightInd w:val="0"/>
        <w:snapToGrid w:val="0"/>
        <w:spacing w:line="360" w:lineRule="auto"/>
        <w:ind w:firstLineChars="100" w:firstLine="240"/>
        <w:jc w:val="both"/>
        <w:rPr>
          <w:rFonts w:ascii="Book Antiqua" w:eastAsia="Times New Roman" w:hAnsi="Book Antiqua" w:cs="Times New Roman"/>
          <w:color w:val="000000" w:themeColor="text1"/>
          <w:lang w:val="en-US" w:eastAsia="el-GR"/>
        </w:rPr>
      </w:pPr>
      <w:r w:rsidRPr="008E3F16">
        <w:rPr>
          <w:rFonts w:ascii="Book Antiqua" w:eastAsia="Times New Roman" w:hAnsi="Book Antiqua" w:cs="Times New Roman"/>
          <w:color w:val="000000" w:themeColor="text1"/>
          <w:lang w:val="en-US" w:eastAsia="el-GR"/>
        </w:rPr>
        <w:t>Statistical analyses were carried with the SAS PROC NLMIXED procedure and/or the MetaDAS macro</w:t>
      </w:r>
      <w:r w:rsidRPr="008E3F16">
        <w:rPr>
          <w:rFonts w:ascii="Book Antiqua" w:eastAsia="Times New Roman" w:hAnsi="Book Antiqua" w:cs="Times New Roman"/>
          <w:color w:val="000000" w:themeColor="text1"/>
          <w:vertAlign w:val="superscript"/>
          <w:lang w:val="en-US" w:eastAsia="el-GR"/>
        </w:rPr>
        <w:fldChar w:fldCharType="begin" w:fldLock="1"/>
      </w:r>
      <w:r w:rsidRPr="008E3F16">
        <w:rPr>
          <w:rFonts w:ascii="Book Antiqua" w:eastAsia="Times New Roman" w:hAnsi="Book Antiqua" w:cs="Times New Roman"/>
          <w:color w:val="000000" w:themeColor="text1"/>
          <w:vertAlign w:val="superscript"/>
          <w:lang w:val="en-US" w:eastAsia="el-GR"/>
        </w:rPr>
        <w:instrText>ADDIN CSL_CITATION {"citationItems":[{"id":"ITEM-1","itemData":{"author":[{"dropping-particle":"","family":"Takwoingi","given":"Yemisi","non-dropping-particle":"","parse-names":false,"suffix":""},{"dropping-particle":"","family":"Deeks","given":"Jon","non-dropping-particle":"","parse-names":false,"suffix":""}],"id":"ITEM-1","issued":{"date-parts":[["2010"]]},"title":"MetaDAS: A SAS macro for meta-analysis of diagnostic accuracy studies: User guide, Version 1.3","type":"report"},"uris":["http://www.mendeley.com/documents/?uuid=54eaabb6-cbdf-3178-9be1-6149b5c551c9"]}],"mendeley":{"formattedCitation":"&lt;sup&gt;[39]&lt;/sup&gt;","plainTextFormattedCitation":"[39]","previouslyFormattedCitation":"&lt;sup&gt;[39]&lt;/sup&gt;"},"properties":{"noteIndex":0},"schema":"https://github.com/citation-style-language/schema/raw/master/csl-citation.json"}</w:instrText>
      </w:r>
      <w:r w:rsidRPr="008E3F16">
        <w:rPr>
          <w:rFonts w:ascii="Book Antiqua" w:eastAsia="Times New Roman" w:hAnsi="Book Antiqua" w:cs="Times New Roman"/>
          <w:color w:val="000000" w:themeColor="text1"/>
          <w:vertAlign w:val="superscript"/>
          <w:lang w:val="en-US" w:eastAsia="el-GR"/>
        </w:rPr>
        <w:fldChar w:fldCharType="separate"/>
      </w:r>
      <w:r w:rsidRPr="008E3F16">
        <w:rPr>
          <w:rFonts w:ascii="Book Antiqua" w:eastAsia="Times New Roman" w:hAnsi="Book Antiqua" w:cs="Times New Roman"/>
          <w:noProof/>
          <w:color w:val="000000" w:themeColor="text1"/>
          <w:vertAlign w:val="superscript"/>
          <w:lang w:val="en-US" w:eastAsia="el-GR"/>
        </w:rPr>
        <w:t>[39]</w:t>
      </w:r>
      <w:r w:rsidRPr="008E3F16">
        <w:rPr>
          <w:rFonts w:ascii="Book Antiqua" w:eastAsia="Times New Roman" w:hAnsi="Book Antiqua" w:cs="Times New Roman"/>
          <w:color w:val="000000" w:themeColor="text1"/>
          <w:vertAlign w:val="superscript"/>
          <w:lang w:val="en-US" w:eastAsia="el-GR"/>
        </w:rPr>
        <w:fldChar w:fldCharType="end"/>
      </w:r>
      <w:r w:rsidRPr="008E3F16">
        <w:rPr>
          <w:rFonts w:ascii="Book Antiqua" w:eastAsia="Times New Roman" w:hAnsi="Book Antiqua" w:cs="Times New Roman"/>
          <w:color w:val="000000" w:themeColor="text1"/>
          <w:lang w:val="en-US" w:eastAsia="el-GR"/>
        </w:rPr>
        <w:t xml:space="preserve"> on SAS software (SAS Institute Inc., Cary, NC, U</w:t>
      </w:r>
      <w:r w:rsidR="00AD7D88" w:rsidRPr="008E3F16">
        <w:rPr>
          <w:rFonts w:ascii="Book Antiqua" w:eastAsia="Times New Roman" w:hAnsi="Book Antiqua" w:cs="Times New Roman"/>
          <w:color w:val="000000" w:themeColor="text1"/>
          <w:lang w:val="en-US" w:eastAsia="el-GR"/>
        </w:rPr>
        <w:t>nited States</w:t>
      </w:r>
      <w:r w:rsidRPr="008E3F16">
        <w:rPr>
          <w:rFonts w:ascii="Book Antiqua" w:eastAsia="Times New Roman" w:hAnsi="Book Antiqua" w:cs="Times New Roman"/>
          <w:color w:val="000000" w:themeColor="text1"/>
          <w:lang w:val="en-US" w:eastAsia="el-GR"/>
        </w:rPr>
        <w:t>) and the plots were developed with RevMan</w:t>
      </w:r>
      <w:r w:rsidRPr="008E3F16">
        <w:rPr>
          <w:rFonts w:ascii="Book Antiqua" w:eastAsia="Times New Roman" w:hAnsi="Book Antiqua" w:cs="Times New Roman"/>
          <w:color w:val="000000" w:themeColor="text1"/>
          <w:vertAlign w:val="superscript"/>
          <w:lang w:val="en-US" w:eastAsia="el-GR"/>
        </w:rPr>
        <w:fldChar w:fldCharType="begin" w:fldLock="1"/>
      </w:r>
      <w:r w:rsidRPr="008E3F16">
        <w:rPr>
          <w:rFonts w:ascii="Book Antiqua" w:eastAsia="Times New Roman" w:hAnsi="Book Antiqua" w:cs="Times New Roman"/>
          <w:color w:val="000000" w:themeColor="text1"/>
          <w:vertAlign w:val="superscript"/>
          <w:lang w:val="en-US" w:eastAsia="el-GR"/>
        </w:rPr>
        <w:instrText>ADDIN CSL_CITATION {"citationItems":[{"id":"ITEM-1","itemData":{"ISBN":"9780805862270","abstract":"Review Manager (RevMan) [Computer program]. Version 5.3. Copenhagen: The Nordic Cochrane Centre, The Cochrane Collaboration, 2014.","author":[{"dropping-particle":"","family":"The Nordic Cochrane Centre","given":"","non-dropping-particle":"","parse-names":false,"suffix":""}],"container-title":"Cochrane Collaboration","id":"ITEM-1","issued":{"date-parts":[["2014"]]},"title":"Review Manager","type":"article"},"uris":["http://www.mendeley.com/documents/?uuid=ba87a77f-2318-46e5-9742-f945907e7b71"]}],"mendeley":{"formattedCitation":"&lt;sup&gt;[40]&lt;/sup&gt;","plainTextFormattedCitation":"[40]","previouslyFormattedCitation":"&lt;sup&gt;[40]&lt;/sup&gt;"},"properties":{"noteIndex":0},"schema":"https://github.com/citation-style-language/schema/raw/master/csl-citation.json"}</w:instrText>
      </w:r>
      <w:r w:rsidRPr="008E3F16">
        <w:rPr>
          <w:rFonts w:ascii="Book Antiqua" w:eastAsia="Times New Roman" w:hAnsi="Book Antiqua" w:cs="Times New Roman"/>
          <w:color w:val="000000" w:themeColor="text1"/>
          <w:vertAlign w:val="superscript"/>
          <w:lang w:val="en-US" w:eastAsia="el-GR"/>
        </w:rPr>
        <w:fldChar w:fldCharType="separate"/>
      </w:r>
      <w:r w:rsidRPr="008E3F16">
        <w:rPr>
          <w:rFonts w:ascii="Book Antiqua" w:eastAsia="Times New Roman" w:hAnsi="Book Antiqua" w:cs="Times New Roman"/>
          <w:noProof/>
          <w:color w:val="000000" w:themeColor="text1"/>
          <w:vertAlign w:val="superscript"/>
          <w:lang w:val="en-US" w:eastAsia="el-GR"/>
        </w:rPr>
        <w:t>[40]</w:t>
      </w:r>
      <w:r w:rsidRPr="008E3F16">
        <w:rPr>
          <w:rFonts w:ascii="Book Antiqua" w:eastAsia="Times New Roman" w:hAnsi="Book Antiqua" w:cs="Times New Roman"/>
          <w:color w:val="000000" w:themeColor="text1"/>
          <w:vertAlign w:val="superscript"/>
          <w:lang w:val="en-US" w:eastAsia="el-GR"/>
        </w:rPr>
        <w:fldChar w:fldCharType="end"/>
      </w:r>
      <w:r w:rsidR="00407D9C" w:rsidRPr="008E3F16">
        <w:rPr>
          <w:rFonts w:ascii="Book Antiqua" w:eastAsia="Times New Roman" w:hAnsi="Book Antiqua" w:cs="Times New Roman"/>
          <w:color w:val="000000" w:themeColor="text1"/>
          <w:lang w:val="en-US" w:eastAsia="el-GR"/>
        </w:rPr>
        <w:t xml:space="preserve">. The statistical methods </w:t>
      </w:r>
      <w:r w:rsidR="009073D5" w:rsidRPr="008E3F16">
        <w:rPr>
          <w:rFonts w:ascii="Book Antiqua" w:eastAsia="Times New Roman" w:hAnsi="Book Antiqua" w:cs="Times New Roman"/>
          <w:color w:val="000000" w:themeColor="text1"/>
          <w:lang w:val="en-US" w:eastAsia="el-GR"/>
        </w:rPr>
        <w:t>used in</w:t>
      </w:r>
      <w:r w:rsidR="00407D9C" w:rsidRPr="008E3F16">
        <w:rPr>
          <w:rFonts w:ascii="Book Antiqua" w:eastAsia="Times New Roman" w:hAnsi="Book Antiqua" w:cs="Times New Roman"/>
          <w:color w:val="000000" w:themeColor="text1"/>
          <w:lang w:val="en-US" w:eastAsia="el-GR"/>
        </w:rPr>
        <w:t xml:space="preserve"> this study were reviewed by Anna-Bettina Haidich, Associate Professor of Medical Statistics</w:t>
      </w:r>
      <w:r w:rsidR="00A73EC7" w:rsidRPr="008E3F16">
        <w:rPr>
          <w:rFonts w:ascii="Book Antiqua" w:eastAsia="Times New Roman" w:hAnsi="Book Antiqua" w:cs="Times New Roman"/>
          <w:color w:val="000000" w:themeColor="text1"/>
          <w:lang w:val="en-US" w:eastAsia="el-GR"/>
        </w:rPr>
        <w:t xml:space="preserve"> and Epidemiology</w:t>
      </w:r>
      <w:r w:rsidR="009F168F" w:rsidRPr="008E3F16">
        <w:rPr>
          <w:rFonts w:ascii="Book Antiqua" w:eastAsia="Times New Roman" w:hAnsi="Book Antiqua" w:cs="Times New Roman"/>
          <w:color w:val="000000" w:themeColor="text1"/>
          <w:lang w:val="en-US" w:eastAsia="el-GR"/>
        </w:rPr>
        <w:t xml:space="preserve"> </w:t>
      </w:r>
      <w:r w:rsidR="009073D5" w:rsidRPr="008E3F16">
        <w:rPr>
          <w:rFonts w:ascii="Book Antiqua" w:eastAsia="Times New Roman" w:hAnsi="Book Antiqua" w:cs="Times New Roman"/>
          <w:color w:val="000000" w:themeColor="text1"/>
          <w:lang w:val="en-US" w:eastAsia="el-GR"/>
        </w:rPr>
        <w:t>in</w:t>
      </w:r>
      <w:r w:rsidR="00407D9C" w:rsidRPr="008E3F16">
        <w:rPr>
          <w:rFonts w:ascii="Book Antiqua" w:eastAsia="Times New Roman" w:hAnsi="Book Antiqua" w:cs="Times New Roman"/>
          <w:color w:val="000000" w:themeColor="text1"/>
          <w:lang w:val="en-US" w:eastAsia="el-GR"/>
        </w:rPr>
        <w:t xml:space="preserve"> Aristotle University of Thessaloniki.</w:t>
      </w:r>
    </w:p>
    <w:p w14:paraId="5446BE59" w14:textId="77777777" w:rsidR="006C3E63" w:rsidRPr="008E3F16" w:rsidRDefault="006C3E63" w:rsidP="00C66188">
      <w:pPr>
        <w:adjustRightInd w:val="0"/>
        <w:snapToGrid w:val="0"/>
        <w:spacing w:line="360" w:lineRule="auto"/>
        <w:jc w:val="both"/>
        <w:rPr>
          <w:rFonts w:ascii="Book Antiqua" w:hAnsi="Book Antiqua" w:cs="Times New Roman"/>
          <w:color w:val="000000" w:themeColor="text1"/>
          <w:lang w:val="en-US"/>
        </w:rPr>
      </w:pPr>
    </w:p>
    <w:p w14:paraId="39013CFE" w14:textId="77777777" w:rsidR="0028429C" w:rsidRPr="008E3F16" w:rsidRDefault="0028429C" w:rsidP="00C66188">
      <w:pPr>
        <w:adjustRightInd w:val="0"/>
        <w:snapToGrid w:val="0"/>
        <w:spacing w:line="360" w:lineRule="auto"/>
        <w:jc w:val="both"/>
        <w:rPr>
          <w:rFonts w:ascii="Book Antiqua" w:hAnsi="Book Antiqua" w:cs="Times New Roman"/>
          <w:b/>
          <w:bCs/>
          <w:color w:val="000000" w:themeColor="text1"/>
          <w:u w:val="single"/>
          <w:lang w:val="en-US"/>
        </w:rPr>
      </w:pPr>
      <w:r w:rsidRPr="008E3F16">
        <w:rPr>
          <w:rFonts w:ascii="Book Antiqua" w:hAnsi="Book Antiqua" w:cs="Times New Roman"/>
          <w:b/>
          <w:bCs/>
          <w:color w:val="000000" w:themeColor="text1"/>
          <w:u w:val="single"/>
          <w:lang w:val="en-US"/>
        </w:rPr>
        <w:t>RESULTS</w:t>
      </w:r>
    </w:p>
    <w:p w14:paraId="7F8D9BE2" w14:textId="49159200" w:rsidR="00E82B0E" w:rsidRPr="008E3F16" w:rsidRDefault="00E82B0E"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Out of 7</w:t>
      </w:r>
      <w:r w:rsidR="0033451B" w:rsidRPr="008E3F16">
        <w:rPr>
          <w:rFonts w:ascii="Book Antiqua" w:hAnsi="Book Antiqua" w:cs="Arial"/>
          <w:color w:val="000000" w:themeColor="text1"/>
          <w:lang w:val="en-US"/>
        </w:rPr>
        <w:t>22</w:t>
      </w:r>
      <w:r w:rsidRPr="008E3F16">
        <w:rPr>
          <w:rFonts w:ascii="Book Antiqua" w:hAnsi="Book Antiqua" w:cs="Arial"/>
          <w:color w:val="000000" w:themeColor="text1"/>
          <w:lang w:val="en-US"/>
        </w:rPr>
        <w:t xml:space="preserve"> DTA studies retrieved in total, 18</w:t>
      </w:r>
      <w:r w:rsidRPr="008E3F16">
        <w:rPr>
          <w:rFonts w:ascii="Book Antiqua" w:hAnsi="Book Antiqua" w:cs="Arial"/>
          <w:color w:val="000000" w:themeColor="text1"/>
          <w:lang w:val="en-US"/>
        </w:rPr>
        <w:fldChar w:fldCharType="begin" w:fldLock="1"/>
      </w:r>
      <w:r w:rsidR="008E3016" w:rsidRPr="008E3F16">
        <w:rPr>
          <w:rFonts w:ascii="Book Antiqua" w:hAnsi="Book Antiqua" w:cs="Arial"/>
          <w:color w:val="000000" w:themeColor="text1"/>
          <w:lang w:val="en-US"/>
        </w:rPr>
        <w:instrText>ADDIN CSL_CITATION {"citationItems":[{"id":"ITEM-1","itemData":{"DOI":"10.1186/1471-230X-12-102","ISSN":"1471-230X","PMID":"22866900","abstract":"BACKGROUND Glycoprotein 2 (GP2) was discovered as the major autoantigen of Crohn's disease (CD)-specific pancreatic autoantibodies (PAB). We investigated anti-GP2 IgA and IgG antibodies as novel serological parameters in CD and assessed their association with distinct disease phenotypes. METHODS Anti-GP2 and anti-Saccharomyces cerevisiae (ASCA) IgA and IgG were detected by ELISA employing recombinant human GP2 and phosphopeptidomannan, respectively and PAB by indirect immunofluorescence (IIF) in 271 sera, 169 with CD and 102 with ulcerative colitis (UC). As healthy controls 160 adult blood donors and 65 children were included. RESULTS Anti-GP2 IgG and/or IgA were more prevalent in CD (51/169, 30.2%) than in UC (9/102, 8.9%) patients and in controls (9/225, 4%)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0.001 respectively). ASCA IgG and/or IgA were present in 60/169 (35.5%) in CD and in 7/102 (6.9%) in UC patients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0.001). CD patients with ileocolonic location (L3) showed a significantly higher prevalence of anti-GP2 and ASCA IgA and/or IgG (40/113 and 48/113, respectively;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0.05 for both comparisons), whereas CD patients with colonic location (L2) revealed a significantly diminished prevalence for these autoantibody specificities (2/32 and 5/32, respectively,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0.05 for both). Anti-GP2 IgG were significantly more prevalent in CD patients with stricturing behaviour (B2) and perianal disease (7/11,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0.02) and less prevalent in those with penetrating behaviour (B3) and perianal disease (4/31,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0.05). The occurrence of anti-GP2 IgA and/or IgG was significantly more prevalent in CD patients with age at diagnosis of ≤16</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years (16/31,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0.009). Prevalence of one or more anti-GP2 or ASCA IgA and/or IgG was significantly higher in L3, B2, and A1 and lower in L2 (68/113, 27/41, 23/31, 6/32;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0.04, respectively). CONCLUSIONS Anti-GP2 IgG and IgA, constituting novel CD specific autoantibodies, appear to be associated with distinct disease phenotypes identifying patients at a younger age, with ileocolonic location, and stricturing behaviour with perianal disease.","author":[{"dropping-particle":"","family":"Bogdanos","given":"Dimitrios P","non-dropping-particle":"","parse-names":false,"suffix":""},{"dropping-particle":"","family":"Roggenbuck","given":"Dirk","non-dropping-particle":"","parse-names":false,"suffix":""},{"dropping-particle":"","family":"Reinhold","given":"Dirk","non-dropping-particle":"","parse-names":false,"suffix":""},{"dropping-particle":"","family":"Wex","given":"Thomas","non-dropping-particle":"","parse-names":false,"suffix":""},{"dropping-particle":"","family":"Pavlidis","given":"Polychronis","non-dropping-particle":"","parse-names":false,"suffix":""},{"dropping-particle":"","family":"Arnim","given":"Ulrike","non-dropping-particle":"von","parse-names":false,"suffix":""},{"dropping-particle":"","family":"Malfertheiner","given":"Peter","non-dropping-particle":"","parse-names":false,"suffix":""},{"dropping-particle":"","family":"Forbes","given":"Alastair","non-dropping-particle":"","parse-names":false,"suffix":""},{"dropping-particle":"","family":"Conrad","given":"Karsten","non-dropping-particle":"","parse-names":false,"suffix":""},{"dropping-particle":"","family":"Laass","given":"Martin W","non-dropping-particle":"","parse-names":false,"suffix":""}],"container-title":"BMC gastroenterology","id":"ITEM-1","issue":"1","issued":{"date-parts":[["2012","8","6"]]},"page":"102","title":"Pancreatic-specific autoantibodies to glycoprotein 2 mirror disease location and behaviour in younger patients with Crohn's disease.","type":"article-journal","volume":"12"},"uris":["http://www.mendeley.com/documents/?uuid=cae9d9ee-272a-3aac-a9f4-fb15b91f3e74"]},{"id":"ITEM-2","itemData":{"DOI":"10.1016/j.cca.2012.01.005","ISSN":"1873-3492","PMID":"22269156","author":[{"dropping-particle":"","family":"Bonaci-Nikolic","given":"Branka","non-dropping-particle":"","parse-names":false,"suffix":""},{"dropping-particle":"","family":"Spuran","given":"Milan","non-dropping-particle":"","parse-names":false,"suffix":""},{"dropping-particle":"","family":"Andrejevic","given":"Sladjana","non-dropping-particle":"","parse-names":false,"suffix":""},{"dropping-particle":"","family":"Nikolic","given":"Milos","non-dropping-particle":"","parse-names":false,"suffix":""}],"container-title":"Clinica chimica acta; international journal of clinical chemistry","id":"ITEM-2","issue":"7-8","issued":{"date-parts":[["2012","4","11"]]},"page":"822-3","title":"Autoantibodies to GP2, the major zymogen granule membrane glycoprotein, in patients with gluten-sensitive enteropathy: a possible serological trap.","type":"article-journal","volume":"413"},"uris":["http://www.mendeley.com/documents/?uuid=d097aba8-e43d-32a6-a76a-485aab3db298"]},{"id":"ITEM-3","itemData":{"DOI":"10.1097/MIB.0000000000000926","ISSN":"1536-4844","PMID":"27636380","abstract":"BACKGROUND Inflammatory bowel disease (IBD) is characterized by a chronic inflammation of the gut, partly driven by defects in the expression and function of pattern recognition receptors, including the IFI16 protein. Because this protein is a target for autoantibodies and its aberrant expression was reported in colonic mucosa from active patients with ulcerative colitis, we studied its expression and specific seroresponse in patients with IBD before and after infliximab (IFX) therapy. METHODS Anti-IFI16 antibodies (IgG and IgA subtypes) were measured in the sera of 74 patients with IBD: 48 patients with Crohn's disease (CD) and 26 patients with ulcerative colitis, prospectively harvested before and after IFX therapy. Anti-GP2 antibodies (both IgG and IgA subtypes) were also tested for comparison. The patient antibody statuses were qualitatively and quantitatively associated with disease phenotype and response to IFX therapy. RESULTS Significantly higher titers of anti-IFI16 IgG were found in both CD and ulcerative colitis patients compared with healthy controls. Anti-IFI16 IgA titers were also present in patients with CD. Anti-GP2 IgG subtype titers were significantly increased in patients with CD, as were IgA subtype titers. Significant changes in anti-IFI16 IgG subtype titers were observed after IFX in patients with CD who correlated with clinical remission or response. CONCLUSIONS Our results highlight the importance of IFI16 in IBD pathogenesis showing that its de novo overexpression in the gut epithelial cells leads to a breakdown in immune tolerance and the subsequent development of specific autoantibodies. Anti-IFI16 IgG antibodies hold the potential to serve as a biomarker of response to IFX therapy.","author":[{"dropping-particle":"","family":"Caneparo","given":"Valeria","non-dropping-particle":"","parse-names":false,"suffix":""},{"dropping-particle":"","family":"Pastorelli","given":"Luca","non-dropping-particle":"","parse-names":false,"suffix":""},{"dropping-particle":"","family":"Pisani","given":"Laura Francesca","non-dropping-particle":"","parse-names":false,"suffix":""},{"dropping-particle":"","family":"Bruni","given":"Barbara","non-dropping-particle":"","parse-names":false,"suffix":""},{"dropping-particle":"","family":"Prodam","given":"Flavia","non-dropping-particle":"","parse-names":false,"suffix":""},{"dropping-particle":"","family":"Boldorini","given":"Renzo","non-dropping-particle":"","parse-names":false,"suffix":""},{"dropping-particle":"","family":"Roggenbuck","given":"Dirk","non-dropping-particle":"","parse-names":false,"suffix":""},{"dropping-particle":"","family":"Vecchi","given":"Maurizio","non-dropping-particle":"","parse-names":false,"suffix":""},{"dropping-particle":"","family":"Landolfo","given":"Santo","non-dropping-particle":"","parse-names":false,"suffix":""},{"dropping-particle":"","family":"Gariglio","given":"Marisa","non-dropping-particle":"","parse-names":false,"suffix":""},{"dropping-particle":"","family":"Andrea","given":"Marco","non-dropping-particle":"De","parse-names":false,"suffix":""}],"container-title":"Inflammatory bowel diseases","id":"ITEM-3","issue":"12","issued":{"date-parts":[["2016","12"]]},"page":"2977-2987","title":"Distinct Anti-IFI16 and Anti-GP2 Antibodies in Inflammatory Bowel Disease and Their Variation with Infliximab Therapy.","type":"article-journal","volume":"22"},"uris":["http://www.mendeley.com/documents/?uuid=296539fe-2560-3ec0-b0dd-1c449dee0dc1"]},{"id":"ITEM-4","itemData":{"DOI":"10.1111/apt.15034","ISSN":"13652036","PMID":"30411391","abstract":"Background: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Therapeutics","id":"ITEM-4","issue":"11-12","issued":{"date-parts":[["2018","12","1"]]},"page":"1251-1259","publisher":"John Wiley &amp; Sons, Ltd (10.1111)","title":"Loss of tolerance to glycoprotein 2 isoforms 1 and 4 is associated with Crohn’s disease of the pouch","type":"article-journal","volume":"48"},"uris":["http://www.mendeley.com/documents/?uuid=413ef96f-4c6c-3af1-92b3-c49157b781d6"]},{"id":"ITEM-5","itemData":{"DOI":"10.1097/MIB.0000000000000936","ISSN":"1536-4844","PMID":"27753692","abstract":"BACKGROUND The presentation of Crohn's disease (CD) is heterogeneous and often leads to serious complications and need for surgery. We tested serum anti-zymogen granule glycoprotein 2 (GP2) antibodies, including its novel isoform alpha, for association with genetic variants, diagnosis, disease stratification, and prediction of CD courses in a combined cross-sectional and cohort study. METHODS Serum samples of 303 CD, 108 ulcerative colitis, 72 other inflammatory gastrointestinal diseases, and 206 controls without predominant gastrointestinal diseases controls (HC) were tested for the presence of Anti-GP2 and Anti-Saccharomyces cervisiae (ASCA) by enzyme-linked immunosorbent assay. Genetic analysis was performed using the Illumina Immunochip. RESULTS GP2 IgA and IgG had the highest discriminatory capability for CD versus ulcerative colitis and CD versus inflammatory gastrointestinal diseases. We identified an association of GP2 IgA and IgG each with 5 distinct single-nucleotide polymorphisms. Levels of anti-GP2 IgG were moderately associated with ileal disease location. Interestingly, both, anti-GP2 IgA and IgG were exclusively associated with the occurrence of stenosis and need for surgery, independently of disease location, but not with fistulizing CD, early disease onset or disease activity. ASCA IgG and IgA were qualitatively and quantitatively linked to CD, CD complications, and need for surgery. Increased levels of ASCA IgG and IgA and positivity for ASCA IgG, but neither levels nor positivity for GP2 IgG or IgA were predictive of the earlier occurrence of complications or surgery. CONCLUSIONS Anti-GP2 antibodies may aid as a tool for diagnosis and differentiation of CD and could indicate a more complicated CD course.","author":[{"dropping-particle":"","family":"Degenhardt","given":"Frauke","non-dropping-particle":"","parse-names":false,"suffix":""},{"dropping-particle":"","family":"Dirmeier","given":"Andrea","non-dropping-particle":"","parse-names":false,"suffix":""},{"dropping-particle":"","family":"Lopez","given":"Rocio","non-dropping-particle":"","parse-names":false,"suffix":""},{"dropping-particle":"","family":"Lang","given":"Sylvia","non-dropping-particle":"","parse-names":false,"suffix":""},{"dropping-particle":"","family":"Kunst","given":"Claudia","non-dropping-particle":"","parse-names":false,"suffix":""},{"dropping-particle":"","family":"Roggenbuck","given":"Dirk","non-dropping-particle":"","parse-names":false,"suffix":""},{"dropping-particle":"","family":"Reinhold","given":"Dirk","non-dropping-particle":"","parse-names":false,"suffix":""},{"dropping-particle":"","family":"Szymczak","given":"Silke","non-dropping-particle":"","parse-names":false,"suffix":""},{"dropping-particle":"","family":"Rogler","given":"Gerhard","non-dropping-particle":"","parse-names":false,"suffix":""},{"dropping-particle":"","family":"Klebl","given":"Frank","non-dropping-particle":"","parse-names":false,"suffix":""},{"dropping-particle":"","family":"Franke","given":"Andre","non-dropping-particle":"","parse-names":false,"suffix":""},{"dropping-particle":"","family":"Rieder","given":"Florian","non-dropping-particle":"","parse-names":false,"suffix":""}],"container-title":"Inflammatory bowel diseases","id":"ITEM-5","issue":"11","issued":{"date-parts":[["2016","11"]]},"page":"2648-2657","title":"Serologic Anti-GP2 Antibodies Are Associated with Genetic Polymorphisms, Fibrostenosis, and Need for Surgical Resection in Crohn's Disease.","type":"article-journal","volume":"22"},"uris":["http://www.mendeley.com/documents/?uuid=0b53a7a7-223a-3fdf-8643-eb7481531624"]},{"id":"ITEM-6","itemData":{"DOI":"10.15403/jgld.2014.1121.232.sg1","ISSN":"1842-1121","PMID":"24949603","abstract":"BACKGROUND &amp; AIMS In most cases celiac disease (CD) is successfully treated with a gluten-free diet (GFD). However, some patients become refractory to the GFD. Refractory CD (RCD) patients have an increased risk for developing enteropathy associated T-cell lymphoma and early diagnosis is therefore of importance. Currently, RCD diagnosis relies on endoscopy and adequate serological markers are lacking. Antibodies against glycoprotein-2 (GP2A) were described in Crohn's disease (CrD) and active CD but not in ulcerative colitis (UC), suggesting this is a specific marker for small intestinal lesions. METHODS Sera obtained from patients visiting our outpatient clinic for routine serological tests for diagnosis and/or follow-up of inflammatory bowel disease (n=78), active CD (n=45), GFD (n=34) and RCD (n=15) were analysed for GP2A titres. RESULTS Increased GP2A-IgA levels in CrD and active CD as compared to controls (p&lt;0.001) and lack thereof in UC was confirmed. However, we could not confirm the association with small bowel localization within the CrD patient group. Within CD patients, we demonstrated a significant decrease of GP2A-IgA titres upon a GFD and increased levels in RCD patients as compared to patients on a GFD. Although GP2A-IgA was not associated with the degree of villous atrophy, GP2A-IgA levels were able to distinguish RCD patients from GFD patients (ROC AUC=0.79, p=0.002). CONCLUSION Follow-up of GP2A-IgA titres in CD patients on a GFD may help to identify patients at risk for developing RCD.","author":[{"dropping-particle":"","family":"Gross","given":"Sascha","non-dropping-particle":"","parse-names":false,"suffix":""},{"dropping-particle":"","family":"Bakker","given":"Sjoerd F","non-dropping-particle":"","parse-names":false,"suffix":""},{"dropping-particle":"","family":"Bodegraven","given":"Adriaan A","non-dropping-particle":"van","parse-names":false,"suffix":""},{"dropping-particle":"","family":"Hoogstraten","given":"Ingrid M W","non-dropping-particle":"van","parse-names":false,"suffix":""},{"dropping-particle":"","family":"Gelderman","given":"Kyra A","non-dropping-particle":"","parse-names":false,"suffix":""},{"dropping-particle":"","family":"Bouma","given":"Gerd","non-dropping-particle":"","parse-names":false,"suffix":""},{"dropping-particle":"","family":"Mulder","given":"Chris J","non-dropping-particle":"","parse-names":false,"suffix":""},{"dropping-particle":"","family":"Blomberg","given":"B Mary E","non-dropping-particle":"von","parse-names":false,"suffix":""},{"dropping-particle":"","family":"Bontkes","given":"Hetty J","non-dropping-particle":"","parse-names":false,"suffix":""}],"container-title":"Journal of gastrointestinal and liver diseases : JGLD","id":"ITEM-6","issue":"2","issued":{"date-parts":[["2014","6"]]},"page":"127-33","title":"Increased IgA glycoprotein-2 specific antibody titres in refractory celiac disease.","type":"article-journal","volume":"23"},"uris":["http://www.mendeley.com/documents/?uuid=f891648e-269d-3937-ac9f-be69465d0bed"]},{"id":"ITEM-7","itemData":{"DOI":"10.1097/MIB.0000000000000564","ISSN":"1536-4844","PMID":"26273818","abstract":"BACKGROUND Inflammatory bowel disease (IBD) is characterized by a broad spectrum of clinical phenotypes with different outcomes. In the last decades, several IBD-associated autoantibodies have been identified and investigated for their diagnostic relevance. Autoantibodies against the pancreatic glycoproteins (PAB) CUB and zona pellucida-like domains-containing protein 1 (CUZD1), and glycoprotein 2 (GP2) have been demonstrated to possess high specificity for the diagnosis of IBD. Although several studies have shown significant interrelations of anti-GP2 positivity with disease phenotype, associations of clinical phenotypes with anti-CUZD1 are still unknown. The aim was to identify the association of clinical phenotypes with anti-CUZD1 and anti-GP2 in a well-defined German IBD cohort. METHODS Patients with IBD (224 patients with Crohn's disease and 136 patients with ulcerative colitis), who were tested for anti-GP2 and anti-CUZD1 immunoglobulin G and immunoglobulin A by indirect immunofluorescence on transfected cells between 2005 and 2013, were included. Serotype and specified phenotypic data were collected in retrospect and statistically analyzed. RESULTS Both anti-GP2 (P &lt; 0.001) and anti-CUZD1 (P &lt; 0.001) were significantly more prevalent in patients with Crohn's disease than in ulcerative colitis. PAB positivity was associated with ileocolonic disease (P = 0.002), perianal disease (P = 0.011), immunosuppressive treatment (P = 0.036), and ASCA positivity (P = 0.036). Anti-CUZD1 positivity was associated with ileocolonic (P = 0.016) and perianal disease (P = 0.002), whereas anti-GP2 positivity was positively associated with stricturing behavior (P = 0.016). CONCLUSIONS We found distinct clinical phenotypes to be associated with PAB positivity. Therefore, determination of PABs and their subgroup analysis might identify patients with complicated disease behavior. However, the clinical relevance of our findings should be further evaluated in prospective cohorts.","author":[{"dropping-particle":"","family":"Michaels","given":"Maike Anna","non-dropping-particle":"","parse-names":false,"suffix":""},{"dropping-particle":"","family":"Jendrek","given":"Sebastian Torben","non-dropping-particle":"","parse-names":false,"suffix":""},{"dropping-particle":"","family":"Korf","given":"Tobias","non-dropping-particle":"","parse-names":false,"suffix":""},{"dropping-particle":"","family":"Nitzsche","given":"Thomas","non-dropping-particle":"","parse-names":false,"suffix":""},{"dropping-particle":"","family":"Teegen","given":"Bianca","non-dropping-particle":"","parse-names":false,"suffix":""},{"dropping-particle":"","family":"Komorowski","given":"Lars","non-dropping-particle":"","parse-names":false,"suffix":""},{"dropping-particle":"","family":"Derer","given":"Stefanie","non-dropping-particle":"","parse-names":false,"suffix":""},{"dropping-particle":"","family":"Schröder","given":"Torsten","non-dropping-particle":"","parse-names":false,"suffix":""},{"dropping-particle":"","family":"Baer","given":"Florian","non-dropping-particle":"","parse-names":false,"suffix":""},{"dropping-particle":"","family":"Lehnert","given":"Henrik","non-dropping-particle":"","parse-names":false,"suffix":""},{"dropping-particle":"","family":"Büning","given":"Jürgen","non-dropping-particle":"","parse-names":false,"suffix":""},{"dropping-particle":"","family":"Fellerman","given":"Klaus","non-dropping-particle":"","parse-names":false,"suffix":""},{"dropping-particle":"","family":"Sina","given":"Christian","non-dropping-particle":"","parse-names":false,"suffix":""}],"container-title":"Inflammatory bowel diseases","id":"ITEM-7","issue":"12","issued":{"date-parts":[["2015","12"]]},"page":"2864-72","title":"Pancreatic Autoantibodies Against CUZD1 and GP2 Are Associated with Distinct Clinical Phenotypes of Crohn's Disease.","type":"article-journal","volume":"21"},"uris":["http://www.mendeley.com/documents/?uuid=b3131b82-7088-35e2-8352-f9006f7becbf"]},{"id":"ITEM-8","itemData":{"DOI":"10.1136/gut.2010.233148","ISSN":"0017-5749","PMID":"21193445","author":[{"dropping-particle":"","family":"Beéck","given":"Katrijn","non-dropping-particle":"Op De","parse-names":false,"suffix":""},{"dropping-particle":"","family":"Vermeire","given":"Séverine","non-dropping-particle":"","parse-names":false,"suffix":""},{"dropping-particle":"","family":"Rutgeerts","given":"Paul","non-dropping-particle":"","parse-names":false,"suffix":""},{"dropping-particle":"","family":"Bossuyt","given":"Xavier","non-dropping-particle":"","parse-names":false,"suffix":""}],"container-title":"Gut","id":"ITEM-8","issue":"1","issued":{"date-parts":[["2012","1"]]},"page":"162.3-164","title":"Antibodies to GP2, the major zymogen granule membrane glycoprotein, in inflammatory bowel diseases","type":"article-journal","volume":"61"},"uris":["http://www.mendeley.com/documents/?uuid=adfa91ac-e3b5-3161-9581-86e336622463"]},{"id":"ITEM-9","itemData":{"DOI":"10.1093/ecco-jcc/jjv087","ISSN":"1873-9946","PMID":"25968583","abstract":"BACKGROUNDS Glycoprotein 2[GP2] and CUB zona pellucida-like domain 1[CUZD1] belong to protein families involved in gut innate immunity processes and have recently been identified as specific targets of anti-pancreatic autoantibodies [PAbs] in Crohn's disease[CD]. We aimed to determine the prognostic potential of novel target-specific PAbs regarding long-term disease course of an adult CD patient cohort. METHODS Sera of 458 consecutive well-characterised IBD patients from a single referral IBD centre were tested by enzyme-linked immunosorbent assay [ELISA] with isoform 4 of recombinant GP2 [anti-MZGP2 and anti-GP2 IgA/IgG] and indirect immunofluorescence test [IIFT] system with GP2 and CUZD1 expressing transfected HEK 293 cells [anti-rPAg2 and rPAg1 IgA/IgG]. Clinical data were available on complicated disease or surgical interventions as well as disease activity and medical treatment during the prospective follow-up [median, 108 months]. RESULTS Totals of 12.4% and 20.8% of CD patients were positive for IgA/IgG type of anti-GP2 and anti-CUZD1, respectively, with a significant difference compared with UC [p &lt; 0.01]. Antibody status was stable over time. Agreement among three different anti-GP2 assays was good. Positivity for PAbs, mainly IgA subtypes, predicted a faster progression towards complicated disease course. In Kaplan-Meier analysis, time to surgery or development of perianal disease was associated with anti-GP2 IgA [pLogRank &lt; 0.01] or anti-CUZD1 IgA [pLogRank &lt; 0.001] positivity, respectively. Anti-CUZD1 IgA remained an independent predictor in the multivariate Cox-regression model (hazard ratio [HR]: 3.43, 95% confidence interval [CI]: 1.68-7.02, p &lt; 0.001). CONCLUSIONS The present study has shown that specific PAbs [especially IgA subtype] predict complicated disease course including the development of perianal disease in CD.","author":[{"dropping-particle":"","family":"Papp","given":"Maria","non-dropping-particle":"","parse-names":false,"suffix":""},{"dropping-particle":"","family":"Sipeki","given":"Nora","non-dropping-particle":"","parse-names":false,"suffix":""},{"dropping-particle":"","family":"Tornai","given":"Tamas","non-dropping-particle":"","parse-names":false,"suffix":""},{"dropping-particle":"","family":"Altorjay","given":"Istvan","non-dropping-particle":"","parse-names":false,"suffix":""},{"dropping-particle":"","family":"Norman","given":"Gary L.","non-dropping-particle":"","parse-names":false,"suffix":""},{"dropping-particle":"","family":"Shums","given":"Zakera","non-dropping-particle":"","parse-names":false,"suffix":""},{"dropping-particle":"","family":"Roggenbuck","given":"Dirk","non-dropping-particle":"","parse-names":false,"suffix":""},{"dropping-particle":"","family":"Fechner","given":"Kai","non-dropping-particle":"","parse-names":false,"suffix":""},{"dropping-particle":"","family":"Stöcker","given":"Winfried","non-dropping-particle":"","parse-names":false,"suffix":""},{"dropping-particle":"","family":"Antal-Szalmas","given":"Peter","non-dropping-particle":"","parse-names":false,"suffix":""},{"dropping-particle":"","family":"Veres","given":"Gabor","non-dropping-particle":"","parse-names":false,"suffix":""},{"dropping-particle":"","family":"Lakatos","given":"Peter Laszlo","non-dropping-particle":"","parse-names":false,"suffix":""}],"container-title":"Journal of Crohn's and Colitis","id":"ITEM-9","issue":"8","issued":{"date-parts":[["2015","8"]]},"page":"659-668","title":"Rediscovery of the Anti-Pancreatic Antibodies and Evaluation of their Prognostic Value in a Prospective Clinical Cohort of Crohn’s Patients: The Importance of Specific Target Antigens [GP2 and CUZD1]","type":"article-journal","volume":"9"},"uris":["http://www.mendeley.com/documents/?uuid=8e5f0827-94c6-3db1-88c6-9bdbc72ea222"]},{"id":"ITEM-10","itemData":{"DOI":"10.1155/2012/640835","ISSN":"1740-2522","PMID":"23118780","abstract":"Why zymogen glycoprotein 2 (GP2), the Crohn’s disease (CD)-specific pancreatic autoantigen, is the major target of humoral autoimmunity in inflammatory bowel diseases (IBD) is uknown. Recent evidence demonstrates that GP2 is also present on the apical surface of microfold (M) intestinal cells. As the colon lacks GP2-rich M cells, we assumed that patients with colonic CD are seronegative for anti-GP2. Anti-GP2 antibodies were tested in 225 CDs, including 45 patients with colonic location (L2), 45 with terminal ileum (L1) and 135 with ileocolonic involvement; 225 patients with ulcerative colitis (UC) were also tested. Anti-GP2 reactivity was detected in 59 (26.2%) CDs and 15 (6.7%) UCs ( P &lt; 0.001 ) . Only 5 CDs with L2 had anti-GP2 antibodies, compared to 54/180 (30.0%, P = 0.0128 ) of the CDs with L1 and L3. Anti-GP2 antibody positive CD patients had higher ASCA titres compared to seronegative cases. Amongst the 128 CD patients with previous surgical intervention, 45 (35.0%) were anti-GP2 antibody positive compared to 14/97 (14.0%) without surgical ( P &lt; 0.001 ) . Our data support the assumption that ileal inflammation is required for the development of anti-GP2 antibodies in CD, and suggest that the intestine rather than the pancreatic juice is the antigenic source required for the initiation of anti-GP2 antibodies.","author":[{"dropping-particle":"","family":"Pavlidis","given":"Polychronis","non-dropping-particle":"","parse-names":false,"suffix":""},{"dropping-particle":"","family":"Romanidou","given":"Ourania","non-dropping-particle":"","parse-names":false,"suffix":""},{"dropping-particle":"","family":"Roggenbuck","given":"Dirk","non-dropping-particle":"","parse-names":false,"suffix":""},{"dropping-particle":"","family":"Mytilinaiou","given":"Maria G.","non-dropping-particle":"","parse-names":false,"suffix":""},{"dropping-particle":"","family":"Al-Sulttan","given":"Faris","non-dropping-particle":"","parse-names":false,"suffix":""},{"dropping-particle":"","family":"Liaskos","given":"Christos","non-dropping-particle":"","parse-names":false,"suffix":""},{"dropping-particle":"","family":"Smyk","given":"Daniel S.","non-dropping-particle":"","parse-names":false,"suffix":""},{"dropping-particle":"","family":"Koutsoumpas","given":"Andreas L.","non-dropping-particle":"","parse-names":false,"suffix":""},{"dropping-particle":"","family":"Rigopoulou","given":"Eirini I.","non-dropping-particle":"","parse-names":false,"suffix":""},{"dropping-particle":"","family":"Conrad","given":"Karsten","non-dropping-particle":"","parse-names":false,"suffix":""},{"dropping-particle":"","family":"Forbes","given":"Alastair","non-dropping-particle":"","parse-names":false,"suffix":""},{"dropping-particle":"","family":"Bogdanos","given":"Dimitrios P.","non-dropping-particle":"","parse-names":false,"suffix":""}],"container-title":"Clinical and Developmental Immunology","id":"ITEM-10","issued":{"date-parts":[["2012","10","17"]]},"page":"1-8","publisher":"Hindawi","title":"Ileal Inflammation May Trigger the Development of GP2-Specific Pancreatic Autoantibodies in Patients with Crohn’s Disease","type":"article-journal","volume":"2012"},"uris":["http://www.mendeley.com/documents/?uuid=290361ae-8e98-3943-a1ce-ac284f58eb38"]},{"id":"ITEM-11","itemData":{"DOI":"10.1016/j.cca.2014.12.010","ISSN":"00098981","PMID":"25512163","abstract":"BACKGROUND We developed a new IgA and IgG anti-MZGP2 antibody ELISAs based on recombinant isoform-4 of human zymogen granule protein-2 (GP2), which is the major autoantigen of Crohn's disease (CrD)-specific pancreatic autoantibodies and assessed their clinical relevance in the largest inflammatory bowel disease (IBD) cohort tested to date. METHODS 832 sera were studied, including 617 consecutive IBD patients from 323 CrD and 294 ulcerative colitis (UC) follow-up in a tertiary centre, and 112 pathological and 103 normal controls. RESULTS Sensitivity of IgA anti-MZGP2 for CrD in the IBD population was 15% and specificity was 98% (95, 99), while the sensitivity and specificity of IgG anti-MZGP2 were 27% and 97%. IgA and IgG anti-MZGP2 combined testing led to a sensitivity of 31% and a specificity of 96%. Positivity for either ASCA (IgA or IgG) or anti-MZGP2 (IgA or IgG) showed a sensitivity of 75% (70, 80) and a specificity of 84% (79, 89). IgA anti-MZGP2 antibodies were more prevalent in CrD patients with early disease onset (p=0.011). Also, anti-MZGP2 positive patients more frequently had extensive disease with ileal involvement. Patients with longer disease duration were more likely to have IgG anti-MZGP2 antibodies. CONCLUSIONS Our novel ELISA confirms the high specificity of anti-MZGP2 antibodies for CrD and their association with disease severity phenotypes.","author":[{"dropping-particle":"","family":"Pavlidis","given":"Polychronis","non-dropping-particle":"","parse-names":false,"suffix":""},{"dropping-particle":"","family":"Shums","given":"Zakera","non-dropping-particle":"","parse-names":false,"suffix":""},{"dropping-particle":"","family":"Koutsoumpas","given":"Andreas L.","non-dropping-particle":"","parse-names":false,"suffix":""},{"dropping-particle":"","family":"Milo","given":"Jay","non-dropping-particle":"","parse-names":false,"suffix":""},{"dropping-particle":"","family":"Papp","given":"Maria","non-dropping-particle":"","parse-names":false,"suffix":""},{"dropping-particle":"","family":"Umemura","given":"Takeji","non-dropping-particle":"","parse-names":false,"suffix":""},{"dropping-particle":"","family":"Lakatos","given":"Peter L.","non-dropping-particle":"","parse-names":false,"suffix":""},{"dropping-particle":"","family":"Smyk","given":"Daniel S.","non-dropping-particle":"","parse-names":false,"suffix":""},{"dropping-particle":"","family":"Bogdanos","given":"Dimitrios P.","non-dropping-particle":"","parse-names":false,"suffix":""},{"dropping-particle":"","family":"Forbes","given":"Alastair","non-dropping-particle":"","parse-names":false,"suffix":""},{"dropping-particle":"","family":"Norman","given":"Gary L.","non-dropping-particle":"","parse-names":false,"suffix":""}],"container-title":"Clinica Chimica Acta","id":"ITEM-11","issued":{"date-parts":[["2015","2","20"]]},"page":"176-181","title":"Diagnostic and clinical significance of Crohn's disease-specific anti-MZGP2 pancreatic antibodies by a novel ELISA","type":"article-journal","volume":"441"},"uris":["http://www.mendeley.com/documents/?uuid=d7a8bc7b-fb59-3c93-925d-44c90e4e081c"]},{"id":"ITEM-12","itemData":{"DOI":"10.1515/cclm-2015-0376","ISSN":"1437-4331","PMID":"26351932","abstract":"BACKGROUND Pancreatic autoantibodies (PAB) targeting GP2 and CUZD1 are Crohn's disease (CrD)-markers. The clinical significance of anti-GP2 antibodies has been assessed, but that of anti-CUZD1 remains elusive. The aim of the study was to assess the clinical utility of anti-CUZD1/anti-GP2 by novel cell-based indirect immunofluorescence (IIF) assays in CrD. METHODS A total of 212 CrD and 249 UC patients followed up at a London IBD centre were investigated to simultaneously detect PABs, anti-GP2 and anti-CUZD1 by IIF using primate pancreatic tissue, and HEK293 over-expressing CUZD1 or GP2. RESULTS Overall, 88 (41.5%) CrDs compared to 26 (10.4%) UCs (p&lt;0.001) tested positive for IgA and/or IgG anti-GP2 and/or anti-CUZD1 antibodies, while ASCA were found in 67.5% CrDs versus 19.2% UCs (p&lt;0.0001); ASCA and/or PAB (anti-GP2 or anti-CUZD1) were detected in 76% CrD versus 34% UC patients. IgG anti-GP2 antibodies were less prevalent in L2 phenotype (p=0.002) and more prevalent in patients with stricturing disease (p=0.0418), even when a higher cut-off (≥1000 RU) was used (p=0.0396). Also, anti-GP2 IgG positive CrD patients had younger age of disease onset. IgA and/or IgG ASCA and anti-GP2 IgG antibody positive CrDs had younger onset of disease (p&lt;0.0001), were more likely to have both ileal and colonic disease (p&lt;0.0001) and had more stricturing (p&lt;0.0001) than seronegative patients. Clinical correlates were not found for anti-CUZD1 positivity. CONCLUSIONS PAB testing increases ASCA's serological sensitivity for CrD. Anti-GP2 detection, in isolation or in combination with ASCA, stratify CrD patients who phenotypically are characterised by a much younger onset of disease, extensive and stricturing behaviour.","author":[{"dropping-particle":"","family":"Pavlidis","given":"Polychronis","non-dropping-particle":"","parse-names":false,"suffix":""},{"dropping-particle":"","family":"Komorowski","given":"Lars","non-dropping-particle":"","parse-names":false,"suffix":""},{"dropping-particle":"","family":"Teegen","given":"Bianca","non-dropping-particle":"","parse-names":false,"suffix":""},{"dropping-particle":"","family":"Liaskos","given":"Christos","non-dropping-particle":"","parse-names":false,"suffix":""},{"dropping-particle":"","family":"Koutsoumpas","given":"Andreas L","non-dropping-particle":"","parse-names":false,"suffix":""},{"dropping-particle":"","family":"Smyk","given":"Daniel S","non-dropping-particle":"","parse-names":false,"suffix":""},{"dropping-particle":"","family":"Perricone","given":"Carlo","non-dropping-particle":"","parse-names":false,"suffix":""},{"dropping-particle":"","family":"Mytilinaiou","given":"Maria G","non-dropping-particle":"","parse-names":false,"suffix":""},{"dropping-particle":"","family":"Stocker","given":"Winfried","non-dropping-particle":"","parse-names":false,"suffix":""},{"dropping-particle":"","family":"Forbes","given":"Alastair","non-dropping-particle":"","parse-names":false,"suffix":""},{"dropping-particle":"","family":"Bogdanos","given":"Dimitrios P","non-dropping-particle":"","parse-names":false,"suffix":""}],"container-title":"Clinical chemistry and laboratory medicine","id":"ITEM-12","issue":"2","issued":{"date-parts":[["2016","2","1"]]},"page":"249-56","title":"Diagnostic and clinical significance of Crohn's disease-specific pancreatic anti-GP2 and anti-CUZD1 antibodies.","type":"article-journal","volume":"54"},"uris":["http://www.mendeley.com/documents/?uuid=577c6c6c-f09e-3779-aa14-2a2a25239d40"]},{"id":"ITEM-13","itemData":{"DOI":"10.1097/MIB.0000000000001159","ISSN":"1536-4844","PMID":"28691939","abstract":"BACKGROUND Anti-Glycoprotein 2 (GP2) antibodies are associated with a more complicated course of Crohn's disease (CD) in adults. Four different GP2 isoforms with different length and antibody-binding sites have been identified so far but not been explored in serological studies. We aimed to investigate the diagnostic utility of autoantibodies against all 4 isoforms of GP2 in an exclusively pediatric population for the first time. METHODS We included 278 children and adolescents with inflammatory bowel disease: 164 with CD, 114 with ulcerative colitis, 83 disease controls (acute gastrointestinal infection, nonspecific gastrointestinal functional disorders), and 219 healthy controls. Sera were tested for anti-GP2 antibodies using 4 different isoforms of GP2 for anti-Saccharomyces cerevisiae antibodies, antineutrophil cytoplasmic antibodies, and pancreatic antibodies. RESULTS Anti-GP2 antibodies were significantly more prevalent in patients with CD than in ulcerative colitis and controls. We found a sensitivity of 38% (with a specificity of 95%) for anti-GP2 IgG against isoform 4 in CD. Anti-GP2 IgA against isoform 1 and anti-GP2 IgG against isoform 4 possessed the best diagnostic values for identification of CD. For the differentiation of CD from ulcerative colitis anti-GP2 IgG against isoforms 3 and 4 proved to be most accurate markers. Anti-GP2 antibodies were associated with a more complicated disease behavior and bowel surgery in CD. In a subgroup of patients with CD, anti-GP2 IgG against isoform 4 proved to be a relatively stable marker over time independent of disease activity. CONCLUSIONS Anti-GP2 antibodies against different isoforms are specific markers for CD and for different phenotypes in pediatric inflammatory bowel disease.","author":[{"dropping-particle":"","family":"Röber","given":"Nadja","non-dropping-particle":"","parse-names":false,"suffix":""},{"dropping-particle":"","family":"Noß","given":"Lydia","non-dropping-particle":"","parse-names":false,"suffix":""},{"dropping-particle":"","family":"Goihl","given":"Alexander","non-dropping-particle":"","parse-names":false,"suffix":""},{"dropping-particle":"","family":"Reinhold","given":"Dirk","non-dropping-particle":"","parse-names":false,"suffix":""},{"dropping-particle":"","family":"Jahn","given":"Josefine","non-dropping-particle":"","parse-names":false,"suffix":""},{"dropping-particle":"","family":"Laffolie","given":"Jan","non-dropping-particle":"de","parse-names":false,"suffix":""},{"dropping-particle":"","family":"Johannes","given":"Wolf","non-dropping-particle":"","parse-names":false,"suffix":""},{"dropping-particle":"","family":"Flemming","given":"Gunter M","non-dropping-particle":"","parse-names":false,"suffix":""},{"dropping-particle":"","family":"Roggenbuck","given":"Dirk","non-dropping-particle":"","parse-names":false,"suffix":""},{"dropping-particle":"","family":"Conrad","given":"Karsten","non-dropping-particle":"","parse-names":false,"suffix":""},{"dropping-particle":"","family":"Laass","given":"Martin W","non-dropping-particle":"","parse-names":false,"suffix":""}],"container-title":"Inflammatory bowel diseases","id":"ITEM-13","issue":"9","issued":{"date-parts":[["2017","9"]]},"page":"1624-1636","title":"Autoantibodies Against Glycoprotein 2 Isoforms in Pediatric Patients with Inflammatory Bowel Disease.","type":"article-journal","volume":"23"},"uris":["http://www.mendeley.com/documents/?uuid=7aa3f6d3-884a-379f-8cb1-62b8e64206d5"]},{"id":"ITEM-14","itemData":{"DOI":"10.1016/J.CCA.2010.12.029","ISSN":"0009-8981","PMID":"21195704","abstract":"BACKGROUND Crohn's disease (CD) is an inflammatory bowel disease (IBD) characterized by reactivity against microbial and self antigens. Zymogen granule glycoprotein 2 (GP2) was identified as the major autoantigen of CD-specific pancreatic autoantibodies (PAB). METHODS Human GP2 was expressed in the Spodoptera frugiperda 9 (Sf9) cell line using the baculovirus system, purified by Ni-chelate chromatography, and used as antigen for anti-GP2 IgA and IgG assessment by enzyme-linked immunosorbent assays (ELISA). Antibodies to mannan of Saccharomyces cerevisiae (ASCA), PAB, and anti-GP2 were investigated in sera of 178 CD patients, 100 ulcerative colitis (UC) patients, and 162 blood donors (BD). RESULTS Anti-GP2 IgG and IgA were found in 48/72 (66.7%) and 23/72 (31.9%) PAB positive and 5/106 (4.7%) and 1/106 (0.9%) PAB negative CD patients (p&lt;0.0001), respectively. CD patients displayed significantly higher reactivity to GP2 than UC patients and BD (p&lt;0.0001), respectively. Occurrence of anti-GP2 antibodies correlated with PAB reactivity (Spearmen's rho=0.493, p&lt;0.00001). There was a significant relationship between the occurrence of ASCA IgG and anti-GP2 IgG (p=0.0307). CONCLUSIONS Anti-GP2 IgG and IgA constitute novel CD specific autoantibodies, the quantification of which could improve the serological diagnosis of IBD.","author":[{"dropping-particle":"","family":"Roggenbuck","given":"Dirk","non-dropping-particle":"","parse-names":false,"suffix":""},{"dropping-particle":"","family":"Reinhold","given":"Dirk","non-dropping-particle":"","parse-names":false,"suffix":""},{"dropping-particle":"","family":"Wex","given":"Thomas","non-dropping-particle":"","parse-names":false,"suffix":""},{"dropping-particle":"","family":"Goihl","given":"Alexander","non-dropping-particle":"","parse-names":false,"suffix":""},{"dropping-particle":"","family":"Arnim","given":"Ulrike","non-dropping-particle":"von","parse-names":false,"suffix":""},{"dropping-particle":"","family":"Malfertheiner","given":"Peter","non-dropping-particle":"","parse-names":false,"suffix":""},{"dropping-particle":"","family":"Büttner","given":"Thomas","non-dropping-particle":"","parse-names":false,"suffix":""},{"dropping-particle":"","family":"Porstmann","given":"Tomas","non-dropping-particle":"","parse-names":false,"suffix":""},{"dropping-particle":"","family":"Porstmann","given":"Silvia","non-dropping-particle":"","parse-names":false,"suffix":""},{"dropping-particle":"","family":"Liedvogel","given":"Bodo","non-dropping-particle":"","parse-names":false,"suffix":""},{"dropping-particle":"","family":"Bogdanos","given":"Dimitrios P.","non-dropping-particle":"","parse-names":false,"suffix":""},{"dropping-particle":"","family":"Laass","given":"Martin W.","non-dropping-particle":"","parse-names":false,"suffix":""},{"dropping-particle":"","family":"Conrad","given":"Karsten","non-dropping-particle":"","parse-names":false,"suffix":""}],"container-title":"Clinica Chimica Acta","id":"ITEM-14","issue":"9-10","issued":{"date-parts":[["2011","4","11"]]},"page":"718-724","publisher":"Elsevier","title":"Autoantibodies to GP2, the major zymogen granule membrane glycoprotein, are new markers in Crohn's disease","type":"article-journal","volume":"412"},"uris":["http://www.mendeley.com/documents/?uuid=670b226c-263e-3b40-9fb0-407d7b31b520"]},{"id":"ITEM-15","itemData":{"DOI":"10.1136/gut.2008.162495","ISSN":"1468-3288","PMID":"19549613","abstract":"BACKGROUND AND AIMS The aetiopathogenesis of Crohn's disease, an inflammatory bowel disease (IBD), is not yet fully understood. Autoimmune mechanisms are thought to play a role in the development of Crohn's disease, but the target antigens and the underlying pathways have not been sufficiently identified. METHODS Based on data from immunoblotting and matrix-assisted laser desorption ionisation time-of-flight (MALDI-TOF) mass spectrometry, the major antigenic target of pancreatic autoantibodies (PABs), which are specific for Crohn's disease, was identified. Specificity of autoantibody reactivity was confirmed by enzyme-linked immunosorbent assay (ELISA) and indirect immunofluorescence (IIF) using purified rat and human recombinant GP2 synthesised in transiently transfected mammalian HEK 293 cells. Real-time polymerase chain reaction (rt-PCR) and IIF were used to detect mRNA and antigen localisation in human colon biopsies. RESULTS The major zymogen granule membrane glycoprotein 2 (GP2) was identified as the autoantigen of PABs in Crohn's disease. PAB-positive sera from patients with Crohn's disease (n = 42) displayed significantly higher IgG reactivity to rat GP2 in ELISA than either PAB-negative sera (n = 31), or sera from patients with ulcerative colitis (n = 49), or sera from blood donors (n = 69) (p&lt;0.0001, respectively). Twenty-eight (66%) and 18 (43%) of 42 PAB-positive sera demonstrated IgG and IgA reactivity to human recombinant GP2 in IIF, respectively. Patients with PAB-negative Crohn's disease (n = 31) were not reactive. GP2 mRNA transcription was significantly higher in colon biopsies from patients with Crohn's disease (n = 4) compared to patients with ulcerative colitis (n = 4) (p = 0.0286). Immunochemical staining confirmed GP2 expression in human colon biopsies from patients with Crohn's disease. CONCLUSION Anti-GP2 autoantibodies constitute novel Crohn's disease-specific markers, the quantification of which could significantly improve the serological diagnosis of IBD. The expression of GP2 in human enterocytes suggests an important role for anti-GP2 response in the pathogenesis of Crohn's disease.","author":[{"dropping-particle":"","family":"Roggenbuck","given":"D","non-dropping-particle":"","parse-names":false,"suffix":""},{"dropping-particle":"","family":"Hausdorf","given":"G","non-dropping-particle":"","parse-names":false,"suffix":""},{"dropping-particle":"","family":"Martinez-Gamboa","given":"L","non-dropping-particle":"","parse-names":false,"suffix":""},{"dropping-particle":"","family":"Reinhold","given":"D","non-dropping-particle":"","parse-names":false,"suffix":""},{"dropping-particle":"","family":"Büttner","given":"T","non-dropping-particle":"","parse-names":false,"suffix":""},{"dropping-particle":"","family":"Jungblut","given":"P R","non-dropping-particle":"","parse-names":false,"suffix":""},{"dropping-particle":"","family":"Porstmann","given":"T","non-dropping-particle":"","parse-names":false,"suffix":""},{"dropping-particle":"","family":"Laass","given":"M W","non-dropping-particle":"","parse-names":false,"suffix":""},{"dropping-particle":"","family":"Henker","given":"J","non-dropping-particle":"","parse-names":false,"suffix":""},{"dropping-particle":"","family":"Büning","given":"C","non-dropping-particle":"","parse-names":false,"suffix":""},{"dropping-particle":"","family":"Feist","given":"E","non-dropping-particle":"","parse-names":false,"suffix":""},{"dropping-particle":"","family":"Conrad","given":"K","non-dropping-particle":"","parse-names":false,"suffix":""}],"container-title":"Gut","id":"ITEM-15","issue":"12","issued":{"date-parts":[["2009","12","1"]]},"page":"1620-8","title":"Identification of GP2, the major zymogen granule membrane glycoprotein, as the autoantigen of pancreatic antibodies in Crohn's disease.","type":"article-journal","volume":"58"},"uris":["http://www.mendeley.com/documents/?uuid=c82ffa67-e9ea-3427-a545-59772317490a"]},{"id":"ITEM-16","itemData":{"DOI":"10.1515/cclm-2014-0238","ISSN":"1437-4331","PMID":"25411995","abstract":"BACKGROUND Autoantibodies to exocrine-pancreatic glycoprotein 2 (anti-GP2) are Crohn's disease (CD) markers. However, CD-specific antibodies have also been found in celiac-disease (CeD) patients, in which type 1 diabetes-specific autoantibodies against endocrine pancreatic targets can be present. We investigated whether anti-GP2 are also present in CeD, a disease like CD which is also characterised by intestinal mucosal inflammation with barrier impairment. METHODS Antibodies against GP2, tissue transglutaminase (tTG), deamidated gliadin (dGD), glutamic decarboxylase (GAD), and islet antigen-2 (IA2) were tested in sera from 73 CD patients, 90 blood donors (BD), and 79 (58 de novo) CeD patients (2 consecutive sera were available from 40 patients). RESULTS IgA and/or IgG anti-GP2 were found in 15/79 (19.0%) CeD patients on at least one occasion, in 25/73 (34.2%) CD patients, and in 4/90 (4.4%) BD (CeD vs. CD, p=0.042; BD vs. CeD and CD, p&lt;0.001, respectively). Amongst the 58 de novo CeD patients, anti-GP2 IgA and/or IgG were present in 11 (19.0%). Anti-GP2 IgA was significantly less prevalent in CeD compared with CD (p=0.004). Anti-GP2 IgA and IgG in CD patients demonstrated a significantly higher median level compared to patients with CeD (p&lt;0.001, p=0.008, respectively). IgA anti-GP2 levels correlated significantly with IgA anti-tTG and anti-dGD levels in CeD Spearman's coefficient of rank correlation (ρ)=0.42, confidence interval (CI): 0.26-0.56, p&lt;0.001; ρ=0.54, CI 0.39-0.65, p&lt;0.001, respectively. CONCLUSIONS The presence of anti-GP2 in CeD patients supports the notion that loss of tolerance to GP2 can probably be a manifestation of an autoinflammatory process in this intestinal disorder.","author":[{"dropping-particle":"","family":"Roggenbuck","given":"Dirk","non-dropping-particle":"","parse-names":false,"suffix":""},{"dropping-particle":"","family":"Vermeire","given":"Severine","non-dropping-particle":"","parse-names":false,"suffix":""},{"dropping-particle":"","family":"Hoffman","given":"Ilse","non-dropping-particle":"","parse-names":false,"suffix":""},{"dropping-particle":"","family":"Reinhold","given":"Dirk","non-dropping-particle":"","parse-names":false,"suffix":""},{"dropping-particle":"","family":"Schierack","given":"Peter","non-dropping-particle":"","parse-names":false,"suffix":""},{"dropping-particle":"","family":"Goihl","given":"Alexander","non-dropping-particle":"","parse-names":false,"suffix":""},{"dropping-particle":"","family":"Arnim","given":"Ulrike","non-dropping-particle":"von","parse-names":false,"suffix":""},{"dropping-particle":"","family":"Hertogh","given":"Gert","non-dropping-particle":"De","parse-names":false,"suffix":""},{"dropping-particle":"","family":"Polymeros","given":"Dimitrios","non-dropping-particle":"","parse-names":false,"suffix":""},{"dropping-particle":"","family":"Bogdanos","given":"Dimitrios P","non-dropping-particle":"","parse-names":false,"suffix":""},{"dropping-particle":"","family":"Bossuyt","given":"Xavier","non-dropping-particle":"","parse-names":false,"suffix":""}],"container-title":"Clinical chemistry and laboratory medicine","id":"ITEM-16","issue":"9","issued":{"date-parts":[["2015","8","1"]]},"page":"1349-57","title":"Evidence of Crohn's disease-related anti-glycoprotein 2 antibodies in patients with celiac disease.","type":"article-journal","volume":"53"},"uris":["http://www.mendeley.com/documents/?uuid=b9968e59-d7f7-3b04-9056-e04c43a3b853"]},{"id":"ITEM-17","itemData":{"DOI":"10.1097/MD.0000000000001654","ISSN":"0025-7974","PMID":"26496271","abstract":"The need for reliable biomarkers for distinguishing Crohn disease (CD) from ulcerative colitis (UC) is increasing. This study aimed at evaluating the diagnostic potential of anti-GP2 antibodies as a biomarker in Chinese patients with CD. In addition, a variety of autoantibodies, including anti-saccharomyces cerevisiae antibodies (ASCA), perinuclear anti-neutrophil cytoplasmic antibodies (PANCA), anti-intestinal goblet cell autoantibodies (GAB), and anti-pancreatic autoantibodies (PAB), were evaluated.A total of 91 subjects were prospectively enrolled in this study, including 35 patients with CD, 35 patients with UC, 13 patients with non-IBD gastrointestinal diseases as disease controls (non-IBD DC), and 8 healthy controls (HC). The diagnosis of IBD was determined based on the Lennard-Jones criteria, and the clinical phenotypes of the IBD patients were determined based on the Montreal Classification.Anti-GP2 IgG antibodies were significantly elevated in patients with CD, compared with patients with UC (P = 0.0038), HC (P = 0.0055), and non-IBD DC (P = 0.0063). The prevalence of anti-GP2 IgG, anti-GP2 IgA and anti-GP2 IgA, or IgG antibodies in patients with CD was 40.0%, 37.1%, and 54.3%, respectively, which were higher than those in non-IBD DC (anti-GP2 IgG, 15.4%; anti-GP2 IgA, 7.7%; and anti-GP2 IgA or IgG, 23.1%) and those in patients with UC (anti-GP2 IgG, 11.4%; anti-GP2 IgA, 2.9%; and anti-GP2 IgA or IgG, 14.3%). For distinguishing CD from UC, the sensitivity, specificity, positive predictive value (PPV) and positive likelihood ratios (LR+) were 40%, 88.6%, 77.8%, and 3.51 for anti-GP2 IgG, 37.1%, 97.1%, 92.9%, and 13.0 for anti-GP2 IgA, and 54.3%, 85.3%, 79.2%, and 3.69 for anti-GP2 IgA or IgG. For CD diagnosis, the combination of anti-GP2 antibodies with ASCA IgA increased the sensitivity to 68.6% with moderate loss of specificity to 74.3%. Spearman's rank of order revealed a significantly positive correlation of anti-GP2 IgG with ileocolonic location of disease (L3) (P = 0.043) and a negative correlation of anti-GP2 IgA with biologic therapy (P = 0.012).Our findings suggest that anti-GP2 antibodies could serve as a biomarker for distinguishing patients with CD from patients with UC, and the combination of anti-GP2 antibodies with ASCA IgA may improve the predictive power.","author":[{"dropping-particle":"","family":"Zhang","given":"Shulan","non-dropping-particle":"","parse-names":false,"suffix":""},{"dropping-particle":"","family":"Wu","given":"Ziyan","non-dropping-particle":"","parse-names":false,"suffix":""},{"dropping-particle":"","family":"Luo","given":"Jing","non-dropping-particle":"","parse-names":false,"suffix":""},{"dropping-particle":"","family":"Ding","given":"Xuefeng","non-dropping-particle":"","parse-names":false,"suffix":""},{"dropping-particle":"","family":"Hu","given":"Chaojun","non-dropping-particle":"","parse-names":false,"suffix":""},{"dropping-particle":"","family":"Li","given":"Ping","non-dropping-particle":"","parse-names":false,"suffix":""},{"dropping-particle":"","family":"Deng","given":"Chuiwen","non-dropping-particle":"","parse-names":false,"suffix":""},{"dropping-particle":"","family":"Zhang","given":"Fengchun","non-dropping-particle":"","parse-names":false,"suffix":""},{"dropping-particle":"","family":"Qian","given":"Jiaming","non-dropping-particle":"","parse-names":false,"suffix":""},{"dropping-particle":"","family":"Li","given":"Yongzhe","non-dropping-particle":"","parse-names":false,"suffix":""}],"container-title":"Medicine","id":"ITEM-17","issue":"42","issued":{"date-parts":[["2015","10"]]},"page":"e1654","title":"Diagnostic Potential of Zymogen Granule Glycoprotein 2 Antibodies as Serologic Biomarkers in Chinese Patients With Crohn Disease","type":"article-journal","volume":"94"},"uris":["http://www.mendeley.com/documents/?uuid=10c13fea-3c93-3da3-83f8-36daa9645729"]},{"id":"ITEM-18","itemData":{"DOI":"10.1038/ctg.2018.1","ISSN":"2155-384X","PMID":"29446764","abstract":"OBJECTIVES There is an increasing need to identify reliable biomarkers for distinguishing Crohn's disease (CD) from other gastrointestinal disorders sharing similar clinical and pathological features. This study aimed at evaluating the diagnostic potential of antibodies to zymogen granule glycoprotein GP2 (aGP2) in a large, well-defined Chinese cohort with a special focus on their role in discriminating CD from intestinal Behçet's disease (BD) and intestinal tubercolosis (ITB). METHODS A total of 577 subjects were prospectively enrolled, including 171 patients with CD, 208 patients with ulcerative colitis (UC), 71 with BD, 57 with ITB and 70 healthy controls (HC). aGP2 and anti-Saccharomyces cerevisiae antibodies (ASCA) were determined by ELISA. Perinuclear antineutrophil cytoplasmic antibodies were tested by indirect immunofluorescent assay. RESULTS aGP2 IgG and IgA levels were significantly elevated in patients with CD compared with those in patients with UC, intestinal BD, and ITB and HC. Conversely, ASCA IgG levels were not different between CD and intestinal BD patients, whereas ASCA IgA levels did not discriminate CD from intestinal BD and ITB patients. aGP2 IgA and IgG displayed a better assay performance (larger areas under the curve) over ASCA IgA and IgG in differentiating CD from disease controls (P&lt;0.05). ASCA IgA did not discriminate CD from disease controls. aGP2 IgA and/or IgG was significantly associated with penetrating disease (B3) and ileal CD (L1) (P&lt;0.05), whereas ASCA IgA and/or IgG was not. CONCLUSIONS In comparison with ASCA, aGP2 distinguishes CD from intestinal BD or ITB as disease controls more efficiently, aiding in the differential diagnosis of IBD.","author":[{"dropping-particle":"","family":"Zhang","given":"Shulan","non-dropping-particle":"","parse-names":false,"suffix":""},{"dropping-particle":"","family":"Luo","given":"Jing","non-dropping-particle":"","parse-names":false,"suffix":""},{"dropping-particle":"","family":"Wu","given":"Ziyan","non-dropping-particle":"","parse-names":false,"suffix":""},{"dropping-particle":"","family":"Roggenbuck","given":"Dirk","non-dropping-particle":"","parse-names":false,"suffix":""},{"dropping-particle":"","family":"Schierack","given":"Peter","non-dropping-particle":"","parse-names":false,"suffix":""},{"dropping-particle":"","family":"Reinhold","given":"Dirk","non-dropping-particle":"","parse-names":false,"suffix":""},{"dropping-particle":"","family":"Li","given":"Ji","non-dropping-particle":"","parse-names":false,"suffix":""},{"dropping-particle":"","family":"Zeng","given":"Xiaofeng","non-dropping-particle":"","parse-names":false,"suffix":""},{"dropping-particle":"","family":"Zhang","given":"Fengchun","non-dropping-particle":"","parse-names":false,"suffix":""},{"dropping-particle":"","family":"Qian","given":"Jiaming","non-dropping-particle":"","parse-names":false,"suffix":""},{"dropping-particle":"","family":"Li","given":"Yongzhe","non-dropping-particle":"","parse-names":false,"suffix":""}],"container-title":"Clinical and translational gastroenterology","id":"ITEM-18","issue":"2","issued":{"date-parts":[["2018","2","15"]]},"page":"e133","title":"Antibodies against glycoprotein 2 display diagnostic advantages over ASCA in distinguishing CD from intestinal tuberculosis and intestinal Behçet's disease.","type":"article-journal","volume":"9"},"uris":["http://www.mendeley.com/documents/?uuid=d0ca257a-84a4-38bf-8e74-d3f5b43880e2"]}],"mendeley":{"formattedCitation":"&lt;sup&gt;[41,42,51–58,43–50]&lt;/sup&gt;","plainTextFormattedCitation":"[41,42,51–58,43–50]","previouslyFormattedCitation":"&lt;sup&gt;[41–58]&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008E3016" w:rsidRPr="008E3F16">
        <w:rPr>
          <w:rFonts w:ascii="Book Antiqua" w:hAnsi="Book Antiqua" w:cs="Arial"/>
          <w:noProof/>
          <w:color w:val="000000" w:themeColor="text1"/>
          <w:vertAlign w:val="superscript"/>
          <w:lang w:val="en-US"/>
        </w:rPr>
        <w:t>[41</w:t>
      </w:r>
      <w:r w:rsidR="00AD7D88" w:rsidRPr="008E3F16">
        <w:rPr>
          <w:rFonts w:ascii="Book Antiqua" w:hAnsi="Book Antiqua" w:cs="Arial"/>
          <w:noProof/>
          <w:color w:val="000000" w:themeColor="text1"/>
          <w:vertAlign w:val="superscript"/>
          <w:lang w:val="en-US"/>
        </w:rPr>
        <w:t>-</w:t>
      </w:r>
      <w:r w:rsidR="008E3016" w:rsidRPr="008E3F16">
        <w:rPr>
          <w:rFonts w:ascii="Book Antiqua" w:hAnsi="Book Antiqua" w:cs="Arial"/>
          <w:noProof/>
          <w:color w:val="000000" w:themeColor="text1"/>
          <w:vertAlign w:val="superscript"/>
          <w:lang w:val="en-US"/>
        </w:rPr>
        <w:t>58]</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fulfilled the systematic review’s protocol criteria. Figure 1 details the selection process of the primary DTA studies. As three studies</w:t>
      </w:r>
      <w:r w:rsidRPr="008E3F16">
        <w:rPr>
          <w:rFonts w:ascii="Book Antiqua" w:hAnsi="Book Antiqua" w:cs="Arial"/>
          <w:color w:val="000000" w:themeColor="text1"/>
        </w:rPr>
        <w:fldChar w:fldCharType="begin" w:fldLock="1"/>
      </w:r>
      <w:r w:rsidR="008E3016" w:rsidRPr="008E3F16">
        <w:rPr>
          <w:rFonts w:ascii="Book Antiqua" w:hAnsi="Book Antiqua" w:cs="Arial"/>
          <w:color w:val="000000" w:themeColor="text1"/>
          <w:lang w:val="en-US"/>
        </w:rPr>
        <w:instrText>ADDIN CSL_CITATION {"citationItems":[{"id":"ITEM-1","itemData":{"DOI":"10.1097/MIB.0000000000000936","ISSN":"1536-4844","PMID":"27753692","abstract":"BACKGROUND The presentation of Crohn's disease (CD) is heterogeneous and often leads to serious complications and need for surgery. We tested serum anti-zymogen granule glycoprotein 2 (GP2) antibodies, including its novel isoform alpha, for association with genetic variants, diagnosis, disease stratification, and prediction of CD courses in a combined cross-sectional and cohort study. METHODS Serum samples of 303 CD, 108 ulcerative colitis, 72 other inflammatory gastrointestinal diseases, and 206 controls without predominant gastrointestinal diseases controls (HC) were tested for the presence of Anti-GP2 and Anti-Saccharomyces cervisiae (ASCA) by enzyme-linked immunosorbent assay. Genetic analysis was performed using the Illumina Immunochip. RESULTS GP2 IgA and IgG had the highest discriminatory capability for CD versus ulcerative colitis and CD versus inflammatory gastrointestinal diseases. We identified an association of GP2 IgA and IgG each with 5 distinct single-nucleotide polymorphisms. Levels of anti-GP2 IgG were moderately associated with ileal disease location. Interestingly, both, anti-GP2 IgA and IgG were exclusively associated with the occurrence of stenosis and need for surgery, independently of disease location, but not with fistulizing CD, early disease onset or disease activity. ASCA IgG and IgA were qualitatively and quantitatively linked to CD, CD complications, and need for surgery. Increased levels of ASCA IgG and IgA and positivity for ASCA IgG, but neither levels nor positivity for GP2 IgG or IgA were predictive of the earlier occurrence of complications or surgery. CONCLUSIONS Anti-GP2 antibodies may aid as a tool for diagnosis and differentiation of CD and could indicate a more complicated CD course.","author":[{"dropping-particle":"","family":"Degenhardt","given":"Frauke","non-dropping-particle":"","parse-names":false,"suffix":""},{"dropping-particle":"","family":"Dirmeier","given":"Andrea","non-dropping-particle":"","parse-names":false,"suffix":""},{"dropping-particle":"","family":"Lopez","given":"Rocio","non-dropping-particle":"","parse-names":false,"suffix":""},{"dropping-particle":"","family":"Lang","given":"Sylvia","non-dropping-particle":"","parse-names":false,"suffix":""},{"dropping-particle":"","family":"Kunst","given":"Claudia","non-dropping-particle":"","parse-names":false,"suffix":""},{"dropping-particle":"","family":"Roggenbuck","given":"Dirk","non-dropping-particle":"","parse-names":false,"suffix":""},{"dropping-particle":"","family":"Reinhold","given":"Dirk","non-dropping-particle":"","parse-names":false,"suffix":""},{"dropping-particle":"","family":"Szymczak","given":"Silke","non-dropping-particle":"","parse-names":false,"suffix":""},{"dropping-particle":"","family":"Rogler","given":"Gerhard","non-dropping-particle":"","parse-names":false,"suffix":""},{"dropping-particle":"","family":"Klebl","given":"Frank","non-dropping-particle":"","parse-names":false,"suffix":""},{"dropping-particle":"","family":"Franke","given":"Andre","non-dropping-particle":"","parse-names":false,"suffix":""},{"dropping-particle":"","family":"Rieder","given":"Florian","non-dropping-particle":"","parse-names":false,"suffix":""}],"container-title":"Inflammatory bowel diseases","id":"ITEM-1","issue":"11","issued":{"date-parts":[["2016","11"]]},"page":"2648-2657","title":"Serologic Anti-GP2 Antibodies Are Associated with Genetic Polymorphisms, Fibrostenosis, and Need for Surgical Resection in Crohn's Disease.","type":"article-journal","volume":"22"},"uris":["http://www.mendeley.com/documents/?uuid=0b53a7a7-223a-3fdf-8643-eb7481531624"]},{"id":"ITEM-2","itemData":{"DOI":"10.1111/apt.15034","ISSN":"13652036","PMID":"30411391","abstract":"Background: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Therapeutics","id":"ITEM-2","issue":"11-12","issued":{"date-parts":[["2018","12","1"]]},"page":"1251-1259","publisher":"John Wiley &amp; Sons, Ltd (10.1111)","title":"Loss of tolerance to glycoprotein 2 isoforms 1 and 4 is associated with Crohn’s disease of the pouch","type":"article-journal","volume":"48"},"uris":["http://www.mendeley.com/documents/?uuid=413ef96f-4c6c-3af1-92b3-c49157b781d6"]},{"id":"ITEM-3","itemData":{"DOI":"10.1097/MIB.0000000000001159","ISSN":"1536-4844","PMID":"28691939","abstract":"BACKGROUND Anti-Glycoprotein 2 (GP2) antibodies are associated with a more complicated course of Crohn's disease (CD) in adults. Four different GP2 isoforms with different length and antibody-binding sites have been identified so far but not been explored in serological studies. We aimed to investigate the diagnostic utility of autoantibodies against all 4 isoforms of GP2 in an exclusively pediatric population for the first time. METHODS We included 278 children and adolescents with inflammatory bowel disease: 164 with CD, 114 with ulcerative colitis, 83 disease controls (acute gastrointestinal infection, nonspecific gastrointestinal functional disorders), and 219 healthy controls. Sera were tested for anti-GP2 antibodies using 4 different isoforms of GP2 for anti-Saccharomyces cerevisiae antibodies, antineutrophil cytoplasmic antibodies, and pancreatic antibodies. RESULTS Anti-GP2 antibodies were significantly more prevalent in patients with CD than in ulcerative colitis and controls. We found a sensitivity of 38% (with a specificity of 95%) for anti-GP2 IgG against isoform 4 in CD. Anti-GP2 IgA against isoform 1 and anti-GP2 IgG against isoform 4 possessed the best diagnostic values for identification of CD. For the differentiation of CD from ulcerative colitis anti-GP2 IgG against isoforms 3 and 4 proved to be most accurate markers. Anti-GP2 antibodies were associated with a more complicated disease behavior and bowel surgery in CD. In a subgroup of patients with CD, anti-GP2 IgG against isoform 4 proved to be a relatively stable marker over time independent of disease activity. CONCLUSIONS Anti-GP2 antibodies against different isoforms are specific markers for CD and for different phenotypes in pediatric inflammatory bowel disease.","author":[{"dropping-particle":"","family":"Röber","given":"Nadja","non-dropping-particle":"","parse-names":false,"suffix":""},{"dropping-particle":"","family":"Noß","given":"Lydia","non-dropping-particle":"","parse-names":false,"suffix":""},{"dropping-particle":"","family":"Goihl","given":"Alexander","non-dropping-particle":"","parse-names":false,"suffix":""},{"dropping-particle":"","family":"Reinhold","given":"Dirk","non-dropping-particle":"","parse-names":false,"suffix":""},{"dropping-particle":"","family":"Jahn","given":"Josefine","non-dropping-particle":"","parse-names":false,"suffix":""},{"dropping-particle":"","family":"Laffolie","given":"Jan","non-dropping-particle":"de","parse-names":false,"suffix":""},{"dropping-particle":"","family":"Johannes","given":"Wolf","non-dropping-particle":"","parse-names":false,"suffix":""},{"dropping-particle":"","family":"Flemming","given":"Gunter M","non-dropping-particle":"","parse-names":false,"suffix":""},{"dropping-particle":"","family":"Roggenbuck","given":"Dirk","non-dropping-particle":"","parse-names":false,"suffix":""},{"dropping-particle":"","family":"Conrad","given":"Karsten","non-dropping-particle":"","parse-names":false,"suffix":""},{"dropping-particle":"","family":"Laass","given":"Martin W","non-dropping-particle":"","parse-names":false,"suffix":""}],"container-title":"Inflammatory bowel diseases","id":"ITEM-3","issue":"9","issued":{"date-parts":[["2017","9"]]},"page":"1624-1636","title":"Autoantibodies Against Glycoprotein 2 Isoforms in Pediatric Patients with Inflammatory Bowel Disease.","type":"article-journal","volume":"23"},"uris":["http://www.mendeley.com/documents/?uuid=7aa3f6d3-884a-379f-8cb1-62b8e64206d5"]}],"mendeley":{"formattedCitation":"&lt;sup&gt;[44,45,53]&lt;/sup&gt;","plainTextFormattedCitation":"[44,45,53]","previouslyFormattedCitation":"&lt;sup&gt;[45,52,53]&lt;/sup&gt;"},"properties":{"noteIndex":0},"schema":"https://github.com/citation-style-language/schema/raw/master/csl-citation.json"}</w:instrText>
      </w:r>
      <w:r w:rsidRPr="008E3F16">
        <w:rPr>
          <w:rFonts w:ascii="Book Antiqua" w:hAnsi="Book Antiqua" w:cs="Arial"/>
          <w:color w:val="000000" w:themeColor="text1"/>
        </w:rPr>
        <w:fldChar w:fldCharType="separate"/>
      </w:r>
      <w:r w:rsidR="008E3016" w:rsidRPr="008E3F16">
        <w:rPr>
          <w:rFonts w:ascii="Book Antiqua" w:hAnsi="Book Antiqua" w:cs="Arial"/>
          <w:noProof/>
          <w:color w:val="000000" w:themeColor="text1"/>
          <w:vertAlign w:val="superscript"/>
          <w:lang w:val="en-US"/>
        </w:rPr>
        <w:t>[44,45,53]</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did not assess total anti-GP2 but different anti-GP2 isoforms, these were excluded from the meta-analyses, leaving </w:t>
      </w:r>
      <w:r w:rsidR="009073D5" w:rsidRPr="008E3F16">
        <w:rPr>
          <w:rFonts w:ascii="Book Antiqua" w:hAnsi="Book Antiqua" w:cs="Arial"/>
          <w:color w:val="000000" w:themeColor="text1"/>
          <w:lang w:val="en-US"/>
        </w:rPr>
        <w:t xml:space="preserve">a total of </w:t>
      </w:r>
      <w:r w:rsidRPr="008E3F16">
        <w:rPr>
          <w:rFonts w:ascii="Book Antiqua" w:hAnsi="Book Antiqua" w:cs="Arial"/>
          <w:color w:val="000000" w:themeColor="text1"/>
          <w:lang w:val="en-US"/>
        </w:rPr>
        <w:t>15 studies</w:t>
      </w:r>
      <w:r w:rsidRPr="008E3F16">
        <w:rPr>
          <w:rFonts w:ascii="Book Antiqua" w:hAnsi="Book Antiqua" w:cs="Arial"/>
          <w:color w:val="000000" w:themeColor="text1"/>
          <w:lang w:val="en-US"/>
        </w:rPr>
        <w:fldChar w:fldCharType="begin" w:fldLock="1"/>
      </w:r>
      <w:r w:rsidR="008E3016" w:rsidRPr="008E3F16">
        <w:rPr>
          <w:rFonts w:ascii="Book Antiqua" w:hAnsi="Book Antiqua" w:cs="Arial"/>
          <w:color w:val="000000" w:themeColor="text1"/>
          <w:lang w:val="en-US"/>
        </w:rPr>
        <w:instrText>ADDIN CSL_CITATION {"citationItems":[{"id":"ITEM-1","itemData":{"DOI":"10.1186/1471-230X-12-102","ISSN":"1471-230X","PMID":"22866900","abstract":"BACKGROUND Glycoprotein 2 (GP2) was discovered as the major autoantigen of Crohn's disease (CD)-specific pancreatic autoantibodies (PAB). We investigated anti-GP2 IgA and IgG antibodies as novel serological parameters in CD and assessed their association with distinct disease phenotypes. METHODS Anti-GP2 and anti-Saccharomyces cerevisiae (ASCA) IgA and IgG were detected by ELISA employing recombinant human GP2 and phosphopeptidomannan, respectively and PAB by indirect immunofluorescence (IIF) in 271 sera, 169 with CD and 102 with ulcerative colitis (UC). As healthy controls 160 adult blood donors and 65 children were included. RESULTS Anti-GP2 IgG and/or IgA were more prevalent in CD (51/169, 30.2%) than in UC (9/102, 8.9%) patients and in controls (9/225, 4%)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0.001 respectively). ASCA IgG and/or IgA were present in 60/169 (35.5%) in CD and in 7/102 (6.9%) in UC patients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0.001). CD patients with ileocolonic location (L3) showed a significantly higher prevalence of anti-GP2 and ASCA IgA and/or IgG (40/113 and 48/113, respectively;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0.05 for both comparisons), whereas CD patients with colonic location (L2) revealed a significantly diminished prevalence for these autoantibody specificities (2/32 and 5/32, respectively,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0.05 for both). Anti-GP2 IgG were significantly more prevalent in CD patients with stricturing behaviour (B2) and perianal disease (7/11,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0.02) and less prevalent in those with penetrating behaviour (B3) and perianal disease (4/31,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0.05). The occurrence of anti-GP2 IgA and/or IgG was significantly more prevalent in CD patients with age at diagnosis of ≤16</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years (16/31,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0.009). Prevalence of one or more anti-GP2 or ASCA IgA and/or IgG was significantly higher in L3, B2, and A1 and lower in L2 (68/113, 27/41, 23/31, 6/32;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0.04, respectively). CONCLUSIONS Anti-GP2 IgG and IgA, constituting novel CD specific autoantibodies, appear to be associated with distinct disease phenotypes identifying patients at a younger age, with ileocolonic location, and stricturing behaviour with perianal disease.","author":[{"dropping-particle":"","family":"Bogdanos","given":"Dimitrios P","non-dropping-particle":"","parse-names":false,"suffix":""},{"dropping-particle":"","family":"Roggenbuck","given":"Dirk","non-dropping-particle":"","parse-names":false,"suffix":""},{"dropping-particle":"","family":"Reinhold","given":"Dirk","non-dropping-particle":"","parse-names":false,"suffix":""},{"dropping-particle":"","family":"Wex","given":"Thomas","non-dropping-particle":"","parse-names":false,"suffix":""},{"dropping-particle":"","family":"Pavlidis","given":"Polychronis","non-dropping-particle":"","parse-names":false,"suffix":""},{"dropping-particle":"","family":"Arnim","given":"Ulrike","non-dropping-particle":"von","parse-names":false,"suffix":""},{"dropping-particle":"","family":"Malfertheiner","given":"Peter","non-dropping-particle":"","parse-names":false,"suffix":""},{"dropping-particle":"","family":"Forbes","given":"Alastair","non-dropping-particle":"","parse-names":false,"suffix":""},{"dropping-particle":"","family":"Conrad","given":"Karsten","non-dropping-particle":"","parse-names":false,"suffix":""},{"dropping-particle":"","family":"Laass","given":"Martin W","non-dropping-particle":"","parse-names":false,"suffix":""}],"container-title":"BMC gastroenterology","id":"ITEM-1","issue":"1","issued":{"date-parts":[["2012","8","6"]]},"page":"102","title":"Pancreatic-specific autoantibodies to glycoprotein 2 mirror disease location and behaviour in younger patients with Crohn's disease.","type":"article-journal","volume":"12"},"uris":["http://www.mendeley.com/documents/?uuid=cae9d9ee-272a-3aac-a9f4-fb15b91f3e74"]},{"id":"ITEM-2","itemData":{"DOI":"10.1097/MIB.0000000000000926","ISSN":"1536-4844","PMID":"27636380","abstract":"BACKGROUND Inflammatory bowel disease (IBD) is characterized by a chronic inflammation of the gut, partly driven by defects in the expression and function of pattern recognition receptors, including the IFI16 protein. Because this protein is a target for autoantibodies and its aberrant expression was reported in colonic mucosa from active patients with ulcerative colitis, we studied its expression and specific seroresponse in patients with IBD before and after infliximab (IFX) therapy. METHODS Anti-IFI16 antibodies (IgG and IgA subtypes) were measured in the sera of 74 patients with IBD: 48 patients with Crohn's disease (CD) and 26 patients with ulcerative colitis, prospectively harvested before and after IFX therapy. Anti-GP2 antibodies (both IgG and IgA subtypes) were also tested for comparison. The patient antibody statuses were qualitatively and quantitatively associated with disease phenotype and response to IFX therapy. RESULTS Significantly higher titers of anti-IFI16 IgG were found in both CD and ulcerative colitis patients compared with healthy controls. Anti-IFI16 IgA titers were also present in patients with CD. Anti-GP2 IgG subtype titers were significantly increased in patients with CD, as were IgA subtype titers. Significant changes in anti-IFI16 IgG subtype titers were observed after IFX in patients with CD who correlated with clinical remission or response. CONCLUSIONS Our results highlight the importance of IFI16 in IBD pathogenesis showing that its de novo overexpression in the gut epithelial cells leads to a breakdown in immune tolerance and the subsequent development of specific autoantibodies. Anti-IFI16 IgG antibodies hold the potential to serve as a biomarker of response to IFX therapy.","author":[{"dropping-particle":"","family":"Caneparo","given":"Valeria","non-dropping-particle":"","parse-names":false,"suffix":""},{"dropping-particle":"","family":"Pastorelli","given":"Luca","non-dropping-particle":"","parse-names":false,"suffix":""},{"dropping-particle":"","family":"Pisani","given":"Laura Francesca","non-dropping-particle":"","parse-names":false,"suffix":""},{"dropping-particle":"","family":"Bruni","given":"Barbara","non-dropping-particle":"","parse-names":false,"suffix":""},{"dropping-particle":"","family":"Prodam","given":"Flavia","non-dropping-particle":"","parse-names":false,"suffix":""},{"dropping-particle":"","family":"Boldorini","given":"Renzo","non-dropping-particle":"","parse-names":false,"suffix":""},{"dropping-particle":"","family":"Roggenbuck","given":"Dirk","non-dropping-particle":"","parse-names":false,"suffix":""},{"dropping-particle":"","family":"Vecchi","given":"Maurizio","non-dropping-particle":"","parse-names":false,"suffix":""},{"dropping-particle":"","family":"Landolfo","given":"Santo","non-dropping-particle":"","parse-names":false,"suffix":""},{"dropping-particle":"","family":"Gariglio","given":"Marisa","non-dropping-particle":"","parse-names":false,"suffix":""},{"dropping-particle":"","family":"Andrea","given":"Marco","non-dropping-particle":"De","parse-names":false,"suffix":""}],"container-title":"Inflammatory bowel diseases","id":"ITEM-2","issue":"12","issued":{"date-parts":[["2016","12"]]},"page":"2977-2987","title":"Distinct Anti-IFI16 and Anti-GP2 Antibodies in Inflammatory Bowel Disease and Their Variation with Infliximab Therapy.","type":"article-journal","volume":"22"},"uris":["http://www.mendeley.com/documents/?uuid=296539fe-2560-3ec0-b0dd-1c449dee0dc1"]},{"id":"ITEM-3","itemData":{"DOI":"10.1016/j.cca.2012.01.005","ISSN":"1873-3492","PMID":"22269156","author":[{"dropping-particle":"","family":"Bonaci-Nikolic","given":"Branka","non-dropping-particle":"","parse-names":false,"suffix":""},{"dropping-particle":"","family":"Spuran","given":"Milan","non-dropping-particle":"","parse-names":false,"suffix":""},{"dropping-particle":"","family":"Andrejevic","given":"Sladjana","non-dropping-particle":"","parse-names":false,"suffix":""},{"dropping-particle":"","family":"Nikolic","given":"Milos","non-dropping-particle":"","parse-names":false,"suffix":""}],"container-title":"Clinica chimica acta; international journal of clinical chemistry","id":"ITEM-3","issue":"7-8","issued":{"date-parts":[["2012","4","11"]]},"page":"822-3","title":"Autoantibodies to GP2, the major zymogen granule membrane glycoprotein, in patients with gluten-sensitive enteropathy: a possible serological trap.","type":"article-journal","volume":"413"},"uris":["http://www.mendeley.com/documents/?uuid=d097aba8-e43d-32a6-a76a-485aab3db298"]},{"id":"ITEM-4","itemData":{"DOI":"10.15403/jgld.2014.1121.232.sg1","ISSN":"1842-1121","PMID":"24949603","abstract":"BACKGROUND &amp; AIMS In most cases celiac disease (CD) is successfully treated with a gluten-free diet (GFD). However, some patients become refractory to the GFD. Refractory CD (RCD) patients have an increased risk for developing enteropathy associated T-cell lymphoma and early diagnosis is therefore of importance. Currently, RCD diagnosis relies on endoscopy and adequate serological markers are lacking. Antibodies against glycoprotein-2 (GP2A) were described in Crohn's disease (CrD) and active CD but not in ulcerative colitis (UC), suggesting this is a specific marker for small intestinal lesions. METHODS Sera obtained from patients visiting our outpatient clinic for routine serological tests for diagnosis and/or follow-up of inflammatory bowel disease (n=78), active CD (n=45), GFD (n=34) and RCD (n=15) were analysed for GP2A titres. RESULTS Increased GP2A-IgA levels in CrD and active CD as compared to controls (p&lt;0.001) and lack thereof in UC was confirmed. However, we could not confirm the association with small bowel localization within the CrD patient group. Within CD patients, we demonstrated a significant decrease of GP2A-IgA titres upon a GFD and increased levels in RCD patients as compared to patients on a GFD. Although GP2A-IgA was not associated with the degree of villous atrophy, GP2A-IgA levels were able to distinguish RCD patients from GFD patients (ROC AUC=0.79, p=0.002). CONCLUSION Follow-up of GP2A-IgA titres in CD patients on a GFD may help to identify patients at risk for developing RCD.","author":[{"dropping-particle":"","family":"Gross","given":"Sascha","non-dropping-particle":"","parse-names":false,"suffix":""},{"dropping-particle":"","family":"Bakker","given":"Sjoerd F","non-dropping-particle":"","parse-names":false,"suffix":""},{"dropping-particle":"","family":"Bodegraven","given":"Adriaan A","non-dropping-particle":"van","parse-names":false,"suffix":""},{"dropping-particle":"","family":"Hoogstraten","given":"Ingrid M W","non-dropping-particle":"van","parse-names":false,"suffix":""},{"dropping-particle":"","family":"Gelderman","given":"Kyra A","non-dropping-particle":"","parse-names":false,"suffix":""},{"dropping-particle":"","family":"Bouma","given":"Gerd","non-dropping-particle":"","parse-names":false,"suffix":""},{"dropping-particle":"","family":"Mulder","given":"Chris J","non-dropping-particle":"","parse-names":false,"suffix":""},{"dropping-particle":"","family":"Blomberg","given":"B Mary E","non-dropping-particle":"von","parse-names":false,"suffix":""},{"dropping-particle":"","family":"Bontkes","given":"Hetty J","non-dropping-particle":"","parse-names":false,"suffix":""}],"container-title":"Journal of gastrointestinal and liver diseases : JGLD","id":"ITEM-4","issue":"2","issued":{"date-parts":[["2014","6"]]},"page":"127-33","title":"Increased IgA glycoprotein-2 specific antibody titres in refractory celiac disease.","type":"article-journal","volume":"23"},"uris":["http://www.mendeley.com/documents/?uuid=f891648e-269d-3937-ac9f-be69465d0bed"]},{"id":"ITEM-5","itemData":{"DOI":"10.1097/MIB.0000000000000564","ISSN":"1536-4844","PMID":"26273818","abstract":"BACKGROUND Inflammatory bowel disease (IBD) is characterized by a broad spectrum of clinical phenotypes with different outcomes. In the last decades, several IBD-associated autoantibodies have been identified and investigated for their diagnostic relevance. Autoantibodies against the pancreatic glycoproteins (PAB) CUB and zona pellucida-like domains-containing protein 1 (CUZD1), and glycoprotein 2 (GP2) have been demonstrated to possess high specificity for the diagnosis of IBD. Although several studies have shown significant interrelations of anti-GP2 positivity with disease phenotype, associations of clinical phenotypes with anti-CUZD1 are still unknown. The aim was to identify the association of clinical phenotypes with anti-CUZD1 and anti-GP2 in a well-defined German IBD cohort. METHODS Patients with IBD (224 patients with Crohn's disease and 136 patients with ulcerative colitis), who were tested for anti-GP2 and anti-CUZD1 immunoglobulin G and immunoglobulin A by indirect immunofluorescence on transfected cells between 2005 and 2013, were included. Serotype and specified phenotypic data were collected in retrospect and statistically analyzed. RESULTS Both anti-GP2 (P &lt; 0.001) and anti-CUZD1 (P &lt; 0.001) were significantly more prevalent in patients with Crohn's disease than in ulcerative colitis. PAB positivity was associated with ileocolonic disease (P = 0.002), perianal disease (P = 0.011), immunosuppressive treatment (P = 0.036), and ASCA positivity (P = 0.036). Anti-CUZD1 positivity was associated with ileocolonic (P = 0.016) and perianal disease (P = 0.002), whereas anti-GP2 positivity was positively associated with stricturing behavior (P = 0.016). CONCLUSIONS We found distinct clinical phenotypes to be associated with PAB positivity. Therefore, determination of PABs and their subgroup analysis might identify patients with complicated disease behavior. However, the clinical relevance of our findings should be further evaluated in prospective cohorts.","author":[{"dropping-particle":"","family":"Michaels","given":"Maike Anna","non-dropping-particle":"","parse-names":false,"suffix":""},{"dropping-particle":"","family":"Jendrek","given":"Sebastian Torben","non-dropping-particle":"","parse-names":false,"suffix":""},{"dropping-particle":"","family":"Korf","given":"Tobias","non-dropping-particle":"","parse-names":false,"suffix":""},{"dropping-particle":"","family":"Nitzsche","given":"Thomas","non-dropping-particle":"","parse-names":false,"suffix":""},{"dropping-particle":"","family":"Teegen","given":"Bianca","non-dropping-particle":"","parse-names":false,"suffix":""},{"dropping-particle":"","family":"Komorowski","given":"Lars","non-dropping-particle":"","parse-names":false,"suffix":""},{"dropping-particle":"","family":"Derer","given":"Stefanie","non-dropping-particle":"","parse-names":false,"suffix":""},{"dropping-particle":"","family":"Schröder","given":"Torsten","non-dropping-particle":"","parse-names":false,"suffix":""},{"dropping-particle":"","family":"Baer","given":"Florian","non-dropping-particle":"","parse-names":false,"suffix":""},{"dropping-particle":"","family":"Lehnert","given":"Henrik","non-dropping-particle":"","parse-names":false,"suffix":""},{"dropping-particle":"","family":"Büning","given":"Jürgen","non-dropping-particle":"","parse-names":false,"suffix":""},{"dropping-particle":"","family":"Fellerman","given":"Klaus","non-dropping-particle":"","parse-names":false,"suffix":""},{"dropping-particle":"","family":"Sina","given":"Christian","non-dropping-particle":"","parse-names":false,"suffix":""}],"container-title":"Inflammatory bowel diseases","id":"ITEM-5","issue":"12","issued":{"date-parts":[["2015","12"]]},"page":"2864-72","title":"Pancreatic Autoantibodies Against CUZD1 and GP2 Are Associated with Distinct Clinical Phenotypes of Crohn's Disease.","type":"article-journal","volume":"21"},"uris":["http://www.mendeley.com/documents/?uuid=b3131b82-7088-35e2-8352-f9006f7becbf"]},{"id":"ITEM-6","itemData":{"DOI":"10.1136/gut.2010.233148","ISSN":"0017-5749","PMID":"21193445","author":[{"dropping-particle":"","family":"Beéck","given":"Katrijn","non-dropping-particle":"Op De","parse-names":false,"suffix":""},{"dropping-particle":"","family":"Vermeire","given":"Séverine","non-dropping-particle":"","parse-names":false,"suffix":""},{"dropping-particle":"","family":"Rutgeerts","given":"Paul","non-dropping-particle":"","parse-names":false,"suffix":""},{"dropping-particle":"","family":"Bossuyt","given":"Xavier","non-dropping-particle":"","parse-names":false,"suffix":""}],"container-title":"Gut","id":"ITEM-6","issue":"1","issued":{"date-parts":[["2012","1"]]},"page":"162.3-164","title":"Antibodies to GP2, the major zymogen granule membrane glycoprotein, in inflammatory bowel diseases","type":"article-journal","volume":"61"},"uris":["http://www.mendeley.com/documents/?uuid=adfa91ac-e3b5-3161-9581-86e336622463"]},{"id":"ITEM-7","itemData":{"DOI":"10.1093/ecco-jcc/jjv087","ISSN":"1873-9946","PMID":"25968583","abstract":"BACKGROUNDS Glycoprotein 2[GP2] and CUB zona pellucida-like domain 1[CUZD1] belong to protein families involved in gut innate immunity processes and have recently been identified as specific targets of anti-pancreatic autoantibodies [PAbs] in Crohn's disease[CD]. We aimed to determine the prognostic potential of novel target-specific PAbs regarding long-term disease course of an adult CD patient cohort. METHODS Sera of 458 consecutive well-characterised IBD patients from a single referral IBD centre were tested by enzyme-linked immunosorbent assay [ELISA] with isoform 4 of recombinant GP2 [anti-MZGP2 and anti-GP2 IgA/IgG] and indirect immunofluorescence test [IIFT] system with GP2 and CUZD1 expressing transfected HEK 293 cells [anti-rPAg2 and rPAg1 IgA/IgG]. Clinical data were available on complicated disease or surgical interventions as well as disease activity and medical treatment during the prospective follow-up [median, 108 months]. RESULTS Totals of 12.4% and 20.8% of CD patients were positive for IgA/IgG type of anti-GP2 and anti-CUZD1, respectively, with a significant difference compared with UC [p &lt; 0.01]. Antibody status was stable over time. Agreement among three different anti-GP2 assays was good. Positivity for PAbs, mainly IgA subtypes, predicted a faster progression towards complicated disease course. In Kaplan-Meier analysis, time to surgery or development of perianal disease was associated with anti-GP2 IgA [pLogRank &lt; 0.01] or anti-CUZD1 IgA [pLogRank &lt; 0.001] positivity, respectively. Anti-CUZD1 IgA remained an independent predictor in the multivariate Cox-regression model (hazard ratio [HR]: 3.43, 95% confidence interval [CI]: 1.68-7.02, p &lt; 0.001). CONCLUSIONS The present study has shown that specific PAbs [especially IgA subtype] predict complicated disease course including the development of perianal disease in CD.","author":[{"dropping-particle":"","family":"Papp","given":"Maria","non-dropping-particle":"","parse-names":false,"suffix":""},{"dropping-particle":"","family":"Sipeki","given":"Nora","non-dropping-particle":"","parse-names":false,"suffix":""},{"dropping-particle":"","family":"Tornai","given":"Tamas","non-dropping-particle":"","parse-names":false,"suffix":""},{"dropping-particle":"","family":"Altorjay","given":"Istvan","non-dropping-particle":"","parse-names":false,"suffix":""},{"dropping-particle":"","family":"Norman","given":"Gary L.","non-dropping-particle":"","parse-names":false,"suffix":""},{"dropping-particle":"","family":"Shums","given":"Zakera","non-dropping-particle":"","parse-names":false,"suffix":""},{"dropping-particle":"","family":"Roggenbuck","given":"Dirk","non-dropping-particle":"","parse-names":false,"suffix":""},{"dropping-particle":"","family":"Fechner","given":"Kai","non-dropping-particle":"","parse-names":false,"suffix":""},{"dropping-particle":"","family":"Stöcker","given":"Winfried","non-dropping-particle":"","parse-names":false,"suffix":""},{"dropping-particle":"","family":"Antal-Szalmas","given":"Peter","non-dropping-particle":"","parse-names":false,"suffix":""},{"dropping-particle":"","family":"Veres","given":"Gabor","non-dropping-particle":"","parse-names":false,"suffix":""},{"dropping-particle":"","family":"Lakatos","given":"Peter Laszlo","non-dropping-particle":"","parse-names":false,"suffix":""}],"container-title":"Journal of Crohn's and Colitis","id":"ITEM-7","issue":"8","issued":{"date-parts":[["2015","8"]]},"page":"659-668","title":"Rediscovery of the Anti-Pancreatic Antibodies and Evaluation of their Prognostic Value in a Prospective Clinical Cohort of Crohn’s Patients: The Importance of Specific Target Antigens [GP2 and CUZD1]","type":"article-journal","volume":"9"},"uris":["http://www.mendeley.com/documents/?uuid=8e5f0827-94c6-3db1-88c6-9bdbc72ea222"]},{"id":"ITEM-8","itemData":{"DOI":"10.1155/2012/640835","ISSN":"1740-2522","PMID":"23118780","abstract":"Why zymogen glycoprotein 2 (GP2), the Crohn’s disease (CD)-specific pancreatic autoantigen, is the major target of humoral autoimmunity in inflammatory bowel diseases (IBD) is uknown. Recent evidence demonstrates that GP2 is also present on the apical surface of microfold (M) intestinal cells. As the colon lacks GP2-rich M cells, we assumed that patients with colonic CD are seronegative for anti-GP2. Anti-GP2 antibodies were tested in 225 CDs, including 45 patients with colonic location (L2), 45 with terminal ileum (L1) and 135 with ileocolonic involvement; 225 patients with ulcerative colitis (UC) were also tested. Anti-GP2 reactivity was detected in 59 (26.2%) CDs and 15 (6.7%) UCs ( P &lt; 0.001 ) . Only 5 CDs with L2 had anti-GP2 antibodies, compared to 54/180 (30.0%, P = 0.0128 ) of the CDs with L1 and L3. Anti-GP2 antibody positive CD patients had higher ASCA titres compared to seronegative cases. Amongst the 128 CD patients with previous surgical intervention, 45 (35.0%) were anti-GP2 antibody positive compared to 14/97 (14.0%) without surgical ( P &lt; 0.001 ) . Our data support the assumption that ileal inflammation is required for the development of anti-GP2 antibodies in CD, and suggest that the intestine rather than the pancreatic juice is the antigenic source required for the initiation of anti-GP2 antibodies.","author":[{"dropping-particle":"","family":"Pavlidis","given":"Polychronis","non-dropping-particle":"","parse-names":false,"suffix":""},{"dropping-particle":"","family":"Romanidou","given":"Ourania","non-dropping-particle":"","parse-names":false,"suffix":""},{"dropping-particle":"","family":"Roggenbuck","given":"Dirk","non-dropping-particle":"","parse-names":false,"suffix":""},{"dropping-particle":"","family":"Mytilinaiou","given":"Maria G.","non-dropping-particle":"","parse-names":false,"suffix":""},{"dropping-particle":"","family":"Al-Sulttan","given":"Faris","non-dropping-particle":"","parse-names":false,"suffix":""},{"dropping-particle":"","family":"Liaskos","given":"Christos","non-dropping-particle":"","parse-names":false,"suffix":""},{"dropping-particle":"","family":"Smyk","given":"Daniel S.","non-dropping-particle":"","parse-names":false,"suffix":""},{"dropping-particle":"","family":"Koutsoumpas","given":"Andreas L.","non-dropping-particle":"","parse-names":false,"suffix":""},{"dropping-particle":"","family":"Rigopoulou","given":"Eirini I.","non-dropping-particle":"","parse-names":false,"suffix":""},{"dropping-particle":"","family":"Conrad","given":"Karsten","non-dropping-particle":"","parse-names":false,"suffix":""},{"dropping-particle":"","family":"Forbes","given":"Alastair","non-dropping-particle":"","parse-names":false,"suffix":""},{"dropping-particle":"","family":"Bogdanos","given":"Dimitrios P.","non-dropping-particle":"","parse-names":false,"suffix":""}],"container-title":"Clinical and Developmental Immunology","id":"ITEM-8","issued":{"date-parts":[["2012","10","17"]]},"page":"1-8","publisher":"Hindawi","title":"Ileal Inflammation May Trigger the Development of GP2-Specific Pancreatic Autoantibodies in Patients with Crohn’s Disease","type":"article-journal","volume":"2012"},"uris":["http://www.mendeley.com/documents/?uuid=290361ae-8e98-3943-a1ce-ac284f58eb38"]},{"id":"ITEM-9","itemData":{"DOI":"10.1016/j.cca.2014.12.010","ISSN":"00098981","PMID":"25512163","abstract":"BACKGROUND We developed a new IgA and IgG anti-MZGP2 antibody ELISAs based on recombinant isoform-4 of human zymogen granule protein-2 (GP2), which is the major autoantigen of Crohn's disease (CrD)-specific pancreatic autoantibodies and assessed their clinical relevance in the largest inflammatory bowel disease (IBD) cohort tested to date. METHODS 832 sera were studied, including 617 consecutive IBD patients from 323 CrD and 294 ulcerative colitis (UC) follow-up in a tertiary centre, and 112 pathological and 103 normal controls. RESULTS Sensitivity of IgA anti-MZGP2 for CrD in the IBD population was 15% and specificity was 98% (95, 99), while the sensitivity and specificity of IgG anti-MZGP2 were 27% and 97%. IgA and IgG anti-MZGP2 combined testing led to a sensitivity of 31% and a specificity of 96%. Positivity for either ASCA (IgA or IgG) or anti-MZGP2 (IgA or IgG) showed a sensitivity of 75% (70, 80) and a specificity of 84% (79, 89). IgA anti-MZGP2 antibodies were more prevalent in CrD patients with early disease onset (p=0.011). Also, anti-MZGP2 positive patients more frequently had extensive disease with ileal involvement. Patients with longer disease duration were more likely to have IgG anti-MZGP2 antibodies. CONCLUSIONS Our novel ELISA confirms the high specificity of anti-MZGP2 antibodies for CrD and their association with disease severity phenotypes.","author":[{"dropping-particle":"","family":"Pavlidis","given":"Polychronis","non-dropping-particle":"","parse-names":false,"suffix":""},{"dropping-particle":"","family":"Shums","given":"Zakera","non-dropping-particle":"","parse-names":false,"suffix":""},{"dropping-particle":"","family":"Koutsoumpas","given":"Andreas L.","non-dropping-particle":"","parse-names":false,"suffix":""},{"dropping-particle":"","family":"Milo","given":"Jay","non-dropping-particle":"","parse-names":false,"suffix":""},{"dropping-particle":"","family":"Papp","given":"Maria","non-dropping-particle":"","parse-names":false,"suffix":""},{"dropping-particle":"","family":"Umemura","given":"Takeji","non-dropping-particle":"","parse-names":false,"suffix":""},{"dropping-particle":"","family":"Lakatos","given":"Peter L.","non-dropping-particle":"","parse-names":false,"suffix":""},{"dropping-particle":"","family":"Smyk","given":"Daniel S.","non-dropping-particle":"","parse-names":false,"suffix":""},{"dropping-particle":"","family":"Bogdanos","given":"Dimitrios P.","non-dropping-particle":"","parse-names":false,"suffix":""},{"dropping-particle":"","family":"Forbes","given":"Alastair","non-dropping-particle":"","parse-names":false,"suffix":""},{"dropping-particle":"","family":"Norman","given":"Gary L.","non-dropping-particle":"","parse-names":false,"suffix":""}],"container-title":"Clinica Chimica Acta","id":"ITEM-9","issued":{"date-parts":[["2015","2","20"]]},"page":"176-181","title":"Diagnostic and clinical significance of Crohn's disease-specific anti-MZGP2 pancreatic antibodies by a novel ELISA","type":"article-journal","volume":"441"},"uris":["http://www.mendeley.com/documents/?uuid=d7a8bc7b-fb59-3c93-925d-44c90e4e081c"]},{"id":"ITEM-10","itemData":{"DOI":"10.1515/cclm-2015-0376","ISSN":"1437-4331","PMID":"26351932","abstract":"BACKGROUND Pancreatic autoantibodies (PAB) targeting GP2 and CUZD1 are Crohn's disease (CrD)-markers. The clinical significance of anti-GP2 antibodies has been assessed, but that of anti-CUZD1 remains elusive. The aim of the study was to assess the clinical utility of anti-CUZD1/anti-GP2 by novel cell-based indirect immunofluorescence (IIF) assays in CrD. METHODS A total of 212 CrD and 249 UC patients followed up at a London IBD centre were investigated to simultaneously detect PABs, anti-GP2 and anti-CUZD1 by IIF using primate pancreatic tissue, and HEK293 over-expressing CUZD1 or GP2. RESULTS Overall, 88 (41.5%) CrDs compared to 26 (10.4%) UCs (p&lt;0.001) tested positive for IgA and/or IgG anti-GP2 and/or anti-CUZD1 antibodies, while ASCA were found in 67.5% CrDs versus 19.2% UCs (p&lt;0.0001); ASCA and/or PAB (anti-GP2 or anti-CUZD1) were detected in 76% CrD versus 34% UC patients. IgG anti-GP2 antibodies were less prevalent in L2 phenotype (p=0.002) and more prevalent in patients with stricturing disease (p=0.0418), even when a higher cut-off (≥1000 RU) was used (p=0.0396). Also, anti-GP2 IgG positive CrD patients had younger age of disease onset. IgA and/or IgG ASCA and anti-GP2 IgG antibody positive CrDs had younger onset of disease (p&lt;0.0001), were more likely to have both ileal and colonic disease (p&lt;0.0001) and had more stricturing (p&lt;0.0001) than seronegative patients. Clinical correlates were not found for anti-CUZD1 positivity. CONCLUSIONS PAB testing increases ASCA's serological sensitivity for CrD. Anti-GP2 detection, in isolation or in combination with ASCA, stratify CrD patients who phenotypically are characterised by a much younger onset of disease, extensive and stricturing behaviour.","author":[{"dropping-particle":"","family":"Pavlidis","given":"Polychronis","non-dropping-particle":"","parse-names":false,"suffix":""},{"dropping-particle":"","family":"Komorowski","given":"Lars","non-dropping-particle":"","parse-names":false,"suffix":""},{"dropping-particle":"","family":"Teegen","given":"Bianca","non-dropping-particle":"","parse-names":false,"suffix":""},{"dropping-particle":"","family":"Liaskos","given":"Christos","non-dropping-particle":"","parse-names":false,"suffix":""},{"dropping-particle":"","family":"Koutsoumpas","given":"Andreas L","non-dropping-particle":"","parse-names":false,"suffix":""},{"dropping-particle":"","family":"Smyk","given":"Daniel S","non-dropping-particle":"","parse-names":false,"suffix":""},{"dropping-particle":"","family":"Perricone","given":"Carlo","non-dropping-particle":"","parse-names":false,"suffix":""},{"dropping-particle":"","family":"Mytilinaiou","given":"Maria G","non-dropping-particle":"","parse-names":false,"suffix":""},{"dropping-particle":"","family":"Stocker","given":"Winfried","non-dropping-particle":"","parse-names":false,"suffix":""},{"dropping-particle":"","family":"Forbes","given":"Alastair","non-dropping-particle":"","parse-names":false,"suffix":""},{"dropping-particle":"","family":"Bogdanos","given":"Dimitrios P","non-dropping-particle":"","parse-names":false,"suffix":""}],"container-title":"Clinical chemistry and laboratory medicine","id":"ITEM-10","issue":"2","issued":{"date-parts":[["2016","2","1"]]},"page":"249-56","title":"Diagnostic and clinical significance of Crohn's disease-specific pancreatic anti-GP2 and anti-CUZD1 antibodies.","type":"article-journal","volume":"54"},"uris":["http://www.mendeley.com/documents/?uuid=577c6c6c-f09e-3779-aa14-2a2a25239d40"]},{"id":"ITEM-11","itemData":{"DOI":"10.1016/J.CCA.2010.12.029","ISSN":"0009-8981","PMID":"21195704","abstract":"BACKGROUND Crohn's disease (CD) is an inflammatory bowel disease (IBD) characterized by reactivity against microbial and self antigens. Zymogen granule glycoprotein 2 (GP2) was identified as the major autoantigen of CD-specific pancreatic autoantibodies (PAB). METHODS Human GP2 was expressed in the Spodoptera frugiperda 9 (Sf9) cell line using the baculovirus system, purified by Ni-chelate chromatography, and used as antigen for anti-GP2 IgA and IgG assessment by enzyme-linked immunosorbent assays (ELISA). Antibodies to mannan of Saccharomyces cerevisiae (ASCA), PAB, and anti-GP2 were investigated in sera of 178 CD patients, 100 ulcerative colitis (UC) patients, and 162 blood donors (BD). RESULTS Anti-GP2 IgG and IgA were found in 48/72 (66.7%) and 23/72 (31.9%) PAB positive and 5/106 (4.7%) and 1/106 (0.9%) PAB negative CD patients (p&lt;0.0001), respectively. CD patients displayed significantly higher reactivity to GP2 than UC patients and BD (p&lt;0.0001), respectively. Occurrence of anti-GP2 antibodies correlated with PAB reactivity (Spearmen's rho=0.493, p&lt;0.00001). There was a significant relationship between the occurrence of ASCA IgG and anti-GP2 IgG (p=0.0307). CONCLUSIONS Anti-GP2 IgG and IgA constitute novel CD specific autoantibodies, the quantification of which could improve the serological diagnosis of IBD.","author":[{"dropping-particle":"","family":"Roggenbuck","given":"Dirk","non-dropping-particle":"","parse-names":false,"suffix":""},{"dropping-particle":"","family":"Reinhold","given":"Dirk","non-dropping-particle":"","parse-names":false,"suffix":""},{"dropping-particle":"","family":"Wex","given":"Thomas","non-dropping-particle":"","parse-names":false,"suffix":""},{"dropping-particle":"","family":"Goihl","given":"Alexander","non-dropping-particle":"","parse-names":false,"suffix":""},{"dropping-particle":"","family":"Arnim","given":"Ulrike","non-dropping-particle":"von","parse-names":false,"suffix":""},{"dropping-particle":"","family":"Malfertheiner","given":"Peter","non-dropping-particle":"","parse-names":false,"suffix":""},{"dropping-particle":"","family":"Büttner","given":"Thomas","non-dropping-particle":"","parse-names":false,"suffix":""},{"dropping-particle":"","family":"Porstmann","given":"Tomas","non-dropping-particle":"","parse-names":false,"suffix":""},{"dropping-particle":"","family":"Porstmann","given":"Silvia","non-dropping-particle":"","parse-names":false,"suffix":""},{"dropping-particle":"","family":"Liedvogel","given":"Bodo","non-dropping-particle":"","parse-names":false,"suffix":""},{"dropping-particle":"","family":"Bogdanos","given":"Dimitrios P.","non-dropping-particle":"","parse-names":false,"suffix":""},{"dropping-particle":"","family":"Laass","given":"Martin W.","non-dropping-particle":"","parse-names":false,"suffix":""},{"dropping-particle":"","family":"Conrad","given":"Karsten","non-dropping-particle":"","parse-names":false,"suffix":""}],"container-title":"Clinica Chimica Acta","id":"ITEM-11","issue":"9-10","issued":{"date-parts":[["2011","4","11"]]},"page":"718-724","publisher":"Elsevier","title":"Autoantibodies to GP2, the major zymogen granule membrane glycoprotein, are new markers in Crohn's disease","type":"article-journal","volume":"412"},"uris":["http://www.mendeley.com/documents/?uuid=670b226c-263e-3b40-9fb0-407d7b31b520"]},{"id":"ITEM-12","itemData":{"DOI":"10.1136/gut.2008.162495","ISSN":"1468-3288","PMID":"19549613","abstract":"BACKGROUND AND AIMS The aetiopathogenesis of Crohn's disease, an inflammatory bowel disease (IBD), is not yet fully understood. Autoimmune mechanisms are thought to play a role in the development of Crohn's disease, but the target antigens and the underlying pathways have not been sufficiently identified. METHODS Based on data from immunoblotting and matrix-assisted laser desorption ionisation time-of-flight (MALDI-TOF) mass spectrometry, the major antigenic target of pancreatic autoantibodies (PABs), which are specific for Crohn's disease, was identified. Specificity of autoantibody reactivity was confirmed by enzyme-linked immunosorbent assay (ELISA) and indirect immunofluorescence (IIF) using purified rat and human recombinant GP2 synthesised in transiently transfected mammalian HEK 293 cells. Real-time polymerase chain reaction (rt-PCR) and IIF were used to detect mRNA and antigen localisation in human colon biopsies. RESULTS The major zymogen granule membrane glycoprotein 2 (GP2) was identified as the autoantigen of PABs in Crohn's disease. PAB-positive sera from patients with Crohn's disease (n = 42) displayed significantly higher IgG reactivity to rat GP2 in ELISA than either PAB-negative sera (n = 31), or sera from patients with ulcerative colitis (n = 49), or sera from blood donors (n = 69) (p&lt;0.0001, respectively). Twenty-eight (66%) and 18 (43%) of 42 PAB-positive sera demonstrated IgG and IgA reactivity to human recombinant GP2 in IIF, respectively. Patients with PAB-negative Crohn's disease (n = 31) were not reactive. GP2 mRNA transcription was significantly higher in colon biopsies from patients with Crohn's disease (n = 4) compared to patients with ulcerative colitis (n = 4) (p = 0.0286). Immunochemical staining confirmed GP2 expression in human colon biopsies from patients with Crohn's disease. CONCLUSION Anti-GP2 autoantibodies constitute novel Crohn's disease-specific markers, the quantification of which could significantly improve the serological diagnosis of IBD. The expression of GP2 in human enterocytes suggests an important role for anti-GP2 response in the pathogenesis of Crohn's disease.","author":[{"dropping-particle":"","family":"Roggenbuck","given":"D","non-dropping-particle":"","parse-names":false,"suffix":""},{"dropping-particle":"","family":"Hausdorf","given":"G","non-dropping-particle":"","parse-names":false,"suffix":""},{"dropping-particle":"","family":"Martinez-Gamboa","given":"L","non-dropping-particle":"","parse-names":false,"suffix":""},{"dropping-particle":"","family":"Reinhold","given":"D","non-dropping-particle":"","parse-names":false,"suffix":""},{"dropping-particle":"","family":"Büttner","given":"T","non-dropping-particle":"","parse-names":false,"suffix":""},{"dropping-particle":"","family":"Jungblut","given":"P R","non-dropping-particle":"","parse-names":false,"suffix":""},{"dropping-particle":"","family":"Porstmann","given":"T","non-dropping-particle":"","parse-names":false,"suffix":""},{"dropping-particle":"","family":"Laass","given":"M W","non-dropping-particle":"","parse-names":false,"suffix":""},{"dropping-particle":"","family":"Henker","given":"J","non-dropping-particle":"","parse-names":false,"suffix":""},{"dropping-particle":"","family":"Büning","given":"C","non-dropping-particle":"","parse-names":false,"suffix":""},{"dropping-particle":"","family":"Feist","given":"E","non-dropping-particle":"","parse-names":false,"suffix":""},{"dropping-particle":"","family":"Conrad","given":"K","non-dropping-particle":"","parse-names":false,"suffix":""}],"container-title":"Gut","id":"ITEM-12","issue":"12","issued":{"date-parts":[["2009","12","1"]]},"page":"1620-8","title":"Identification of GP2, the major zymogen granule membrane glycoprotein, as the autoantigen of pancreatic antibodies in Crohn's disease.","type":"article-journal","volume":"58"},"uris":["http://www.mendeley.com/documents/?uuid=c82ffa67-e9ea-3427-a545-59772317490a"]},{"id":"ITEM-13","itemData":{"DOI":"10.1515/cclm-2014-0238","ISSN":"1437-4331","PMID":"25411995","abstract":"BACKGROUND Autoantibodies to exocrine-pancreatic glycoprotein 2 (anti-GP2) are Crohn's disease (CD) markers. However, CD-specific antibodies have also been found in celiac-disease (CeD) patients, in which type 1 diabetes-specific autoantibodies against endocrine pancreatic targets can be present. We investigated whether anti-GP2 are also present in CeD, a disease like CD which is also characterised by intestinal mucosal inflammation with barrier impairment. METHODS Antibodies against GP2, tissue transglutaminase (tTG), deamidated gliadin (dGD), glutamic decarboxylase (GAD), and islet antigen-2 (IA2) were tested in sera from 73 CD patients, 90 blood donors (BD), and 79 (58 de novo) CeD patients (2 consecutive sera were available from 40 patients). RESULTS IgA and/or IgG anti-GP2 were found in 15/79 (19.0%) CeD patients on at least one occasion, in 25/73 (34.2%) CD patients, and in 4/90 (4.4%) BD (CeD vs. CD, p=0.042; BD vs. CeD and CD, p&lt;0.001, respectively). Amongst the 58 de novo CeD patients, anti-GP2 IgA and/or IgG were present in 11 (19.0%). Anti-GP2 IgA was significantly less prevalent in CeD compared with CD (p=0.004). Anti-GP2 IgA and IgG in CD patients demonstrated a significantly higher median level compared to patients with CeD (p&lt;0.001, p=0.008, respectively). IgA anti-GP2 levels correlated significantly with IgA anti-tTG and anti-dGD levels in CeD Spearman's coefficient of rank correlation (ρ)=0.42, confidence interval (CI): 0.26-0.56, p&lt;0.001; ρ=0.54, CI 0.39-0.65, p&lt;0.001, respectively. CONCLUSIONS The presence of anti-GP2 in CeD patients supports the notion that loss of tolerance to GP2 can probably be a manifestation of an autoinflammatory process in this intestinal disorder.","author":[{"dropping-particle":"","family":"Roggenbuck","given":"Dirk","non-dropping-particle":"","parse-names":false,"suffix":""},{"dropping-particle":"","family":"Vermeire","given":"Severine","non-dropping-particle":"","parse-names":false,"suffix":""},{"dropping-particle":"","family":"Hoffman","given":"Ilse","non-dropping-particle":"","parse-names":false,"suffix":""},{"dropping-particle":"","family":"Reinhold","given":"Dirk","non-dropping-particle":"","parse-names":false,"suffix":""},{"dropping-particle":"","family":"Schierack","given":"Peter","non-dropping-particle":"","parse-names":false,"suffix":""},{"dropping-particle":"","family":"Goihl","given":"Alexander","non-dropping-particle":"","parse-names":false,"suffix":""},{"dropping-particle":"","family":"Arnim","given":"Ulrike","non-dropping-particle":"von","parse-names":false,"suffix":""},{"dropping-particle":"","family":"Hertogh","given":"Gert","non-dropping-particle":"De","parse-names":false,"suffix":""},{"dropping-particle":"","family":"Polymeros","given":"Dimitrios","non-dropping-particle":"","parse-names":false,"suffix":""},{"dropping-particle":"","family":"Bogdanos","given":"Dimitrios P","non-dropping-particle":"","parse-names":false,"suffix":""},{"dropping-particle":"","family":"Bossuyt","given":"Xavier","non-dropping-particle":"","parse-names":false,"suffix":""}],"container-title":"Clinical chemistry and laboratory medicine","id":"ITEM-13","issue":"9","issued":{"date-parts":[["2015","8","1"]]},"page":"1349-57","title":"Evidence of Crohn's disease-related anti-glycoprotein 2 antibodies in patients with celiac disease.","type":"article-journal","volume":"53"},"uris":["http://www.mendeley.com/documents/?uuid=b9968e59-d7f7-3b04-9056-e04c43a3b853"]},{"id":"ITEM-14","itemData":{"DOI":"10.1097/MD.0000000000001654","ISSN":"0025-7974","PMID":"26496271","abstract":"The need for reliable biomarkers for distinguishing Crohn disease (CD) from ulcerative colitis (UC) is increasing. This study aimed at evaluating the diagnostic potential of anti-GP2 antibodies as a biomarker in Chinese patients with CD. In addition, a variety of autoantibodies, including anti-saccharomyces cerevisiae antibodies (ASCA), perinuclear anti-neutrophil cytoplasmic antibodies (PANCA), anti-intestinal goblet cell autoantibodies (GAB), and anti-pancreatic autoantibodies (PAB), were evaluated.A total of 91 subjects were prospectively enrolled in this study, including 35 patients with CD, 35 patients with UC, 13 patients with non-IBD gastrointestinal diseases as disease controls (non-IBD DC), and 8 healthy controls (HC). The diagnosis of IBD was determined based on the Lennard-Jones criteria, and the clinical phenotypes of the IBD patients were determined based on the Montreal Classification.Anti-GP2 IgG antibodies were significantly elevated in patients with CD, compared with patients with UC (P = 0.0038), HC (P = 0.0055), and non-IBD DC (P = 0.0063). The prevalence of anti-GP2 IgG, anti-GP2 IgA and anti-GP2 IgA, or IgG antibodies in patients with CD was 40.0%, 37.1%, and 54.3%, respectively, which were higher than those in non-IBD DC (anti-GP2 IgG, 15.4%; anti-GP2 IgA, 7.7%; and anti-GP2 IgA or IgG, 23.1%) and those in patients with UC (anti-GP2 IgG, 11.4%; anti-GP2 IgA, 2.9%; and anti-GP2 IgA or IgG, 14.3%). For distinguishing CD from UC, the sensitivity, specificity, positive predictive value (PPV) and positive likelihood ratios (LR+) were 40%, 88.6%, 77.8%, and 3.51 for anti-GP2 IgG, 37.1%, 97.1%, 92.9%, and 13.0 for anti-GP2 IgA, and 54.3%, 85.3%, 79.2%, and 3.69 for anti-GP2 IgA or IgG. For CD diagnosis, the combination of anti-GP2 antibodies with ASCA IgA increased the sensitivity to 68.6% with moderate loss of specificity to 74.3%. Spearman's rank of order revealed a significantly positive correlation of anti-GP2 IgG with ileocolonic location of disease (L3) (P = 0.043) and a negative correlation of anti-GP2 IgA with biologic therapy (P = 0.012).Our findings suggest that anti-GP2 antibodies could serve as a biomarker for distinguishing patients with CD from patients with UC, and the combination of anti-GP2 antibodies with ASCA IgA may improve the predictive power.","author":[{"dropping-particle":"","family":"Zhang","given":"Shulan","non-dropping-particle":"","parse-names":false,"suffix":""},{"dropping-particle":"","family":"Wu","given":"Ziyan","non-dropping-particle":"","parse-names":false,"suffix":""},{"dropping-particle":"","family":"Luo","given":"Jing","non-dropping-particle":"","parse-names":false,"suffix":""},{"dropping-particle":"","family":"Ding","given":"Xuefeng","non-dropping-particle":"","parse-names":false,"suffix":""},{"dropping-particle":"","family":"Hu","given":"Chaojun","non-dropping-particle":"","parse-names":false,"suffix":""},{"dropping-particle":"","family":"Li","given":"Ping","non-dropping-particle":"","parse-names":false,"suffix":""},{"dropping-particle":"","family":"Deng","given":"Chuiwen","non-dropping-particle":"","parse-names":false,"suffix":""},{"dropping-particle":"","family":"Zhang","given":"Fengchun","non-dropping-particle":"","parse-names":false,"suffix":""},{"dropping-particle":"","family":"Qian","given":"Jiaming","non-dropping-particle":"","parse-names":false,"suffix":""},{"dropping-particle":"","family":"Li","given":"Yongzhe","non-dropping-particle":"","parse-names":false,"suffix":""}],"container-title":"Medicine","id":"ITEM-14","issue":"42","issued":{"date-parts":[["2015","10"]]},"page":"e1654","title":"Diagnostic Potential of Zymogen Granule Glycoprotein 2 Antibodies as Serologic Biomarkers in Chinese Patients With Crohn Disease","type":"article-journal","volume":"94"},"uris":["http://www.mendeley.com/documents/?uuid=10c13fea-3c93-3da3-83f8-36daa9645729"]},{"id":"ITEM-15","itemData":{"DOI":"10.1038/ctg.2018.1","ISSN":"2155-384X","PMID":"29446764","abstract":"OBJECTIVES There is an increasing need to identify reliable biomarkers for distinguishing Crohn's disease (CD) from other gastrointestinal disorders sharing similar clinical and pathological features. This study aimed at evaluating the diagnostic potential of antibodies to zymogen granule glycoprotein GP2 (aGP2) in a large, well-defined Chinese cohort with a special focus on their role in discriminating CD from intestinal Behçet's disease (BD) and intestinal tubercolosis (ITB). METHODS A total of 577 subjects were prospectively enrolled, including 171 patients with CD, 208 patients with ulcerative colitis (UC), 71 with BD, 57 with ITB and 70 healthy controls (HC). aGP2 and anti-Saccharomyces cerevisiae antibodies (ASCA) were determined by ELISA. Perinuclear antineutrophil cytoplasmic antibodies were tested by indirect immunofluorescent assay. RESULTS aGP2 IgG and IgA levels were significantly elevated in patients with CD compared with those in patients with UC, intestinal BD, and ITB and HC. Conversely, ASCA IgG levels were not different between CD and intestinal BD patients, whereas ASCA IgA levels did not discriminate CD from intestinal BD and ITB patients. aGP2 IgA and IgG displayed a better assay performance (larger areas under the curve) over ASCA IgA and IgG in differentiating CD from disease controls (P&lt;0.05). ASCA IgA did not discriminate CD from disease controls. aGP2 IgA and/or IgG was significantly associated with penetrating disease (B3) and ileal CD (L1) (P&lt;0.05), whereas ASCA IgA and/or IgG was not. CONCLUSIONS In comparison with ASCA, aGP2 distinguishes CD from intestinal BD or ITB as disease controls more efficiently, aiding in the differential diagnosis of IBD.","author":[{"dropping-particle":"","family":"Zhang","given":"Shulan","non-dropping-particle":"","parse-names":false,"suffix":""},{"dropping-particle":"","family":"Luo","given":"Jing","non-dropping-particle":"","parse-names":false,"suffix":""},{"dropping-particle":"","family":"Wu","given":"Ziyan","non-dropping-particle":"","parse-names":false,"suffix":""},{"dropping-particle":"","family":"Roggenbuck","given":"Dirk","non-dropping-particle":"","parse-names":false,"suffix":""},{"dropping-particle":"","family":"Schierack","given":"Peter","non-dropping-particle":"","parse-names":false,"suffix":""},{"dropping-particle":"","family":"Reinhold","given":"Dirk","non-dropping-particle":"","parse-names":false,"suffix":""},{"dropping-particle":"","family":"Li","given":"Ji","non-dropping-particle":"","parse-names":false,"suffix":""},{"dropping-particle":"","family":"Zeng","given":"Xiaofeng","non-dropping-particle":"","parse-names":false,"suffix":""},{"dropping-particle":"","family":"Zhang","given":"Fengchun","non-dropping-particle":"","parse-names":false,"suffix":""},{"dropping-particle":"","family":"Qian","given":"Jiaming","non-dropping-particle":"","parse-names":false,"suffix":""},{"dropping-particle":"","family":"Li","given":"Yongzhe","non-dropping-particle":"","parse-names":false,"suffix":""}],"container-title":"Clinical and translational gastroenterology","id":"ITEM-15","issue":"2","issued":{"date-parts":[["2018","2","15"]]},"page":"e133","title":"Antibodies against glycoprotein 2 display diagnostic advantages over ASCA in distinguishing CD from intestinal tuberculosis and intestinal Behçet's disease.","type":"article-journal","volume":"9"},"uris":["http://www.mendeley.com/documents/?uuid=d0ca257a-84a4-38bf-8e74-d3f5b43880e2"]}],"mendeley":{"formattedCitation":"&lt;sup&gt;[41,42,54–58,43,46–52]&lt;/sup&gt;","plainTextFormattedCitation":"[41,42,54–58,43,46–52]","previouslyFormattedCitation":"&lt;sup&gt;[41–44,46–51,54–58]&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008E3016" w:rsidRPr="008E3F16">
        <w:rPr>
          <w:rFonts w:ascii="Book Antiqua" w:hAnsi="Book Antiqua" w:cs="Arial"/>
          <w:noProof/>
          <w:color w:val="000000" w:themeColor="text1"/>
          <w:vertAlign w:val="superscript"/>
          <w:lang w:val="en-US"/>
        </w:rPr>
        <w:t>[41</w:t>
      </w:r>
      <w:r w:rsidR="00AD7D88" w:rsidRPr="008E3F16">
        <w:rPr>
          <w:rFonts w:ascii="Book Antiqua" w:hAnsi="Book Antiqua" w:cs="Arial"/>
          <w:noProof/>
          <w:color w:val="000000" w:themeColor="text1"/>
          <w:vertAlign w:val="superscript"/>
          <w:lang w:val="en-US"/>
        </w:rPr>
        <w:t>-</w:t>
      </w:r>
      <w:r w:rsidR="008E3016" w:rsidRPr="008E3F16">
        <w:rPr>
          <w:rFonts w:ascii="Book Antiqua" w:hAnsi="Book Antiqua" w:cs="Arial"/>
          <w:noProof/>
          <w:color w:val="000000" w:themeColor="text1"/>
          <w:vertAlign w:val="superscript"/>
          <w:lang w:val="en-US"/>
        </w:rPr>
        <w:t>4</w:t>
      </w:r>
      <w:r w:rsidR="00AD7D88" w:rsidRPr="008E3F16">
        <w:rPr>
          <w:rFonts w:ascii="Book Antiqua" w:hAnsi="Book Antiqua" w:cs="Arial"/>
          <w:noProof/>
          <w:color w:val="000000" w:themeColor="text1"/>
          <w:vertAlign w:val="superscript"/>
          <w:lang w:val="en-US"/>
        </w:rPr>
        <w:t>3</w:t>
      </w:r>
      <w:r w:rsidR="008E3016" w:rsidRPr="008E3F16">
        <w:rPr>
          <w:rFonts w:ascii="Book Antiqua" w:hAnsi="Book Antiqua" w:cs="Arial"/>
          <w:noProof/>
          <w:color w:val="000000" w:themeColor="text1"/>
          <w:vertAlign w:val="superscript"/>
          <w:lang w:val="en-US"/>
        </w:rPr>
        <w:t>,54–58,46–52]</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w:t>
      </w:r>
    </w:p>
    <w:p w14:paraId="76A23578" w14:textId="77777777" w:rsidR="00E82B0E" w:rsidRPr="008E3F16" w:rsidRDefault="00E82B0E" w:rsidP="00C66188">
      <w:pPr>
        <w:adjustRightInd w:val="0"/>
        <w:snapToGrid w:val="0"/>
        <w:spacing w:line="360" w:lineRule="auto"/>
        <w:jc w:val="both"/>
        <w:rPr>
          <w:rFonts w:ascii="Book Antiqua" w:hAnsi="Book Antiqua" w:cs="Arial"/>
          <w:iCs/>
          <w:color w:val="000000" w:themeColor="text1"/>
          <w:lang w:val="en-US"/>
        </w:rPr>
      </w:pPr>
    </w:p>
    <w:p w14:paraId="47EA2CE9" w14:textId="77777777" w:rsidR="00E82B0E" w:rsidRPr="008E3F16" w:rsidRDefault="00E82B0E" w:rsidP="00C66188">
      <w:pPr>
        <w:adjustRightInd w:val="0"/>
        <w:snapToGrid w:val="0"/>
        <w:spacing w:line="360" w:lineRule="auto"/>
        <w:jc w:val="both"/>
        <w:rPr>
          <w:rFonts w:ascii="Book Antiqua" w:hAnsi="Book Antiqua" w:cs="Arial"/>
          <w:b/>
          <w:bCs/>
          <w:i/>
          <w:color w:val="000000" w:themeColor="text1"/>
          <w:lang w:val="en-US"/>
        </w:rPr>
      </w:pPr>
      <w:r w:rsidRPr="008E3F16">
        <w:rPr>
          <w:rFonts w:ascii="Book Antiqua" w:hAnsi="Book Antiqua" w:cs="Arial"/>
          <w:b/>
          <w:bCs/>
          <w:i/>
          <w:color w:val="000000" w:themeColor="text1"/>
          <w:lang w:val="en-US"/>
        </w:rPr>
        <w:t>Study characteristics and quality assessment of studies</w:t>
      </w:r>
    </w:p>
    <w:p w14:paraId="7DC9CB45" w14:textId="0AEFEDE6" w:rsidR="00E82B0E" w:rsidRPr="008E3F16" w:rsidRDefault="00E82B0E"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lastRenderedPageBreak/>
        <w:t xml:space="preserve">Table </w:t>
      </w:r>
      <w:r w:rsidR="00E6147D" w:rsidRPr="008E3F16">
        <w:rPr>
          <w:rFonts w:ascii="Book Antiqua" w:hAnsi="Book Antiqua" w:cs="Arial"/>
          <w:color w:val="000000" w:themeColor="text1"/>
          <w:lang w:val="en-US"/>
        </w:rPr>
        <w:t>2</w:t>
      </w:r>
      <w:r w:rsidRPr="008E3F16">
        <w:rPr>
          <w:rFonts w:ascii="Book Antiqua" w:hAnsi="Book Antiqua" w:cs="Arial"/>
          <w:color w:val="000000" w:themeColor="text1"/>
          <w:lang w:val="en-US"/>
        </w:rPr>
        <w:t xml:space="preserve"> details the characteristics of the 18 primary DTA studies included in the systematic review. All retrieved studies involved full-text articles, except from the one by </w:t>
      </w:r>
      <w:r w:rsidR="00D25A2A" w:rsidRPr="008E3F16">
        <w:rPr>
          <w:rFonts w:ascii="Book Antiqua" w:hAnsi="Book Antiqua" w:cs="Arial"/>
          <w:color w:val="000000" w:themeColor="text1"/>
          <w:lang w:val="en-US"/>
        </w:rPr>
        <w:t xml:space="preserve">Op De Beéck </w:t>
      </w:r>
      <w:r w:rsidR="00D25A2A" w:rsidRPr="008E3F16">
        <w:rPr>
          <w:rFonts w:ascii="Book Antiqua" w:hAnsi="Book Antiqua" w:cs="Arial"/>
          <w:i/>
          <w:iCs/>
          <w:color w:val="000000" w:themeColor="text1"/>
          <w:lang w:val="en-US"/>
        </w:rPr>
        <w:t>et al</w:t>
      </w:r>
      <w:r w:rsidRPr="008E3F16">
        <w:rPr>
          <w:rFonts w:ascii="Book Antiqua" w:hAnsi="Book Antiqua" w:cs="Arial"/>
          <w:color w:val="000000" w:themeColor="text1"/>
          <w:lang w:val="en-US"/>
        </w:rPr>
        <w:fldChar w:fldCharType="begin" w:fldLock="1"/>
      </w:r>
      <w:r w:rsidR="008E3016" w:rsidRPr="008E3F16">
        <w:rPr>
          <w:rFonts w:ascii="Book Antiqua" w:hAnsi="Book Antiqua" w:cs="Arial"/>
          <w:color w:val="000000" w:themeColor="text1"/>
          <w:lang w:val="en-US"/>
        </w:rPr>
        <w:instrText>ADDIN CSL_CITATION {"citationItems":[{"id":"ITEM-1","itemData":{"DOI":"10.1136/gut.2010.233148","ISSN":"0017-5749","PMID":"21193445","author":[{"dropping-particle":"","family":"Beéck","given":"Katrijn","non-dropping-particle":"Op De","parse-names":false,"suffix":""},{"dropping-particle":"","family":"Vermeire","given":"Séverine","non-dropping-particle":"","parse-names":false,"suffix":""},{"dropping-particle":"","family":"Rutgeerts","given":"Paul","non-dropping-particle":"","parse-names":false,"suffix":""},{"dropping-particle":"","family":"Bossuyt","given":"Xavier","non-dropping-particle":"","parse-names":false,"suffix":""}],"container-title":"Gut","id":"ITEM-1","issue":"1","issued":{"date-parts":[["2012","1"]]},"page":"162.3-164","title":"Antibodies to GP2, the major zymogen granule membrane glycoprotein, in inflammatory bowel diseases","type":"article-journal","volume":"61"},"uris":["http://www.mendeley.com/documents/?uuid=adfa91ac-e3b5-3161-9581-86e336622463"]}],"mendeley":{"formattedCitation":"&lt;sup&gt;[48]&lt;/sup&gt;","plainTextFormattedCitation":"[48]","previouslyFormattedCitation":"&lt;sup&gt;[56]&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008E3016" w:rsidRPr="008E3F16">
        <w:rPr>
          <w:rFonts w:ascii="Book Antiqua" w:hAnsi="Book Antiqua" w:cs="Arial"/>
          <w:noProof/>
          <w:color w:val="000000" w:themeColor="text1"/>
          <w:vertAlign w:val="superscript"/>
          <w:lang w:val="en-US"/>
        </w:rPr>
        <w:t>[48]</w:t>
      </w:r>
      <w:r w:rsidRPr="008E3F16">
        <w:rPr>
          <w:rFonts w:ascii="Book Antiqua" w:hAnsi="Book Antiqua" w:cs="Arial"/>
          <w:color w:val="000000" w:themeColor="text1"/>
          <w:lang w:val="en-US"/>
        </w:rPr>
        <w:fldChar w:fldCharType="end"/>
      </w:r>
      <w:r w:rsidR="00076E5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which was in Letter format. None of the studies reported information on the ethnicity of the samples. </w:t>
      </w:r>
      <w:r w:rsidR="00641D17" w:rsidRPr="008E3F16">
        <w:rPr>
          <w:rFonts w:ascii="Book Antiqua" w:hAnsi="Book Antiqua" w:cs="Arial"/>
          <w:color w:val="000000" w:themeColor="text1"/>
          <w:lang w:val="en-US"/>
        </w:rPr>
        <w:t xml:space="preserve">The </w:t>
      </w:r>
      <w:r w:rsidRPr="008E3F16">
        <w:rPr>
          <w:rFonts w:ascii="Book Antiqua" w:hAnsi="Book Antiqua" w:cs="Arial"/>
          <w:color w:val="000000" w:themeColor="text1"/>
          <w:lang w:val="en-US"/>
        </w:rPr>
        <w:t xml:space="preserve">Bonaci-Nicolic </w:t>
      </w:r>
      <w:r w:rsidR="00AD7D88" w:rsidRPr="008E3F16">
        <w:rPr>
          <w:rFonts w:ascii="Book Antiqua" w:hAnsi="Book Antiqua" w:cs="Arial"/>
          <w:i/>
          <w:iCs/>
          <w:color w:val="000000" w:themeColor="text1"/>
          <w:lang w:val="en-US"/>
        </w:rPr>
        <w:t>et al</w:t>
      </w:r>
      <w:r w:rsidRPr="008E3F16">
        <w:rPr>
          <w:rFonts w:ascii="Book Antiqua" w:hAnsi="Book Antiqua" w:cs="Arial"/>
          <w:color w:val="000000" w:themeColor="text1"/>
          <w:lang w:val="en-US"/>
        </w:rPr>
        <w:fldChar w:fldCharType="begin" w:fldLock="1"/>
      </w:r>
      <w:r w:rsidRPr="008E3F16">
        <w:rPr>
          <w:rFonts w:ascii="Book Antiqua" w:hAnsi="Book Antiqua" w:cs="Arial"/>
          <w:color w:val="000000" w:themeColor="text1"/>
          <w:lang w:val="en-US"/>
        </w:rPr>
        <w:instrText>ADDIN CSL_CITATION {"citationItems":[{"id":"ITEM-1","itemData":{"DOI":"10.1016/j.cca.2012.01.005","ISSN":"1873-3492","PMID":"22269156","author":[{"dropping-particle":"","family":"Bonaci-Nikolic","given":"Branka","non-dropping-particle":"","parse-names":false,"suffix":""},{"dropping-particle":"","family":"Spuran","given":"Milan","non-dropping-particle":"","parse-names":false,"suffix":""},{"dropping-particle":"","family":"Andrejevic","given":"Sladjana","non-dropping-particle":"","parse-names":false,"suffix":""},{"dropping-particle":"","family":"Nikolic","given":"Milos","non-dropping-particle":"","parse-names":false,"suffix":""}],"container-title":"Clinica chimica acta; international journal of clinical chemistry","id":"ITEM-1","issue":"7-8","issued":{"date-parts":[["2012","4","11"]]},"page":"822-3","title":"Autoantibodies to GP2, the major zymogen granule membrane glycoprotein, in patients with gluten-sensitive enteropathy: a possible serological trap.","type":"article-journal","volume":"413"},"uris":["http://www.mendeley.com/documents/?uuid=d097aba8-e43d-32a6-a76a-485aab3db298"]}],"mendeley":{"formattedCitation":"&lt;sup&gt;[42]&lt;/sup&gt;","plainTextFormattedCitation":"[42]","previouslyFormattedCitation":"&lt;sup&gt;[42]&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[42]</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study </w:t>
      </w:r>
      <w:r w:rsidR="00641D17" w:rsidRPr="008E3F16">
        <w:rPr>
          <w:rFonts w:ascii="Book Antiqua" w:hAnsi="Book Antiqua" w:cs="Arial"/>
          <w:color w:val="000000" w:themeColor="text1"/>
          <w:lang w:val="en-US"/>
        </w:rPr>
        <w:t xml:space="preserve">was the only one </w:t>
      </w:r>
      <w:r w:rsidRPr="008E3F16">
        <w:rPr>
          <w:rFonts w:ascii="Book Antiqua" w:hAnsi="Book Antiqua" w:cs="Arial"/>
          <w:color w:val="000000" w:themeColor="text1"/>
          <w:lang w:val="en-US"/>
        </w:rPr>
        <w:t xml:space="preserve">lacking ethical permission disclosure, whereas the DTA by </w:t>
      </w:r>
      <w:r w:rsidR="00D25A2A" w:rsidRPr="008E3F16">
        <w:rPr>
          <w:rFonts w:ascii="Book Antiqua" w:hAnsi="Book Antiqua" w:cs="Arial"/>
          <w:color w:val="000000" w:themeColor="text1"/>
          <w:lang w:val="en-US"/>
        </w:rPr>
        <w:t>Op De Beéck</w:t>
      </w:r>
      <w:r w:rsidRPr="008E3F16">
        <w:rPr>
          <w:rFonts w:ascii="Book Antiqua" w:hAnsi="Book Antiqua" w:cs="Arial"/>
          <w:color w:val="000000" w:themeColor="text1"/>
          <w:lang w:val="en-US"/>
        </w:rPr>
        <w:t xml:space="preserve"> </w:t>
      </w:r>
      <w:r w:rsidR="00D25A2A" w:rsidRPr="008E3F16">
        <w:rPr>
          <w:rFonts w:ascii="Book Antiqua" w:hAnsi="Book Antiqua" w:cs="Arial"/>
          <w:i/>
          <w:iCs/>
          <w:color w:val="000000" w:themeColor="text1"/>
          <w:lang w:val="en-US"/>
        </w:rPr>
        <w:t>et al</w:t>
      </w:r>
      <w:r w:rsidRPr="008E3F16">
        <w:rPr>
          <w:rFonts w:ascii="Book Antiqua" w:hAnsi="Book Antiqua" w:cs="Arial"/>
          <w:color w:val="000000" w:themeColor="text1"/>
          <w:lang w:val="en-US"/>
        </w:rPr>
        <w:fldChar w:fldCharType="begin" w:fldLock="1"/>
      </w:r>
      <w:r w:rsidR="008E3016" w:rsidRPr="008E3F16">
        <w:rPr>
          <w:rFonts w:ascii="Book Antiqua" w:hAnsi="Book Antiqua" w:cs="Arial"/>
          <w:color w:val="000000" w:themeColor="text1"/>
          <w:lang w:val="en-US"/>
        </w:rPr>
        <w:instrText>ADDIN CSL_CITATION {"citationItems":[{"id":"ITEM-1","itemData":{"DOI":"10.1136/gut.2010.233148","ISSN":"0017-5749","PMID":"21193445","author":[{"dropping-particle":"","family":"Beéck","given":"Katrijn","non-dropping-particle":"Op De","parse-names":false,"suffix":""},{"dropping-particle":"","family":"Vermeire","given":"Séverine","non-dropping-particle":"","parse-names":false,"suffix":""},{"dropping-particle":"","family":"Rutgeerts","given":"Paul","non-dropping-particle":"","parse-names":false,"suffix":""},{"dropping-particle":"","family":"Bossuyt","given":"Xavier","non-dropping-particle":"","parse-names":false,"suffix":""}],"container-title":"Gut","id":"ITEM-1","issue":"1","issued":{"date-parts":[["2012","1"]]},"page":"162.3-164","title":"Antibodies to GP2, the major zymogen granule membrane glycoprotein, in inflammatory bowel diseases","type":"article-journal","volume":"61"},"uris":["http://www.mendeley.com/documents/?uuid=adfa91ac-e3b5-3161-9581-86e336622463"]}],"mendeley":{"formattedCitation":"&lt;sup&gt;[48]&lt;/sup&gt;","plainTextFormattedCitation":"[48]","previouslyFormattedCitation":"&lt;sup&gt;[56]&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008E3016" w:rsidRPr="008E3F16">
        <w:rPr>
          <w:rFonts w:ascii="Book Antiqua" w:hAnsi="Book Antiqua" w:cs="Arial"/>
          <w:noProof/>
          <w:color w:val="000000" w:themeColor="text1"/>
          <w:vertAlign w:val="superscript"/>
          <w:lang w:val="en-US"/>
        </w:rPr>
        <w:t>[48]</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had reported related ethics in a previous study using part of the same sample</w:t>
      </w:r>
      <w:r w:rsidRPr="008E3F16">
        <w:rPr>
          <w:rFonts w:ascii="Book Antiqua" w:hAnsi="Book Antiqua" w:cs="Arial"/>
          <w:color w:val="000000" w:themeColor="text1"/>
          <w:lang w:val="en-US"/>
        </w:rPr>
        <w:fldChar w:fldCharType="begin" w:fldLock="1"/>
      </w:r>
      <w:r w:rsidR="00A23AC9" w:rsidRPr="008E3F16">
        <w:rPr>
          <w:rFonts w:ascii="Book Antiqua" w:hAnsi="Book Antiqua" w:cs="Arial"/>
          <w:color w:val="000000" w:themeColor="text1"/>
          <w:lang w:val="en-US"/>
        </w:rPr>
        <w:instrText>ADDIN CSL_CITATION {"citationItems":[{"id":"ITEM-1","itemData":{"DOI":"10.1097/00054725-200411000-00012","ISSN":"1078-0998","PMID":"15626896","abstract":"BACKGROUND Autoantibodies against exocrine pancreas (PABs) have been reported to be specific for Crohn's disease (CD), albeit at a low prevalence (30%). We studied PABs in patients with inflammatory bowel disease (IBD), unaffected family members, and control subjects. METHODS A Belgian study cohort of 575 subjects, including 289 IBD patients (CD, 169 patients; ulcerative colitis [UC], 120 patients), 108 unaffected first-degree relatives, 78 subjects with non-IBD gastrointestinal disorders (gastrointestinal control subjects [GIcos]), and 100 healthy control subjects (Hcos), were tested for PAB by a standardized indirect immunofluorescence method. RESULTS The prevalence of PABs in this study cohort was 32% for CD, 23.3% for UC, and 22.2% for their unaffected family members (all P &lt; 0.001), compared with 1.3% for GIcos and 0% for Hcos. Two staining patterns could be observed: an intracellular pattern (IC); and an extracellular pattern (EC). The EC was significantly more prevalent in CD patients compared with UC patients (P = 0.014), and higher titers of this pattern were found in CD patients (P = 0.01). Both PAB patterns were negatively associated with stricturing disease behavior of CD (P = 0.021). The IC was associated with familial CD (P = 0.0009) and familial UC (P = 0.0003). CONCLUSIONS The prevalence of PAB found in CD patients in this study was similar to that cited in previous reports. In contrast to these reports, we also found an increased prevalence of PABs in patients with UC and in unaffected first-degree relatives of IBD patients. We observed two main staining patterns, both of which were present in IBD and were associated with specific phenotypes of the disease.","author":[{"dropping-particle":"","family":"Joossens","given":"Sofie","non-dropping-particle":"","parse-names":false,"suffix":""},{"dropping-particle":"","family":"Vermeire","given":"Severine","non-dropping-particle":"","parse-names":false,"suffix":""},{"dropping-particle":"","family":"Steen","given":"Kristel","non-dropping-particle":"Van","parse-names":false,"suffix":""},{"dropping-particle":"","family":"Godefridis","given":"Godelieve","non-dropping-particle":"","parse-names":false,"suffix":""},{"dropping-particle":"","family":"Claessens","given":"Greet","non-dropping-particle":"","parse-names":false,"suffix":""},{"dropping-particle":"","family":"Pierik","given":"Marie","non-dropping-particle":"","parse-names":false,"suffix":""},{"dropping-particle":"","family":"Vlietinck","given":"Robert","non-dropping-particle":"","parse-names":false,"suffix":""},{"dropping-particle":"","family":"Aerts","given":"Raymond","non-dropping-particle":"","parse-names":false,"suffix":""},{"dropping-particle":"","family":"Rutgeerts","given":"Paul","non-dropping-particle":"","parse-names":false,"suffix":""},{"dropping-particle":"","family":"Bossuyt","given":"Xavier","non-dropping-particle":"","parse-names":false,"suffix":""}],"container-title":"Inflammatory bowel diseases","id":"ITEM-1","issue":"6","issued":{"date-parts":[["2004","11"]]},"page":"771-7","title":"Pancreatic autoantibodies in inflammatory bowel disease.","type":"article-journal","volume":"10"},"uris":["http://www.mendeley.com/documents/?uuid=09f10f5c-0515-36f9-85d4-3177159485e2"]}],"mendeley":{"formattedCitation":"&lt;sup&gt;[59]&lt;/sup&gt;","plainTextFormattedCitation":"[59]","previouslyFormattedCitation":"&lt;sup&gt;[59]&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[59]</w:t>
      </w:r>
      <w:r w:rsidRPr="008E3F16">
        <w:rPr>
          <w:rFonts w:ascii="Book Antiqua" w:hAnsi="Book Antiqua" w:cs="Arial"/>
          <w:color w:val="000000" w:themeColor="text1"/>
          <w:lang w:val="en-US"/>
        </w:rPr>
        <w:fldChar w:fldCharType="end"/>
      </w:r>
      <w:r w:rsidR="00076E5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Cummings and associates</w:t>
      </w:r>
      <w:r w:rsidRPr="008E3F16">
        <w:rPr>
          <w:rFonts w:ascii="Book Antiqua" w:hAnsi="Book Antiqua" w:cs="Arial"/>
          <w:color w:val="000000" w:themeColor="text1"/>
          <w:lang w:val="en-US"/>
        </w:rPr>
        <w:fldChar w:fldCharType="begin" w:fldLock="1"/>
      </w:r>
      <w:r w:rsidR="008E3016" w:rsidRPr="008E3F16">
        <w:rPr>
          <w:rFonts w:ascii="Book Antiqua" w:hAnsi="Book Antiqua" w:cs="Arial"/>
          <w:color w:val="000000" w:themeColor="text1"/>
          <w:lang w:val="en-US"/>
        </w:rPr>
        <w:instrText>ADDIN CSL_CITATION {"citationItems":[{"id":"ITEM-1","itemData":{"DOI":"10.1111/apt.15034","ISSN":"13652036","PMID":"30411391","abstract":"Background: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Therapeutics","id":"ITEM-1","issue":"11-12","issued":{"date-parts":[["2018","12","1"]]},"page":"1251-1259","publisher":"John Wiley &amp; Sons, Ltd (10.1111)","title":"Loss of tolerance to glycoprotein 2 isoforms 1 and 4 is associated with Crohn’s disease of the pouch","type":"article-journal","volume":"48"},"uris":["http://www.mendeley.com/documents/?uuid=413ef96f-4c6c-3af1-92b3-c49157b781d6"]}],"mendeley":{"formattedCitation":"&lt;sup&gt;[44]&lt;/sup&gt;","plainTextFormattedCitation":"[44]","previouslyFormattedCitation":"&lt;sup&gt;[52]&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008E3016" w:rsidRPr="008E3F16">
        <w:rPr>
          <w:rFonts w:ascii="Book Antiqua" w:hAnsi="Book Antiqua" w:cs="Arial"/>
          <w:noProof/>
          <w:color w:val="000000" w:themeColor="text1"/>
          <w:vertAlign w:val="superscript"/>
          <w:lang w:val="en-US"/>
        </w:rPr>
        <w:t>[44]</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were the only ones recruiting unrelated participants, whereas seven DTA studies in total included children in their samples. Only five studies assured blinding the assays</w:t>
      </w:r>
      <w:r w:rsidRPr="008E3F16">
        <w:rPr>
          <w:rFonts w:ascii="Book Antiqua" w:hAnsi="Book Antiqua" w:cs="Arial"/>
          <w:color w:val="000000" w:themeColor="text1"/>
          <w:lang w:val="en-US"/>
        </w:rPr>
        <w:fldChar w:fldCharType="begin" w:fldLock="1"/>
      </w:r>
      <w:r w:rsidR="008E3016" w:rsidRPr="008E3F16">
        <w:rPr>
          <w:rFonts w:ascii="Book Antiqua" w:hAnsi="Book Antiqua" w:cs="Arial"/>
          <w:color w:val="000000" w:themeColor="text1"/>
          <w:lang w:val="en-US"/>
        </w:rPr>
        <w:instrText>ADDIN CSL_CITATION {"citationItems":[{"id":"ITEM-1","itemData":{"DOI":"10.1097/MIB.0000000000000926","ISSN":"1536-4844","PMID":"27636380","abstract":"BACKGROUND Inflammatory bowel disease (IBD) is characterized by a chronic inflammation of the gut, partly driven by defects in the expression and function of pattern recognition receptors, including the IFI16 protein. Because this protein is a target for autoantibodies and its aberrant expression was reported in colonic mucosa from active patients with ulcerative colitis, we studied its expression and specific seroresponse in patients with IBD before and after infliximab (IFX) therapy. METHODS Anti-IFI16 antibodies (IgG and IgA subtypes) were measured in the sera of 74 patients with IBD: 48 patients with Crohn's disease (CD) and 26 patients with ulcerative colitis, prospectively harvested before and after IFX therapy. Anti-GP2 antibodies (both IgG and IgA subtypes) were also tested for comparison. The patient antibody statuses were qualitatively and quantitatively associated with disease phenotype and response to IFX therapy. RESULTS Significantly higher titers of anti-IFI16 IgG were found in both CD and ulcerative colitis patients compared with healthy controls. Anti-IFI16 IgA titers were also present in patients with CD. Anti-GP2 IgG subtype titers were significantly increased in patients with CD, as were IgA subtype titers. Significant changes in anti-IFI16 IgG subtype titers were observed after IFX in patients with CD who correlated with clinical remission or response. CONCLUSIONS Our results highlight the importance of IFI16 in IBD pathogenesis showing that its de novo overexpression in the gut epithelial cells leads to a breakdown in immune tolerance and the subsequent development of specific autoantibodies. Anti-IFI16 IgG antibodies hold the potential to serve as a biomarker of response to IFX therapy.","author":[{"dropping-particle":"","family":"Caneparo","given":"Valeria","non-dropping-particle":"","parse-names":false,"suffix":""},{"dropping-particle":"","family":"Pastorelli","given":"Luca","non-dropping-particle":"","parse-names":false,"suffix":""},{"dropping-particle":"","family":"Pisani","given":"Laura Francesca","non-dropping-particle":"","parse-names":false,"suffix":""},{"dropping-particle":"","family":"Bruni","given":"Barbara","non-dropping-particle":"","parse-names":false,"suffix":""},{"dropping-particle":"","family":"Prodam","given":"Flavia","non-dropping-particle":"","parse-names":false,"suffix":""},{"dropping-particle":"","family":"Boldorini","given":"Renzo","non-dropping-particle":"","parse-names":false,"suffix":""},{"dropping-particle":"","family":"Roggenbuck","given":"Dirk","non-dropping-particle":"","parse-names":false,"suffix":""},{"dropping-particle":"","family":"Vecchi","given":"Maurizio","non-dropping-particle":"","parse-names":false,"suffix":""},{"dropping-particle":"","family":"Landolfo","given":"Santo","non-dropping-particle":"","parse-names":false,"suffix":""},{"dropping-particle":"","family":"Gariglio","given":"Marisa","non-dropping-particle":"","parse-names":false,"suffix":""},{"dropping-particle":"","family":"Andrea","given":"Marco","non-dropping-particle":"De","parse-names":false,"suffix":""}],"container-title":"Inflammatory bowel diseases","id":"ITEM-1","issue":"12","issued":{"date-parts":[["2016","12"]]},"page":"2977-2987","title":"Distinct Anti-IFI16 and Anti-GP2 Antibodies in Inflammatory Bowel Disease and Their Variation with Infliximab Therapy.","type":"article-journal","volume":"22"},"uris":["http://www.mendeley.com/documents/?uuid=296539fe-2560-3ec0-b0dd-1c449dee0dc1"]},{"id":"ITEM-2","itemData":{"DOI":"10.1111/apt.15034","ISSN":"13652036","PMID":"30411391","abstract":"Background: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Therapeutics","id":"ITEM-2","issue":"11-12","issued":{"date-parts":[["2018","12","1"]]},"page":"1251-1259","publisher":"John Wiley &amp; Sons, Ltd (10.1111)","title":"Loss of tolerance to glycoprotein 2 isoforms 1 and 4 is associated with Crohn’s disease of the pouch","type":"article-journal","volume":"48"},"uris":["http://www.mendeley.com/documents/?uuid=413ef96f-4c6c-3af1-92b3-c49157b781d6"]},{"id":"ITEM-3","itemData":{"DOI":"10.1097/MIB.0000000000000936","ISSN":"1536-4844","PMID":"27753692","abstract":"BACKGROUND The presentation of Crohn's disease (CD) is heterogeneous and often leads to serious complications and need for surgery. We tested serum anti-zymogen granule glycoprotein 2 (GP2) antibodies, including its novel isoform alpha, for association with genetic variants, diagnosis, disease stratification, and prediction of CD courses in a combined cross-sectional and cohort study. METHODS Serum samples of 303 CD, 108 ulcerative colitis, 72 other inflammatory gastrointestinal diseases, and 206 controls without predominant gastrointestinal diseases controls (HC) were tested for the presence of Anti-GP2 and Anti-Saccharomyces cervisiae (ASCA) by enzyme-linked immunosorbent assay. Genetic analysis was performed using the Illumina Immunochip. RESULTS GP2 IgA and IgG had the highest discriminatory capability for CD versus ulcerative colitis and CD versus inflammatory gastrointestinal diseases. We identified an association of GP2 IgA and IgG each with 5 distinct single-nucleotide polymorphisms. Levels of anti-GP2 IgG were moderately associated with ileal disease location. Interestingly, both, anti-GP2 IgA and IgG were exclusively associated with the occurrence of stenosis and need for surgery, independently of disease location, but not with fistulizing CD, early disease onset or disease activity. ASCA IgG and IgA were qualitatively and quantitatively linked to CD, CD complications, and need for surgery. Increased levels of ASCA IgG and IgA and positivity for ASCA IgG, but neither levels nor positivity for GP2 IgG or IgA were predictive of the earlier occurrence of complications or surgery. CONCLUSIONS Anti-GP2 antibodies may aid as a tool for diagnosis and differentiation of CD and could indicate a more complicated CD course.","author":[{"dropping-particle":"","family":"Degenhardt","given":"Frauke","non-dropping-particle":"","parse-names":false,"suffix":""},{"dropping-particle":"","family":"Dirmeier","given":"Andrea","non-dropping-particle":"","parse-names":false,"suffix":""},{"dropping-particle":"","family":"Lopez","given":"Rocio","non-dropping-particle":"","parse-names":false,"suffix":""},{"dropping-particle":"","family":"Lang","given":"Sylvia","non-dropping-particle":"","parse-names":false,"suffix":""},{"dropping-particle":"","family":"Kunst","given":"Claudia","non-dropping-particle":"","parse-names":false,"suffix":""},{"dropping-particle":"","family":"Roggenbuck","given":"Dirk","non-dropping-particle":"","parse-names":false,"suffix":""},{"dropping-particle":"","family":"Reinhold","given":"Dirk","non-dropping-particle":"","parse-names":false,"suffix":""},{"dropping-particle":"","family":"Szymczak","given":"Silke","non-dropping-particle":"","parse-names":false,"suffix":""},{"dropping-particle":"","family":"Rogler","given":"Gerhard","non-dropping-particle":"","parse-names":false,"suffix":""},{"dropping-particle":"","family":"Klebl","given":"Frank","non-dropping-particle":"","parse-names":false,"suffix":""},{"dropping-particle":"","family":"Franke","given":"Andre","non-dropping-particle":"","parse-names":false,"suffix":""},{"dropping-particle":"","family":"Rieder","given":"Florian","non-dropping-particle":"","parse-names":false,"suffix":""}],"container-title":"Inflammatory bowel diseases","id":"ITEM-3","issue":"11","issued":{"date-parts":[["2016","11"]]},"page":"2648-2657","title":"Serologic Anti-GP2 Antibodies Are Associated with Genetic Polymorphisms, Fibrostenosis, and Need for Surgical Resection in Crohn's Disease.","type":"article-journal","volume":"22"},"uris":["http://www.mendeley.com/documents/?uuid=0b53a7a7-223a-3fdf-8643-eb7481531624"]},{"id":"ITEM-4","itemData":{"DOI":"10.1093/ecco-jcc/jjv087","ISSN":"1873-9946","PMID":"25968583","abstract":"BACKGROUNDS Glycoprotein 2[GP2] and CUB zona pellucida-like domain 1[CUZD1] belong to protein families involved in gut innate immunity processes and have recently been identified as specific targets of anti-pancreatic autoantibodies [PAbs] in Crohn's disease[CD]. We aimed to determine the prognostic potential of novel target-specific PAbs regarding long-term disease course of an adult CD patient cohort. METHODS Sera of 458 consecutive well-characterised IBD patients from a single referral IBD centre were tested by enzyme-linked immunosorbent assay [ELISA] with isoform 4 of recombinant GP2 [anti-MZGP2 and anti-GP2 IgA/IgG] and indirect immunofluorescence test [IIFT] system with GP2 and CUZD1 expressing transfected HEK 293 cells [anti-rPAg2 and rPAg1 IgA/IgG]. Clinical data were available on complicated disease or surgical interventions as well as disease activity and medical treatment during the prospective follow-up [median, 108 months]. RESULTS Totals of 12.4% and 20.8% of CD patients were positive for IgA/IgG type of anti-GP2 and anti-CUZD1, respectively, with a significant difference compared with UC [p &lt; 0.01]. Antibody status was stable over time. Agreement among three different anti-GP2 assays was good. Positivity for PAbs, mainly IgA subtypes, predicted a faster progression towards complicated disease course. In Kaplan-Meier analysis, time to surgery or development of perianal disease was associated with anti-GP2 IgA [pLogRank &lt; 0.01] or anti-CUZD1 IgA [pLogRank &lt; 0.001] positivity, respectively. Anti-CUZD1 IgA remained an independent predictor in the multivariate Cox-regression model (hazard ratio [HR]: 3.43, 95% confidence interval [CI]: 1.68-7.02, p &lt; 0.001). CONCLUSIONS The present study has shown that specific PAbs [especially IgA subtype] predict complicated disease course including the development of perianal disease in CD.","author":[{"dropping-particle":"","family":"Papp","given":"Maria","non-dropping-particle":"","parse-names":false,"suffix":""},{"dropping-particle":"","family":"Sipeki","given":"Nora","non-dropping-particle":"","parse-names":false,"suffix":""},{"dropping-particle":"","family":"Tornai","given":"Tamas","non-dropping-particle":"","parse-names":false,"suffix":""},{"dropping-particle":"","family":"Altorjay","given":"Istvan","non-dropping-particle":"","parse-names":false,"suffix":""},{"dropping-particle":"","family":"Norman","given":"Gary L.","non-dropping-particle":"","parse-names":false,"suffix":""},{"dropping-particle":"","family":"Shums","given":"Zakera","non-dropping-particle":"","parse-names":false,"suffix":""},{"dropping-particle":"","family":"Roggenbuck","given":"Dirk","non-dropping-particle":"","parse-names":false,"suffix":""},{"dropping-particle":"","family":"Fechner","given":"Kai","non-dropping-particle":"","parse-names":false,"suffix":""},{"dropping-particle":"","family":"Stöcker","given":"Winfried","non-dropping-particle":"","parse-names":false,"suffix":""},{"dropping-particle":"","family":"Antal-Szalmas","given":"Peter","non-dropping-particle":"","parse-names":false,"suffix":""},{"dropping-particle":"","family":"Veres","given":"Gabor","non-dropping-particle":"","parse-names":false,"suffix":""},{"dropping-particle":"","family":"Lakatos","given":"Peter Laszlo","non-dropping-particle":"","parse-names":false,"suffix":""}],"container-title":"Journal of Crohn's and Colitis","id":"ITEM-4","issue":"8","issued":{"date-parts":[["2015","8"]]},"page":"659-668","title":"Rediscovery of the Anti-Pancreatic Antibodies and Evaluation of their Prognostic Value in a Prospective Clinical Cohort of Crohn’s Patients: The Importance of Specific Target Antigens [GP2 and CUZD1]","type":"article-journal","volume":"9"},"uris":["http://www.mendeley.com/documents/?uuid=8e5f0827-94c6-3db1-88c6-9bdbc72ea222"]},{"id":"ITEM-5","itemData":{"DOI":"10.1016/j.cca.2014.12.010","ISSN":"00098981","PMID":"25512163","abstract":"BACKGROUND We developed a new IgA and IgG anti-MZGP2 antibody ELISAs based on recombinant isoform-4 of human zymogen granule protein-2 (GP2), which is the major autoantigen of Crohn's disease (CrD)-specific pancreatic autoantibodies and assessed their clinical relevance in the largest inflammatory bowel disease (IBD) cohort tested to date. METHODS 832 sera were studied, including 617 consecutive IBD patients from 323 CrD and 294 ulcerative colitis (UC) follow-up in a tertiary centre, and 112 pathological and 103 normal controls. RESULTS Sensitivity of IgA anti-MZGP2 for CrD in the IBD population was 15% and specificity was 98% (95, 99), while the sensitivity and specificity of IgG anti-MZGP2 were 27% and 97%. IgA and IgG anti-MZGP2 combined testing led to a sensitivity of 31% and a specificity of 96%. Positivity for either ASCA (IgA or IgG) or anti-MZGP2 (IgA or IgG) showed a sensitivity of 75% (70, 80) and a specificity of 84% (79, 89). IgA anti-MZGP2 antibodies were more prevalent in CrD patients with early disease onset (p=0.011). Also, anti-MZGP2 positive patients more frequently had extensive disease with ileal involvement. Patients with longer disease duration were more likely to have IgG anti-MZGP2 antibodies. CONCLUSIONS Our novel ELISA confirms the high specificity of anti-MZGP2 antibodies for CrD and their association with disease severity phenotypes.","author":[{"dropping-particle":"","family":"Pavlidis","given":"Polychronis","non-dropping-particle":"","parse-names":false,"suffix":""},{"dropping-particle":"","family":"Shums","given":"Zakera","non-dropping-particle":"","parse-names":false,"suffix":""},{"dropping-particle":"","family":"Koutsoumpas","given":"Andreas L.","non-dropping-particle":"","parse-names":false,"suffix":""},{"dropping-particle":"","family":"Milo","given":"Jay","non-dropping-particle":"","parse-names":false,"suffix":""},{"dropping-particle":"","family":"Papp","given":"Maria","non-dropping-particle":"","parse-names":false,"suffix":""},{"dropping-particle":"","family":"Umemura","given":"Takeji","non-dropping-particle":"","parse-names":false,"suffix":""},{"dropping-particle":"","family":"Lakatos","given":"Peter L.","non-dropping-particle":"","parse-names":false,"suffix":""},{"dropping-particle":"","family":"Smyk","given":"Daniel S.","non-dropping-particle":"","parse-names":false,"suffix":""},{"dropping-particle":"","family":"Bogdanos","given":"Dimitrios P.","non-dropping-particle":"","parse-names":false,"suffix":""},{"dropping-particle":"","family":"Forbes","given":"Alastair","non-dropping-particle":"","parse-names":false,"suffix":""},{"dropping-particle":"","family":"Norman","given":"Gary L.","non-dropping-particle":"","parse-names":false,"suffix":""}],"container-title":"Clinica Chimica Acta","id":"ITEM-5","issued":{"date-parts":[["2015","2","20"]]},"page":"176-181","title":"Diagnostic and clinical significance of Crohn's disease-specific anti-MZGP2 pancreatic antibodies by a novel ELISA","type":"article-journal","volume":"441"},"uris":["http://www.mendeley.com/documents/?uuid=d7a8bc7b-fb59-3c93-925d-44c90e4e081c"]}],"mendeley":{"formattedCitation":"&lt;sup&gt;[43–45,49,51]&lt;/sup&gt;","plainTextFormattedCitation":"[43–45,49,51]","previouslyFormattedCitation":"&lt;sup&gt;[43,51–53,57]&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008E3016" w:rsidRPr="008E3F16">
        <w:rPr>
          <w:rFonts w:ascii="Book Antiqua" w:hAnsi="Book Antiqua" w:cs="Arial"/>
          <w:noProof/>
          <w:color w:val="000000" w:themeColor="text1"/>
          <w:vertAlign w:val="superscript"/>
          <w:lang w:val="en-US"/>
        </w:rPr>
        <w:t>[43–45,49,51]</w:t>
      </w:r>
      <w:r w:rsidRPr="008E3F16">
        <w:rPr>
          <w:rFonts w:ascii="Book Antiqua" w:hAnsi="Book Antiqua" w:cs="Arial"/>
          <w:color w:val="000000" w:themeColor="text1"/>
          <w:lang w:val="en-US"/>
        </w:rPr>
        <w:fldChar w:fldCharType="end"/>
      </w:r>
      <w:r w:rsidR="00076E5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Cut-offs used to define positivity in IgA or IgG varied greatly, ranging from 3.7</w:t>
      </w:r>
      <w:r w:rsidR="00D25A2A" w:rsidRPr="008E3F16">
        <w:rPr>
          <w:rFonts w:ascii="Book Antiqua" w:hAnsi="Book Antiqua" w:cs="Arial"/>
          <w:color w:val="000000" w:themeColor="text1"/>
          <w:lang w:val="en-US"/>
        </w:rPr>
        <w:t xml:space="preserve"> U/dL</w:t>
      </w:r>
      <w:r w:rsidRPr="008E3F16">
        <w:rPr>
          <w:rFonts w:ascii="Book Antiqua" w:hAnsi="Book Antiqua" w:cs="Arial"/>
          <w:color w:val="000000" w:themeColor="text1"/>
          <w:lang w:val="en-US"/>
        </w:rPr>
        <w:t xml:space="preserve"> to 71.75 U/dL for specific GP2 isoforms.</w:t>
      </w:r>
    </w:p>
    <w:p w14:paraId="41881419" w14:textId="0334627A" w:rsidR="00E82B0E" w:rsidRPr="008E3F16"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The quality assessment </w:t>
      </w:r>
      <w:r w:rsidR="00641D17" w:rsidRPr="008E3F16">
        <w:rPr>
          <w:rFonts w:ascii="Book Antiqua" w:hAnsi="Book Antiqua" w:cs="Arial"/>
          <w:color w:val="000000" w:themeColor="text1"/>
          <w:lang w:val="en-US"/>
        </w:rPr>
        <w:t xml:space="preserve">results </w:t>
      </w:r>
      <w:r w:rsidRPr="008E3F16">
        <w:rPr>
          <w:rFonts w:ascii="Book Antiqua" w:hAnsi="Book Antiqua" w:cs="Arial"/>
          <w:color w:val="000000" w:themeColor="text1"/>
          <w:lang w:val="en-US"/>
        </w:rPr>
        <w:t>using the QUADAS–2 tool</w:t>
      </w:r>
      <w:r w:rsidRPr="008E3F16">
        <w:rPr>
          <w:rFonts w:ascii="Book Antiqua" w:hAnsi="Book Antiqua" w:cs="Arial"/>
          <w:color w:val="000000" w:themeColor="text1"/>
          <w:lang w:val="en-US"/>
        </w:rPr>
        <w:fldChar w:fldCharType="begin" w:fldLock="1"/>
      </w:r>
      <w:r w:rsidRPr="008E3F16">
        <w:rPr>
          <w:rFonts w:ascii="Book Antiqua" w:hAnsi="Book Antiqua" w:cs="Arial"/>
          <w:color w:val="000000" w:themeColor="text1"/>
          <w:lang w:val="en-US"/>
        </w:rPr>
        <w:instrText>ADDIN CSL_CITATION {"citationItems":[{"id":"ITEM-1","itemData":{"DOI":"10.7326/0003-4819-155-8-201110180-00009","ISSN":"0003-4819","PMID":"22007046","abstract":"In 2003, the QUADAS tool for systematic reviews of diagnostic accuracy studies was developed. Experience, anecdotal reports, and feedback suggested areas for improvement; therefore, QUADAS-2 was developed. This tool comprises 4 domains: patient selection, index test, reference standard, and flow and timing. Each domain is assessed in terms of risk of bias, and the first 3 domains are also assessed in terms of concerns regarding applicability. Signalling questions are included to help judge risk of bias. The QUADAS-2 tool is applied in 4 phases: summarize the review question, tailor the tool and produce review-specific guidance, construct a flow diagram for the primary study, and judge bias and applicability. This tool will allow for more transparent rating of bias and applicability of primary diagnostic accuracy studies.","author":[{"dropping-particle":"","family":"Whiting","given":"Penny F.","non-dropping-particle":"","parse-names":false,"suffix":""},{"dropping-particle":"","family":"Rutjes","given":"Anne W S","non-dropping-particle":"","parse-names":false,"suffix":""},{"dropping-particle":"","family":"Westwood","given":"Marie E","non-dropping-particle":"","parse-names":false,"suffix":""},{"dropping-particle":"","family":"Mallett","given":"Susan","non-dropping-particle":"","parse-names":false,"suffix":""},{"dropping-particle":"","family":"Deeks","given":"Jonathan J","non-dropping-particle":"","parse-names":false,"suffix":""},{"dropping-particle":"","family":"Reitsma","given":"Johannes B","non-dropping-particle":"","parse-names":false,"suffix":""},{"dropping-particle":"","family":"Leeflang","given":"Mariska M G","non-dropping-particle":"","parse-names":false,"suffix":""},{"dropping-particle":"","family":"Sterne","given":"Jonathan A C","non-dropping-particle":"","parse-names":false,"suffix":""},{"dropping-particle":"","family":"Bossuyt","given":"Patrick M M","non-dropping-particle":"","parse-names":false,"suffix":""},{"dropping-particle":"","family":"QUADAS-2 Group","given":"","non-dropping-particle":"","parse-names":false,"suffix":""}],"container-title":"Annals of Internal Medicine","id":"ITEM-1","issue":"8","issued":{"date-parts":[["2011","10","18"]]},"page":"529","title":"QUADAS-2: A Revised Tool for the Quality Assessment of Diagnostic Accuracy Studies","type":"article-journal","volume":"155"},"uris":["http://www.mendeley.com/documents/?uuid=51c7a18e-ddd1-3d96-bc51-97ba1e05e496"]}],"mendeley":{"formattedCitation":"&lt;sup&gt;[31]&lt;/sup&gt;","plainTextFormattedCitation":"[31]","previouslyFormattedCitation":"&lt;sup&gt;[31]&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[31]</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are presented in Figure 2. </w:t>
      </w:r>
      <w:r w:rsidR="00641D17" w:rsidRPr="008E3F16">
        <w:rPr>
          <w:rFonts w:ascii="Book Antiqua" w:hAnsi="Book Antiqua" w:cs="Arial"/>
          <w:color w:val="000000" w:themeColor="text1"/>
          <w:lang w:val="en-US"/>
        </w:rPr>
        <w:t>R</w:t>
      </w:r>
      <w:r w:rsidRPr="008E3F16">
        <w:rPr>
          <w:rFonts w:ascii="Book Antiqua" w:hAnsi="Book Antiqua" w:cs="Arial"/>
          <w:color w:val="000000" w:themeColor="text1"/>
          <w:lang w:val="en-US"/>
        </w:rPr>
        <w:t>isk of bias for the index test was generally unclear since</w:t>
      </w:r>
      <w:r w:rsidR="00641D17"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in most studies</w:t>
      </w:r>
      <w:r w:rsidR="00641D17"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it was unclear if the thresholds used had been prespecified by the kit’s manufacturer, or were study-derived</w:t>
      </w:r>
      <w:r w:rsidRPr="008E3F16">
        <w:rPr>
          <w:rFonts w:ascii="Book Antiqua" w:hAnsi="Book Antiqua" w:cs="Arial"/>
          <w:color w:val="000000" w:themeColor="text1"/>
          <w:lang w:val="en-US"/>
        </w:rPr>
        <w:fldChar w:fldCharType="begin" w:fldLock="1"/>
      </w:r>
      <w:r w:rsidR="00FD4A65" w:rsidRPr="008E3F16">
        <w:rPr>
          <w:rFonts w:ascii="Book Antiqua" w:hAnsi="Book Antiqua" w:cs="Arial"/>
          <w:color w:val="000000" w:themeColor="text1"/>
          <w:lang w:val="en-US"/>
        </w:rPr>
        <w:instrText>ADDIN CSL_CITATION {"citationItems":[{"id":"ITEM-1","itemData":{"DOI":"10.1136/BMJ.K1450","ISSN":"0959-8138","PMID":"29785952","abstract":"Objective To assess the diagnostic accuracy of point-of-care natriuretic peptide tests in patients with chronic heart failure, with a focus on the ambulatory care setting.\n\nDesign Systematic review and meta-analysis.\n\nData sources Ovid Medline, Cochrane Central Register of Controlled Trials, Cochrane Database of Systematic Reviews, Database of Abstracts of Reviews of Effects, Embase, Health Technology Assessment Database, Science Citation Index, and Conference Proceedings Citation Index until 31 March 2017.\n\nStudy selection Eligible studies evaluated point-of-care natriuretic peptide testing (B-type natriuretic peptide (BNP) or N terminal fragment pro B-type natriuretic peptide (NTproBNP)) against any relevant reference standard, including echocardiography, clinical examination, or combinations of these, in humans. Studies were excluded if reported data were insufficient to construct 2×2 tables. No language restrictions were applied.\n\nResults 42 publications of 39 individual studies met the inclusion criteria and 40 publications of 37 studies were included in the analysis. Of the 37 studies, 30 evaluated BNP point-of-care testing and seven evaluated NTproBNP testing. 15 studies were done in ambulatory care settings in populations with a low prevalence of chronic heart failure. Five studies were done in primary care. At thresholds &gt;100 pg/mL, the sensitivity of BNP, measured with the point-of-care index device Triage, was generally high and was 0.95 (95% confidence interval 0.90 to 0.98) at 100 pg/mL. At thresholds &lt;100 pg/mL, sensitivity ranged from 0.46 to 0.97 and specificity from 0.31 to 0.98. Primary care studies that used NTproBNP testing reported a sensitivity of 0.99 (0.57 to 1.00) and specificity of 0.60 (0.44 to 0.74) at 135 pg/mL. No statistically significant difference in diagnostic accuracy was found between point-of-care BNP and NTproBNP tests.\n\nConclusions Given the lack of studies in primary care, the paucity of NTproBNP data, and potential methodological limitations in these studies, large scale trials in primary care are needed to assess the role of point-of-care natriuretic peptide testing and clarify appropriate thresholds to improve care of patients with suspected or chronic heart failure.","author":[{"dropping-particle":"","family":"Taylor","given":"Kathryn S","non-dropping-particle":"","parse-names":false,"suffix":""},{"dropping-particle":"","family":"Verbakel","given":"Jan Y","non-dropping-particle":"","parse-names":false,"suffix":""},{"dropping-particle":"","family":"Feakins","given":"Benjamin G","non-dropping-particle":"","parse-names":false,"suffix":""},{"dropping-particle":"","family":"Price","given":"Christopher P","non-dropping-particle":"","parse-names":false,"suffix":""},{"dropping-particle":"","family":"Perera","given":"Rafael","non-dropping-particle":"","parse-names":false,"suffix":""},{"dropping-particle":"","family":"Bankhead","given":"Clare","non-dropping-particle":"","parse-names":false,"suffix":""},{"dropping-particle":"","family":"Plüddemann","given":"Annette","non-dropping-particle":"","parse-names":false,"suffix":""}],"container-title":"BMJ","id":"ITEM-1","issued":{"date-parts":[["2018","5","21"]]},"page":"k1450","publisher":"British Medical Journal Publishing Group","title":"Diagnostic accuracy of point-of-care natriuretic peptide testing for chronic heart failure in ambulatory care: systematic review and meta-analysis","type":"article-journal","volume":"361"},"uris":["http://www.mendeley.com/documents/?uuid=94202733-01df-3808-b7b2-8d85cf44b913"]}],"mendeley":{"formattedCitation":"&lt;sup&gt;[26]&lt;/sup&gt;","plainTextFormattedCitation":"[26]","previouslyFormattedCitation":"&lt;sup&gt;[26]&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00BB6AD9" w:rsidRPr="008E3F16">
        <w:rPr>
          <w:rFonts w:ascii="Book Antiqua" w:hAnsi="Book Antiqua" w:cs="Arial"/>
          <w:noProof/>
          <w:color w:val="000000" w:themeColor="text1"/>
          <w:vertAlign w:val="superscript"/>
          <w:lang w:val="en-US"/>
        </w:rPr>
        <w:t>[26]</w:t>
      </w:r>
      <w:r w:rsidRPr="008E3F16">
        <w:rPr>
          <w:rFonts w:ascii="Book Antiqua" w:hAnsi="Book Antiqua" w:cs="Arial"/>
          <w:color w:val="000000" w:themeColor="text1"/>
          <w:lang w:val="en-US"/>
        </w:rPr>
        <w:fldChar w:fldCharType="end"/>
      </w:r>
      <w:r w:rsidR="00076E5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Additionally, many primary DTA studies failed to report whether the anti-GP2 assay was performed </w:t>
      </w:r>
      <w:r w:rsidR="00641D17" w:rsidRPr="008E3F16">
        <w:rPr>
          <w:rFonts w:ascii="Book Antiqua" w:hAnsi="Book Antiqua" w:cs="Arial"/>
          <w:color w:val="000000" w:themeColor="text1"/>
          <w:lang w:val="en-US"/>
        </w:rPr>
        <w:t xml:space="preserve">with </w:t>
      </w:r>
      <w:r w:rsidRPr="008E3F16">
        <w:rPr>
          <w:rFonts w:ascii="Book Antiqua" w:hAnsi="Book Antiqua" w:cs="Arial"/>
          <w:color w:val="000000" w:themeColor="text1"/>
          <w:lang w:val="en-US"/>
        </w:rPr>
        <w:t>the results of CD diagnosis</w:t>
      </w:r>
      <w:r w:rsidR="00641D17" w:rsidRPr="008E3F16">
        <w:rPr>
          <w:rFonts w:ascii="Book Antiqua" w:hAnsi="Book Antiqua" w:cs="Arial"/>
          <w:color w:val="000000" w:themeColor="text1"/>
          <w:lang w:val="en-US"/>
        </w:rPr>
        <w:t xml:space="preserve"> being blind</w:t>
      </w:r>
      <w:r w:rsidRPr="008E3F16">
        <w:rPr>
          <w:rFonts w:ascii="Book Antiqua" w:hAnsi="Book Antiqua" w:cs="Arial"/>
          <w:color w:val="000000" w:themeColor="text1"/>
          <w:lang w:val="en-US"/>
        </w:rPr>
        <w:fldChar w:fldCharType="begin" w:fldLock="1"/>
      </w:r>
      <w:r w:rsidR="00FD4A65" w:rsidRPr="008E3F16">
        <w:rPr>
          <w:rFonts w:ascii="Book Antiqua" w:hAnsi="Book Antiqua" w:cs="Arial"/>
          <w:color w:val="000000" w:themeColor="text1"/>
          <w:lang w:val="en-US"/>
        </w:rPr>
        <w:instrText>ADDIN CSL_CITATION {"citationItems":[{"id":"ITEM-1","itemData":{"DOI":"10.1136/BMJ.K1450","ISSN":"0959-8138","PMID":"29785952","abstract":"Objective To assess the diagnostic accuracy of point-of-care natriuretic peptide tests in patients with chronic heart failure, with a focus on the ambulatory care setting.\n\nDesign Systematic review and meta-analysis.\n\nData sources Ovid Medline, Cochrane Central Register of Controlled Trials, Cochrane Database of Systematic Reviews, Database of Abstracts of Reviews of Effects, Embase, Health Technology Assessment Database, Science Citation Index, and Conference Proceedings Citation Index until 31 March 2017.\n\nStudy selection Eligible studies evaluated point-of-care natriuretic peptide testing (B-type natriuretic peptide (BNP) or N terminal fragment pro B-type natriuretic peptide (NTproBNP)) against any relevant reference standard, including echocardiography, clinical examination, or combinations of these, in humans. Studies were excluded if reported data were insufficient to construct 2×2 tables. No language restrictions were applied.\n\nResults 42 publications of 39 individual studies met the inclusion criteria and 40 publications of 37 studies were included in the analysis. Of the 37 studies, 30 evaluated BNP point-of-care testing and seven evaluated NTproBNP testing. 15 studies were done in ambulatory care settings in populations with a low prevalence of chronic heart failure. Five studies were done in primary care. At thresholds &gt;100 pg/mL, the sensitivity of BNP, measured with the point-of-care index device Triage, was generally high and was 0.95 (95% confidence interval 0.90 to 0.98) at 100 pg/mL. At thresholds &lt;100 pg/mL, sensitivity ranged from 0.46 to 0.97 and specificity from 0.31 to 0.98. Primary care studies that used NTproBNP testing reported a sensitivity of 0.99 (0.57 to 1.00) and specificity of 0.60 (0.44 to 0.74) at 135 pg/mL. No statistically significant difference in diagnostic accuracy was found between point-of-care BNP and NTproBNP tests.\n\nConclusions Given the lack of studies in primary care, the paucity of NTproBNP data, and potential methodological limitations in these studies, large scale trials in primary care are needed to assess the role of point-of-care natriuretic peptide testing and clarify appropriate thresholds to improve care of patients with suspected or chronic heart failure.","author":[{"dropping-particle":"","family":"Taylor","given":"Kathryn S","non-dropping-particle":"","parse-names":false,"suffix":""},{"dropping-particle":"","family":"Verbakel","given":"Jan Y","non-dropping-particle":"","parse-names":false,"suffix":""},{"dropping-particle":"","family":"Feakins","given":"Benjamin G","non-dropping-particle":"","parse-names":false,"suffix":""},{"dropping-particle":"","family":"Price","given":"Christopher P","non-dropping-particle":"","parse-names":false,"suffix":""},{"dropping-particle":"","family":"Perera","given":"Rafael","non-dropping-particle":"","parse-names":false,"suffix":""},{"dropping-particle":"","family":"Bankhead","given":"Clare","non-dropping-particle":"","parse-names":false,"suffix":""},{"dropping-particle":"","family":"Plüddemann","given":"Annette","non-dropping-particle":"","parse-names":false,"suffix":""}],"container-title":"BMJ","id":"ITEM-1","issued":{"date-parts":[["2018","5","21"]]},"page":"k1450","publisher":"British Medical Journal Publishing Group","title":"Diagnostic accuracy of point-of-care natriuretic peptide testing for chronic heart failure in ambulatory care: systematic review and meta-analysis","type":"article-journal","volume":"361"},"uris":["http://www.mendeley.com/documents/?uuid=94202733-01df-3808-b7b2-8d85cf44b913"]}],"mendeley":{"formattedCitation":"&lt;sup&gt;[26]&lt;/sup&gt;","plainTextFormattedCitation":"[26]","previouslyFormattedCitation":"&lt;sup&gt;[26]&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00BB6AD9" w:rsidRPr="008E3F16">
        <w:rPr>
          <w:rFonts w:ascii="Book Antiqua" w:hAnsi="Book Antiqua" w:cs="Arial"/>
          <w:noProof/>
          <w:color w:val="000000" w:themeColor="text1"/>
          <w:vertAlign w:val="superscript"/>
          <w:lang w:val="en-US"/>
        </w:rPr>
        <w:t>[26]</w:t>
      </w:r>
      <w:r w:rsidRPr="008E3F16">
        <w:rPr>
          <w:rFonts w:ascii="Book Antiqua" w:hAnsi="Book Antiqua" w:cs="Arial"/>
          <w:color w:val="000000" w:themeColor="text1"/>
          <w:lang w:val="en-US"/>
        </w:rPr>
        <w:fldChar w:fldCharType="end"/>
      </w:r>
      <w:r w:rsidR="00076E58" w:rsidRPr="008E3F16">
        <w:rPr>
          <w:rFonts w:ascii="Book Antiqua" w:hAnsi="Book Antiqua" w:cs="Arial"/>
          <w:color w:val="000000" w:themeColor="text1"/>
          <w:lang w:val="en-US"/>
        </w:rPr>
        <w:t>.</w:t>
      </w:r>
    </w:p>
    <w:p w14:paraId="1C77CAA4" w14:textId="77777777" w:rsidR="00E82B0E" w:rsidRPr="008E3F16" w:rsidRDefault="00E82B0E" w:rsidP="00C66188">
      <w:pPr>
        <w:adjustRightInd w:val="0"/>
        <w:snapToGrid w:val="0"/>
        <w:spacing w:line="360" w:lineRule="auto"/>
        <w:jc w:val="both"/>
        <w:rPr>
          <w:rFonts w:ascii="Book Antiqua" w:hAnsi="Book Antiqua" w:cs="Arial"/>
          <w:i/>
          <w:color w:val="000000" w:themeColor="text1"/>
          <w:lang w:val="en-US"/>
        </w:rPr>
      </w:pPr>
    </w:p>
    <w:p w14:paraId="3AA5BAF6" w14:textId="77777777" w:rsidR="00E82B0E" w:rsidRPr="008E3F16" w:rsidRDefault="00E82B0E" w:rsidP="00C66188">
      <w:pPr>
        <w:adjustRightInd w:val="0"/>
        <w:snapToGrid w:val="0"/>
        <w:spacing w:line="360" w:lineRule="auto"/>
        <w:jc w:val="both"/>
        <w:rPr>
          <w:rFonts w:ascii="Book Antiqua" w:hAnsi="Book Antiqua" w:cs="Arial"/>
          <w:b/>
          <w:bCs/>
          <w:i/>
          <w:color w:val="000000" w:themeColor="text1"/>
          <w:lang w:val="en-US"/>
        </w:rPr>
      </w:pPr>
      <w:r w:rsidRPr="008E3F16">
        <w:rPr>
          <w:rFonts w:ascii="Book Antiqua" w:hAnsi="Book Antiqua" w:cs="Arial"/>
          <w:b/>
          <w:bCs/>
          <w:i/>
          <w:color w:val="000000" w:themeColor="text1"/>
          <w:lang w:val="en-US"/>
        </w:rPr>
        <w:t>Meta-analysis of the diagnostic accuracy of anti-GP2 (IgG) for CD</w:t>
      </w:r>
    </w:p>
    <w:p w14:paraId="030250DA" w14:textId="1AC56CC7" w:rsidR="00E82B0E" w:rsidRPr="008E3F16" w:rsidRDefault="00E82B0E"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A total of 15 studies were included in the pooled analyses for </w:t>
      </w:r>
      <w:r w:rsidR="003E438B" w:rsidRPr="008E3F16">
        <w:rPr>
          <w:rFonts w:ascii="Book Antiqua" w:hAnsi="Book Antiqua" w:cs="Arial"/>
          <w:color w:val="000000" w:themeColor="text1"/>
          <w:lang w:val="en-US"/>
        </w:rPr>
        <w:t>evaluation of</w:t>
      </w:r>
      <w:r w:rsidRPr="008E3F16">
        <w:rPr>
          <w:rFonts w:ascii="Book Antiqua" w:hAnsi="Book Antiqua" w:cs="Arial"/>
          <w:color w:val="000000" w:themeColor="text1"/>
          <w:lang w:val="en-US"/>
        </w:rPr>
        <w:t xml:space="preserve"> the diagnostic accuracy of the anti-GP2 IgG (Figure 3), including a pooled sample of 4365 patients, with 665 </w:t>
      </w:r>
      <w:r w:rsidR="003E438B" w:rsidRPr="008E3F16">
        <w:rPr>
          <w:rFonts w:ascii="Book Antiqua" w:hAnsi="Book Antiqua" w:cs="Arial"/>
          <w:color w:val="000000" w:themeColor="text1"/>
          <w:lang w:val="en-US"/>
        </w:rPr>
        <w:t xml:space="preserve">of them </w:t>
      </w:r>
      <w:r w:rsidRPr="008E3F16">
        <w:rPr>
          <w:rFonts w:ascii="Book Antiqua" w:hAnsi="Book Antiqua" w:cs="Arial"/>
          <w:color w:val="000000" w:themeColor="text1"/>
          <w:lang w:val="en-US"/>
        </w:rPr>
        <w:t>being CD cases and 3700 forming the controls group. The diagnostic sensitivity of the anti-GP2 (IgG) for CD ranged between 10</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w:t>
      </w:r>
      <w:r w:rsidR="003E438B" w:rsidRPr="008E3F16">
        <w:rPr>
          <w:rFonts w:ascii="Book Antiqua" w:hAnsi="Book Antiqua" w:cs="Arial"/>
          <w:color w:val="000000" w:themeColor="text1"/>
          <w:lang w:val="en-US"/>
        </w:rPr>
        <w:t>to</w:t>
      </w:r>
      <w:r w:rsidRPr="008E3F16">
        <w:rPr>
          <w:rFonts w:ascii="Book Antiqua" w:hAnsi="Book Antiqua" w:cs="Arial"/>
          <w:color w:val="000000" w:themeColor="text1"/>
          <w:lang w:val="en-US"/>
        </w:rPr>
        <w:t xml:space="preserve"> 43% (Figure 3</w:t>
      </w:r>
      <w:r w:rsidR="00AD7D88" w:rsidRPr="008E3F16">
        <w:rPr>
          <w:rFonts w:ascii="Book Antiqua" w:hAnsi="Book Antiqua" w:cs="Arial"/>
          <w:color w:val="000000" w:themeColor="text1"/>
          <w:lang w:val="en-US"/>
        </w:rPr>
        <w:t>A</w:t>
      </w:r>
      <w:r w:rsidRPr="008E3F16">
        <w:rPr>
          <w:rFonts w:ascii="Book Antiqua" w:hAnsi="Book Antiqua" w:cs="Arial"/>
          <w:color w:val="000000" w:themeColor="text1"/>
          <w:lang w:val="en-US"/>
        </w:rPr>
        <w:t>), and the specificity ranged from 80 to 100% (Figure 3</w:t>
      </w:r>
      <w:r w:rsidR="00AD7D88" w:rsidRPr="008E3F16">
        <w:rPr>
          <w:rFonts w:ascii="Book Antiqua" w:hAnsi="Book Antiqua" w:cs="Arial"/>
          <w:color w:val="000000" w:themeColor="text1"/>
          <w:lang w:val="en-US"/>
        </w:rPr>
        <w:t>B</w:t>
      </w:r>
      <w:r w:rsidRPr="008E3F16">
        <w:rPr>
          <w:rFonts w:ascii="Book Antiqua" w:hAnsi="Book Antiqua" w:cs="Arial"/>
          <w:color w:val="000000" w:themeColor="text1"/>
          <w:lang w:val="en-US"/>
        </w:rPr>
        <w:t>). The summary SROC curve is presented in Figure 3</w:t>
      </w:r>
      <w:r w:rsidR="00AD7D88" w:rsidRPr="008E3F16">
        <w:rPr>
          <w:rFonts w:ascii="Book Antiqua" w:hAnsi="Book Antiqua" w:cs="Arial"/>
          <w:color w:val="000000" w:themeColor="text1"/>
          <w:lang w:val="en-US"/>
        </w:rPr>
        <w:t>C</w:t>
      </w:r>
      <w:r w:rsidRPr="008E3F16">
        <w:rPr>
          <w:rFonts w:ascii="Book Antiqua" w:hAnsi="Book Antiqua" w:cs="Arial"/>
          <w:color w:val="000000" w:themeColor="text1"/>
          <w:lang w:val="en-US"/>
        </w:rPr>
        <w:t xml:space="preserve">, </w:t>
      </w:r>
      <w:r w:rsidR="003E438B" w:rsidRPr="008E3F16">
        <w:rPr>
          <w:rFonts w:ascii="Book Antiqua" w:hAnsi="Book Antiqua" w:cs="Arial"/>
          <w:color w:val="000000" w:themeColor="text1"/>
          <w:lang w:val="en-US"/>
        </w:rPr>
        <w:t>indicating</w:t>
      </w:r>
      <w:r w:rsidRPr="008E3F16">
        <w:rPr>
          <w:rFonts w:ascii="Book Antiqua" w:hAnsi="Book Antiqua" w:cs="Arial"/>
          <w:color w:val="000000" w:themeColor="text1"/>
          <w:lang w:val="en-US"/>
        </w:rPr>
        <w:t xml:space="preserve"> </w:t>
      </w:r>
      <w:r w:rsidR="003E438B" w:rsidRPr="008E3F16">
        <w:rPr>
          <w:rFonts w:ascii="Book Antiqua" w:hAnsi="Book Antiqua" w:cs="Arial"/>
          <w:color w:val="000000" w:themeColor="text1"/>
          <w:lang w:val="en-US"/>
        </w:rPr>
        <w:t xml:space="preserve">that </w:t>
      </w:r>
      <w:r w:rsidRPr="008E3F16">
        <w:rPr>
          <w:rFonts w:ascii="Book Antiqua" w:hAnsi="Book Antiqua" w:cs="Arial"/>
          <w:color w:val="000000" w:themeColor="text1"/>
          <w:lang w:val="en-US"/>
        </w:rPr>
        <w:t>on the median specificity of 93%</w:t>
      </w:r>
      <w:r w:rsidR="003E438B"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summary sensitivity reached 27% (95%CI: 20</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–34%). With the UREM models (seven DTA studies), it was estimated that at the cut-off level of 20 U/mL</w:t>
      </w:r>
      <w:r w:rsidR="003E438B"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summary sensitivity reached 22% (95%CI: 15</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–30%) and specificity was calculated at 93% (95%CI: 91</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–95%). At the cut-off of 15 U/mL (three studies, Bivariate model), summary sensitivity was 28% (95%CI: 16</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–43%) and specificity </w:t>
      </w:r>
      <w:r w:rsidR="003E438B" w:rsidRPr="008E3F16">
        <w:rPr>
          <w:rFonts w:ascii="Book Antiqua" w:hAnsi="Book Antiqua" w:cs="Arial"/>
          <w:color w:val="000000" w:themeColor="text1"/>
          <w:lang w:val="en-US"/>
        </w:rPr>
        <w:t>reached</w:t>
      </w:r>
      <w:r w:rsidRPr="008E3F16">
        <w:rPr>
          <w:rFonts w:ascii="Book Antiqua" w:hAnsi="Book Antiqua" w:cs="Arial"/>
          <w:color w:val="000000" w:themeColor="text1"/>
          <w:lang w:val="en-US"/>
        </w:rPr>
        <w:t xml:space="preserve"> 92% (95%CI: 84</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–96%).</w:t>
      </w:r>
    </w:p>
    <w:p w14:paraId="0AE47ABD" w14:textId="4FD22D31" w:rsidR="00E82B0E" w:rsidRPr="008E3F16"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E3F16">
        <w:rPr>
          <w:rFonts w:ascii="Book Antiqua" w:hAnsi="Book Antiqua" w:cs="Arial"/>
          <w:color w:val="000000" w:themeColor="text1"/>
          <w:lang w:val="en-US"/>
        </w:rPr>
        <w:t>Forest plots of sensitivity and specificity and the summary SROC curve for the diagnostic accuracy of anti-GP2 in patients with CD against those with UC (14 studies, total patients: 3947; CD cases: 640; UC cases: 3307) are presented in Figures 3</w:t>
      </w:r>
      <w:r w:rsidR="00AD7D88" w:rsidRPr="008E3F16">
        <w:rPr>
          <w:rFonts w:ascii="Book Antiqua" w:hAnsi="Book Antiqua" w:cs="Arial"/>
          <w:color w:val="000000" w:themeColor="text1"/>
          <w:lang w:val="en-US"/>
        </w:rPr>
        <w:t>D-F</w:t>
      </w:r>
      <w:r w:rsidRPr="008E3F16">
        <w:rPr>
          <w:rFonts w:ascii="Book Antiqua" w:hAnsi="Book Antiqua" w:cs="Arial"/>
          <w:color w:val="000000" w:themeColor="text1"/>
          <w:lang w:val="en-US"/>
        </w:rPr>
        <w:t>. A potential outlier study, the one conducted by Bonaci-Nicolic</w:t>
      </w:r>
      <w:r w:rsidR="00990E97" w:rsidRPr="008E3F16">
        <w:rPr>
          <w:rFonts w:ascii="Book Antiqua" w:hAnsi="Book Antiqua" w:cs="Arial"/>
          <w:color w:val="000000" w:themeColor="text1"/>
          <w:lang w:val="en-US"/>
        </w:rPr>
        <w:t xml:space="preserve"> and associates</w:t>
      </w:r>
      <w:r w:rsidRPr="008E3F16">
        <w:rPr>
          <w:rFonts w:ascii="Book Antiqua" w:hAnsi="Book Antiqua" w:cs="Arial"/>
          <w:color w:val="000000" w:themeColor="text1"/>
          <w:lang w:val="en-US"/>
        </w:rPr>
        <w:fldChar w:fldCharType="begin" w:fldLock="1"/>
      </w:r>
      <w:r w:rsidRPr="008E3F16">
        <w:rPr>
          <w:rFonts w:ascii="Book Antiqua" w:hAnsi="Book Antiqua" w:cs="Arial"/>
          <w:color w:val="000000" w:themeColor="text1"/>
          <w:lang w:val="en-US"/>
        </w:rPr>
        <w:instrText>ADDIN CSL_CITATION {"citationItems":[{"id":"ITEM-1","itemData":{"DOI":"10.1016/j.cca.2012.01.005","ISSN":"1873-3492","PMID":"22269156","author":[{"dropping-particle":"","family":"Bonaci-Nikolic","given":"Branka","non-dropping-particle":"","parse-names":false,"suffix":""},{"dropping-particle":"","family":"Spuran","given":"Milan","non-dropping-particle":"","parse-names":false,"suffix":""},{"dropping-particle":"","family":"Andrejevic","given":"Sladjana","non-dropping-particle":"","parse-names":false,"suffix":""},{"dropping-particle":"","family":"Nikolic","given":"Milos","non-dropping-particle":"","parse-names":false,"suffix":""}],"container-title":"Clinica chimica acta; international journal of clinical chemistry","id":"ITEM-1","issue":"7-8","issued":{"date-parts":[["2012","4","11"]]},"page":"822-3","title":"Autoantibodies to GP2, the major zymogen granule membrane glycoprotein, in patients with gluten-sensitive enteropathy: a possible serological trap.","type":"article-journal","volume":"413"},"uris":["http://www.mendeley.com/documents/?uuid=d097aba8-e43d-32a6-a76a-485aab3db298"]}],"mendeley":{"formattedCitation":"&lt;sup&gt;[42]&lt;/sup&gt;","plainTextFormattedCitation":"[42]","previouslyFormattedCitation":"&lt;sup&gt;[42]&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[42]</w:t>
      </w:r>
      <w:r w:rsidRPr="008E3F16">
        <w:rPr>
          <w:rFonts w:ascii="Book Antiqua" w:hAnsi="Book Antiqua" w:cs="Arial"/>
          <w:color w:val="000000" w:themeColor="text1"/>
          <w:lang w:val="en-US"/>
        </w:rPr>
        <w:fldChar w:fldCharType="end"/>
      </w:r>
      <w:r w:rsidR="00522A2F"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was identified from the forest plot and the space of the SROC curve, </w:t>
      </w:r>
      <w:r w:rsidR="00990E97" w:rsidRPr="008E3F16">
        <w:rPr>
          <w:rFonts w:ascii="Book Antiqua" w:hAnsi="Book Antiqua" w:cs="Arial"/>
          <w:color w:val="000000" w:themeColor="text1"/>
          <w:lang w:val="en-US"/>
        </w:rPr>
        <w:t>indicating</w:t>
      </w:r>
      <w:r w:rsidRPr="008E3F16">
        <w:rPr>
          <w:rFonts w:ascii="Book Antiqua" w:hAnsi="Book Antiqua" w:cs="Arial"/>
          <w:color w:val="000000" w:themeColor="text1"/>
          <w:lang w:val="en-US"/>
        </w:rPr>
        <w:t xml:space="preserve"> </w:t>
      </w:r>
      <w:r w:rsidR="00990E97" w:rsidRPr="008E3F16">
        <w:rPr>
          <w:rFonts w:ascii="Book Antiqua" w:hAnsi="Book Antiqua" w:cs="Arial"/>
          <w:color w:val="000000" w:themeColor="text1"/>
          <w:lang w:val="en-US"/>
        </w:rPr>
        <w:t xml:space="preserve">the need for refitting </w:t>
      </w:r>
      <w:r w:rsidRPr="008E3F16">
        <w:rPr>
          <w:rFonts w:ascii="Book Antiqua" w:hAnsi="Book Antiqua" w:cs="Arial"/>
          <w:color w:val="000000" w:themeColor="text1"/>
          <w:lang w:val="en-US"/>
        </w:rPr>
        <w:t xml:space="preserve">the HSROC model accordingly, </w:t>
      </w:r>
      <w:r w:rsidR="00990E97" w:rsidRPr="008E3F16">
        <w:rPr>
          <w:rFonts w:ascii="Book Antiqua" w:hAnsi="Book Antiqua" w:cs="Arial"/>
          <w:color w:val="000000" w:themeColor="text1"/>
          <w:lang w:val="en-US"/>
        </w:rPr>
        <w:t xml:space="preserve">after excluding </w:t>
      </w:r>
      <w:r w:rsidRPr="008E3F16">
        <w:rPr>
          <w:rFonts w:ascii="Book Antiqua" w:hAnsi="Book Antiqua" w:cs="Arial"/>
          <w:color w:val="000000" w:themeColor="text1"/>
          <w:lang w:val="en-US"/>
        </w:rPr>
        <w:t>this study. Based on the -2 Loglikelihood test (</w:t>
      </w:r>
      <w:r w:rsidRPr="008E3F16">
        <w:rPr>
          <w:rFonts w:ascii="Book Antiqua" w:hAnsi="Book Antiqua" w:cs="Arial"/>
          <w:i/>
          <w:iCs/>
          <w:color w:val="000000" w:themeColor="text1"/>
          <w:lang w:val="en-US"/>
        </w:rPr>
        <w:t>P</w:t>
      </w:r>
      <w:r w:rsidRPr="008E3F16">
        <w:rPr>
          <w:rFonts w:ascii="Book Antiqua" w:hAnsi="Book Antiqua" w:cs="Arial"/>
          <w:color w:val="000000" w:themeColor="text1"/>
          <w:lang w:val="en-US"/>
        </w:rPr>
        <w:t xml:space="preserve"> &lt; </w:t>
      </w:r>
      <w:r w:rsidR="00AD7D88" w:rsidRPr="008E3F16">
        <w:rPr>
          <w:rFonts w:ascii="Book Antiqua" w:hAnsi="Book Antiqua" w:cs="Arial"/>
          <w:color w:val="000000" w:themeColor="text1"/>
          <w:lang w:val="en-US"/>
        </w:rPr>
        <w:t>0</w:t>
      </w:r>
      <w:r w:rsidRPr="008E3F16">
        <w:rPr>
          <w:rFonts w:ascii="Book Antiqua" w:hAnsi="Book Antiqua" w:cs="Arial"/>
          <w:color w:val="000000" w:themeColor="text1"/>
          <w:lang w:val="en-US"/>
        </w:rPr>
        <w:t xml:space="preserve">.001), the </w:t>
      </w:r>
      <w:r w:rsidR="00990E97" w:rsidRPr="008E3F16">
        <w:rPr>
          <w:rFonts w:ascii="Book Antiqua" w:hAnsi="Book Antiqua" w:cs="Arial"/>
          <w:color w:val="000000" w:themeColor="text1"/>
          <w:lang w:val="en-US"/>
        </w:rPr>
        <w:lastRenderedPageBreak/>
        <w:t>remaining</w:t>
      </w:r>
      <w:r w:rsidRPr="008E3F16">
        <w:rPr>
          <w:rFonts w:ascii="Book Antiqua" w:hAnsi="Book Antiqua" w:cs="Arial"/>
          <w:color w:val="000000" w:themeColor="text1"/>
          <w:lang w:val="en-US"/>
        </w:rPr>
        <w:t xml:space="preserve"> analyses were carried out without this DTA </w:t>
      </w:r>
      <w:r w:rsidR="00990E97" w:rsidRPr="008E3F16">
        <w:rPr>
          <w:rFonts w:ascii="Book Antiqua" w:hAnsi="Book Antiqua" w:cs="Arial"/>
          <w:color w:val="000000" w:themeColor="text1"/>
          <w:lang w:val="en-US"/>
        </w:rPr>
        <w:t>study</w:t>
      </w:r>
      <w:r w:rsidRPr="008E3F16">
        <w:rPr>
          <w:rFonts w:ascii="Book Antiqua" w:hAnsi="Book Antiqua" w:cs="Arial"/>
          <w:color w:val="000000" w:themeColor="text1"/>
          <w:lang w:val="en-US"/>
        </w:rPr>
        <w:fldChar w:fldCharType="begin" w:fldLock="1"/>
      </w:r>
      <w:r w:rsidRPr="008E3F16">
        <w:rPr>
          <w:rFonts w:ascii="Book Antiqua" w:hAnsi="Book Antiqua" w:cs="Arial"/>
          <w:color w:val="000000" w:themeColor="text1"/>
          <w:lang w:val="en-US"/>
        </w:rPr>
        <w:instrText>ADDIN CSL_CITATION {"citationItems":[{"id":"ITEM-1","itemData":{"DOI":"10.1016/j.cca.2012.01.005","ISSN":"1873-3492","PMID":"22269156","author":[{"dropping-particle":"","family":"Bonaci-Nikolic","given":"Branka","non-dropping-particle":"","parse-names":false,"suffix":""},{"dropping-particle":"","family":"Spuran","given":"Milan","non-dropping-particle":"","parse-names":false,"suffix":""},{"dropping-particle":"","family":"Andrejevic","given":"Sladjana","non-dropping-particle":"","parse-names":false,"suffix":""},{"dropping-particle":"","family":"Nikolic","given":"Milos","non-dropping-particle":"","parse-names":false,"suffix":""}],"container-title":"Clinica chimica acta; international journal of clinical chemistry","id":"ITEM-1","issue":"7-8","issued":{"date-parts":[["2012","4","11"]]},"page":"822-3","title":"Autoantibodies to GP2, the major zymogen granule membrane glycoprotein, in patients with gluten-sensitive enteropathy: a possible serological trap.","type":"article-journal","volume":"413"},"uris":["http://www.mendeley.com/documents/?uuid=d097aba8-e43d-32a6-a76a-485aab3db298"]}],"mendeley":{"formattedCitation":"&lt;sup&gt;[42]&lt;/sup&gt;","plainTextFormattedCitation":"[42]","previouslyFormattedCitation":"&lt;sup&gt;[42]&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[42]</w:t>
      </w:r>
      <w:r w:rsidRPr="008E3F16">
        <w:rPr>
          <w:rFonts w:ascii="Book Antiqua" w:hAnsi="Book Antiqua" w:cs="Arial"/>
          <w:color w:val="000000" w:themeColor="text1"/>
          <w:lang w:val="en-US"/>
        </w:rPr>
        <w:fldChar w:fldCharType="end"/>
      </w:r>
      <w:r w:rsidR="00592EFF"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w:t>
      </w:r>
      <w:r w:rsidR="00990E97" w:rsidRPr="008E3F16">
        <w:rPr>
          <w:rFonts w:ascii="Book Antiqua" w:hAnsi="Book Antiqua" w:cs="Arial"/>
          <w:color w:val="000000" w:themeColor="text1"/>
          <w:lang w:val="en-US"/>
        </w:rPr>
        <w:t>Based on</w:t>
      </w:r>
      <w:r w:rsidRPr="008E3F16">
        <w:rPr>
          <w:rFonts w:ascii="Book Antiqua" w:hAnsi="Book Antiqua" w:cs="Arial"/>
          <w:color w:val="000000" w:themeColor="text1"/>
          <w:lang w:val="en-US"/>
        </w:rPr>
        <w:t xml:space="preserve"> the HSROC model</w:t>
      </w:r>
      <w:r w:rsidR="00990E97"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on the median specificity of 93% </w:t>
      </w:r>
      <w:r w:rsidR="00990E97" w:rsidRPr="008E3F16">
        <w:rPr>
          <w:rFonts w:ascii="Book Antiqua" w:hAnsi="Book Antiqua" w:cs="Arial"/>
          <w:color w:val="000000" w:themeColor="text1"/>
          <w:lang w:val="en-US"/>
        </w:rPr>
        <w:t>s</w:t>
      </w:r>
      <w:r w:rsidRPr="008E3F16">
        <w:rPr>
          <w:rFonts w:ascii="Book Antiqua" w:hAnsi="Book Antiqua" w:cs="Arial"/>
          <w:color w:val="000000" w:themeColor="text1"/>
          <w:lang w:val="en-US"/>
        </w:rPr>
        <w:t>ummary sensitivity was 30% (95%CI: 24</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–36%). With the UREM models, using the cut-off of 20 U/mL (six studies)</w:t>
      </w:r>
      <w:r w:rsidR="00990E97"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summary sensitivity was </w:t>
      </w:r>
      <w:r w:rsidR="00990E97" w:rsidRPr="008E3F16">
        <w:rPr>
          <w:rFonts w:ascii="Book Antiqua" w:hAnsi="Book Antiqua" w:cs="Arial"/>
          <w:color w:val="000000" w:themeColor="text1"/>
          <w:lang w:val="en-US"/>
        </w:rPr>
        <w:t xml:space="preserve">calculated at </w:t>
      </w:r>
      <w:r w:rsidRPr="008E3F16">
        <w:rPr>
          <w:rFonts w:ascii="Book Antiqua" w:hAnsi="Book Antiqua" w:cs="Arial"/>
          <w:color w:val="000000" w:themeColor="text1"/>
          <w:lang w:val="en-US"/>
        </w:rPr>
        <w:t>24% (95%CI: 17</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–33%) and the specificity </w:t>
      </w:r>
      <w:r w:rsidR="00990E97" w:rsidRPr="008E3F16">
        <w:rPr>
          <w:rFonts w:ascii="Book Antiqua" w:hAnsi="Book Antiqua" w:cs="Arial"/>
          <w:color w:val="000000" w:themeColor="text1"/>
          <w:lang w:val="en-US"/>
        </w:rPr>
        <w:t>at</w:t>
      </w:r>
      <w:r w:rsidRPr="008E3F16">
        <w:rPr>
          <w:rFonts w:ascii="Book Antiqua" w:hAnsi="Book Antiqua" w:cs="Arial"/>
          <w:color w:val="000000" w:themeColor="text1"/>
          <w:lang w:val="en-US"/>
        </w:rPr>
        <w:t xml:space="preserve"> 93% (95%CI: 90</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–96%)</w:t>
      </w:r>
      <w:r w:rsidR="00990E97" w:rsidRPr="008E3F16">
        <w:rPr>
          <w:rFonts w:ascii="Book Antiqua" w:hAnsi="Book Antiqua" w:cs="Arial"/>
          <w:color w:val="000000" w:themeColor="text1"/>
          <w:lang w:val="en-US"/>
        </w:rPr>
        <w:t>. A</w:t>
      </w:r>
      <w:r w:rsidRPr="008E3F16">
        <w:rPr>
          <w:rFonts w:ascii="Book Antiqua" w:hAnsi="Book Antiqua" w:cs="Arial"/>
          <w:color w:val="000000" w:themeColor="text1"/>
          <w:lang w:val="en-US"/>
        </w:rPr>
        <w:t>t the cut-off limit of 15 U/mL</w:t>
      </w:r>
      <w:r w:rsidR="00990E97"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summary sensitivity </w:t>
      </w:r>
      <w:r w:rsidR="00990E97" w:rsidRPr="008E3F16">
        <w:rPr>
          <w:rFonts w:ascii="Book Antiqua" w:hAnsi="Book Antiqua" w:cs="Arial"/>
          <w:color w:val="000000" w:themeColor="text1"/>
          <w:lang w:val="en-US"/>
        </w:rPr>
        <w:t>reached</w:t>
      </w:r>
      <w:r w:rsidRPr="008E3F16">
        <w:rPr>
          <w:rFonts w:ascii="Book Antiqua" w:hAnsi="Book Antiqua" w:cs="Arial"/>
          <w:color w:val="000000" w:themeColor="text1"/>
          <w:lang w:val="en-US"/>
        </w:rPr>
        <w:t xml:space="preserve"> 28% (95%CI: 16</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–43%) and specificity </w:t>
      </w:r>
      <w:r w:rsidR="00990E97" w:rsidRPr="008E3F16">
        <w:rPr>
          <w:rFonts w:ascii="Book Antiqua" w:hAnsi="Book Antiqua" w:cs="Arial"/>
          <w:color w:val="000000" w:themeColor="text1"/>
          <w:lang w:val="en-US"/>
        </w:rPr>
        <w:t xml:space="preserve">was estimated </w:t>
      </w:r>
      <w:r w:rsidRPr="008E3F16">
        <w:rPr>
          <w:rFonts w:ascii="Book Antiqua" w:hAnsi="Book Antiqua" w:cs="Arial"/>
          <w:color w:val="000000" w:themeColor="text1"/>
          <w:lang w:val="en-US"/>
        </w:rPr>
        <w:t>at 90% (95%CI: 84</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–94%).</w:t>
      </w:r>
    </w:p>
    <w:p w14:paraId="7A455955" w14:textId="77777777" w:rsidR="00E82B0E" w:rsidRPr="008E3F16" w:rsidRDefault="00E82B0E" w:rsidP="00C66188">
      <w:pPr>
        <w:adjustRightInd w:val="0"/>
        <w:snapToGrid w:val="0"/>
        <w:spacing w:line="360" w:lineRule="auto"/>
        <w:jc w:val="both"/>
        <w:rPr>
          <w:rFonts w:ascii="Book Antiqua" w:hAnsi="Book Antiqua" w:cs="Arial"/>
          <w:i/>
          <w:color w:val="000000" w:themeColor="text1"/>
          <w:lang w:val="en-US"/>
        </w:rPr>
      </w:pPr>
    </w:p>
    <w:p w14:paraId="51811D4F" w14:textId="77777777" w:rsidR="00E82B0E" w:rsidRPr="008E3F16" w:rsidRDefault="00E82B0E" w:rsidP="00C66188">
      <w:pPr>
        <w:adjustRightInd w:val="0"/>
        <w:snapToGrid w:val="0"/>
        <w:spacing w:line="360" w:lineRule="auto"/>
        <w:jc w:val="both"/>
        <w:rPr>
          <w:rFonts w:ascii="Book Antiqua" w:hAnsi="Book Antiqua" w:cs="Arial"/>
          <w:b/>
          <w:bCs/>
          <w:i/>
          <w:color w:val="000000" w:themeColor="text1"/>
          <w:lang w:val="en-US"/>
        </w:rPr>
      </w:pPr>
      <w:r w:rsidRPr="008E3F16">
        <w:rPr>
          <w:rFonts w:ascii="Book Antiqua" w:hAnsi="Book Antiqua" w:cs="Arial"/>
          <w:b/>
          <w:bCs/>
          <w:i/>
          <w:color w:val="000000" w:themeColor="text1"/>
          <w:lang w:val="en-US"/>
        </w:rPr>
        <w:t xml:space="preserve">Meta-analysis of the diagnostic accuracy of anti-GP2 (IgA) for CD </w:t>
      </w:r>
    </w:p>
    <w:p w14:paraId="614E51F7" w14:textId="22F6BFEA" w:rsidR="00E82B0E" w:rsidRPr="008E3F16" w:rsidRDefault="00E82B0E"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A total of 15 studies were included in the pooled </w:t>
      </w:r>
      <w:r w:rsidR="00D25876" w:rsidRPr="008E3F16">
        <w:rPr>
          <w:rFonts w:ascii="Book Antiqua" w:hAnsi="Book Antiqua" w:cs="Arial"/>
          <w:color w:val="000000" w:themeColor="text1"/>
          <w:lang w:val="en-US"/>
        </w:rPr>
        <w:t>analysis</w:t>
      </w:r>
      <w:r w:rsidRPr="008E3F16">
        <w:rPr>
          <w:rFonts w:ascii="Book Antiqua" w:hAnsi="Book Antiqua" w:cs="Arial"/>
          <w:color w:val="000000" w:themeColor="text1"/>
          <w:lang w:val="en-US"/>
        </w:rPr>
        <w:t xml:space="preserve"> </w:t>
      </w:r>
      <w:r w:rsidR="00D25876" w:rsidRPr="008E3F16">
        <w:rPr>
          <w:rFonts w:ascii="Book Antiqua" w:hAnsi="Book Antiqua" w:cs="Arial"/>
          <w:color w:val="000000" w:themeColor="text1"/>
          <w:lang w:val="en-US"/>
        </w:rPr>
        <w:t xml:space="preserve">for </w:t>
      </w:r>
      <w:r w:rsidRPr="008E3F16">
        <w:rPr>
          <w:rFonts w:ascii="Book Antiqua" w:hAnsi="Book Antiqua" w:cs="Arial"/>
          <w:color w:val="000000" w:themeColor="text1"/>
          <w:lang w:val="en-US"/>
        </w:rPr>
        <w:t>the diagnostic accuracy of anti-GP2 IgA, involving 4036 patients in total (CD cases: 397; Control cases: 3639). The reported diagnostic sensitivity ranged from 3</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to 37% </w:t>
      </w:r>
      <w:bookmarkStart w:id="15" w:name="_Hlk16701972"/>
      <w:r w:rsidRPr="008E3F16">
        <w:rPr>
          <w:rFonts w:ascii="Book Antiqua" w:hAnsi="Book Antiqua" w:cs="Arial"/>
          <w:color w:val="000000" w:themeColor="text1"/>
          <w:lang w:val="en-US"/>
        </w:rPr>
        <w:t>(Figure</w:t>
      </w:r>
      <w:bookmarkEnd w:id="15"/>
      <w:r w:rsidRPr="008E3F16">
        <w:rPr>
          <w:rFonts w:ascii="Book Antiqua" w:hAnsi="Book Antiqua" w:cs="Arial"/>
          <w:color w:val="000000" w:themeColor="text1"/>
          <w:lang w:val="en-US"/>
        </w:rPr>
        <w:t xml:space="preserve"> 4</w:t>
      </w:r>
      <w:r w:rsidR="00AD7D88" w:rsidRPr="008E3F16">
        <w:rPr>
          <w:rFonts w:ascii="Book Antiqua" w:hAnsi="Book Antiqua" w:cs="Arial"/>
          <w:color w:val="000000" w:themeColor="text1"/>
          <w:lang w:val="en-US"/>
        </w:rPr>
        <w:t>A</w:t>
      </w:r>
      <w:r w:rsidRPr="008E3F16">
        <w:rPr>
          <w:rFonts w:ascii="Book Antiqua" w:hAnsi="Book Antiqua" w:cs="Arial"/>
          <w:color w:val="000000" w:themeColor="text1"/>
          <w:lang w:val="en-US"/>
        </w:rPr>
        <w:t xml:space="preserve">) and specificity </w:t>
      </w:r>
      <w:r w:rsidR="00D25876" w:rsidRPr="008E3F16">
        <w:rPr>
          <w:rFonts w:ascii="Book Antiqua" w:hAnsi="Book Antiqua" w:cs="Arial"/>
          <w:color w:val="000000" w:themeColor="text1"/>
          <w:lang w:val="en-US"/>
        </w:rPr>
        <w:t>between</w:t>
      </w:r>
      <w:r w:rsidRPr="008E3F16">
        <w:rPr>
          <w:rFonts w:ascii="Book Antiqua" w:hAnsi="Book Antiqua" w:cs="Arial"/>
          <w:color w:val="000000" w:themeColor="text1"/>
          <w:lang w:val="en-US"/>
        </w:rPr>
        <w:t xml:space="preserve"> 75</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to 100% (Figure 4</w:t>
      </w:r>
      <w:r w:rsidR="00AD7D88" w:rsidRPr="008E3F16">
        <w:rPr>
          <w:rFonts w:ascii="Book Antiqua" w:hAnsi="Book Antiqua" w:cs="Arial"/>
          <w:color w:val="000000" w:themeColor="text1"/>
          <w:lang w:val="en-US"/>
        </w:rPr>
        <w:t>B</w:t>
      </w:r>
      <w:r w:rsidRPr="008E3F16">
        <w:rPr>
          <w:rFonts w:ascii="Book Antiqua" w:hAnsi="Book Antiqua" w:cs="Arial"/>
          <w:color w:val="000000" w:themeColor="text1"/>
          <w:lang w:val="en-US"/>
        </w:rPr>
        <w:t xml:space="preserve">). </w:t>
      </w:r>
      <w:r w:rsidR="00D25876" w:rsidRPr="008E3F16">
        <w:rPr>
          <w:rFonts w:ascii="Book Antiqua" w:hAnsi="Book Antiqua" w:cs="Arial"/>
          <w:color w:val="000000" w:themeColor="text1"/>
          <w:lang w:val="en-US"/>
        </w:rPr>
        <w:t>Using</w:t>
      </w:r>
      <w:r w:rsidRPr="008E3F16">
        <w:rPr>
          <w:rFonts w:ascii="Book Antiqua" w:hAnsi="Book Antiqua" w:cs="Arial"/>
          <w:color w:val="000000" w:themeColor="text1"/>
          <w:lang w:val="en-US"/>
        </w:rPr>
        <w:t xml:space="preserve"> the HSROC model, the estimated sensitivity on the SROC curve was </w:t>
      </w:r>
      <w:r w:rsidR="00372AC8" w:rsidRPr="008E3F16">
        <w:rPr>
          <w:rFonts w:ascii="Book Antiqua" w:hAnsi="Book Antiqua" w:cs="Arial"/>
          <w:color w:val="000000" w:themeColor="text1"/>
          <w:lang w:val="en-US"/>
        </w:rPr>
        <w:t xml:space="preserve">estimated at </w:t>
      </w:r>
      <w:r w:rsidRPr="008E3F16">
        <w:rPr>
          <w:rFonts w:ascii="Book Antiqua" w:hAnsi="Book Antiqua" w:cs="Arial"/>
          <w:color w:val="000000" w:themeColor="text1"/>
          <w:lang w:val="en-US"/>
        </w:rPr>
        <w:t>15% (95%CI: 12</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–18%) </w:t>
      </w:r>
      <w:r w:rsidR="00372AC8" w:rsidRPr="008E3F16">
        <w:rPr>
          <w:rFonts w:ascii="Book Antiqua" w:hAnsi="Book Antiqua" w:cs="Arial"/>
          <w:color w:val="000000" w:themeColor="text1"/>
          <w:lang w:val="en-US"/>
        </w:rPr>
        <w:t>and</w:t>
      </w:r>
      <w:r w:rsidRPr="008E3F16">
        <w:rPr>
          <w:rFonts w:ascii="Book Antiqua" w:hAnsi="Book Antiqua" w:cs="Arial"/>
          <w:color w:val="000000" w:themeColor="text1"/>
          <w:lang w:val="en-US"/>
        </w:rPr>
        <w:t xml:space="preserve"> median specificity reached 97% (Figure 4</w:t>
      </w:r>
      <w:r w:rsidR="00AD7D88" w:rsidRPr="008E3F16">
        <w:rPr>
          <w:rFonts w:ascii="Book Antiqua" w:hAnsi="Book Antiqua" w:cs="Arial"/>
          <w:color w:val="000000" w:themeColor="text1"/>
          <w:lang w:val="en-US"/>
        </w:rPr>
        <w:t>C</w:t>
      </w:r>
      <w:r w:rsidRPr="008E3F16">
        <w:rPr>
          <w:rFonts w:ascii="Book Antiqua" w:hAnsi="Book Antiqua" w:cs="Arial"/>
          <w:color w:val="000000" w:themeColor="text1"/>
          <w:lang w:val="en-US"/>
        </w:rPr>
        <w:t>). Using the cut-off value of 20 U/mL (seven studies, bivariate model), summary sensitivity was 16% (</w:t>
      </w:r>
      <w:r w:rsidR="00372AC8" w:rsidRPr="008E3F16">
        <w:rPr>
          <w:rFonts w:ascii="Book Antiqua" w:hAnsi="Book Antiqua" w:cs="Arial"/>
          <w:color w:val="000000" w:themeColor="text1"/>
          <w:lang w:val="en-US"/>
        </w:rPr>
        <w:t xml:space="preserve">95%CI: </w:t>
      </w:r>
      <w:r w:rsidRPr="008E3F16">
        <w:rPr>
          <w:rFonts w:ascii="Book Antiqua" w:hAnsi="Book Antiqua" w:cs="Arial"/>
          <w:color w:val="000000" w:themeColor="text1"/>
          <w:lang w:val="en-US"/>
        </w:rPr>
        <w:t>9</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–26%) and specificity </w:t>
      </w:r>
      <w:r w:rsidR="00372AC8" w:rsidRPr="008E3F16">
        <w:rPr>
          <w:rFonts w:ascii="Book Antiqua" w:hAnsi="Book Antiqua" w:cs="Arial"/>
          <w:color w:val="000000" w:themeColor="text1"/>
          <w:lang w:val="en-US"/>
        </w:rPr>
        <w:t>was calculated at</w:t>
      </w:r>
      <w:r w:rsidRPr="008E3F16">
        <w:rPr>
          <w:rFonts w:ascii="Book Antiqua" w:hAnsi="Book Antiqua" w:cs="Arial"/>
          <w:color w:val="000000" w:themeColor="text1"/>
          <w:lang w:val="en-US"/>
        </w:rPr>
        <w:t xml:space="preserve"> 96% (95%CI: 86</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–99%).</w:t>
      </w:r>
    </w:p>
    <w:p w14:paraId="14AB4AA6" w14:textId="72471121" w:rsidR="00E82B0E" w:rsidRPr="008E3F16"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When UC cases were used as </w:t>
      </w:r>
      <w:r w:rsidR="00372AC8" w:rsidRPr="008E3F16">
        <w:rPr>
          <w:rFonts w:ascii="Book Antiqua" w:hAnsi="Book Antiqua" w:cs="Arial"/>
          <w:color w:val="000000" w:themeColor="text1"/>
          <w:lang w:val="en-US"/>
        </w:rPr>
        <w:t xml:space="preserve">the only </w:t>
      </w:r>
      <w:r w:rsidRPr="008E3F16">
        <w:rPr>
          <w:rFonts w:ascii="Book Antiqua" w:hAnsi="Book Antiqua" w:cs="Arial"/>
          <w:color w:val="000000" w:themeColor="text1"/>
          <w:lang w:val="en-US"/>
        </w:rPr>
        <w:t>comparators (Figures 4</w:t>
      </w:r>
      <w:r w:rsidR="00AD7D88" w:rsidRPr="008E3F16">
        <w:rPr>
          <w:rFonts w:ascii="Book Antiqua" w:hAnsi="Book Antiqua" w:cs="Arial"/>
          <w:color w:val="000000" w:themeColor="text1"/>
          <w:lang w:val="en-US"/>
        </w:rPr>
        <w:t>D and E</w:t>
      </w:r>
      <w:r w:rsidRPr="008E3F16">
        <w:rPr>
          <w:rFonts w:ascii="Book Antiqua" w:hAnsi="Book Antiqua" w:cs="Arial"/>
          <w:b/>
          <w:bCs/>
          <w:color w:val="000000" w:themeColor="text1"/>
          <w:lang w:val="en-US"/>
        </w:rPr>
        <w:t xml:space="preserve">; </w:t>
      </w:r>
      <w:r w:rsidRPr="008E3F16">
        <w:rPr>
          <w:rFonts w:ascii="Book Antiqua" w:hAnsi="Book Antiqua" w:cs="Arial"/>
          <w:color w:val="000000" w:themeColor="text1"/>
          <w:lang w:val="en-US"/>
        </w:rPr>
        <w:t>Total patients: 3497; CD cases: 324; UC cases: 3173) the estimated sensitivity on the SROC curve was 11% (95%CI: 3</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–20%) at the median specificity of 98% (Figure 4</w:t>
      </w:r>
      <w:r w:rsidR="00AD7D88" w:rsidRPr="008E3F16">
        <w:rPr>
          <w:rFonts w:ascii="Book Antiqua" w:hAnsi="Book Antiqua" w:cs="Arial"/>
          <w:color w:val="000000" w:themeColor="text1"/>
          <w:lang w:val="en-US"/>
        </w:rPr>
        <w:t>F</w:t>
      </w:r>
      <w:r w:rsidRPr="008E3F16">
        <w:rPr>
          <w:rFonts w:ascii="Book Antiqua" w:hAnsi="Book Antiqua" w:cs="Arial"/>
          <w:color w:val="000000" w:themeColor="text1"/>
          <w:lang w:val="en-US"/>
        </w:rPr>
        <w:t xml:space="preserve">). However, when the analysis was restricted to studies reporting results at </w:t>
      </w:r>
      <w:r w:rsidR="00372AC8" w:rsidRPr="008E3F16">
        <w:rPr>
          <w:rFonts w:ascii="Book Antiqua" w:hAnsi="Book Antiqua" w:cs="Arial"/>
          <w:color w:val="000000" w:themeColor="text1"/>
          <w:lang w:val="en-US"/>
        </w:rPr>
        <w:t>the</w:t>
      </w:r>
      <w:r w:rsidRPr="008E3F16">
        <w:rPr>
          <w:rFonts w:ascii="Book Antiqua" w:hAnsi="Book Antiqua" w:cs="Arial"/>
          <w:color w:val="000000" w:themeColor="text1"/>
          <w:lang w:val="en-US"/>
        </w:rPr>
        <w:t xml:space="preserve"> cut-off of 20 U/mL (eight studies, UREM model)</w:t>
      </w:r>
      <w:r w:rsidR="00372AC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pooled summary sensitivity was </w:t>
      </w:r>
      <w:r w:rsidR="00372AC8" w:rsidRPr="008E3F16">
        <w:rPr>
          <w:rFonts w:ascii="Book Antiqua" w:hAnsi="Book Antiqua" w:cs="Arial"/>
          <w:color w:val="000000" w:themeColor="text1"/>
          <w:lang w:val="en-US"/>
        </w:rPr>
        <w:t xml:space="preserve">calculated at </w:t>
      </w:r>
      <w:r w:rsidRPr="008E3F16">
        <w:rPr>
          <w:rFonts w:ascii="Book Antiqua" w:hAnsi="Book Antiqua" w:cs="Arial"/>
          <w:color w:val="000000" w:themeColor="text1"/>
          <w:lang w:val="en-US"/>
        </w:rPr>
        <w:t>15% (95%CI: 10</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–22%) and specificity </w:t>
      </w:r>
      <w:r w:rsidR="00372AC8" w:rsidRPr="008E3F16">
        <w:rPr>
          <w:rFonts w:ascii="Book Antiqua" w:hAnsi="Book Antiqua" w:cs="Arial"/>
          <w:color w:val="000000" w:themeColor="text1"/>
          <w:lang w:val="en-US"/>
        </w:rPr>
        <w:t>reached</w:t>
      </w:r>
      <w:r w:rsidRPr="008E3F16">
        <w:rPr>
          <w:rFonts w:ascii="Book Antiqua" w:hAnsi="Book Antiqua" w:cs="Arial"/>
          <w:color w:val="000000" w:themeColor="text1"/>
          <w:lang w:val="en-US"/>
        </w:rPr>
        <w:t xml:space="preserve"> 98% (95%CI: 96</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–99%).</w:t>
      </w:r>
    </w:p>
    <w:p w14:paraId="0A5B7496" w14:textId="77777777" w:rsidR="00E82B0E" w:rsidRPr="008E3F16" w:rsidRDefault="00E82B0E" w:rsidP="00C66188">
      <w:pPr>
        <w:adjustRightInd w:val="0"/>
        <w:snapToGrid w:val="0"/>
        <w:spacing w:line="360" w:lineRule="auto"/>
        <w:jc w:val="both"/>
        <w:rPr>
          <w:rFonts w:ascii="Book Antiqua" w:hAnsi="Book Antiqua" w:cs="Arial"/>
          <w:i/>
          <w:color w:val="000000" w:themeColor="text1"/>
          <w:lang w:val="en-US"/>
        </w:rPr>
      </w:pPr>
    </w:p>
    <w:p w14:paraId="71944D65" w14:textId="77777777" w:rsidR="00E82B0E" w:rsidRPr="008E3F16" w:rsidRDefault="00E82B0E" w:rsidP="00C66188">
      <w:pPr>
        <w:adjustRightInd w:val="0"/>
        <w:snapToGrid w:val="0"/>
        <w:spacing w:line="360" w:lineRule="auto"/>
        <w:jc w:val="both"/>
        <w:rPr>
          <w:rFonts w:ascii="Book Antiqua" w:hAnsi="Book Antiqua" w:cs="Arial"/>
          <w:b/>
          <w:bCs/>
          <w:i/>
          <w:color w:val="000000" w:themeColor="text1"/>
          <w:lang w:val="en-US"/>
        </w:rPr>
      </w:pPr>
      <w:r w:rsidRPr="008E3F16">
        <w:rPr>
          <w:rFonts w:ascii="Book Antiqua" w:hAnsi="Book Antiqua" w:cs="Arial"/>
          <w:b/>
          <w:bCs/>
          <w:i/>
          <w:color w:val="000000" w:themeColor="text1"/>
          <w:lang w:val="en-US"/>
        </w:rPr>
        <w:t xml:space="preserve">Meta-analysis of the diagnostic accuracy of anti-GP2 (IgA and/or IgG) for CD </w:t>
      </w:r>
    </w:p>
    <w:p w14:paraId="616A10A7" w14:textId="5632A95D" w:rsidR="00E82B0E" w:rsidRPr="008E3F16" w:rsidRDefault="00E82B0E"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A total of five studies were meta-analyzed during the assessment of the diagnostic accuracy of anti-GP2 IgA and/or IgG antibodies, involving a total of 1693 patients (CD cases: 243; Control cases: 1450). The reported diagnostic sensitivity of the anti-GP2 antibody (IgA and/or IgG) for CD ranged between 10</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w:t>
      </w:r>
      <w:r w:rsidR="00440403" w:rsidRPr="008E3F16">
        <w:rPr>
          <w:rFonts w:ascii="Book Antiqua" w:hAnsi="Book Antiqua" w:cs="Arial"/>
          <w:color w:val="000000" w:themeColor="text1"/>
          <w:lang w:val="en-US"/>
        </w:rPr>
        <w:t>and</w:t>
      </w:r>
      <w:r w:rsidRPr="008E3F16">
        <w:rPr>
          <w:rFonts w:ascii="Book Antiqua" w:hAnsi="Book Antiqua" w:cs="Arial"/>
          <w:color w:val="000000" w:themeColor="text1"/>
          <w:lang w:val="en-US"/>
        </w:rPr>
        <w:t xml:space="preserve"> 34% (Figure 5</w:t>
      </w:r>
      <w:r w:rsidR="00AD7D88" w:rsidRPr="008E3F16">
        <w:rPr>
          <w:rFonts w:ascii="Book Antiqua" w:hAnsi="Book Antiqua" w:cs="Arial"/>
          <w:color w:val="000000" w:themeColor="text1"/>
          <w:lang w:val="en-US"/>
        </w:rPr>
        <w:t>A</w:t>
      </w:r>
      <w:r w:rsidRPr="008E3F16">
        <w:rPr>
          <w:rFonts w:ascii="Book Antiqua" w:hAnsi="Book Antiqua" w:cs="Arial"/>
          <w:color w:val="000000" w:themeColor="text1"/>
          <w:lang w:val="en-US"/>
        </w:rPr>
        <w:t>), and the reported specificity ranged from 81</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to 98% (Figure 5</w:t>
      </w:r>
      <w:r w:rsidR="00AD7D88" w:rsidRPr="008E3F16">
        <w:rPr>
          <w:rFonts w:ascii="Book Antiqua" w:hAnsi="Book Antiqua" w:cs="Arial"/>
          <w:color w:val="000000" w:themeColor="text1"/>
          <w:lang w:val="en-US"/>
        </w:rPr>
        <w:t>B</w:t>
      </w:r>
      <w:r w:rsidRPr="008E3F16">
        <w:rPr>
          <w:rFonts w:ascii="Book Antiqua" w:hAnsi="Book Antiqua" w:cs="Arial"/>
          <w:color w:val="000000" w:themeColor="text1"/>
          <w:lang w:val="en-US"/>
        </w:rPr>
        <w:t xml:space="preserve">). The estimated sensitivity was </w:t>
      </w:r>
      <w:r w:rsidR="00440403" w:rsidRPr="008E3F16">
        <w:rPr>
          <w:rFonts w:ascii="Book Antiqua" w:hAnsi="Book Antiqua" w:cs="Arial"/>
          <w:color w:val="000000" w:themeColor="text1"/>
          <w:lang w:val="en-US"/>
        </w:rPr>
        <w:t xml:space="preserve">calculated at </w:t>
      </w:r>
      <w:r w:rsidRPr="008E3F16">
        <w:rPr>
          <w:rFonts w:ascii="Book Antiqua" w:hAnsi="Book Antiqua" w:cs="Arial"/>
          <w:color w:val="000000" w:themeColor="text1"/>
          <w:lang w:val="en-US"/>
        </w:rPr>
        <w:t>20% (95%CI: 10</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–29%) at </w:t>
      </w:r>
      <w:r w:rsidR="00440403" w:rsidRPr="008E3F16">
        <w:rPr>
          <w:rFonts w:ascii="Book Antiqua" w:hAnsi="Book Antiqua" w:cs="Arial"/>
          <w:color w:val="000000" w:themeColor="text1"/>
          <w:lang w:val="en-US"/>
        </w:rPr>
        <w:t>a</w:t>
      </w:r>
      <w:r w:rsidRPr="008E3F16">
        <w:rPr>
          <w:rFonts w:ascii="Book Antiqua" w:hAnsi="Book Antiqua" w:cs="Arial"/>
          <w:color w:val="000000" w:themeColor="text1"/>
          <w:lang w:val="en-US"/>
        </w:rPr>
        <w:t xml:space="preserve"> median specificity of 97% (Figure 5</w:t>
      </w:r>
      <w:r w:rsidR="00AD7D88" w:rsidRPr="008E3F16">
        <w:rPr>
          <w:rFonts w:ascii="Book Antiqua" w:hAnsi="Book Antiqua" w:cs="Arial"/>
          <w:color w:val="000000" w:themeColor="text1"/>
          <w:lang w:val="en-US"/>
        </w:rPr>
        <w:t>C</w:t>
      </w:r>
      <w:r w:rsidRPr="008E3F16">
        <w:rPr>
          <w:rFonts w:ascii="Book Antiqua" w:hAnsi="Book Antiqua" w:cs="Arial"/>
          <w:color w:val="000000" w:themeColor="text1"/>
          <w:lang w:val="en-US"/>
        </w:rPr>
        <w:t>). At the cut-off value of 20 U/mL (five studies, UREM model), pooled summary sensitivity reached 22% (95%CI: 12</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–39%) and pooled summary specificity was computed at 93% (95%CI: 80</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–98%).</w:t>
      </w:r>
    </w:p>
    <w:p w14:paraId="3D0DC556" w14:textId="28B54E35" w:rsidR="00E82B0E" w:rsidRPr="008E3F16"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E3F16">
        <w:rPr>
          <w:rFonts w:ascii="Book Antiqua" w:hAnsi="Book Antiqua" w:cs="Arial"/>
          <w:color w:val="000000" w:themeColor="text1"/>
          <w:lang w:val="en-US"/>
        </w:rPr>
        <w:t>When UC cases were used as comparators against patients with CD (Figures 5</w:t>
      </w:r>
      <w:r w:rsidR="00AD7D88" w:rsidRPr="008E3F16">
        <w:rPr>
          <w:rFonts w:ascii="Book Antiqua" w:hAnsi="Book Antiqua" w:cs="Arial"/>
          <w:color w:val="000000" w:themeColor="text1"/>
          <w:lang w:val="en-US"/>
        </w:rPr>
        <w:t>D and E</w:t>
      </w:r>
      <w:r w:rsidRPr="008E3F16">
        <w:rPr>
          <w:rFonts w:ascii="Book Antiqua" w:hAnsi="Book Antiqua" w:cs="Arial"/>
          <w:color w:val="000000" w:themeColor="text1"/>
          <w:lang w:val="en-US"/>
        </w:rPr>
        <w:t>; Total patients: 1541; CD cases: 203; UC cases: 1338), the estimated sensitivity was 20% (95%CI: 4</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–35%) at the median specificity of 97% (Figure 5</w:t>
      </w:r>
      <w:r w:rsidR="00AD7D88" w:rsidRPr="008E3F16">
        <w:rPr>
          <w:rFonts w:ascii="Book Antiqua" w:hAnsi="Book Antiqua" w:cs="Arial"/>
          <w:color w:val="000000" w:themeColor="text1"/>
          <w:lang w:val="en-US"/>
        </w:rPr>
        <w:t>F</w:t>
      </w:r>
      <w:r w:rsidRPr="008E3F16">
        <w:rPr>
          <w:rFonts w:ascii="Book Antiqua" w:hAnsi="Book Antiqua" w:cs="Arial"/>
          <w:color w:val="000000" w:themeColor="text1"/>
          <w:lang w:val="en-US"/>
        </w:rPr>
        <w:t xml:space="preserve">). At the cut-off of 20 U/mL </w:t>
      </w:r>
      <w:r w:rsidRPr="008E3F16">
        <w:rPr>
          <w:rFonts w:ascii="Book Antiqua" w:hAnsi="Book Antiqua" w:cs="Arial"/>
          <w:color w:val="000000" w:themeColor="text1"/>
          <w:lang w:val="en-US"/>
        </w:rPr>
        <w:lastRenderedPageBreak/>
        <w:t>(five DTA studies, UREM model) the summary sensitivity was calculated at 21% (95%CI: 13</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–32%), whereas summary specificity reached 96% (95%CI: 93</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–98%).</w:t>
      </w:r>
    </w:p>
    <w:p w14:paraId="545858F2" w14:textId="77777777" w:rsidR="00E82B0E" w:rsidRPr="008E3F16" w:rsidRDefault="00E82B0E" w:rsidP="00C66188">
      <w:pPr>
        <w:adjustRightInd w:val="0"/>
        <w:snapToGrid w:val="0"/>
        <w:spacing w:line="360" w:lineRule="auto"/>
        <w:jc w:val="both"/>
        <w:rPr>
          <w:rFonts w:ascii="Book Antiqua" w:hAnsi="Book Antiqua" w:cs="Arial"/>
          <w:i/>
          <w:color w:val="000000" w:themeColor="text1"/>
          <w:lang w:val="en-US"/>
        </w:rPr>
      </w:pPr>
    </w:p>
    <w:p w14:paraId="5C591A8C" w14:textId="0AB06765" w:rsidR="00E82B0E" w:rsidRPr="008E3F16" w:rsidRDefault="00E82B0E" w:rsidP="00C66188">
      <w:pPr>
        <w:adjustRightInd w:val="0"/>
        <w:snapToGrid w:val="0"/>
        <w:spacing w:line="360" w:lineRule="auto"/>
        <w:jc w:val="both"/>
        <w:rPr>
          <w:rFonts w:ascii="Book Antiqua" w:hAnsi="Book Antiqua" w:cs="Arial"/>
          <w:b/>
          <w:bCs/>
          <w:i/>
          <w:color w:val="000000" w:themeColor="text1"/>
          <w:lang w:val="en-US"/>
        </w:rPr>
      </w:pPr>
      <w:r w:rsidRPr="008E3F16">
        <w:rPr>
          <w:rFonts w:ascii="Book Antiqua" w:hAnsi="Book Antiqua" w:cs="Arial"/>
          <w:b/>
          <w:bCs/>
          <w:i/>
          <w:color w:val="000000" w:themeColor="text1"/>
          <w:lang w:val="en-US"/>
        </w:rPr>
        <w:t xml:space="preserve">Investigation of </w:t>
      </w:r>
      <w:r w:rsidR="00AD7D88" w:rsidRPr="008E3F16">
        <w:rPr>
          <w:rFonts w:ascii="Book Antiqua" w:hAnsi="Book Antiqua" w:cs="Arial"/>
          <w:b/>
          <w:bCs/>
          <w:i/>
          <w:color w:val="000000" w:themeColor="text1"/>
          <w:lang w:val="en-US"/>
        </w:rPr>
        <w:t>h</w:t>
      </w:r>
      <w:r w:rsidRPr="008E3F16">
        <w:rPr>
          <w:rFonts w:ascii="Book Antiqua" w:hAnsi="Book Antiqua" w:cs="Arial"/>
          <w:b/>
          <w:bCs/>
          <w:i/>
          <w:color w:val="000000" w:themeColor="text1"/>
          <w:lang w:val="en-US"/>
        </w:rPr>
        <w:t>eterogeneity</w:t>
      </w:r>
    </w:p>
    <w:p w14:paraId="615C5682" w14:textId="200031B3" w:rsidR="00E82B0E" w:rsidRPr="008E3F16" w:rsidRDefault="00E82B0E"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Meta-regression analyses were conducted to explore possible sources of heterogeneity. The results (Table </w:t>
      </w:r>
      <w:r w:rsidR="00E6147D" w:rsidRPr="008E3F16">
        <w:rPr>
          <w:rFonts w:ascii="Book Antiqua" w:hAnsi="Book Antiqua" w:cs="Arial"/>
          <w:color w:val="000000" w:themeColor="text1"/>
          <w:lang w:val="en-US"/>
        </w:rPr>
        <w:t>3</w:t>
      </w:r>
      <w:r w:rsidRPr="008E3F16">
        <w:rPr>
          <w:rFonts w:ascii="Book Antiqua" w:hAnsi="Book Antiqua" w:cs="Arial"/>
          <w:color w:val="000000" w:themeColor="text1"/>
          <w:lang w:val="en-US"/>
        </w:rPr>
        <w:t>) revealed that the assay used to detect the anti-GP2 antibodies was linked with the accuracy of anti-GP2 IgG, both in the pooled patient analysis (RDOR</w:t>
      </w:r>
      <w:r w:rsidR="00AD7D88" w:rsidRPr="008E3F16">
        <w:rPr>
          <w:rFonts w:ascii="Book Antiqua" w:hAnsi="Book Antiqua" w:cs="Arial"/>
          <w:color w:val="000000" w:themeColor="text1"/>
          <w:lang w:val="en-US"/>
        </w:rPr>
        <w:t xml:space="preserve"> </w:t>
      </w:r>
      <w:r w:rsidRPr="008E3F16">
        <w:rPr>
          <w:rFonts w:ascii="Book Antiqua" w:hAnsi="Book Antiqua" w:cs="Arial"/>
          <w:color w:val="000000" w:themeColor="text1"/>
          <w:lang w:val="en-US"/>
        </w:rPr>
        <w:t>=</w:t>
      </w:r>
      <w:r w:rsidR="00AD7D88" w:rsidRPr="008E3F16">
        <w:rPr>
          <w:rFonts w:ascii="Book Antiqua" w:hAnsi="Book Antiqua" w:cs="Arial"/>
          <w:color w:val="000000" w:themeColor="text1"/>
          <w:lang w:val="en-US"/>
        </w:rPr>
        <w:t xml:space="preserve"> </w:t>
      </w:r>
      <w:r w:rsidRPr="008E3F16">
        <w:rPr>
          <w:rFonts w:ascii="Book Antiqua" w:hAnsi="Book Antiqua" w:cs="Arial"/>
          <w:color w:val="000000" w:themeColor="text1"/>
          <w:lang w:val="en-US"/>
        </w:rPr>
        <w:t>4.25, 95%CI: 1.26–14.37), as well as in the analysis using UC cases as comparators (RDOR</w:t>
      </w:r>
      <w:r w:rsidR="00AD7D88" w:rsidRPr="008E3F16">
        <w:rPr>
          <w:rFonts w:ascii="Book Antiqua" w:hAnsi="Book Antiqua" w:cs="Arial"/>
          <w:color w:val="000000" w:themeColor="text1"/>
          <w:lang w:val="en-US"/>
        </w:rPr>
        <w:t xml:space="preserve"> </w:t>
      </w:r>
      <w:r w:rsidRPr="008E3F16">
        <w:rPr>
          <w:rFonts w:ascii="Book Antiqua" w:hAnsi="Book Antiqua" w:cs="Arial"/>
          <w:color w:val="000000" w:themeColor="text1"/>
          <w:lang w:val="en-US"/>
        </w:rPr>
        <w:t>=</w:t>
      </w:r>
      <w:r w:rsidR="00AD7D88" w:rsidRPr="008E3F16">
        <w:rPr>
          <w:rFonts w:ascii="Book Antiqua" w:hAnsi="Book Antiqua" w:cs="Arial"/>
          <w:color w:val="000000" w:themeColor="text1"/>
          <w:lang w:val="en-US"/>
        </w:rPr>
        <w:t xml:space="preserve"> </w:t>
      </w:r>
      <w:r w:rsidRPr="008E3F16">
        <w:rPr>
          <w:rFonts w:ascii="Book Antiqua" w:hAnsi="Book Antiqua" w:cs="Arial"/>
          <w:color w:val="000000" w:themeColor="text1"/>
          <w:lang w:val="en-US"/>
        </w:rPr>
        <w:t>3.28, 95%CI: 1.33–8.09). However, these results should be interpreted with caution due to the small number of studies</w:t>
      </w:r>
      <w:r w:rsidR="00440403" w:rsidRPr="008E3F16">
        <w:rPr>
          <w:rFonts w:ascii="Book Antiqua" w:hAnsi="Book Antiqua" w:cs="Arial"/>
          <w:color w:val="000000" w:themeColor="text1"/>
          <w:lang w:val="en-US"/>
        </w:rPr>
        <w:t xml:space="preserve"> included</w:t>
      </w:r>
      <w:r w:rsidRPr="008E3F16">
        <w:rPr>
          <w:rFonts w:ascii="Book Antiqua" w:hAnsi="Book Antiqua" w:cs="Arial"/>
          <w:color w:val="000000" w:themeColor="text1"/>
          <w:lang w:val="en-US"/>
        </w:rPr>
        <w:t xml:space="preserve">. The rest of the variables failed to demonstrate significant associations. In the analyses for the anti-GP2 IgA antibodies with the CD </w:t>
      </w:r>
      <w:r w:rsidR="003141F2"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the UC cases, the models failed to converge, or returned unstable parameters even with the use of alternative models (see aforementioned Meta-analysis paragraph).</w:t>
      </w:r>
    </w:p>
    <w:p w14:paraId="2E6F976A" w14:textId="77777777" w:rsidR="00E82B0E" w:rsidRPr="008E3F16" w:rsidRDefault="00E82B0E" w:rsidP="00C66188">
      <w:pPr>
        <w:adjustRightInd w:val="0"/>
        <w:snapToGrid w:val="0"/>
        <w:spacing w:line="360" w:lineRule="auto"/>
        <w:jc w:val="both"/>
        <w:rPr>
          <w:rFonts w:ascii="Book Antiqua" w:hAnsi="Book Antiqua" w:cs="Arial"/>
          <w:i/>
          <w:color w:val="000000" w:themeColor="text1"/>
          <w:lang w:val="en-US"/>
        </w:rPr>
      </w:pPr>
    </w:p>
    <w:p w14:paraId="0A107D5A" w14:textId="52BBB276" w:rsidR="00E82B0E" w:rsidRPr="008E3F16" w:rsidRDefault="00E82B0E" w:rsidP="00C66188">
      <w:pPr>
        <w:adjustRightInd w:val="0"/>
        <w:snapToGrid w:val="0"/>
        <w:spacing w:line="360" w:lineRule="auto"/>
        <w:jc w:val="both"/>
        <w:rPr>
          <w:rFonts w:ascii="Book Antiqua" w:hAnsi="Book Antiqua" w:cs="Arial"/>
          <w:b/>
          <w:bCs/>
          <w:i/>
          <w:color w:val="000000" w:themeColor="text1"/>
          <w:lang w:val="en-US"/>
        </w:rPr>
      </w:pPr>
      <w:r w:rsidRPr="008E3F16">
        <w:rPr>
          <w:rFonts w:ascii="Book Antiqua" w:hAnsi="Book Antiqua" w:cs="Arial"/>
          <w:b/>
          <w:bCs/>
          <w:i/>
          <w:color w:val="000000" w:themeColor="text1"/>
          <w:lang w:val="en-US"/>
        </w:rPr>
        <w:t>Real-life scenario modeling the present findings</w:t>
      </w:r>
    </w:p>
    <w:p w14:paraId="35A58FE2" w14:textId="428AB6CA" w:rsidR="00E82B0E" w:rsidRPr="008E3F16" w:rsidRDefault="00E82B0E" w:rsidP="00C66188">
      <w:pPr>
        <w:adjustRightInd w:val="0"/>
        <w:snapToGrid w:val="0"/>
        <w:spacing w:line="360" w:lineRule="auto"/>
        <w:jc w:val="both"/>
        <w:rPr>
          <w:rFonts w:ascii="Book Antiqua" w:hAnsi="Book Antiqua" w:cs="Arial"/>
          <w:color w:val="000000" w:themeColor="text1"/>
          <w:lang w:val="en-US"/>
        </w:rPr>
      </w:pPr>
      <w:bookmarkStart w:id="16" w:name="_Hlk15507799"/>
      <w:r w:rsidRPr="008E3F16">
        <w:rPr>
          <w:rFonts w:ascii="Book Antiqua" w:hAnsi="Book Antiqua" w:cs="Arial"/>
          <w:color w:val="000000" w:themeColor="text1"/>
          <w:lang w:val="en-US"/>
        </w:rPr>
        <w:t xml:space="preserve">To “measure” the exact effects of using </w:t>
      </w:r>
      <w:r w:rsidR="004A654A" w:rsidRPr="008E3F16">
        <w:rPr>
          <w:rFonts w:ascii="Book Antiqua" w:hAnsi="Book Antiqua" w:cs="Arial"/>
          <w:color w:val="000000" w:themeColor="text1"/>
          <w:lang w:val="en-US"/>
        </w:rPr>
        <w:t xml:space="preserve">the </w:t>
      </w:r>
      <w:r w:rsidRPr="008E3F16">
        <w:rPr>
          <w:rFonts w:ascii="Book Antiqua" w:hAnsi="Book Antiqua" w:cs="Arial"/>
          <w:color w:val="000000" w:themeColor="text1"/>
          <w:lang w:val="en-US"/>
        </w:rPr>
        <w:t xml:space="preserve">anti-GP2 for the diagnosis of CD </w:t>
      </w:r>
      <w:r w:rsidR="004A654A" w:rsidRPr="008E3F16">
        <w:rPr>
          <w:rFonts w:ascii="Book Antiqua" w:hAnsi="Book Antiqua" w:cs="Arial"/>
          <w:color w:val="000000" w:themeColor="text1"/>
          <w:lang w:val="en-US"/>
        </w:rPr>
        <w:t>according to</w:t>
      </w:r>
      <w:r w:rsidRPr="008E3F16">
        <w:rPr>
          <w:rFonts w:ascii="Book Antiqua" w:hAnsi="Book Antiqua" w:cs="Arial"/>
          <w:color w:val="000000" w:themeColor="text1"/>
          <w:lang w:val="en-US"/>
        </w:rPr>
        <w:t xml:space="preserve"> </w:t>
      </w:r>
      <w:r w:rsidR="004A654A" w:rsidRPr="008E3F16">
        <w:rPr>
          <w:rFonts w:ascii="Book Antiqua" w:hAnsi="Book Antiqua" w:cs="Arial"/>
          <w:color w:val="000000" w:themeColor="text1"/>
          <w:lang w:val="en-US"/>
        </w:rPr>
        <w:t>the</w:t>
      </w:r>
      <w:r w:rsidRPr="008E3F16">
        <w:rPr>
          <w:rFonts w:ascii="Book Antiqua" w:hAnsi="Book Antiqua" w:cs="Arial"/>
          <w:color w:val="000000" w:themeColor="text1"/>
          <w:lang w:val="en-US"/>
        </w:rPr>
        <w:t xml:space="preserve"> results </w:t>
      </w:r>
      <w:r w:rsidR="004A654A" w:rsidRPr="008E3F16">
        <w:rPr>
          <w:rFonts w:ascii="Book Antiqua" w:hAnsi="Book Antiqua" w:cs="Arial"/>
          <w:color w:val="000000" w:themeColor="text1"/>
          <w:lang w:val="en-US"/>
        </w:rPr>
        <w:t xml:space="preserve">herein and </w:t>
      </w:r>
      <w:r w:rsidRPr="008E3F16">
        <w:rPr>
          <w:rFonts w:ascii="Book Antiqua" w:hAnsi="Book Antiqua" w:cs="Arial"/>
          <w:color w:val="000000" w:themeColor="text1"/>
          <w:lang w:val="en-US"/>
        </w:rPr>
        <w:t>in a hypothetical pragmatic scenario</w:t>
      </w:r>
      <w:r w:rsidRPr="008E3F16">
        <w:rPr>
          <w:rFonts w:ascii="Book Antiqua" w:hAnsi="Book Antiqua" w:cs="Arial"/>
          <w:color w:val="000000" w:themeColor="text1"/>
          <w:lang w:val="en-US"/>
        </w:rPr>
        <w:fldChar w:fldCharType="begin" w:fldLock="1"/>
      </w:r>
      <w:r w:rsidRPr="008E3F16">
        <w:rPr>
          <w:rFonts w:ascii="Book Antiqua" w:hAnsi="Book Antiqua" w:cs="Arial"/>
          <w:color w:val="000000" w:themeColor="text1"/>
          <w:lang w:val="en-US"/>
        </w:rPr>
        <w:instrText>ADDIN CSL_CITATION {"citationItems":[{"id":"ITEM-1","itemData":{"DOI":"10.1016/j.cgh.2019.04.062","ISSN":"1542-7714","PMID":"31077823","abstract":"BACKGROUND &amp; AIMS We aimed to assess the accuracy of Baveno VI criteria for identification of high-risk varices (HRVs) and varices of any size in patients with compensated advanced chronic liver disease (cACLD). METHODS We performed a systematic search of publications through December 2018 for studies that assessed the accuracy of Baveno VI criteria for screening for varices in patients with cACLD. We used hierarchical models to synthesize evidence. We also conducted a post hoc analysis to assess the accuracy of Εxpanded Baveno VI criteria. We appraised the confidence in estimates using the Grading of Recommendations Assessment, Development and Evaluation approach. RESULTS We identified 30 studies (8469 participants). Pooled values of Baveno VI criteria for HRVs (26 studies) were a sensitivity of 0.97 (95% CI, 0.95-0.98) and a specificity of 0.32 (95% CI, 0.26-0.39). Pooled sensitivity of Εxpanded Baveno VI criteria for HRVs (12 studies) was 0.90 (95% CI, 0.85-0.93) and specificity was 0.51 (95% CI, 0.45-0.57). In 1000 patients with cACLD, with a prevalence of HRVs of 20%, Baveno VI criteria would prevent endoscopy in 262 patients, but 6 patients with HRVs would be missed. Instead, use of the Εxpanded Baveno VI criteria would result in 428 patients avoiding endoscopy, but 20 patients with HRVs would be missed. The credibility of our findings is moderate or low, mainly owing to the retrospective design of most studies. CONCLUSIONS Baveno VI criteria have high diagnostic accuracy as a triage test for screening for HRVs in patients with cACLD. Expanded Baveno VI criteria could reduce the proportion of unnecessary endoscopies further, nevertheless with a higher rate of missed HRVs.","author":[{"dropping-particle":"","family":"Stafylidou","given":"Maria","non-dropping-particle":"","parse-names":false,"suffix":""},{"dropping-particle":"","family":"Paschos","given":"Paschalis","non-dropping-particle":"","parse-names":false,"suffix":""},{"dropping-particle":"","family":"Katsoula","given":"Anastasia","non-dropping-particle":"","parse-names":false,"suffix":""},{"dropping-particle":"","family":"Malandris","given":"Konstantinos","non-dropping-particle":"","parse-names":false,"suffix":""},{"dropping-particle":"","family":"Ioakim","given":"Konstantinos","non-dropping-particle":"","parse-names":false,"suffix":""},{"dropping-particle":"","family":"Bekiari","given":"Eleni","non-dropping-particle":"","parse-names":false,"suffix":""},{"dropping-particle":"","family":"Haidich","given":"Anna-Bettina","non-dropping-particle":"","parse-names":false,"suffix":""},{"dropping-particle":"","family":"Akriviadis","given":"Evangelos","non-dropping-particle":"","parse-names":false,"suffix":""},{"dropping-particle":"","family":"Tsapas","given":"Apostolos","non-dropping-particle":"","parse-names":false,"suffix":""}],"container-title":"Clinical gastroenterology and hepatology : the official clinical practice journal of the American Gastroenterological Association","id":"ITEM-1","issue":"9","issued":{"date-parts":[["2019","8","1"]]},"page":"1744-1755.e11","publisher":"Elsevier","title":"Performance of Baveno VI and Expanded Baveno VI Criteria for Excluding High-Risk Varices in Patients With Chronic Liver Diseases: A Systematic Review and Meta-analysis.","type":"article-journal","volume":"17"},"uris":["http://www.mendeley.com/documents/?uuid=695ff47e-c942-38fc-b448-89cd973700df"]}],"mendeley":{"formattedCitation":"&lt;sup&gt;[60]&lt;/sup&gt;","plainTextFormattedCitation":"[60]","previouslyFormattedCitation":"&lt;sup&gt;[60]&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[60]</w:t>
      </w:r>
      <w:r w:rsidRPr="008E3F16">
        <w:rPr>
          <w:rFonts w:ascii="Book Antiqua" w:hAnsi="Book Antiqua" w:cs="Arial"/>
          <w:color w:val="000000" w:themeColor="text1"/>
          <w:lang w:val="en-US"/>
        </w:rPr>
        <w:fldChar w:fldCharType="end"/>
      </w:r>
      <w:r w:rsidR="00522A2F"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we used the recent data on IBD prevalence</w:t>
      </w:r>
      <w:r w:rsidRPr="008E3F16">
        <w:rPr>
          <w:rFonts w:ascii="Book Antiqua" w:hAnsi="Book Antiqua" w:cs="Arial"/>
          <w:color w:val="000000" w:themeColor="text1"/>
          <w:lang w:val="en-US"/>
        </w:rPr>
        <w:fldChar w:fldCharType="begin" w:fldLock="1"/>
      </w:r>
      <w:r w:rsidRPr="008E3F16">
        <w:rPr>
          <w:rFonts w:ascii="Book Antiqua" w:hAnsi="Book Antiqua" w:cs="Arial"/>
          <w:color w:val="000000" w:themeColor="text1"/>
          <w:lang w:val="en-US"/>
        </w:rPr>
        <w:instrText>ADDIN CSL_CITATION {"citationItems":[{"id":"ITEM-1","itemData":{"DOI":"10.1016/S0140-6736(17)32448-0","ISSN":"1474-547X","PMID":"29050646","abstract":"BACKGROUND Inflammatory bowel disease is a global disease in the 21st century. We aimed to assess the changing incidence and prevalence of inflammatory bowel disease around the world. METHODS 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 FINDINGS We identified 147 studies that were eligible for final inclusion in the systematic review, including 119 studies of incidence and 69 studies of prevalence. The highest reported prevalence values were in Europe (ulcerative colitis 505 per 100</w:instrText>
      </w:r>
      <w:r w:rsidRPr="008E3F16">
        <w:rPr>
          <w:rFonts w:ascii="MS Gothic" w:eastAsia="MS Gothic" w:hAnsi="MS Gothic" w:cs="MS Gothic" w:hint="eastAsia"/>
          <w:color w:val="000000" w:themeColor="text1"/>
          <w:lang w:val="en-US"/>
        </w:rPr>
        <w:instrText> </w:instrText>
      </w:r>
      <w:r w:rsidRPr="008E3F16">
        <w:rPr>
          <w:rFonts w:ascii="Book Antiqua" w:hAnsi="Book Antiqua" w:cs="Arial"/>
          <w:color w:val="000000" w:themeColor="text1"/>
          <w:lang w:val="en-US"/>
        </w:rPr>
        <w:instrText>000 in Norway; Crohn's disease 322 per 100</w:instrText>
      </w:r>
      <w:r w:rsidRPr="008E3F16">
        <w:rPr>
          <w:rFonts w:ascii="MS Gothic" w:eastAsia="MS Gothic" w:hAnsi="MS Gothic" w:cs="MS Gothic" w:hint="eastAsia"/>
          <w:color w:val="000000" w:themeColor="text1"/>
          <w:lang w:val="en-US"/>
        </w:rPr>
        <w:instrText> </w:instrText>
      </w:r>
      <w:r w:rsidRPr="008E3F16">
        <w:rPr>
          <w:rFonts w:ascii="Book Antiqua" w:hAnsi="Book Antiqua" w:cs="Arial"/>
          <w:color w:val="000000" w:themeColor="text1"/>
          <w:lang w:val="en-US"/>
        </w:rPr>
        <w:instrText>000 in Germany) and North America (ulcerative colitis 286 per 100</w:instrText>
      </w:r>
      <w:r w:rsidRPr="008E3F16">
        <w:rPr>
          <w:rFonts w:ascii="MS Gothic" w:eastAsia="MS Gothic" w:hAnsi="MS Gothic" w:cs="MS Gothic" w:hint="eastAsia"/>
          <w:color w:val="000000" w:themeColor="text1"/>
          <w:lang w:val="en-US"/>
        </w:rPr>
        <w:instrText> </w:instrText>
      </w:r>
      <w:r w:rsidRPr="008E3F16">
        <w:rPr>
          <w:rFonts w:ascii="Book Antiqua" w:hAnsi="Book Antiqua" w:cs="Arial"/>
          <w:color w:val="000000" w:themeColor="text1"/>
          <w:lang w:val="en-US"/>
        </w:rPr>
        <w:instrText>000 in the USA; Crohn's disease 319 per 100</w:instrText>
      </w:r>
      <w:r w:rsidRPr="008E3F16">
        <w:rPr>
          <w:rFonts w:ascii="MS Gothic" w:eastAsia="MS Gothic" w:hAnsi="MS Gothic" w:cs="MS Gothic" w:hint="eastAsia"/>
          <w:color w:val="000000" w:themeColor="text1"/>
          <w:lang w:val="en-US"/>
        </w:rPr>
        <w:instrText> </w:instrText>
      </w:r>
      <w:r w:rsidRPr="008E3F16">
        <w:rPr>
          <w:rFonts w:ascii="Book Antiqua" w:hAnsi="Book Antiqua" w:cs="Arial"/>
          <w:color w:val="000000" w:themeColor="text1"/>
          <w:lang w:val="en-US"/>
        </w:rPr>
        <w:instrText>000 in Canada). The prevalence of inflammatory bowel disease exceeded 0·3% in North America, Oceania, and many countries in Europe. Overall, 16 (72·7%) of 22 studies on Crohn's disease and 15 (83·3%)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+11·1% [95% CI 4·8-17·8] and APC for ulcerative colitis +14·9% [10·4-19·6]) and Taiwan (APC for Crohn's disease +4·0% [1·0-7·1] and APC for ulcerative colitis +4·8% [1·8-8·0]). INTERPRETATION 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0·3%. These data highlight the n…","author":[{"dropping-particle":"","family":"Ng","given":"Siew C","non-dropping-particle":"","parse-names":false,"suffix":""},{"dropping-particle":"","family":"Shi","given":"Hai Yun","non-dropping-particle":"","parse-names":false,"suffix":""},{"dropping-particle":"","family":"Hamidi","given":"Nima","non-dropping-particle":"","parse-names":false,"suffix":""},{"dropping-particle":"","family":"Underwood","given":"Fox E","non-dropping-particle":"","parse-names":false,"suffix":""},{"dropping-particle":"","family":"Tang","given":"Whitney","non-dropping-particle":"","parse-names":false,"suffix":""},{"dropping-particle":"","family":"Benchimol","given":"Eric I","non-dropping-particle":"","parse-names":false,"suffix":""},{"dropping-particle":"","family":"Panaccione","given":"Remo","non-dropping-particle":"","parse-names":false,"suffix":""},{"dropping-particle":"","family":"Ghosh","given":"Subrata","non-dropping-particle":"","parse-names":false,"suffix":""},{"dropping-particle":"","family":"Wu","given":"Justin C Y","non-dropping-particle":"","parse-names":false,"suffix":""},{"dropping-particle":"","family":"Chan","given":"Francis K L","non-dropping-particle":"","parse-names":false,"suffix":""},{"dropping-particle":"","family":"Sung","given":"Joseph J Y","non-dropping-particle":"","parse-names":false,"suffix":""},{"dropping-particle":"","family":"Kaplan","given":"Gilaad G","non-dropping-particle":"","parse-names":false,"suffix":""}],"container-title":"Lancet (London, England)","id":"ITEM-1","issue":"10114","issued":{"date-parts":[["2018","12","23"]]},"page":"2769-2778","publisher":"Elsevier","title":"Worldwide incidence and prevalence of inflammatory bowel disease in the 21st century: a systematic review of population-based studies.","type":"article-journal","volume":"390"},"uris":["http://www.mendeley.com/documents/?uuid=a31ddbd6-2b56-3150-857b-071b78e71957"]}],"mendeley":{"formattedCitation":"&lt;sup&gt;[38]&lt;/sup&gt;","plainTextFormattedCitation":"[38]","previouslyFormattedCitation":"&lt;sup&gt;[38]&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[38]</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(Table </w:t>
      </w:r>
      <w:r w:rsidR="00E6147D" w:rsidRPr="008E3F16">
        <w:rPr>
          <w:rFonts w:ascii="Book Antiqua" w:hAnsi="Book Antiqua" w:cs="Arial"/>
          <w:color w:val="000000" w:themeColor="text1"/>
          <w:lang w:val="en-US"/>
        </w:rPr>
        <w:t>4</w:t>
      </w:r>
      <w:r w:rsidRPr="008E3F16">
        <w:rPr>
          <w:rFonts w:ascii="Book Antiqua" w:hAnsi="Book Antiqua" w:cs="Arial"/>
          <w:color w:val="000000" w:themeColor="text1"/>
          <w:lang w:val="en-US"/>
        </w:rPr>
        <w:t xml:space="preserve">). When using the combination of IgG and/or IgA anti-GP2 for the diagnosis of CD in a hypothetical cohort of 10000 suspected patients, </w:t>
      </w:r>
      <w:bookmarkStart w:id="17" w:name="_Hlk16651280"/>
      <w:r w:rsidRPr="008E3F16">
        <w:rPr>
          <w:rFonts w:ascii="Book Antiqua" w:hAnsi="Book Antiqua" w:cs="Arial"/>
          <w:color w:val="000000" w:themeColor="text1"/>
          <w:lang w:val="en-US"/>
        </w:rPr>
        <w:t xml:space="preserve">9669 will be the </w:t>
      </w:r>
      <w:bookmarkEnd w:id="17"/>
      <w:r w:rsidRPr="008E3F16">
        <w:rPr>
          <w:rFonts w:ascii="Book Antiqua" w:hAnsi="Book Antiqua" w:cs="Arial"/>
          <w:color w:val="000000" w:themeColor="text1"/>
          <w:lang w:val="en-US"/>
        </w:rPr>
        <w:t xml:space="preserve">TN cases and </w:t>
      </w:r>
      <w:r w:rsidR="004A654A" w:rsidRPr="008E3F16">
        <w:rPr>
          <w:rFonts w:ascii="Book Antiqua" w:hAnsi="Book Antiqua" w:cs="Arial"/>
          <w:color w:val="000000" w:themeColor="text1"/>
          <w:lang w:val="en-US"/>
        </w:rPr>
        <w:t xml:space="preserve">for </w:t>
      </w:r>
      <w:r w:rsidRPr="008E3F16">
        <w:rPr>
          <w:rFonts w:ascii="Book Antiqua" w:hAnsi="Book Antiqua" w:cs="Arial"/>
          <w:color w:val="000000" w:themeColor="text1"/>
          <w:lang w:val="en-US"/>
        </w:rPr>
        <w:t xml:space="preserve">26 </w:t>
      </w:r>
      <w:r w:rsidR="004A654A" w:rsidRPr="008E3F16">
        <w:rPr>
          <w:rFonts w:ascii="Book Antiqua" w:hAnsi="Book Antiqua" w:cs="Arial"/>
          <w:color w:val="000000" w:themeColor="text1"/>
          <w:lang w:val="en-US"/>
        </w:rPr>
        <w:t xml:space="preserve">CD diagnosis </w:t>
      </w:r>
      <w:r w:rsidRPr="008E3F16">
        <w:rPr>
          <w:rFonts w:ascii="Book Antiqua" w:hAnsi="Book Antiqua" w:cs="Arial"/>
          <w:color w:val="000000" w:themeColor="text1"/>
          <w:lang w:val="en-US"/>
        </w:rPr>
        <w:t>will missed (</w:t>
      </w:r>
      <w:r w:rsidR="004F54FF" w:rsidRPr="008E3F16">
        <w:rPr>
          <w:rFonts w:ascii="Book Antiqua" w:hAnsi="Book Antiqua" w:cs="Arial"/>
          <w:color w:val="000000" w:themeColor="text1"/>
          <w:lang w:val="en-US"/>
        </w:rPr>
        <w:t>false negatives</w:t>
      </w:r>
      <w:r w:rsidRPr="008E3F16">
        <w:rPr>
          <w:rFonts w:ascii="Book Antiqua" w:hAnsi="Book Antiqua" w:cs="Arial"/>
          <w:color w:val="000000" w:themeColor="text1"/>
          <w:lang w:val="en-US"/>
        </w:rPr>
        <w:t xml:space="preserve">) although suffering from CD. In contrary, in this cohort, 32 patients will suffer from CD and the test will correctly identify 6 CD cases (TP). Analogous results will be observed if this test is implemented with a cut-off value of 20 U/dL, or in patients suspected only for CD or UC. Likewise, in the analyses of CD </w:t>
      </w:r>
      <w:r w:rsidR="003141F2"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w:t>
      </w:r>
      <w:r w:rsidR="004A654A" w:rsidRPr="008E3F16">
        <w:rPr>
          <w:rFonts w:ascii="Book Antiqua" w:hAnsi="Book Antiqua" w:cs="Arial"/>
          <w:color w:val="000000" w:themeColor="text1"/>
          <w:lang w:val="en-US"/>
        </w:rPr>
        <w:t xml:space="preserve">either </w:t>
      </w:r>
      <w:r w:rsidRPr="008E3F16">
        <w:rPr>
          <w:rFonts w:ascii="Book Antiqua" w:hAnsi="Book Antiqua" w:cs="Arial"/>
          <w:color w:val="000000" w:themeColor="text1"/>
          <w:lang w:val="en-US"/>
        </w:rPr>
        <w:t>all symptomatic patients or UC cases</w:t>
      </w:r>
      <w:r w:rsidR="004A654A" w:rsidRPr="008E3F16">
        <w:rPr>
          <w:rFonts w:ascii="Book Antiqua" w:hAnsi="Book Antiqua" w:cs="Arial"/>
          <w:color w:val="000000" w:themeColor="text1"/>
          <w:lang w:val="en-US"/>
        </w:rPr>
        <w:t xml:space="preserve"> only</w:t>
      </w:r>
      <w:r w:rsidRPr="008E3F16">
        <w:rPr>
          <w:rFonts w:ascii="Book Antiqua" w:hAnsi="Book Antiqua" w:cs="Arial"/>
          <w:color w:val="000000" w:themeColor="text1"/>
          <w:lang w:val="en-US"/>
        </w:rPr>
        <w:t xml:space="preserve">, </w:t>
      </w:r>
      <w:r w:rsidR="004A654A" w:rsidRPr="008E3F16">
        <w:rPr>
          <w:rFonts w:ascii="Book Antiqua" w:hAnsi="Book Antiqua" w:cs="Arial"/>
          <w:color w:val="000000" w:themeColor="text1"/>
          <w:lang w:val="en-US"/>
        </w:rPr>
        <w:t xml:space="preserve">using the </w:t>
      </w:r>
      <w:r w:rsidRPr="008E3F16">
        <w:rPr>
          <w:rFonts w:ascii="Book Antiqua" w:hAnsi="Book Antiqua" w:cs="Arial"/>
          <w:color w:val="000000" w:themeColor="text1"/>
          <w:lang w:val="en-US"/>
        </w:rPr>
        <w:t>IgG or IgA anti-GP2 test</w:t>
      </w:r>
      <w:r w:rsidR="004A654A" w:rsidRPr="008E3F16">
        <w:rPr>
          <w:rFonts w:ascii="Book Antiqua" w:hAnsi="Book Antiqua" w:cs="Arial"/>
          <w:color w:val="000000" w:themeColor="text1"/>
          <w:lang w:val="en-US"/>
        </w:rPr>
        <w:t>s</w:t>
      </w:r>
      <w:r w:rsidRPr="008E3F16">
        <w:rPr>
          <w:rFonts w:ascii="Book Antiqua" w:hAnsi="Book Antiqua" w:cs="Arial"/>
          <w:color w:val="000000" w:themeColor="text1"/>
          <w:lang w:val="en-US"/>
        </w:rPr>
        <w:t xml:space="preserve"> would result in similarly increased TN and decreased TP cases.</w:t>
      </w:r>
      <w:bookmarkEnd w:id="16"/>
    </w:p>
    <w:p w14:paraId="2B8D8EB2" w14:textId="77777777" w:rsidR="0028429C" w:rsidRPr="008E3F16" w:rsidRDefault="0028429C" w:rsidP="00C66188">
      <w:pPr>
        <w:adjustRightInd w:val="0"/>
        <w:snapToGrid w:val="0"/>
        <w:spacing w:line="360" w:lineRule="auto"/>
        <w:jc w:val="both"/>
        <w:rPr>
          <w:rFonts w:ascii="Book Antiqua" w:hAnsi="Book Antiqua" w:cs="Times New Roman"/>
          <w:color w:val="000000" w:themeColor="text1"/>
          <w:lang w:val="en-US"/>
        </w:rPr>
      </w:pPr>
    </w:p>
    <w:p w14:paraId="70A801FA" w14:textId="77777777" w:rsidR="0028429C" w:rsidRPr="008E3F16" w:rsidRDefault="0028429C" w:rsidP="00C66188">
      <w:pPr>
        <w:adjustRightInd w:val="0"/>
        <w:snapToGrid w:val="0"/>
        <w:spacing w:line="360" w:lineRule="auto"/>
        <w:jc w:val="both"/>
        <w:rPr>
          <w:rFonts w:ascii="Book Antiqua" w:hAnsi="Book Antiqua" w:cs="Times New Roman"/>
          <w:b/>
          <w:bCs/>
          <w:color w:val="000000" w:themeColor="text1"/>
          <w:u w:val="single"/>
          <w:lang w:val="en-US"/>
        </w:rPr>
      </w:pPr>
      <w:r w:rsidRPr="008E3F16">
        <w:rPr>
          <w:rFonts w:ascii="Book Antiqua" w:hAnsi="Book Antiqua" w:cs="Times New Roman"/>
          <w:b/>
          <w:bCs/>
          <w:color w:val="000000" w:themeColor="text1"/>
          <w:u w:val="single"/>
          <w:lang w:val="en-US"/>
        </w:rPr>
        <w:t>DISCUSSION</w:t>
      </w:r>
    </w:p>
    <w:p w14:paraId="7860C050" w14:textId="4CF92387" w:rsidR="00E82B0E" w:rsidRPr="008E3F16" w:rsidRDefault="00E82B0E"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The present meta-analysis of DTA studies revealed </w:t>
      </w:r>
      <w:r w:rsidR="0088043C" w:rsidRPr="008E3F16">
        <w:rPr>
          <w:rFonts w:ascii="Book Antiqua" w:hAnsi="Book Antiqua" w:cs="Arial"/>
          <w:color w:val="000000" w:themeColor="text1"/>
          <w:lang w:val="en-US"/>
        </w:rPr>
        <w:t xml:space="preserve">that the </w:t>
      </w:r>
      <w:r w:rsidRPr="008E3F16">
        <w:rPr>
          <w:rFonts w:ascii="Book Antiqua" w:hAnsi="Book Antiqua" w:cs="Arial"/>
          <w:color w:val="000000" w:themeColor="text1"/>
          <w:lang w:val="en-US"/>
        </w:rPr>
        <w:t xml:space="preserve">anti-GP2 </w:t>
      </w:r>
      <w:r w:rsidR="0088043C" w:rsidRPr="008E3F16">
        <w:rPr>
          <w:rFonts w:ascii="Book Antiqua" w:hAnsi="Book Antiqua" w:cs="Arial"/>
          <w:color w:val="000000" w:themeColor="text1"/>
          <w:lang w:val="en-US"/>
        </w:rPr>
        <w:t>ha</w:t>
      </w:r>
      <w:r w:rsidR="004A654A" w:rsidRPr="008E3F16">
        <w:rPr>
          <w:rFonts w:ascii="Book Antiqua" w:hAnsi="Book Antiqua" w:cs="Arial"/>
          <w:color w:val="000000" w:themeColor="text1"/>
          <w:lang w:val="en-US"/>
        </w:rPr>
        <w:t>ve</w:t>
      </w:r>
      <w:r w:rsidR="0088043C" w:rsidRPr="008E3F16">
        <w:rPr>
          <w:rFonts w:ascii="Book Antiqua" w:hAnsi="Book Antiqua" w:cs="Arial"/>
          <w:color w:val="000000" w:themeColor="text1"/>
          <w:lang w:val="en-US"/>
        </w:rPr>
        <w:t xml:space="preserve"> a low diagnostic accuracy </w:t>
      </w:r>
      <w:r w:rsidRPr="008E3F16">
        <w:rPr>
          <w:rFonts w:ascii="Book Antiqua" w:hAnsi="Book Antiqua" w:cs="Arial"/>
          <w:color w:val="000000" w:themeColor="text1"/>
          <w:lang w:val="en-US"/>
        </w:rPr>
        <w:t xml:space="preserve">(low sensitivity and high specificity) in detecting CD true positive cases. In contrast to the published primary DTA studies </w:t>
      </w:r>
      <w:r w:rsidR="0088043C" w:rsidRPr="008E3F16">
        <w:rPr>
          <w:rFonts w:ascii="Book Antiqua" w:hAnsi="Book Antiqua" w:cs="Arial"/>
          <w:color w:val="000000" w:themeColor="text1"/>
          <w:lang w:val="en-US"/>
        </w:rPr>
        <w:t xml:space="preserve">when all relevant DTA studies </w:t>
      </w:r>
      <w:r w:rsidR="004A654A" w:rsidRPr="008E3F16">
        <w:rPr>
          <w:rFonts w:ascii="Book Antiqua" w:hAnsi="Book Antiqua" w:cs="Arial"/>
          <w:color w:val="000000" w:themeColor="text1"/>
          <w:lang w:val="en-US"/>
        </w:rPr>
        <w:t>were</w:t>
      </w:r>
      <w:r w:rsidR="0088043C" w:rsidRPr="008E3F16">
        <w:rPr>
          <w:rFonts w:ascii="Book Antiqua" w:hAnsi="Book Antiqua" w:cs="Arial"/>
          <w:color w:val="000000" w:themeColor="text1"/>
          <w:lang w:val="en-US"/>
        </w:rPr>
        <w:t xml:space="preserve"> pooled together</w:t>
      </w:r>
      <w:r w:rsidRPr="008E3F16">
        <w:rPr>
          <w:rFonts w:ascii="Book Antiqua" w:hAnsi="Book Antiqua" w:cs="Arial"/>
          <w:color w:val="000000" w:themeColor="text1"/>
          <w:lang w:val="en-US"/>
        </w:rPr>
        <w:t xml:space="preserve">, the autoantibodies do not appear sensitive </w:t>
      </w:r>
      <w:r w:rsidR="0088043C" w:rsidRPr="008E3F16">
        <w:rPr>
          <w:rFonts w:ascii="Book Antiqua" w:hAnsi="Book Antiqua" w:cs="Arial"/>
          <w:color w:val="000000" w:themeColor="text1"/>
          <w:lang w:val="en-US"/>
        </w:rPr>
        <w:t>enough to detect</w:t>
      </w:r>
      <w:r w:rsidRPr="008E3F16">
        <w:rPr>
          <w:rFonts w:ascii="Book Antiqua" w:hAnsi="Book Antiqua" w:cs="Arial"/>
          <w:color w:val="000000" w:themeColor="text1"/>
          <w:lang w:val="en-US"/>
        </w:rPr>
        <w:t xml:space="preserve"> true positive CD cases.</w:t>
      </w:r>
    </w:p>
    <w:p w14:paraId="32BEBDDE" w14:textId="50CE0F6A" w:rsidR="00581A88" w:rsidRPr="008E3F16"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E3F16">
        <w:rPr>
          <w:rFonts w:ascii="Book Antiqua" w:hAnsi="Book Antiqua" w:cs="Arial"/>
          <w:color w:val="000000" w:themeColor="text1"/>
          <w:lang w:val="en-US"/>
        </w:rPr>
        <w:t>According to Lalkhen</w:t>
      </w:r>
      <w:r w:rsidR="00EF5562" w:rsidRPr="008E3F16">
        <w:rPr>
          <w:rFonts w:ascii="Book Antiqua" w:hAnsi="Book Antiqua" w:cs="Arial"/>
          <w:color w:val="000000" w:themeColor="text1"/>
          <w:lang w:val="en-US"/>
        </w:rPr>
        <w:t xml:space="preserve"> </w:t>
      </w:r>
      <w:r w:rsidR="00EF5562" w:rsidRPr="008E3F16">
        <w:rPr>
          <w:rFonts w:ascii="Book Antiqua" w:hAnsi="Book Antiqua" w:cs="Arial"/>
          <w:i/>
          <w:iCs/>
          <w:color w:val="000000" w:themeColor="text1"/>
          <w:lang w:val="en-US"/>
        </w:rPr>
        <w:t>et al</w:t>
      </w:r>
      <w:r w:rsidRPr="008E3F16">
        <w:rPr>
          <w:rFonts w:ascii="Book Antiqua" w:hAnsi="Book Antiqua" w:cs="Arial"/>
          <w:color w:val="000000" w:themeColor="text1"/>
          <w:lang w:val="en-US"/>
        </w:rPr>
        <w:fldChar w:fldCharType="begin" w:fldLock="1"/>
      </w:r>
      <w:r w:rsidR="00BB6AD9" w:rsidRPr="008E3F16">
        <w:rPr>
          <w:rFonts w:ascii="Book Antiqua" w:hAnsi="Book Antiqua" w:cs="Arial"/>
          <w:color w:val="000000" w:themeColor="text1"/>
          <w:lang w:val="en-US"/>
        </w:rPr>
        <w:instrText>ADDIN CSL_CITATION {"citationItems":[{"id":"ITEM-1","itemData":{"DOI":"10.1093/bjaceaccp/mkn041","ISSN":"17431816","author":[{"dropping-particle":"","family":"Lalkhen","given":"Abdul Ghaaliq","non-dropping-particle":"","parse-names":false,"suffix":""},{"dropping-particle":"","family":"McCluskey","given":"Anthony","non-dropping-particle":"","parse-names":false,"suffix":""}],"container-title":"Continuing Education in Anaesthesia Critical Care &amp; Pain","id":"ITEM-1","issue":"6","issued":{"date-parts":[["2008","12","1"]]},"page":"221-223","publisher":"Narnia","title":"Clinical tests: sensitivity and specificity","type":"article-journal","volume":"8"},"uris":["http://www.mendeley.com/documents/?uuid=1b9999d7-7c05-358c-a74f-64ed4b2fbbde"]}],"mendeley":{"formattedCitation":"&lt;sup&gt;[61]&lt;/sup&gt;","plainTextFormattedCitation":"[61]","previouslyFormattedCitation":"&lt;sup&gt;[61]&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[61]</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the ideal diagnostic test is never positive in a disease-free patient, and never negative in a patient</w:t>
      </w:r>
      <w:r w:rsidR="0088043C" w:rsidRPr="008E3F16">
        <w:rPr>
          <w:rFonts w:ascii="Book Antiqua" w:hAnsi="Book Antiqua" w:cs="Arial"/>
          <w:color w:val="000000" w:themeColor="text1"/>
          <w:lang w:val="en-US"/>
        </w:rPr>
        <w:t xml:space="preserve"> with the disease</w:t>
      </w:r>
      <w:r w:rsidRPr="008E3F16">
        <w:rPr>
          <w:rFonts w:ascii="Book Antiqua" w:hAnsi="Book Antiqua" w:cs="Arial"/>
          <w:color w:val="000000" w:themeColor="text1"/>
          <w:lang w:val="en-US"/>
        </w:rPr>
        <w:t>. With the low sensitivity and high specificity demonstrated herein</w:t>
      </w:r>
      <w:r w:rsidR="0088043C"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it appears that the anti-GP2 fall short in the diagnostic </w:t>
      </w:r>
      <w:r w:rsidRPr="008E3F16">
        <w:rPr>
          <w:rFonts w:ascii="Book Antiqua" w:hAnsi="Book Antiqua" w:cs="Arial"/>
          <w:color w:val="000000" w:themeColor="text1"/>
          <w:lang w:val="en-US"/>
        </w:rPr>
        <w:lastRenderedPageBreak/>
        <w:t>accuracy of CD. According to the rule of thumb suggested by Power</w:t>
      </w:r>
      <w:r w:rsidRPr="008E3F16">
        <w:rPr>
          <w:rFonts w:ascii="Book Antiqua" w:hAnsi="Book Antiqua" w:cs="Arial"/>
          <w:color w:val="000000" w:themeColor="text1"/>
          <w:lang w:val="en-US"/>
        </w:rPr>
        <w:fldChar w:fldCharType="begin" w:fldLock="1"/>
      </w:r>
      <w:r w:rsidR="00BB6AD9" w:rsidRPr="008E3F16">
        <w:rPr>
          <w:rFonts w:ascii="Book Antiqua" w:hAnsi="Book Antiqua" w:cs="Arial"/>
          <w:color w:val="000000" w:themeColor="text1"/>
          <w:lang w:val="en-US"/>
        </w:rPr>
        <w:instrText>ADDIN CSL_CITATION {"citationItems":[{"id":"ITEM-1","itemData":{"DOI":"10.1136/eb-2012-100645","ISSN":"1473-6810","PMID":"22740357","abstract":"A survey of doctors working in two large NHS hospitals identified over 120 laboratory tests, imaging investigations and investigational procedures that they considered not to be overused. A common suggestion in this survey was that more training was required. And, this prompted the development of a list of core principles for high-quality, high-value testing. The list can be used as a framework for training and as a reference source. The core principles are: (1) Base testing practices on the best available evidence. (2) Apply the evidence on test performance with careful judgement. (3) Test efficiently. (4) Consider the value (and affordability) of a test before requesting it. (5) Be aware of the downsides and drivers of overdiagnosis. (6) Confront uncertainties. (7) Be patient-centred in your approach. (8) Consider ethical issues. (9) Be aware of normal cognitive limitations and biases when testing. (10) Follow the 'knowledge journey' when teaching and learning these core principles.","author":[{"dropping-particle":"","family":"Power","given":"Michael","non-dropping-particle":"","parse-names":false,"suffix":""},{"dropping-particle":"","family":"Fell","given":"Greg","non-dropping-particle":"","parse-names":false,"suffix":""},{"dropping-particle":"","family":"Wright","given":"Michael","non-dropping-particle":"","parse-names":false,"suffix":""}],"container-title":"Evidence-based medicine","id":"ITEM-1","issue":"1","issued":{"date-parts":[["2013","2","1"]]},"page":"5-10","publisher":"Royal Society of Medicine","title":"Principles for high-quality, high-value testing.","type":"article-journal","volume":"18"},"uris":["http://www.mendeley.com/documents/?uuid=530582a8-55bc-3a95-bc4e-64d9b255fa75"]}],"mendeley":{"formattedCitation":"&lt;sup&gt;[62]&lt;/sup&gt;","plainTextFormattedCitation":"[62]","previouslyFormattedCitation":"&lt;sup&gt;[62]&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[62]</w:t>
      </w:r>
      <w:r w:rsidRPr="008E3F16">
        <w:rPr>
          <w:rFonts w:ascii="Book Antiqua" w:hAnsi="Book Antiqua" w:cs="Arial"/>
          <w:color w:val="000000" w:themeColor="text1"/>
          <w:lang w:val="en-US"/>
        </w:rPr>
        <w:fldChar w:fldCharType="end"/>
      </w:r>
      <w:r w:rsidR="0088043C"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in a useful test, the sum of sensitivity + specificity must exceed 1.5, ideally reaching 2.0. In none of the analyses performed herein did the sum of sensitivity + specificity exceed 1.5. W</w:t>
      </w:r>
      <w:r w:rsidR="0088043C" w:rsidRPr="008E3F16">
        <w:rPr>
          <w:rFonts w:ascii="Book Antiqua" w:hAnsi="Book Antiqua" w:cs="Arial"/>
          <w:color w:val="000000" w:themeColor="text1"/>
          <w:lang w:val="en-US"/>
        </w:rPr>
        <w:t>hen</w:t>
      </w:r>
      <w:r w:rsidRPr="008E3F16">
        <w:rPr>
          <w:rFonts w:ascii="Book Antiqua" w:hAnsi="Book Antiqua" w:cs="Arial"/>
          <w:color w:val="000000" w:themeColor="text1"/>
          <w:lang w:val="en-US"/>
        </w:rPr>
        <w:t xml:space="preserve"> high specificity </w:t>
      </w:r>
      <w:r w:rsidR="0088043C" w:rsidRPr="008E3F16">
        <w:rPr>
          <w:rFonts w:ascii="Book Antiqua" w:hAnsi="Book Antiqua" w:cs="Arial"/>
          <w:color w:val="000000" w:themeColor="text1"/>
          <w:lang w:val="en-US"/>
        </w:rPr>
        <w:t xml:space="preserve">is detected, </w:t>
      </w:r>
      <w:r w:rsidRPr="008E3F16">
        <w:rPr>
          <w:rFonts w:ascii="Book Antiqua" w:hAnsi="Book Antiqua" w:cs="Arial"/>
          <w:color w:val="000000" w:themeColor="text1"/>
          <w:lang w:val="en-US"/>
        </w:rPr>
        <w:t>the problem of overdiagnosis</w:t>
      </w:r>
      <w:r w:rsidRPr="008E3F16">
        <w:rPr>
          <w:rFonts w:ascii="Book Antiqua" w:hAnsi="Book Antiqua" w:cs="Arial"/>
          <w:color w:val="000000" w:themeColor="text1"/>
          <w:lang w:val="en-US"/>
        </w:rPr>
        <w:fldChar w:fldCharType="begin" w:fldLock="1"/>
      </w:r>
      <w:r w:rsidR="00BB6AD9" w:rsidRPr="008E3F16">
        <w:rPr>
          <w:rFonts w:ascii="Book Antiqua" w:hAnsi="Book Antiqua" w:cs="Arial"/>
          <w:color w:val="000000" w:themeColor="text1"/>
          <w:lang w:val="en-US"/>
        </w:rPr>
        <w:instrText>ADDIN CSL_CITATION {"citationItems":[{"id":"ITEM-1","itemData":{"DOI":"10.1136/eb-2012-100645","ISSN":"1473-6810","PMID":"22740357","abstract":"A survey of doctors working in two large NHS hospitals identified over 120 laboratory tests, imaging investigations and investigational procedures that they considered not to be overused. A common suggestion in this survey was that more training was required. And, this prompted the development of a list of core principles for high-quality, high-value testing. The list can be used as a framework for training and as a reference source. The core principles are: (1) Base testing practices on the best available evidence. (2) Apply the evidence on test performance with careful judgement. (3) Test efficiently. (4) Consider the value (and affordability) of a test before requesting it. (5) Be aware of the downsides and drivers of overdiagnosis. (6) Confront uncertainties. (7) Be patient-centred in your approach. (8) Consider ethical issues. (9) Be aware of normal cognitive limitations and biases when testing. (10) Follow the 'knowledge journey' when teaching and learning these core principles.","author":[{"dropping-particle":"","family":"Power","given":"Michael","non-dropping-particle":"","parse-names":false,"suffix":""},{"dropping-particle":"","family":"Fell","given":"Greg","non-dropping-particle":"","parse-names":false,"suffix":""},{"dropping-particle":"","family":"Wright","given":"Michael","non-dropping-particle":"","parse-names":false,"suffix":""}],"container-title":"Evidence-based medicine","id":"ITEM-1","issue":"1","issued":{"date-parts":[["2013","2","1"]]},"page":"5-10","publisher":"Royal Society of Medicine","title":"Principles for high-quality, high-value testing.","type":"article-journal","volume":"18"},"uris":["http://www.mendeley.com/documents/?uuid=530582a8-55bc-3a95-bc4e-64d9b255fa75"]}],"mendeley":{"formattedCitation":"&lt;sup&gt;[62]&lt;/sup&gt;","plainTextFormattedCitation":"[62]","previouslyFormattedCitation":"&lt;sup&gt;[62]&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[62]</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w:t>
      </w:r>
      <w:r w:rsidR="004A654A" w:rsidRPr="008E3F16">
        <w:rPr>
          <w:rFonts w:ascii="Book Antiqua" w:hAnsi="Book Antiqua" w:cs="Arial"/>
          <w:color w:val="000000" w:themeColor="text1"/>
          <w:lang w:val="en-US"/>
        </w:rPr>
        <w:t>becomes</w:t>
      </w:r>
      <w:r w:rsidRPr="008E3F16">
        <w:rPr>
          <w:rFonts w:ascii="Book Antiqua" w:hAnsi="Book Antiqua" w:cs="Arial"/>
          <w:color w:val="000000" w:themeColor="text1"/>
          <w:lang w:val="en-US"/>
        </w:rPr>
        <w:t xml:space="preserve"> pivotal</w:t>
      </w:r>
      <w:r w:rsidR="0088043C"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However, low sensitivity and high specificity are </w:t>
      </w:r>
      <w:r w:rsidR="0088043C" w:rsidRPr="008E3F16">
        <w:rPr>
          <w:rFonts w:ascii="Book Antiqua" w:hAnsi="Book Antiqua" w:cs="Arial"/>
          <w:color w:val="000000" w:themeColor="text1"/>
          <w:lang w:val="en-US"/>
        </w:rPr>
        <w:t xml:space="preserve">ideal </w:t>
      </w:r>
      <w:r w:rsidRPr="008E3F16">
        <w:rPr>
          <w:rFonts w:ascii="Book Antiqua" w:hAnsi="Book Antiqua" w:cs="Arial"/>
          <w:color w:val="000000" w:themeColor="text1"/>
          <w:lang w:val="en-US"/>
        </w:rPr>
        <w:t xml:space="preserve">characteristics of </w:t>
      </w:r>
      <w:r w:rsidR="0088043C" w:rsidRPr="008E3F16">
        <w:rPr>
          <w:rFonts w:ascii="Book Antiqua" w:hAnsi="Book Antiqua" w:cs="Arial"/>
          <w:color w:val="000000" w:themeColor="text1"/>
          <w:lang w:val="en-US"/>
        </w:rPr>
        <w:t>a</w:t>
      </w:r>
      <w:r w:rsidRPr="008E3F16">
        <w:rPr>
          <w:rFonts w:ascii="Book Antiqua" w:hAnsi="Book Antiqua" w:cs="Arial"/>
          <w:color w:val="000000" w:themeColor="text1"/>
          <w:lang w:val="en-US"/>
        </w:rPr>
        <w:t xml:space="preserve"> screening tool, rather than a diagnostic one</w:t>
      </w:r>
      <w:r w:rsidRPr="008E3F16">
        <w:rPr>
          <w:rFonts w:ascii="Book Antiqua" w:hAnsi="Book Antiqua" w:cs="Arial"/>
          <w:color w:val="000000" w:themeColor="text1"/>
          <w:lang w:val="en-US"/>
        </w:rPr>
        <w:fldChar w:fldCharType="begin" w:fldLock="1"/>
      </w:r>
      <w:r w:rsidR="001F7126" w:rsidRPr="008E3F16">
        <w:rPr>
          <w:rFonts w:ascii="Book Antiqua" w:hAnsi="Book Antiqua" w:cs="Arial"/>
          <w:color w:val="000000" w:themeColor="text1"/>
          <w:lang w:val="en-US"/>
        </w:rPr>
        <w:instrText>ADDIN CSL_CITATION {"citationItems":[{"id":"ITEM-1","itemData":{"DOI":"10.3389/fpubh.2017.00307","ISSN":"2296-2565","PMID":"29209603","abstract":"Within the context of screening tests, it is important to avoid misconceptions about sensitivity, specificity, and predictive values. In this article, therefore, foundations are first established concerning these metrics along with the first of several aspects of pliability that should be recognized in relation to those metrics. Clarification is then provided about the definitions of sensitivity, specificity, and predictive values and why researchers and clinicians can misunderstand and misrepresent them. Arguments are made that sensitivity and specificity should usually be applied only in the context of describing a screening test’s attributes relative to a reference standard; that predictive values are more appropriate and informative in actual screening contexts, but that sensitivity and specificity can be used for screening decisions about individual people if they are extremely high; that predictive values need not always be high and might be used to advantage by adjusting the sensitivity and specificity of screening tests; that, in screening contexts, researchers should provide information about all four metrics and how they were derived; and that, where necessary, consumers of health research should have the skills to interpret those metrics effectively for maximum benefit to clients and the healthcare system.","author":[{"dropping-particle":"","family":"Trevethan","given":"Robert","non-dropping-particle":"","parse-names":false,"suffix":""}],"container-title":"Frontiers in Public Health","id":"ITEM-1","issued":{"date-parts":[["2017","11","20"]]},"page":"307","publisher":"Frontiers","title":"Sensitivity, Specificity, and Predictive Values: Foundations, Pliabilities, and Pitfalls in Research and Practice","type":"article-journal","volume":"5"},"uris":["http://www.mendeley.com/documents/?uuid=c7ed79db-4154-3012-afdc-6b37c031125a"]}],"mendeley":{"formattedCitation":"&lt;sup&gt;[63]&lt;/sup&gt;","plainTextFormattedCitation":"[63]","previouslyFormattedCitation":"&lt;sup&gt;[63]&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[63]</w:t>
      </w:r>
      <w:r w:rsidRPr="008E3F16">
        <w:rPr>
          <w:rFonts w:ascii="Book Antiqua" w:hAnsi="Book Antiqua" w:cs="Arial"/>
          <w:color w:val="000000" w:themeColor="text1"/>
          <w:lang w:val="en-US"/>
        </w:rPr>
        <w:fldChar w:fldCharType="end"/>
      </w:r>
      <w:r w:rsidR="0088043C" w:rsidRPr="008E3F16">
        <w:rPr>
          <w:rFonts w:ascii="Book Antiqua" w:hAnsi="Book Antiqua" w:cs="Arial"/>
          <w:color w:val="000000" w:themeColor="text1"/>
          <w:lang w:val="en-US"/>
        </w:rPr>
        <w:t>.</w:t>
      </w:r>
    </w:p>
    <w:p w14:paraId="5A86AA6A" w14:textId="77CCAE77" w:rsidR="00E82B0E" w:rsidRPr="008E3F16"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Although different isoforms of </w:t>
      </w:r>
      <w:r w:rsidR="004A654A" w:rsidRPr="008E3F16">
        <w:rPr>
          <w:rFonts w:ascii="Book Antiqua" w:hAnsi="Book Antiqua" w:cs="Arial"/>
          <w:color w:val="000000" w:themeColor="text1"/>
          <w:lang w:val="en-US"/>
        </w:rPr>
        <w:t xml:space="preserve">the </w:t>
      </w:r>
      <w:r w:rsidRPr="008E3F16">
        <w:rPr>
          <w:rFonts w:ascii="Book Antiqua" w:hAnsi="Book Antiqua" w:cs="Arial"/>
          <w:color w:val="000000" w:themeColor="text1"/>
          <w:lang w:val="en-US"/>
        </w:rPr>
        <w:t>anti-GP2 have been identified since the beginning of the century</w:t>
      </w:r>
      <w:r w:rsidRPr="008E3F16">
        <w:rPr>
          <w:rFonts w:ascii="Book Antiqua" w:hAnsi="Book Antiqua" w:cs="Arial"/>
          <w:color w:val="000000" w:themeColor="text1"/>
          <w:lang w:val="en-US"/>
        </w:rPr>
        <w:fldChar w:fldCharType="begin" w:fldLock="1"/>
      </w:r>
      <w:r w:rsidR="001F7126" w:rsidRPr="008E3F16">
        <w:rPr>
          <w:rFonts w:ascii="Book Antiqua" w:hAnsi="Book Antiqua" w:cs="Arial"/>
          <w:color w:val="000000" w:themeColor="text1"/>
          <w:lang w:val="en-US"/>
        </w:rPr>
        <w:instrText>ADDIN CSL_CITATION {"citationItems":[{"id":"ITEM-1","itemData":{"DOI":"10.1016/s0167-4781(00)00057-9","ISSN":"0006-3002","PMID":"10760606","abstract":"cDNA clones encoding two different (alpha and beta) forms of human pancreatic zymogen granule membrane-associated protein glycoprotein 2 (GP2) (also referred to as ZAP75), a critical component in regulated membrane trafficking along the apical secretory pathway in pancreatic acinar cells, have been isolated. Structural analysis of the clones revealed that the alpha and beta forms of GP2 consist of 527 and 380 amino acid (aa) residues, respectively. The beta form lacks a 147 aa domain that corresponds to the 25-171 region of the alpha form, suggesting that it is a product of an alternative splicing event. Expression of both forms of GP2 in the human pancreas was confirmed. A unique isoform of GP2 is reported for the first time in humans.","author":[{"dropping-particle":"","family":"Fukuoka","given":"S","non-dropping-particle":"","parse-names":false,"suffix":""}],"container-title":"Biochimica et biophysica acta","id":"ITEM-1","issue":"1-3","issued":{"date-parts":[["2000","4","25"]]},"page":"376-80","title":"Molecular cloning and sequences of cDNAs encoding alpha (large) and beta (small) isoforms of human pancreatic zymogen granule membrane-associated protein GP2.","type":"article-journal","volume":"1491"},"uris":["http://www.mendeley.com/documents/?uuid=4ab9a428-c98d-3bec-9be7-59a855563a8f"]}],"mendeley":{"formattedCitation":"&lt;sup&gt;[64]&lt;/sup&gt;","plainTextFormattedCitation":"[64]","previouslyFormattedCitation":"&lt;sup&gt;[64]&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[64]</w:t>
      </w:r>
      <w:r w:rsidRPr="008E3F16">
        <w:rPr>
          <w:rFonts w:ascii="Book Antiqua" w:hAnsi="Book Antiqua" w:cs="Arial"/>
          <w:color w:val="000000" w:themeColor="text1"/>
          <w:lang w:val="en-US"/>
        </w:rPr>
        <w:fldChar w:fldCharType="end"/>
      </w:r>
      <w:r w:rsidR="0088043C"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it is only until very recently that the diagnostic potential of all four isoforms was investigated and compared</w:t>
      </w:r>
      <w:r w:rsidRPr="008E3F16">
        <w:rPr>
          <w:rFonts w:ascii="Book Antiqua" w:hAnsi="Book Antiqua" w:cs="Arial"/>
          <w:color w:val="000000" w:themeColor="text1"/>
          <w:lang w:val="en-US"/>
        </w:rPr>
        <w:fldChar w:fldCharType="begin" w:fldLock="1"/>
      </w:r>
      <w:r w:rsidR="008E3016" w:rsidRPr="008E3F16">
        <w:rPr>
          <w:rFonts w:ascii="Book Antiqua" w:hAnsi="Book Antiqua" w:cs="Arial"/>
          <w:color w:val="000000" w:themeColor="text1"/>
          <w:lang w:val="en-US"/>
        </w:rPr>
        <w:instrText>ADDIN CSL_CITATION {"citationItems":[{"id":"ITEM-1","itemData":{"DOI":"10.1097/MIB.0000000000001159","ISSN":"1536-4844","PMID":"28691939","abstract":"BACKGROUND Anti-Glycoprotein 2 (GP2) antibodies are associated with a more complicated course of Crohn's disease (CD) in adults. Four different GP2 isoforms with different length and antibody-binding sites have been identified so far but not been explored in serological studies. We aimed to investigate the diagnostic utility of autoantibodies against all 4 isoforms of GP2 in an exclusively pediatric population for the first time. METHODS We included 278 children and adolescents with inflammatory bowel disease: 164 with CD, 114 with ulcerative colitis, 83 disease controls (acute gastrointestinal infection, nonspecific gastrointestinal functional disorders), and 219 healthy controls. Sera were tested for anti-GP2 antibodies using 4 different isoforms of GP2 for anti-Saccharomyces cerevisiae antibodies, antineutrophil cytoplasmic antibodies, and pancreatic antibodies. RESULTS Anti-GP2 antibodies were significantly more prevalent in patients with CD than in ulcerative colitis and controls. We found a sensitivity of 38% (with a specificity of 95%) for anti-GP2 IgG against isoform 4 in CD. Anti-GP2 IgA against isoform 1 and anti-GP2 IgG against isoform 4 possessed the best diagnostic values for identification of CD. For the differentiation of CD from ulcerative colitis anti-GP2 IgG against isoforms 3 and 4 proved to be most accurate markers. Anti-GP2 antibodies were associated with a more complicated disease behavior and bowel surgery in CD. In a subgroup of patients with CD, anti-GP2 IgG against isoform 4 proved to be a relatively stable marker over time independent of disease activity. CONCLUSIONS Anti-GP2 antibodies against different isoforms are specific markers for CD and for different phenotypes in pediatric inflammatory bowel disease.","author":[{"dropping-particle":"","family":"Röber","given":"Nadja","non-dropping-particle":"","parse-names":false,"suffix":""},{"dropping-particle":"","family":"Noß","given":"Lydia","non-dropping-particle":"","parse-names":false,"suffix":""},{"dropping-particle":"","family":"Goihl","given":"Alexander","non-dropping-particle":"","parse-names":false,"suffix":""},{"dropping-particle":"","family":"Reinhold","given":"Dirk","non-dropping-particle":"","parse-names":false,"suffix":""},{"dropping-particle":"","family":"Jahn","given":"Josefine","non-dropping-particle":"","parse-names":false,"suffix":""},{"dropping-particle":"","family":"Laffolie","given":"Jan","non-dropping-particle":"de","parse-names":false,"suffix":""},{"dropping-particle":"","family":"Johannes","given":"Wolf","non-dropping-particle":"","parse-names":false,"suffix":""},{"dropping-particle":"","family":"Flemming","given":"Gunter M","non-dropping-particle":"","parse-names":false,"suffix":""},{"dropping-particle":"","family":"Roggenbuck","given":"Dirk","non-dropping-particle":"","parse-names":false,"suffix":""},{"dropping-particle":"","family":"Conrad","given":"Karsten","non-dropping-particle":"","parse-names":false,"suffix":""},{"dropping-particle":"","family":"Laass","given":"Martin W","non-dropping-particle":"","parse-names":false,"suffix":""}],"container-title":"Inflammatory bowel diseases","id":"ITEM-1","issue":"9","issued":{"date-parts":[["2017","9"]]},"page":"1624-1636","title":"Autoantibodies Against Glycoprotein 2 Isoforms in Pediatric Patients with Inflammatory Bowel Disease.","type":"article-journal","volume":"23"},"uris":["http://www.mendeley.com/documents/?uuid=7aa3f6d3-884a-379f-8cb1-62b8e64206d5"]}],"mendeley":{"formattedCitation":"&lt;sup&gt;[53]&lt;/sup&gt;","plainTextFormattedCitation":"[53]","previouslyFormattedCitation":"&lt;sup&gt;[45]&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008E3016" w:rsidRPr="008E3F16">
        <w:rPr>
          <w:rFonts w:ascii="Book Antiqua" w:hAnsi="Book Antiqua" w:cs="Arial"/>
          <w:noProof/>
          <w:color w:val="000000" w:themeColor="text1"/>
          <w:vertAlign w:val="superscript"/>
          <w:lang w:val="en-US"/>
        </w:rPr>
        <w:t>[53]</w:t>
      </w:r>
      <w:r w:rsidRPr="008E3F16">
        <w:rPr>
          <w:rFonts w:ascii="Book Antiqua" w:hAnsi="Book Antiqua" w:cs="Arial"/>
          <w:color w:val="000000" w:themeColor="text1"/>
          <w:lang w:val="en-US"/>
        </w:rPr>
        <w:fldChar w:fldCharType="end"/>
      </w:r>
      <w:r w:rsidR="0088043C"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w:t>
      </w:r>
      <w:r w:rsidR="004A654A" w:rsidRPr="008E3F16">
        <w:rPr>
          <w:rFonts w:ascii="Book Antiqua" w:hAnsi="Book Antiqua" w:cs="Arial"/>
          <w:color w:val="000000" w:themeColor="text1"/>
          <w:lang w:val="en-US"/>
        </w:rPr>
        <w:t>According to</w:t>
      </w:r>
      <w:r w:rsidRPr="008E3F16">
        <w:rPr>
          <w:rFonts w:ascii="Book Antiqua" w:hAnsi="Book Antiqua" w:cs="Arial"/>
          <w:color w:val="000000" w:themeColor="text1"/>
          <w:lang w:val="en-US"/>
        </w:rPr>
        <w:t xml:space="preserve"> some</w:t>
      </w:r>
      <w:r w:rsidR="004A654A" w:rsidRPr="008E3F16">
        <w:rPr>
          <w:rFonts w:ascii="Book Antiqua" w:hAnsi="Book Antiqua" w:cs="Arial"/>
          <w:color w:val="000000" w:themeColor="text1"/>
          <w:lang w:val="en-US"/>
        </w:rPr>
        <w:t xml:space="preserve"> researchers</w:t>
      </w:r>
      <w:r w:rsidRPr="008E3F16">
        <w:rPr>
          <w:rFonts w:ascii="Book Antiqua" w:hAnsi="Book Antiqua" w:cs="Arial"/>
          <w:color w:val="000000" w:themeColor="text1"/>
          <w:lang w:val="en-US"/>
        </w:rPr>
        <w:t xml:space="preserve">, anti-GP2 isoforms 1 and 4 are considered </w:t>
      </w:r>
      <w:r w:rsidR="00A43E8A" w:rsidRPr="008E3F16">
        <w:rPr>
          <w:rFonts w:ascii="Book Antiqua" w:hAnsi="Book Antiqua" w:cs="Arial"/>
          <w:color w:val="000000" w:themeColor="text1"/>
          <w:lang w:val="en-US"/>
        </w:rPr>
        <w:t xml:space="preserve">as </w:t>
      </w:r>
      <w:r w:rsidRPr="008E3F16">
        <w:rPr>
          <w:rFonts w:ascii="Book Antiqua" w:hAnsi="Book Antiqua" w:cs="Arial"/>
          <w:color w:val="000000" w:themeColor="text1"/>
          <w:lang w:val="en-US"/>
        </w:rPr>
        <w:t>the best serological markers for CD diagnosis, superior even to the anti-saccharomyces cerevisiae antibodies (ASCA), which are routinely used</w:t>
      </w:r>
      <w:r w:rsidR="0088043C"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despite their poor specificity and insufficient sensitivity</w:t>
      </w:r>
      <w:r w:rsidRPr="008E3F16">
        <w:rPr>
          <w:rFonts w:ascii="Book Antiqua" w:hAnsi="Book Antiqua" w:cs="Arial"/>
          <w:color w:val="000000" w:themeColor="text1"/>
          <w:lang w:val="en-US"/>
        </w:rPr>
        <w:fldChar w:fldCharType="begin" w:fldLock="1"/>
      </w:r>
      <w:r w:rsidR="008E3016" w:rsidRPr="008E3F16">
        <w:rPr>
          <w:rFonts w:ascii="Book Antiqua" w:hAnsi="Book Antiqua" w:cs="Arial"/>
          <w:color w:val="000000" w:themeColor="text1"/>
          <w:lang w:val="en-US"/>
        </w:rPr>
        <w:instrText>ADDIN CSL_CITATION {"citationItems":[{"id":"ITEM-1","itemData":{"DOI":"10.1111/apt.15034","ISSN":"13652036","PMID":"30411391","abstract":"Background: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Therapeutics","id":"ITEM-1","issue":"11-12","issued":{"date-parts":[["2018","12","1"]]},"page":"1251-1259","publisher":"John Wiley &amp; Sons, Ltd (10.1111)","title":"Loss of tolerance to glycoprotein 2 isoforms 1 and 4 is associated with Crohn’s disease of the pouch","type":"article-journal","volume":"48"},"uris":["http://www.mendeley.com/documents/?uuid=413ef96f-4c6c-3af1-92b3-c49157b781d6"]}],"mendeley":{"formattedCitation":"&lt;sup&gt;[44]&lt;/sup&gt;","plainTextFormattedCitation":"[44]","previouslyFormattedCitation":"&lt;sup&gt;[52]&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008E3016" w:rsidRPr="008E3F16">
        <w:rPr>
          <w:rFonts w:ascii="Book Antiqua" w:hAnsi="Book Antiqua" w:cs="Arial"/>
          <w:noProof/>
          <w:color w:val="000000" w:themeColor="text1"/>
          <w:vertAlign w:val="superscript"/>
          <w:lang w:val="en-US"/>
        </w:rPr>
        <w:t>[44]</w:t>
      </w:r>
      <w:r w:rsidRPr="008E3F16">
        <w:rPr>
          <w:rFonts w:ascii="Book Antiqua" w:hAnsi="Book Antiqua" w:cs="Arial"/>
          <w:color w:val="000000" w:themeColor="text1"/>
          <w:lang w:val="en-US"/>
        </w:rPr>
        <w:fldChar w:fldCharType="end"/>
      </w:r>
      <w:r w:rsidR="0088043C"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w:t>
      </w:r>
      <w:r w:rsidR="0088043C" w:rsidRPr="008E3F16">
        <w:rPr>
          <w:rFonts w:ascii="Book Antiqua" w:hAnsi="Book Antiqua" w:cs="Arial"/>
          <w:color w:val="000000" w:themeColor="text1"/>
          <w:lang w:val="en-US"/>
        </w:rPr>
        <w:t>Among the included</w:t>
      </w:r>
      <w:r w:rsidRPr="008E3F16">
        <w:rPr>
          <w:rFonts w:ascii="Book Antiqua" w:hAnsi="Book Antiqua" w:cs="Arial"/>
          <w:color w:val="000000" w:themeColor="text1"/>
          <w:lang w:val="en-US"/>
        </w:rPr>
        <w:t xml:space="preserve"> DTA studies, Papp </w:t>
      </w:r>
      <w:r w:rsidR="00AD7D88" w:rsidRPr="008E3F16">
        <w:rPr>
          <w:rFonts w:ascii="Book Antiqua" w:hAnsi="Book Antiqua" w:cs="Arial"/>
          <w:i/>
          <w:iCs/>
          <w:color w:val="000000" w:themeColor="text1"/>
          <w:lang w:val="en-US"/>
        </w:rPr>
        <w:t>et al</w:t>
      </w:r>
      <w:r w:rsidRPr="008E3F16">
        <w:rPr>
          <w:rFonts w:ascii="Book Antiqua" w:hAnsi="Book Antiqua" w:cs="Arial"/>
          <w:color w:val="000000" w:themeColor="text1"/>
          <w:lang w:val="en-US"/>
        </w:rPr>
        <w:fldChar w:fldCharType="begin" w:fldLock="1"/>
      </w:r>
      <w:r w:rsidR="008E3016" w:rsidRPr="008E3F16">
        <w:rPr>
          <w:rFonts w:ascii="Book Antiqua" w:hAnsi="Book Antiqua" w:cs="Arial"/>
          <w:color w:val="000000" w:themeColor="text1"/>
          <w:lang w:val="en-US"/>
        </w:rPr>
        <w:instrText>ADDIN CSL_CITATION {"citationItems":[{"id":"ITEM-1","itemData":{"DOI":"10.1093/ecco-jcc/jjv087","ISSN":"1873-9946","PMID":"25968583","abstract":"BACKGROUNDS Glycoprotein 2[GP2] and CUB zona pellucida-like domain 1[CUZD1] belong to protein families involved in gut innate immunity processes and have recently been identified as specific targets of anti-pancreatic autoantibodies [PAbs] in Crohn's disease[CD]. We aimed to determine the prognostic potential of novel target-specific PAbs regarding long-term disease course of an adult CD patient cohort. METHODS Sera of 458 consecutive well-characterised IBD patients from a single referral IBD centre were tested by enzyme-linked immunosorbent assay [ELISA] with isoform 4 of recombinant GP2 [anti-MZGP2 and anti-GP2 IgA/IgG] and indirect immunofluorescence test [IIFT] system with GP2 and CUZD1 expressing transfected HEK 293 cells [anti-rPAg2 and rPAg1 IgA/IgG]. Clinical data were available on complicated disease or surgical interventions as well as disease activity and medical treatment during the prospective follow-up [median, 108 months]. RESULTS Totals of 12.4% and 20.8% of CD patients were positive for IgA/IgG type of anti-GP2 and anti-CUZD1, respectively, with a significant difference compared with UC [p &lt; 0.01]. Antibody status was stable over time. Agreement among three different anti-GP2 assays was good. Positivity for PAbs, mainly IgA subtypes, predicted a faster progression towards complicated disease course. In Kaplan-Meier analysis, time to surgery or development of perianal disease was associated with anti-GP2 IgA [pLogRank &lt; 0.01] or anti-CUZD1 IgA [pLogRank &lt; 0.001] positivity, respectively. Anti-CUZD1 IgA remained an independent predictor in the multivariate Cox-regression model (hazard ratio [HR]: 3.43, 95% confidence interval [CI]: 1.68-7.02, p &lt; 0.001). CONCLUSIONS The present study has shown that specific PAbs [especially IgA subtype] predict complicated disease course including the development of perianal disease in CD.","author":[{"dropping-particle":"","family":"Papp","given":"Maria","non-dropping-particle":"","parse-names":false,"suffix":""},{"dropping-particle":"","family":"Sipeki","given":"Nora","non-dropping-particle":"","parse-names":false,"suffix":""},{"dropping-particle":"","family":"Tornai","given":"Tamas","non-dropping-particle":"","parse-names":false,"suffix":""},{"dropping-particle":"","family":"Altorjay","given":"Istvan","non-dropping-particle":"","parse-names":false,"suffix":""},{"dropping-particle":"","family":"Norman","given":"Gary L.","non-dropping-particle":"","parse-names":false,"suffix":""},{"dropping-particle":"","family":"Shums","given":"Zakera","non-dropping-particle":"","parse-names":false,"suffix":""},{"dropping-particle":"","family":"Roggenbuck","given":"Dirk","non-dropping-particle":"","parse-names":false,"suffix":""},{"dropping-particle":"","family":"Fechner","given":"Kai","non-dropping-particle":"","parse-names":false,"suffix":""},{"dropping-particle":"","family":"Stöcker","given":"Winfried","non-dropping-particle":"","parse-names":false,"suffix":""},{"dropping-particle":"","family":"Antal-Szalmas","given":"Peter","non-dropping-particle":"","parse-names":false,"suffix":""},{"dropping-particle":"","family":"Veres","given":"Gabor","non-dropping-particle":"","parse-names":false,"suffix":""},{"dropping-particle":"","family":"Lakatos","given":"Peter Laszlo","non-dropping-particle":"","parse-names":false,"suffix":""}],"container-title":"Journal of Crohn's and Colitis","id":"ITEM-1","issue":"8","issued":{"date-parts":[["2015","8"]]},"page":"659-668","title":"Rediscovery of the Anti-Pancreatic Antibodies and Evaluation of their Prognostic Value in a Prospective Clinical Cohort of Crohn’s Patients: The Importance of Specific Target Antigens [GP2 and CUZD1]","type":"article-journal","volume":"9"},"uris":["http://www.mendeley.com/documents/?uuid=8e5f0827-94c6-3db1-88c6-9bdbc72ea222"]}],"mendeley":{"formattedCitation":"&lt;sup&gt;[49]&lt;/sup&gt;","plainTextFormattedCitation":"[49]","previouslyFormattedCitation":"&lt;sup&gt;[57]&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008E3016" w:rsidRPr="008E3F16">
        <w:rPr>
          <w:rFonts w:ascii="Book Antiqua" w:hAnsi="Book Antiqua" w:cs="Arial"/>
          <w:noProof/>
          <w:color w:val="000000" w:themeColor="text1"/>
          <w:vertAlign w:val="superscript"/>
          <w:lang w:val="en-US"/>
        </w:rPr>
        <w:t>[49]</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reported the use of two different </w:t>
      </w:r>
      <w:r w:rsidR="003141F2" w:rsidRPr="008E3F16">
        <w:rPr>
          <w:rFonts w:ascii="Book Antiqua" w:hAnsi="Book Antiqua" w:cs="Arial"/>
          <w:color w:val="000000" w:themeColor="text1"/>
          <w:lang w:val="en-US"/>
        </w:rPr>
        <w:t>enzyme-linked immunosorbent assay</w:t>
      </w:r>
      <w:r w:rsidRPr="008E3F16">
        <w:rPr>
          <w:rFonts w:ascii="Book Antiqua" w:hAnsi="Book Antiqua" w:cs="Arial"/>
          <w:color w:val="000000" w:themeColor="text1"/>
          <w:lang w:val="en-US"/>
        </w:rPr>
        <w:t xml:space="preserve"> methods employing recombinant human GP2 identified as isoform 4</w:t>
      </w:r>
      <w:r w:rsidR="0088043C"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Degehardt and associates</w:t>
      </w:r>
      <w:r w:rsidRPr="008E3F16">
        <w:rPr>
          <w:rFonts w:ascii="Book Antiqua" w:hAnsi="Book Antiqua" w:cs="Arial"/>
          <w:color w:val="000000" w:themeColor="text1"/>
          <w:lang w:val="en-US"/>
        </w:rPr>
        <w:fldChar w:fldCharType="begin" w:fldLock="1"/>
      </w:r>
      <w:r w:rsidR="008E3016" w:rsidRPr="008E3F16">
        <w:rPr>
          <w:rFonts w:ascii="Book Antiqua" w:hAnsi="Book Antiqua" w:cs="Arial"/>
          <w:color w:val="000000" w:themeColor="text1"/>
          <w:lang w:val="en-US"/>
        </w:rPr>
        <w:instrText>ADDIN CSL_CITATION {"citationItems":[{"id":"ITEM-1","itemData":{"DOI":"10.1097/MIB.0000000000000936","ISSN":"1536-4844","PMID":"27753692","abstract":"BACKGROUND The presentation of Crohn's disease (CD) is heterogeneous and often leads to serious complications and need for surgery. We tested serum anti-zymogen granule glycoprotein 2 (GP2) antibodies, including its novel isoform alpha, for association with genetic variants, diagnosis, disease stratification, and prediction of CD courses in a combined cross-sectional and cohort study. METHODS Serum samples of 303 CD, 108 ulcerative colitis, 72 other inflammatory gastrointestinal diseases, and 206 controls without predominant gastrointestinal diseases controls (HC) were tested for the presence of Anti-GP2 and Anti-Saccharomyces cervisiae (ASCA) by enzyme-linked immunosorbent assay. Genetic analysis was performed using the Illumina Immunochip. RESULTS GP2 IgA and IgG had the highest discriminatory capability for CD versus ulcerative colitis and CD versus inflammatory gastrointestinal diseases. We identified an association of GP2 IgA and IgG each with 5 distinct single-nucleotide polymorphisms. Levels of anti-GP2 IgG were moderately associated with ileal disease location. Interestingly, both, anti-GP2 IgA and IgG were exclusively associated with the occurrence of stenosis and need for surgery, independently of disease location, but not with fistulizing CD, early disease onset or disease activity. ASCA IgG and IgA were qualitatively and quantitatively linked to CD, CD complications, and need for surgery. Increased levels of ASCA IgG and IgA and positivity for ASCA IgG, but neither levels nor positivity for GP2 IgG or IgA were predictive of the earlier occurrence of complications or surgery. CONCLUSIONS Anti-GP2 antibodies may aid as a tool for diagnosis and differentiation of CD and could indicate a more complicated CD course.","author":[{"dropping-particle":"","family":"Degenhardt","given":"Frauke","non-dropping-particle":"","parse-names":false,"suffix":""},{"dropping-particle":"","family":"Dirmeier","given":"Andrea","non-dropping-particle":"","parse-names":false,"suffix":""},{"dropping-particle":"","family":"Lopez","given":"Rocio","non-dropping-particle":"","parse-names":false,"suffix":""},{"dropping-particle":"","family":"Lang","given":"Sylvia","non-dropping-particle":"","parse-names":false,"suffix":""},{"dropping-particle":"","family":"Kunst","given":"Claudia","non-dropping-particle":"","parse-names":false,"suffix":""},{"dropping-particle":"","family":"Roggenbuck","given":"Dirk","non-dropping-particle":"","parse-names":false,"suffix":""},{"dropping-particle":"","family":"Reinhold","given":"Dirk","non-dropping-particle":"","parse-names":false,"suffix":""},{"dropping-particle":"","family":"Szymczak","given":"Silke","non-dropping-particle":"","parse-names":false,"suffix":""},{"dropping-particle":"","family":"Rogler","given":"Gerhard","non-dropping-particle":"","parse-names":false,"suffix":""},{"dropping-particle":"","family":"Klebl","given":"Frank","non-dropping-particle":"","parse-names":false,"suffix":""},{"dropping-particle":"","family":"Franke","given":"Andre","non-dropping-particle":"","parse-names":false,"suffix":""},{"dropping-particle":"","family":"Rieder","given":"Florian","non-dropping-particle":"","parse-names":false,"suffix":""}],"container-title":"Inflammatory bowel diseases","id":"ITEM-1","issue":"11","issued":{"date-parts":[["2016","11"]]},"page":"2648-2657","title":"Serologic Anti-GP2 Antibodies Are Associated with Genetic Polymorphisms, Fibrostenosis, and Need for Surgical Resection in Crohn's Disease.","type":"article-journal","volume":"22"},"uris":["http://www.mendeley.com/documents/?uuid=0b53a7a7-223a-3fdf-8643-eb7481531624"]}],"mendeley":{"formattedCitation":"&lt;sup&gt;[45]&lt;/sup&gt;","plainTextFormattedCitation":"[45]","previouslyFormattedCitation":"&lt;sup&gt;[53]&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008E3016" w:rsidRPr="008E3F16">
        <w:rPr>
          <w:rFonts w:ascii="Book Antiqua" w:hAnsi="Book Antiqua" w:cs="Arial"/>
          <w:noProof/>
          <w:color w:val="000000" w:themeColor="text1"/>
          <w:vertAlign w:val="superscript"/>
          <w:lang w:val="en-US"/>
        </w:rPr>
        <w:t>[45]</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made the distinction between two different isoforms of GP2 synthesized in the pancreas, the larger isoform alpha (analogous to isoforms 1 and 3), and the shorter beta form (analogous to isoforms 1 and 3). However, it is not within the scope of the present paper to </w:t>
      </w:r>
      <w:r w:rsidR="0088043C" w:rsidRPr="008E3F16">
        <w:rPr>
          <w:rFonts w:ascii="Book Antiqua" w:hAnsi="Book Antiqua" w:cs="Arial"/>
          <w:color w:val="000000" w:themeColor="text1"/>
          <w:lang w:val="en-US"/>
        </w:rPr>
        <w:t xml:space="preserve">further </w:t>
      </w:r>
      <w:r w:rsidRPr="008E3F16">
        <w:rPr>
          <w:rFonts w:ascii="Book Antiqua" w:hAnsi="Book Antiqua" w:cs="Arial"/>
          <w:color w:val="000000" w:themeColor="text1"/>
          <w:lang w:val="en-US"/>
        </w:rPr>
        <w:t>discuss the implications related to antibody reactivities against distinct GP2 isoforms. It should be noted however, that due to the different reported isoforms in the included DTA studies and the small number of studies reporting reactivity against different GP2 isoforms (three)</w:t>
      </w:r>
      <w:r w:rsidRPr="008E3F16">
        <w:rPr>
          <w:rFonts w:ascii="Book Antiqua" w:hAnsi="Book Antiqua" w:cs="Arial"/>
          <w:color w:val="000000" w:themeColor="text1"/>
          <w:lang w:val="en-US"/>
        </w:rPr>
        <w:fldChar w:fldCharType="begin" w:fldLock="1"/>
      </w:r>
      <w:r w:rsidR="008E3016" w:rsidRPr="008E3F16">
        <w:rPr>
          <w:rFonts w:ascii="Book Antiqua" w:hAnsi="Book Antiqua" w:cs="Arial"/>
          <w:color w:val="000000" w:themeColor="text1"/>
          <w:lang w:val="en-US"/>
        </w:rPr>
        <w:instrText>ADDIN CSL_CITATION {"citationItems":[{"id":"ITEM-1","itemData":{"DOI":"10.1111/apt.15034","ISSN":"13652036","PMID":"30411391","abstract":"Background: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Therapeutics","id":"ITEM-1","issue":"11-12","issued":{"date-parts":[["2018","12","1"]]},"page":"1251-1259","publisher":"John Wiley &amp; Sons, Ltd (10.1111)","title":"Loss of tolerance to glycoprotein 2 isoforms 1 and 4 is associated with Crohn’s disease of the pouch","type":"article-journal","volume":"48"},"uris":["http://www.mendeley.com/documents/?uuid=413ef96f-4c6c-3af1-92b3-c49157b781d6"]},{"id":"ITEM-2","itemData":{"DOI":"10.1097/MIB.0000000000000936","ISSN":"1536-4844","PMID":"27753692","abstract":"BACKGROUND The presentation of Crohn's disease (CD) is heterogeneous and often leads to serious complications and need for surgery. We tested serum anti-zymogen granule glycoprotein 2 (GP2) antibodies, including its novel isoform alpha, for association with genetic variants, diagnosis, disease stratification, and prediction of CD courses in a combined cross-sectional and cohort study. METHODS Serum samples of 303 CD, 108 ulcerative colitis, 72 other inflammatory gastrointestinal diseases, and 206 controls without predominant gastrointestinal diseases controls (HC) were tested for the presence of Anti-GP2 and Anti-Saccharomyces cervisiae (ASCA) by enzyme-linked immunosorbent assay. Genetic analysis was performed using the Illumina Immunochip. RESULTS GP2 IgA and IgG had the highest discriminatory capability for CD versus ulcerative colitis and CD versus inflammatory gastrointestinal diseases. We identified an association of GP2 IgA and IgG each with 5 distinct single-nucleotide polymorphisms. Levels of anti-GP2 IgG were moderately associated with ileal disease location. Interestingly, both, anti-GP2 IgA and IgG were exclusively associated with the occurrence of stenosis and need for surgery, independently of disease location, but not with fistulizing CD, early disease onset or disease activity. ASCA IgG and IgA were qualitatively and quantitatively linked to CD, CD complications, and need for surgery. Increased levels of ASCA IgG and IgA and positivity for ASCA IgG, but neither levels nor positivity for GP2 IgG or IgA were predictive of the earlier occurrence of complications or surgery. CONCLUSIONS Anti-GP2 antibodies may aid as a tool for diagnosis and differentiation of CD and could indicate a more complicated CD course.","author":[{"dropping-particle":"","family":"Degenhardt","given":"Frauke","non-dropping-particle":"","parse-names":false,"suffix":""},{"dropping-particle":"","family":"Dirmeier","given":"Andrea","non-dropping-particle":"","parse-names":false,"suffix":""},{"dropping-particle":"","family":"Lopez","given":"Rocio","non-dropping-particle":"","parse-names":false,"suffix":""},{"dropping-particle":"","family":"Lang","given":"Sylvia","non-dropping-particle":"","parse-names":false,"suffix":""},{"dropping-particle":"","family":"Kunst","given":"Claudia","non-dropping-particle":"","parse-names":false,"suffix":""},{"dropping-particle":"","family":"Roggenbuck","given":"Dirk","non-dropping-particle":"","parse-names":false,"suffix":""},{"dropping-particle":"","family":"Reinhold","given":"Dirk","non-dropping-particle":"","parse-names":false,"suffix":""},{"dropping-particle":"","family":"Szymczak","given":"Silke","non-dropping-particle":"","parse-names":false,"suffix":""},{"dropping-particle":"","family":"Rogler","given":"Gerhard","non-dropping-particle":"","parse-names":false,"suffix":""},{"dropping-particle":"","family":"Klebl","given":"Frank","non-dropping-particle":"","parse-names":false,"suffix":""},{"dropping-particle":"","family":"Franke","given":"Andre","non-dropping-particle":"","parse-names":false,"suffix":""},{"dropping-particle":"","family":"Rieder","given":"Florian","non-dropping-particle":"","parse-names":false,"suffix":""}],"container-title":"Inflammatory bowel diseases","id":"ITEM-2","issue":"11","issued":{"date-parts":[["2016","11"]]},"page":"2648-2657","title":"Serologic Anti-GP2 Antibodies Are Associated with Genetic Polymorphisms, Fibrostenosis, and Need for Surgical Resection in Crohn's Disease.","type":"article-journal","volume":"22"},"uris":["http://www.mendeley.com/documents/?uuid=0b53a7a7-223a-3fdf-8643-eb7481531624"]},{"id":"ITEM-3","itemData":{"DOI":"10.1097/MIB.0000000000001159","ISSN":"1536-4844","PMID":"28691939","abstract":"BACKGROUND Anti-Glycoprotein 2 (GP2) antibodies are associated with a more complicated course of Crohn's disease (CD) in adults. Four different GP2 isoforms with different length and antibody-binding sites have been identified so far but not been explored in serological studies. We aimed to investigate the diagnostic utility of autoantibodies against all 4 isoforms of GP2 in an exclusively pediatric population for the first time. METHODS We included 278 children and adolescents with inflammatory bowel disease: 164 with CD, 114 with ulcerative colitis, 83 disease controls (acute gastrointestinal infection, nonspecific gastrointestinal functional disorders), and 219 healthy controls. Sera were tested for anti-GP2 antibodies using 4 different isoforms of GP2 for anti-Saccharomyces cerevisiae antibodies, antineutrophil cytoplasmic antibodies, and pancreatic antibodies. RESULTS Anti-GP2 antibodies were significantly more prevalent in patients with CD than in ulcerative colitis and controls. We found a sensitivity of 38% (with a specificity of 95%) for anti-GP2 IgG against isoform 4 in CD. Anti-GP2 IgA against isoform 1 and anti-GP2 IgG against isoform 4 possessed the best diagnostic values for identification of CD. For the differentiation of CD from ulcerative colitis anti-GP2 IgG against isoforms 3 and 4 proved to be most accurate markers. Anti-GP2 antibodies were associated with a more complicated disease behavior and bowel surgery in CD. In a subgroup of patients with CD, anti-GP2 IgG against isoform 4 proved to be a relatively stable marker over time independent of disease activity. CONCLUSIONS Anti-GP2 antibodies against different isoforms are specific markers for CD and for different phenotypes in pediatric inflammatory bowel disease.","author":[{"dropping-particle":"","family":"Röber","given":"Nadja","non-dropping-particle":"","parse-names":false,"suffix":""},{"dropping-particle":"","family":"Noß","given":"Lydia","non-dropping-particle":"","parse-names":false,"suffix":""},{"dropping-particle":"","family":"Goihl","given":"Alexander","non-dropping-particle":"","parse-names":false,"suffix":""},{"dropping-particle":"","family":"Reinhold","given":"Dirk","non-dropping-particle":"","parse-names":false,"suffix":""},{"dropping-particle":"","family":"Jahn","given":"Josefine","non-dropping-particle":"","parse-names":false,"suffix":""},{"dropping-particle":"","family":"Laffolie","given":"Jan","non-dropping-particle":"de","parse-names":false,"suffix":""},{"dropping-particle":"","family":"Johannes","given":"Wolf","non-dropping-particle":"","parse-names":false,"suffix":""},{"dropping-particle":"","family":"Flemming","given":"Gunter M","non-dropping-particle":"","parse-names":false,"suffix":""},{"dropping-particle":"","family":"Roggenbuck","given":"Dirk","non-dropping-particle":"","parse-names":false,"suffix":""},{"dropping-particle":"","family":"Conrad","given":"Karsten","non-dropping-particle":"","parse-names":false,"suffix":""},{"dropping-particle":"","family":"Laass","given":"Martin W","non-dropping-particle":"","parse-names":false,"suffix":""}],"container-title":"Inflammatory bowel diseases","id":"ITEM-3","issue":"9","issued":{"date-parts":[["2017","9"]]},"page":"1624-1636","title":"Autoantibodies Against Glycoprotein 2 Isoforms in Pediatric Patients with Inflammatory Bowel Disease.","type":"article-journal","volume":"23"},"uris":["http://www.mendeley.com/documents/?uuid=7aa3f6d3-884a-379f-8cb1-62b8e64206d5"]}],"mendeley":{"formattedCitation":"&lt;sup&gt;[44,45,53]&lt;/sup&gt;","plainTextFormattedCitation":"[44,45,53]","previouslyFormattedCitation":"&lt;sup&gt;[45,52,53]&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008E3016" w:rsidRPr="008E3F16">
        <w:rPr>
          <w:rFonts w:ascii="Book Antiqua" w:hAnsi="Book Antiqua" w:cs="Arial"/>
          <w:noProof/>
          <w:color w:val="000000" w:themeColor="text1"/>
          <w:vertAlign w:val="superscript"/>
          <w:lang w:val="en-US"/>
        </w:rPr>
        <w:t>[44,45,53]</w:t>
      </w:r>
      <w:r w:rsidRPr="008E3F16">
        <w:rPr>
          <w:rFonts w:ascii="Book Antiqua" w:hAnsi="Book Antiqua" w:cs="Arial"/>
          <w:color w:val="000000" w:themeColor="text1"/>
          <w:lang w:val="en-US"/>
        </w:rPr>
        <w:fldChar w:fldCharType="end"/>
      </w:r>
      <w:r w:rsidR="0088043C"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no analyses could be performed to compare the diagnostic accuracy of different anti-GP2 subtypes. </w:t>
      </w:r>
      <w:r w:rsidR="00FF40DE" w:rsidRPr="008E3F16">
        <w:rPr>
          <w:rFonts w:ascii="Book Antiqua" w:hAnsi="Book Antiqua" w:cs="Arial"/>
          <w:color w:val="000000" w:themeColor="text1"/>
          <w:lang w:val="en-US"/>
        </w:rPr>
        <w:t>However,</w:t>
      </w:r>
      <w:r w:rsidRPr="008E3F16">
        <w:rPr>
          <w:rFonts w:ascii="Book Antiqua" w:hAnsi="Book Antiqua" w:cs="Arial"/>
          <w:color w:val="000000" w:themeColor="text1"/>
          <w:lang w:val="en-US"/>
        </w:rPr>
        <w:t xml:space="preserve"> </w:t>
      </w:r>
      <w:r w:rsidR="00FF40DE" w:rsidRPr="008E3F16">
        <w:rPr>
          <w:rFonts w:ascii="Book Antiqua" w:hAnsi="Book Antiqua" w:cs="Arial"/>
          <w:color w:val="000000" w:themeColor="text1"/>
          <w:lang w:val="en-US"/>
        </w:rPr>
        <w:t xml:space="preserve">when </w:t>
      </w:r>
      <w:r w:rsidRPr="008E3F16">
        <w:rPr>
          <w:rFonts w:ascii="Book Antiqua" w:hAnsi="Book Antiqua" w:cs="Arial"/>
          <w:color w:val="000000" w:themeColor="text1"/>
          <w:lang w:val="en-US"/>
        </w:rPr>
        <w:t xml:space="preserve">more DTA studies of good methodological quality are </w:t>
      </w:r>
      <w:r w:rsidR="0088043C" w:rsidRPr="008E3F16">
        <w:rPr>
          <w:rFonts w:ascii="Book Antiqua" w:hAnsi="Book Antiqua" w:cs="Arial"/>
          <w:color w:val="000000" w:themeColor="text1"/>
          <w:lang w:val="en-US"/>
        </w:rPr>
        <w:t>published</w:t>
      </w:r>
      <w:r w:rsidRPr="008E3F16">
        <w:rPr>
          <w:rFonts w:ascii="Book Antiqua" w:hAnsi="Book Antiqua" w:cs="Arial"/>
          <w:color w:val="000000" w:themeColor="text1"/>
          <w:lang w:val="en-US"/>
        </w:rPr>
        <w:t xml:space="preserve"> using GP2 isoforms, the diagnostic accuracy of </w:t>
      </w:r>
      <w:r w:rsidR="00A43E8A" w:rsidRPr="008E3F16">
        <w:rPr>
          <w:rFonts w:ascii="Book Antiqua" w:hAnsi="Book Antiqua" w:cs="Arial"/>
          <w:color w:val="000000" w:themeColor="text1"/>
          <w:lang w:val="en-US"/>
        </w:rPr>
        <w:t xml:space="preserve">the </w:t>
      </w:r>
      <w:r w:rsidRPr="008E3F16">
        <w:rPr>
          <w:rFonts w:ascii="Book Antiqua" w:hAnsi="Book Antiqua" w:cs="Arial"/>
          <w:color w:val="000000" w:themeColor="text1"/>
          <w:lang w:val="en-US"/>
        </w:rPr>
        <w:t xml:space="preserve">anti-GP2 </w:t>
      </w:r>
      <w:r w:rsidR="00FF40DE" w:rsidRPr="008E3F16">
        <w:rPr>
          <w:rFonts w:ascii="Book Antiqua" w:hAnsi="Book Antiqua" w:cs="Arial"/>
          <w:color w:val="000000" w:themeColor="text1"/>
          <w:lang w:val="en-US"/>
        </w:rPr>
        <w:t>might</w:t>
      </w:r>
      <w:r w:rsidRPr="008E3F16">
        <w:rPr>
          <w:rFonts w:ascii="Book Antiqua" w:hAnsi="Book Antiqua" w:cs="Arial"/>
          <w:color w:val="000000" w:themeColor="text1"/>
          <w:lang w:val="en-US"/>
        </w:rPr>
        <w:t xml:space="preserve"> be improved in the respective pooled analyses compared to the total anti-GP2 </w:t>
      </w:r>
      <w:r w:rsidR="00FF40DE" w:rsidRPr="008E3F16">
        <w:rPr>
          <w:rFonts w:ascii="Book Antiqua" w:hAnsi="Book Antiqua" w:cs="Arial"/>
          <w:color w:val="000000" w:themeColor="text1"/>
          <w:lang w:val="en-US"/>
        </w:rPr>
        <w:t>which was</w:t>
      </w:r>
      <w:r w:rsidRPr="008E3F16">
        <w:rPr>
          <w:rFonts w:ascii="Book Antiqua" w:hAnsi="Book Antiqua" w:cs="Arial"/>
          <w:color w:val="000000" w:themeColor="text1"/>
          <w:lang w:val="en-US"/>
        </w:rPr>
        <w:t xml:space="preserve"> evaluated </w:t>
      </w:r>
      <w:r w:rsidR="00A43E8A" w:rsidRPr="008E3F16">
        <w:rPr>
          <w:rFonts w:ascii="Book Antiqua" w:hAnsi="Book Antiqua" w:cs="Arial"/>
          <w:color w:val="000000" w:themeColor="text1"/>
          <w:lang w:val="en-US"/>
        </w:rPr>
        <w:t>herein</w:t>
      </w:r>
      <w:r w:rsidRPr="008E3F16">
        <w:rPr>
          <w:rFonts w:ascii="Book Antiqua" w:hAnsi="Book Antiqua" w:cs="Arial"/>
          <w:color w:val="000000" w:themeColor="text1"/>
          <w:lang w:val="en-US"/>
        </w:rPr>
        <w:t>.</w:t>
      </w:r>
    </w:p>
    <w:p w14:paraId="7B448A42" w14:textId="23C357BD" w:rsidR="00E82B0E" w:rsidRPr="008E3F16"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One important methodological issue identified in the </w:t>
      </w:r>
      <w:r w:rsidR="00FF40DE" w:rsidRPr="008E3F16">
        <w:rPr>
          <w:rFonts w:ascii="Book Antiqua" w:hAnsi="Book Antiqua" w:cs="Arial"/>
          <w:color w:val="000000" w:themeColor="text1"/>
          <w:lang w:val="en-US"/>
        </w:rPr>
        <w:t>study</w:t>
      </w:r>
      <w:r w:rsidRPr="008E3F16">
        <w:rPr>
          <w:rFonts w:ascii="Book Antiqua" w:hAnsi="Book Antiqua" w:cs="Arial"/>
          <w:color w:val="000000" w:themeColor="text1"/>
          <w:lang w:val="en-US"/>
        </w:rPr>
        <w:t xml:space="preserve"> </w:t>
      </w:r>
      <w:r w:rsidR="00FF40DE" w:rsidRPr="008E3F16">
        <w:rPr>
          <w:rFonts w:ascii="Book Antiqua" w:hAnsi="Book Antiqua" w:cs="Arial"/>
          <w:color w:val="000000" w:themeColor="text1"/>
          <w:lang w:val="en-US"/>
        </w:rPr>
        <w:t>involves</w:t>
      </w:r>
      <w:r w:rsidRPr="008E3F16">
        <w:rPr>
          <w:rFonts w:ascii="Book Antiqua" w:hAnsi="Book Antiqua" w:cs="Arial"/>
          <w:color w:val="000000" w:themeColor="text1"/>
          <w:lang w:val="en-US"/>
        </w:rPr>
        <w:t xml:space="preserve"> the inclusion of already diagnosed patients, without securing blinding of the index text. The majority of DTA studies on anti-GP2 were performed on already diagnosed CD patients and only five</w:t>
      </w:r>
      <w:r w:rsidRPr="008E3F16">
        <w:rPr>
          <w:rFonts w:ascii="Book Antiqua" w:hAnsi="Book Antiqua" w:cs="Arial"/>
          <w:color w:val="000000" w:themeColor="text1"/>
          <w:lang w:val="en-US"/>
        </w:rPr>
        <w:fldChar w:fldCharType="begin" w:fldLock="1"/>
      </w:r>
      <w:r w:rsidR="008E3016" w:rsidRPr="008E3F16">
        <w:rPr>
          <w:rFonts w:ascii="Book Antiqua" w:hAnsi="Book Antiqua" w:cs="Arial"/>
          <w:color w:val="000000" w:themeColor="text1"/>
          <w:lang w:val="en-US"/>
        </w:rPr>
        <w:instrText>ADDIN CSL_CITATION {"citationItems":[{"id":"ITEM-1","itemData":{"DOI":"10.1097/MIB.0000000000000926","ISSN":"1536-4844","PMID":"27636380","abstract":"BACKGROUND Inflammatory bowel disease (IBD) is characterized by a chronic inflammation of the gut, partly driven by defects in the expression and function of pattern recognition receptors, including the IFI16 protein. Because this protein is a target for autoantibodies and its aberrant expression was reported in colonic mucosa from active patients with ulcerative colitis, we studied its expression and specific seroresponse in patients with IBD before and after infliximab (IFX) therapy. METHODS Anti-IFI16 antibodies (IgG and IgA subtypes) were measured in the sera of 74 patients with IBD: 48 patients with Crohn's disease (CD) and 26 patients with ulcerative colitis, prospectively harvested before and after IFX therapy. Anti-GP2 antibodies (both IgG and IgA subtypes) were also tested for comparison. The patient antibody statuses were qualitatively and quantitatively associated with disease phenotype and response to IFX therapy. RESULTS Significantly higher titers of anti-IFI16 IgG were found in both CD and ulcerative colitis patients compared with healthy controls. Anti-IFI16 IgA titers were also present in patients with CD. Anti-GP2 IgG subtype titers were significantly increased in patients with CD, as were IgA subtype titers. Significant changes in anti-IFI16 IgG subtype titers were observed after IFX in patients with CD who correlated with clinical remission or response. CONCLUSIONS Our results highlight the importance of IFI16 in IBD pathogenesis showing that its de novo overexpression in the gut epithelial cells leads to a breakdown in immune tolerance and the subsequent development of specific autoantibodies. Anti-IFI16 IgG antibodies hold the potential to serve as a biomarker of response to IFX therapy.","author":[{"dropping-particle":"","family":"Caneparo","given":"Valeria","non-dropping-particle":"","parse-names":false,"suffix":""},{"dropping-particle":"","family":"Pastorelli","given":"Luca","non-dropping-particle":"","parse-names":false,"suffix":""},{"dropping-particle":"","family":"Pisani","given":"Laura Francesca","non-dropping-particle":"","parse-names":false,"suffix":""},{"dropping-particle":"","family":"Bruni","given":"Barbara","non-dropping-particle":"","parse-names":false,"suffix":""},{"dropping-particle":"","family":"Prodam","given":"Flavia","non-dropping-particle":"","parse-names":false,"suffix":""},{"dropping-particle":"","family":"Boldorini","given":"Renzo","non-dropping-particle":"","parse-names":false,"suffix":""},{"dropping-particle":"","family":"Roggenbuck","given":"Dirk","non-dropping-particle":"","parse-names":false,"suffix":""},{"dropping-particle":"","family":"Vecchi","given":"Maurizio","non-dropping-particle":"","parse-names":false,"suffix":""},{"dropping-particle":"","family":"Landolfo","given":"Santo","non-dropping-particle":"","parse-names":false,"suffix":""},{"dropping-particle":"","family":"Gariglio","given":"Marisa","non-dropping-particle":"","parse-names":false,"suffix":""},{"dropping-particle":"","family":"Andrea","given":"Marco","non-dropping-particle":"De","parse-names":false,"suffix":""}],"container-title":"Inflammatory bowel diseases","id":"ITEM-1","issue":"12","issued":{"date-parts":[["2016","12"]]},"page":"2977-2987","title":"Distinct Anti-IFI16 and Anti-GP2 Antibodies in Inflammatory Bowel Disease and Their Variation with Infliximab Therapy.","type":"article-journal","volume":"22"},"uris":["http://www.mendeley.com/documents/?uuid=296539fe-2560-3ec0-b0dd-1c449dee0dc1"]},{"id":"ITEM-2","itemData":{"DOI":"10.1111/apt.15034","ISSN":"13652036","PMID":"30411391","abstract":"Background: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Therapeutics","id":"ITEM-2","issue":"11-12","issued":{"date-parts":[["2018","12","1"]]},"page":"1251-1259","publisher":"John Wiley &amp; Sons, Ltd (10.1111)","title":"Loss of tolerance to glycoprotein 2 isoforms 1 and 4 is associated with Crohn’s disease of the pouch","type":"article-journal","volume":"48"},"uris":["http://www.mendeley.com/documents/?uuid=413ef96f-4c6c-3af1-92b3-c49157b781d6"]},{"id":"ITEM-3","itemData":{"DOI":"10.1097/MIB.0000000000000936","ISSN":"1536-4844","PMID":"27753692","abstract":"BACKGROUND The presentation of Crohn's disease (CD) is heterogeneous and often leads to serious complications and need for surgery. We tested serum anti-zymogen granule glycoprotein 2 (GP2) antibodies, including its novel isoform alpha, for association with genetic variants, diagnosis, disease stratification, and prediction of CD courses in a combined cross-sectional and cohort study. METHODS Serum samples of 303 CD, 108 ulcerative colitis, 72 other inflammatory gastrointestinal diseases, and 206 controls without predominant gastrointestinal diseases controls (HC) were tested for the presence of Anti-GP2 and Anti-Saccharomyces cervisiae (ASCA) by enzyme-linked immunosorbent assay. Genetic analysis was performed using the Illumina Immunochip. RESULTS GP2 IgA and IgG had the highest discriminatory capability for CD versus ulcerative colitis and CD versus inflammatory gastrointestinal diseases. We identified an association of GP2 IgA and IgG each with 5 distinct single-nucleotide polymorphisms. Levels of anti-GP2 IgG were moderately associated with ileal disease location. Interestingly, both, anti-GP2 IgA and IgG were exclusively associated with the occurrence of stenosis and need for surgery, independently of disease location, but not with fistulizing CD, early disease onset or disease activity. ASCA IgG and IgA were qualitatively and quantitatively linked to CD, CD complications, and need for surgery. Increased levels of ASCA IgG and IgA and positivity for ASCA IgG, but neither levels nor positivity for GP2 IgG or IgA were predictive of the earlier occurrence of complications or surgery. CONCLUSIONS Anti-GP2 antibodies may aid as a tool for diagnosis and differentiation of CD and could indicate a more complicated CD course.","author":[{"dropping-particle":"","family":"Degenhardt","given":"Frauke","non-dropping-particle":"","parse-names":false,"suffix":""},{"dropping-particle":"","family":"Dirmeier","given":"Andrea","non-dropping-particle":"","parse-names":false,"suffix":""},{"dropping-particle":"","family":"Lopez","given":"Rocio","non-dropping-particle":"","parse-names":false,"suffix":""},{"dropping-particle":"","family":"Lang","given":"Sylvia","non-dropping-particle":"","parse-names":false,"suffix":""},{"dropping-particle":"","family":"Kunst","given":"Claudia","non-dropping-particle":"","parse-names":false,"suffix":""},{"dropping-particle":"","family":"Roggenbuck","given":"Dirk","non-dropping-particle":"","parse-names":false,"suffix":""},{"dropping-particle":"","family":"Reinhold","given":"Dirk","non-dropping-particle":"","parse-names":false,"suffix":""},{"dropping-particle":"","family":"Szymczak","given":"Silke","non-dropping-particle":"","parse-names":false,"suffix":""},{"dropping-particle":"","family":"Rogler","given":"Gerhard","non-dropping-particle":"","parse-names":false,"suffix":""},{"dropping-particle":"","family":"Klebl","given":"Frank","non-dropping-particle":"","parse-names":false,"suffix":""},{"dropping-particle":"","family":"Franke","given":"Andre","non-dropping-particle":"","parse-names":false,"suffix":""},{"dropping-particle":"","family":"Rieder","given":"Florian","non-dropping-particle":"","parse-names":false,"suffix":""}],"container-title":"Inflammatory bowel diseases","id":"ITEM-3","issue":"11","issued":{"date-parts":[["2016","11"]]},"page":"2648-2657","title":"Serologic Anti-GP2 Antibodies Are Associated with Genetic Polymorphisms, Fibrostenosis, and Need for Surgical Resection in Crohn's Disease.","type":"article-journal","volume":"22"},"uris":["http://www.mendeley.com/documents/?uuid=0b53a7a7-223a-3fdf-8643-eb7481531624"]},{"id":"ITEM-4","itemData":{"DOI":"10.1093/ecco-jcc/jjv087","ISSN":"1873-9946","PMID":"25968583","abstract":"BACKGROUNDS Glycoprotein 2[GP2] and CUB zona pellucida-like domain 1[CUZD1] belong to protein families involved in gut innate immunity processes and have recently been identified as specific targets of anti-pancreatic autoantibodies [PAbs] in Crohn's disease[CD]. We aimed to determine the prognostic potential of novel target-specific PAbs regarding long-term disease course of an adult CD patient cohort. METHODS Sera of 458 consecutive well-characterised IBD patients from a single referral IBD centre were tested by enzyme-linked immunosorbent assay [ELISA] with isoform 4 of recombinant GP2 [anti-MZGP2 and anti-GP2 IgA/IgG] and indirect immunofluorescence test [IIFT] system with GP2 and CUZD1 expressing transfected HEK 293 cells [anti-rPAg2 and rPAg1 IgA/IgG]. Clinical data were available on complicated disease or surgical interventions as well as disease activity and medical treatment during the prospective follow-up [median, 108 months]. RESULTS Totals of 12.4% and 20.8% of CD patients were positive for IgA/IgG type of anti-GP2 and anti-CUZD1, respectively, with a significant difference compared with UC [p &lt; 0.01]. Antibody status was stable over time. Agreement among three different anti-GP2 assays was good. Positivity for PAbs, mainly IgA subtypes, predicted a faster progression towards complicated disease course. In Kaplan-Meier analysis, time to surgery or development of perianal disease was associated with anti-GP2 IgA [pLogRank &lt; 0.01] or anti-CUZD1 IgA [pLogRank &lt; 0.001] positivity, respectively. Anti-CUZD1 IgA remained an independent predictor in the multivariate Cox-regression model (hazard ratio [HR]: 3.43, 95% confidence interval [CI]: 1.68-7.02, p &lt; 0.001). CONCLUSIONS The present study has shown that specific PAbs [especially IgA subtype] predict complicated disease course including the development of perianal disease in CD.","author":[{"dropping-particle":"","family":"Papp","given":"Maria","non-dropping-particle":"","parse-names":false,"suffix":""},{"dropping-particle":"","family":"Sipeki","given":"Nora","non-dropping-particle":"","parse-names":false,"suffix":""},{"dropping-particle":"","family":"Tornai","given":"Tamas","non-dropping-particle":"","parse-names":false,"suffix":""},{"dropping-particle":"","family":"Altorjay","given":"Istvan","non-dropping-particle":"","parse-names":false,"suffix":""},{"dropping-particle":"","family":"Norman","given":"Gary L.","non-dropping-particle":"","parse-names":false,"suffix":""},{"dropping-particle":"","family":"Shums","given":"Zakera","non-dropping-particle":"","parse-names":false,"suffix":""},{"dropping-particle":"","family":"Roggenbuck","given":"Dirk","non-dropping-particle":"","parse-names":false,"suffix":""},{"dropping-particle":"","family":"Fechner","given":"Kai","non-dropping-particle":"","parse-names":false,"suffix":""},{"dropping-particle":"","family":"Stöcker","given":"Winfried","non-dropping-particle":"","parse-names":false,"suffix":""},{"dropping-particle":"","family":"Antal-Szalmas","given":"Peter","non-dropping-particle":"","parse-names":false,"suffix":""},{"dropping-particle":"","family":"Veres","given":"Gabor","non-dropping-particle":"","parse-names":false,"suffix":""},{"dropping-particle":"","family":"Lakatos","given":"Peter Laszlo","non-dropping-particle":"","parse-names":false,"suffix":""}],"container-title":"Journal of Crohn's and Colitis","id":"ITEM-4","issue":"8","issued":{"date-parts":[["2015","8"]]},"page":"659-668","title":"Rediscovery of the Anti-Pancreatic Antibodies and Evaluation of their Prognostic Value in a Prospective Clinical Cohort of Crohn’s Patients: The Importance of Specific Target Antigens [GP2 and CUZD1]","type":"article-journal","volume":"9"},"uris":["http://www.mendeley.com/documents/?uuid=8e5f0827-94c6-3db1-88c6-9bdbc72ea222"]},{"id":"ITEM-5","itemData":{"DOI":"10.1016/j.cca.2014.12.010","ISSN":"00098981","PMID":"25512163","abstract":"BACKGROUND We developed a new IgA and IgG anti-MZGP2 antibody ELISAs based on recombinant isoform-4 of human zymogen granule protein-2 (GP2), which is the major autoantigen of Crohn's disease (CrD)-specific pancreatic autoantibodies and assessed their clinical relevance in the largest inflammatory bowel disease (IBD) cohort tested to date. METHODS 832 sera were studied, including 617 consecutive IBD patients from 323 CrD and 294 ulcerative colitis (UC) follow-up in a tertiary centre, and 112 pathological and 103 normal controls. RESULTS Sensitivity of IgA anti-MZGP2 for CrD in the IBD population was 15% and specificity was 98% (95, 99), while the sensitivity and specificity of IgG anti-MZGP2 were 27% and 97%. IgA and IgG anti-MZGP2 combined testing led to a sensitivity of 31% and a specificity of 96%. Positivity for either ASCA (IgA or IgG) or anti-MZGP2 (IgA or IgG) showed a sensitivity of 75% (70, 80) and a specificity of 84% (79, 89). IgA anti-MZGP2 antibodies were more prevalent in CrD patients with early disease onset (p=0.011). Also, anti-MZGP2 positive patients more frequently had extensive disease with ileal involvement. Patients with longer disease duration were more likely to have IgG anti-MZGP2 antibodies. CONCLUSIONS Our novel ELISA confirms the high specificity of anti-MZGP2 antibodies for CrD and their association with disease severity phenotypes.","author":[{"dropping-particle":"","family":"Pavlidis","given":"Polychronis","non-dropping-particle":"","parse-names":false,"suffix":""},{"dropping-particle":"","family":"Shums","given":"Zakera","non-dropping-particle":"","parse-names":false,"suffix":""},{"dropping-particle":"","family":"Koutsoumpas","given":"Andreas L.","non-dropping-particle":"","parse-names":false,"suffix":""},{"dropping-particle":"","family":"Milo","given":"Jay","non-dropping-particle":"","parse-names":false,"suffix":""},{"dropping-particle":"","family":"Papp","given":"Maria","non-dropping-particle":"","parse-names":false,"suffix":""},{"dropping-particle":"","family":"Umemura","given":"Takeji","non-dropping-particle":"","parse-names":false,"suffix":""},{"dropping-particle":"","family":"Lakatos","given":"Peter L.","non-dropping-particle":"","parse-names":false,"suffix":""},{"dropping-particle":"","family":"Smyk","given":"Daniel S.","non-dropping-particle":"","parse-names":false,"suffix":""},{"dropping-particle":"","family":"Bogdanos","given":"Dimitrios P.","non-dropping-particle":"","parse-names":false,"suffix":""},{"dropping-particle":"","family":"Forbes","given":"Alastair","non-dropping-particle":"","parse-names":false,"suffix":""},{"dropping-particle":"","family":"Norman","given":"Gary L.","non-dropping-particle":"","parse-names":false,"suffix":""}],"container-title":"Clinica Chimica Acta","id":"ITEM-5","issued":{"date-parts":[["2015","2","20"]]},"page":"176-181","title":"Diagnostic and clinical significance of Crohn's disease-specific anti-MZGP2 pancreatic antibodies by a novel ELISA","type":"article-journal","volume":"441"},"uris":["http://www.mendeley.com/documents/?uuid=d7a8bc7b-fb59-3c93-925d-44c90e4e081c"]}],"mendeley":{"formattedCitation":"&lt;sup&gt;[43–45,49,51]&lt;/sup&gt;","plainTextFormattedCitation":"[43–45,49,51]","previouslyFormattedCitation":"&lt;sup&gt;[43,51–53,57]&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008E3016" w:rsidRPr="008E3F16">
        <w:rPr>
          <w:rFonts w:ascii="Book Antiqua" w:hAnsi="Book Antiqua" w:cs="Arial"/>
          <w:noProof/>
          <w:color w:val="000000" w:themeColor="text1"/>
          <w:vertAlign w:val="superscript"/>
          <w:lang w:val="en-US"/>
        </w:rPr>
        <w:t>[43–45,49,51]</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reported blinding of the assays. This issue results in two forms of bias, being: </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1) partial verification bias</w:t>
      </w:r>
      <w:r w:rsidRPr="008E3F16">
        <w:rPr>
          <w:rFonts w:ascii="Book Antiqua" w:hAnsi="Book Antiqua" w:cs="Arial"/>
          <w:color w:val="000000" w:themeColor="text1"/>
          <w:lang w:val="en-US"/>
        </w:rPr>
        <w:fldChar w:fldCharType="begin" w:fldLock="1"/>
      </w:r>
      <w:r w:rsidR="00BB6AD9" w:rsidRPr="008E3F16">
        <w:rPr>
          <w:rFonts w:ascii="Book Antiqua" w:hAnsi="Book Antiqua" w:cs="Arial"/>
          <w:color w:val="000000" w:themeColor="text1"/>
          <w:lang w:val="en-US"/>
        </w:rPr>
        <w:instrText>ADDIN CSL_CITATION {"citationItems":[{"id":"ITEM-1","itemData":{"DOI":"10.3348/kjr.2015.16.6.1175","ISSN":"2005-8330","PMID":"26576106","abstract":"In the field of diagnostic test accuracy (DTA), the use of systematic review and meta-analyses is steadily increasing. By means of objective evaluation of all available primary studies, these two processes generate an evidence-based systematic summary regarding a specific research topic. The methodology for systematic review and meta-analysis in DTA studies differs from that in therapeutic/interventional studies, and its content is still evolving. Here we review the overall process from a practical standpoint, which may serve as a reference for those who implement these methods.","author":[{"dropping-particle":"","family":"Kim","given":"Kyung Won","non-dropping-particle":"","parse-names":false,"suffix":""},{"dropping-particle":"","family":"Lee","given":"Juneyoung","non-dropping-particle":"","parse-names":false,"suffix":""},{"dropping-particle":"","family":"Choi","given":"Sang Hyun","non-dropping-particle":"","parse-names":false,"suffix":""},{"dropping-particle":"","family":"Huh","given":"Jimi","non-dropping-particle":"","parse-names":false,"suffix":""},{"dropping-particle":"","family":"Park","given":"Seong Ho","non-dropping-particle":"","parse-names":false,"suffix":""}],"container-title":"Korean journal of radiology","id":"ITEM-1","issue":"6","issued":{"date-parts":[["2015"]]},"page":"1175-87","publisher":"Korean Society of Radiology","title":"Systematic Review and Meta-Analysis of Studies Evaluating Diagnostic Test Accuracy: A Practical Review for Clinical Researchers-Part I. General Guidance and Tips.","type":"article-journal","volume":"16"},"uris":["http://www.mendeley.com/documents/?uuid=9e10b36c-9277-3f5e-88e8-074e109858fb"]}],"mendeley":{"formattedCitation":"&lt;sup&gt;[13]&lt;/sup&gt;","plainTextFormattedCitation":"[13]","previouslyFormattedCitation":"&lt;sup&gt;[13]&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[13]</w:t>
      </w:r>
      <w:r w:rsidRPr="008E3F16">
        <w:rPr>
          <w:rFonts w:ascii="Book Antiqua" w:hAnsi="Book Antiqua" w:cs="Arial"/>
          <w:color w:val="000000" w:themeColor="text1"/>
          <w:lang w:val="en-US"/>
        </w:rPr>
        <w:fldChar w:fldCharType="end"/>
      </w:r>
      <w:r w:rsidR="00FF40DE"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as only patients with a positive result on the index test (anti-GP2 assay) have actually undergone the reference standard test for CD diagnosis (although in reverse order)</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and </w:t>
      </w:r>
      <w:r w:rsidR="00AD7D88" w:rsidRPr="008E3F16">
        <w:rPr>
          <w:rFonts w:ascii="Book Antiqua" w:hAnsi="Book Antiqua" w:cs="Arial"/>
          <w:color w:val="000000" w:themeColor="text1"/>
          <w:lang w:val="en-US"/>
        </w:rPr>
        <w:t>(</w:t>
      </w:r>
      <w:r w:rsidRPr="008E3F16">
        <w:rPr>
          <w:rFonts w:ascii="Book Antiqua" w:hAnsi="Book Antiqua" w:cs="Arial"/>
          <w:color w:val="000000" w:themeColor="text1"/>
          <w:lang w:val="en-US"/>
        </w:rPr>
        <w:t>2) test review bias</w:t>
      </w:r>
      <w:r w:rsidRPr="008E3F16">
        <w:rPr>
          <w:rFonts w:ascii="Book Antiqua" w:hAnsi="Book Antiqua" w:cs="Arial"/>
          <w:color w:val="000000" w:themeColor="text1"/>
          <w:lang w:val="en-US"/>
        </w:rPr>
        <w:fldChar w:fldCharType="begin" w:fldLock="1"/>
      </w:r>
      <w:r w:rsidR="00BB6AD9" w:rsidRPr="008E3F16">
        <w:rPr>
          <w:rFonts w:ascii="Book Antiqua" w:hAnsi="Book Antiqua" w:cs="Arial"/>
          <w:color w:val="000000" w:themeColor="text1"/>
          <w:lang w:val="en-US"/>
        </w:rPr>
        <w:instrText>ADDIN CSL_CITATION {"citationItems":[{"id":"ITEM-1","itemData":{"DOI":"10.3348/kjr.2015.16.6.1175","ISSN":"2005-8330","PMID":"26576106","abstract":"In the field of diagnostic test accuracy (DTA), the use of systematic review and meta-analyses is steadily increasing. By means of objective evaluation of all available primary studies, these two processes generate an evidence-based systematic summary regarding a specific research topic. The methodology for systematic review and meta-analysis in DTA studies differs from that in therapeutic/interventional studies, and its content is still evolving. Here we review the overall process from a practical standpoint, which may serve as a reference for those who implement these methods.","author":[{"dropping-particle":"","family":"Kim","given":"Kyung Won","non-dropping-particle":"","parse-names":false,"suffix":""},{"dropping-particle":"","family":"Lee","given":"Juneyoung","non-dropping-particle":"","parse-names":false,"suffix":""},{"dropping-particle":"","family":"Choi","given":"Sang Hyun","non-dropping-particle":"","parse-names":false,"suffix":""},{"dropping-particle":"","family":"Huh","given":"Jimi","non-dropping-particle":"","parse-names":false,"suffix":""},{"dropping-particle":"","family":"Park","given":"Seong Ho","non-dropping-particle":"","parse-names":false,"suffix":""}],"container-title":"Korean journal of radiology","id":"ITEM-1","issue":"6","issued":{"date-parts":[["2015"]]},"page":"1175-87","publisher":"Korean Society of Radiology","title":"Systematic Review and Meta-Analysis of Studies Evaluating Diagnostic Test Accuracy: A Practical Review for Clinical Researchers-Part I. General Guidance and Tips.","type":"article-journal","volume":"16"},"uris":["http://www.mendeley.com/documents/?uuid=9e10b36c-9277-3f5e-88e8-074e109858fb"]}],"mendeley":{"formattedCitation":"&lt;sup&gt;[13]&lt;/sup&gt;","plainTextFormattedCitation":"[13]","previouslyFormattedCitation":"&lt;sup&gt;[13]&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[13]</w:t>
      </w:r>
      <w:r w:rsidRPr="008E3F16">
        <w:rPr>
          <w:rFonts w:ascii="Book Antiqua" w:hAnsi="Book Antiqua" w:cs="Arial"/>
          <w:color w:val="000000" w:themeColor="text1"/>
          <w:lang w:val="en-US"/>
        </w:rPr>
        <w:fldChar w:fldCharType="end"/>
      </w:r>
      <w:r w:rsidR="00FF40DE"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as the results of the reference standard are known to reviewers who interpret the index test. Another important limitation of most primary DTA studies involves the inclusion of healthy controls in the</w:t>
      </w:r>
      <w:r w:rsidR="00A43E8A" w:rsidRPr="008E3F16">
        <w:rPr>
          <w:rFonts w:ascii="Book Antiqua" w:hAnsi="Book Antiqua" w:cs="Arial"/>
          <w:color w:val="000000" w:themeColor="text1"/>
          <w:lang w:val="en-US"/>
        </w:rPr>
        <w:t>ir</w:t>
      </w:r>
      <w:r w:rsidRPr="008E3F16">
        <w:rPr>
          <w:rFonts w:ascii="Book Antiqua" w:hAnsi="Book Antiqua" w:cs="Arial"/>
          <w:color w:val="000000" w:themeColor="text1"/>
          <w:lang w:val="en-US"/>
        </w:rPr>
        <w:t xml:space="preserve"> sample</w:t>
      </w:r>
      <w:r w:rsidR="00A43E8A" w:rsidRPr="008E3F16">
        <w:rPr>
          <w:rFonts w:ascii="Book Antiqua" w:hAnsi="Book Antiqua" w:cs="Arial"/>
          <w:color w:val="000000" w:themeColor="text1"/>
          <w:lang w:val="en-US"/>
        </w:rPr>
        <w:t>s</w:t>
      </w:r>
      <w:r w:rsidRPr="008E3F16">
        <w:rPr>
          <w:rFonts w:ascii="Book Antiqua" w:hAnsi="Book Antiqua" w:cs="Arial"/>
          <w:color w:val="000000" w:themeColor="text1"/>
          <w:lang w:val="en-US"/>
        </w:rPr>
        <w:t xml:space="preserve">, either in the form of healthy donors, or as outpatients. This error was </w:t>
      </w:r>
      <w:r w:rsidR="00FF40DE" w:rsidRPr="008E3F16">
        <w:rPr>
          <w:rFonts w:ascii="Book Antiqua" w:hAnsi="Book Antiqua" w:cs="Arial"/>
          <w:color w:val="000000" w:themeColor="text1"/>
          <w:lang w:val="en-US"/>
        </w:rPr>
        <w:t>even</w:t>
      </w:r>
      <w:r w:rsidRPr="008E3F16">
        <w:rPr>
          <w:rFonts w:ascii="Book Antiqua" w:hAnsi="Book Antiqua" w:cs="Arial"/>
          <w:color w:val="000000" w:themeColor="text1"/>
          <w:lang w:val="en-US"/>
        </w:rPr>
        <w:t xml:space="preserve"> detected in a recently </w:t>
      </w:r>
      <w:r w:rsidRPr="008E3F16">
        <w:rPr>
          <w:rFonts w:ascii="Book Antiqua" w:hAnsi="Book Antiqua" w:cs="Arial"/>
          <w:color w:val="000000" w:themeColor="text1"/>
          <w:lang w:val="en-US"/>
        </w:rPr>
        <w:lastRenderedPageBreak/>
        <w:t>published meta-analysis of anti-GP2 DTA studies</w:t>
      </w:r>
      <w:r w:rsidRPr="008E3F16">
        <w:rPr>
          <w:rFonts w:ascii="Book Antiqua" w:hAnsi="Book Antiqua" w:cs="Arial"/>
          <w:color w:val="000000" w:themeColor="text1"/>
          <w:lang w:val="en-US"/>
        </w:rPr>
        <w:fldChar w:fldCharType="begin" w:fldLock="1"/>
      </w:r>
      <w:r w:rsidR="00BB6AD9" w:rsidRPr="008E3F16">
        <w:rPr>
          <w:rFonts w:ascii="Book Antiqua" w:hAnsi="Book Antiqua" w:cs="Arial"/>
          <w:color w:val="000000" w:themeColor="text1"/>
          <w:lang w:val="en-US"/>
        </w:rPr>
        <w:instrText>ADDIN CSL_CITATION {"citationItems":[{"id":"ITEM-1","itemData":{"DOI":"10.1136/bmjopen-2016-014843","ISSN":"2044-6055","PMID":"28601823","abstract":"OBJECTIVES To perform a meta-analysis to evaluate the diagnostic performance of the antiglycoprotein-2 (GP2) antibody for Crohn's disease (CD). METHODS Three databases (EMBASE, ISI Web of Knowledge and PubMed) were systematically searched. There were 17 eligible studies included in the meta-analysis. A total of 2439</w:instrText>
      </w:r>
      <w:r w:rsidR="00BB6AD9" w:rsidRPr="008E3F16">
        <w:rPr>
          <w:rFonts w:ascii="MS Gothic" w:eastAsia="MS Gothic" w:hAnsi="MS Gothic" w:cs="MS Gothic" w:hint="eastAsia"/>
          <w:color w:val="000000" w:themeColor="text1"/>
          <w:lang w:val="en-US"/>
        </w:rPr>
        <w:instrText> </w:instrText>
      </w:r>
      <w:r w:rsidR="00BB6AD9" w:rsidRPr="008E3F16">
        <w:rPr>
          <w:rFonts w:ascii="Book Antiqua" w:hAnsi="Book Antiqua" w:cs="Arial"/>
          <w:color w:val="000000" w:themeColor="text1"/>
          <w:lang w:val="en-US"/>
        </w:rPr>
        <w:instrText>patients with CD and 3184 controls were involved in these studies. STATA V.11.2 and Meta-DiSc V.1.4 were used to perform the meta-analysis. RESULTS The area under the summary receiver operating characteristic curve was 0.68-0.72. The pooled diagnostic sensitivity of the anti-GP2 antibody ranged from 14% to 24%, and the specificity was 96%-98%. CONCLUSIONS The anti-GP2 antibody is a specific biomarker for CD, and further exploration of its prevalence among different clinical phenotypes of CD will provide a better understanding of its diagnostic performance.","author":[{"dropping-particle":"","family":"Deng","given":"Chuiwen","non-dropping-particle":"","parse-names":false,"suffix":""},{"dropping-particle":"","family":"Li","given":"Wenli","non-dropping-particle":"","parse-names":false,"suffix":""},{"dropping-particle":"","family":"Li","given":"Jing","non-dropping-particle":"","parse-names":false,"suffix":""},{"dropping-particle":"","family":"Zhang","given":"Shulan","non-dropping-particle":"","parse-names":false,"suffix":""},{"dropping-particle":"","family":"Li","given":"Yongzhe","non-dropping-particle":"","parse-names":false,"suffix":""}],"container-title":"BMJ Open","id":"ITEM-1","issue":"6","issued":{"date-parts":[["2017","6","9"]]},"page":"e014843","title":"Diagnostic value of the antiglycoprotein-2 antibody for Crohn’s disease: a PRISMA-compliant systematic review and meta-analysis","type":"article-journal","volume":"7"},"uris":["http://www.mendeley.com/documents/?uuid=2e5b7b7a-7360-3c71-8a64-7cb5090f41e8"]}],"mendeley":{"formattedCitation":"&lt;sup&gt;[14]&lt;/sup&gt;","plainTextFormattedCitation":"[14]","previouslyFormattedCitation":"&lt;sup&gt;[14]&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[14]</w:t>
      </w:r>
      <w:r w:rsidRPr="008E3F16">
        <w:rPr>
          <w:rFonts w:ascii="Book Antiqua" w:hAnsi="Book Antiqua" w:cs="Arial"/>
          <w:color w:val="000000" w:themeColor="text1"/>
          <w:lang w:val="en-US"/>
        </w:rPr>
        <w:fldChar w:fldCharType="end"/>
      </w:r>
      <w:r w:rsidR="00FF40DE"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The inclusion of healthy controls</w:t>
      </w:r>
      <w:r w:rsidR="00A43E8A"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or of patients with </w:t>
      </w:r>
      <w:r w:rsidR="00FF40DE" w:rsidRPr="008E3F16">
        <w:rPr>
          <w:rFonts w:ascii="Book Antiqua" w:hAnsi="Book Antiqua" w:cs="Arial"/>
          <w:color w:val="000000" w:themeColor="text1"/>
          <w:lang w:val="en-US"/>
        </w:rPr>
        <w:t xml:space="preserve">a </w:t>
      </w:r>
      <w:r w:rsidRPr="008E3F16">
        <w:rPr>
          <w:rFonts w:ascii="Book Antiqua" w:hAnsi="Book Antiqua" w:cs="Arial"/>
          <w:color w:val="000000" w:themeColor="text1"/>
          <w:lang w:val="en-US"/>
        </w:rPr>
        <w:t xml:space="preserve">disease </w:t>
      </w:r>
      <w:r w:rsidR="00FF40DE" w:rsidRPr="008E3F16">
        <w:rPr>
          <w:rFonts w:ascii="Book Antiqua" w:hAnsi="Book Antiqua" w:cs="Arial"/>
          <w:color w:val="000000" w:themeColor="text1"/>
          <w:lang w:val="en-US"/>
        </w:rPr>
        <w:t>having</w:t>
      </w:r>
      <w:r w:rsidRPr="008E3F16">
        <w:rPr>
          <w:rFonts w:ascii="Book Antiqua" w:hAnsi="Book Antiqua" w:cs="Arial"/>
          <w:color w:val="000000" w:themeColor="text1"/>
          <w:lang w:val="en-US"/>
        </w:rPr>
        <w:t xml:space="preserve"> symptoms not akin to CD</w:t>
      </w:r>
      <w:r w:rsidRPr="008E3F16">
        <w:rPr>
          <w:rFonts w:ascii="Book Antiqua" w:hAnsi="Book Antiqua" w:cs="Arial"/>
          <w:color w:val="000000" w:themeColor="text1"/>
          <w:lang w:val="en-US"/>
        </w:rPr>
        <w:fldChar w:fldCharType="begin" w:fldLock="1"/>
      </w:r>
      <w:r w:rsidR="003E6BBC" w:rsidRPr="008E3F16">
        <w:rPr>
          <w:rFonts w:ascii="Book Antiqua" w:hAnsi="Book Antiqua" w:cs="Arial"/>
          <w:color w:val="000000" w:themeColor="text1"/>
          <w:lang w:val="en-US"/>
        </w:rPr>
        <w:instrText>ADDIN CSL_CITATION {"citationItems":[{"id":"ITEM-1","itemData":{"DOI":"10.7326/0003-4819-149-12-200812160-00008","ISSN":"1539-3704","PMID":"19075208","abstract":"More and more systematic reviews of diagnostic test accuracy studies are being published, but they can be methodologically challenging. In this paper, the authors present some of the recent developments in the methodology for conducting systematic reviews of diagnostic test accuracy studies. Restrictive electronic search filters are discouraged, as is the use of summary quality scores. Methods for meta-analysis should take into account the paired nature of the estimates and their dependence on threshold. Authors of these reviews are advised to use the hierarchical summary receiver-operating characteristic or the bivariate model for the data analysis. Challenges that remain are the poor reporting of original diagnostic test accuracy studies and difficulties with the interpretation of the results of diagnostic test accuracy research.","author":[{"dropping-particle":"","family":"Leeflang","given":"Mariska M G","non-dropping-particle":"","parse-names":false,"suffix":""},{"dropping-particle":"","family":"Deeks","given":"Jonathan J","non-dropping-particle":"","parse-names":false,"suffix":""},{"dropping-particle":"","family":"Gatsonis","given":"Constantine","non-dropping-particle":"","parse-names":false,"suffix":""},{"dropping-particle":"","family":"Bossuyt","given":"Patrick M M","non-dropping-particle":"","parse-names":false,"suffix":""},{"dropping-particle":"","family":"Cochrane Diagnostic Test Accuracy Working Group","given":"","non-dropping-particle":"","parse-names":false,"suffix":""}],"container-title":"Annals of internal medicine","id":"ITEM-1","issue":"12","issued":{"date-parts":[["2008","12","16"]]},"page":"889-97","publisher":"NIH Public Access","title":"Systematic reviews of diagnostic test accuracy.","type":"article-journal","volume":"149"},"uris":["http://www.mendeley.com/documents/?uuid=a9b36b4e-0a6b-3467-bf85-6b6a526e7270"]},{"id":"ITEM-2","itemData":{"DOI":"10.1503/cmaj.050090","ISSN":"0820-3946","PMID":"16477057","abstract":"BACKGROUND Studies with methodologic shortcomings can overestimate the accuracy of a medical test. We sought to determine and compare the direction and magnitude of the effects of a number of potential sources of bias and variation in studies on estimates of diagnostic accuracy. METHODS We identified meta-analyses of the diagnostic accuracy of tests through an electronic search of the databases MEDLINE, EMBASE, DARE and MEDION (1999-2002). We included meta-analyses with at least 10 primary studies without preselection based on design features. Pairs of reviewers independently extracted study characteristics and original data from the primary studies. We used a multivariable meta-epidemiologic regression model to investigate the direction and strength of the association between 15 study features on estimates of diagnostic accuracy. RESULTS We selected 31 meta-analyses with 487 primary studies of test evaluations. Only 1 study had no design deficiencies. The quality of reporting was poor in most of the studies. We found significantly higher estimates of diagnostic accuracy in studies with nonconsecutive inclusion of patients (relative diagnostic odds ratio [RDOR] 1.5, 95% confidence interval [CI] 1.0-2.1) and retrospective data collection (RDOR 1.6, 95% CI 1.1-2.2). The estimates were highest in studies that had severe cases and healthy controls (RDOR 4.9, 95% CI 0.6-37.3). Studies that selected patients based on whether they had been referred for the index test, rather than on clinical symptoms, produced significantly lower estimates of diagnostic accuracy (RDOR 0.5, 95% CI 0.3-0.9). The variance between meta-analyses of the effect of design features was large to moderate for type of design (cohort v. case-control), the use of composite reference standards and the use of differential verification; the variance was close to zero for the other design features. INTERPRETATION Shortcomings in study design can affect estimates of diagnostic accuracy, but the magnitude of the effect may vary from one situation to another. Design features and clinical characteristics of patient groups should be carefully considered by researchers when designing new studies and by readers when appraising the results of such studies. Unfortunately, incomplete reporting hampers the evaluation of potential sources of bias in diagnostic accuracy studies.","author":[{"dropping-particle":"","family":"Rutjes","given":"A. W.S.","non-dropping-particle":"","parse-names":false,"suffix":""},{"dropping-particle":"","family":"Reitsma","given":"Johannes B","non-dropping-particle":"","parse-names":false,"suffix":""},{"dropping-particle":"","family":"Nisio","given":"Marcello","non-dropping-particle":"Di","parse-names":false,"suffix":""},{"dropping-particle":"","family":"Smidt","given":"Nynke","non-dropping-particle":"","parse-names":false,"suffix":""},{"dropping-particle":"","family":"Rijn","given":"Jeroen C","non-dropping-particle":"van","parse-names":false,"suffix":""},{"dropping-particle":"","family":"Bossuyt","given":"Patrick M M","non-dropping-particle":"","parse-names":false,"suffix":""}],"container-title":"Canadian Medical Association Journal","id":"ITEM-2","issue":"4","issued":{"date-parts":[["2006","2","14"]]},"page":"469-476","title":"Evidence of bias and variation in diagnostic accuracy studies","type":"article-journal","volume":"174"},"uris":["http://www.mendeley.com/documents/?uuid=c4edbef1-a677-32f7-8d7c-f3908d67e73e"]},{"id":"ITEM-3","itemData":{"DOI":"10.1001/jama.282.11.1061","ISSN":"0098-7484","PMID":"10493205","abstract":"CONTEXT The literature contains a large number of potential biases in the evaluation of diagnostic tests. Strict application of appropriate methodological criteria would invalidate the clinical application of most study results. OBJECTIVE To empirically determine the quantitative effect of study design shortcomings on estimates of diagnostic accuracy. DESIGN AND SETTING Observational study of the methodological features of 184 original studies evaluating 218 diagnostic tests. Meta-analyses on diagnostic tests were identified through a systematic search of the literature using MEDLINE, EMBASE, and DARE databases and the Cochrane Library (1996-1997). Associations between study characteristics and estimates of diagnostic accuracy were evaluated with a regression model. MAIN OUTCOME MEASURES Relative diagnostic odds ratio (RDOR), which compared the diagnostic odds ratios of studies of a given test that lacked a particular methodological feature with those without the corresponding shortcomings in design. RESULTS Fifteen (6.8%) of 218 evaluations met all 8 criteria; 64 (30%) met 6 or more. Studies evaluating tests in a diseased population and a separate control group overestimated the diagnostic performance compared with studies that used a clinical population (RDOR, 3.0; 95% confidence interval [CI], 2.0-4.5). Studies in which different reference tests were used for positive and negative results of the test under study overestimated the diagnostic performance compared with studies using a single reference test for all patients (RDOR, 2.2; 95% CI, 1.5-3.3). Diagnostic performance was also overestimated when the reference test was interpreted with knowledge of the test result (RDOR, 1.3; 95% CI, 1.0-1.9), when no criteria for the test were described (RDOR, 1.7; 95% CI, 1.1-2.5), and when no description of the population under study was provided (RDOR, 1.4; 95% CI, 1.1-1.7). CONCLUSION These data provide empirical evidence that diagnostic studies with methodological shortcomings may overestimate the accuracy of a diagnostic test, particularly those including nonrepresentative patients or applying different reference standards.","author":[{"dropping-particle":"","family":"Lijmer","given":"J G","non-dropping-particle":"","parse-names":false,"suffix":""},{"dropping-particle":"","family":"Mol","given":"B W","non-dropping-particle":"","parse-names":false,"suffix":""},{"dropping-particle":"","family":"Heisterkamp","given":"S","non-dropping-particle":"","parse-names":false,"suffix":""},{"dropping-particle":"","family":"Bonsel","given":"G J","non-dropping-particle":"","parse-names":false,"suffix":""},{"dropping-particle":"","family":"Prins","given":"M H","non-dropping-particle":"","parse-names":false,"suffix":""},{"dropping-particle":"","family":"Meulen","given":"J H","non-dropping-particle":"van der","parse-names":false,"suffix":""},{"dropping-particle":"","family":"Bossuyt","given":"P M","non-dropping-particle":"","parse-names":false,"suffix":""}],"container-title":"JAMA","id":"ITEM-3","issue":"11","issued":{"date-parts":[["1999","9","15"]]},"page":"1061-6","title":"Empirical evidence of design-related bias in studies of diagnostic tests.","type":"article-journal","volume":"282"},"uris":["http://www.mendeley.com/documents/?uuid=062147dd-737c-31e2-839e-7caa3d4dab3d"]}],"mendeley":{"formattedCitation":"&lt;sup&gt;[15–17]&lt;/sup&gt;","plainTextFormattedCitation":"[15–17]","previouslyFormattedCitation":"&lt;sup&gt;[15–17]&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[15–17]</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appears to form a systematic error, exhibited by </w:t>
      </w:r>
      <w:r w:rsidR="00FF40DE" w:rsidRPr="008E3F16">
        <w:rPr>
          <w:rFonts w:ascii="Book Antiqua" w:hAnsi="Book Antiqua" w:cs="Arial"/>
          <w:color w:val="000000" w:themeColor="text1"/>
          <w:lang w:val="en-US"/>
        </w:rPr>
        <w:t>most</w:t>
      </w:r>
      <w:r w:rsidRPr="008E3F16">
        <w:rPr>
          <w:rFonts w:ascii="Book Antiqua" w:hAnsi="Book Antiqua" w:cs="Arial"/>
          <w:color w:val="000000" w:themeColor="text1"/>
          <w:lang w:val="en-US"/>
        </w:rPr>
        <w:t xml:space="preserve"> primary DTA studies and has been reported to result in spectrum bias and overestimation of the diagnostic accuracy</w:t>
      </w:r>
      <w:r w:rsidRPr="008E3F16">
        <w:rPr>
          <w:rFonts w:ascii="Book Antiqua" w:hAnsi="Book Antiqua" w:cs="Arial"/>
          <w:color w:val="000000" w:themeColor="text1"/>
          <w:lang w:val="en-US"/>
        </w:rPr>
        <w:fldChar w:fldCharType="begin" w:fldLock="1"/>
      </w:r>
      <w:r w:rsidR="001F7126" w:rsidRPr="008E3F16">
        <w:rPr>
          <w:rFonts w:ascii="Book Antiqua" w:hAnsi="Book Antiqua" w:cs="Arial"/>
          <w:color w:val="000000" w:themeColor="text1"/>
          <w:lang w:val="en-US"/>
        </w:rPr>
        <w:instrText>ADDIN CSL_CITATION {"citationItems":[{"id":"ITEM-1","itemData":{"DOI":"10.7326/0003-4819-149-12-200812160-00008","ISSN":"1539-3704","PMID":"19075208","abstract":"More and more systematic reviews of diagnostic test accuracy studies are being published, but they can be methodologically challenging. In this paper, the authors present some of the recent developments in the methodology for conducting systematic reviews of diagnostic test accuracy studies. Restrictive electronic search filters are discouraged, as is the use of summary quality scores. Methods for meta-analysis should take into account the paired nature of the estimates and their dependence on threshold. Authors of these reviews are advised to use the hierarchical summary receiver-operating characteristic or the bivariate model for the data analysis. Challenges that remain are the poor reporting of original diagnostic test accuracy studies and difficulties with the interpretation of the results of diagnostic test accuracy research.","author":[{"dropping-particle":"","family":"Leeflang","given":"Mariska M G","non-dropping-particle":"","parse-names":false,"suffix":""},{"dropping-particle":"","family":"Deeks","given":"Jonathan J","non-dropping-particle":"","parse-names":false,"suffix":""},{"dropping-particle":"","family":"Gatsonis","given":"Constantine","non-dropping-particle":"","parse-names":false,"suffix":""},{"dropping-particle":"","family":"Bossuyt","given":"Patrick M M","non-dropping-particle":"","parse-names":false,"suffix":""},{"dropping-particle":"","family":"Cochrane Diagnostic Test Accuracy Working Group","given":"","non-dropping-particle":"","parse-names":false,"suffix":""}],"container-title":"Annals of internal medicine","id":"ITEM-1","issue":"12","issued":{"date-parts":[["2008","12","16"]]},"page":"889-97","publisher":"NIH Public Access","title":"Systematic reviews of diagnostic test accuracy.","type":"article-journal","volume":"149"},"uris":["http://www.mendeley.com/documents/?uuid=a9b36b4e-0a6b-3467-bf85-6b6a526e7270"]},{"id":"ITEM-2","itemData":{"DOI":"10.5858/arpa.2012-0198-RA","PMID":"23544945","abstract":"Context.-Accuracy is an important feature of any diagnostic test. There has been an increasing awareness of deficiencies in study design that can create bias in estimates of test accuracy. Many pathologists are unaware of these sources of bias. Objective.-To explain the causes and increase awareness of several common types of bias that result from deficiencies in the design of diagnostic accuracy studies. Data Sources.-We cite examples from the literature and provide calculations to illustrate the impact of study design features on estimates of diagnostic accuracy. In a companion article by Schmidt et al in this issue, we use these principles to evaluate diagnostic studies associated with a specific diagnostic test for risk of bias and reporting quality. Conclusions.-There are several sources of bias that are unique to diagnostic accuracy studies. Because pathologists are both consumers and producers of such studies, it is important that they be aware of the risk of bias.","author":[{"dropping-particle":"","family":"Schmidt","given":"Robert L","non-dropping-particle":"","parse-names":false,"suffix":""},{"dropping-particle":"","family":"Factor","given":"Rachel E","non-dropping-particle":"","parse-names":false,"suffix":""}],"container-title":"Arch Pathol Lab Med","id":"ITEM-2","issued":{"date-parts":[["2013"]]},"page":"558-565","title":"Understanding Sources of Bias in Diagnostic Accuracy Studies","type":"article-journal","volume":"137"},"uris":["http://www.mendeley.com/documents/?uuid=25ba4f28-42b5-31ae-98ba-059a553269f7"]}],"mendeley":{"formattedCitation":"&lt;sup&gt;[15,65]&lt;/sup&gt;","plainTextFormattedCitation":"[15,65]","previouslyFormattedCitation":"&lt;sup&gt;[15,65]&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[15,65]</w:t>
      </w:r>
      <w:r w:rsidRPr="008E3F16">
        <w:rPr>
          <w:rFonts w:ascii="Book Antiqua" w:hAnsi="Book Antiqua" w:cs="Arial"/>
          <w:color w:val="000000" w:themeColor="text1"/>
          <w:lang w:val="en-US"/>
        </w:rPr>
        <w:fldChar w:fldCharType="end"/>
      </w:r>
      <w:r w:rsidR="00FF40DE"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This was corrected in the present analyses, where CD cases were only compared either against symptomatic patients, or against patients with UC.</w:t>
      </w:r>
    </w:p>
    <w:p w14:paraId="0F78F972" w14:textId="6DDC0F5A" w:rsidR="00E82B0E" w:rsidRPr="008E3F16"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E3F16">
        <w:rPr>
          <w:rFonts w:ascii="Book Antiqua" w:hAnsi="Book Antiqua" w:cs="Arial"/>
          <w:color w:val="000000" w:themeColor="text1"/>
          <w:lang w:val="en-US"/>
        </w:rPr>
        <w:t>When compared to the recently published meta-analysis</w:t>
      </w:r>
      <w:r w:rsidRPr="008E3F16">
        <w:rPr>
          <w:rFonts w:ascii="Book Antiqua" w:hAnsi="Book Antiqua" w:cs="Arial"/>
          <w:color w:val="000000" w:themeColor="text1"/>
          <w:lang w:val="en-US"/>
        </w:rPr>
        <w:fldChar w:fldCharType="begin" w:fldLock="1"/>
      </w:r>
      <w:r w:rsidR="00BB6AD9" w:rsidRPr="008E3F16">
        <w:rPr>
          <w:rFonts w:ascii="Book Antiqua" w:hAnsi="Book Antiqua" w:cs="Arial"/>
          <w:color w:val="000000" w:themeColor="text1"/>
          <w:lang w:val="en-US"/>
        </w:rPr>
        <w:instrText>ADDIN CSL_CITATION {"citationItems":[{"id":"ITEM-1","itemData":{"DOI":"10.1136/bmjopen-2016-014843","ISSN":"2044-6055","PMID":"28601823","abstract":"OBJECTIVES To perform a meta-analysis to evaluate the diagnostic performance of the antiglycoprotein-2 (GP2) antibody for Crohn's disease (CD). METHODS Three databases (EMBASE, ISI Web of Knowledge and PubMed) were systematically searched. There were 17 eligible studies included in the meta-analysis. A total of 2439</w:instrText>
      </w:r>
      <w:r w:rsidR="00BB6AD9" w:rsidRPr="008E3F16">
        <w:rPr>
          <w:rFonts w:ascii="MS Gothic" w:eastAsia="MS Gothic" w:hAnsi="MS Gothic" w:cs="MS Gothic" w:hint="eastAsia"/>
          <w:color w:val="000000" w:themeColor="text1"/>
          <w:lang w:val="en-US"/>
        </w:rPr>
        <w:instrText> </w:instrText>
      </w:r>
      <w:r w:rsidR="00BB6AD9" w:rsidRPr="008E3F16">
        <w:rPr>
          <w:rFonts w:ascii="Book Antiqua" w:hAnsi="Book Antiqua" w:cs="Arial"/>
          <w:color w:val="000000" w:themeColor="text1"/>
          <w:lang w:val="en-US"/>
        </w:rPr>
        <w:instrText>patients with CD and 3184 controls were involved in these studies. STATA V.11.2 and Meta-DiSc V.1.4 were used to perform the meta-analysis. RESULTS The area under the summary receiver operating characteristic curve was 0.68-0.72. The pooled diagnostic sensitivity of the anti-GP2 antibody ranged from 14% to 24%, and the specificity was 96%-98%. CONCLUSIONS The anti-GP2 antibody is a specific biomarker for CD, and further exploration of its prevalence among different clinical phenotypes of CD will provide a better understanding of its diagnostic performance.","author":[{"dropping-particle":"","family":"Deng","given":"Chuiwen","non-dropping-particle":"","parse-names":false,"suffix":""},{"dropping-particle":"","family":"Li","given":"Wenli","non-dropping-particle":"","parse-names":false,"suffix":""},{"dropping-particle":"","family":"Li","given":"Jing","non-dropping-particle":"","parse-names":false,"suffix":""},{"dropping-particle":"","family":"Zhang","given":"Shulan","non-dropping-particle":"","parse-names":false,"suffix":""},{"dropping-particle":"","family":"Li","given":"Yongzhe","non-dropping-particle":"","parse-names":false,"suffix":""}],"container-title":"BMJ Open","id":"ITEM-1","issue":"6","issued":{"date-parts":[["2017","6","9"]]},"page":"e014843","title":"Diagnostic value of the antiglycoprotein-2 antibody for Crohn’s disease: a PRISMA-compliant systematic review and meta-analysis","type":"article-journal","volume":"7"},"uris":["http://www.mendeley.com/documents/?uuid=2e5b7b7a-7360-3c71-8a64-7cb5090f41e8"]}],"mendeley":{"formattedCitation":"&lt;sup&gt;[14]&lt;/sup&gt;","plainTextFormattedCitation":"[14]","previouslyFormattedCitation":"&lt;sup&gt;[14]&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[14]</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of anti-GP2 diagnostic accuracy for CD, the sensitivity and specificity </w:t>
      </w:r>
      <w:r w:rsidR="00A43E8A" w:rsidRPr="008E3F16">
        <w:rPr>
          <w:rFonts w:ascii="Book Antiqua" w:hAnsi="Book Antiqua" w:cs="Arial"/>
          <w:color w:val="000000" w:themeColor="text1"/>
          <w:lang w:val="en-US"/>
        </w:rPr>
        <w:t xml:space="preserve">previously </w:t>
      </w:r>
      <w:r w:rsidRPr="008E3F16">
        <w:rPr>
          <w:rFonts w:ascii="Book Antiqua" w:hAnsi="Book Antiqua" w:cs="Arial"/>
          <w:color w:val="000000" w:themeColor="text1"/>
          <w:lang w:val="en-US"/>
        </w:rPr>
        <w:t xml:space="preserve">reported is </w:t>
      </w:r>
      <w:r w:rsidR="00A43E8A" w:rsidRPr="008E3F16">
        <w:rPr>
          <w:rFonts w:ascii="Book Antiqua" w:hAnsi="Book Antiqua" w:cs="Arial"/>
          <w:color w:val="000000" w:themeColor="text1"/>
          <w:lang w:val="en-US"/>
        </w:rPr>
        <w:t>similar</w:t>
      </w:r>
      <w:r w:rsidRPr="008E3F16">
        <w:rPr>
          <w:rFonts w:ascii="Book Antiqua" w:hAnsi="Book Antiqua" w:cs="Arial"/>
          <w:color w:val="000000" w:themeColor="text1"/>
          <w:lang w:val="en-US"/>
        </w:rPr>
        <w:t xml:space="preserve"> to the one calculated herein, despite pooling healthy controls together in the analyses. Still, authors of th</w:t>
      </w:r>
      <w:r w:rsidR="00A43E8A" w:rsidRPr="008E3F16">
        <w:rPr>
          <w:rFonts w:ascii="Book Antiqua" w:hAnsi="Book Antiqua" w:cs="Arial"/>
          <w:color w:val="000000" w:themeColor="text1"/>
          <w:lang w:val="en-US"/>
        </w:rPr>
        <w:t>at</w:t>
      </w:r>
      <w:r w:rsidRPr="008E3F16">
        <w:rPr>
          <w:rFonts w:ascii="Book Antiqua" w:hAnsi="Book Antiqua" w:cs="Arial"/>
          <w:color w:val="000000" w:themeColor="text1"/>
          <w:lang w:val="en-US"/>
        </w:rPr>
        <w:t xml:space="preserve"> meta-analysis</w:t>
      </w:r>
      <w:r w:rsidRPr="008E3F16">
        <w:rPr>
          <w:rFonts w:ascii="Book Antiqua" w:hAnsi="Book Antiqua" w:cs="Arial"/>
          <w:color w:val="000000" w:themeColor="text1"/>
          <w:lang w:val="en-US"/>
        </w:rPr>
        <w:fldChar w:fldCharType="begin" w:fldLock="1"/>
      </w:r>
      <w:r w:rsidR="00BB6AD9" w:rsidRPr="008E3F16">
        <w:rPr>
          <w:rFonts w:ascii="Book Antiqua" w:hAnsi="Book Antiqua" w:cs="Arial"/>
          <w:color w:val="000000" w:themeColor="text1"/>
          <w:lang w:val="en-US"/>
        </w:rPr>
        <w:instrText>ADDIN CSL_CITATION {"citationItems":[{"id":"ITEM-1","itemData":{"DOI":"10.1136/bmjopen-2016-014843","ISSN":"2044-6055","PMID":"28601823","abstract":"OBJECTIVES To perform a meta-analysis to evaluate the diagnostic performance of the antiglycoprotein-2 (GP2) antibody for Crohn's disease (CD). METHODS Three databases (EMBASE, ISI Web of Knowledge and PubMed) were systematically searched. There were 17 eligible studies included in the meta-analysis. A total of 2439</w:instrText>
      </w:r>
      <w:r w:rsidR="00BB6AD9" w:rsidRPr="008E3F16">
        <w:rPr>
          <w:rFonts w:ascii="MS Gothic" w:eastAsia="MS Gothic" w:hAnsi="MS Gothic" w:cs="MS Gothic" w:hint="eastAsia"/>
          <w:color w:val="000000" w:themeColor="text1"/>
          <w:lang w:val="en-US"/>
        </w:rPr>
        <w:instrText> </w:instrText>
      </w:r>
      <w:r w:rsidR="00BB6AD9" w:rsidRPr="008E3F16">
        <w:rPr>
          <w:rFonts w:ascii="Book Antiqua" w:hAnsi="Book Antiqua" w:cs="Arial"/>
          <w:color w:val="000000" w:themeColor="text1"/>
          <w:lang w:val="en-US"/>
        </w:rPr>
        <w:instrText>patients with CD and 3184 controls were involved in these studies. STATA V.11.2 and Meta-DiSc V.1.4 were used to perform the meta-analysis. RESULTS The area under the summary receiver operating characteristic curve was 0.68-0.72. The pooled diagnostic sensitivity of the anti-GP2 antibody ranged from 14% to 24%, and the specificity was 96%-98%. CONCLUSIONS The anti-GP2 antibody is a specific biomarker for CD, and further exploration of its prevalence among different clinical phenotypes of CD will provide a better understanding of its diagnostic performance.","author":[{"dropping-particle":"","family":"Deng","given":"Chuiwen","non-dropping-particle":"","parse-names":false,"suffix":""},{"dropping-particle":"","family":"Li","given":"Wenli","non-dropping-particle":"","parse-names":false,"suffix":""},{"dropping-particle":"","family":"Li","given":"Jing","non-dropping-particle":"","parse-names":false,"suffix":""},{"dropping-particle":"","family":"Zhang","given":"Shulan","non-dropping-particle":"","parse-names":false,"suffix":""},{"dropping-particle":"","family":"Li","given":"Yongzhe","non-dropping-particle":"","parse-names":false,"suffix":""}],"container-title":"BMJ Open","id":"ITEM-1","issue":"6","issued":{"date-parts":[["2017","6","9"]]},"page":"e014843","title":"Diagnostic value of the antiglycoprotein-2 antibody for Crohn’s disease: a PRISMA-compliant systematic review and meta-analysis","type":"article-journal","volume":"7"},"uris":["http://www.mendeley.com/documents/?uuid=2e5b7b7a-7360-3c71-8a64-7cb5090f41e8"]}],"mendeley":{"formattedCitation":"&lt;sup&gt;[14]&lt;/sup&gt;","plainTextFormattedCitation":"[14]","previouslyFormattedCitation":"&lt;sup&gt;[14]&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[14]</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acknowledge several of the limitations of applying the anti-GP2 assay as a diagnostic tool and suggest its use for the differentiation of CD patients from controls, although their definition of controls for DTA studies appears to be arbitrary. According to </w:t>
      </w:r>
      <w:r w:rsidR="00EF5562" w:rsidRPr="008E3F16">
        <w:rPr>
          <w:rFonts w:ascii="Book Antiqua" w:hAnsi="Book Antiqua" w:cs="Times New Roman"/>
          <w:color w:val="000000" w:themeColor="text1"/>
          <w:lang w:val="en-US"/>
        </w:rPr>
        <w:t>Al Fattani</w:t>
      </w:r>
      <w:r w:rsidR="00EF5562" w:rsidRPr="008E3F16">
        <w:rPr>
          <w:rFonts w:ascii="Book Antiqua" w:hAnsi="Book Antiqua" w:cs="Arial"/>
          <w:color w:val="000000" w:themeColor="text1"/>
          <w:lang w:val="en-US"/>
        </w:rPr>
        <w:t xml:space="preserve"> </w:t>
      </w:r>
      <w:r w:rsidR="00EF5562" w:rsidRPr="008E3F16">
        <w:rPr>
          <w:rFonts w:ascii="Book Antiqua" w:hAnsi="Book Antiqua" w:cs="Arial"/>
          <w:i/>
          <w:iCs/>
          <w:color w:val="000000" w:themeColor="text1"/>
          <w:lang w:val="en-US"/>
        </w:rPr>
        <w:t>et al</w:t>
      </w:r>
      <w:r w:rsidRPr="008E3F16">
        <w:rPr>
          <w:rFonts w:ascii="Book Antiqua" w:hAnsi="Book Antiqua" w:cs="Arial"/>
          <w:color w:val="000000" w:themeColor="text1"/>
          <w:lang w:val="en-US"/>
        </w:rPr>
        <w:fldChar w:fldCharType="begin" w:fldLock="1"/>
      </w:r>
      <w:r w:rsidR="00BB6AD9" w:rsidRPr="008E3F16">
        <w:rPr>
          <w:rFonts w:ascii="Book Antiqua" w:hAnsi="Book Antiqua" w:cs="Arial"/>
          <w:color w:val="000000" w:themeColor="text1"/>
          <w:lang w:val="en-US"/>
        </w:rPr>
        <w:instrText>ADDIN CSL_CITATION {"citationItems":[{"id":"ITEM-1","itemData":{"DOI":"10.4103/1658-5127.171991","ISSN":"1658-5127","abstract":"Diagnostic accuracy studies are known to have different sources of bias. Usually, those biases are not stated clearly in papers and lead to disruption in conclusion. Because pathologists are the producers, readers, or consumers of diagnostic accuracy studies, it is essential for them to know the types of bias that will affect the outcome of the test. This article provides spot light on couple of common sources of bias and their effect on validity and reliability of the results.","author":[{"dropping-particle":"","family":"Fattani","given":"AreejAbdul Ghani","non-dropping-particle":"Al","parse-names":false,"suffix":""},{"dropping-particle":"","family":"Aljoudi","given":"Abdulla","non-dropping-particle":"","parse-names":false,"suffix":""}],"container-title":"Journal of Applied Hematology","id":"ITEM-1","issue":"4","issued":{"date-parts":[["2015"]]},"page":"178","publisher":"Medknow Publications and Media Pvt. Ltd.","title":"Sources of bias in diagnostic accuracy studies","type":"article-journal","volume":"6"},"uris":["http://www.mendeley.com/documents/?uuid=e3fd005f-e7ef-36fe-876a-1356b58e10b5"]}],"mendeley":{"formattedCitation":"&lt;sup&gt;[66]&lt;/sup&gt;","plainTextFormattedCitation":"[66]","previouslyFormattedCitation":"&lt;sup&gt;[66]&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[66]</w:t>
      </w:r>
      <w:r w:rsidRPr="008E3F16">
        <w:rPr>
          <w:rFonts w:ascii="Book Antiqua" w:hAnsi="Book Antiqua" w:cs="Arial"/>
          <w:color w:val="000000" w:themeColor="text1"/>
          <w:lang w:val="en-US"/>
        </w:rPr>
        <w:fldChar w:fldCharType="end"/>
      </w:r>
      <w:r w:rsidR="00FF40DE"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evidence from well-designed thorough systematic reviews indicate the importance of attaining a correct methodological design in DTA studies.</w:t>
      </w:r>
    </w:p>
    <w:p w14:paraId="2F063A72" w14:textId="2AC3D398" w:rsidR="00E82B0E" w:rsidRPr="008E3F16"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E3F16">
        <w:rPr>
          <w:rFonts w:ascii="Book Antiqua" w:hAnsi="Book Antiqua" w:cs="Arial"/>
          <w:color w:val="000000" w:themeColor="text1"/>
          <w:lang w:val="en-US"/>
        </w:rPr>
        <w:t>Another issue of concern and possible source of bias that may partly explain the systematic error of using healthy controls</w:t>
      </w:r>
      <w:r w:rsidR="00A43E8A"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or patients with irrelevant symptoms in the control groups, involves the industry-related COI demonstrated among most primary DTA studies. With 13</w:t>
      </w:r>
      <w:r w:rsidRPr="008E3F16">
        <w:rPr>
          <w:rFonts w:ascii="Book Antiqua" w:hAnsi="Book Antiqua" w:cs="Arial"/>
          <w:color w:val="000000" w:themeColor="text1"/>
          <w:lang w:val="en-US"/>
        </w:rPr>
        <w:fldChar w:fldCharType="begin" w:fldLock="1"/>
      </w:r>
      <w:r w:rsidR="008E3016" w:rsidRPr="008E3F16">
        <w:rPr>
          <w:rFonts w:ascii="Book Antiqua" w:hAnsi="Book Antiqua" w:cs="Arial"/>
          <w:color w:val="000000" w:themeColor="text1"/>
          <w:lang w:val="en-US"/>
        </w:rPr>
        <w:instrText>ADDIN CSL_CITATION {"citationItems":[{"id":"ITEM-1","itemData":{"DOI":"10.1016/J.CCA.2010.12.029","ISSN":"0009-8981","PMID":"21195704","abstract":"BACKGROUND Crohn's disease (CD) is an inflammatory bowel disease (IBD) characterized by reactivity against microbial and self antigens. Zymogen granule glycoprotein 2 (GP2) was identified as the major autoantigen of CD-specific pancreatic autoantibodies (PAB). METHODS Human GP2 was expressed in the Spodoptera frugiperda 9 (Sf9) cell line using the baculovirus system, purified by Ni-chelate chromatography, and used as antigen for anti-GP2 IgA and IgG assessment by enzyme-linked immunosorbent assays (ELISA). Antibodies to mannan of Saccharomyces cerevisiae (ASCA), PAB, and anti-GP2 were investigated in sera of 178 CD patients, 100 ulcerative colitis (UC) patients, and 162 blood donors (BD). RESULTS Anti-GP2 IgG and IgA were found in 48/72 (66.7%) and 23/72 (31.9%) PAB positive and 5/106 (4.7%) and 1/106 (0.9%) PAB negative CD patients (p&lt;0.0001), respectively. CD patients displayed significantly higher reactivity to GP2 than UC patients and BD (p&lt;0.0001), respectively. Occurrence of anti-GP2 antibodies correlated with PAB reactivity (Spearmen's rho=0.493, p&lt;0.00001). There was a significant relationship between the occurrence of ASCA IgG and anti-GP2 IgG (p=0.0307). CONCLUSIONS Anti-GP2 IgG and IgA constitute novel CD specific autoantibodies, the quantification of which could improve the serological diagnosis of IBD.","author":[{"dropping-particle":"","family":"Roggenbuck","given":"Dirk","non-dropping-particle":"","parse-names":false,"suffix":""},{"dropping-particle":"","family":"Reinhold","given":"Dirk","non-dropping-particle":"","parse-names":false,"suffix":""},{"dropping-particle":"","family":"Wex","given":"Thomas","non-dropping-particle":"","parse-names":false,"suffix":""},{"dropping-particle":"","family":"Goihl","given":"Alexander","non-dropping-particle":"","parse-names":false,"suffix":""},{"dropping-particle":"","family":"Arnim","given":"Ulrike","non-dropping-particle":"von","parse-names":false,"suffix":""},{"dropping-particle":"","family":"Malfertheiner","given":"Peter","non-dropping-particle":"","parse-names":false,"suffix":""},{"dropping-particle":"","family":"Büttner","given":"Thomas","non-dropping-particle":"","parse-names":false,"suffix":""},{"dropping-particle":"","family":"Porstmann","given":"Tomas","non-dropping-particle":"","parse-names":false,"suffix":""},{"dropping-particle":"","family":"Porstmann","given":"Silvia","non-dropping-particle":"","parse-names":false,"suffix":""},{"dropping-particle":"","family":"Liedvogel","given":"Bodo","non-dropping-particle":"","parse-names":false,"suffix":""},{"dropping-particle":"","family":"Bogdanos","given":"Dimitrios P.","non-dropping-particle":"","parse-names":false,"suffix":""},{"dropping-particle":"","family":"Laass","given":"Martin W.","non-dropping-particle":"","parse-names":false,"suffix":""},{"dropping-particle":"","family":"Conrad","given":"Karsten","non-dropping-particle":"","parse-names":false,"suffix":""}],"container-title":"Clinica Chimica Acta","id":"ITEM-1","issue":"9-10","issued":{"date-parts":[["2011","4","11"]]},"page":"718-724","publisher":"Elsevier","title":"Autoantibodies to GP2, the major zymogen granule membrane glycoprotein, are new markers in Crohn's disease","type":"article-journal","volume":"412"},"uris":["http://www.mendeley.com/documents/?uuid=670b226c-263e-3b40-9fb0-407d7b31b520"]},{"id":"ITEM-2","itemData":{"DOI":"10.1515/cclm-2014-0238","ISSN":"1437-4331","PMID":"25411995","abstract":"BACKGROUND Autoantibodies to exocrine-pancreatic glycoprotein 2 (anti-GP2) are Crohn's disease (CD) markers. However, CD-specific antibodies have also been found in celiac-disease (CeD) patients, in which type 1 diabetes-specific autoantibodies against endocrine pancreatic targets can be present. We investigated whether anti-GP2 are also present in CeD, a disease like CD which is also characterised by intestinal mucosal inflammation with barrier impairment. METHODS Antibodies against GP2, tissue transglutaminase (tTG), deamidated gliadin (dGD), glutamic decarboxylase (GAD), and islet antigen-2 (IA2) were tested in sera from 73 CD patients, 90 blood donors (BD), and 79 (58 de novo) CeD patients (2 consecutive sera were available from 40 patients). RESULTS IgA and/or IgG anti-GP2 were found in 15/79 (19.0%) CeD patients on at least one occasion, in 25/73 (34.2%) CD patients, and in 4/90 (4.4%) BD (CeD vs. CD, p=0.042; BD vs. CeD and CD, p&lt;0.001, respectively). Amongst the 58 de novo CeD patients, anti-GP2 IgA and/or IgG were present in 11 (19.0%). Anti-GP2 IgA was significantly less prevalent in CeD compared with CD (p=0.004). Anti-GP2 IgA and IgG in CD patients demonstrated a significantly higher median level compared to patients with CeD (p&lt;0.001, p=0.008, respectively). IgA anti-GP2 levels correlated significantly with IgA anti-tTG and anti-dGD levels in CeD Spearman's coefficient of rank correlation (ρ)=0.42, confidence interval (CI): 0.26-0.56, p&lt;0.001; ρ=0.54, CI 0.39-0.65, p&lt;0.001, respectively. CONCLUSIONS The presence of anti-GP2 in CeD patients supports the notion that loss of tolerance to GP2 can probably be a manifestation of an autoinflammatory process in this intestinal disorder.","author":[{"dropping-particle":"","family":"Roggenbuck","given":"Dirk","non-dropping-particle":"","parse-names":false,"suffix":""},{"dropping-particle":"","family":"Vermeire","given":"Severine","non-dropping-particle":"","parse-names":false,"suffix":""},{"dropping-particle":"","family":"Hoffman","given":"Ilse","non-dropping-particle":"","parse-names":false,"suffix":""},{"dropping-particle":"","family":"Reinhold","given":"Dirk","non-dropping-particle":"","parse-names":false,"suffix":""},{"dropping-particle":"","family":"Schierack","given":"Peter","non-dropping-particle":"","parse-names":false,"suffix":""},{"dropping-particle":"","family":"Goihl","given":"Alexander","non-dropping-particle":"","parse-names":false,"suffix":""},{"dropping-particle":"","family":"Arnim","given":"Ulrike","non-dropping-particle":"von","parse-names":false,"suffix":""},{"dropping-particle":"","family":"Hertogh","given":"Gert","non-dropping-particle":"De","parse-names":false,"suffix":""},{"dropping-particle":"","family":"Polymeros","given":"Dimitrios","non-dropping-particle":"","parse-names":false,"suffix":""},{"dropping-particle":"","family":"Bogdanos","given":"Dimitrios P","non-dropping-particle":"","parse-names":false,"suffix":""},{"dropping-particle":"","family":"Bossuyt","given":"Xavier","non-dropping-particle":"","parse-names":false,"suffix":""}],"container-title":"Clinical chemistry and laboratory medicine","id":"ITEM-2","issue":"9","issued":{"date-parts":[["2015","8","1"]]},"page":"1349-57","title":"Evidence of Crohn's disease-related anti-glycoprotein 2 antibodies in patients with celiac disease.","type":"article-journal","volume":"53"},"uris":["http://www.mendeley.com/documents/?uuid=b9968e59-d7f7-3b04-9056-e04c43a3b853"]},{"id":"ITEM-3","itemData":{"DOI":"10.1136/gut.2008.162495","ISSN":"1468-3288","PMID":"19549613","abstract":"BACKGROUND AND AIMS The aetiopathogenesis of Crohn's disease, an inflammatory bowel disease (IBD), is not yet fully understood. Autoimmune mechanisms are thought to play a role in the development of Crohn's disease, but the target antigens and the underlying pathways have not been sufficiently identified. METHODS Based on data from immunoblotting and matrix-assisted laser desorption ionisation time-of-flight (MALDI-TOF) mass spectrometry, the major antigenic target of pancreatic autoantibodies (PABs), which are specific for Crohn's disease, was identified. Specificity of autoantibody reactivity was confirmed by enzyme-linked immunosorbent assay (ELISA) and indirect immunofluorescence (IIF) using purified rat and human recombinant GP2 synthesised in transiently transfected mammalian HEK 293 cells. Real-time polymerase chain reaction (rt-PCR) and IIF were used to detect mRNA and antigen localisation in human colon biopsies. RESULTS The major zymogen granule membrane glycoprotein 2 (GP2) was identified as the autoantigen of PABs in Crohn's disease. PAB-positive sera from patients with Crohn's disease (n = 42) displayed significantly higher IgG reactivity to rat GP2 in ELISA than either PAB-negative sera (n = 31), or sera from patients with ulcerative colitis (n = 49), or sera from blood donors (n = 69) (p&lt;0.0001, respectively). Twenty-eight (66%) and 18 (43%) of 42 PAB-positive sera demonstrated IgG and IgA reactivity to human recombinant GP2 in IIF, respectively. Patients with PAB-negative Crohn's disease (n = 31) were not reactive. GP2 mRNA transcription was significantly higher in colon biopsies from patients with Crohn's disease (n = 4) compared to patients with ulcerative colitis (n = 4) (p = 0.0286). Immunochemical staining confirmed GP2 expression in human colon biopsies from patients with Crohn's disease. CONCLUSION Anti-GP2 autoantibodies constitute novel Crohn's disease-specific markers, the quantification of which could significantly improve the serological diagnosis of IBD. The expression of GP2 in human enterocytes suggests an important role for anti-GP2 response in the pathogenesis of Crohn's disease.","author":[{"dropping-particle":"","family":"Roggenbuck","given":"D","non-dropping-particle":"","parse-names":false,"suffix":""},{"dropping-particle":"","family":"Hausdorf","given":"G","non-dropping-particle":"","parse-names":false,"suffix":""},{"dropping-particle":"","family":"Martinez-Gamboa","given":"L","non-dropping-particle":"","parse-names":false,"suffix":""},{"dropping-particle":"","family":"Reinhold","given":"D","non-dropping-particle":"","parse-names":false,"suffix":""},{"dropping-particle":"","family":"Büttner","given":"T","non-dropping-particle":"","parse-names":false,"suffix":""},{"dropping-particle":"","family":"Jungblut","given":"P R","non-dropping-particle":"","parse-names":false,"suffix":""},{"dropping-particle":"","family":"Porstmann","given":"T","non-dropping-particle":"","parse-names":false,"suffix":""},{"dropping-particle":"","family":"Laass","given":"M W","non-dropping-particle":"","parse-names":false,"suffix":""},{"dropping-particle":"","family":"Henker","given":"J","non-dropping-particle":"","parse-names":false,"suffix":""},{"dropping-particle":"","family":"Büning","given":"C","non-dropping-particle":"","parse-names":false,"suffix":""},{"dropping-particle":"","family":"Feist","given":"E","non-dropping-particle":"","parse-names":false,"suffix":""},{"dropping-particle":"","family":"Conrad","given":"K","non-dropping-particle":"","parse-names":false,"suffix":""}],"container-title":"Gut","id":"ITEM-3","issue":"12","issued":{"date-parts":[["2009","12","1"]]},"page":"1620-8","title":"Identification of GP2, the major zymogen granule membrane glycoprotein, as the autoantigen of pancreatic antibodies in Crohn's disease.","type":"article-journal","volume":"58"},"uris":["http://www.mendeley.com/documents/?uuid=c82ffa67-e9ea-3427-a545-59772317490a"]},{"id":"ITEM-4","itemData":{"DOI":"10.1097/MIB.0000000000000926","ISSN":"1536-4844","PMID":"27636380","abstract":"BACKGROUND Inflammatory bowel disease (IBD) is characterized by a chronic inflammation of the gut, partly driven by defects in the expression and function of pattern recognition receptors, including the IFI16 protein. Because this protein is a target for autoantibodies and its aberrant expression was reported in colonic mucosa from active patients with ulcerative colitis, we studied its expression and specific seroresponse in patients with IBD before and after infliximab (IFX) therapy. METHODS Anti-IFI16 antibodies (IgG and IgA subtypes) were measured in the sera of 74 patients with IBD: 48 patients with Crohn's disease (CD) and 26 patients with ulcerative colitis, prospectively harvested before and after IFX therapy. Anti-GP2 antibodies (both IgG and IgA subtypes) were also tested for comparison. The patient antibody statuses were qualitatively and quantitatively associated with disease phenotype and response to IFX therapy. RESULTS Significantly higher titers of anti-IFI16 IgG were found in both CD and ulcerative colitis patients compared with healthy controls. Anti-IFI16 IgA titers were also present in patients with CD. Anti-GP2 IgG subtype titers were significantly increased in patients with CD, as were IgA subtype titers. Significant changes in anti-IFI16 IgG subtype titers were observed after IFX in patients with CD who correlated with clinical remission or response. CONCLUSIONS Our results highlight the importance of IFI16 in IBD pathogenesis showing that its de novo overexpression in the gut epithelial cells leads to a breakdown in immune tolerance and the subsequent development of specific autoantibodies. Anti-IFI16 IgG antibodies hold the potential to serve as a biomarker of response to IFX therapy.","author":[{"dropping-particle":"","family":"Caneparo","given":"Valeria","non-dropping-particle":"","parse-names":false,"suffix":""},{"dropping-particle":"","family":"Pastorelli","given":"Luca","non-dropping-particle":"","parse-names":false,"suffix":""},{"dropping-particle":"","family":"Pisani","given":"Laura Francesca","non-dropping-particle":"","parse-names":false,"suffix":""},{"dropping-particle":"","family":"Bruni","given":"Barbara","non-dropping-particle":"","parse-names":false,"suffix":""},{"dropping-particle":"","family":"Prodam","given":"Flavia","non-dropping-particle":"","parse-names":false,"suffix":""},{"dropping-particle":"","family":"Boldorini","given":"Renzo","non-dropping-particle":"","parse-names":false,"suffix":""},{"dropping-particle":"","family":"Roggenbuck","given":"Dirk","non-dropping-particle":"","parse-names":false,"suffix":""},{"dropping-particle":"","family":"Vecchi","given":"Maurizio","non-dropping-particle":"","parse-names":false,"suffix":""},{"dropping-particle":"","family":"Landolfo","given":"Santo","non-dropping-particle":"","parse-names":false,"suffix":""},{"dropping-particle":"","family":"Gariglio","given":"Marisa","non-dropping-particle":"","parse-names":false,"suffix":""},{"dropping-particle":"","family":"Andrea","given":"Marco","non-dropping-particle":"De","parse-names":false,"suffix":""}],"container-title":"Inflammatory bowel diseases","id":"ITEM-4","issue":"12","issued":{"date-parts":[["2016","12"]]},"page":"2977-2987","title":"Distinct Anti-IFI16 and Anti-GP2 Antibodies in Inflammatory Bowel Disease and Their Variation with Infliximab Therapy.","type":"article-journal","volume":"22"},"uris":["http://www.mendeley.com/documents/?uuid=296539fe-2560-3ec0-b0dd-1c449dee0dc1"]},{"id":"ITEM-5","itemData":{"DOI":"10.1097/MIB.0000000000000936","ISSN":"1536-4844","PMID":"27753692","abstract":"BACKGROUND The presentation of Crohn's disease (CD) is heterogeneous and often leads to serious complications and need for surgery. We tested serum anti-zymogen granule glycoprotein 2 (GP2) antibodies, including its novel isoform alpha, for association with genetic variants, diagnosis, disease stratification, and prediction of CD courses in a combined cross-sectional and cohort study. METHODS Serum samples of 303 CD, 108 ulcerative colitis, 72 other inflammatory gastrointestinal diseases, and 206 controls without predominant gastrointestinal diseases controls (HC) were tested for the presence of Anti-GP2 and Anti-Saccharomyces cervisiae (ASCA) by enzyme-linked immunosorbent assay. Genetic analysis was performed using the Illumina Immunochip. RESULTS GP2 IgA and IgG had the highest discriminatory capability for CD versus ulcerative colitis and CD versus inflammatory gastrointestinal diseases. We identified an association of GP2 IgA and IgG each with 5 distinct single-nucleotide polymorphisms. Levels of anti-GP2 IgG were moderately associated with ileal disease location. Interestingly, both, anti-GP2 IgA and IgG were exclusively associated with the occurrence of stenosis and need for surgery, independently of disease location, but not with fistulizing CD, early disease onset or disease activity. ASCA IgG and IgA were qualitatively and quantitatively linked to CD, CD complications, and need for surgery. Increased levels of ASCA IgG and IgA and positivity for ASCA IgG, but neither levels nor positivity for GP2 IgG or IgA were predictive of the earlier occurrence of complications or surgery. CONCLUSIONS Anti-GP2 antibodies may aid as a tool for diagnosis and differentiation of CD and could indicate a more complicated CD course.","author":[{"dropping-particle":"","family":"Degenhardt","given":"Frauke","non-dropping-particle":"","parse-names":false,"suffix":""},{"dropping-particle":"","family":"Dirmeier","given":"Andrea","non-dropping-particle":"","parse-names":false,"suffix":""},{"dropping-particle":"","family":"Lopez","given":"Rocio","non-dropping-particle":"","parse-names":false,"suffix":""},{"dropping-particle":"","family":"Lang","given":"Sylvia","non-dropping-particle":"","parse-names":false,"suffix":""},{"dropping-particle":"","family":"Kunst","given":"Claudia","non-dropping-particle":"","parse-names":false,"suffix":""},{"dropping-particle":"","family":"Roggenbuck","given":"Dirk","non-dropping-particle":"","parse-names":false,"suffix":""},{"dropping-particle":"","family":"Reinhold","given":"Dirk","non-dropping-particle":"","parse-names":false,"suffix":""},{"dropping-particle":"","family":"Szymczak","given":"Silke","non-dropping-particle":"","parse-names":false,"suffix":""},{"dropping-particle":"","family":"Rogler","given":"Gerhard","non-dropping-particle":"","parse-names":false,"suffix":""},{"dropping-particle":"","family":"Klebl","given":"Frank","non-dropping-particle":"","parse-names":false,"suffix":""},{"dropping-particle":"","family":"Franke","given":"Andre","non-dropping-particle":"","parse-names":false,"suffix":""},{"dropping-particle":"","family":"Rieder","given":"Florian","non-dropping-particle":"","parse-names":false,"suffix":""}],"container-title":"Inflammatory bowel diseases","id":"ITEM-5","issue":"11","issued":{"date-parts":[["2016","11"]]},"page":"2648-2657","title":"Serologic Anti-GP2 Antibodies Are Associated with Genetic Polymorphisms, Fibrostenosis, and Need for Surgical Resection in Crohn's Disease.","type":"article-journal","volume":"22"},"uris":["http://www.mendeley.com/documents/?uuid=0b53a7a7-223a-3fdf-8643-eb7481531624"]},{"id":"ITEM-6","itemData":{"DOI":"10.1186/1471-230X-12-102","ISSN":"1471-230X","PMID":"22866900","abstract":"BACKGROUND Glycoprotein 2 (GP2) was discovered as the major autoantigen of Crohn's disease (CD)-specific pancreatic autoantibodies (PAB). We investigated anti-GP2 IgA and IgG antibodies as novel serological parameters in CD and assessed their association with distinct disease phenotypes. METHODS Anti-GP2 and anti-Saccharomyces cerevisiae (ASCA) IgA and IgG were detected by ELISA employing recombinant human GP2 and phosphopeptidomannan, respectively and PAB by indirect immunofluorescence (IIF) in 271 sera, 169 with CD and 102 with ulcerative colitis (UC). As healthy controls 160 adult blood donors and 65 children were included. RESULTS Anti-GP2 IgG and/or IgA were more prevalent in CD (51/169, 30.2%) than in UC (9/102, 8.9%) patients and in controls (9/225, 4%)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0.001 respectively). ASCA IgG and/or IgA were present in 60/169 (35.5%) in CD and in 7/102 (6.9%) in UC patients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0.001). CD patients with ileocolonic location (L3) showed a significantly higher prevalence of anti-GP2 and ASCA IgA and/or IgG (40/113 and 48/113, respectively;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0.05 for both comparisons), whereas CD patients with colonic location (L2) revealed a significantly diminished prevalence for these autoantibody specificities (2/32 and 5/32, respectively,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0.05 for both). Anti-GP2 IgG were significantly more prevalent in CD patients with stricturing behaviour (B2) and perianal disease (7/11,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0.02) and less prevalent in those with penetrating behaviour (B3) and perianal disease (4/31,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0.05). The occurrence of anti-GP2 IgA and/or IgG was significantly more prevalent in CD patients with age at diagnosis of ≤16</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years (16/31,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0.009). Prevalence of one or more anti-GP2 or ASCA IgA and/or IgG was significantly higher in L3, B2, and A1 and lower in L2 (68/113, 27/41, 23/31, 6/32; p</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&lt;</w:instrText>
      </w:r>
      <w:r w:rsidR="008E3016" w:rsidRPr="008E3F16">
        <w:rPr>
          <w:rFonts w:ascii="MS Gothic" w:eastAsia="MS Gothic" w:hAnsi="MS Gothic" w:cs="MS Gothic" w:hint="eastAsia"/>
          <w:color w:val="000000" w:themeColor="text1"/>
          <w:lang w:val="en-US"/>
        </w:rPr>
        <w:instrText> </w:instrText>
      </w:r>
      <w:r w:rsidR="008E3016" w:rsidRPr="008E3F16">
        <w:rPr>
          <w:rFonts w:ascii="Book Antiqua" w:hAnsi="Book Antiqua" w:cs="Arial"/>
          <w:color w:val="000000" w:themeColor="text1"/>
          <w:lang w:val="en-US"/>
        </w:rPr>
        <w:instrText>0.04, respectively). CONCLUSIONS Anti-GP2 IgG and IgA, constituting novel CD specific autoantibodies, appear to be associated with distinct disease phenotypes identifying patients at a younger age, with ileocolonic location, and stricturing behaviour with perianal disease.","author":[{"dropping-particle":"","family":"Bogdanos","given":"Dimitrios P","non-dropping-particle":"","parse-names":false,"suffix":""},{"dropping-particle":"","family":"Roggenbuck","given":"Dirk","non-dropping-particle":"","parse-names":false,"suffix":""},{"dropping-particle":"","family":"Reinhold","given":"Dirk","non-dropping-particle":"","parse-names":false,"suffix":""},{"dropping-particle":"","family":"Wex","given":"Thomas","non-dropping-particle":"","parse-names":false,"suffix":""},{"dropping-particle":"","family":"Pavlidis","given":"Polychronis","non-dropping-particle":"","parse-names":false,"suffix":""},{"dropping-particle":"","family":"Arnim","given":"Ulrike","non-dropping-particle":"von","parse-names":false,"suffix":""},{"dropping-particle":"","family":"Malfertheiner","given":"Peter","non-dropping-particle":"","parse-names":false,"suffix":""},{"dropping-particle":"","family":"Forbes","given":"Alastair","non-dropping-particle":"","parse-names":false,"suffix":""},{"dropping-particle":"","family":"Conrad","given":"Karsten","non-dropping-particle":"","parse-names":false,"suffix":""},{"dropping-particle":"","family":"Laass","given":"Martin W","non-dropping-particle":"","parse-names":false,"suffix":""}],"container-title":"BMC gastroenterology","id":"ITEM-6","issue":"1","issued":{"date-parts":[["2012","8","6"]]},"page":"102","title":"Pancreatic-specific autoantibodies to glycoprotein 2 mirror disease location and behaviour in younger patients with Crohn's disease.","type":"article-journal","volume":"12"},"uris":["http://www.mendeley.com/documents/?uuid=cae9d9ee-272a-3aac-a9f4-fb15b91f3e74"]},{"id":"ITEM-7","itemData":{"DOI":"10.1097/MIB.0000000000001159","ISSN":"1536-4844","PMID":"28691939","abstract":"BACKGROUND Anti-Glycoprotein 2 (GP2) antibodies are associated with a more complicated course of Crohn's disease (CD) in adults. Four different GP2 isoforms with different length and antibody-binding sites have been identified so far but not been explored in serological studies. We aimed to investigate the diagnostic utility of autoantibodies against all 4 isoforms of GP2 in an exclusively pediatric population for the first time. METHODS We included 278 children and adolescents with inflammatory bowel disease: 164 with CD, 114 with ulcerative colitis, 83 disease controls (acute gastrointestinal infection, nonspecific gastrointestinal functional disorders), and 219 healthy controls. Sera were tested for anti-GP2 antibodies using 4 different isoforms of GP2 for anti-Saccharomyces cerevisiae antibodies, antineutrophil cytoplasmic antibodies, and pancreatic antibodies. RESULTS Anti-GP2 antibodies were significantly more prevalent in patients with CD than in ulcerative colitis and controls. We found a sensitivity of 38% (with a specificity of 95%) for anti-GP2 IgG against isoform 4 in CD. Anti-GP2 IgA against isoform 1 and anti-GP2 IgG against isoform 4 possessed the best diagnostic values for identification of CD. For the differentiation of CD from ulcerative colitis anti-GP2 IgG against isoforms 3 and 4 proved to be most accurate markers. Anti-GP2 antibodies were associated with a more complicated disease behavior and bowel surgery in CD. In a subgroup of patients with CD, anti-GP2 IgG against isoform 4 proved to be a relatively stable marker over time independent of disease activity. CONCLUSIONS Anti-GP2 antibodies against different isoforms are specific markers for CD and for different phenotypes in pediatric inflammatory bowel disease.","author":[{"dropping-particle":"","family":"Röber","given":"Nadja","non-dropping-particle":"","parse-names":false,"suffix":""},{"dropping-particle":"","family":"Noß","given":"Lydia","non-dropping-particle":"","parse-names":false,"suffix":""},{"dropping-particle":"","family":"Goihl","given":"Alexander","non-dropping-particle":"","parse-names":false,"suffix":""},{"dropping-particle":"","family":"Reinhold","given":"Dirk","non-dropping-particle":"","parse-names":false,"suffix":""},{"dropping-particle":"","family":"Jahn","given":"Josefine","non-dropping-particle":"","parse-names":false,"suffix":""},{"dropping-particle":"","family":"Laffolie","given":"Jan","non-dropping-particle":"de","parse-names":false,"suffix":""},{"dropping-particle":"","family":"Johannes","given":"Wolf","non-dropping-particle":"","parse-names":false,"suffix":""},{"dropping-particle":"","family":"Flemming","given":"Gunter M","non-dropping-particle":"","parse-names":false,"suffix":""},{"dropping-particle":"","family":"Roggenbuck","given":"Dirk","non-dropping-particle":"","parse-names":false,"suffix":""},{"dropping-particle":"","family":"Conrad","given":"Karsten","non-dropping-particle":"","parse-names":false,"suffix":""},{"dropping-particle":"","family":"Laass","given":"Martin W","non-dropping-particle":"","parse-names":false,"suffix":""}],"container-title":"Inflammatory bowel diseases","id":"ITEM-7","issue":"9","issued":{"date-parts":[["2017","9"]]},"page":"1624-1636","title":"Autoantibodies Against Glycoprotein 2 Isoforms in Pediatric Patients with Inflammatory Bowel Disease.","type":"article-journal","volume":"23"},"uris":["http://www.mendeley.com/documents/?uuid=7aa3f6d3-884a-379f-8cb1-62b8e64206d5"]},{"id":"ITEM-8","itemData":{"DOI":"10.1038/ctg.2018.1","ISSN":"2155-384X","PMID":"29446764","abstract":"OBJECTIVES There is an increasing need to identify reliable biomarkers for distinguishing Crohn's disease (CD) from other gastrointestinal disorders sharing similar clinical and pathological features. This study aimed at evaluating the diagnostic potential of antibodies to zymogen granule glycoprotein GP2 (aGP2) in a large, well-defined Chinese cohort with a special focus on their role in discriminating CD from intestinal Behçet's disease (BD) and intestinal tubercolosis (ITB). METHODS A total of 577 subjects were prospectively enrolled, including 171 patients with CD, 208 patients with ulcerative colitis (UC), 71 with BD, 57 with ITB and 70 healthy controls (HC). aGP2 and anti-Saccharomyces cerevisiae antibodies (ASCA) were determined by ELISA. Perinuclear antineutrophil cytoplasmic antibodies were tested by indirect immunofluorescent assay. RESULTS aGP2 IgG and IgA levels were significantly elevated in patients with CD compared with those in patients with UC, intestinal BD, and ITB and HC. Conversely, ASCA IgG levels were not different between CD and intestinal BD patients, whereas ASCA IgA levels did not discriminate CD from intestinal BD and ITB patients. aGP2 IgA and IgG displayed a better assay performance (larger areas under the curve) over ASCA IgA and IgG in differentiating CD from disease controls (P&lt;0.05). ASCA IgA did not discriminate CD from disease controls. aGP2 IgA and/or IgG was significantly associated with penetrating disease (B3) and ileal CD (L1) (P&lt;0.05), whereas ASCA IgA and/or IgG was not. CONCLUSIONS In comparison with ASCA, aGP2 distinguishes CD from intestinal BD or ITB as disease controls more efficiently, aiding in the differential diagnosis of IBD.","author":[{"dropping-particle":"","family":"Zhang","given":"Shulan","non-dropping-particle":"","parse-names":false,"suffix":""},{"dropping-particle":"","family":"Luo","given":"Jing","non-dropping-particle":"","parse-names":false,"suffix":""},{"dropping-particle":"","family":"Wu","given":"Ziyan","non-dropping-particle":"","parse-names":false,"suffix":""},{"dropping-particle":"","family":"Roggenbuck","given":"Dirk","non-dropping-particle":"","parse-names":false,"suffix":""},{"dropping-particle":"","family":"Schierack","given":"Peter","non-dropping-particle":"","parse-names":false,"suffix":""},{"dropping-particle":"","family":"Reinhold","given":"Dirk","non-dropping-particle":"","parse-names":false,"suffix":""},{"dropping-particle":"","family":"Li","given":"Ji","non-dropping-particle":"","parse-names":false,"suffix":""},{"dropping-particle":"","family":"Zeng","given":"Xiaofeng","non-dropping-particle":"","parse-names":false,"suffix":""},{"dropping-particle":"","family":"Zhang","given":"Fengchun","non-dropping-particle":"","parse-names":false,"suffix":""},{"dropping-particle":"","family":"Qian","given":"Jiaming","non-dropping-particle":"","parse-names":false,"suffix":""},{"dropping-particle":"","family":"Li","given":"Yongzhe","non-dropping-particle":"","parse-names":false,"suffix":""}],"container-title":"Clinical and translational gastroenterology","id":"ITEM-8","issue":"2","issued":{"date-parts":[["2018","2","15"]]},"page":"e133","title":"Antibodies against glycoprotein 2 display diagnostic advantages over ASCA in distinguishing CD from intestinal tuberculosis and intestinal Behçet's disease.","type":"article-journal","volume":"9"},"uris":["http://www.mendeley.com/documents/?uuid=d0ca257a-84a4-38bf-8e74-d3f5b43880e2"]},{"id":"ITEM-9","itemData":{"DOI":"10.1093/ecco-jcc/jjv087","ISSN":"1873-9946","PMID":"25968583","abstract":"BACKGROUNDS Glycoprotein 2[GP2] and CUB zona pellucida-like domain 1[CUZD1] belong to protein families involved in gut innate immunity processes and have recently been identified as specific targets of anti-pancreatic autoantibodies [PAbs] in Crohn's disease[CD]. We aimed to determine the prognostic potential of novel target-specific PAbs regarding long-term disease course of an adult CD patient cohort. METHODS Sera of 458 consecutive well-characterised IBD patients from a single referral IBD centre were tested by enzyme-linked immunosorbent assay [ELISA] with isoform 4 of recombinant GP2 [anti-MZGP2 and anti-GP2 IgA/IgG] and indirect immunofluorescence test [IIFT] system with GP2 and CUZD1 expressing transfected HEK 293 cells [anti-rPAg2 and rPAg1 IgA/IgG]. Clinical data were available on complicated disease or surgical interventions as well as disease activity and medical treatment during the prospective follow-up [median, 108 months]. RESULTS Totals of 12.4% and 20.8% of CD patients were positive for IgA/IgG type of anti-GP2 and anti-CUZD1, respectively, with a significant difference compared with UC [p &lt; 0.01]. Antibody status was stable over time. Agreement among three different anti-GP2 assays was good. Positivity for PAbs, mainly IgA subtypes, predicted a faster progression towards complicated disease course. In Kaplan-Meier analysis, time to surgery or development of perianal disease was associated with anti-GP2 IgA [pLogRank &lt; 0.01] or anti-CUZD1 IgA [pLogRank &lt; 0.001] positivity, respectively. Anti-CUZD1 IgA remained an independent predictor in the multivariate Cox-regression model (hazard ratio [HR]: 3.43, 95% confidence interval [CI]: 1.68-7.02, p &lt; 0.001). CONCLUSIONS The present study has shown that specific PAbs [especially IgA subtype] predict complicated disease course including the development of perianal disease in CD.","author":[{"dropping-particle":"","family":"Papp","given":"Maria","non-dropping-particle":"","parse-names":false,"suffix":""},{"dropping-particle":"","family":"Sipeki","given":"Nora","non-dropping-particle":"","parse-names":false,"suffix":""},{"dropping-particle":"","family":"Tornai","given":"Tamas","non-dropping-particle":"","parse-names":false,"suffix":""},{"dropping-particle":"","family":"Altorjay","given":"Istvan","non-dropping-particle":"","parse-names":false,"suffix":""},{"dropping-particle":"","family":"Norman","given":"Gary L.","non-dropping-particle":"","parse-names":false,"suffix":""},{"dropping-particle":"","family":"Shums","given":"Zakera","non-dropping-particle":"","parse-names":false,"suffix":""},{"dropping-particle":"","family":"Roggenbuck","given":"Dirk","non-dropping-particle":"","parse-names":false,"suffix":""},{"dropping-particle":"","family":"Fechner","given":"Kai","non-dropping-particle":"","parse-names":false,"suffix":""},{"dropping-particle":"","family":"Stöcker","given":"Winfried","non-dropping-particle":"","parse-names":false,"suffix":""},{"dropping-particle":"","family":"Antal-Szalmas","given":"Peter","non-dropping-particle":"","parse-names":false,"suffix":""},{"dropping-particle":"","family":"Veres","given":"Gabor","non-dropping-particle":"","parse-names":false,"suffix":""},{"dropping-particle":"","family":"Lakatos","given":"Peter Laszlo","non-dropping-particle":"","parse-names":false,"suffix":""}],"container-title":"Journal of Crohn's and Colitis","id":"ITEM-9","issue":"8","issued":{"date-parts":[["2015","8"]]},"page":"659-668","title":"Rediscovery of the Anti-Pancreatic Antibodies and Evaluation of their Prognostic Value in a Prospective Clinical Cohort of Crohn’s Patients: The Importance of Specific Target Antigens [GP2 and CUZD1]","type":"article-journal","volume":"9"},"uris":["http://www.mendeley.com/documents/?uuid=8e5f0827-94c6-3db1-88c6-9bdbc72ea222"]},{"id":"ITEM-10","itemData":{"DOI":"10.1515/cclm-2015-0376","ISSN":"1437-4331","PMID":"26351932","abstract":"BACKGROUND Pancreatic autoantibodies (PAB) targeting GP2 and CUZD1 are Crohn's disease (CrD)-markers. The clinical significance of anti-GP2 antibodies has been assessed, but that of anti-CUZD1 remains elusive. The aim of the study was to assess the clinical utility of anti-CUZD1/anti-GP2 by novel cell-based indirect immunofluorescence (IIF) assays in CrD. METHODS A total of 212 CrD and 249 UC patients followed up at a London IBD centre were investigated to simultaneously detect PABs, anti-GP2 and anti-CUZD1 by IIF using primate pancreatic tissue, and HEK293 over-expressing CUZD1 or GP2. RESULTS Overall, 88 (41.5%) CrDs compared to 26 (10.4%) UCs (p&lt;0.001) tested positive for IgA and/or IgG anti-GP2 and/or anti-CUZD1 antibodies, while ASCA were found in 67.5% CrDs versus 19.2% UCs (p&lt;0.0001); ASCA and/or PAB (anti-GP2 or anti-CUZD1) were detected in 76% CrD versus 34% UC patients. IgG anti-GP2 antibodies were less prevalent in L2 phenotype (p=0.002) and more prevalent in patients with stricturing disease (p=0.0418), even when a higher cut-off (≥1000 RU) was used (p=0.0396). Also, anti-GP2 IgG positive CrD patients had younger age of disease onset. IgA and/or IgG ASCA and anti-GP2 IgG antibody positive CrDs had younger onset of disease (p&lt;0.0001), were more likely to have both ileal and colonic disease (p&lt;0.0001) and had more stricturing (p&lt;0.0001) than seronegative patients. Clinical correlates were not found for anti-CUZD1 positivity. CONCLUSIONS PAB testing increases ASCA's serological sensitivity for CrD. Anti-GP2 detection, in isolation or in combination with ASCA, stratify CrD patients who phenotypically are characterised by a much younger onset of disease, extensive and stricturing behaviour.","author":[{"dropping-particle":"","family":"Pavlidis","given":"Polychronis","non-dropping-particle":"","parse-names":false,"suffix":""},{"dropping-particle":"","family":"Komorowski","given":"Lars","non-dropping-particle":"","parse-names":false,"suffix":""},{"dropping-particle":"","family":"Teegen","given":"Bianca","non-dropping-particle":"","parse-names":false,"suffix":""},{"dropping-particle":"","family":"Liaskos","given":"Christos","non-dropping-particle":"","parse-names":false,"suffix":""},{"dropping-particle":"","family":"Koutsoumpas","given":"Andreas L","non-dropping-particle":"","parse-names":false,"suffix":""},{"dropping-particle":"","family":"Smyk","given":"Daniel S","non-dropping-particle":"","parse-names":false,"suffix":""},{"dropping-particle":"","family":"Perricone","given":"Carlo","non-dropping-particle":"","parse-names":false,"suffix":""},{"dropping-particle":"","family":"Mytilinaiou","given":"Maria G","non-dropping-particle":"","parse-names":false,"suffix":""},{"dropping-particle":"","family":"Stocker","given":"Winfried","non-dropping-particle":"","parse-names":false,"suffix":""},{"dropping-particle":"","family":"Forbes","given":"Alastair","non-dropping-particle":"","parse-names":false,"suffix":""},{"dropping-particle":"","family":"Bogdanos","given":"Dimitrios P","non-dropping-particle":"","parse-names":false,"suffix":""}],"container-title":"Clinical chemistry and laboratory medicine","id":"ITEM-10","issue":"2","issued":{"date-parts":[["2016","2","1"]]},"page":"249-56","title":"Diagnostic and clinical significance of Crohn's disease-specific pancreatic anti-GP2 and anti-CUZD1 antibodies.","type":"article-journal","volume":"54"},"uris":["http://www.mendeley.com/documents/?uuid=577c6c6c-f09e-3779-aa14-2a2a25239d40"]},{"id":"ITEM-11","itemData":{"DOI":"10.1016/j.cca.2014.12.010","ISSN":"00098981","PMID":"25512163","abstract":"BACKGROUND We developed a new IgA and IgG anti-MZGP2 antibody ELISAs based on recombinant isoform-4 of human zymogen granule protein-2 (GP2), which is the major autoantigen of Crohn's disease (CrD)-specific pancreatic autoantibodies and assessed their clinical relevance in the largest inflammatory bowel disease (IBD) cohort tested to date. METHODS 832 sera were studied, including 617 consecutive IBD patients from 323 CrD and 294 ulcerative colitis (UC) follow-up in a tertiary centre, and 112 pathological and 103 normal controls. RESULTS Sensitivity of IgA anti-MZGP2 for CrD in the IBD population was 15% and specificity was 98% (95, 99), while the sensitivity and specificity of IgG anti-MZGP2 were 27% and 97%. IgA and IgG anti-MZGP2 combined testing led to a sensitivity of 31% and a specificity of 96%. Positivity for either ASCA (IgA or IgG) or anti-MZGP2 (IgA or IgG) showed a sensitivity of 75% (70, 80) and a specificity of 84% (79, 89). IgA anti-MZGP2 antibodies were more prevalent in CrD patients with early disease onset (p=0.011). Also, anti-MZGP2 positive patients more frequently had extensive disease with ileal involvement. Patients with longer disease duration were more likely to have IgG anti-MZGP2 antibodies. CONCLUSIONS Our novel ELISA confirms the high specificity of anti-MZGP2 antibodies for CrD and their association with disease severity phenotypes.","author":[{"dropping-particle":"","family":"Pavlidis","given":"Polychronis","non-dropping-particle":"","parse-names":false,"suffix":""},{"dropping-particle":"","family":"Shums","given":"Zakera","non-dropping-particle":"","parse-names":false,"suffix":""},{"dropping-particle":"","family":"Koutsoumpas","given":"Andreas L.","non-dropping-particle":"","parse-names":false,"suffix":""},{"dropping-particle":"","family":"Milo","given":"Jay","non-dropping-particle":"","parse-names":false,"suffix":""},{"dropping-particle":"","family":"Papp","given":"Maria","non-dropping-particle":"","parse-names":false,"suffix":""},{"dropping-particle":"","family":"Umemura","given":"Takeji","non-dropping-particle":"","parse-names":false,"suffix":""},{"dropping-particle":"","family":"Lakatos","given":"Peter L.","non-dropping-particle":"","parse-names":false,"suffix":""},{"dropping-particle":"","family":"Smyk","given":"Daniel S.","non-dropping-particle":"","parse-names":false,"suffix":""},{"dropping-particle":"","family":"Bogdanos","given":"Dimitrios P.","non-dropping-particle":"","parse-names":false,"suffix":""},{"dropping-particle":"","family":"Forbes","given":"Alastair","non-dropping-particle":"","parse-names":false,"suffix":""},{"dropping-particle":"","family":"Norman","given":"Gary L.","non-dropping-particle":"","parse-names":false,"suffix":""}],"container-title":"Clinica Chimica Acta","id":"ITEM-11","issued":{"date-parts":[["2015","2","20"]]},"page":"176-181","title":"Diagnostic and clinical significance of Crohn's disease-specific anti-MZGP2 pancreatic antibodies by a novel ELISA","type":"article-journal","volume":"441"},"uris":["http://www.mendeley.com/documents/?uuid=d7a8bc7b-fb59-3c93-925d-44c90e4e081c"]},{"id":"ITEM-12","itemData":{"DOI":"10.1136/gut.2010.233148","ISSN":"0017-5749","PMID":"21193445","author":[{"dropping-particle":"","family":"Beéck","given":"Katrijn","non-dropping-particle":"Op De","parse-names":false,"suffix":""},{"dropping-particle":"","family":"Vermeire","given":"Séverine","non-dropping-particle":"","parse-names":false,"suffix":""},{"dropping-particle":"","family":"Rutgeerts","given":"Paul","non-dropping-particle":"","parse-names":false,"suffix":""},{"dropping-particle":"","family":"Bossuyt","given":"Xavier","non-dropping-particle":"","parse-names":false,"suffix":""}],"container-title":"Gut","id":"ITEM-12","issue":"1","issued":{"date-parts":[["2012","1"]]},"page":"162.3-164","title":"Antibodies to GP2, the major zymogen granule membrane glycoprotein, in inflammatory bowel diseases","type":"article-journal","volume":"61"},"uris":["http://www.mendeley.com/documents/?uuid=adfa91ac-e3b5-3161-9581-86e336622463"]},{"id":"ITEM-13","itemData":{"DOI":"10.1111/apt.15034","ISSN":"13652036","PMID":"30411391","abstract":"Background: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Therapeutics","id":"ITEM-13","issue":"11-12","issued":{"date-parts":[["2018","12","1"]]},"page":"1251-1259","publisher":"John Wiley &amp; Sons, Ltd (10.1111)","title":"Loss of tolerance to glycoprotein 2 isoforms 1 and 4 is associated with Crohn’s disease of the pouch","type":"article-journal","volume":"48"},"uris":["http://www.mendeley.com/documents/?uuid=413ef96f-4c6c-3af1-92b3-c49157b781d6"]}],"mendeley":{"formattedCitation":"&lt;sup&gt;[41,43,55,56,58,44,45,48,49,51–54]&lt;/sup&gt;","plainTextFormattedCitation":"[41,43,55,56,58,44,45,48,49,51–54]","previouslyFormattedCitation":"&lt;sup&gt;[41,43–48,50–53,56,57]&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008E3016" w:rsidRPr="008E3F16">
        <w:rPr>
          <w:rFonts w:ascii="Book Antiqua" w:hAnsi="Book Antiqua" w:cs="Arial"/>
          <w:noProof/>
          <w:color w:val="000000" w:themeColor="text1"/>
          <w:vertAlign w:val="superscript"/>
          <w:lang w:val="en-US"/>
        </w:rPr>
        <w:t>[41,43</w:t>
      </w:r>
      <w:r w:rsidR="00AD7D88" w:rsidRPr="008E3F16">
        <w:rPr>
          <w:rFonts w:ascii="Book Antiqua" w:hAnsi="Book Antiqua" w:cs="Arial"/>
          <w:noProof/>
          <w:color w:val="000000" w:themeColor="text1"/>
          <w:vertAlign w:val="superscript"/>
          <w:lang w:val="en-US"/>
        </w:rPr>
        <w:t>-45,</w:t>
      </w:r>
      <w:r w:rsidR="008E3016" w:rsidRPr="008E3F16">
        <w:rPr>
          <w:rFonts w:ascii="Book Antiqua" w:hAnsi="Book Antiqua" w:cs="Arial"/>
          <w:noProof/>
          <w:color w:val="000000" w:themeColor="text1"/>
          <w:vertAlign w:val="superscript"/>
          <w:lang w:val="en-US"/>
        </w:rPr>
        <w:t>48,49,51–5</w:t>
      </w:r>
      <w:r w:rsidR="00AD7D88" w:rsidRPr="008E3F16">
        <w:rPr>
          <w:rFonts w:ascii="Book Antiqua" w:hAnsi="Book Antiqua" w:cs="Arial"/>
          <w:noProof/>
          <w:color w:val="000000" w:themeColor="text1"/>
          <w:vertAlign w:val="superscript"/>
          <w:lang w:val="en-US"/>
        </w:rPr>
        <w:t>6,58,</w:t>
      </w:r>
      <w:r w:rsidR="008E3016" w:rsidRPr="008E3F16">
        <w:rPr>
          <w:rFonts w:ascii="Book Antiqua" w:hAnsi="Book Antiqua" w:cs="Arial"/>
          <w:noProof/>
          <w:color w:val="000000" w:themeColor="text1"/>
          <w:vertAlign w:val="superscript"/>
          <w:lang w:val="en-US"/>
        </w:rPr>
        <w:t>]</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out of 18 primary studies included in the systematic review either reporting direct funding by diagnostic kit manufacturers, receiving the kits for gratis, or including authors with kit-industry affiliations, this may partially explain the methodological mistakes detected in most DTA studies, either in the form of guidance throughout the study’s implementation, or in the form of statistical or interpretation advice provided by the kit industry. Although comparison between DTA studies with industry-related COI </w:t>
      </w:r>
      <w:r w:rsidR="003141F2"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those lacking any apparent industry-related COI did not differ in terms of anti-GP2 accuracy, further investigation is needed to investigate industry-related COI in DTA studies. It is well known that financial competing interests in industry-sponsored research often introduce bias into study design, analyses and interpretation of findings</w:t>
      </w:r>
      <w:r w:rsidR="00AD7D88" w:rsidRPr="008E3F16">
        <w:rPr>
          <w:rFonts w:ascii="Book Antiqua" w:hAnsi="Book Antiqua" w:cs="Arial"/>
          <w:color w:val="000000" w:themeColor="text1"/>
          <w:lang w:val="en-US"/>
        </w:rPr>
        <w:fldChar w:fldCharType="begin" w:fldLock="1"/>
      </w:r>
      <w:r w:rsidR="00AD7D88" w:rsidRPr="008E3F16">
        <w:rPr>
          <w:rFonts w:ascii="Book Antiqua" w:hAnsi="Book Antiqua" w:cs="Arial"/>
          <w:color w:val="000000" w:themeColor="text1"/>
          <w:lang w:val="en-US"/>
        </w:rPr>
        <w:instrText>ADDIN CSL_CITATION {"citationItems":[{"id":"ITEM-1","itemData":{"DOI":"10.1038/d41586-018-01420-8","ISSN":"0028-0836","PMID":"29388964","container-title":"Nature","id":"ITEM-1","issue":"7690","issued":{"date-parts":[["2018","2","1"]]},"page":"6-6","title":"Nature journals tighten rules on non-financial conflicts","type":"article-journal","volume":"554"},"uris":["http://www.mendeley.com/documents/?uuid=523b218d-1c44-30da-85e5-4058a6fedbe4"]}],"mendeley":{"formattedCitation":"&lt;sup&gt;[67]&lt;/sup&gt;","plainTextFormattedCitation":"[67]","previouslyFormattedCitation":"&lt;sup&gt;[67]&lt;/sup&gt;"},"properties":{"noteIndex":0},"schema":"https://github.com/citation-style-language/schema/raw/master/csl-citation.json"}</w:instrText>
      </w:r>
      <w:r w:rsidR="00AD7D88" w:rsidRPr="008E3F16">
        <w:rPr>
          <w:rFonts w:ascii="Book Antiqua" w:hAnsi="Book Antiqua" w:cs="Arial"/>
          <w:color w:val="000000" w:themeColor="text1"/>
          <w:lang w:val="en-US"/>
        </w:rPr>
        <w:fldChar w:fldCharType="separate"/>
      </w:r>
      <w:r w:rsidR="00AD7D88" w:rsidRPr="008E3F16">
        <w:rPr>
          <w:rFonts w:ascii="Book Antiqua" w:hAnsi="Book Antiqua" w:cs="Arial"/>
          <w:noProof/>
          <w:color w:val="000000" w:themeColor="text1"/>
          <w:vertAlign w:val="superscript"/>
          <w:lang w:val="en-US"/>
        </w:rPr>
        <w:t>[67]</w:t>
      </w:r>
      <w:r w:rsidR="00AD7D88"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as observed herein. Fairly recently, it was suggested that in several cases the industry might be involved in overdiagnosis</w:t>
      </w:r>
      <w:r w:rsidR="00A43E8A"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due to underlying financial profits</w:t>
      </w:r>
      <w:r w:rsidRPr="008E3F16">
        <w:rPr>
          <w:rFonts w:ascii="Book Antiqua" w:hAnsi="Book Antiqua" w:cs="Arial"/>
          <w:color w:val="000000" w:themeColor="text1"/>
          <w:lang w:val="en-US"/>
        </w:rPr>
        <w:fldChar w:fldCharType="begin" w:fldLock="1"/>
      </w:r>
      <w:r w:rsidR="00BB6AD9" w:rsidRPr="008E3F16">
        <w:rPr>
          <w:rFonts w:ascii="Book Antiqua" w:hAnsi="Book Antiqua" w:cs="Arial"/>
          <w:color w:val="000000" w:themeColor="text1"/>
          <w:lang w:val="en-US"/>
        </w:rPr>
        <w:instrText>ADDIN CSL_CITATION {"citationItems":[{"id":"ITEM-1","itemData":{"DOI":"10.1136/BMJ.K5056","ISSN":"0959-8138","PMID":"30518598","abstract":"The condition may be helping the baby milk industry to form relationships with the paediatric profession, finds Chris van Tulleken— with potential for harm to mothers and children\n\nAllergy to cow’s milk protein may be acting as a Trojan horse for the $50bn (£40bn; €44bn) global formula industry to forge relationships with healthcare professionals in the UK and around the world.1 Experts believe these relationships are harmful to the health of mothers and their children, creating a network of conflicted individuals and institutions that has wide ranging effects on research, policy, and guidelines. Potential overdiagnosis of the allergy can also have negative effects on breast feeding.\n\nBetween 2006 and 2016, prescriptions of specialist formula milks for infants with cow’s milk protein allergy (CMPA) increased by nearly 500% from 105</w:instrText>
      </w:r>
      <w:r w:rsidR="00BB6AD9" w:rsidRPr="008E3F16">
        <w:rPr>
          <w:rFonts w:ascii="MS Gothic" w:eastAsia="MS Gothic" w:hAnsi="MS Gothic" w:cs="MS Gothic" w:hint="eastAsia"/>
          <w:color w:val="000000" w:themeColor="text1"/>
          <w:lang w:val="en-US"/>
        </w:rPr>
        <w:instrText> </w:instrText>
      </w:r>
      <w:r w:rsidR="00BB6AD9" w:rsidRPr="008E3F16">
        <w:rPr>
          <w:rFonts w:ascii="Book Antiqua" w:hAnsi="Book Antiqua" w:cs="Arial"/>
          <w:color w:val="000000" w:themeColor="text1"/>
          <w:lang w:val="en-US"/>
        </w:rPr>
        <w:instrText>029 to over 600</w:instrText>
      </w:r>
      <w:r w:rsidR="00BB6AD9" w:rsidRPr="008E3F16">
        <w:rPr>
          <w:rFonts w:ascii="MS Gothic" w:eastAsia="MS Gothic" w:hAnsi="MS Gothic" w:cs="MS Gothic" w:hint="eastAsia"/>
          <w:color w:val="000000" w:themeColor="text1"/>
          <w:lang w:val="en-US"/>
        </w:rPr>
        <w:instrText> </w:instrText>
      </w:r>
      <w:r w:rsidR="00BB6AD9" w:rsidRPr="008E3F16">
        <w:rPr>
          <w:rFonts w:ascii="Book Antiqua" w:hAnsi="Book Antiqua" w:cs="Arial"/>
          <w:color w:val="000000" w:themeColor="text1"/>
          <w:lang w:val="en-US"/>
        </w:rPr>
        <w:instrText>000 a year,2 while NHS spending on these products increased by nearly 700% from £8.1m to over £60m annually.3 Epidemiological data give no indication of such a large increase in true prevalence45—and the extensive links between the formula industry and the research, guidelines, medical education, and public awareness efforts around CMPA have raised the question of industry driven overdiagnosis.\n\nNigel Rollins from the World Health Organization’s department of maternal, newborn, child, and adolescent health tells The BMJ , “It’s reasonable to question whether these [prescription and spending] increases reflect a true increase in prevalence.”\n\nClinical guidelines propose two main types of CMPA,6789 which can overlap. Immunoglobulin E (IgE) mediated reactions have rapid onset symptoms and the diagnosis can be confirmed with testing. In non-IgE mediated CMPA, symptoms are slower onset and non-specific so diagnosis can be made only with a trial of dietary exclusion followed by reintroduction.9 Many clinicians who spoke to The BMJ are concerned that these …","author":[{"dropping-particle":"van","family":"Tulleken","given":"Chris","non-dropping-particle":"","parse-names":false,"suffix":""}],"container-title":"BMJ","id":"ITEM-1","issued":{"date-parts":[["2018","12","5"]]},"page":"k5056","publisher":"British Medical Journal Publishing Group","title":"Overdiagnosis and industry influence: how cow’s milk protein allergy is extending the reach of infant formula manufacturers","type":"article-journal","volume":"363"},"uris":["http://www.mendeley.com/documents/?uuid=0c320a1d-4239-39f4-b66e-d43f002dd634"]},{"id":"ITEM-2","itemData":{"DOI":"10.1136/bmjopen-2017-019027","ISSN":"2044-6055","PMID":"29440213","abstract":"OBJECTIVES To investigate patterns of industry-sponsored educational events that focus on specific health conditions for which there are concerns about overdiagnosis and overtreatment. DESIGN AND SETTING This retrospective cohort study examines publicly reported industry-sponsored events in Australia from October 2011 to September 2015 for three conditions potentially subject to overdiagnosis and overtreatment: depression, osteoporosis and overactive bladder. We used a database of transparency reports to identify events with a focus on depression, osteoporosis and overactive bladder and compared these with other sponsored events. We hypothesised that companies marketing treatments for each condition would sponsor related events and that target audiences would mainly work in primary care, reflecting a broad patient population. MAIN OUTCOME MEASURES Event and attendee characteristics, sponsoring companies, related marketed treatments, cost-effectiveness ratings and dispensing rates. RESULTS Over the study period, we identified 1567 events focusing on depression, 1375 on osteoporosis and 190 on overactive bladder (total n=3132, with 96</w:instrText>
      </w:r>
      <w:r w:rsidR="00BB6AD9" w:rsidRPr="008E3F16">
        <w:rPr>
          <w:rFonts w:ascii="MS Gothic" w:eastAsia="MS Gothic" w:hAnsi="MS Gothic" w:cs="MS Gothic" w:hint="eastAsia"/>
          <w:color w:val="000000" w:themeColor="text1"/>
          <w:lang w:val="en-US"/>
        </w:rPr>
        <w:instrText> </w:instrText>
      </w:r>
      <w:r w:rsidR="00BB6AD9" w:rsidRPr="008E3F16">
        <w:rPr>
          <w:rFonts w:ascii="Book Antiqua" w:hAnsi="Book Antiqua" w:cs="Arial"/>
          <w:color w:val="000000" w:themeColor="text1"/>
          <w:lang w:val="en-US"/>
        </w:rPr>
        <w:instrText>660 attendees). These events were attended by primary care doctors more often than sponsored events without a focus on these three conditions: relative risk (RR)=3.06 (95% CI 2.81 to 3.32) for depression, RR=1.48 (95% CI 1.41 to 1.55) for osteoporosis and RR=2.59 (95% CI 2.09 to 3.21) for overactive bladder. Servier, which markets agomelatine and AstraZeneca (quetiapine) sponsored 51.2% and 23.0% of depression events, respectively. Amgen and GlaxoSmithKline, which co-market denosumab, sponsored 49.5% of osteoporosis events and Astellas and Commonwealth Serum Laboratories (CSL) (mirabegron and solifenacin) sponsored 80.5% of overactive bladder events. CONCLUSIONS This 4-year overview of industry-sponsored events on three overdiagnosed and overtreated conditions found that primary care clinicians were often targeted, dinner was often provided and that a few companies sponsored most events. In most cases, sponsors' products are not cost-effective choices for the specified condition. This pattern highlights the need for professional education to be free of commercial sponsorship.","author":[{"dropping-particle":"","family":"Mintzes","given":"Barbara","non-dropping-particle":"","parse-names":false,"suffix":""},{"dropping-particle":"","family":"Swandari","given":"Swestika","non-dropping-particle":"","parse-names":false,"suffix":""},{"dropping-particle":"","family":"Fabbri","given":"Alice","non-dropping-particle":"","parse-names":false,"suffix":""},{"dropping-particle":"","family":"Grundy","given":"Quinn","non-dropping-particle":"","parse-names":false,"suffix":""},{"dropping-particle":"","family":"Moynihan","given":"Ray","non-dropping-particle":"","parse-names":false,"suffix":""},{"dropping-particle":"","family":"Bero","given":"Lisa","non-dropping-particle":"","parse-names":false,"suffix":""}],"container-title":"BMJ open","id":"ITEM-2","issue":"2","issued":{"date-parts":[["2018"]]},"page":"e019027","publisher":"BMJ Publishing Group","title":"Does industry-sponsored education foster overdiagnosis and overtreatment of depression, osteoporosis and over-active bladder syndrome? An Australian cohort study.","type":"article-journal","volume":"8"},"uris":["http://www.mendeley.com/documents/?uuid=bdbd0702-74b1-3ac4-b3e9-6946862b86f2"]}],"mendeley":{"formattedCitation":"&lt;sup&gt;[68,69]&lt;/sup&gt;","plainTextFormattedCitation":"[68,69]","previouslyFormattedCitation":"&lt;sup&gt;[68,69]&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[68,69]</w:t>
      </w:r>
      <w:r w:rsidRPr="008E3F16">
        <w:rPr>
          <w:rFonts w:ascii="Book Antiqua" w:hAnsi="Book Antiqua" w:cs="Arial"/>
          <w:color w:val="000000" w:themeColor="text1"/>
          <w:lang w:val="en-US"/>
        </w:rPr>
        <w:fldChar w:fldCharType="end"/>
      </w:r>
      <w:r w:rsidR="00522A2F"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Dakubo</w:t>
      </w:r>
      <w:r w:rsidR="00EF5562" w:rsidRPr="008E3F16">
        <w:rPr>
          <w:rFonts w:ascii="Book Antiqua" w:hAnsi="Book Antiqua" w:cs="Arial"/>
          <w:color w:val="000000" w:themeColor="text1"/>
          <w:lang w:val="en-US"/>
        </w:rPr>
        <w:t xml:space="preserve"> </w:t>
      </w:r>
      <w:r w:rsidR="00EF5562" w:rsidRPr="008E3F16">
        <w:rPr>
          <w:rFonts w:ascii="Book Antiqua" w:hAnsi="Book Antiqua" w:cs="Arial"/>
          <w:i/>
          <w:iCs/>
          <w:color w:val="000000" w:themeColor="text1"/>
          <w:lang w:val="en-US"/>
        </w:rPr>
        <w:t>et al</w:t>
      </w:r>
      <w:r w:rsidRPr="008E3F16">
        <w:rPr>
          <w:rFonts w:ascii="Book Antiqua" w:hAnsi="Book Antiqua" w:cs="Arial"/>
          <w:color w:val="000000" w:themeColor="text1"/>
          <w:lang w:val="en-US"/>
        </w:rPr>
        <w:fldChar w:fldCharType="begin" w:fldLock="1"/>
      </w:r>
      <w:r w:rsidR="00BB6AD9" w:rsidRPr="008E3F16">
        <w:rPr>
          <w:rFonts w:ascii="Book Antiqua" w:hAnsi="Book Antiqua" w:cs="Arial"/>
          <w:color w:val="000000" w:themeColor="text1"/>
          <w:lang w:val="en-US"/>
        </w:rPr>
        <w:instrText>ADDIN CSL_CITATION {"citationItems":[{"id":"ITEM-1","itemData":{"ISBN":"9783319015804","abstract":"This work presents the details of cancer biomarkers deployed for noninvasive diagnosis in 18 separate body fluids, as well as assessing their potential in the field of personalized cancer therapeutics and the prospects for coordinated regulatory validation. Preface; Contents; Chapter 1: Molecular Pathology of Cancer; Key Topics; 1.1 Introduction; 1.2 Functional Anatomy of the Cancer Cell; 1.3 History of Cancer Molecular Pathology; 1.4 Causes and Risk Factors of Cancer; 1.4.1 Infectious Causes of Cancer and Circulating Biomarkers; 1.5 The Biology of Cancer and Biomarkers; 1.6 Mutations as Cancer Biomarkers; 1.7 DNA Repair Mechanisms; 1.7.1 Direct Repair System; 1.7.2 Excision Repair; 1.7.2.1 Base-Excision Repair; 1.7.2.2 Nucleotide-Excision Repair; 1.7.2.3 Mismatch Repair; 1.7.3 Repair of Double-Strand Breaks. 1.8 Oncogene and Tumor Suppressor Gene Alterations as Biomarkers1.9 Cancer Signaling Pathway Alterations as Biomarkers; 1.9.1 The Receptor Tyrosine Kinase (RTK) Signaling Pathway; 1.9.2 The Phosphoinositide 3-Kinase (PI3K) Signaling Pathway; 1.9.3 The Mitogen-Activated Protein Kinase (MAPK) Signaling Pathway; 1.9.4 The Mesenchymal-Epithelial Transition (MET) Factor Signaling Pathway; 1.9.5 The Janus Kinase (JAK) Signaling Pathway; 1.9.6 The Transforming Growth Factor-Beta (TGFbeta) Signaling Pathway; 1.9.7 The Nuclear Factor-kB (NF-kB) Signaling Pathway; 1.9.8 Src Signaling in Cancer Invasion. 1.9.9 Control of the Cell Cycle1.9.10 Hypoxia-Inducible Factor Signaling; 1.9.11 The WNT/beta-Catenin Signaling Pathway; 1.9.12 The Hedgehog Signaling Pathway; 1.9.13 The Notch Signaling Pathway; 1.10 Cell Death Processes and Cancer; 1.10.1 Nomenclature for Cell Death Processes; 1.10.2 Apoptosis; 1.10.3 Cancer Initiation as Defects in Apoptosis; 1.11 Multistep Carcinogenesis and Early Detection Cancer Biomarkers; 1.12 Personalized Cancer Care; 1.12.1 Nomenclature of Targeted Therapies; 1.12.2 Tests of Interest in Personalized Oncology; 1.13 Epigenetic Modifications and Cancer. 1.13.1 DNA Methylation1.13.2 Histone Modification; 1.13.3 The Cancer Cell Epigenome; 1.14 Genetic Alterations in Cancer; 1.14.1 Chromosomal Alterations; 1.14.1.1 Chromosomal Instability; 1.14.1.2 Microsatellite Alterations; 1.14.1.3 Gene Amplification; 1.14.1.4 Telomere Dysfunction; 1.14.2 Gene Mutations; 1.14.2.1 Cancer Genome Consortia; 1.15 The Cancer Cell Transcriptome; 1.16 The Proteome or Peptidome; 1.16.1 Serum Peptidome; 1.16.2 Serum vs. Plasma Proteomics; 1.16.3 Issues with Pro…","author":[{"dropping-particle":"","family":"Dakubo","given":"Gabriel D.","non-dropping-particle":"","parse-names":false,"suffix":""}],"id":"ITEM-1","issued":{"date-parts":[["2016"]]},"publisher":"Springer Nature","publisher-place":"Ontario, Canada","title":"Cancer biomarkers in body fluids : principles","type":"book"},"uris":["http://www.mendeley.com/documents/?uuid=6b7155a5-315d-4a4b-b603-4880b6b7f6ae","http://www.mendeley.com/documents/?uuid=8b7ace05-f00c-43ce-8b60-ce8a401fc4a2"]}],"mendeley":{"formattedCitation":"&lt;sup&gt;[70]&lt;/sup&gt;","plainTextFormattedCitation":"[70]","previouslyFormattedCitation":"&lt;sup&gt;[70]&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[70]</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was the first to identify industry financial interests as a major cause of overdiagnosis, however, to our knowledge, COIs in DTA research have never been evaluated, nor has the </w:t>
      </w:r>
      <w:r w:rsidR="00910283" w:rsidRPr="008E3F16">
        <w:rPr>
          <w:rFonts w:ascii="Book Antiqua" w:hAnsi="Book Antiqua" w:cs="Arial"/>
          <w:color w:val="000000" w:themeColor="text1"/>
          <w:lang w:val="en-US"/>
        </w:rPr>
        <w:t xml:space="preserve">overall </w:t>
      </w:r>
      <w:r w:rsidRPr="008E3F16">
        <w:rPr>
          <w:rFonts w:ascii="Book Antiqua" w:hAnsi="Book Antiqua" w:cs="Arial"/>
          <w:color w:val="000000" w:themeColor="text1"/>
          <w:lang w:val="en-US"/>
        </w:rPr>
        <w:t>influence of the industry. As many of the primary studies included herein failed to report any funding source</w:t>
      </w:r>
      <w:r w:rsidRPr="008E3F16">
        <w:rPr>
          <w:rFonts w:ascii="Book Antiqua" w:hAnsi="Book Antiqua" w:cs="Arial"/>
          <w:color w:val="000000" w:themeColor="text1"/>
          <w:lang w:val="en-US"/>
        </w:rPr>
        <w:fldChar w:fldCharType="begin" w:fldLock="1"/>
      </w:r>
      <w:r w:rsidR="008E3016" w:rsidRPr="008E3F16">
        <w:rPr>
          <w:rFonts w:ascii="Book Antiqua" w:hAnsi="Book Antiqua" w:cs="Arial"/>
          <w:color w:val="000000" w:themeColor="text1"/>
          <w:lang w:val="en-US"/>
        </w:rPr>
        <w:instrText>ADDIN CSL_CITATION {"citationItems":[{"id":"ITEM-1","itemData":{"DOI":"10.1097/MIB.0000000000001159","ISSN":"1536-4844","PMID":"28691939","abstract":"BACKGROUND Anti-Glycoprotein 2 (GP2) antibodies are associated with a more complicated course of Crohn's disease (CD) in adults. Four different GP2 isoforms with different length and antibody-binding sites have been identified so far but not been explored in serological studies. We aimed to investigate the diagnostic utility of autoantibodies against all 4 isoforms of GP2 in an exclusively pediatric population for the first time. METHODS We included 278 children and adolescents with inflammatory bowel disease: 164 with CD, 114 with ulcerative colitis, 83 disease controls (acute gastrointestinal infection, nonspecific gastrointestinal functional disorders), and 219 healthy controls. Sera were tested for anti-GP2 antibodies using 4 different isoforms of GP2 for anti-Saccharomyces cerevisiae antibodies, antineutrophil cytoplasmic antibodies, and pancreatic antibodies. RESULTS Anti-GP2 antibodies were significantly more prevalent in patients with CD than in ulcerative colitis and controls. We found a sensitivity of 38% (with a specificity of 95%) for anti-GP2 IgG against isoform 4 in CD. Anti-GP2 IgA against isoform 1 and anti-GP2 IgG against isoform 4 possessed the best diagnostic values for identification of CD. For the differentiation of CD from ulcerative colitis anti-GP2 IgG against isoforms 3 and 4 proved to be most accurate markers. Anti-GP2 antibodies were associated with a more complicated disease behavior and bowel surgery in CD. In a subgroup of patients with CD, anti-GP2 IgG against isoform 4 proved to be a relatively stable marker over time independent of disease activity. CONCLUSIONS Anti-GP2 antibodies against different isoforms are specific markers for CD and for different phenotypes in pediatric inflammatory bowel disease.","author":[{"dropping-particle":"","family":"Röber","given":"Nadja","non-dropping-particle":"","parse-names":false,"suffix":""},{"dropping-particle":"","family":"Noß","given":"Lydia","non-dropping-particle":"","parse-names":false,"suffix":""},{"dropping-particle":"","family":"Goihl","given":"Alexander","non-dropping-particle":"","parse-names":false,"suffix":""},{"dropping-particle":"","family":"Reinhold","given":"Dirk","non-dropping-particle":"","parse-names":false,"suffix":""},{"dropping-particle":"","family":"Jahn","given":"Josefine","non-dropping-particle":"","parse-names":false,"suffix":""},{"dropping-particle":"","family":"Laffolie","given":"Jan","non-dropping-particle":"de","parse-names":false,"suffix":""},{"dropping-particle":"","family":"Johannes","given":"Wolf","non-dropping-particle":"","parse-names":false,"suffix":""},{"dropping-particle":"","family":"Flemming","given":"Gunter M","non-dropping-particle":"","parse-names":false,"suffix":""},{"dropping-particle":"","family":"Roggenbuck","given":"Dirk","non-dropping-particle":"","parse-names":false,"suffix":""},{"dropping-particle":"","family":"Conrad","given":"Karsten","non-dropping-particle":"","parse-names":false,"suffix":""},{"dropping-particle":"","family":"Laass","given":"Martin W","non-dropping-particle":"","parse-names":false,"suffix":""}],"container-title":"Inflammatory bowel diseases","id":"ITEM-1","issue":"9","issued":{"date-parts":[["2017","9"]]},"page":"1624-1636","title":"Autoantibodies Against Glycoprotein 2 Isoforms in Pediatric Patients with Inflammatory Bowel Disease.","type":"article-journal","volume":"23"},"uris":["http://www.mendeley.com/documents/?uuid=7aa3f6d3-884a-379f-8cb1-62b8e64206d5"]},{"id":"ITEM-2","itemData":{"DOI":"10.1111/apt.15034","ISSN":"13652036","PMID":"30411391","abstract":"Background: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Therapeutics","id":"ITEM-2","issue":"11-12","issued":{"date-parts":[["2018","12","1"]]},"page":"1251-1259","publisher":"John Wiley &amp; Sons, Ltd (10.1111)","title":"Loss of tolerance to glycoprotein 2 isoforms 1 and 4 is associated with Crohn’s disease of the pouch","type":"article-journal","volume":"48"},"uris":["http://www.mendeley.com/documents/?uuid=413ef96f-4c6c-3af1-92b3-c49157b781d6"]},{"id":"ITEM-3","itemData":{"DOI":"10.1016/j.cca.2012.01.005","ISSN":"1873-3492","PMID":"22269156","author":[{"dropping-particle":"","family":"Bonaci-Nikolic","given":"Branka","non-dropping-particle":"","parse-names":false,"suffix":""},{"dropping-particle":"","family":"Spuran","given":"Milan","non-dropping-particle":"","parse-names":false,"suffix":""},{"dropping-particle":"","family":"Andrejevic","given":"Sladjana","non-dropping-particle":"","parse-names":false,"suffix":""},{"dropping-particle":"","family":"Nikolic","given":"Milos","non-dropping-particle":"","parse-names":false,"suffix":""}],"container-title":"Clinica chimica acta; international journal of clinical chemistry","id":"ITEM-3","issue":"7-8","issued":{"date-parts":[["2012","4","11"]]},"page":"822-3","title":"Autoantibodies to GP2, the major zymogen granule membrane glycoprotein, in patients with gluten-sensitive enteropathy: a possible serological trap.","type":"article-journal","volume":"413"},"uris":["http://www.mendeley.com/documents/?uuid=d097aba8-e43d-32a6-a76a-485aab3db298"]}],"mendeley":{"formattedCitation":"&lt;sup&gt;[42,44,53]&lt;/sup&gt;","plainTextFormattedCitation":"[42,44,53]","previouslyFormattedCitation":"&lt;sup&gt;[42,45,52]&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008E3016" w:rsidRPr="008E3F16">
        <w:rPr>
          <w:rFonts w:ascii="Book Antiqua" w:hAnsi="Book Antiqua" w:cs="Arial"/>
          <w:noProof/>
          <w:color w:val="000000" w:themeColor="text1"/>
          <w:vertAlign w:val="superscript"/>
          <w:lang w:val="en-US"/>
        </w:rPr>
        <w:t>[42,44,53]</w:t>
      </w:r>
      <w:r w:rsidRPr="008E3F16">
        <w:rPr>
          <w:rFonts w:ascii="Book Antiqua" w:hAnsi="Book Antiqua" w:cs="Arial"/>
          <w:color w:val="000000" w:themeColor="text1"/>
          <w:lang w:val="en-US"/>
        </w:rPr>
        <w:fldChar w:fldCharType="end"/>
      </w:r>
      <w:r w:rsidR="00522A2F"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it is highly likely that some might have received the diagnostic </w:t>
      </w:r>
      <w:r w:rsidRPr="008E3F16">
        <w:rPr>
          <w:rFonts w:ascii="Book Antiqua" w:hAnsi="Book Antiqua" w:cs="Arial"/>
          <w:color w:val="000000" w:themeColor="text1"/>
          <w:lang w:val="en-US"/>
        </w:rPr>
        <w:lastRenderedPageBreak/>
        <w:t xml:space="preserve">kits for gratis by the industry without reporting it, or without disclosing </w:t>
      </w:r>
      <w:r w:rsidR="00910283" w:rsidRPr="008E3F16">
        <w:rPr>
          <w:rFonts w:ascii="Book Antiqua" w:hAnsi="Book Antiqua" w:cs="Arial"/>
          <w:color w:val="000000" w:themeColor="text1"/>
          <w:lang w:val="en-US"/>
        </w:rPr>
        <w:t xml:space="preserve">relevant </w:t>
      </w:r>
      <w:r w:rsidRPr="008E3F16">
        <w:rPr>
          <w:rFonts w:ascii="Book Antiqua" w:hAnsi="Book Antiqua" w:cs="Arial"/>
          <w:color w:val="000000" w:themeColor="text1"/>
          <w:lang w:val="en-US"/>
        </w:rPr>
        <w:t>academia-industry funding.</w:t>
      </w:r>
    </w:p>
    <w:p w14:paraId="1CFCEB74" w14:textId="1FD81E6A" w:rsidR="00E82B0E" w:rsidRPr="008E3F16"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E3F16">
        <w:rPr>
          <w:rFonts w:ascii="Book Antiqua" w:hAnsi="Book Antiqua" w:cs="Arial"/>
          <w:color w:val="000000" w:themeColor="text1"/>
          <w:lang w:val="en-US"/>
        </w:rPr>
        <w:t>The variety of thresholds used in most studies to identify TP CD cases is yet another issue of concern. Given the high number of industry-related COI demonstrated in the primary DTA studies, one might argue that cut-offs are defined arbitrary, based on the expected TP prevalence in order to fulfill the minimum of positive and negative cases set by the College of American Pathologists</w:t>
      </w:r>
      <w:r w:rsidRPr="008E3F16">
        <w:rPr>
          <w:rFonts w:ascii="Book Antiqua" w:hAnsi="Book Antiqua" w:cs="Arial"/>
          <w:color w:val="000000" w:themeColor="text1"/>
          <w:lang w:val="en-US"/>
        </w:rPr>
        <w:fldChar w:fldCharType="begin" w:fldLock="1"/>
      </w:r>
      <w:r w:rsidR="001F7126" w:rsidRPr="008E3F16">
        <w:rPr>
          <w:rFonts w:ascii="Book Antiqua" w:hAnsi="Book Antiqua" w:cs="Arial"/>
          <w:color w:val="000000" w:themeColor="text1"/>
          <w:lang w:val="en-US"/>
        </w:rPr>
        <w:instrText>ADDIN CSL_CITATION {"citationItems":[{"id":"ITEM-1","itemData":{"DOI":"10.5858/arpa.2018-0410-ED","ISSN":"0003-9985","PMID":"30307747","author":[{"dropping-particle":"","family":"Thunnissen","given":"Erik","non-dropping-particle":"","parse-names":false,"suffix":""}],"container-title":"Archives of Pathology &amp; Laboratory Medicine","id":"ITEM-1","issue":"1","issued":{"date-parts":[["2019","1","11"]]},"page":"11-12","publisher":"the College of American Pathologists","title":"How to Validate Predictive Immunohistochemistry Testing in Pathology? A Practical Approach Exploiting the Heterogeneity of Programmed Death Ligand-1 Present in Non–Small Cell Lung Cancer","type":"article-journal","volume":"143"},"uris":["http://www.mendeley.com/documents/?uuid=19c8aba8-34ae-3c81-afdf-b7a5fa606832"]},{"id":"ITEM-2","itemData":{"DOI":"10.5858/arpa.2013-0610-CP","ISSN":"0003-9985","PMID":"24646069","abstract":"Context.— Laboratories must validate all assays before they can be used to test patient specimens, but currently there are no evidence-based guidelines regarding validation of immunohistochemical a...","author":[{"dropping-particle":"","family":"Fitzgibbons","given":"Patrick L.","non-dropping-particle":"","parse-names":false,"suffix":""},{"dropping-particle":"","family":"Bradley","given":"Linda A.","non-dropping-particle":"","parse-names":false,"suffix":""},{"dropping-particle":"","family":"Fatheree","given":"Lisa A.","non-dropping-particle":"","parse-names":false,"suffix":""},{"dropping-particle":"","family":"Alsabeh","given":"Randa","non-dropping-particle":"","parse-names":false,"suffix":""},{"dropping-particle":"","family":"Fulton","given":"Regan S.","non-dropping-particle":"","parse-names":false,"suffix":""},{"dropping-particle":"","family":"Goldsmith","given":"Jeffrey D.","non-dropping-particle":"","parse-names":false,"suffix":""},{"dropping-particle":"","family":"Haas","given":"Thomas S.","non-dropping-particle":"","parse-names":false,"suffix":""},{"dropping-particle":"","family":"Karabakhtsian","given":"Rouzan G.","non-dropping-particle":"","parse-names":false,"suffix":""},{"dropping-particle":"","family":"Loykasek","given":"Patti A.","non-dropping-particle":"","parse-names":false,"suffix":""},{"dropping-particle":"","family":"Marolt","given":"Monna J.","non-dropping-particle":"","parse-names":false,"suffix":""},{"dropping-particle":"","family":"Shen","given":"Steven S.","non-dropping-particle":"","parse-names":false,"suffix":""},{"dropping-particle":"","family":"Smith","given":"Anthony T.","non-dropping-particle":"","parse-names":false,"suffix":""},{"dropping-particle":"","family":"Swanson","given":"Paul E.","non-dropping-particle":"","parse-names":false,"suffix":""}],"container-title":"Archives of Pathology &amp; Laboratory Medicine","id":"ITEM-2","issue":"11","issued":{"date-parts":[["2014","11","19"]]},"page":"1432-1443","publisher":"the College of American Pathologists","title":"Principles of Analytic Validation of Immunohistochemical Assays: Guideline From the College of American Pathologists Pathology and Laboratory Quality Center","type":"article-journal","volume":"138"},"uris":["http://www.mendeley.com/documents/?uuid=3f082e17-8a6d-3789-afb4-463ee1d97f94"]}],"mendeley":{"formattedCitation":"&lt;sup&gt;[71,72]&lt;/sup&gt;","plainTextFormattedCitation":"[71,72]","previouslyFormattedCitation":"&lt;sup&gt;[71,72]&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[71,72]</w:t>
      </w:r>
      <w:r w:rsidRPr="008E3F16">
        <w:rPr>
          <w:rFonts w:ascii="Book Antiqua" w:hAnsi="Book Antiqua" w:cs="Arial"/>
          <w:color w:val="000000" w:themeColor="text1"/>
          <w:lang w:val="en-US"/>
        </w:rPr>
        <w:fldChar w:fldCharType="end"/>
      </w:r>
      <w:r w:rsidR="00522A2F"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Thus, it might be wise to report the diagnostic test thresholds in advance</w:t>
      </w:r>
      <w:r w:rsidR="00910283"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w:t>
      </w:r>
      <w:r w:rsidR="00910283" w:rsidRPr="008E3F16">
        <w:rPr>
          <w:rFonts w:ascii="Book Antiqua" w:hAnsi="Book Antiqua" w:cs="Arial"/>
          <w:color w:val="000000" w:themeColor="text1"/>
          <w:lang w:val="en-US"/>
        </w:rPr>
        <w:t xml:space="preserve">possibly </w:t>
      </w:r>
      <w:r w:rsidRPr="008E3F16">
        <w:rPr>
          <w:rFonts w:ascii="Book Antiqua" w:hAnsi="Book Antiqua" w:cs="Arial"/>
          <w:color w:val="000000" w:themeColor="text1"/>
          <w:lang w:val="en-US"/>
        </w:rPr>
        <w:t>in the form of a published protocol, before initiating a DTA study.</w:t>
      </w:r>
    </w:p>
    <w:p w14:paraId="2DE171EC" w14:textId="5EB3B4F0" w:rsidR="00E82B0E" w:rsidRPr="008E3F16"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In the present study we explored many potential sources of heterogeneity extensively and only the assay used to detect the anti-GP2 antibodies was associated with heterogeneity affecting the diagnostic accuracy of anti-GP2 IgG. The high degree of clinical heterogeneity exhibited in the primary DTA studies limits the possibility of making strong conclusions </w:t>
      </w:r>
      <w:r w:rsidR="00910283" w:rsidRPr="008E3F16">
        <w:rPr>
          <w:rFonts w:ascii="Book Antiqua" w:hAnsi="Book Antiqua" w:cs="Arial"/>
          <w:color w:val="000000" w:themeColor="text1"/>
          <w:lang w:val="en-US"/>
        </w:rPr>
        <w:t>regarding</w:t>
      </w:r>
      <w:r w:rsidRPr="008E3F16">
        <w:rPr>
          <w:rFonts w:ascii="Book Antiqua" w:hAnsi="Book Antiqua" w:cs="Arial"/>
          <w:color w:val="000000" w:themeColor="text1"/>
          <w:lang w:val="en-US"/>
        </w:rPr>
        <w:t xml:space="preserve"> the diagnostic performance </w:t>
      </w:r>
      <w:r w:rsidR="00910283" w:rsidRPr="008E3F16">
        <w:rPr>
          <w:rFonts w:ascii="Book Antiqua" w:hAnsi="Book Antiqua" w:cs="Arial"/>
          <w:color w:val="000000" w:themeColor="text1"/>
          <w:lang w:val="en-US"/>
        </w:rPr>
        <w:t xml:space="preserve">of </w:t>
      </w:r>
      <w:r w:rsidRPr="008E3F16">
        <w:rPr>
          <w:rFonts w:ascii="Book Antiqua" w:hAnsi="Book Antiqua" w:cs="Arial"/>
          <w:color w:val="000000" w:themeColor="text1"/>
          <w:lang w:val="en-US"/>
        </w:rPr>
        <w:t>anti-GP2 antibodies. Another issue which needs to be taken into account is the performance of this test in combination with other non-invasive tests</w:t>
      </w:r>
      <w:r w:rsidR="00910283"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such as fecal calprotectin and the ASCA, which are routinely used for the investigation of cases with a clinical suspicion of CD</w:t>
      </w:r>
      <w:r w:rsidRPr="008E3F16">
        <w:rPr>
          <w:rFonts w:ascii="Book Antiqua" w:hAnsi="Book Antiqua" w:cs="Arial"/>
          <w:color w:val="000000" w:themeColor="text1"/>
          <w:lang w:val="en-US"/>
        </w:rPr>
        <w:fldChar w:fldCharType="begin" w:fldLock="1"/>
      </w:r>
      <w:r w:rsidR="00BB6AD9" w:rsidRPr="008E3F16">
        <w:rPr>
          <w:rFonts w:ascii="Book Antiqua" w:hAnsi="Book Antiqua" w:cs="Arial"/>
          <w:color w:val="000000" w:themeColor="text1"/>
          <w:lang w:val="en-US"/>
        </w:rPr>
        <w:instrText>ADDIN CSL_CITATION {"citationItems":[{"id":"ITEM-1","itemData":{"DOI":"10.1136/gutjnl-2017-315545","ISSN":"0017-5749","PMID":"29437913","abstract":"OBJECTIVE Histological remission is being increasingly acknowledged as a therapeutic endpoint in patients with UC. The work hereafter described aimed to evaluate the concordance between three histological classification systems-Geboes Score (GS), Nancy Index (NI) and RobartsHistopathologyIndex (RHI), as well as to evaluate their association with the endoscopic outcomes and the faecal calprotectin (FC) levels. DESIGN Biopsy samples from 377 patients with UC were blindly evaluated using GS, NI and RHI. The results were compared with the patients' Mayo Endoscopic Score and FC levels. RESULT GS, NI and RHI have a good concordance concerning the distinction between patients in histological remission or activity. RHI was particularly close to NI, with 100% of all patients classified as being in remission with NI being identified as such with RHI and 100% of all patients classified as having activity with RHI being identified as such with NI. These scores could also predict the Mayo Endoscopic Score and the FC levels, with their sensitivity and specificity levels depending on the chosen cut-offs. Moreover, higher FC levels were statistically associated with the presence of neutrophils in the epithelium, as well as with ulceration or erosion of the intestinal mucosa. CONCLUSIONS GS, NI and RHI histopathological scoring systems are comparable in what concerns patients' stratification into histological remission/activity. Additionally, FC levels are increased when neutrophils are present in the epithelium and the intestinal mucosa has erosions or ulcers. The presence of neutrophils in the epithelium is, indeed, the main marker of histological activity.","author":[{"dropping-particle":"","family":"Magro","given":"Fernando","non-dropping-particle":"","parse-names":false,"suffix":""},{"dropping-particle":"","family":"Lopes","given":"Joanne","non-dropping-particle":"","parse-names":false,"suffix":""},{"dropping-particle":"","family":"Borralho","given":"Paula","non-dropping-particle":"","parse-names":false,"suffix":""},{"dropping-particle":"","family":"Lopes","given":"Susana","non-dropping-particle":"","parse-names":false,"suffix":""},{"dropping-particle":"","family":"Coelho","given":"Rosa","non-dropping-particle":"","parse-names":false,"suffix":""},{"dropping-particle":"","family":"Cotter","given":"José","non-dropping-particle":"","parse-names":false,"suffix":""},{"dropping-particle":"de","family":"Castro","given":"Francisca Dias","non-dropping-particle":"","parse-names":false,"suffix":""},{"dropping-particle":"de","family":"Sousa","given":"Helena Tavares","non-dropping-particle":"","parse-names":false,"suffix":""},{"dropping-particle":"","family":"Salgado","given":"Marta","non-dropping-particle":"","parse-names":false,"suffix":""},{"dropping-particle":"","family":"Andrade","given":"Patrícia","non-dropping-particle":"","parse-names":false,"suffix":""},{"dropping-particle":"","family":"Vieira","given":"Ana Isabel","non-dropping-particle":"","parse-names":false,"suffix":""},{"dropping-particle":"","family":"Figueiredo","given":"Pedro","non-dropping-particle":"","parse-names":false,"suffix":""},{"dropping-particle":"","family":"Caldeira","given":"Paulo","non-dropping-particle":"","parse-names":false,"suffix":""},{"dropping-particle":"","family":"Sousa","given":"A","non-dropping-particle":"","parse-names":false,"suffix":""},{"dropping-particle":"","family":"Duarte","given":"Maria A","non-dropping-particle":"","parse-names":false,"suffix":""},{"dropping-particle":"","family":"Ávila","given":"Filipa","non-dropping-particle":"","parse-names":false,"suffix":""},{"dropping-particle":"","family":"Silva","given":"João","non-dropping-particle":"","parse-names":false,"suffix":""},{"dropping-particle":"","family":"Moleiro","given":"Joana","non-dropping-particle":"","parse-names":false,"suffix":""},{"dropping-particle":"","family":"Mendes","given":"Sofia","non-dropping-particle":"","parse-names":false,"suffix":""},{"dropping-particle":"","family":"Giestas","given":"Sílvia","non-dropping-particle":"","parse-names":false,"suffix":""},{"dropping-particle":"","family":"Ministro","given":"Paula","non-dropping-particle":"","parse-names":false,"suffix":""},{"dropping-particle":"","family":"Sousa","given":"Paula","non-dropping-particle":"","parse-names":false,"suffix":""},{"dropping-particle":"","family":"Gonçalves","given":"Raquel","non-dropping-particle":"","parse-names":false,"suffix":""},{"dropping-particle":"","family":"Gonçalves","given":"Bruno","non-dropping-particle":"","parse-names":false,"suffix":""},{"dropping-particle":"","family":"Oliveira","given":"Ana","non-dropping-particle":"","parse-names":false,"suffix":""},{"dropping-particle":"","family":"Rosa","given":"Isadora","non-dropping-particle":"","parse-names":false,"suffix":""},{"dropping-particle":"","family":"Rodrigues","given":"Marta","non-dropping-particle":"","parse-names":false,"suffix":""},{"dropping-particle":"","family":"Chagas","given":"Cristina","non-dropping-particle":"","parse-names":false,"suffix":""},{"dropping-particle":"","family":"Dias","given":"Cláudia Camila","non-dropping-particle":"","parse-names":false,"suffix":""},{"dropping-particle":"","family":"Afonso","given":"Joana","non-dropping-particle":"","parse-names":false,"suffix":""},{"dropping-particle":"","family":"Geboes","given":"Karel","non-dropping-particle":"","parse-names":false,"suffix":""},{"dropping-particle":"","family":"Carneiro","given":"Fátima","non-dropping-particle":"","parse-names":false,"suffix":""},{"dropping-particle":"","family":"Portuguese IBD Study Group (GEDII)","given":"","non-dropping-particle":"","parse-names":false,"suffix":""}],"container-title":"Gut","id":"ITEM-1","issue":"4","issued":{"date-parts":[["2019","4"]]},"page":"594-603","title":"Comparison of different histological indexes in the assessment of UC activity and their accuracy regarding endoscopic outcomes and faecal calprotectin levels","type":"article-journal","volume":"68"},"uris":["http://www.mendeley.com/documents/?uuid=c3fe5769-ed4b-3df9-9eba-c0e3c7b1aed9"]},{"id":"ITEM-2","itemData":{"DOI":"10.1097/MPG.0000000000002358","ISSN":"0277-2116","PMID":"30964819","abstract":"OBJECTIVE Hirschsprung-associated enterocolitis (HAEC) is the most frequent complication in Hirschsprung disease (HSCR) patients. Currently HAEC is diagnosed clinically, leaving uncertainty in the diagnosis thereby potentially leading to over- or undertreatment of patients. The aim of this study was to identify immune biomarkers to aid in the diagnosis of HAEC. METHODS From 2012 to 2017, 43 children with HSCR enrolled in a multicenter study, underwent retrospective evaluation of their medical records, and questionnaire-directed parent interviews. HAEC status was determined using HAEC score with cutoff ≥4. Plasma was collected and analyzed by ELISA for the inflammatory bowel disease-associated antibodies: anti-Saccharomyces cerevisiae mannan antibodies (ASCA), outer membrane porin C (OmpC), CBir1, antineutrophil cytoplasmic antibodies. Data were analyzed using t test, univariate, multivariable, and binomial regression models. RESULTS Eighteen patients had at least 1 episode of HAEC, 25 had no history of HAEC. The HAEC and NO HAEC groups had similar median ages (3 years) and family histories of HSCR. The HAEC group showed markedly elevated ASCA IgA and OmpC antibody levels compared with the NO HAEC group, whereas CBir1 and antineutrophil cytoplasmic antibodies were similar between the groups. Both univariate and multivariable analysis revealed higher OmpC antibody levels associated with HAEC (odds ratio 1.39, confidence interval 1-1.92, P</w:instrText>
      </w:r>
      <w:r w:rsidR="00BB6AD9" w:rsidRPr="008E3F16">
        <w:rPr>
          <w:rFonts w:ascii="微软雅黑" w:eastAsia="微软雅黑" w:hAnsi="微软雅黑" w:cs="微软雅黑" w:hint="eastAsia"/>
          <w:color w:val="000000" w:themeColor="text1"/>
          <w:lang w:val="en-US"/>
        </w:rPr>
        <w:instrText> </w:instrText>
      </w:r>
      <w:r w:rsidR="00BB6AD9" w:rsidRPr="008E3F16">
        <w:rPr>
          <w:rFonts w:ascii="Book Antiqua" w:hAnsi="Book Antiqua" w:cs="Arial"/>
          <w:color w:val="000000" w:themeColor="text1"/>
          <w:lang w:val="en-US"/>
        </w:rPr>
        <w:instrText>=</w:instrText>
      </w:r>
      <w:r w:rsidR="00BB6AD9" w:rsidRPr="008E3F16">
        <w:rPr>
          <w:rFonts w:ascii="微软雅黑" w:eastAsia="微软雅黑" w:hAnsi="微软雅黑" w:cs="微软雅黑" w:hint="eastAsia"/>
          <w:color w:val="000000" w:themeColor="text1"/>
          <w:lang w:val="en-US"/>
        </w:rPr>
        <w:instrText> </w:instrText>
      </w:r>
      <w:r w:rsidR="00BB6AD9" w:rsidRPr="008E3F16">
        <w:rPr>
          <w:rFonts w:ascii="Book Antiqua" w:hAnsi="Book Antiqua" w:cs="Arial"/>
          <w:color w:val="000000" w:themeColor="text1"/>
          <w:lang w:val="en-US"/>
        </w:rPr>
        <w:instrText>0.048), whereas univariate analysis identified a trend toward elevated IgA and immunoglobulin G ASCA levels with HAEC. CONCLUSIONS We identified elevated OmpC and ASCA serum antibody levels in HAEC patients, and that increased OmpC antibody levels correlated with HAEC occurrence, suggesting HAEC and Crohn disease share gut microbial-host immune responses. These antibodies may serve as potential biomarkers for HAEC, although prospective study with larger sample size is needed.","author":[{"dropping-particle":"","family":"Frykman","given":"Philip K.","non-dropping-particle":"","parse-names":false,"suffix":""},{"dropping-particle":"","family":"Patel","given":"Deven C.","non-dropping-particle":"","parse-names":false,"suffix":""},{"dropping-particle":"","family":"Kim","given":"Sungjin","non-dropping-particle":"","parse-names":false,"suffix":""},{"dropping-particle":"","family":"Cheng","given":"Zhi","non-dropping-particle":"","parse-names":false,"suffix":""},{"dropping-particle":"","family":"Wester","given":"Tomas","non-dropping-particle":"","parse-names":false,"suffix":""},{"dropping-particle":"","family":"Nordenskjöld","given":"Agneta","non-dropping-particle":"","parse-names":false,"suffix":""},{"dropping-particle":"","family":"Kawaguchi","given":"Akemi","non-dropping-particle":"","parse-names":false,"suffix":""},{"dropping-particle":"","family":"Hui","given":"Thomas T.","non-dropping-particle":"","parse-names":false,"suffix":""},{"dropping-particle":"","family":"Ehrlich","given":"Peter F.","non-dropping-particle":"","parse-names":false,"suffix":""},{"dropping-particle":"","family":"Granström","given":"Anna L.","non-dropping-particle":"","parse-names":false,"suffix":""},{"dropping-particle":"","family":"Benliyan","given":"Filip","non-dropping-particle":"","parse-names":false,"suffix":""},{"dropping-particle":"","family":"HAEC Collaborative Research Group (HCRG)","given":"","non-dropping-particle":"","parse-names":false,"suffix":""}],"container-title":"Journal of Pediatric Gastroenterology and Nutrition","id":"ITEM-2","issued":{"date-parts":[["2019","4","1"]]},"page":"1","title":"Inflammatory Bowel Disease Serological Immune Markers Anti-Saccharomyces cerevisiae Mannan Antibodies and Outer Membrane Porin C are Potential Biomarkers for Hirschsprung-associated Enterocolitis","type":"article-journal"},"uris":["http://www.mendeley.com/documents/?uuid=2652ed0b-1c99-3347-92c1-5fc3407d57d0"]},{"id":"ITEM-3","itemData":{"DOI":"10.1136/bmjopen-2018-027428","ISSN":"2044-6055","PMID":"30852550","abstract":"OBJECTIVE Test accuracy of faecal calprotectin (FC) testing in primary care is inconclusive. We aimed to assess the test accuracy of FC testing in primary care and compare it to secondary care estimates for the detection of inflammatory bowel disease (IBD). METHODS Systematic review and meta-analysis of test accuracy using a bivariate random effects model. We searched MEDLINE, EMBASE, Cochrane Library and Web of Science until 31 May 2017 and included studies from auto alerts up until 31 January 2018. Eligible studies measured FC levels in stool samples to detect IBD in adult patients with chronic (at least 6-8 weeks) abdominal symptoms in primary or secondary care. Risk of bias and applicability were assessed using the Quality Assessment of Diagnostic Accuracy Studies-2 criteria. We followed the protocol registered as PROSPERO CRD 42012003287. RESULTS 38 out of 2168 studies were eligible including five from primary care. Comparison of test accuracy by setting was precluded by extensive heterogeneity. Overall, summary estimates of sensitivity and specificity were not recorded. At a threshold of 50</w:instrText>
      </w:r>
      <w:r w:rsidR="00BB6AD9" w:rsidRPr="008E3F16">
        <w:rPr>
          <w:rFonts w:ascii="MS Gothic" w:eastAsia="MS Gothic" w:hAnsi="MS Gothic" w:cs="MS Gothic" w:hint="eastAsia"/>
          <w:color w:val="000000" w:themeColor="text1"/>
          <w:lang w:val="en-US"/>
        </w:rPr>
        <w:instrText> </w:instrText>
      </w:r>
      <w:r w:rsidR="00BB6AD9" w:rsidRPr="008E3F16">
        <w:rPr>
          <w:rFonts w:ascii="Book Antiqua" w:hAnsi="Book Antiqua" w:cs="Arial"/>
          <w:color w:val="000000" w:themeColor="text1"/>
          <w:lang w:val="en-US"/>
        </w:rPr>
        <w:instrText>µg/g, sensitivity from separate meta-analysis of four assay types ranged from 0.85 (95% CI 0.75 to 0.92) to 0.94 (95% CI 0.75 to 0.90) and specificity from 0.67 (95% CI 0.56 to 0.76) to 0.88 (95% CI 0.77 to 0.94). Across three different definitions of disease, sensitivity ranged from 0.80 (95% CI 0.76 to 0.84) to 0.97 (95% CI 0.91 to 0.99) and specificity from 0.67 (95% CI 0.58 to 0.75) to 0.76 (95% CI 0.66 to 0.84). Sensitivity appears to be lower in primary care and is further reduced at a revised threshold of 100</w:instrText>
      </w:r>
      <w:r w:rsidR="00BB6AD9" w:rsidRPr="008E3F16">
        <w:rPr>
          <w:rFonts w:ascii="MS Gothic" w:eastAsia="MS Gothic" w:hAnsi="MS Gothic" w:cs="MS Gothic" w:hint="eastAsia"/>
          <w:color w:val="000000" w:themeColor="text1"/>
          <w:lang w:val="en-US"/>
        </w:rPr>
        <w:instrText> </w:instrText>
      </w:r>
      <w:r w:rsidR="00BB6AD9" w:rsidRPr="008E3F16">
        <w:rPr>
          <w:rFonts w:ascii="Book Antiqua" w:hAnsi="Book Antiqua" w:cs="Arial"/>
          <w:color w:val="000000" w:themeColor="text1"/>
          <w:lang w:val="en-US"/>
        </w:rPr>
        <w:instrText>µg/g. CONCLUSIONS Conclusive estimates of sensitivity and specificity of FC testing in primary care for the detection of IBD are still missing. There is insufficient evidence in the published literature to support the decision to introduce FC testing in primary care. Studies evaluating FC testing in an appropriate primary care setting are needed.","author":[{"dropping-particle":"","family":"Freeman","given":"Karoline","non-dropping-particle":"","parse-names":false,"suffix":""},{"dropping-particle":"","family":"Willis","given":"Brian H","non-dropping-particle":"","parse-names":false,"suffix":""},{"dropping-particle":"","family":"Fraser","given":"Hannah","non-dropping-particle":"","parse-names":false,"suffix":""},{"dropping-particle":"","family":"Taylor-Phillips","given":"Sian","non-dropping-particle":"","parse-names":false,"suffix":""},{"dropping-particle":"","family":"Clarke","given":"Aileen","non-dropping-particle":"","parse-names":false,"suffix":""}],"container-title":"BMJ open","id":"ITEM-3","issue":"3","issued":{"date-parts":[["2019","3","8"]]},"page":"e027428","publisher":"British Medical Journal Publishing Group","title":"Faecal calprotectin to detect inflammatory bowel disease: a systematic review and exploratory meta-analysis of test accuracy.","type":"article-journal","volume":"9"},"uris":["http://www.mendeley.com/documents/?uuid=8f580998-3855-3ab4-a6a7-ca9f3f463647"]}],"mendeley":{"formattedCitation":"&lt;sup&gt;[73–75]&lt;/sup&gt;","plainTextFormattedCitation":"[73–75]","previouslyFormattedCitation":"&lt;sup&gt;[73–75]&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[73–75]</w:t>
      </w:r>
      <w:r w:rsidRPr="008E3F16">
        <w:rPr>
          <w:rFonts w:ascii="Book Antiqua" w:hAnsi="Book Antiqua" w:cs="Arial"/>
          <w:color w:val="000000" w:themeColor="text1"/>
          <w:lang w:val="en-US"/>
        </w:rPr>
        <w:fldChar w:fldCharType="end"/>
      </w:r>
      <w:r w:rsidR="00522A2F" w:rsidRPr="008E3F16">
        <w:rPr>
          <w:rFonts w:ascii="Book Antiqua" w:hAnsi="Book Antiqua" w:cs="Arial"/>
          <w:color w:val="000000" w:themeColor="text1"/>
          <w:lang w:val="en-US"/>
        </w:rPr>
        <w:t>.</w:t>
      </w:r>
    </w:p>
    <w:p w14:paraId="3CDC27BA" w14:textId="0837A4B0" w:rsidR="00E82B0E" w:rsidRPr="008E3F16"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E3F16">
        <w:rPr>
          <w:rFonts w:ascii="Book Antiqua" w:hAnsi="Book Antiqua" w:cs="Arial"/>
          <w:color w:val="000000" w:themeColor="text1"/>
          <w:lang w:val="en-US"/>
        </w:rPr>
        <w:t>Undoubtedly, diagnostic tests can aid practitioners in the diagnostic process</w:t>
      </w:r>
      <w:r w:rsidRPr="008E3F16">
        <w:rPr>
          <w:rFonts w:ascii="Book Antiqua" w:hAnsi="Book Antiqua" w:cs="Arial"/>
          <w:color w:val="000000" w:themeColor="text1"/>
          <w:lang w:val="en-US"/>
        </w:rPr>
        <w:fldChar w:fldCharType="begin" w:fldLock="1"/>
      </w:r>
      <w:r w:rsidR="00BB6AD9" w:rsidRPr="008E3F16">
        <w:rPr>
          <w:rFonts w:ascii="Book Antiqua" w:hAnsi="Book Antiqua" w:cs="Arial"/>
          <w:color w:val="000000" w:themeColor="text1"/>
          <w:lang w:val="en-US"/>
        </w:rPr>
        <w:instrText>ADDIN CSL_CITATION {"citationItems":[{"id":"ITEM-1","itemData":{"DOI":"10.1136/BMJ.C1269","ISSN":"0959-8138","PMID":"20360221","abstract":"Objective To summarise available evidence on diagnostic tests that might help primary care physicians to identify patients with an increased risk for colorectal cancer among those consulting for non-acute lower abdominal symptoms.\n\nData sources PubMed, Embase, and reference screening.\n\nStudy eligibility criteria Studies were selected if the design was a diagnostic study; the patients were adults consulting because of non-acute lower abdominal symptoms; tests included signs, symptoms, blood tests, or faecal tests.\n\nStudy appraisal and synthesis methods Two reviewers independently assessed quality with a modified version of the QUADAS tool and extracted data. We present diagnostic two by two tables and pooled estimates of sensitivity and specificity. We refrained from pooling when there was considerable clinical or statistical heterogeneity.\n\nResults 47 primary diagnostic studies were included. Sensitivity was consistently high for age ≥50 (range 0.81-0.96, median 0.91), a referral guideline (0.80-0.94, 0.92), and immunochemical faeces tests (0.70-1.00, 0.95). Of these, only specificity of the faeces tests was good. Specificity was consistently high for family history (0.75-0.98, 0.91), weight loss (0.72-0.96, 0.89), and iron deficiency anaemia (0.83-0.95, 0.92), but all tests lacked sensitivity. None of these six tests was (sufficiently) studied in primary care.\n\nConclusions Although combinations of symptom and results of immunochemical faeces tests showed good diagnostic performance for colorectal cancer, evidence from primary care is lacking. High quality studies on their role in the diagnostic investigation of colorectal cancer in primary care are urgently needed.","author":[{"dropping-particle":"","family":"Jellema","given":"Petra","non-dropping-particle":"","parse-names":false,"suffix":""},{"dropping-particle":"van der","family":"Windt","given":"Daniëlle A W M","non-dropping-particle":"","parse-names":false,"suffix":""},{"dropping-particle":"","family":"Bruinvels","given":"David J","non-dropping-particle":"","parse-names":false,"suffix":""},{"dropping-particle":"","family":"Mallen","given":"Christian D","non-dropping-particle":"","parse-names":false,"suffix":""},{"dropping-particle":"van","family":"Weyenberg","given":"Stijn J B","non-dropping-particle":"","parse-names":false,"suffix":""},{"dropping-particle":"","family":"Mulder","given":"Chris J","non-dropping-particle":"","parse-names":false,"suffix":""},{"dropping-particle":"de","family":"Vet","given":"Henrica C W","non-dropping-particle":"","parse-names":false,"suffix":""}],"container-title":"BMJ","id":"ITEM-1","issued":{"date-parts":[["2010","4","1"]]},"page":"c1269","publisher":"British Medical Journal Publishing Group","title":"Value of symptoms and additional diagnostic tests for colorectal cancer in primary care: systematic review and meta-analysis","type":"article-journal","volume":"340"},"uris":["http://www.mendeley.com/documents/?uuid=409e4ac2-9d7c-354f-8987-9012662020dd"]}],"mendeley":{"formattedCitation":"&lt;sup&gt;[76]&lt;/sup&gt;","plainTextFormattedCitation":"[76]","previouslyFormattedCitation":"&lt;sup&gt;[76]&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[76]</w:t>
      </w:r>
      <w:r w:rsidRPr="008E3F16">
        <w:rPr>
          <w:rFonts w:ascii="Book Antiqua" w:hAnsi="Book Antiqua" w:cs="Arial"/>
          <w:color w:val="000000" w:themeColor="text1"/>
          <w:lang w:val="en-US"/>
        </w:rPr>
        <w:fldChar w:fldCharType="end"/>
      </w:r>
      <w:r w:rsidR="00522A2F"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It appears that identifying a sensitive test without misclassification of many false positives remains a challenge</w:t>
      </w:r>
      <w:r w:rsidRPr="008E3F16">
        <w:rPr>
          <w:rFonts w:ascii="Book Antiqua" w:hAnsi="Book Antiqua" w:cs="Arial"/>
          <w:color w:val="000000" w:themeColor="text1"/>
          <w:lang w:val="en-US"/>
        </w:rPr>
        <w:fldChar w:fldCharType="begin" w:fldLock="1"/>
      </w:r>
      <w:r w:rsidR="001F7126" w:rsidRPr="008E3F16">
        <w:rPr>
          <w:rFonts w:ascii="Book Antiqua" w:hAnsi="Book Antiqua" w:cs="Arial"/>
          <w:color w:val="000000" w:themeColor="text1"/>
          <w:lang w:val="en-US"/>
        </w:rPr>
        <w:instrText>ADDIN CSL_CITATION {"citationItems":[{"id":"ITEM-1","itemData":{"DOI":"10.1258/096914107781261927","ISSN":"0969-1413","PMID":"17626705","author":[{"dropping-particle":"","family":"Cole","given":"S R","non-dropping-particle":"","parse-names":false,"suffix":""},{"dropping-particle":"","family":"Smith","given":"A","non-dropping-particle":"","parse-names":false,"suffix":""},{"dropping-particle":"","family":"Wilson","given":"C","non-dropping-particle":"","parse-names":false,"suffix":""},{"dropping-particle":"","family":"Turnbull","given":"D","non-dropping-particle":"","parse-names":false,"suffix":""},{"dropping-particle":"","family":"Esterman","given":"A","non-dropping-particle":"","parse-names":false,"suffix":""},{"dropping-particle":"","family":"Young","given":"G P","non-dropping-particle":"","parse-names":false,"suffix":""}],"container-title":"Journal of Medical Screening","id":"ITEM-1","issue":"2","issued":{"date-parts":[["2007","6","24"]]},"page":"73-75","title":"An advance notification letter increases participation in colorectal cancer screening","type":"article-journal","volume":"14"},"uris":["http://www.mendeley.com/documents/?uuid=8e385449-be8b-3267-9823-8a41e0963270"]}],"mendeley":{"formattedCitation":"&lt;sup&gt;[77]&lt;/sup&gt;","plainTextFormattedCitation":"[77]","previouslyFormattedCitation":"&lt;sup&gt;[77]&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[77]</w:t>
      </w:r>
      <w:r w:rsidRPr="008E3F16">
        <w:rPr>
          <w:rFonts w:ascii="Book Antiqua" w:hAnsi="Book Antiqua" w:cs="Arial"/>
          <w:color w:val="000000" w:themeColor="text1"/>
          <w:lang w:val="en-US"/>
        </w:rPr>
        <w:fldChar w:fldCharType="end"/>
      </w:r>
      <w:r w:rsidR="00522A2F"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as most tests are imperfect and can only adjust disease probability</w:t>
      </w:r>
      <w:r w:rsidRPr="008E3F16">
        <w:rPr>
          <w:rFonts w:ascii="Book Antiqua" w:hAnsi="Book Antiqua" w:cs="Arial"/>
          <w:color w:val="000000" w:themeColor="text1"/>
          <w:lang w:val="en-US"/>
        </w:rPr>
        <w:fldChar w:fldCharType="begin" w:fldLock="1"/>
      </w:r>
      <w:r w:rsidR="00BB6AD9" w:rsidRPr="008E3F16">
        <w:rPr>
          <w:rFonts w:ascii="Book Antiqua" w:hAnsi="Book Antiqua" w:cs="Arial"/>
          <w:color w:val="000000" w:themeColor="text1"/>
          <w:lang w:val="en-US"/>
        </w:rPr>
        <w:instrText>ADDIN CSL_CITATION {"citationItems":[{"id":"ITEM-1","itemData":{"DOI":"10.1136/bmj.38915.558738.55","ISSN":"1756-1833","PMID":"16931846","abstract":"Much effort is directed towards optimising doctor-patient communication and avoiding misunderstandings. The language of everyday diagnostic reasoning as it routinely occurs among doctors in teaching hospitals could benefit from similar attention \n\nAlthough interest in evidence based medicine has increased in recent years, and it is taught in most medical schools, evidence based strategies have been adopted inconsistently into routine care.1 2 One aspect of evidence based medicine involves understanding the limitations of inherently imperfect diagnostic tests. Many trainees appreciate the concepts of sensitivity and specificity and learn how to combine the “art” of the history and physical exam (pre-test probability of disease) with the “science” of diagnostic testing (post-test probability of disease) without explicit use of quantitative probability theory. Nevertheless, it seems that quantitative reasoning is neither intuitive nor well understood. As diagnostic testing is a common and critical component of evaluating patients, it is worth considering whether the manner in which we verbally communicate these ideas may represent a fundamental (yet reparable) hindrance to diagnostic reasoning. We discuss common examples of diagnostic language that do not accurately reflect the underlying theory, and review the evidence for inadequate clinical application of bayesian strategies.\n\nAs trainees, we can all recall hearing pearls of wisdom conveyed in the form of: “Any patient presenting with this sign/symptom is assumed to have disease X until proved otherwise.” The common mnemonic “SPin/SNout” is used to indicate that positive results from specific tests rule in disease, while negative results from sensitive tests rule out disease. One may hear sensitivity or specificity discussed in isolation (“that test is so sensitive that a negative result rules out disease”) or, more commonly, of a test having good positive or negative predictive value. Certain findings are called “non-specific” because they manifest in multiple diseases. Although this language seems to …","author":[{"dropping-particle":"","family":"Bianchi","given":"Matt T","non-dropping-particle":"","parse-names":false,"suffix":""},{"dropping-particle":"","family":"Alexander","given":"Brian M","non-dropping-particle":"","parse-names":false,"suffix":""}],"container-title":"BMJ (Clinical research ed.)","id":"ITEM-1","issue":"7565","issued":{"date-parts":[["2006","8","26"]]},"page":"442-5","publisher":"British Medical Journal Publishing Group","title":"Evidence based diagnosis: does the language reflect the theory?","type":"article-journal","volume":"333"},"uris":["http://www.mendeley.com/documents/?uuid=2ad1d323-da3e-3b4e-9911-2cde725f865c"]}],"mendeley":{"formattedCitation":"&lt;sup&gt;[12]&lt;/sup&gt;","plainTextFormattedCitation":"[12]","previouslyFormattedCitation":"&lt;sup&gt;[12]&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[12]</w:t>
      </w:r>
      <w:r w:rsidRPr="008E3F16">
        <w:rPr>
          <w:rFonts w:ascii="Book Antiqua" w:hAnsi="Book Antiqua" w:cs="Arial"/>
          <w:color w:val="000000" w:themeColor="text1"/>
          <w:lang w:val="en-US"/>
        </w:rPr>
        <w:fldChar w:fldCharType="end"/>
      </w:r>
      <w:r w:rsidR="00522A2F"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Tests with low sensitivity and high specificity, like the anti-GP2, are better for population screening rather than for diagnosing patients</w:t>
      </w:r>
      <w:r w:rsidRPr="008E3F16">
        <w:rPr>
          <w:rFonts w:ascii="Book Antiqua" w:hAnsi="Book Antiqua" w:cs="Arial"/>
          <w:color w:val="000000" w:themeColor="text1"/>
          <w:lang w:val="en-US"/>
        </w:rPr>
        <w:fldChar w:fldCharType="begin" w:fldLock="1"/>
      </w:r>
      <w:r w:rsidR="001F7126" w:rsidRPr="008E3F16">
        <w:rPr>
          <w:rFonts w:ascii="Book Antiqua" w:hAnsi="Book Antiqua" w:cs="Arial"/>
          <w:color w:val="000000" w:themeColor="text1"/>
          <w:lang w:val="en-US"/>
        </w:rPr>
        <w:instrText>ADDIN CSL_CITATION {"citationItems":[{"id":"ITEM-1","itemData":{"DOI":"10.3389/fpubh.2017.00307","ISSN":"2296-2565","PMID":"29209603","abstract":"Within the context of screening tests, it is important to avoid misconceptions about sensitivity, specificity, and predictive values. In this article, therefore, foundations are first established concerning these metrics along with the first of several aspects of pliability that should be recognized in relation to those metrics. Clarification is then provided about the definitions of sensitivity, specificity, and predictive values and why researchers and clinicians can misunderstand and misrepresent them. Arguments are made that sensitivity and specificity should usually be applied only in the context of describing a screening test’s attributes relative to a reference standard; that predictive values are more appropriate and informative in actual screening contexts, but that sensitivity and specificity can be used for screening decisions about individual people if they are extremely high; that predictive values need not always be high and might be used to advantage by adjusting the sensitivity and specificity of screening tests; that, in screening contexts, researchers should provide information about all four metrics and how they were derived; and that, where necessary, consumers of health research should have the skills to interpret those metrics effectively for maximum benefit to clients and the healthcare system.","author":[{"dropping-particle":"","family":"Trevethan","given":"Robert","non-dropping-particle":"","parse-names":false,"suffix":""}],"container-title":"Frontiers in Public Health","id":"ITEM-1","issued":{"date-parts":[["2017","11","20"]]},"page":"307","publisher":"Frontiers","title":"Sensitivity, Specificity, and Predictive Values: Foundations, Pliabilities, and Pitfalls in Research and Practice","type":"article-journal","volume":"5"},"uris":["http://www.mendeley.com/documents/?uuid=c7ed79db-4154-3012-afdc-6b37c031125a"]},{"id":"ITEM-2","itemData":{"DOI":"10.1136/eb-2012-100645","ISSN":"1473-6810","PMID":"22740357","abstract":"A survey of doctors working in two large NHS hospitals identified over 120 laboratory tests, imaging investigations and investigational procedures that they considered not to be overused. A common suggestion in this survey was that more training was required. And, this prompted the development of a list of core principles for high-quality, high-value testing. The list can be used as a framework for training and as a reference source. The core principles are: (1) Base testing practices on the best available evidence. (2) Apply the evidence on test performance with careful judgement. (3) Test efficiently. (4) Consider the value (and affordability) of a test before requesting it. (5) Be aware of the downsides and drivers of overdiagnosis. (6) Confront uncertainties. (7) Be patient-centred in your approach. (8) Consider ethical issues. (9) Be aware of normal cognitive limitations and biases when testing. (10) Follow the 'knowledge journey' when teaching and learning these core principles.","author":[{"dropping-particle":"","family":"Power","given":"Michael","non-dropping-particle":"","parse-names":false,"suffix":""},{"dropping-particle":"","family":"Fell","given":"Greg","non-dropping-particle":"","parse-names":false,"suffix":""},{"dropping-particle":"","family":"Wright","given":"Michael","non-dropping-particle":"","parse-names":false,"suffix":""}],"container-title":"Evidence-based medicine","id":"ITEM-2","issue":"1","issued":{"date-parts":[["2013","2","1"]]},"page":"5-10","publisher":"Royal Society of Medicine","title":"Principles for high-quality, high-value testing.","type":"article-journal","volume":"18"},"uris":["http://www.mendeley.com/documents/?uuid=530582a8-55bc-3a95-bc4e-64d9b255fa75"]}],"mendeley":{"formattedCitation":"&lt;sup&gt;[62,63]&lt;/sup&gt;","plainTextFormattedCitation":"[62,63]","previouslyFormattedCitation":"&lt;sup&gt;[62,63]&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[62,63]</w:t>
      </w:r>
      <w:r w:rsidRPr="008E3F16">
        <w:rPr>
          <w:rFonts w:ascii="Book Antiqua" w:hAnsi="Book Antiqua" w:cs="Arial"/>
          <w:color w:val="000000" w:themeColor="text1"/>
          <w:lang w:val="en-US"/>
        </w:rPr>
        <w:fldChar w:fldCharType="end"/>
      </w:r>
      <w:r w:rsidR="00522A2F"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Additionally, it appears that given the methodological pitfalls demonstrated in most anti-GP2 DTA studies, high quality DTA cohort studies are </w:t>
      </w:r>
      <w:r w:rsidR="00910283" w:rsidRPr="008E3F16">
        <w:rPr>
          <w:rFonts w:ascii="Book Antiqua" w:hAnsi="Book Antiqua" w:cs="Arial"/>
          <w:color w:val="000000" w:themeColor="text1"/>
          <w:lang w:val="en-US"/>
        </w:rPr>
        <w:t>required</w:t>
      </w:r>
      <w:r w:rsidRPr="008E3F16">
        <w:rPr>
          <w:rFonts w:ascii="Book Antiqua" w:hAnsi="Book Antiqua" w:cs="Arial"/>
          <w:color w:val="000000" w:themeColor="text1"/>
          <w:lang w:val="en-US"/>
        </w:rPr>
        <w:t xml:space="preserve">, enrolling consecutive patients, presenting clinical and laboratory features akin to CD, where both the assay and the reference diagnosis will be performed in a double-blind manner, preferably without </w:t>
      </w:r>
      <w:r w:rsidR="00910283" w:rsidRPr="008E3F16">
        <w:rPr>
          <w:rFonts w:ascii="Book Antiqua" w:hAnsi="Book Antiqua" w:cs="Arial"/>
          <w:color w:val="000000" w:themeColor="text1"/>
          <w:lang w:val="en-US"/>
        </w:rPr>
        <w:t xml:space="preserve">the </w:t>
      </w:r>
      <w:r w:rsidRPr="008E3F16">
        <w:rPr>
          <w:rFonts w:ascii="Book Antiqua" w:hAnsi="Book Antiqua" w:cs="Arial"/>
          <w:color w:val="000000" w:themeColor="text1"/>
          <w:lang w:val="en-US"/>
        </w:rPr>
        <w:t>industry being involved at any step</w:t>
      </w:r>
      <w:r w:rsidR="00910283" w:rsidRPr="008E3F16">
        <w:rPr>
          <w:rFonts w:ascii="Book Antiqua" w:hAnsi="Book Antiqua" w:cs="Arial"/>
          <w:color w:val="000000" w:themeColor="text1"/>
          <w:lang w:val="en-US"/>
        </w:rPr>
        <w:t xml:space="preserve"> of the process</w:t>
      </w:r>
      <w:r w:rsidRPr="008E3F16">
        <w:rPr>
          <w:rFonts w:ascii="Book Antiqua" w:hAnsi="Book Antiqua" w:cs="Arial"/>
          <w:color w:val="000000" w:themeColor="text1"/>
          <w:lang w:val="en-US"/>
        </w:rPr>
        <w:t>, other than providing the relevant kits. As per CD diagnosis, we would have to agree with the European Crohn and Colitis Organization</w:t>
      </w:r>
      <w:r w:rsidRPr="008E3F16">
        <w:rPr>
          <w:rFonts w:ascii="Book Antiqua" w:hAnsi="Book Antiqua" w:cs="Arial"/>
          <w:color w:val="000000" w:themeColor="text1"/>
          <w:lang w:val="en-US"/>
        </w:rPr>
        <w:fldChar w:fldCharType="begin" w:fldLock="1"/>
      </w:r>
      <w:r w:rsidR="001F7126" w:rsidRPr="008E3F16">
        <w:rPr>
          <w:rFonts w:ascii="Book Antiqua" w:hAnsi="Book Antiqua" w:cs="Arial"/>
          <w:color w:val="000000" w:themeColor="text1"/>
          <w:lang w:val="en-US"/>
        </w:rPr>
        <w:instrText>ADDIN CSL_CITATION {"citationItems":[{"id":"ITEM-1","itemData":{"DOI":"10.1093/ecco-jcc/jjw168","ISSN":"1873-9946","PMID":"27660341","author":[{"dropping-particle":"","family":"Gomollón","given":"Fernando","non-dropping-particle":"","parse-names":false,"suffix":""},{"dropping-particle":"","family":"Dignass","given":"Axel","non-dropping-particle":"","parse-names":false,"suffix":""},{"dropping-particle":"","family":"Annese","given":"Vito","non-dropping-particle":"","parse-names":false,"suffix":""},{"dropping-particle":"","family":"Tilg","given":"Herbert","non-dropping-particle":"","parse-names":false,"suffix":""},{"dropping-particle":"","family":"Assche","given":"Gert","non-dropping-particle":"Van","parse-names":false,"suffix":""},{"dropping-particle":"","family":"Lindsay","given":"James O.","non-dropping-particle":"","parse-names":false,"suffix":""},{"dropping-particle":"","family":"Peyrin-Biroulet","given":"Laurent","non-dropping-particle":"","parse-names":false,"suffix":""},{"dropping-particle":"","family":"Cullen","given":"Garret J.","non-dropping-particle":"","parse-names":false,"suffix":""},{"dropping-particle":"","family":"Daperno","given":"Marco","non-dropping-particle":"","parse-names":false,"suffix":""},{"dropping-particle":"","family":"Kucharzik","given":"Torsten","non-dropping-particle":"","parse-names":false,"suffix":""},{"dropping-particle":"","family":"Rieder","given":"Florian","non-dropping-particle":"","parse-names":false,"suffix":""},{"dropping-particle":"","family":"Almer","given":"Sven","non-dropping-particle":"","parse-names":false,"suffix":""},{"dropping-particle":"","family":"Armuzzi","given":"Alessandro","non-dropping-particle":"","parse-names":false,"suffix":""},{"dropping-particle":"","family":"Harbord","given":"Marcus","non-dropping-particle":"","parse-names":false,"suffix":""},{"dropping-particle":"","family":"Langhorst","given":"Jost","non-dropping-particle":"","parse-names":false,"suffix":""},{"dropping-particle":"","family":"Sans","given":"Miquel","non-dropping-particle":"","parse-names":false,"suffix":""},{"dropping-particle":"","family":"Chowers","given":"Yehuda","non-dropping-particle":"","parse-names":false,"suffix":""},{"dropping-particle":"","family":"Fiorino","given":"Gionata","non-dropping-particle":"","parse-names":false,"suffix":""},{"dropping-particle":"","family":"Juillerat","given":"Pascal","non-dropping-particle":"","parse-names":false,"suffix":""},{"dropping-particle":"","family":"Mantzaris","given":"Gerassimos J.","non-dropping-particle":"","parse-names":false,"suffix":""},{"dropping-particle":"","family":"Rizzello","given":"Fernando","non-dropping-particle":"","parse-names":false,"suffix":""},{"dropping-particle":"","family":"Vavricka","given":"Stephan","non-dropping-particle":"","parse-names":false,"suffix":""},{"dropping-particle":"","family":"Gionchetti","given":"Paolo","non-dropping-particle":"","parse-names":false,"suffix":""}],"container-title":"Journal of Crohn's and Colitis","id":"ITEM-1","issue":"1","issued":{"date-parts":[["2017","1","1"]]},"page":"3-25","publisher":"Narnia","title":"3rd European Evidence-based Consensus on the Diagnosis and Management of Crohn’s Disease 2016: Part 1: Diagnosis and Medical Management","type":"article-journal","volume":"11"},"uris":["http://www.mendeley.com/documents/?uuid=14eaf371-714f-337d-8645-4c9ebc6bd16d"]}],"mendeley":{"formattedCitation":"&lt;sup&gt;[78]&lt;/sup&gt;","plainTextFormattedCitation":"[78]","previouslyFormattedCitation":"&lt;sup&gt;[78]&lt;/sup&gt;"},"properties":{"noteIndex":0},"schema":"https://github.com/citation-style-language/schema/raw/master/csl-citation.json"}</w:instrText>
      </w:r>
      <w:r w:rsidRPr="008E3F16">
        <w:rPr>
          <w:rFonts w:ascii="Book Antiqua" w:hAnsi="Book Antiqua" w:cs="Arial"/>
          <w:color w:val="000000" w:themeColor="text1"/>
          <w:lang w:val="en-US"/>
        </w:rPr>
        <w:fldChar w:fldCharType="separate"/>
      </w:r>
      <w:r w:rsidRPr="008E3F16">
        <w:rPr>
          <w:rFonts w:ascii="Book Antiqua" w:hAnsi="Book Antiqua" w:cs="Arial"/>
          <w:noProof/>
          <w:color w:val="000000" w:themeColor="text1"/>
          <w:vertAlign w:val="superscript"/>
          <w:lang w:val="en-US"/>
        </w:rPr>
        <w:t>[78]</w:t>
      </w:r>
      <w:r w:rsidRPr="008E3F16">
        <w:rPr>
          <w:rFonts w:ascii="Book Antiqua" w:hAnsi="Book Antiqua" w:cs="Arial"/>
          <w:color w:val="000000" w:themeColor="text1"/>
          <w:lang w:val="en-US"/>
        </w:rPr>
        <w:fldChar w:fldCharType="end"/>
      </w:r>
      <w:r w:rsidRPr="008E3F16">
        <w:rPr>
          <w:rFonts w:ascii="Book Antiqua" w:hAnsi="Book Antiqua" w:cs="Arial"/>
          <w:color w:val="000000" w:themeColor="text1"/>
          <w:lang w:val="en-US"/>
        </w:rPr>
        <w:t xml:space="preserve"> that based on the currently available data, serological tests should be used as diagnostic adjuvants in parallel to colonoscopy.</w:t>
      </w:r>
    </w:p>
    <w:p w14:paraId="64ECDEDD" w14:textId="2DA9EB5D" w:rsidR="00E82B0E" w:rsidRPr="008E3F16"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In recap, </w:t>
      </w:r>
      <w:r w:rsidR="001D0D1B" w:rsidRPr="008E3F16">
        <w:rPr>
          <w:rFonts w:ascii="Book Antiqua" w:hAnsi="Book Antiqua" w:cs="Arial"/>
          <w:color w:val="000000" w:themeColor="text1"/>
          <w:lang w:val="en-US"/>
        </w:rPr>
        <w:t>CD differential diagnosis is important</w:t>
      </w:r>
      <w:r w:rsidR="001D0D1B" w:rsidRPr="008E3F16">
        <w:rPr>
          <w:rFonts w:ascii="Book Antiqua" w:hAnsi="Book Antiqua" w:cs="Arial"/>
          <w:color w:val="000000" w:themeColor="text1"/>
          <w:lang w:val="en-US"/>
        </w:rPr>
        <w:fldChar w:fldCharType="begin" w:fldLock="1"/>
      </w:r>
      <w:r w:rsidR="001F7126" w:rsidRPr="008E3F16">
        <w:rPr>
          <w:rFonts w:ascii="Book Antiqua" w:hAnsi="Book Antiqua" w:cs="Arial"/>
          <w:color w:val="000000" w:themeColor="text1"/>
          <w:lang w:val="en-US"/>
        </w:rPr>
        <w:instrText>ADDIN CSL_CITATION {"citationItems":[{"id":"ITEM-1","itemData":{"DOI":"10.3748/wjg.v25.i4.418","ISSN":"1007-9327","PMID":"30700939","abstract":"Differentiating Crohn’s disease from intestinal tuberculosis","author":[{"dropping-particle":"","family":"Kedia","given":"Saurabh","non-dropping-particle":"","parse-names":false,"suffix":""},{"dropping-particle":"","family":"Das","given":"Prasenjit","non-dropping-particle":"","parse-names":false,"suffix":""},{"dropping-particle":"","family":"Madhusudhan","given":"Kumble Seetharama","non-dropping-particle":"","parse-names":false,"suffix":""},{"dropping-particle":"","family":"Dattagupta","given":"Siddhartha","non-dropping-particle":"","parse-names":false,"suffix":""},{"dropping-particle":"","family":"Sharma","given":"Raju","non-dropping-particle":"","parse-names":false,"suffix":""},{"dropping-particle":"","family":"Sahni","given":"Peush","non-dropping-particle":"","parse-names":false,"suffix":""},{"dropping-particle":"","family":"Makharia","given":"Govind","non-dropping-particle":"","parse-names":false,"suffix":""},{"dropping-particle":"","family":"Ahuja","given":"Vineet","non-dropping-particle":"","parse-names":false,"suffix":""}],"container-title":"World Journal of Gastroenterology","id":"ITEM-1","issue":"4","issued":{"date-parts":[["2019","1","28"]]},"page":"418-432","publisher":"Baishideng Publishing Group Inc.","title":"Differentiating Crohn’s disease from intestinal tuberculosis","type":"article-journal","volume":"25"},"uris":["http://www.mendeley.com/documents/?uuid=3c4a8e28-8ce6-3ba6-ae19-af1437d6eec5"]},{"id":"ITEM-2","itemData":{"DOI":"10.3748/wjg.v22.i42.9411","ISSN":"1007-9327","PMID":"27895429","abstract":"Potential model for differential diagnosis between Crohn's disease and primary intestinal lymphoma","author":[{"dropping-particle":"","family":"Zhang","given":"Tian-Yu","non-dropping-particle":"","parse-names":false,"suffix":""},{"dropping-particle":"","family":"Lin","given":"Yun","non-dropping-particle":"","parse-names":false,"suffix":""},{"dropping-particle":"","family":"Fan","given":"Rong","non-dropping-particle":"","parse-names":false,"suffix":""},{"dropping-particle":"","family":"Hu","given":"Shu-Rong","non-dropping-particle":"","parse-names":false,"suffix":""},{"dropping-particle":"","family":"Cheng","given":"Meng-Meng","non-dropping-particle":"","parse-names":false,"suffix":""},{"dropping-particle":"","family":"Zhang","given":"Mao-Chen","non-dropping-particle":"","parse-names":false,"suffix":""},{"dropping-particle":"","family":"Hong","given":"Li-Wen","non-dropping-particle":"","parse-names":false,"suffix":""},{"dropping-particle":"","family":"Zhou","given":"Xiao-Lin","non-dropping-particle":"","parse-names":false,"suffix":""},{"dropping-particle":"","family":"Wang","given":"Zheng-Ting","non-dropping-particle":"","parse-names":false,"suffix":""},{"dropping-particle":"","family":"Zhong","given":"Jie","non-dropping-particle":"","parse-names":false,"suffix":""}],"container-title":"World Journal of Gastroenterology","id":"ITEM-2","issue":"42","issued":{"date-parts":[["2016"]]},"page":"9411","publisher":"Baishideng Publishing Group Inc.","title":"Potential model for differential diagnosis between Crohn's disease and primary intestinal lymphoma","type":"article-journal","volume":"22"},"uris":["http://www.mendeley.com/documents/?uuid=5062734d-297c-3702-b1c2-875778c44ef2"]}],"mendeley":{"formattedCitation":"&lt;sup&gt;[79,80]&lt;/sup&gt;","plainTextFormattedCitation":"[79,80]","previouslyFormattedCitation":"&lt;sup&gt;[79,80]&lt;/sup&gt;"},"properties":{"noteIndex":0},"schema":"https://github.com/citation-style-language/schema/raw/master/csl-citation.json"}</w:instrText>
      </w:r>
      <w:r w:rsidR="001D0D1B" w:rsidRPr="008E3F16">
        <w:rPr>
          <w:rFonts w:ascii="Book Antiqua" w:hAnsi="Book Antiqua" w:cs="Arial"/>
          <w:color w:val="000000" w:themeColor="text1"/>
          <w:lang w:val="en-US"/>
        </w:rPr>
        <w:fldChar w:fldCharType="separate"/>
      </w:r>
      <w:r w:rsidR="001D0D1B" w:rsidRPr="008E3F16">
        <w:rPr>
          <w:rFonts w:ascii="Book Antiqua" w:hAnsi="Book Antiqua" w:cs="Arial"/>
          <w:noProof/>
          <w:color w:val="000000" w:themeColor="text1"/>
          <w:vertAlign w:val="superscript"/>
          <w:lang w:val="en-US"/>
        </w:rPr>
        <w:t>[79,</w:t>
      </w:r>
      <w:bookmarkStart w:id="18" w:name="_GoBack"/>
      <w:r w:rsidR="001D0D1B" w:rsidRPr="008E3F16">
        <w:rPr>
          <w:rFonts w:ascii="Book Antiqua" w:hAnsi="Book Antiqua" w:cs="Arial"/>
          <w:noProof/>
          <w:color w:val="000000" w:themeColor="text1"/>
          <w:vertAlign w:val="superscript"/>
          <w:lang w:val="en-US"/>
        </w:rPr>
        <w:t>80]</w:t>
      </w:r>
      <w:bookmarkEnd w:id="18"/>
      <w:r w:rsidR="001D0D1B" w:rsidRPr="008E3F16">
        <w:rPr>
          <w:rFonts w:ascii="Book Antiqua" w:hAnsi="Book Antiqua" w:cs="Arial"/>
          <w:color w:val="000000" w:themeColor="text1"/>
          <w:lang w:val="en-US"/>
        </w:rPr>
        <w:fldChar w:fldCharType="end"/>
      </w:r>
      <w:r w:rsidR="001D0D1B" w:rsidRPr="008E3F16">
        <w:rPr>
          <w:rFonts w:ascii="Book Antiqua" w:hAnsi="Book Antiqua" w:cs="Arial"/>
          <w:color w:val="000000" w:themeColor="text1"/>
          <w:lang w:val="en-US"/>
        </w:rPr>
        <w:t>. D</w:t>
      </w:r>
      <w:r w:rsidRPr="008E3F16">
        <w:rPr>
          <w:rFonts w:ascii="Book Antiqua" w:hAnsi="Book Antiqua" w:cs="Arial"/>
          <w:color w:val="000000" w:themeColor="text1"/>
          <w:lang w:val="en-US"/>
        </w:rPr>
        <w:t xml:space="preserve">espite the high accuracy reported in individual primary DTA studies, and the gaining residence of </w:t>
      </w:r>
      <w:r w:rsidR="00910283" w:rsidRPr="008E3F16">
        <w:rPr>
          <w:rFonts w:ascii="Book Antiqua" w:hAnsi="Book Antiqua" w:cs="Arial"/>
          <w:color w:val="000000" w:themeColor="text1"/>
          <w:lang w:val="en-US"/>
        </w:rPr>
        <w:t xml:space="preserve">the </w:t>
      </w:r>
      <w:r w:rsidRPr="008E3F16">
        <w:rPr>
          <w:rFonts w:ascii="Book Antiqua" w:hAnsi="Book Antiqua" w:cs="Arial"/>
          <w:color w:val="000000" w:themeColor="text1"/>
          <w:lang w:val="en-US"/>
        </w:rPr>
        <w:t xml:space="preserve">anti-GP2 </w:t>
      </w:r>
      <w:r w:rsidR="00910283" w:rsidRPr="008E3F16">
        <w:rPr>
          <w:rFonts w:ascii="Book Antiqua" w:hAnsi="Book Antiqua" w:cs="Arial"/>
          <w:color w:val="000000" w:themeColor="text1"/>
          <w:lang w:val="en-US"/>
        </w:rPr>
        <w:t xml:space="preserve">use </w:t>
      </w:r>
      <w:r w:rsidRPr="008E3F16">
        <w:rPr>
          <w:rFonts w:ascii="Book Antiqua" w:hAnsi="Book Antiqua" w:cs="Arial"/>
          <w:color w:val="000000" w:themeColor="text1"/>
          <w:lang w:val="en-US"/>
        </w:rPr>
        <w:t xml:space="preserve">in CD diagnosis, the present systematic review and meta-analysis revealed that when </w:t>
      </w:r>
      <w:r w:rsidR="00910283" w:rsidRPr="008E3F16">
        <w:rPr>
          <w:rFonts w:ascii="Book Antiqua" w:hAnsi="Book Antiqua" w:cs="Arial"/>
          <w:color w:val="000000" w:themeColor="text1"/>
          <w:lang w:val="en-US"/>
        </w:rPr>
        <w:t xml:space="preserve">the </w:t>
      </w:r>
      <w:r w:rsidRPr="008E3F16">
        <w:rPr>
          <w:rFonts w:ascii="Book Antiqua" w:hAnsi="Book Antiqua" w:cs="Arial"/>
          <w:color w:val="000000" w:themeColor="text1"/>
          <w:lang w:val="en-US"/>
        </w:rPr>
        <w:t>anti-GP2 are used as a proxy for the diagnosis of CD the results should be interpreted with caution, due to its relatively low sensitivity and high specificity.</w:t>
      </w:r>
    </w:p>
    <w:p w14:paraId="053DE936" w14:textId="718F9CB2" w:rsidR="005550F1" w:rsidRPr="008E3F16" w:rsidRDefault="005550F1" w:rsidP="00C66188">
      <w:pPr>
        <w:adjustRightInd w:val="0"/>
        <w:snapToGrid w:val="0"/>
        <w:spacing w:line="360" w:lineRule="auto"/>
        <w:ind w:firstLineChars="100" w:firstLine="240"/>
        <w:jc w:val="both"/>
        <w:rPr>
          <w:rFonts w:ascii="Book Antiqua" w:hAnsi="Book Antiqua" w:cs="Arial"/>
          <w:color w:val="000000" w:themeColor="text1"/>
          <w:lang w:val="en-US"/>
        </w:rPr>
      </w:pPr>
    </w:p>
    <w:p w14:paraId="6C5E38D0" w14:textId="09221F0C" w:rsidR="005550F1" w:rsidRPr="008E3F16" w:rsidRDefault="005550F1" w:rsidP="00C66188">
      <w:pPr>
        <w:adjustRightInd w:val="0"/>
        <w:snapToGrid w:val="0"/>
        <w:spacing w:line="360" w:lineRule="auto"/>
        <w:jc w:val="both"/>
        <w:rPr>
          <w:rFonts w:ascii="Book Antiqua" w:eastAsia="宋体" w:hAnsi="Book Antiqua" w:cs="宋体"/>
          <w:b/>
          <w:caps/>
          <w:color w:val="000000" w:themeColor="text1"/>
          <w:u w:val="single"/>
          <w:lang w:val="en-US" w:eastAsia="zh-CN"/>
        </w:rPr>
      </w:pPr>
      <w:bookmarkStart w:id="19" w:name="OLE_LINK151"/>
      <w:bookmarkStart w:id="20" w:name="OLE_LINK259"/>
      <w:bookmarkStart w:id="21" w:name="OLE_LINK158"/>
      <w:bookmarkStart w:id="22" w:name="OLE_LINK159"/>
      <w:bookmarkStart w:id="23" w:name="OLE_LINK205"/>
      <w:bookmarkStart w:id="24" w:name="OLE_LINK206"/>
      <w:bookmarkStart w:id="25" w:name="OLE_LINK244"/>
      <w:bookmarkStart w:id="26" w:name="OLE_LINK245"/>
      <w:bookmarkStart w:id="27" w:name="OLE_LINK11"/>
      <w:bookmarkStart w:id="28" w:name="OLE_LINK12"/>
      <w:bookmarkStart w:id="29" w:name="OLE_LINK23"/>
      <w:bookmarkStart w:id="30" w:name="OLE_LINK24"/>
      <w:bookmarkStart w:id="31" w:name="OLE_LINK316"/>
      <w:bookmarkStart w:id="32" w:name="OLE_LINK332"/>
      <w:bookmarkStart w:id="33" w:name="OLE_LINK521"/>
      <w:bookmarkStart w:id="34" w:name="OLE_LINK403"/>
      <w:bookmarkStart w:id="35" w:name="OLE_LINK560"/>
      <w:r w:rsidRPr="008E3F16">
        <w:rPr>
          <w:rFonts w:ascii="Book Antiqua" w:eastAsia="宋体" w:hAnsi="Book Antiqua" w:cs="Segoe UI"/>
          <w:b/>
          <w:caps/>
          <w:color w:val="000000" w:themeColor="text1"/>
          <w:u w:val="single"/>
          <w:shd w:val="clear" w:color="auto" w:fill="FFFFFF"/>
          <w:lang w:val="en-US" w:eastAsia="zh-CN"/>
        </w:rPr>
        <w:t xml:space="preserve">Article Highlights </w:t>
      </w:r>
    </w:p>
    <w:p w14:paraId="75B66CE9" w14:textId="77777777" w:rsidR="005550F1" w:rsidRPr="008E3F16" w:rsidRDefault="005550F1" w:rsidP="00C66188">
      <w:pPr>
        <w:adjustRightInd w:val="0"/>
        <w:snapToGrid w:val="0"/>
        <w:spacing w:line="360" w:lineRule="auto"/>
        <w:jc w:val="both"/>
        <w:rPr>
          <w:rFonts w:ascii="Book Antiqua" w:eastAsia="宋体" w:hAnsi="Book Antiqua" w:cs="宋体"/>
          <w:b/>
          <w:i/>
          <w:color w:val="000000" w:themeColor="text1"/>
          <w:lang w:val="en-US" w:eastAsia="zh-CN"/>
        </w:rPr>
      </w:pPr>
      <w:r w:rsidRPr="008E3F16">
        <w:rPr>
          <w:rFonts w:ascii="Book Antiqua" w:eastAsia="宋体" w:hAnsi="Book Antiqua" w:cs="宋体"/>
          <w:b/>
          <w:i/>
          <w:color w:val="000000" w:themeColor="text1"/>
          <w:lang w:val="en-US" w:eastAsia="zh-CN"/>
        </w:rPr>
        <w:t>Research background</w:t>
      </w:r>
    </w:p>
    <w:p w14:paraId="42C74CEE" w14:textId="0992B0C5" w:rsidR="005550F1" w:rsidRPr="008E3F16" w:rsidRDefault="00F8406E" w:rsidP="00C66188">
      <w:pPr>
        <w:adjustRightInd w:val="0"/>
        <w:snapToGrid w:val="0"/>
        <w:spacing w:line="360" w:lineRule="auto"/>
        <w:jc w:val="both"/>
        <w:rPr>
          <w:rFonts w:ascii="Book Antiqua" w:eastAsia="宋体" w:hAnsi="Book Antiqua" w:cs="宋体"/>
          <w:color w:val="000000" w:themeColor="text1"/>
          <w:lang w:val="en-US" w:eastAsia="zh-CN"/>
        </w:rPr>
      </w:pPr>
      <w:r w:rsidRPr="008E3F16">
        <w:rPr>
          <w:rFonts w:ascii="Book Antiqua" w:eastAsia="宋体" w:hAnsi="Book Antiqua" w:cs="宋体"/>
          <w:color w:val="000000" w:themeColor="text1"/>
          <w:lang w:val="en-US" w:eastAsia="zh-CN"/>
        </w:rPr>
        <w:t>Non-invasive criteria are needed for Crohn’s disease (CD) diagnosis, with several biomarkers being tested, including the pancreatic autoantibodies-to-glycoprotein-2 (anti-GP2).</w:t>
      </w:r>
    </w:p>
    <w:p w14:paraId="4C13D0C0" w14:textId="77777777" w:rsidR="00F8406E" w:rsidRPr="008E3F16" w:rsidRDefault="00F8406E" w:rsidP="00C66188">
      <w:pPr>
        <w:adjustRightInd w:val="0"/>
        <w:snapToGrid w:val="0"/>
        <w:spacing w:line="360" w:lineRule="auto"/>
        <w:jc w:val="both"/>
        <w:rPr>
          <w:rFonts w:ascii="Book Antiqua" w:eastAsia="宋体" w:hAnsi="Book Antiqua" w:cs="宋体"/>
          <w:color w:val="000000" w:themeColor="text1"/>
          <w:lang w:val="en-US" w:eastAsia="zh-CN"/>
        </w:rPr>
      </w:pPr>
    </w:p>
    <w:p w14:paraId="72DF144F" w14:textId="77777777" w:rsidR="005550F1" w:rsidRPr="008E3F16" w:rsidRDefault="005550F1" w:rsidP="00C66188">
      <w:pPr>
        <w:adjustRightInd w:val="0"/>
        <w:snapToGrid w:val="0"/>
        <w:spacing w:line="360" w:lineRule="auto"/>
        <w:jc w:val="both"/>
        <w:rPr>
          <w:rFonts w:ascii="Book Antiqua" w:eastAsia="宋体" w:hAnsi="Book Antiqua" w:cs="宋体"/>
          <w:b/>
          <w:i/>
          <w:color w:val="000000" w:themeColor="text1"/>
          <w:lang w:val="en-US" w:eastAsia="zh-CN"/>
        </w:rPr>
      </w:pPr>
      <w:r w:rsidRPr="008E3F16">
        <w:rPr>
          <w:rFonts w:ascii="Book Antiqua" w:eastAsia="宋体" w:hAnsi="Book Antiqua" w:cs="宋体"/>
          <w:b/>
          <w:i/>
          <w:color w:val="000000" w:themeColor="text1"/>
          <w:lang w:val="en-US" w:eastAsia="zh-CN"/>
        </w:rPr>
        <w:t>Research motivation</w:t>
      </w:r>
    </w:p>
    <w:p w14:paraId="704E93F9" w14:textId="186F22E4" w:rsidR="005550F1" w:rsidRPr="008E3F16" w:rsidRDefault="00F8406E" w:rsidP="00C66188">
      <w:pPr>
        <w:adjustRightInd w:val="0"/>
        <w:snapToGrid w:val="0"/>
        <w:spacing w:line="360" w:lineRule="auto"/>
        <w:jc w:val="both"/>
        <w:rPr>
          <w:rFonts w:ascii="Book Antiqua" w:eastAsia="宋体" w:hAnsi="Book Antiqua" w:cs="宋体"/>
          <w:b/>
          <w:color w:val="000000" w:themeColor="text1"/>
          <w:lang w:val="en-US" w:eastAsia="zh-CN"/>
        </w:rPr>
      </w:pPr>
      <w:r w:rsidRPr="008E3F16">
        <w:rPr>
          <w:rFonts w:ascii="Book Antiqua" w:eastAsia="宋体" w:hAnsi="Book Antiqua" w:cs="宋体"/>
          <w:color w:val="000000" w:themeColor="text1"/>
          <w:lang w:val="en-US" w:eastAsia="zh-CN"/>
        </w:rPr>
        <w:t>Results of individual diagnostic test accuracy (DTA) studies assessing the diagnostic value of the anti-GP2 for the diagnosis of CD appear promising, however, a systematic review and meta-analysis of the studies is still lacking.</w:t>
      </w:r>
    </w:p>
    <w:p w14:paraId="0BEFDD2C" w14:textId="77777777" w:rsidR="00F8406E" w:rsidRPr="008E3F16" w:rsidRDefault="00F8406E" w:rsidP="00C66188">
      <w:pPr>
        <w:adjustRightInd w:val="0"/>
        <w:snapToGrid w:val="0"/>
        <w:spacing w:line="360" w:lineRule="auto"/>
        <w:jc w:val="both"/>
        <w:rPr>
          <w:rFonts w:ascii="Book Antiqua" w:eastAsia="宋体" w:hAnsi="Book Antiqua" w:cs="宋体"/>
          <w:b/>
          <w:i/>
          <w:color w:val="000000" w:themeColor="text1"/>
          <w:lang w:val="en-US" w:eastAsia="zh-CN"/>
        </w:rPr>
      </w:pPr>
    </w:p>
    <w:p w14:paraId="118FA47B" w14:textId="7A9A4902" w:rsidR="005550F1" w:rsidRPr="008E3F16" w:rsidRDefault="005550F1" w:rsidP="00C66188">
      <w:pPr>
        <w:adjustRightInd w:val="0"/>
        <w:snapToGrid w:val="0"/>
        <w:spacing w:line="360" w:lineRule="auto"/>
        <w:jc w:val="both"/>
        <w:rPr>
          <w:rFonts w:ascii="Book Antiqua" w:eastAsia="宋体" w:hAnsi="Book Antiqua" w:cs="宋体"/>
          <w:b/>
          <w:i/>
          <w:color w:val="000000" w:themeColor="text1"/>
          <w:lang w:val="en-US" w:eastAsia="zh-CN"/>
        </w:rPr>
      </w:pPr>
      <w:r w:rsidRPr="008E3F16">
        <w:rPr>
          <w:rFonts w:ascii="Book Antiqua" w:eastAsia="宋体" w:hAnsi="Book Antiqua" w:cs="宋体"/>
          <w:b/>
          <w:i/>
          <w:color w:val="000000" w:themeColor="text1"/>
          <w:lang w:val="en-US" w:eastAsia="zh-CN"/>
        </w:rPr>
        <w:t>Research objectives</w:t>
      </w:r>
    </w:p>
    <w:p w14:paraId="47F3816D" w14:textId="10D4AE4F" w:rsidR="005550F1" w:rsidRPr="008E3F16" w:rsidRDefault="00F8406E" w:rsidP="00C66188">
      <w:pPr>
        <w:adjustRightInd w:val="0"/>
        <w:snapToGrid w:val="0"/>
        <w:spacing w:line="360" w:lineRule="auto"/>
        <w:jc w:val="both"/>
        <w:rPr>
          <w:rFonts w:ascii="Book Antiqua" w:eastAsia="宋体" w:hAnsi="Book Antiqua" w:cs="宋体"/>
          <w:color w:val="000000" w:themeColor="text1"/>
          <w:lang w:val="en-US" w:eastAsia="zh-CN"/>
        </w:rPr>
      </w:pPr>
      <w:r w:rsidRPr="008E3F16">
        <w:rPr>
          <w:rFonts w:ascii="Book Antiqua" w:eastAsia="宋体" w:hAnsi="Book Antiqua" w:cs="宋体"/>
          <w:color w:val="000000" w:themeColor="text1"/>
          <w:lang w:val="en-US" w:eastAsia="zh-CN"/>
        </w:rPr>
        <w:t>The aim of the present systematic review and meta-analysis was synthesize all evidence on the diagnostic accuracy of anti-GP2 tests in patients with suspected/confirmed CD.</w:t>
      </w:r>
    </w:p>
    <w:p w14:paraId="789C7818" w14:textId="77777777" w:rsidR="00F8406E" w:rsidRPr="008E3F16" w:rsidRDefault="00F8406E" w:rsidP="00C66188">
      <w:pPr>
        <w:adjustRightInd w:val="0"/>
        <w:snapToGrid w:val="0"/>
        <w:spacing w:line="360" w:lineRule="auto"/>
        <w:jc w:val="both"/>
        <w:rPr>
          <w:rFonts w:ascii="Book Antiqua" w:eastAsia="宋体" w:hAnsi="Book Antiqua" w:cs="宋体"/>
          <w:b/>
          <w:color w:val="000000" w:themeColor="text1"/>
          <w:lang w:val="en-US" w:eastAsia="zh-CN"/>
        </w:rPr>
      </w:pPr>
    </w:p>
    <w:p w14:paraId="63B90FE2" w14:textId="77777777" w:rsidR="005550F1" w:rsidRPr="008E3F16" w:rsidRDefault="005550F1" w:rsidP="00C66188">
      <w:pPr>
        <w:adjustRightInd w:val="0"/>
        <w:snapToGrid w:val="0"/>
        <w:spacing w:line="360" w:lineRule="auto"/>
        <w:jc w:val="both"/>
        <w:rPr>
          <w:rFonts w:ascii="Book Antiqua" w:eastAsia="宋体" w:hAnsi="Book Antiqua" w:cs="宋体"/>
          <w:b/>
          <w:i/>
          <w:color w:val="000000" w:themeColor="text1"/>
          <w:lang w:val="en-US" w:eastAsia="zh-CN"/>
        </w:rPr>
      </w:pPr>
      <w:r w:rsidRPr="008E3F16">
        <w:rPr>
          <w:rFonts w:ascii="Book Antiqua" w:eastAsia="宋体" w:hAnsi="Book Antiqua" w:cs="宋体"/>
          <w:b/>
          <w:i/>
          <w:color w:val="000000" w:themeColor="text1"/>
          <w:lang w:val="en-US" w:eastAsia="zh-CN"/>
        </w:rPr>
        <w:t>Research methods</w:t>
      </w:r>
    </w:p>
    <w:p w14:paraId="088507C9" w14:textId="71DC5316" w:rsidR="005550F1" w:rsidRPr="008E3F16" w:rsidRDefault="00F8406E" w:rsidP="00C66188">
      <w:pPr>
        <w:adjustRightInd w:val="0"/>
        <w:snapToGrid w:val="0"/>
        <w:spacing w:line="360" w:lineRule="auto"/>
        <w:jc w:val="both"/>
        <w:rPr>
          <w:rFonts w:ascii="Book Antiqua" w:hAnsi="Book Antiqua" w:cs="Times New Roman"/>
          <w:iCs/>
          <w:color w:val="000000" w:themeColor="text1"/>
          <w:lang w:val="en-GB"/>
        </w:rPr>
      </w:pPr>
      <w:r w:rsidRPr="008E3F16">
        <w:rPr>
          <w:rFonts w:ascii="Book Antiqua" w:hAnsi="Book Antiqua" w:cs="Times New Roman"/>
          <w:iCs/>
          <w:color w:val="000000" w:themeColor="text1"/>
          <w:lang w:val="en-GB"/>
        </w:rPr>
        <w:t xml:space="preserve">An electronic search was conducted on Medline, Cochrane-CENTRAL and grey literature. Quality was assessed with the </w:t>
      </w:r>
      <w:r w:rsidR="004F54FF" w:rsidRPr="008E3F16">
        <w:rPr>
          <w:rFonts w:ascii="Book Antiqua" w:hAnsi="Book Antiqua" w:cs="Times New Roman"/>
          <w:iCs/>
          <w:color w:val="000000" w:themeColor="text1"/>
          <w:lang w:val="en-GB"/>
        </w:rPr>
        <w:t>Quality Assessment of Diagnostic Accuracy Studies-2</w:t>
      </w:r>
      <w:r w:rsidRPr="008E3F16">
        <w:rPr>
          <w:rFonts w:ascii="Book Antiqua" w:hAnsi="Book Antiqua" w:cs="Times New Roman"/>
          <w:iCs/>
          <w:color w:val="000000" w:themeColor="text1"/>
          <w:lang w:val="en-GB"/>
        </w:rPr>
        <w:t xml:space="preserve"> tool and hierarchical models were employed to synthesize the data.</w:t>
      </w:r>
      <w:r w:rsidR="00C20188" w:rsidRPr="008E3F16">
        <w:rPr>
          <w:rFonts w:ascii="Book Antiqua" w:hAnsi="Book Antiqua" w:cs="Times New Roman"/>
          <w:iCs/>
          <w:color w:val="000000" w:themeColor="text1"/>
          <w:lang w:val="en-GB"/>
        </w:rPr>
        <w:t xml:space="preserve"> The hierarchical summary receiver operating characteristic (HSROC) model was employed to synthesize data. SROC curves were constructed and since a summary point of sensitivity or specificity with studies using mixed thresholds would be clinically uninterpretable, the summary sensitivity was estimated at its median specificity, based on the SROC curves. </w:t>
      </w:r>
      <w:r w:rsidR="00E245F6" w:rsidRPr="008E3F16">
        <w:rPr>
          <w:rFonts w:ascii="Book Antiqua" w:hAnsi="Book Antiqua" w:cs="Times New Roman"/>
          <w:iCs/>
          <w:color w:val="000000" w:themeColor="text1"/>
          <w:lang w:val="en-GB"/>
        </w:rPr>
        <w:t>H</w:t>
      </w:r>
      <w:r w:rsidR="00C20188" w:rsidRPr="008E3F16">
        <w:rPr>
          <w:rFonts w:ascii="Book Antiqua" w:hAnsi="Book Antiqua" w:cs="Times New Roman"/>
          <w:iCs/>
          <w:color w:val="000000" w:themeColor="text1"/>
          <w:lang w:val="en-GB"/>
        </w:rPr>
        <w:t xml:space="preserve">eterogeneity was assessed statistically by including covariates in the </w:t>
      </w:r>
      <w:r w:rsidR="00E245F6" w:rsidRPr="008E3F16">
        <w:rPr>
          <w:rFonts w:ascii="Book Antiqua" w:hAnsi="Book Antiqua" w:cs="Times New Roman"/>
          <w:iCs/>
          <w:color w:val="000000" w:themeColor="text1"/>
          <w:lang w:val="en-GB"/>
        </w:rPr>
        <w:t>H</w:t>
      </w:r>
      <w:r w:rsidR="00C20188" w:rsidRPr="008E3F16">
        <w:rPr>
          <w:rFonts w:ascii="Book Antiqua" w:hAnsi="Book Antiqua" w:cs="Times New Roman"/>
          <w:iCs/>
          <w:color w:val="000000" w:themeColor="text1"/>
          <w:lang w:val="en-GB"/>
        </w:rPr>
        <w:t>SROC model (meta-regression) and was summarized with the Relative Diagnostic Odds Ratios.</w:t>
      </w:r>
    </w:p>
    <w:p w14:paraId="4016FDE5" w14:textId="77777777" w:rsidR="00F8406E" w:rsidRPr="008E3F16" w:rsidRDefault="00F8406E" w:rsidP="00C66188">
      <w:pPr>
        <w:adjustRightInd w:val="0"/>
        <w:snapToGrid w:val="0"/>
        <w:spacing w:line="360" w:lineRule="auto"/>
        <w:jc w:val="both"/>
        <w:rPr>
          <w:rFonts w:ascii="Book Antiqua" w:eastAsia="宋体" w:hAnsi="Book Antiqua" w:cs="宋体"/>
          <w:b/>
          <w:color w:val="000000" w:themeColor="text1"/>
          <w:lang w:val="en-US" w:eastAsia="zh-CN"/>
        </w:rPr>
      </w:pPr>
    </w:p>
    <w:p w14:paraId="7288631D" w14:textId="77777777" w:rsidR="005550F1" w:rsidRPr="008E3F16" w:rsidRDefault="005550F1" w:rsidP="00C66188">
      <w:pPr>
        <w:adjustRightInd w:val="0"/>
        <w:snapToGrid w:val="0"/>
        <w:spacing w:line="360" w:lineRule="auto"/>
        <w:jc w:val="both"/>
        <w:rPr>
          <w:rFonts w:ascii="Book Antiqua" w:eastAsia="宋体" w:hAnsi="Book Antiqua" w:cs="宋体"/>
          <w:b/>
          <w:i/>
          <w:color w:val="000000" w:themeColor="text1"/>
          <w:lang w:val="en-US" w:eastAsia="zh-CN"/>
        </w:rPr>
      </w:pPr>
      <w:r w:rsidRPr="008E3F16">
        <w:rPr>
          <w:rFonts w:ascii="Book Antiqua" w:eastAsia="宋体" w:hAnsi="Book Antiqua" w:cs="宋体"/>
          <w:b/>
          <w:i/>
          <w:color w:val="000000" w:themeColor="text1"/>
          <w:lang w:val="en-US" w:eastAsia="zh-CN"/>
        </w:rPr>
        <w:t>Research results</w:t>
      </w:r>
    </w:p>
    <w:p w14:paraId="7B4EBE76" w14:textId="3C8836C9" w:rsidR="005550F1" w:rsidRPr="008E3F16" w:rsidRDefault="00F8406E" w:rsidP="00C66188">
      <w:pPr>
        <w:adjustRightInd w:val="0"/>
        <w:snapToGrid w:val="0"/>
        <w:spacing w:line="360" w:lineRule="auto"/>
        <w:jc w:val="both"/>
        <w:rPr>
          <w:rFonts w:ascii="Book Antiqua" w:eastAsia="宋体" w:hAnsi="Book Antiqua" w:cs="宋体"/>
          <w:color w:val="000000" w:themeColor="text1"/>
          <w:lang w:val="en-US" w:eastAsia="zh-CN"/>
        </w:rPr>
      </w:pPr>
      <w:r w:rsidRPr="008E3F16">
        <w:rPr>
          <w:rFonts w:ascii="Book Antiqua" w:eastAsia="宋体" w:hAnsi="Book Antiqua" w:cs="宋体"/>
          <w:color w:val="000000" w:themeColor="text1"/>
          <w:lang w:val="en-US" w:eastAsia="zh-CN"/>
        </w:rPr>
        <w:t>Out of 722 studies retrieved, 15 were meta-analyzed. Thirteen studies had industry-related conflicts-of-interest, and most included healthy donors as controls. For the combination of IgA and/or IgG anti-GP2 test, the summary sensitivity was 20% at a median specificity of 97%.</w:t>
      </w:r>
    </w:p>
    <w:p w14:paraId="5709669B" w14:textId="77777777" w:rsidR="00F8406E" w:rsidRPr="008E3F16" w:rsidRDefault="00F8406E" w:rsidP="00C66188">
      <w:pPr>
        <w:adjustRightInd w:val="0"/>
        <w:snapToGrid w:val="0"/>
        <w:spacing w:line="360" w:lineRule="auto"/>
        <w:jc w:val="both"/>
        <w:rPr>
          <w:rFonts w:ascii="Book Antiqua" w:eastAsia="宋体" w:hAnsi="Book Antiqua" w:cs="Segoe UI"/>
          <w:color w:val="000000" w:themeColor="text1"/>
          <w:shd w:val="clear" w:color="auto" w:fill="FFFFFF"/>
          <w:lang w:val="en-US" w:eastAsia="zh-CN"/>
        </w:rPr>
      </w:pPr>
    </w:p>
    <w:p w14:paraId="16EDA63D" w14:textId="77777777" w:rsidR="005550F1" w:rsidRPr="008E3F16" w:rsidRDefault="005550F1" w:rsidP="00C66188">
      <w:pPr>
        <w:adjustRightInd w:val="0"/>
        <w:snapToGrid w:val="0"/>
        <w:spacing w:line="360" w:lineRule="auto"/>
        <w:jc w:val="both"/>
        <w:rPr>
          <w:rFonts w:ascii="Book Antiqua" w:eastAsia="宋体" w:hAnsi="Book Antiqua" w:cs="Segoe UI"/>
          <w:b/>
          <w:i/>
          <w:color w:val="000000" w:themeColor="text1"/>
          <w:shd w:val="clear" w:color="auto" w:fill="FFFFFF"/>
          <w:lang w:val="en-US" w:eastAsia="zh-CN"/>
        </w:rPr>
      </w:pPr>
      <w:r w:rsidRPr="008E3F16">
        <w:rPr>
          <w:rFonts w:ascii="Book Antiqua" w:eastAsia="宋体" w:hAnsi="Book Antiqua" w:cs="宋体"/>
          <w:b/>
          <w:i/>
          <w:color w:val="000000" w:themeColor="text1"/>
          <w:lang w:val="en-US" w:eastAsia="zh-CN"/>
        </w:rPr>
        <w:t>Research conclusions</w:t>
      </w:r>
    </w:p>
    <w:p w14:paraId="30332CD3" w14:textId="254755DC" w:rsidR="00F8406E" w:rsidRPr="008E3F16" w:rsidRDefault="00F8406E" w:rsidP="00C66188">
      <w:pPr>
        <w:adjustRightInd w:val="0"/>
        <w:snapToGrid w:val="0"/>
        <w:spacing w:line="360" w:lineRule="auto"/>
        <w:jc w:val="both"/>
        <w:rPr>
          <w:rFonts w:ascii="Book Antiqua" w:eastAsia="宋体" w:hAnsi="Book Antiqua" w:cs="宋体"/>
          <w:color w:val="000000" w:themeColor="text1"/>
          <w:lang w:val="en-US" w:eastAsia="zh-CN"/>
        </w:rPr>
      </w:pPr>
      <w:r w:rsidRPr="008E3F16">
        <w:rPr>
          <w:rFonts w:ascii="Book Antiqua" w:eastAsia="宋体" w:hAnsi="Book Antiqua" w:cs="宋体"/>
          <w:color w:val="000000" w:themeColor="text1"/>
          <w:lang w:val="en-US" w:eastAsia="zh-CN"/>
        </w:rPr>
        <w:lastRenderedPageBreak/>
        <w:t xml:space="preserve">The anti-GP2 demonstrated low sensitivity and high specificity. These results indicate caution before relying on its diagnostic value. </w:t>
      </w:r>
      <w:r w:rsidR="00C20188" w:rsidRPr="008E3F16">
        <w:rPr>
          <w:rFonts w:ascii="Book Antiqua" w:eastAsia="宋体" w:hAnsi="Book Antiqua" w:cs="宋体"/>
          <w:color w:val="000000" w:themeColor="text1"/>
          <w:lang w:val="en-US" w:eastAsia="zh-CN"/>
        </w:rPr>
        <w:t xml:space="preserve">However, the anti-GP2 appear to attain all characteristics of a goof screening tool rather than a diagnostic one. Therefore, based on the available evidence, the use of the anti-GP2 for CD diagnosis is not warranted. </w:t>
      </w:r>
      <w:r w:rsidRPr="008E3F16">
        <w:rPr>
          <w:rFonts w:ascii="Book Antiqua" w:eastAsia="宋体" w:hAnsi="Book Antiqua" w:cs="宋体"/>
          <w:color w:val="000000" w:themeColor="text1"/>
          <w:lang w:val="en-US" w:eastAsia="zh-CN"/>
        </w:rPr>
        <w:t>Additionally, the need for improving the methodology of DTA studies is evident. Furthermore, overall quality of DTA studies appears low, with many carrying industry-related</w:t>
      </w:r>
      <w:r w:rsidR="00C20188" w:rsidRPr="008E3F16">
        <w:rPr>
          <w:rFonts w:ascii="Book Antiqua" w:eastAsia="宋体" w:hAnsi="Book Antiqua" w:cs="宋体"/>
          <w:color w:val="000000" w:themeColor="text1"/>
          <w:lang w:val="en-US" w:eastAsia="zh-CN"/>
        </w:rPr>
        <w:t xml:space="preserve">, spectrum, test-review and partial verification bias. </w:t>
      </w:r>
    </w:p>
    <w:p w14:paraId="48BEE66B" w14:textId="77777777" w:rsidR="005550F1" w:rsidRPr="008E3F16" w:rsidRDefault="005550F1" w:rsidP="00C66188">
      <w:pPr>
        <w:adjustRightInd w:val="0"/>
        <w:snapToGrid w:val="0"/>
        <w:spacing w:line="360" w:lineRule="auto"/>
        <w:jc w:val="both"/>
        <w:rPr>
          <w:rFonts w:ascii="Book Antiqua" w:eastAsia="宋体" w:hAnsi="Book Antiqua" w:cs="Segoe UI"/>
          <w:color w:val="000000" w:themeColor="text1"/>
          <w:shd w:val="clear" w:color="auto" w:fill="FFFFFF"/>
          <w:lang w:val="en-US" w:eastAsia="zh-CN"/>
        </w:rPr>
      </w:pPr>
    </w:p>
    <w:p w14:paraId="5E9A8072" w14:textId="77777777" w:rsidR="005550F1" w:rsidRPr="008E3F16" w:rsidRDefault="005550F1" w:rsidP="00C66188">
      <w:pPr>
        <w:adjustRightInd w:val="0"/>
        <w:snapToGrid w:val="0"/>
        <w:spacing w:line="360" w:lineRule="auto"/>
        <w:jc w:val="both"/>
        <w:rPr>
          <w:rFonts w:ascii="Book Antiqua" w:eastAsia="宋体" w:hAnsi="Book Antiqua" w:cs="Segoe UI"/>
          <w:b/>
          <w:i/>
          <w:color w:val="000000" w:themeColor="text1"/>
          <w:shd w:val="clear" w:color="auto" w:fill="FFFFFF"/>
          <w:lang w:val="en-US" w:eastAsia="zh-CN"/>
        </w:rPr>
      </w:pPr>
      <w:r w:rsidRPr="008E3F16">
        <w:rPr>
          <w:rFonts w:ascii="Book Antiqua" w:eastAsia="宋体" w:hAnsi="Book Antiqua" w:cs="Segoe UI"/>
          <w:b/>
          <w:i/>
          <w:color w:val="000000" w:themeColor="text1"/>
          <w:shd w:val="clear" w:color="auto" w:fill="FFFFFF"/>
          <w:lang w:val="en-US" w:eastAsia="zh-CN"/>
        </w:rPr>
        <w:t>Research perspectives</w:t>
      </w:r>
    </w:p>
    <w:p w14:paraId="3DDA46D0" w14:textId="0A9BD1A3" w:rsidR="005550F1" w:rsidRPr="008E3F16" w:rsidRDefault="00C20188" w:rsidP="00C66188">
      <w:pPr>
        <w:adjustRightInd w:val="0"/>
        <w:snapToGrid w:val="0"/>
        <w:spacing w:line="360" w:lineRule="auto"/>
        <w:jc w:val="both"/>
        <w:rPr>
          <w:rFonts w:ascii="Book Antiqua" w:eastAsia="宋体" w:hAnsi="Book Antiqua" w:cs="Segoe UI"/>
          <w:color w:val="000000" w:themeColor="text1"/>
          <w:shd w:val="clear" w:color="auto" w:fill="FFFFFF"/>
          <w:lang w:val="en-US" w:eastAsia="zh-CN"/>
        </w:rPr>
      </w:pPr>
      <w:r w:rsidRPr="008E3F16">
        <w:rPr>
          <w:rFonts w:ascii="Book Antiqua" w:eastAsia="宋体" w:hAnsi="Book Antiqua" w:cs="Segoe UI"/>
          <w:color w:val="000000" w:themeColor="text1"/>
          <w:shd w:val="clear" w:color="auto" w:fill="FFFFFF"/>
          <w:lang w:val="en-US" w:eastAsia="zh-CN"/>
        </w:rPr>
        <w:t>The majority of DTA studies are lacking a quality design and should be synthetized with caution.</w:t>
      </w:r>
      <w:r w:rsidR="00494A70" w:rsidRPr="008E3F16">
        <w:rPr>
          <w:rFonts w:ascii="Book Antiqua" w:eastAsia="宋体" w:hAnsi="Book Antiqua" w:cs="Segoe UI"/>
          <w:color w:val="000000" w:themeColor="text1"/>
          <w:shd w:val="clear" w:color="auto" w:fill="FFFFFF"/>
          <w:lang w:val="en-US" w:eastAsia="zh-CN"/>
        </w:rPr>
        <w:t xml:space="preserve"> </w:t>
      </w:r>
      <w:r w:rsidRPr="008E3F16">
        <w:rPr>
          <w:rFonts w:ascii="Book Antiqua" w:eastAsia="宋体" w:hAnsi="Book Antiqua" w:cs="Segoe UI"/>
          <w:color w:val="000000" w:themeColor="text1"/>
          <w:shd w:val="clear" w:color="auto" w:fill="FFFFFF"/>
          <w:lang w:val="en-US" w:eastAsia="zh-CN"/>
        </w:rPr>
        <w:t>Future research should assess differences between industry-funded and non-industry funded DTA studies.</w:t>
      </w: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58074DB5" w14:textId="77777777" w:rsidR="00C20188" w:rsidRPr="008E3F16" w:rsidRDefault="00C20188" w:rsidP="00C66188">
      <w:pPr>
        <w:pStyle w:val="Default"/>
        <w:snapToGrid w:val="0"/>
        <w:spacing w:line="360" w:lineRule="auto"/>
        <w:jc w:val="both"/>
        <w:rPr>
          <w:b/>
          <w:color w:val="000000" w:themeColor="text1"/>
          <w:lang w:val="en-US"/>
        </w:rPr>
      </w:pPr>
    </w:p>
    <w:p w14:paraId="0F71CC69" w14:textId="77777777" w:rsidR="00581A88" w:rsidRPr="008E3F16" w:rsidRDefault="00880ED1" w:rsidP="00C66188">
      <w:pPr>
        <w:pStyle w:val="Default"/>
        <w:snapToGrid w:val="0"/>
        <w:spacing w:line="360" w:lineRule="auto"/>
        <w:jc w:val="both"/>
        <w:rPr>
          <w:b/>
          <w:color w:val="000000" w:themeColor="text1"/>
          <w:u w:val="single"/>
          <w:lang w:val="en-US"/>
        </w:rPr>
      </w:pPr>
      <w:r w:rsidRPr="008E3F16">
        <w:rPr>
          <w:b/>
          <w:color w:val="000000" w:themeColor="text1"/>
          <w:u w:val="single"/>
          <w:lang w:val="en-US"/>
        </w:rPr>
        <w:t>ACKNOWLEDGEMENTS</w:t>
      </w:r>
    </w:p>
    <w:p w14:paraId="1BBB8AB9" w14:textId="2B95E1F0" w:rsidR="00880ED1" w:rsidRPr="008E3F16" w:rsidRDefault="00A83066" w:rsidP="00C66188">
      <w:pPr>
        <w:pStyle w:val="Default"/>
        <w:snapToGrid w:val="0"/>
        <w:spacing w:line="360" w:lineRule="auto"/>
        <w:jc w:val="both"/>
        <w:rPr>
          <w:color w:val="000000" w:themeColor="text1"/>
          <w:lang w:val="en-US"/>
        </w:rPr>
      </w:pPr>
      <w:r w:rsidRPr="008E3F16">
        <w:rPr>
          <w:bCs/>
          <w:color w:val="000000" w:themeColor="text1"/>
          <w:lang w:val="en-US"/>
        </w:rPr>
        <w:t>All</w:t>
      </w:r>
      <w:r w:rsidR="00880ED1" w:rsidRPr="008E3F16">
        <w:rPr>
          <w:bCs/>
          <w:color w:val="000000" w:themeColor="text1"/>
          <w:lang w:val="en-US"/>
        </w:rPr>
        <w:t xml:space="preserve"> authors appreciate the </w:t>
      </w:r>
      <w:r w:rsidR="00B94EC9" w:rsidRPr="008E3F16">
        <w:rPr>
          <w:bCs/>
          <w:color w:val="000000" w:themeColor="text1"/>
          <w:lang w:val="en-US"/>
        </w:rPr>
        <w:t>critical review provided</w:t>
      </w:r>
      <w:r w:rsidR="00880ED1" w:rsidRPr="008E3F16">
        <w:rPr>
          <w:bCs/>
          <w:color w:val="000000" w:themeColor="text1"/>
          <w:lang w:val="en-US"/>
        </w:rPr>
        <w:t xml:space="preserve"> </w:t>
      </w:r>
      <w:r w:rsidR="00B94EC9" w:rsidRPr="008E3F16">
        <w:rPr>
          <w:bCs/>
          <w:color w:val="000000" w:themeColor="text1"/>
          <w:lang w:val="en-US"/>
        </w:rPr>
        <w:t>by</w:t>
      </w:r>
      <w:r w:rsidR="00880ED1" w:rsidRPr="008E3F16">
        <w:rPr>
          <w:bCs/>
          <w:color w:val="000000" w:themeColor="text1"/>
          <w:lang w:val="en-US"/>
        </w:rPr>
        <w:t xml:space="preserve"> </w:t>
      </w:r>
      <w:r w:rsidR="00076E58" w:rsidRPr="008E3F16">
        <w:rPr>
          <w:bCs/>
          <w:color w:val="000000" w:themeColor="text1"/>
          <w:lang w:val="en-US"/>
        </w:rPr>
        <w:t>Assistant Professors</w:t>
      </w:r>
      <w:r w:rsidR="00880ED1" w:rsidRPr="008E3F16">
        <w:rPr>
          <w:bCs/>
          <w:color w:val="000000" w:themeColor="text1"/>
          <w:lang w:val="en-US"/>
        </w:rPr>
        <w:t xml:space="preserve"> </w:t>
      </w:r>
      <w:r w:rsidR="00076E58" w:rsidRPr="008E3F16">
        <w:rPr>
          <w:bCs/>
          <w:color w:val="000000" w:themeColor="text1"/>
          <w:lang w:val="en-US"/>
        </w:rPr>
        <w:t>Dr</w:t>
      </w:r>
      <w:r w:rsidR="00494A70" w:rsidRPr="008E3F16">
        <w:rPr>
          <w:bCs/>
          <w:color w:val="000000" w:themeColor="text1"/>
          <w:lang w:val="en-US"/>
        </w:rPr>
        <w:t>.</w:t>
      </w:r>
      <w:r w:rsidR="00076E58" w:rsidRPr="008E3F16">
        <w:rPr>
          <w:bCs/>
          <w:color w:val="000000" w:themeColor="text1"/>
          <w:lang w:val="en-US"/>
        </w:rPr>
        <w:t xml:space="preserve"> </w:t>
      </w:r>
      <w:r w:rsidR="00880ED1" w:rsidRPr="008E3F16">
        <w:rPr>
          <w:bCs/>
          <w:color w:val="000000" w:themeColor="text1"/>
          <w:lang w:val="en-US"/>
        </w:rPr>
        <w:t>Anna-Bettina Haidich and Dr</w:t>
      </w:r>
      <w:r w:rsidR="00494A70" w:rsidRPr="008E3F16">
        <w:rPr>
          <w:bCs/>
          <w:color w:val="000000" w:themeColor="text1"/>
          <w:lang w:val="en-US"/>
        </w:rPr>
        <w:t>.</w:t>
      </w:r>
      <w:r w:rsidR="00880ED1" w:rsidRPr="008E3F16">
        <w:rPr>
          <w:bCs/>
          <w:color w:val="000000" w:themeColor="text1"/>
          <w:lang w:val="en-US"/>
        </w:rPr>
        <w:t xml:space="preserve"> Stavros Kalogiannis</w:t>
      </w:r>
      <w:r w:rsidR="00B94EC9" w:rsidRPr="008E3F16">
        <w:rPr>
          <w:bCs/>
          <w:color w:val="000000" w:themeColor="text1"/>
          <w:lang w:val="en-US"/>
        </w:rPr>
        <w:t>, as well as the support</w:t>
      </w:r>
      <w:r w:rsidR="0088043C" w:rsidRPr="008E3F16">
        <w:rPr>
          <w:bCs/>
          <w:color w:val="000000" w:themeColor="text1"/>
          <w:lang w:val="en-US"/>
        </w:rPr>
        <w:t xml:space="preserve"> </w:t>
      </w:r>
      <w:r w:rsidR="006F1E40" w:rsidRPr="008E3F16">
        <w:rPr>
          <w:bCs/>
          <w:color w:val="000000" w:themeColor="text1"/>
          <w:lang w:val="en-US"/>
        </w:rPr>
        <w:t>offered by</w:t>
      </w:r>
      <w:r w:rsidR="00B94EC9" w:rsidRPr="008E3F16">
        <w:rPr>
          <w:bCs/>
          <w:color w:val="000000" w:themeColor="text1"/>
          <w:lang w:val="en-US"/>
        </w:rPr>
        <w:t xml:space="preserve"> our friend and colleague</w:t>
      </w:r>
      <w:r w:rsidR="00DF7E09" w:rsidRPr="008E3F16">
        <w:rPr>
          <w:bCs/>
          <w:color w:val="000000" w:themeColor="text1"/>
          <w:lang w:val="en-US"/>
        </w:rPr>
        <w:t xml:space="preserve"> Dr</w:t>
      </w:r>
      <w:r w:rsidR="00494A70" w:rsidRPr="008E3F16">
        <w:rPr>
          <w:bCs/>
          <w:color w:val="000000" w:themeColor="text1"/>
          <w:lang w:val="en-US"/>
        </w:rPr>
        <w:t>.</w:t>
      </w:r>
      <w:r w:rsidR="00B94EC9" w:rsidRPr="008E3F16">
        <w:rPr>
          <w:bCs/>
          <w:color w:val="000000" w:themeColor="text1"/>
          <w:lang w:val="en-US"/>
        </w:rPr>
        <w:t xml:space="preserve"> Meletios P Nigdelis, in lending us his voice for the audio core tip! </w:t>
      </w:r>
      <w:r w:rsidR="0088043C" w:rsidRPr="008E3F16">
        <w:rPr>
          <w:bCs/>
          <w:color w:val="000000" w:themeColor="text1"/>
          <w:lang w:val="en-US"/>
        </w:rPr>
        <w:t>The present study was presented at the 12</w:t>
      </w:r>
      <w:r w:rsidR="0088043C" w:rsidRPr="008E3F16">
        <w:rPr>
          <w:bCs/>
          <w:color w:val="000000" w:themeColor="text1"/>
          <w:vertAlign w:val="superscript"/>
          <w:lang w:val="en-US"/>
        </w:rPr>
        <w:t>th</w:t>
      </w:r>
      <w:r w:rsidR="0088043C" w:rsidRPr="008E3F16">
        <w:rPr>
          <w:bCs/>
          <w:color w:val="000000" w:themeColor="text1"/>
          <w:lang w:val="en-US"/>
        </w:rPr>
        <w:t xml:space="preserve"> International Congress on Autoimmunity and the 11</w:t>
      </w:r>
      <w:r w:rsidR="0088043C" w:rsidRPr="008E3F16">
        <w:rPr>
          <w:bCs/>
          <w:color w:val="000000" w:themeColor="text1"/>
          <w:vertAlign w:val="superscript"/>
          <w:lang w:val="en-US"/>
        </w:rPr>
        <w:t>th</w:t>
      </w:r>
      <w:r w:rsidR="0088043C" w:rsidRPr="008E3F16">
        <w:rPr>
          <w:bCs/>
          <w:color w:val="000000" w:themeColor="text1"/>
          <w:lang w:val="en-US"/>
        </w:rPr>
        <w:t xml:space="preserve"> Greek Immunology Congress, both held in Athens, Greece.</w:t>
      </w:r>
    </w:p>
    <w:p w14:paraId="04C5A5FD" w14:textId="77777777" w:rsidR="0028429C" w:rsidRPr="008E3F16" w:rsidRDefault="0028429C" w:rsidP="00C66188">
      <w:pPr>
        <w:adjustRightInd w:val="0"/>
        <w:snapToGrid w:val="0"/>
        <w:spacing w:line="360" w:lineRule="auto"/>
        <w:jc w:val="both"/>
        <w:rPr>
          <w:rFonts w:ascii="Book Antiqua" w:hAnsi="Book Antiqua" w:cs="Times New Roman"/>
          <w:color w:val="000000" w:themeColor="text1"/>
          <w:lang w:val="en-US"/>
        </w:rPr>
      </w:pPr>
    </w:p>
    <w:p w14:paraId="2D7D9907" w14:textId="77777777" w:rsidR="008702A6" w:rsidRPr="008E3F16" w:rsidRDefault="004E33F1" w:rsidP="00C66188">
      <w:pPr>
        <w:adjustRightInd w:val="0"/>
        <w:snapToGrid w:val="0"/>
        <w:spacing w:line="360" w:lineRule="auto"/>
        <w:jc w:val="both"/>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REFERENCES</w:t>
      </w:r>
    </w:p>
    <w:p w14:paraId="07F7C1AA"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1 </w:t>
      </w:r>
      <w:r w:rsidRPr="008E3F16">
        <w:rPr>
          <w:rFonts w:ascii="Book Antiqua" w:hAnsi="Book Antiqua" w:cs="Times New Roman"/>
          <w:b/>
          <w:bCs/>
          <w:color w:val="000000" w:themeColor="text1"/>
          <w:lang w:val="en-US"/>
        </w:rPr>
        <w:t>Hoops TC</w:t>
      </w:r>
      <w:r w:rsidRPr="008E3F16">
        <w:rPr>
          <w:rFonts w:ascii="Book Antiqua" w:hAnsi="Book Antiqua" w:cs="Times New Roman"/>
          <w:color w:val="000000" w:themeColor="text1"/>
          <w:lang w:val="en-US"/>
        </w:rPr>
        <w:t xml:space="preserve">, Ivanov I, Cui Z, Colomer-Gould V, Rindler MJ. Incorporation of the pancreatic membrane protein GP-2 into secretory granules in exocrine but not endocrine cells. </w:t>
      </w:r>
      <w:r w:rsidRPr="008E3F16">
        <w:rPr>
          <w:rFonts w:ascii="Book Antiqua" w:hAnsi="Book Antiqua" w:cs="Times New Roman"/>
          <w:i/>
          <w:iCs/>
          <w:color w:val="000000" w:themeColor="text1"/>
          <w:lang w:val="en-US"/>
        </w:rPr>
        <w:t>J Biol Chem</w:t>
      </w:r>
      <w:r w:rsidRPr="008E3F16">
        <w:rPr>
          <w:rFonts w:ascii="Book Antiqua" w:hAnsi="Book Antiqua" w:cs="Times New Roman"/>
          <w:color w:val="000000" w:themeColor="text1"/>
          <w:lang w:val="en-US"/>
        </w:rPr>
        <w:t xml:space="preserve"> 1993; </w:t>
      </w:r>
      <w:r w:rsidRPr="008E3F16">
        <w:rPr>
          <w:rFonts w:ascii="Book Antiqua" w:hAnsi="Book Antiqua" w:cs="Times New Roman"/>
          <w:b/>
          <w:bCs/>
          <w:color w:val="000000" w:themeColor="text1"/>
          <w:lang w:val="en-US"/>
        </w:rPr>
        <w:t>268</w:t>
      </w:r>
      <w:r w:rsidRPr="008E3F16">
        <w:rPr>
          <w:rFonts w:ascii="Book Antiqua" w:hAnsi="Book Antiqua" w:cs="Times New Roman"/>
          <w:color w:val="000000" w:themeColor="text1"/>
          <w:lang w:val="en-US"/>
        </w:rPr>
        <w:t>: 25694-25705 [PMID: 7503984]</w:t>
      </w:r>
    </w:p>
    <w:p w14:paraId="46CD39C0"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2 </w:t>
      </w:r>
      <w:r w:rsidRPr="008E3F16">
        <w:rPr>
          <w:rFonts w:ascii="Book Antiqua" w:hAnsi="Book Antiqua" w:cs="Times New Roman"/>
          <w:b/>
          <w:bCs/>
          <w:color w:val="000000" w:themeColor="text1"/>
          <w:lang w:val="en-US"/>
        </w:rPr>
        <w:t>Roggenbuck D</w:t>
      </w:r>
      <w:r w:rsidRPr="008E3F16">
        <w:rPr>
          <w:rFonts w:ascii="Book Antiqua" w:hAnsi="Book Antiqua" w:cs="Times New Roman"/>
          <w:color w:val="000000" w:themeColor="text1"/>
          <w:lang w:val="en-US"/>
        </w:rPr>
        <w:t xml:space="preserve">, Reinhold D, Werner L, Schierack P, Bogdanos DP, Conrad K. Glycoprotein 2 antibodies in Crohn's disease. </w:t>
      </w:r>
      <w:r w:rsidRPr="008E3F16">
        <w:rPr>
          <w:rFonts w:ascii="Book Antiqua" w:hAnsi="Book Antiqua" w:cs="Times New Roman"/>
          <w:i/>
          <w:iCs/>
          <w:color w:val="000000" w:themeColor="text1"/>
          <w:lang w:val="en-US"/>
        </w:rPr>
        <w:t>Adv Clin Chem</w:t>
      </w:r>
      <w:r w:rsidRPr="008E3F16">
        <w:rPr>
          <w:rFonts w:ascii="Book Antiqua" w:hAnsi="Book Antiqua" w:cs="Times New Roman"/>
          <w:color w:val="000000" w:themeColor="text1"/>
          <w:lang w:val="en-US"/>
        </w:rPr>
        <w:t xml:space="preserve"> 2013; </w:t>
      </w:r>
      <w:r w:rsidRPr="008E3F16">
        <w:rPr>
          <w:rFonts w:ascii="Book Antiqua" w:hAnsi="Book Antiqua" w:cs="Times New Roman"/>
          <w:b/>
          <w:bCs/>
          <w:color w:val="000000" w:themeColor="text1"/>
          <w:lang w:val="en-US"/>
        </w:rPr>
        <w:t>60</w:t>
      </w:r>
      <w:r w:rsidRPr="008E3F16">
        <w:rPr>
          <w:rFonts w:ascii="Book Antiqua" w:hAnsi="Book Antiqua" w:cs="Times New Roman"/>
          <w:color w:val="000000" w:themeColor="text1"/>
          <w:lang w:val="en-US"/>
        </w:rPr>
        <w:t>: 187-208 [PMID: 23724745 DOI: 10.1016/B978-0-12-407681-5.00006-4]</w:t>
      </w:r>
    </w:p>
    <w:p w14:paraId="4A2D4DEC" w14:textId="6DFAD798"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highlight w:val="yellow"/>
          <w:lang w:val="en-US"/>
        </w:rPr>
        <w:t xml:space="preserve">3 </w:t>
      </w:r>
      <w:r w:rsidRPr="008E3F16">
        <w:rPr>
          <w:rFonts w:ascii="Book Antiqua" w:hAnsi="Book Antiqua" w:cs="Times New Roman"/>
          <w:b/>
          <w:bCs/>
          <w:color w:val="000000" w:themeColor="text1"/>
          <w:highlight w:val="yellow"/>
          <w:lang w:val="en-US"/>
        </w:rPr>
        <w:t>Conrad K</w:t>
      </w:r>
      <w:r w:rsidRPr="008E3F16">
        <w:rPr>
          <w:rFonts w:ascii="Book Antiqua" w:hAnsi="Book Antiqua" w:cs="Times New Roman"/>
          <w:color w:val="000000" w:themeColor="text1"/>
          <w:highlight w:val="yellow"/>
          <w:lang w:val="en-US"/>
        </w:rPr>
        <w:t xml:space="preserve">, Hausdorf G, Feist E, Reinhold D, Jungblut P, Porstmann T, Laass M, Henker J, Roggenbuck D. Identification of GP2 as the major autoantigen of pancreatic autoantibodies. </w:t>
      </w:r>
      <w:r w:rsidR="00393B4C" w:rsidRPr="008E3F16">
        <w:rPr>
          <w:rFonts w:ascii="Book Antiqua" w:eastAsia="宋体" w:hAnsi="Book Antiqua" w:cs="Arial"/>
          <w:bCs/>
          <w:color w:val="000000" w:themeColor="text1"/>
          <w:highlight w:val="yellow"/>
          <w:lang w:val="en-US"/>
        </w:rPr>
        <w:t>Proceedings of</w:t>
      </w:r>
      <w:r w:rsidR="00393B4C" w:rsidRPr="008E3F16">
        <w:rPr>
          <w:rFonts w:ascii="Book Antiqua" w:hAnsi="Book Antiqua" w:cs="Times New Roman"/>
          <w:color w:val="000000" w:themeColor="text1"/>
          <w:highlight w:val="yellow"/>
          <w:lang w:val="en-US"/>
        </w:rPr>
        <w:t xml:space="preserve"> </w:t>
      </w:r>
      <w:r w:rsidRPr="008E3F16">
        <w:rPr>
          <w:rFonts w:ascii="Book Antiqua" w:hAnsi="Book Antiqua" w:cs="Times New Roman"/>
          <w:color w:val="000000" w:themeColor="text1"/>
          <w:highlight w:val="yellow"/>
          <w:lang w:val="en-US"/>
        </w:rPr>
        <w:t>the 6th Congress on Autoimmunity</w:t>
      </w:r>
      <w:r w:rsidR="001A1AF5" w:rsidRPr="008E3F16">
        <w:rPr>
          <w:rFonts w:ascii="Book Antiqua" w:hAnsi="Book Antiqua" w:cs="Times New Roman"/>
          <w:color w:val="000000" w:themeColor="text1"/>
          <w:highlight w:val="yellow"/>
          <w:lang w:val="en-US"/>
        </w:rPr>
        <w:t>; 2008 Sep 9-13;</w:t>
      </w:r>
      <w:r w:rsidRPr="008E3F16">
        <w:rPr>
          <w:rFonts w:ascii="Book Antiqua" w:hAnsi="Book Antiqua" w:cs="Times New Roman"/>
          <w:color w:val="000000" w:themeColor="text1"/>
          <w:highlight w:val="yellow"/>
          <w:lang w:val="en-US"/>
        </w:rPr>
        <w:t xml:space="preserve"> Porto, Portugal</w:t>
      </w:r>
      <w:r w:rsidR="001A1AF5" w:rsidRPr="008E3F16">
        <w:rPr>
          <w:rFonts w:ascii="Book Antiqua" w:hAnsi="Book Antiqua" w:cs="Times New Roman"/>
          <w:color w:val="000000" w:themeColor="text1"/>
          <w:highlight w:val="yellow"/>
          <w:lang w:val="en-US"/>
        </w:rPr>
        <w:t>. Immunotherapy,</w:t>
      </w:r>
      <w:r w:rsidRPr="008E3F16">
        <w:rPr>
          <w:rFonts w:ascii="Book Antiqua" w:hAnsi="Book Antiqua" w:cs="Times New Roman"/>
          <w:color w:val="000000" w:themeColor="text1"/>
          <w:highlight w:val="yellow"/>
          <w:lang w:val="en-US"/>
        </w:rPr>
        <w:t xml:space="preserve"> 2008.</w:t>
      </w:r>
    </w:p>
    <w:p w14:paraId="4713220A"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4 </w:t>
      </w:r>
      <w:r w:rsidRPr="008E3F16">
        <w:rPr>
          <w:rFonts w:ascii="Book Antiqua" w:hAnsi="Book Antiqua" w:cs="Times New Roman"/>
          <w:b/>
          <w:bCs/>
          <w:color w:val="000000" w:themeColor="text1"/>
          <w:lang w:val="en-US"/>
        </w:rPr>
        <w:t>Hase K</w:t>
      </w:r>
      <w:r w:rsidRPr="008E3F16">
        <w:rPr>
          <w:rFonts w:ascii="Book Antiqua" w:hAnsi="Book Antiqua" w:cs="Times New Roman"/>
          <w:color w:val="000000" w:themeColor="text1"/>
          <w:lang w:val="en-US"/>
        </w:rPr>
        <w:t xml:space="preserve">, Kawano K, Nochi T, Pontes GS, Fukuda S, Ebisawa M, Kadokura K, Tobe T, Fujimura Y, Kawano S, Yabashi A, Waguri S, Nakato G, Kimura S, Murakami T, Iimura M, Hamura K, Fukuoka S, Lowe AW, Itoh K, Kiyono H, Ohno H. Uptake through glycoprotein </w:t>
      </w:r>
      <w:r w:rsidRPr="008E3F16">
        <w:rPr>
          <w:rFonts w:ascii="Book Antiqua" w:hAnsi="Book Antiqua" w:cs="Times New Roman"/>
          <w:color w:val="000000" w:themeColor="text1"/>
          <w:lang w:val="en-US"/>
        </w:rPr>
        <w:lastRenderedPageBreak/>
        <w:t xml:space="preserve">2 of FimH(+) bacteria by M cells initiates mucosal immune response. </w:t>
      </w:r>
      <w:r w:rsidRPr="008E3F16">
        <w:rPr>
          <w:rFonts w:ascii="Book Antiqua" w:hAnsi="Book Antiqua" w:cs="Times New Roman"/>
          <w:i/>
          <w:iCs/>
          <w:color w:val="000000" w:themeColor="text1"/>
          <w:lang w:val="en-US"/>
        </w:rPr>
        <w:t>Nature</w:t>
      </w:r>
      <w:r w:rsidRPr="008E3F16">
        <w:rPr>
          <w:rFonts w:ascii="Book Antiqua" w:hAnsi="Book Antiqua" w:cs="Times New Roman"/>
          <w:color w:val="000000" w:themeColor="text1"/>
          <w:lang w:val="en-US"/>
        </w:rPr>
        <w:t xml:space="preserve"> 2009; </w:t>
      </w:r>
      <w:r w:rsidRPr="008E3F16">
        <w:rPr>
          <w:rFonts w:ascii="Book Antiqua" w:hAnsi="Book Antiqua" w:cs="Times New Roman"/>
          <w:b/>
          <w:bCs/>
          <w:color w:val="000000" w:themeColor="text1"/>
          <w:lang w:val="en-US"/>
        </w:rPr>
        <w:t>462</w:t>
      </w:r>
      <w:r w:rsidRPr="008E3F16">
        <w:rPr>
          <w:rFonts w:ascii="Book Antiqua" w:hAnsi="Book Antiqua" w:cs="Times New Roman"/>
          <w:color w:val="000000" w:themeColor="text1"/>
          <w:lang w:val="en-US"/>
        </w:rPr>
        <w:t>: 226-230 [PMID: 19907495 DOI: 10.1038/nature08529]</w:t>
      </w:r>
    </w:p>
    <w:p w14:paraId="440DA22A"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5 </w:t>
      </w:r>
      <w:r w:rsidRPr="008E3F16">
        <w:rPr>
          <w:rFonts w:ascii="Book Antiqua" w:hAnsi="Book Antiqua" w:cs="Times New Roman"/>
          <w:b/>
          <w:bCs/>
          <w:color w:val="000000" w:themeColor="text1"/>
          <w:lang w:val="en-US"/>
        </w:rPr>
        <w:t>Terahara K</w:t>
      </w:r>
      <w:r w:rsidRPr="008E3F16">
        <w:rPr>
          <w:rFonts w:ascii="Book Antiqua" w:hAnsi="Book Antiqua" w:cs="Times New Roman"/>
          <w:color w:val="000000" w:themeColor="text1"/>
          <w:lang w:val="en-US"/>
        </w:rPr>
        <w:t xml:space="preserve">, Yoshida M, Igarashi O, Nochi T, Pontes GS, Hase K, Ohno H, Kurokawa S, Mejima M, Takayama N, Yuki Y, Lowe AW, Kiyono H. Comprehensive gene expression profiling of Peyer's patch M cells, villous M-like cells, and intestinal epithelial cells. </w:t>
      </w:r>
      <w:r w:rsidRPr="008E3F16">
        <w:rPr>
          <w:rFonts w:ascii="Book Antiqua" w:hAnsi="Book Antiqua" w:cs="Times New Roman"/>
          <w:i/>
          <w:iCs/>
          <w:color w:val="000000" w:themeColor="text1"/>
          <w:lang w:val="en-US"/>
        </w:rPr>
        <w:t>J Immunol</w:t>
      </w:r>
      <w:r w:rsidRPr="008E3F16">
        <w:rPr>
          <w:rFonts w:ascii="Book Antiqua" w:hAnsi="Book Antiqua" w:cs="Times New Roman"/>
          <w:color w:val="000000" w:themeColor="text1"/>
          <w:lang w:val="en-US"/>
        </w:rPr>
        <w:t xml:space="preserve"> 2008; </w:t>
      </w:r>
      <w:r w:rsidRPr="008E3F16">
        <w:rPr>
          <w:rFonts w:ascii="Book Antiqua" w:hAnsi="Book Antiqua" w:cs="Times New Roman"/>
          <w:b/>
          <w:bCs/>
          <w:color w:val="000000" w:themeColor="text1"/>
          <w:lang w:val="en-US"/>
        </w:rPr>
        <w:t>180</w:t>
      </w:r>
      <w:r w:rsidRPr="008E3F16">
        <w:rPr>
          <w:rFonts w:ascii="Book Antiqua" w:hAnsi="Book Antiqua" w:cs="Times New Roman"/>
          <w:color w:val="000000" w:themeColor="text1"/>
          <w:lang w:val="en-US"/>
        </w:rPr>
        <w:t>: 7840-7846 [PMID: 18523247 DOI: 10.4049/jimmunol.180.12.7840]</w:t>
      </w:r>
    </w:p>
    <w:p w14:paraId="5A12F880"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6 </w:t>
      </w:r>
      <w:r w:rsidRPr="008E3F16">
        <w:rPr>
          <w:rFonts w:ascii="Book Antiqua" w:hAnsi="Book Antiqua" w:cs="Times New Roman"/>
          <w:b/>
          <w:bCs/>
          <w:color w:val="000000" w:themeColor="text1"/>
          <w:lang w:val="en-US"/>
        </w:rPr>
        <w:t>Ohno H</w:t>
      </w:r>
      <w:r w:rsidRPr="008E3F16">
        <w:rPr>
          <w:rFonts w:ascii="Book Antiqua" w:hAnsi="Book Antiqua" w:cs="Times New Roman"/>
          <w:color w:val="000000" w:themeColor="text1"/>
          <w:lang w:val="en-US"/>
        </w:rPr>
        <w:t xml:space="preserve">, Hase K. Glycoprotein 2 (GP2): grabbing the FimH bacteria into M cells for mucosal immunity. </w:t>
      </w:r>
      <w:r w:rsidRPr="008E3F16">
        <w:rPr>
          <w:rFonts w:ascii="Book Antiqua" w:hAnsi="Book Antiqua" w:cs="Times New Roman"/>
          <w:i/>
          <w:iCs/>
          <w:color w:val="000000" w:themeColor="text1"/>
          <w:lang w:val="en-US"/>
        </w:rPr>
        <w:t>Gut Microbes</w:t>
      </w:r>
      <w:r w:rsidRPr="008E3F16">
        <w:rPr>
          <w:rFonts w:ascii="Book Antiqua" w:hAnsi="Book Antiqua" w:cs="Times New Roman"/>
          <w:color w:val="000000" w:themeColor="text1"/>
          <w:lang w:val="en-US"/>
        </w:rPr>
        <w:t xml:space="preserve"> 2010; </w:t>
      </w:r>
      <w:r w:rsidRPr="008E3F16">
        <w:rPr>
          <w:rFonts w:ascii="Book Antiqua" w:hAnsi="Book Antiqua" w:cs="Times New Roman"/>
          <w:b/>
          <w:bCs/>
          <w:color w:val="000000" w:themeColor="text1"/>
          <w:lang w:val="en-US"/>
        </w:rPr>
        <w:t>1</w:t>
      </w:r>
      <w:r w:rsidRPr="008E3F16">
        <w:rPr>
          <w:rFonts w:ascii="Book Antiqua" w:hAnsi="Book Antiqua" w:cs="Times New Roman"/>
          <w:color w:val="000000" w:themeColor="text1"/>
          <w:lang w:val="en-US"/>
        </w:rPr>
        <w:t>: 407-410 [PMID: 21468225 DOI: 10.4161/gmic.1.6.14078]</w:t>
      </w:r>
    </w:p>
    <w:p w14:paraId="24D43F23"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7 </w:t>
      </w:r>
      <w:r w:rsidRPr="008E3F16">
        <w:rPr>
          <w:rFonts w:ascii="Book Antiqua" w:hAnsi="Book Antiqua" w:cs="Times New Roman"/>
          <w:b/>
          <w:bCs/>
          <w:color w:val="000000" w:themeColor="text1"/>
          <w:lang w:val="en-US"/>
        </w:rPr>
        <w:t>Roggenbuck D</w:t>
      </w:r>
      <w:r w:rsidRPr="008E3F16">
        <w:rPr>
          <w:rFonts w:ascii="Book Antiqua" w:hAnsi="Book Antiqua" w:cs="Times New Roman"/>
          <w:color w:val="000000" w:themeColor="text1"/>
          <w:lang w:val="en-US"/>
        </w:rPr>
        <w:t xml:space="preserve">, Reinhold D, Schierack P, Bogdanos DP, Conrad K, Laass MW. Crohn's disease specific pancreatic antibodies: clinical and pathophysiological challenges. </w:t>
      </w:r>
      <w:r w:rsidRPr="008E3F16">
        <w:rPr>
          <w:rFonts w:ascii="Book Antiqua" w:hAnsi="Book Antiqua" w:cs="Times New Roman"/>
          <w:i/>
          <w:iCs/>
          <w:color w:val="000000" w:themeColor="text1"/>
          <w:lang w:val="en-US"/>
        </w:rPr>
        <w:t>Clin Chem Lab Med</w:t>
      </w:r>
      <w:r w:rsidRPr="008E3F16">
        <w:rPr>
          <w:rFonts w:ascii="Book Antiqua" w:hAnsi="Book Antiqua" w:cs="Times New Roman"/>
          <w:color w:val="000000" w:themeColor="text1"/>
          <w:lang w:val="en-US"/>
        </w:rPr>
        <w:t xml:space="preserve"> 2014; </w:t>
      </w:r>
      <w:r w:rsidRPr="008E3F16">
        <w:rPr>
          <w:rFonts w:ascii="Book Antiqua" w:hAnsi="Book Antiqua" w:cs="Times New Roman"/>
          <w:b/>
          <w:bCs/>
          <w:color w:val="000000" w:themeColor="text1"/>
          <w:lang w:val="en-US"/>
        </w:rPr>
        <w:t>52</w:t>
      </w:r>
      <w:r w:rsidRPr="008E3F16">
        <w:rPr>
          <w:rFonts w:ascii="Book Antiqua" w:hAnsi="Book Antiqua" w:cs="Times New Roman"/>
          <w:color w:val="000000" w:themeColor="text1"/>
          <w:lang w:val="en-US"/>
        </w:rPr>
        <w:t>: 483-494 [PMID: 24231127 DOI: 10.1515/cclm-2013-0801]</w:t>
      </w:r>
    </w:p>
    <w:p w14:paraId="7D86E61F"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8 </w:t>
      </w:r>
      <w:r w:rsidRPr="008E3F16">
        <w:rPr>
          <w:rFonts w:ascii="Book Antiqua" w:hAnsi="Book Antiqua" w:cs="Times New Roman"/>
          <w:b/>
          <w:bCs/>
          <w:color w:val="000000" w:themeColor="text1"/>
          <w:lang w:val="en-US"/>
        </w:rPr>
        <w:t>Stange EF</w:t>
      </w:r>
      <w:r w:rsidRPr="008E3F16">
        <w:rPr>
          <w:rFonts w:ascii="Book Antiqua" w:hAnsi="Book Antiqua" w:cs="Times New Roman"/>
          <w:color w:val="000000" w:themeColor="text1"/>
          <w:lang w:val="en-US"/>
        </w:rPr>
        <w:t xml:space="preserve">, Travis SP, Vermeire S, Beglinger C, Kupcinkas L, Geboes K, Barakauskiene A, Villanacci V, Von Herbay A, Warren BF, Gasche C, Tilg H, Schreiber SW, Schölmerich J, Reinisch W; European Crohn's and Colitis Organisation. European evidence based consensus on the diagnosis and management of Crohn's disease: definitions and diagnosis. </w:t>
      </w:r>
      <w:r w:rsidRPr="008E3F16">
        <w:rPr>
          <w:rFonts w:ascii="Book Antiqua" w:hAnsi="Book Antiqua" w:cs="Times New Roman"/>
          <w:i/>
          <w:iCs/>
          <w:color w:val="000000" w:themeColor="text1"/>
          <w:lang w:val="en-US"/>
        </w:rPr>
        <w:t>Gut</w:t>
      </w:r>
      <w:r w:rsidRPr="008E3F16">
        <w:rPr>
          <w:rFonts w:ascii="Book Antiqua" w:hAnsi="Book Antiqua" w:cs="Times New Roman"/>
          <w:color w:val="000000" w:themeColor="text1"/>
          <w:lang w:val="en-US"/>
        </w:rPr>
        <w:t xml:space="preserve"> 2006; </w:t>
      </w:r>
      <w:r w:rsidRPr="008E3F16">
        <w:rPr>
          <w:rFonts w:ascii="Book Antiqua" w:hAnsi="Book Antiqua" w:cs="Times New Roman"/>
          <w:b/>
          <w:bCs/>
          <w:color w:val="000000" w:themeColor="text1"/>
          <w:lang w:val="en-US"/>
        </w:rPr>
        <w:t xml:space="preserve">55 </w:t>
      </w:r>
      <w:r w:rsidRPr="008E3F16">
        <w:rPr>
          <w:rFonts w:ascii="Book Antiqua" w:hAnsi="Book Antiqua" w:cs="Times New Roman"/>
          <w:color w:val="000000" w:themeColor="text1"/>
          <w:lang w:val="en-US"/>
        </w:rPr>
        <w:t>Suppl 1: i1-15 [PMID: 16481628 DOI: 10.1136/gut.2005.081950a]</w:t>
      </w:r>
    </w:p>
    <w:p w14:paraId="3B372D3F" w14:textId="55A2D355"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9 </w:t>
      </w:r>
      <w:r w:rsidRPr="008E3F16">
        <w:rPr>
          <w:rFonts w:ascii="Book Antiqua" w:hAnsi="Book Antiqua" w:cs="Times New Roman"/>
          <w:b/>
          <w:bCs/>
          <w:color w:val="000000" w:themeColor="text1"/>
          <w:lang w:val="en-US"/>
        </w:rPr>
        <w:t>IBD Working Group of the European Society for Paediatric Gastroenterology, Hepatology and Nutrition</w:t>
      </w:r>
      <w:r w:rsidRPr="008E3F16">
        <w:rPr>
          <w:rFonts w:ascii="Book Antiqua" w:hAnsi="Book Antiqua" w:cs="Times New Roman"/>
          <w:color w:val="000000" w:themeColor="text1"/>
          <w:lang w:val="en-US"/>
        </w:rPr>
        <w:t xml:space="preserve">. Inflammatory bowel disease in children and adolescents: recommendations for diagnosis--the Porto criteria. </w:t>
      </w:r>
      <w:r w:rsidRPr="008E3F16">
        <w:rPr>
          <w:rFonts w:ascii="Book Antiqua" w:hAnsi="Book Antiqua" w:cs="Times New Roman"/>
          <w:i/>
          <w:iCs/>
          <w:color w:val="000000" w:themeColor="text1"/>
          <w:lang w:val="en-US"/>
        </w:rPr>
        <w:t>J Pediatr Gastroenterol Nutr</w:t>
      </w:r>
      <w:r w:rsidRPr="008E3F16">
        <w:rPr>
          <w:rFonts w:ascii="Book Antiqua" w:hAnsi="Book Antiqua" w:cs="Times New Roman"/>
          <w:color w:val="000000" w:themeColor="text1"/>
          <w:lang w:val="en-US"/>
        </w:rPr>
        <w:t xml:space="preserve"> 2005; </w:t>
      </w:r>
      <w:r w:rsidRPr="008E3F16">
        <w:rPr>
          <w:rFonts w:ascii="Book Antiqua" w:hAnsi="Book Antiqua" w:cs="Times New Roman"/>
          <w:b/>
          <w:bCs/>
          <w:color w:val="000000" w:themeColor="text1"/>
          <w:lang w:val="en-US"/>
        </w:rPr>
        <w:t>41</w:t>
      </w:r>
      <w:r w:rsidRPr="008E3F16">
        <w:rPr>
          <w:rFonts w:ascii="Book Antiqua" w:hAnsi="Book Antiqua" w:cs="Times New Roman"/>
          <w:color w:val="000000" w:themeColor="text1"/>
          <w:lang w:val="en-US"/>
        </w:rPr>
        <w:t>: 1-7 [PMID: 15990620 DOI: 10.1097/01.MPG.0000163736.30261.82]</w:t>
      </w:r>
    </w:p>
    <w:p w14:paraId="4ECF98A3"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10 </w:t>
      </w:r>
      <w:r w:rsidRPr="008E3F16">
        <w:rPr>
          <w:rFonts w:ascii="Book Antiqua" w:hAnsi="Book Antiqua" w:cs="Times New Roman"/>
          <w:b/>
          <w:bCs/>
          <w:color w:val="000000" w:themeColor="text1"/>
          <w:lang w:val="en-US"/>
        </w:rPr>
        <w:t>Marlicz W</w:t>
      </w:r>
      <w:r w:rsidRPr="008E3F16">
        <w:rPr>
          <w:rFonts w:ascii="Book Antiqua" w:hAnsi="Book Antiqua" w:cs="Times New Roman"/>
          <w:color w:val="000000" w:themeColor="text1"/>
          <w:lang w:val="en-US"/>
        </w:rPr>
        <w:t xml:space="preserve">, Skonieczna-Żydecka K, Dabos KJ, Łoniewski I, Koulaouzidis A. Emerging concepts in non-invasive monitoring of Crohn's disease. </w:t>
      </w:r>
      <w:r w:rsidRPr="008E3F16">
        <w:rPr>
          <w:rFonts w:ascii="Book Antiqua" w:hAnsi="Book Antiqua" w:cs="Times New Roman"/>
          <w:i/>
          <w:iCs/>
          <w:color w:val="000000" w:themeColor="text1"/>
          <w:lang w:val="en-US"/>
        </w:rPr>
        <w:t>Therap Adv Gastroenterol</w:t>
      </w:r>
      <w:r w:rsidRPr="008E3F16">
        <w:rPr>
          <w:rFonts w:ascii="Book Antiqua" w:hAnsi="Book Antiqua" w:cs="Times New Roman"/>
          <w:color w:val="000000" w:themeColor="text1"/>
          <w:lang w:val="en-US"/>
        </w:rPr>
        <w:t xml:space="preserve"> 2018; </w:t>
      </w:r>
      <w:r w:rsidRPr="008E3F16">
        <w:rPr>
          <w:rFonts w:ascii="Book Antiqua" w:hAnsi="Book Antiqua" w:cs="Times New Roman"/>
          <w:b/>
          <w:bCs/>
          <w:color w:val="000000" w:themeColor="text1"/>
          <w:lang w:val="en-US"/>
        </w:rPr>
        <w:t>11</w:t>
      </w:r>
      <w:r w:rsidRPr="008E3F16">
        <w:rPr>
          <w:rFonts w:ascii="Book Antiqua" w:hAnsi="Book Antiqua" w:cs="Times New Roman"/>
          <w:color w:val="000000" w:themeColor="text1"/>
          <w:lang w:val="en-US"/>
        </w:rPr>
        <w:t>: 1756284818769076 [PMID: 29707039 DOI: 10.1177/1756284818769076]</w:t>
      </w:r>
    </w:p>
    <w:p w14:paraId="0D1F7B63"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11 </w:t>
      </w:r>
      <w:r w:rsidRPr="008E3F16">
        <w:rPr>
          <w:rFonts w:ascii="Book Antiqua" w:hAnsi="Book Antiqua" w:cs="Times New Roman"/>
          <w:b/>
          <w:bCs/>
          <w:color w:val="000000" w:themeColor="text1"/>
          <w:lang w:val="en-US"/>
        </w:rPr>
        <w:t>Castiglione F</w:t>
      </w:r>
      <w:r w:rsidRPr="008E3F16">
        <w:rPr>
          <w:rFonts w:ascii="Book Antiqua" w:hAnsi="Book Antiqua" w:cs="Times New Roman"/>
          <w:color w:val="000000" w:themeColor="text1"/>
          <w:lang w:val="en-US"/>
        </w:rPr>
        <w:t xml:space="preserve">, Mainenti PP, De Palma GD, Testa A, Bucci L, Pesce G, Camera L, Diaferia M, Rea M, Caporaso N, Salvatore M, Rispo A. Noninvasive diagnosis of small bowel Crohn's disease: direct comparison of bowel sonography and magnetic resonance enterography. </w:t>
      </w:r>
      <w:r w:rsidRPr="008E3F16">
        <w:rPr>
          <w:rFonts w:ascii="Book Antiqua" w:hAnsi="Book Antiqua" w:cs="Times New Roman"/>
          <w:i/>
          <w:iCs/>
          <w:color w:val="000000" w:themeColor="text1"/>
          <w:lang w:val="en-US"/>
        </w:rPr>
        <w:t>Inflamm Bowel Dis</w:t>
      </w:r>
      <w:r w:rsidRPr="008E3F16">
        <w:rPr>
          <w:rFonts w:ascii="Book Antiqua" w:hAnsi="Book Antiqua" w:cs="Times New Roman"/>
          <w:color w:val="000000" w:themeColor="text1"/>
          <w:lang w:val="en-US"/>
        </w:rPr>
        <w:t xml:space="preserve"> 2013; </w:t>
      </w:r>
      <w:r w:rsidRPr="008E3F16">
        <w:rPr>
          <w:rFonts w:ascii="Book Antiqua" w:hAnsi="Book Antiqua" w:cs="Times New Roman"/>
          <w:b/>
          <w:bCs/>
          <w:color w:val="000000" w:themeColor="text1"/>
          <w:lang w:val="en-US"/>
        </w:rPr>
        <w:t>19</w:t>
      </w:r>
      <w:r w:rsidRPr="008E3F16">
        <w:rPr>
          <w:rFonts w:ascii="Book Antiqua" w:hAnsi="Book Antiqua" w:cs="Times New Roman"/>
          <w:color w:val="000000" w:themeColor="text1"/>
          <w:lang w:val="en-US"/>
        </w:rPr>
        <w:t>: 991-998 [PMID: 23429465 DOI: 10.1097/MIB.0b013e3182802b87]</w:t>
      </w:r>
    </w:p>
    <w:p w14:paraId="0BCD3419"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12 </w:t>
      </w:r>
      <w:r w:rsidRPr="008E3F16">
        <w:rPr>
          <w:rFonts w:ascii="Book Antiqua" w:hAnsi="Book Antiqua" w:cs="Times New Roman"/>
          <w:b/>
          <w:bCs/>
          <w:color w:val="000000" w:themeColor="text1"/>
          <w:lang w:val="en-US"/>
        </w:rPr>
        <w:t>Bianchi MT</w:t>
      </w:r>
      <w:r w:rsidRPr="008E3F16">
        <w:rPr>
          <w:rFonts w:ascii="Book Antiqua" w:hAnsi="Book Antiqua" w:cs="Times New Roman"/>
          <w:color w:val="000000" w:themeColor="text1"/>
          <w:lang w:val="en-US"/>
        </w:rPr>
        <w:t xml:space="preserve">, Alexander BM. Evidence based diagnosis: does the language reflect the theory? </w:t>
      </w:r>
      <w:r w:rsidRPr="008E3F16">
        <w:rPr>
          <w:rFonts w:ascii="Book Antiqua" w:hAnsi="Book Antiqua" w:cs="Times New Roman"/>
          <w:i/>
          <w:iCs/>
          <w:color w:val="000000" w:themeColor="text1"/>
          <w:lang w:val="en-US"/>
        </w:rPr>
        <w:t>BMJ</w:t>
      </w:r>
      <w:r w:rsidRPr="008E3F16">
        <w:rPr>
          <w:rFonts w:ascii="Book Antiqua" w:hAnsi="Book Antiqua" w:cs="Times New Roman"/>
          <w:color w:val="000000" w:themeColor="text1"/>
          <w:lang w:val="en-US"/>
        </w:rPr>
        <w:t xml:space="preserve"> 2006; </w:t>
      </w:r>
      <w:r w:rsidRPr="008E3F16">
        <w:rPr>
          <w:rFonts w:ascii="Book Antiqua" w:hAnsi="Book Antiqua" w:cs="Times New Roman"/>
          <w:b/>
          <w:bCs/>
          <w:color w:val="000000" w:themeColor="text1"/>
          <w:lang w:val="en-US"/>
        </w:rPr>
        <w:t>333</w:t>
      </w:r>
      <w:r w:rsidRPr="008E3F16">
        <w:rPr>
          <w:rFonts w:ascii="Book Antiqua" w:hAnsi="Book Antiqua" w:cs="Times New Roman"/>
          <w:color w:val="000000" w:themeColor="text1"/>
          <w:lang w:val="en-US"/>
        </w:rPr>
        <w:t>: 442-445 [PMID: 16931846 DOI: 10.1136/bmj.38915.558738.55]</w:t>
      </w:r>
    </w:p>
    <w:p w14:paraId="5A546039"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13 </w:t>
      </w:r>
      <w:r w:rsidRPr="008E3F16">
        <w:rPr>
          <w:rFonts w:ascii="Book Antiqua" w:hAnsi="Book Antiqua" w:cs="Times New Roman"/>
          <w:b/>
          <w:bCs/>
          <w:color w:val="000000" w:themeColor="text1"/>
          <w:lang w:val="en-US"/>
        </w:rPr>
        <w:t>Kim KW</w:t>
      </w:r>
      <w:r w:rsidRPr="008E3F16">
        <w:rPr>
          <w:rFonts w:ascii="Book Antiqua" w:hAnsi="Book Antiqua" w:cs="Times New Roman"/>
          <w:color w:val="000000" w:themeColor="text1"/>
          <w:lang w:val="en-US"/>
        </w:rPr>
        <w:t xml:space="preserve">, Lee J, Choi SH, Huh J, Park SH. Systematic Review and Meta-Analysis of Studies Evaluating Diagnostic Test Accuracy: A Practical Review for Clinical Researchers-Part I. General Guidance and Tips. </w:t>
      </w:r>
      <w:r w:rsidRPr="008E3F16">
        <w:rPr>
          <w:rFonts w:ascii="Book Antiqua" w:hAnsi="Book Antiqua" w:cs="Times New Roman"/>
          <w:i/>
          <w:iCs/>
          <w:color w:val="000000" w:themeColor="text1"/>
          <w:lang w:val="en-US"/>
        </w:rPr>
        <w:t>Korean J Radiol</w:t>
      </w:r>
      <w:r w:rsidRPr="008E3F16">
        <w:rPr>
          <w:rFonts w:ascii="Book Antiqua" w:hAnsi="Book Antiqua" w:cs="Times New Roman"/>
          <w:color w:val="000000" w:themeColor="text1"/>
          <w:lang w:val="en-US"/>
        </w:rPr>
        <w:t xml:space="preserve"> 2015; </w:t>
      </w:r>
      <w:r w:rsidRPr="008E3F16">
        <w:rPr>
          <w:rFonts w:ascii="Book Antiqua" w:hAnsi="Book Antiqua" w:cs="Times New Roman"/>
          <w:b/>
          <w:bCs/>
          <w:color w:val="000000" w:themeColor="text1"/>
          <w:lang w:val="en-US"/>
        </w:rPr>
        <w:t>16</w:t>
      </w:r>
      <w:r w:rsidRPr="008E3F16">
        <w:rPr>
          <w:rFonts w:ascii="Book Antiqua" w:hAnsi="Book Antiqua" w:cs="Times New Roman"/>
          <w:color w:val="000000" w:themeColor="text1"/>
          <w:lang w:val="en-US"/>
        </w:rPr>
        <w:t xml:space="preserve">: 1175-1187 [PMID: 26576106 DOI: </w:t>
      </w:r>
      <w:r w:rsidRPr="008E3F16">
        <w:rPr>
          <w:rFonts w:ascii="Book Antiqua" w:hAnsi="Book Antiqua" w:cs="Times New Roman"/>
          <w:color w:val="000000" w:themeColor="text1"/>
          <w:lang w:val="en-US"/>
        </w:rPr>
        <w:lastRenderedPageBreak/>
        <w:t>10.3348/kjr.2015.16.6.1175]</w:t>
      </w:r>
    </w:p>
    <w:p w14:paraId="71FC4CEF"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14 </w:t>
      </w:r>
      <w:r w:rsidRPr="008E3F16">
        <w:rPr>
          <w:rFonts w:ascii="Book Antiqua" w:hAnsi="Book Antiqua" w:cs="Times New Roman"/>
          <w:b/>
          <w:bCs/>
          <w:color w:val="000000" w:themeColor="text1"/>
          <w:lang w:val="en-US"/>
        </w:rPr>
        <w:t>Deng C</w:t>
      </w:r>
      <w:r w:rsidRPr="008E3F16">
        <w:rPr>
          <w:rFonts w:ascii="Book Antiqua" w:hAnsi="Book Antiqua" w:cs="Times New Roman"/>
          <w:color w:val="000000" w:themeColor="text1"/>
          <w:lang w:val="en-US"/>
        </w:rPr>
        <w:t xml:space="preserve">, Li W, Li J, Zhang S, Li Y. Diagnostic value of the antiglycoprotein-2 antibody for Crohn's disease: a PRISMA-compliant systematic review and meta-analysis. </w:t>
      </w:r>
      <w:r w:rsidRPr="008E3F16">
        <w:rPr>
          <w:rFonts w:ascii="Book Antiqua" w:hAnsi="Book Antiqua" w:cs="Times New Roman"/>
          <w:i/>
          <w:iCs/>
          <w:color w:val="000000" w:themeColor="text1"/>
          <w:lang w:val="en-US"/>
        </w:rPr>
        <w:t>BMJ Open</w:t>
      </w:r>
      <w:r w:rsidRPr="008E3F16">
        <w:rPr>
          <w:rFonts w:ascii="Book Antiqua" w:hAnsi="Book Antiqua" w:cs="Times New Roman"/>
          <w:color w:val="000000" w:themeColor="text1"/>
          <w:lang w:val="en-US"/>
        </w:rPr>
        <w:t xml:space="preserve"> 2017; </w:t>
      </w:r>
      <w:r w:rsidRPr="008E3F16">
        <w:rPr>
          <w:rFonts w:ascii="Book Antiqua" w:hAnsi="Book Antiqua" w:cs="Times New Roman"/>
          <w:b/>
          <w:bCs/>
          <w:color w:val="000000" w:themeColor="text1"/>
          <w:lang w:val="en-US"/>
        </w:rPr>
        <w:t>7</w:t>
      </w:r>
      <w:r w:rsidRPr="008E3F16">
        <w:rPr>
          <w:rFonts w:ascii="Book Antiqua" w:hAnsi="Book Antiqua" w:cs="Times New Roman"/>
          <w:color w:val="000000" w:themeColor="text1"/>
          <w:lang w:val="en-US"/>
        </w:rPr>
        <w:t>: e014843 [PMID: 28601823 DOI: 10.1136/bmjopen-2016-014843]</w:t>
      </w:r>
    </w:p>
    <w:p w14:paraId="7720720B"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15 </w:t>
      </w:r>
      <w:r w:rsidRPr="008E3F16">
        <w:rPr>
          <w:rFonts w:ascii="Book Antiqua" w:hAnsi="Book Antiqua" w:cs="Times New Roman"/>
          <w:b/>
          <w:bCs/>
          <w:color w:val="000000" w:themeColor="text1"/>
          <w:lang w:val="en-US"/>
        </w:rPr>
        <w:t>Leeflang MM</w:t>
      </w:r>
      <w:r w:rsidRPr="008E3F16">
        <w:rPr>
          <w:rFonts w:ascii="Book Antiqua" w:hAnsi="Book Antiqua" w:cs="Times New Roman"/>
          <w:color w:val="000000" w:themeColor="text1"/>
          <w:lang w:val="en-US"/>
        </w:rPr>
        <w:t xml:space="preserve">, Deeks JJ, Gatsonis C, Bossuyt PM; Cochrane Diagnostic Test Accuracy Working Group. Systematic reviews of diagnostic test accuracy. </w:t>
      </w:r>
      <w:r w:rsidRPr="008E3F16">
        <w:rPr>
          <w:rFonts w:ascii="Book Antiqua" w:hAnsi="Book Antiqua" w:cs="Times New Roman"/>
          <w:i/>
          <w:iCs/>
          <w:color w:val="000000" w:themeColor="text1"/>
          <w:lang w:val="en-US"/>
        </w:rPr>
        <w:t>Ann Intern Med</w:t>
      </w:r>
      <w:r w:rsidRPr="008E3F16">
        <w:rPr>
          <w:rFonts w:ascii="Book Antiqua" w:hAnsi="Book Antiqua" w:cs="Times New Roman"/>
          <w:color w:val="000000" w:themeColor="text1"/>
          <w:lang w:val="en-US"/>
        </w:rPr>
        <w:t xml:space="preserve"> 2008; </w:t>
      </w:r>
      <w:r w:rsidRPr="008E3F16">
        <w:rPr>
          <w:rFonts w:ascii="Book Antiqua" w:hAnsi="Book Antiqua" w:cs="Times New Roman"/>
          <w:b/>
          <w:bCs/>
          <w:color w:val="000000" w:themeColor="text1"/>
          <w:lang w:val="en-US"/>
        </w:rPr>
        <w:t>149</w:t>
      </w:r>
      <w:r w:rsidRPr="008E3F16">
        <w:rPr>
          <w:rFonts w:ascii="Book Antiqua" w:hAnsi="Book Antiqua" w:cs="Times New Roman"/>
          <w:color w:val="000000" w:themeColor="text1"/>
          <w:lang w:val="en-US"/>
        </w:rPr>
        <w:t>: 889-897 [PMID: 19075208 DOI: 10.7326/0003-4819-149-12-200812160-00008]</w:t>
      </w:r>
    </w:p>
    <w:p w14:paraId="32C40EB3"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16 </w:t>
      </w:r>
      <w:r w:rsidRPr="008E3F16">
        <w:rPr>
          <w:rFonts w:ascii="Book Antiqua" w:hAnsi="Book Antiqua" w:cs="Times New Roman"/>
          <w:b/>
          <w:bCs/>
          <w:color w:val="000000" w:themeColor="text1"/>
          <w:lang w:val="en-US"/>
        </w:rPr>
        <w:t>Rutjes AW</w:t>
      </w:r>
      <w:r w:rsidRPr="008E3F16">
        <w:rPr>
          <w:rFonts w:ascii="Book Antiqua" w:hAnsi="Book Antiqua" w:cs="Times New Roman"/>
          <w:color w:val="000000" w:themeColor="text1"/>
          <w:lang w:val="en-US"/>
        </w:rPr>
        <w:t xml:space="preserve">, Reitsma JB, Di Nisio M, Smidt N, van Rijn JC, Bossuyt PM. Evidence of bias and variation in diagnostic accuracy studies. </w:t>
      </w:r>
      <w:r w:rsidRPr="008E3F16">
        <w:rPr>
          <w:rFonts w:ascii="Book Antiqua" w:hAnsi="Book Antiqua" w:cs="Times New Roman"/>
          <w:i/>
          <w:iCs/>
          <w:color w:val="000000" w:themeColor="text1"/>
          <w:lang w:val="en-US"/>
        </w:rPr>
        <w:t>CMAJ</w:t>
      </w:r>
      <w:r w:rsidRPr="008E3F16">
        <w:rPr>
          <w:rFonts w:ascii="Book Antiqua" w:hAnsi="Book Antiqua" w:cs="Times New Roman"/>
          <w:color w:val="000000" w:themeColor="text1"/>
          <w:lang w:val="en-US"/>
        </w:rPr>
        <w:t xml:space="preserve"> 2006; </w:t>
      </w:r>
      <w:r w:rsidRPr="008E3F16">
        <w:rPr>
          <w:rFonts w:ascii="Book Antiqua" w:hAnsi="Book Antiqua" w:cs="Times New Roman"/>
          <w:b/>
          <w:bCs/>
          <w:color w:val="000000" w:themeColor="text1"/>
          <w:lang w:val="en-US"/>
        </w:rPr>
        <w:t>174</w:t>
      </w:r>
      <w:r w:rsidRPr="008E3F16">
        <w:rPr>
          <w:rFonts w:ascii="Book Antiqua" w:hAnsi="Book Antiqua" w:cs="Times New Roman"/>
          <w:color w:val="000000" w:themeColor="text1"/>
          <w:lang w:val="en-US"/>
        </w:rPr>
        <w:t>: 469-476 [PMID: 16477057 DOI: 10.1503/cmaj.050090]</w:t>
      </w:r>
    </w:p>
    <w:p w14:paraId="2674C8DD"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17 </w:t>
      </w:r>
      <w:r w:rsidRPr="008E3F16">
        <w:rPr>
          <w:rFonts w:ascii="Book Antiqua" w:hAnsi="Book Antiqua" w:cs="Times New Roman"/>
          <w:b/>
          <w:bCs/>
          <w:color w:val="000000" w:themeColor="text1"/>
          <w:lang w:val="en-US"/>
        </w:rPr>
        <w:t>Lijmer JG</w:t>
      </w:r>
      <w:r w:rsidRPr="008E3F16">
        <w:rPr>
          <w:rFonts w:ascii="Book Antiqua" w:hAnsi="Book Antiqua" w:cs="Times New Roman"/>
          <w:color w:val="000000" w:themeColor="text1"/>
          <w:lang w:val="en-US"/>
        </w:rPr>
        <w:t xml:space="preserve">, Mol BW, Heisterkamp S, Bonsel GJ, Prins MH, van der Meulen JH, Bossuyt PM. Empirical evidence of design-related bias in studies of diagnostic tests. </w:t>
      </w:r>
      <w:r w:rsidRPr="008E3F16">
        <w:rPr>
          <w:rFonts w:ascii="Book Antiqua" w:hAnsi="Book Antiqua" w:cs="Times New Roman"/>
          <w:i/>
          <w:iCs/>
          <w:color w:val="000000" w:themeColor="text1"/>
          <w:lang w:val="en-US"/>
        </w:rPr>
        <w:t>JAMA</w:t>
      </w:r>
      <w:r w:rsidRPr="008E3F16">
        <w:rPr>
          <w:rFonts w:ascii="Book Antiqua" w:hAnsi="Book Antiqua" w:cs="Times New Roman"/>
          <w:color w:val="000000" w:themeColor="text1"/>
          <w:lang w:val="en-US"/>
        </w:rPr>
        <w:t xml:space="preserve"> 1999; </w:t>
      </w:r>
      <w:r w:rsidRPr="008E3F16">
        <w:rPr>
          <w:rFonts w:ascii="Book Antiqua" w:hAnsi="Book Antiqua" w:cs="Times New Roman"/>
          <w:b/>
          <w:bCs/>
          <w:color w:val="000000" w:themeColor="text1"/>
          <w:lang w:val="en-US"/>
        </w:rPr>
        <w:t>282</w:t>
      </w:r>
      <w:r w:rsidRPr="008E3F16">
        <w:rPr>
          <w:rFonts w:ascii="Book Antiqua" w:hAnsi="Book Antiqua" w:cs="Times New Roman"/>
          <w:color w:val="000000" w:themeColor="text1"/>
          <w:lang w:val="en-US"/>
        </w:rPr>
        <w:t>: 1061-1066 [PMID: 10493205 DOI: 10.1001/jama.282.11.1061]</w:t>
      </w:r>
    </w:p>
    <w:p w14:paraId="694A85F9"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18 </w:t>
      </w:r>
      <w:r w:rsidRPr="008E3F16">
        <w:rPr>
          <w:rFonts w:ascii="Book Antiqua" w:hAnsi="Book Antiqua" w:cs="Times New Roman"/>
          <w:b/>
          <w:bCs/>
          <w:color w:val="000000" w:themeColor="text1"/>
          <w:lang w:val="en-US"/>
        </w:rPr>
        <w:t>Bae JM</w:t>
      </w:r>
      <w:r w:rsidRPr="008E3F16">
        <w:rPr>
          <w:rFonts w:ascii="Book Antiqua" w:hAnsi="Book Antiqua" w:cs="Times New Roman"/>
          <w:color w:val="000000" w:themeColor="text1"/>
          <w:lang w:val="en-US"/>
        </w:rPr>
        <w:t xml:space="preserve">. An overview of systematic reviews of diagnostic tests accuracy. </w:t>
      </w:r>
      <w:r w:rsidRPr="008E3F16">
        <w:rPr>
          <w:rFonts w:ascii="Book Antiqua" w:hAnsi="Book Antiqua" w:cs="Times New Roman"/>
          <w:i/>
          <w:iCs/>
          <w:color w:val="000000" w:themeColor="text1"/>
          <w:lang w:val="en-US"/>
        </w:rPr>
        <w:t>Epidemiol Health</w:t>
      </w:r>
      <w:r w:rsidRPr="008E3F16">
        <w:rPr>
          <w:rFonts w:ascii="Book Antiqua" w:hAnsi="Book Antiqua" w:cs="Times New Roman"/>
          <w:color w:val="000000" w:themeColor="text1"/>
          <w:lang w:val="en-US"/>
        </w:rPr>
        <w:t xml:space="preserve"> 2014; </w:t>
      </w:r>
      <w:r w:rsidRPr="008E3F16">
        <w:rPr>
          <w:rFonts w:ascii="Book Antiqua" w:hAnsi="Book Antiqua" w:cs="Times New Roman"/>
          <w:b/>
          <w:bCs/>
          <w:color w:val="000000" w:themeColor="text1"/>
          <w:lang w:val="en-US"/>
        </w:rPr>
        <w:t>36</w:t>
      </w:r>
      <w:r w:rsidRPr="008E3F16">
        <w:rPr>
          <w:rFonts w:ascii="Book Antiqua" w:hAnsi="Book Antiqua" w:cs="Times New Roman"/>
          <w:color w:val="000000" w:themeColor="text1"/>
          <w:lang w:val="en-US"/>
        </w:rPr>
        <w:t>: e2014016 [PMID: 25209601 DOI: 10.4178/epih/e2014016]</w:t>
      </w:r>
    </w:p>
    <w:p w14:paraId="6B028A6E"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19 </w:t>
      </w:r>
      <w:r w:rsidRPr="008E3F16">
        <w:rPr>
          <w:rFonts w:ascii="Book Antiqua" w:hAnsi="Book Antiqua" w:cs="Times New Roman"/>
          <w:b/>
          <w:bCs/>
          <w:color w:val="000000" w:themeColor="text1"/>
          <w:lang w:val="en-US"/>
        </w:rPr>
        <w:t>McGrath TA</w:t>
      </w:r>
      <w:r w:rsidRPr="008E3F16">
        <w:rPr>
          <w:rFonts w:ascii="Book Antiqua" w:hAnsi="Book Antiqua" w:cs="Times New Roman"/>
          <w:color w:val="000000" w:themeColor="text1"/>
          <w:lang w:val="en-US"/>
        </w:rPr>
        <w:t xml:space="preserve">, Alabousi M, Skidmore B, Korevaar DA, Bossuyt PMM, Moher D, Thombs B, McInnes MDF. Recommendations for reporting of systematic reviews and meta-analyses of diagnostic test accuracy: a systematic review. </w:t>
      </w:r>
      <w:r w:rsidRPr="008E3F16">
        <w:rPr>
          <w:rFonts w:ascii="Book Antiqua" w:hAnsi="Book Antiqua" w:cs="Times New Roman"/>
          <w:i/>
          <w:iCs/>
          <w:color w:val="000000" w:themeColor="text1"/>
          <w:lang w:val="en-US"/>
        </w:rPr>
        <w:t>Syst Rev</w:t>
      </w:r>
      <w:r w:rsidRPr="008E3F16">
        <w:rPr>
          <w:rFonts w:ascii="Book Antiqua" w:hAnsi="Book Antiqua" w:cs="Times New Roman"/>
          <w:color w:val="000000" w:themeColor="text1"/>
          <w:lang w:val="en-US"/>
        </w:rPr>
        <w:t xml:space="preserve"> 2017; </w:t>
      </w:r>
      <w:r w:rsidRPr="008E3F16">
        <w:rPr>
          <w:rFonts w:ascii="Book Antiqua" w:hAnsi="Book Antiqua" w:cs="Times New Roman"/>
          <w:b/>
          <w:bCs/>
          <w:color w:val="000000" w:themeColor="text1"/>
          <w:lang w:val="en-US"/>
        </w:rPr>
        <w:t>6</w:t>
      </w:r>
      <w:r w:rsidRPr="008E3F16">
        <w:rPr>
          <w:rFonts w:ascii="Book Antiqua" w:hAnsi="Book Antiqua" w:cs="Times New Roman"/>
          <w:color w:val="000000" w:themeColor="text1"/>
          <w:lang w:val="en-US"/>
        </w:rPr>
        <w:t>: 194 [PMID: 29017574 DOI: 10.1186/s13643-017-0590-8]</w:t>
      </w:r>
    </w:p>
    <w:p w14:paraId="5B858A28"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20 </w:t>
      </w:r>
      <w:r w:rsidRPr="008E3F16">
        <w:rPr>
          <w:rFonts w:ascii="Book Antiqua" w:hAnsi="Book Antiqua" w:cs="Times New Roman"/>
          <w:b/>
          <w:bCs/>
          <w:color w:val="000000" w:themeColor="text1"/>
          <w:lang w:val="en-US"/>
        </w:rPr>
        <w:t>McInnes MDF</w:t>
      </w:r>
      <w:r w:rsidRPr="008E3F16">
        <w:rPr>
          <w:rFonts w:ascii="Book Antiqua" w:hAnsi="Book Antiqua" w:cs="Times New Roman"/>
          <w:color w:val="000000" w:themeColor="text1"/>
          <w:lang w:val="en-US"/>
        </w:rPr>
        <w:t xml:space="preserve">, Moher D, Thombs BD, McGrath TA, Bossuyt PM; and the PRISMA-DTA Group, Clifford T, Cohen JF, Deeks JJ, Gatsonis C, Hooft L, Hunt HA, Hyde CJ, Korevaar DA, Leeflang MMG, Macaskill P, Reitsma JB, Rodin R, Rutjes AWS, Salameh JP, Stevens A, Takwoingi Y, Tonelli M, Weeks L, Whiting P, Willis BH. Preferred Reporting Items for a Systematic Review and Meta-analysis of Diagnostic Test Accuracy Studies: The PRISMA-DTA Statement. </w:t>
      </w:r>
      <w:r w:rsidRPr="008E3F16">
        <w:rPr>
          <w:rFonts w:ascii="Book Antiqua" w:hAnsi="Book Antiqua" w:cs="Times New Roman"/>
          <w:i/>
          <w:iCs/>
          <w:color w:val="000000" w:themeColor="text1"/>
          <w:lang w:val="en-US"/>
        </w:rPr>
        <w:t>JAMA</w:t>
      </w:r>
      <w:r w:rsidRPr="008E3F16">
        <w:rPr>
          <w:rFonts w:ascii="Book Antiqua" w:hAnsi="Book Antiqua" w:cs="Times New Roman"/>
          <w:color w:val="000000" w:themeColor="text1"/>
          <w:lang w:val="en-US"/>
        </w:rPr>
        <w:t xml:space="preserve"> 2018; </w:t>
      </w:r>
      <w:r w:rsidRPr="008E3F16">
        <w:rPr>
          <w:rFonts w:ascii="Book Antiqua" w:hAnsi="Book Antiqua" w:cs="Times New Roman"/>
          <w:b/>
          <w:bCs/>
          <w:color w:val="000000" w:themeColor="text1"/>
          <w:lang w:val="en-US"/>
        </w:rPr>
        <w:t>319</w:t>
      </w:r>
      <w:r w:rsidRPr="008E3F16">
        <w:rPr>
          <w:rFonts w:ascii="Book Antiqua" w:hAnsi="Book Antiqua" w:cs="Times New Roman"/>
          <w:color w:val="000000" w:themeColor="text1"/>
          <w:lang w:val="en-US"/>
        </w:rPr>
        <w:t>: 388-396 [PMID: 29362800 DOI: 10.1001/jama.2017.19163]</w:t>
      </w:r>
    </w:p>
    <w:p w14:paraId="2D120576"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21 </w:t>
      </w:r>
      <w:r w:rsidRPr="008E3F16">
        <w:rPr>
          <w:rFonts w:ascii="Book Antiqua" w:hAnsi="Book Antiqua" w:cs="Times New Roman"/>
          <w:b/>
          <w:bCs/>
          <w:color w:val="000000" w:themeColor="text1"/>
          <w:lang w:val="en-US"/>
        </w:rPr>
        <w:t>Hanauer SB</w:t>
      </w:r>
      <w:r w:rsidRPr="008E3F16">
        <w:rPr>
          <w:rFonts w:ascii="Book Antiqua" w:hAnsi="Book Antiqua" w:cs="Times New Roman"/>
          <w:color w:val="000000" w:themeColor="text1"/>
          <w:lang w:val="en-US"/>
        </w:rPr>
        <w:t xml:space="preserve">. Inflammatory bowel disease. </w:t>
      </w:r>
      <w:r w:rsidRPr="008E3F16">
        <w:rPr>
          <w:rFonts w:ascii="Book Antiqua" w:hAnsi="Book Antiqua" w:cs="Times New Roman"/>
          <w:i/>
          <w:iCs/>
          <w:color w:val="000000" w:themeColor="text1"/>
          <w:lang w:val="en-US"/>
        </w:rPr>
        <w:t>N Engl J Med</w:t>
      </w:r>
      <w:r w:rsidRPr="008E3F16">
        <w:rPr>
          <w:rFonts w:ascii="Book Antiqua" w:hAnsi="Book Antiqua" w:cs="Times New Roman"/>
          <w:color w:val="000000" w:themeColor="text1"/>
          <w:lang w:val="en-US"/>
        </w:rPr>
        <w:t xml:space="preserve"> 1996; </w:t>
      </w:r>
      <w:r w:rsidRPr="008E3F16">
        <w:rPr>
          <w:rFonts w:ascii="Book Antiqua" w:hAnsi="Book Antiqua" w:cs="Times New Roman"/>
          <w:b/>
          <w:bCs/>
          <w:color w:val="000000" w:themeColor="text1"/>
          <w:lang w:val="en-US"/>
        </w:rPr>
        <w:t>334</w:t>
      </w:r>
      <w:r w:rsidRPr="008E3F16">
        <w:rPr>
          <w:rFonts w:ascii="Book Antiqua" w:hAnsi="Book Antiqua" w:cs="Times New Roman"/>
          <w:color w:val="000000" w:themeColor="text1"/>
          <w:lang w:val="en-US"/>
        </w:rPr>
        <w:t>: 841-848 [PMID: 8596552 DOI: 10.1056/NEJM199603283341307]</w:t>
      </w:r>
    </w:p>
    <w:p w14:paraId="27684D0C"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22 </w:t>
      </w:r>
      <w:r w:rsidRPr="008E3F16">
        <w:rPr>
          <w:rFonts w:ascii="Book Antiqua" w:hAnsi="Book Antiqua" w:cs="Times New Roman"/>
          <w:b/>
          <w:bCs/>
          <w:color w:val="000000" w:themeColor="text1"/>
          <w:lang w:val="en-US"/>
        </w:rPr>
        <w:t>Harbord M</w:t>
      </w:r>
      <w:r w:rsidRPr="008E3F16">
        <w:rPr>
          <w:rFonts w:ascii="Book Antiqua" w:hAnsi="Book Antiqua" w:cs="Times New Roman"/>
          <w:color w:val="000000" w:themeColor="text1"/>
          <w:lang w:val="en-US"/>
        </w:rPr>
        <w:t xml:space="preserve">, Annese V, Vavricka SR, Allez M, Barreiro-de Acosta M, Boberg KM, Burisch J, De Vos M, De Vries AM, Dick AD, Juillerat P, Karlsen TH, Koutroubakis I, Lakatos PL, Orchard T, Papay P, Raine T, Reinshagen M, Thaci D, Tilg H, Carbonnel F; European Crohn’s and Colitis Organisation. The First European Evidence-based Consensus on Extra-intestinal Manifestations in Inflammatory Bowel Disease. </w:t>
      </w:r>
      <w:r w:rsidRPr="008E3F16">
        <w:rPr>
          <w:rFonts w:ascii="Book Antiqua" w:hAnsi="Book Antiqua" w:cs="Times New Roman"/>
          <w:i/>
          <w:iCs/>
          <w:color w:val="000000" w:themeColor="text1"/>
          <w:lang w:val="en-US"/>
        </w:rPr>
        <w:t>J Crohns Colitis</w:t>
      </w:r>
      <w:r w:rsidRPr="008E3F16">
        <w:rPr>
          <w:rFonts w:ascii="Book Antiqua" w:hAnsi="Book Antiqua" w:cs="Times New Roman"/>
          <w:color w:val="000000" w:themeColor="text1"/>
          <w:lang w:val="en-US"/>
        </w:rPr>
        <w:t xml:space="preserve"> 2016; </w:t>
      </w:r>
      <w:r w:rsidRPr="008E3F16">
        <w:rPr>
          <w:rFonts w:ascii="Book Antiqua" w:hAnsi="Book Antiqua" w:cs="Times New Roman"/>
          <w:b/>
          <w:bCs/>
          <w:color w:val="000000" w:themeColor="text1"/>
          <w:lang w:val="en-US"/>
        </w:rPr>
        <w:t>10</w:t>
      </w:r>
      <w:r w:rsidRPr="008E3F16">
        <w:rPr>
          <w:rFonts w:ascii="Book Antiqua" w:hAnsi="Book Antiqua" w:cs="Times New Roman"/>
          <w:color w:val="000000" w:themeColor="text1"/>
          <w:lang w:val="en-US"/>
        </w:rPr>
        <w:t>: 239-254 [PMID: 26614685 DOI: 10.1093/ecco-jcc/jjv213]</w:t>
      </w:r>
    </w:p>
    <w:p w14:paraId="67607C48"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23 </w:t>
      </w:r>
      <w:r w:rsidRPr="008E3F16">
        <w:rPr>
          <w:rFonts w:ascii="Book Antiqua" w:hAnsi="Book Antiqua" w:cs="Times New Roman"/>
          <w:b/>
          <w:bCs/>
          <w:color w:val="000000" w:themeColor="text1"/>
          <w:lang w:val="en-US"/>
        </w:rPr>
        <w:t>Dignass A</w:t>
      </w:r>
      <w:r w:rsidRPr="008E3F16">
        <w:rPr>
          <w:rFonts w:ascii="Book Antiqua" w:hAnsi="Book Antiqua" w:cs="Times New Roman"/>
          <w:color w:val="000000" w:themeColor="text1"/>
          <w:lang w:val="en-US"/>
        </w:rPr>
        <w:t xml:space="preserve">, Van Assche G, Lindsay JO, Lémann M, Söderholm J, Colombel JF, Danese S, </w:t>
      </w:r>
      <w:r w:rsidRPr="008E3F16">
        <w:rPr>
          <w:rFonts w:ascii="Book Antiqua" w:hAnsi="Book Antiqua" w:cs="Times New Roman"/>
          <w:color w:val="000000" w:themeColor="text1"/>
          <w:lang w:val="en-US"/>
        </w:rPr>
        <w:lastRenderedPageBreak/>
        <w:t xml:space="preserve">D'Hoore A, Gassull M, Gomollón F, Hommes DW, Michetti P, O'Morain C, Oresland T, Windsor A, Stange EF, Travis SP; European Crohn's and Colitis Organisation (ECCO). The second European evidence-based Consensus on the diagnosis and management of Crohn's disease: Current management. </w:t>
      </w:r>
      <w:r w:rsidRPr="008E3F16">
        <w:rPr>
          <w:rFonts w:ascii="Book Antiqua" w:hAnsi="Book Antiqua" w:cs="Times New Roman"/>
          <w:i/>
          <w:iCs/>
          <w:color w:val="000000" w:themeColor="text1"/>
          <w:lang w:val="en-US"/>
        </w:rPr>
        <w:t>J Crohns Colitis</w:t>
      </w:r>
      <w:r w:rsidRPr="008E3F16">
        <w:rPr>
          <w:rFonts w:ascii="Book Antiqua" w:hAnsi="Book Antiqua" w:cs="Times New Roman"/>
          <w:color w:val="000000" w:themeColor="text1"/>
          <w:lang w:val="en-US"/>
        </w:rPr>
        <w:t xml:space="preserve"> 2010; </w:t>
      </w:r>
      <w:r w:rsidRPr="008E3F16">
        <w:rPr>
          <w:rFonts w:ascii="Book Antiqua" w:hAnsi="Book Antiqua" w:cs="Times New Roman"/>
          <w:b/>
          <w:bCs/>
          <w:color w:val="000000" w:themeColor="text1"/>
          <w:lang w:val="en-US"/>
        </w:rPr>
        <w:t>4</w:t>
      </w:r>
      <w:r w:rsidRPr="008E3F16">
        <w:rPr>
          <w:rFonts w:ascii="Book Antiqua" w:hAnsi="Book Antiqua" w:cs="Times New Roman"/>
          <w:color w:val="000000" w:themeColor="text1"/>
          <w:lang w:val="en-US"/>
        </w:rPr>
        <w:t>: 28-62 [PMID: 21122489 DOI: 10.1016/j.crohns.2009.12.002]</w:t>
      </w:r>
    </w:p>
    <w:p w14:paraId="7B8CB576"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24 </w:t>
      </w:r>
      <w:r w:rsidRPr="008E3F16">
        <w:rPr>
          <w:rFonts w:ascii="Book Antiqua" w:hAnsi="Book Antiqua" w:cs="Times New Roman"/>
          <w:b/>
          <w:bCs/>
          <w:color w:val="000000" w:themeColor="text1"/>
          <w:lang w:val="en-US"/>
        </w:rPr>
        <w:t>Lennard-Jones JE</w:t>
      </w:r>
      <w:r w:rsidRPr="008E3F16">
        <w:rPr>
          <w:rFonts w:ascii="Book Antiqua" w:hAnsi="Book Antiqua" w:cs="Times New Roman"/>
          <w:color w:val="000000" w:themeColor="text1"/>
          <w:lang w:val="en-US"/>
        </w:rPr>
        <w:t xml:space="preserve">. Classification of inflammatory bowel disease. </w:t>
      </w:r>
      <w:r w:rsidRPr="008E3F16">
        <w:rPr>
          <w:rFonts w:ascii="Book Antiqua" w:hAnsi="Book Antiqua" w:cs="Times New Roman"/>
          <w:i/>
          <w:iCs/>
          <w:color w:val="000000" w:themeColor="text1"/>
          <w:lang w:val="en-US"/>
        </w:rPr>
        <w:t>Scand J Gastroenterol Suppl</w:t>
      </w:r>
      <w:r w:rsidRPr="008E3F16">
        <w:rPr>
          <w:rFonts w:ascii="Book Antiqua" w:hAnsi="Book Antiqua" w:cs="Times New Roman"/>
          <w:color w:val="000000" w:themeColor="text1"/>
          <w:lang w:val="en-US"/>
        </w:rPr>
        <w:t xml:space="preserve"> 1989; </w:t>
      </w:r>
      <w:r w:rsidRPr="008E3F16">
        <w:rPr>
          <w:rFonts w:ascii="Book Antiqua" w:hAnsi="Book Antiqua" w:cs="Times New Roman"/>
          <w:b/>
          <w:bCs/>
          <w:color w:val="000000" w:themeColor="text1"/>
          <w:lang w:val="en-US"/>
        </w:rPr>
        <w:t>170</w:t>
      </w:r>
      <w:r w:rsidRPr="008E3F16">
        <w:rPr>
          <w:rFonts w:ascii="Book Antiqua" w:hAnsi="Book Antiqua" w:cs="Times New Roman"/>
          <w:color w:val="000000" w:themeColor="text1"/>
          <w:lang w:val="en-US"/>
        </w:rPr>
        <w:t>: 2-6; discussion 16-9 [PMID: 2617184 DOI: 10.3109/00365528909091339]</w:t>
      </w:r>
    </w:p>
    <w:p w14:paraId="601A71DE"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25 </w:t>
      </w:r>
      <w:r w:rsidRPr="008E3F16">
        <w:rPr>
          <w:rFonts w:ascii="Book Antiqua" w:hAnsi="Book Antiqua" w:cs="Times New Roman"/>
          <w:b/>
          <w:bCs/>
          <w:color w:val="000000" w:themeColor="text1"/>
          <w:lang w:val="en-US"/>
        </w:rPr>
        <w:t>Levine A</w:t>
      </w:r>
      <w:r w:rsidRPr="008E3F16">
        <w:rPr>
          <w:rFonts w:ascii="Book Antiqua" w:hAnsi="Book Antiqua" w:cs="Times New Roman"/>
          <w:color w:val="000000" w:themeColor="text1"/>
          <w:lang w:val="en-US"/>
        </w:rPr>
        <w:t xml:space="preserve">, Koletzko S, Turner D, Escher JC, Cucchiara S, de Ridder L, Kolho KL, Veres G, Russell RK, Paerregaard A, Buderus S, Greer ML, Dias JA, Veereman-Wauters G, Lionetti P, Sladek M, Martin de Carpi J, Staiano A, Ruemmele FM, Wilson DC; European Society of Pediatric Gastroenterology, Hepatology, and Nutrition. ESPGHAN revised porto criteria for the diagnosis of inflammatory bowel disease in children and adolescents. </w:t>
      </w:r>
      <w:r w:rsidRPr="008E3F16">
        <w:rPr>
          <w:rFonts w:ascii="Book Antiqua" w:hAnsi="Book Antiqua" w:cs="Times New Roman"/>
          <w:i/>
          <w:iCs/>
          <w:color w:val="000000" w:themeColor="text1"/>
          <w:lang w:val="en-US"/>
        </w:rPr>
        <w:t>J Pediatr Gastroenterol Nutr</w:t>
      </w:r>
      <w:r w:rsidRPr="008E3F16">
        <w:rPr>
          <w:rFonts w:ascii="Book Antiqua" w:hAnsi="Book Antiqua" w:cs="Times New Roman"/>
          <w:color w:val="000000" w:themeColor="text1"/>
          <w:lang w:val="en-US"/>
        </w:rPr>
        <w:t xml:space="preserve"> 2014; </w:t>
      </w:r>
      <w:r w:rsidRPr="008E3F16">
        <w:rPr>
          <w:rFonts w:ascii="Book Antiqua" w:hAnsi="Book Antiqua" w:cs="Times New Roman"/>
          <w:b/>
          <w:bCs/>
          <w:color w:val="000000" w:themeColor="text1"/>
          <w:lang w:val="en-US"/>
        </w:rPr>
        <w:t>58</w:t>
      </w:r>
      <w:r w:rsidRPr="008E3F16">
        <w:rPr>
          <w:rFonts w:ascii="Book Antiqua" w:hAnsi="Book Antiqua" w:cs="Times New Roman"/>
          <w:color w:val="000000" w:themeColor="text1"/>
          <w:lang w:val="en-US"/>
        </w:rPr>
        <w:t>: 795-806 [PMID: 24231644 DOI: 10.1097/MPG.0000000000000239]</w:t>
      </w:r>
    </w:p>
    <w:p w14:paraId="718F312E"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26 </w:t>
      </w:r>
      <w:r w:rsidRPr="008E3F16">
        <w:rPr>
          <w:rFonts w:ascii="Book Antiqua" w:hAnsi="Book Antiqua" w:cs="Times New Roman"/>
          <w:b/>
          <w:bCs/>
          <w:color w:val="000000" w:themeColor="text1"/>
          <w:lang w:val="en-US"/>
        </w:rPr>
        <w:t>Taylor KS</w:t>
      </w:r>
      <w:r w:rsidRPr="008E3F16">
        <w:rPr>
          <w:rFonts w:ascii="Book Antiqua" w:hAnsi="Book Antiqua" w:cs="Times New Roman"/>
          <w:color w:val="000000" w:themeColor="text1"/>
          <w:lang w:val="en-US"/>
        </w:rPr>
        <w:t xml:space="preserve">, Verbakel JY, Feakins BG, Price CP, Perera R, Bankhead C, Plüddemann A. Diagnostic accuracy of point-of-care natriuretic peptide testing for chronic heart failure in ambulatory care: systematic review and meta-analysis. </w:t>
      </w:r>
      <w:r w:rsidRPr="008E3F16">
        <w:rPr>
          <w:rFonts w:ascii="Book Antiqua" w:hAnsi="Book Antiqua" w:cs="Times New Roman"/>
          <w:i/>
          <w:iCs/>
          <w:color w:val="000000" w:themeColor="text1"/>
          <w:lang w:val="en-US"/>
        </w:rPr>
        <w:t>BMJ</w:t>
      </w:r>
      <w:r w:rsidRPr="008E3F16">
        <w:rPr>
          <w:rFonts w:ascii="Book Antiqua" w:hAnsi="Book Antiqua" w:cs="Times New Roman"/>
          <w:color w:val="000000" w:themeColor="text1"/>
          <w:lang w:val="en-US"/>
        </w:rPr>
        <w:t xml:space="preserve"> 2018; </w:t>
      </w:r>
      <w:r w:rsidRPr="008E3F16">
        <w:rPr>
          <w:rFonts w:ascii="Book Antiqua" w:hAnsi="Book Antiqua" w:cs="Times New Roman"/>
          <w:b/>
          <w:bCs/>
          <w:color w:val="000000" w:themeColor="text1"/>
          <w:lang w:val="en-US"/>
        </w:rPr>
        <w:t>361</w:t>
      </w:r>
      <w:r w:rsidRPr="008E3F16">
        <w:rPr>
          <w:rFonts w:ascii="Book Antiqua" w:hAnsi="Book Antiqua" w:cs="Times New Roman"/>
          <w:color w:val="000000" w:themeColor="text1"/>
          <w:lang w:val="en-US"/>
        </w:rPr>
        <w:t>: k1450 [PMID: 29785952 DOI: 10.1136/bmj.k1450]</w:t>
      </w:r>
    </w:p>
    <w:p w14:paraId="1D5EA241"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27 </w:t>
      </w:r>
      <w:r w:rsidRPr="008E3F16">
        <w:rPr>
          <w:rFonts w:ascii="Book Antiqua" w:hAnsi="Book Antiqua" w:cs="Times New Roman"/>
          <w:b/>
          <w:bCs/>
          <w:color w:val="000000" w:themeColor="text1"/>
          <w:lang w:val="en-US"/>
        </w:rPr>
        <w:t>Glas AS</w:t>
      </w:r>
      <w:r w:rsidRPr="008E3F16">
        <w:rPr>
          <w:rFonts w:ascii="Book Antiqua" w:hAnsi="Book Antiqua" w:cs="Times New Roman"/>
          <w:color w:val="000000" w:themeColor="text1"/>
          <w:lang w:val="en-US"/>
        </w:rPr>
        <w:t xml:space="preserve">, Lijmer JG, Prins MH, Bonsel GJ, Bossuyt PM. The diagnostic odds ratio: a single indicator of test performance. </w:t>
      </w:r>
      <w:r w:rsidRPr="008E3F16">
        <w:rPr>
          <w:rFonts w:ascii="Book Antiqua" w:hAnsi="Book Antiqua" w:cs="Times New Roman"/>
          <w:i/>
          <w:iCs/>
          <w:color w:val="000000" w:themeColor="text1"/>
          <w:lang w:val="en-US"/>
        </w:rPr>
        <w:t>J Clin Epidemiol</w:t>
      </w:r>
      <w:r w:rsidRPr="008E3F16">
        <w:rPr>
          <w:rFonts w:ascii="Book Antiqua" w:hAnsi="Book Antiqua" w:cs="Times New Roman"/>
          <w:color w:val="000000" w:themeColor="text1"/>
          <w:lang w:val="en-US"/>
        </w:rPr>
        <w:t xml:space="preserve"> 2003; </w:t>
      </w:r>
      <w:r w:rsidRPr="008E3F16">
        <w:rPr>
          <w:rFonts w:ascii="Book Antiqua" w:hAnsi="Book Antiqua" w:cs="Times New Roman"/>
          <w:b/>
          <w:bCs/>
          <w:color w:val="000000" w:themeColor="text1"/>
          <w:lang w:val="en-US"/>
        </w:rPr>
        <w:t>56</w:t>
      </w:r>
      <w:r w:rsidRPr="008E3F16">
        <w:rPr>
          <w:rFonts w:ascii="Book Antiqua" w:hAnsi="Book Antiqua" w:cs="Times New Roman"/>
          <w:color w:val="000000" w:themeColor="text1"/>
          <w:lang w:val="en-US"/>
        </w:rPr>
        <w:t>: 1129-1135 [PMID: 14615004 DOI: 10.1016/s0895-4356(03)00177-x]</w:t>
      </w:r>
    </w:p>
    <w:p w14:paraId="52836ADC"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28 </w:t>
      </w:r>
      <w:r w:rsidRPr="008E3F16">
        <w:rPr>
          <w:rFonts w:ascii="Book Antiqua" w:hAnsi="Book Antiqua" w:cs="Times New Roman"/>
          <w:b/>
          <w:bCs/>
          <w:color w:val="000000" w:themeColor="text1"/>
          <w:lang w:val="en-US"/>
        </w:rPr>
        <w:t>Devillé WL</w:t>
      </w:r>
      <w:r w:rsidRPr="008E3F16">
        <w:rPr>
          <w:rFonts w:ascii="Book Antiqua" w:hAnsi="Book Antiqua" w:cs="Times New Roman"/>
          <w:color w:val="000000" w:themeColor="text1"/>
          <w:lang w:val="en-US"/>
        </w:rPr>
        <w:t xml:space="preserve">, Buntinx F, Bouter LM, Montori VM, de Vet HC, van der Windt DA, Bezemer PD. Conducting systematic reviews of diagnostic studies: didactic guidelines. </w:t>
      </w:r>
      <w:r w:rsidRPr="008E3F16">
        <w:rPr>
          <w:rFonts w:ascii="Book Antiqua" w:hAnsi="Book Antiqua" w:cs="Times New Roman"/>
          <w:i/>
          <w:iCs/>
          <w:color w:val="000000" w:themeColor="text1"/>
          <w:lang w:val="en-US"/>
        </w:rPr>
        <w:t>BMC Med Res Methodol</w:t>
      </w:r>
      <w:r w:rsidRPr="008E3F16">
        <w:rPr>
          <w:rFonts w:ascii="Book Antiqua" w:hAnsi="Book Antiqua" w:cs="Times New Roman"/>
          <w:color w:val="000000" w:themeColor="text1"/>
          <w:lang w:val="en-US"/>
        </w:rPr>
        <w:t xml:space="preserve"> 2002; </w:t>
      </w:r>
      <w:r w:rsidRPr="008E3F16">
        <w:rPr>
          <w:rFonts w:ascii="Book Antiqua" w:hAnsi="Book Antiqua" w:cs="Times New Roman"/>
          <w:b/>
          <w:bCs/>
          <w:color w:val="000000" w:themeColor="text1"/>
          <w:lang w:val="en-US"/>
        </w:rPr>
        <w:t>2</w:t>
      </w:r>
      <w:r w:rsidRPr="008E3F16">
        <w:rPr>
          <w:rFonts w:ascii="Book Antiqua" w:hAnsi="Book Antiqua" w:cs="Times New Roman"/>
          <w:color w:val="000000" w:themeColor="text1"/>
          <w:lang w:val="en-US"/>
        </w:rPr>
        <w:t>: 9 [PMID: 12097142 DOI: 10.1186/1471-2288-2-9]</w:t>
      </w:r>
    </w:p>
    <w:p w14:paraId="16A74C32" w14:textId="7D905EB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highlight w:val="yellow"/>
          <w:lang w:val="en-US"/>
        </w:rPr>
        <w:t xml:space="preserve">29 </w:t>
      </w:r>
      <w:r w:rsidRPr="008E3F16">
        <w:rPr>
          <w:rFonts w:ascii="Book Antiqua" w:hAnsi="Book Antiqua" w:cs="Times New Roman"/>
          <w:b/>
          <w:bCs/>
          <w:color w:val="000000" w:themeColor="text1"/>
          <w:highlight w:val="yellow"/>
          <w:lang w:val="en-US"/>
        </w:rPr>
        <w:t>The Joanna Briggs Institute</w:t>
      </w:r>
      <w:r w:rsidRPr="008E3F16">
        <w:rPr>
          <w:rFonts w:ascii="Book Antiqua" w:hAnsi="Book Antiqua" w:cs="Times New Roman"/>
          <w:color w:val="000000" w:themeColor="text1"/>
          <w:highlight w:val="yellow"/>
          <w:lang w:val="en-US"/>
        </w:rPr>
        <w:t>. The Joanna Briggs Institute Reviewers’ Manual 2015: The systematic review of studies of diagnostic test accuracy</w:t>
      </w:r>
      <w:r w:rsidR="00393B4C" w:rsidRPr="008E3F16">
        <w:rPr>
          <w:rFonts w:ascii="Book Antiqua" w:hAnsi="Book Antiqua" w:cs="Times New Roman"/>
          <w:color w:val="000000" w:themeColor="text1"/>
          <w:lang w:val="en-US"/>
        </w:rPr>
        <w:t xml:space="preserve">. </w:t>
      </w:r>
      <w:r w:rsidR="00876E54" w:rsidRPr="008E3F16">
        <w:rPr>
          <w:rFonts w:ascii="Book Antiqua" w:hAnsi="Book Antiqua" w:cs="Times New Roman"/>
          <w:color w:val="000000" w:themeColor="text1"/>
          <w:highlight w:val="yellow"/>
          <w:lang w:val="en-US"/>
        </w:rPr>
        <w:t>The Joanna Briggs Institute</w:t>
      </w:r>
      <w:r w:rsidR="00393B4C" w:rsidRPr="008E3F16">
        <w:rPr>
          <w:rFonts w:ascii="Book Antiqua" w:hAnsi="Book Antiqua" w:cs="Times New Roman"/>
          <w:color w:val="000000" w:themeColor="text1"/>
          <w:highlight w:val="yellow"/>
          <w:lang w:val="en-US"/>
        </w:rPr>
        <w:t>, 2015: 1-46</w:t>
      </w:r>
    </w:p>
    <w:p w14:paraId="2B22DE93" w14:textId="75C135C6"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highlight w:val="yellow"/>
          <w:lang w:val="en-US"/>
        </w:rPr>
        <w:t xml:space="preserve">30 </w:t>
      </w:r>
      <w:r w:rsidRPr="008E3F16">
        <w:rPr>
          <w:rFonts w:ascii="Book Antiqua" w:hAnsi="Book Antiqua" w:cs="Times New Roman"/>
          <w:b/>
          <w:bCs/>
          <w:color w:val="000000" w:themeColor="text1"/>
          <w:highlight w:val="yellow"/>
          <w:lang w:val="en-US"/>
        </w:rPr>
        <w:t>Taylor KS</w:t>
      </w:r>
      <w:r w:rsidRPr="008E3F16">
        <w:rPr>
          <w:rFonts w:ascii="Book Antiqua" w:hAnsi="Book Antiqua" w:cs="Times New Roman"/>
          <w:color w:val="000000" w:themeColor="text1"/>
          <w:highlight w:val="yellow"/>
          <w:lang w:val="en-US"/>
        </w:rPr>
        <w:t>.</w:t>
      </w:r>
      <w:r w:rsidRPr="008E3F16">
        <w:rPr>
          <w:rFonts w:ascii="Book Antiqua" w:hAnsi="Book Antiqua" w:cs="Times New Roman"/>
          <w:b/>
          <w:bCs/>
          <w:color w:val="000000" w:themeColor="text1"/>
          <w:highlight w:val="yellow"/>
          <w:lang w:val="en-US"/>
        </w:rPr>
        <w:t xml:space="preserve"> </w:t>
      </w:r>
      <w:r w:rsidRPr="008E3F16">
        <w:rPr>
          <w:rFonts w:ascii="Book Antiqua" w:hAnsi="Book Antiqua" w:cs="Times New Roman"/>
          <w:color w:val="000000" w:themeColor="text1"/>
          <w:highlight w:val="yellow"/>
          <w:lang w:val="en-US"/>
        </w:rPr>
        <w:t>Tip for data extraction in meta-analysis - 1 - Center for Evidence Based Medicine</w:t>
      </w:r>
      <w:r w:rsidR="00FB5D62" w:rsidRPr="008E3F16">
        <w:rPr>
          <w:rFonts w:ascii="Book Antiqua" w:hAnsi="Book Antiqua" w:cs="Times New Roman"/>
          <w:color w:val="000000" w:themeColor="text1"/>
          <w:highlight w:val="yellow"/>
          <w:lang w:val="en-US"/>
        </w:rPr>
        <w:t>.</w:t>
      </w:r>
      <w:r w:rsidRPr="008E3F16">
        <w:rPr>
          <w:rFonts w:ascii="Book Antiqua" w:hAnsi="Book Antiqua" w:cs="Times New Roman"/>
          <w:color w:val="000000" w:themeColor="text1"/>
          <w:highlight w:val="yellow"/>
          <w:lang w:val="en-US"/>
        </w:rPr>
        <w:t xml:space="preserve"> 2019</w:t>
      </w:r>
      <w:r w:rsidR="00FB5D62" w:rsidRPr="008E3F16">
        <w:rPr>
          <w:rFonts w:ascii="Book Antiqua" w:hAnsi="Book Antiqua" w:cs="Times New Roman"/>
          <w:color w:val="000000" w:themeColor="text1"/>
          <w:highlight w:val="yellow"/>
          <w:lang w:val="en-US"/>
        </w:rPr>
        <w:t xml:space="preserve"> Feb 11</w:t>
      </w:r>
      <w:r w:rsidRPr="008E3F16">
        <w:rPr>
          <w:rFonts w:ascii="Book Antiqua" w:hAnsi="Book Antiqua" w:cs="Times New Roman"/>
          <w:color w:val="000000" w:themeColor="text1"/>
          <w:highlight w:val="yellow"/>
          <w:lang w:val="en-US"/>
        </w:rPr>
        <w:t xml:space="preserve"> [cited </w:t>
      </w:r>
      <w:r w:rsidR="00FB5D62" w:rsidRPr="008E3F16">
        <w:rPr>
          <w:rFonts w:ascii="Book Antiqua" w:hAnsi="Book Antiqua" w:cs="Times New Roman"/>
          <w:color w:val="000000" w:themeColor="text1"/>
          <w:highlight w:val="yellow"/>
          <w:lang w:val="en-US"/>
        </w:rPr>
        <w:t xml:space="preserve">17 </w:t>
      </w:r>
      <w:r w:rsidRPr="008E3F16">
        <w:rPr>
          <w:rFonts w:ascii="Book Antiqua" w:hAnsi="Book Antiqua" w:cs="Times New Roman"/>
          <w:color w:val="000000" w:themeColor="text1"/>
          <w:highlight w:val="yellow"/>
          <w:lang w:val="en-US"/>
        </w:rPr>
        <w:t>Mar</w:t>
      </w:r>
      <w:r w:rsidR="00FB5D62" w:rsidRPr="008E3F16">
        <w:rPr>
          <w:rFonts w:ascii="Book Antiqua" w:hAnsi="Book Antiqua" w:cs="Times New Roman"/>
          <w:color w:val="000000" w:themeColor="text1"/>
          <w:highlight w:val="yellow"/>
          <w:lang w:val="en-US"/>
        </w:rPr>
        <w:t>ch 2019</w:t>
      </w:r>
      <w:r w:rsidRPr="008E3F16">
        <w:rPr>
          <w:rFonts w:ascii="Book Antiqua" w:hAnsi="Book Antiqua" w:cs="Times New Roman"/>
          <w:color w:val="000000" w:themeColor="text1"/>
          <w:highlight w:val="yellow"/>
          <w:lang w:val="en-US"/>
        </w:rPr>
        <w:t>]</w:t>
      </w:r>
      <w:r w:rsidR="00FB5D62" w:rsidRPr="008E3F16">
        <w:rPr>
          <w:rFonts w:ascii="Book Antiqua" w:hAnsi="Book Antiqua" w:cs="Times New Roman"/>
          <w:color w:val="000000" w:themeColor="text1"/>
          <w:highlight w:val="yellow"/>
          <w:lang w:val="en-US"/>
        </w:rPr>
        <w:t xml:space="preserve">. Oxford University [Internet]. </w:t>
      </w:r>
      <w:r w:rsidRPr="008E3F16">
        <w:rPr>
          <w:rFonts w:ascii="Book Antiqua" w:hAnsi="Book Antiqua" w:cs="Times New Roman"/>
          <w:color w:val="000000" w:themeColor="text1"/>
          <w:highlight w:val="yellow"/>
          <w:lang w:val="en-US"/>
        </w:rPr>
        <w:t>Available from: https://www.cebm.net/2019/02/tip-for-data-extraction-in-meta-analysis-1/</w:t>
      </w:r>
    </w:p>
    <w:p w14:paraId="73C18105"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31 </w:t>
      </w:r>
      <w:r w:rsidRPr="008E3F16">
        <w:rPr>
          <w:rFonts w:ascii="Book Antiqua" w:hAnsi="Book Antiqua" w:cs="Times New Roman"/>
          <w:b/>
          <w:bCs/>
          <w:color w:val="000000" w:themeColor="text1"/>
          <w:lang w:val="en-US"/>
        </w:rPr>
        <w:t>Whiting PF</w:t>
      </w:r>
      <w:r w:rsidRPr="008E3F16">
        <w:rPr>
          <w:rFonts w:ascii="Book Antiqua" w:hAnsi="Book Antiqua" w:cs="Times New Roman"/>
          <w:color w:val="000000" w:themeColor="text1"/>
          <w:lang w:val="en-US"/>
        </w:rPr>
        <w:t xml:space="preserve">, Rutjes AW, Westwood ME, Mallett S, Deeks JJ, Reitsma JB, Leeflang MM, Sterne JA, Bossuyt PM; QUADAS-2 Group. QUADAS-2: a revised tool for the quality assessment of diagnostic accuracy studies. </w:t>
      </w:r>
      <w:r w:rsidRPr="008E3F16">
        <w:rPr>
          <w:rFonts w:ascii="Book Antiqua" w:hAnsi="Book Antiqua" w:cs="Times New Roman"/>
          <w:i/>
          <w:iCs/>
          <w:color w:val="000000" w:themeColor="text1"/>
          <w:lang w:val="en-US"/>
        </w:rPr>
        <w:t>Ann Intern Med</w:t>
      </w:r>
      <w:r w:rsidRPr="008E3F16">
        <w:rPr>
          <w:rFonts w:ascii="Book Antiqua" w:hAnsi="Book Antiqua" w:cs="Times New Roman"/>
          <w:color w:val="000000" w:themeColor="text1"/>
          <w:lang w:val="en-US"/>
        </w:rPr>
        <w:t xml:space="preserve"> 2011; </w:t>
      </w:r>
      <w:r w:rsidRPr="008E3F16">
        <w:rPr>
          <w:rFonts w:ascii="Book Antiqua" w:hAnsi="Book Antiqua" w:cs="Times New Roman"/>
          <w:b/>
          <w:bCs/>
          <w:color w:val="000000" w:themeColor="text1"/>
          <w:lang w:val="en-US"/>
        </w:rPr>
        <w:t>155</w:t>
      </w:r>
      <w:r w:rsidRPr="008E3F16">
        <w:rPr>
          <w:rFonts w:ascii="Book Antiqua" w:hAnsi="Book Antiqua" w:cs="Times New Roman"/>
          <w:color w:val="000000" w:themeColor="text1"/>
          <w:lang w:val="en-US"/>
        </w:rPr>
        <w:t>: 529-536 [PMID: 22007046 DOI: 10.7326/0003-4819-155-8-201110180-00009]</w:t>
      </w:r>
    </w:p>
    <w:p w14:paraId="617F91ED"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32 </w:t>
      </w:r>
      <w:r w:rsidRPr="008E3F16">
        <w:rPr>
          <w:rFonts w:ascii="Book Antiqua" w:hAnsi="Book Antiqua" w:cs="Times New Roman"/>
          <w:b/>
          <w:bCs/>
          <w:color w:val="000000" w:themeColor="text1"/>
          <w:lang w:val="en-US"/>
        </w:rPr>
        <w:t>Dukic V</w:t>
      </w:r>
      <w:r w:rsidRPr="008E3F16">
        <w:rPr>
          <w:rFonts w:ascii="Book Antiqua" w:hAnsi="Book Antiqua" w:cs="Times New Roman"/>
          <w:color w:val="000000" w:themeColor="text1"/>
          <w:lang w:val="en-US"/>
        </w:rPr>
        <w:t xml:space="preserve">, Gatsonis C. Meta-analysis of diagnostic test accuracy assessment studies with </w:t>
      </w:r>
      <w:r w:rsidRPr="008E3F16">
        <w:rPr>
          <w:rFonts w:ascii="Book Antiqua" w:hAnsi="Book Antiqua" w:cs="Times New Roman"/>
          <w:color w:val="000000" w:themeColor="text1"/>
          <w:lang w:val="en-US"/>
        </w:rPr>
        <w:lastRenderedPageBreak/>
        <w:t xml:space="preserve">varying number of thresholds. </w:t>
      </w:r>
      <w:r w:rsidRPr="008E3F16">
        <w:rPr>
          <w:rFonts w:ascii="Book Antiqua" w:hAnsi="Book Antiqua" w:cs="Times New Roman"/>
          <w:i/>
          <w:iCs/>
          <w:color w:val="000000" w:themeColor="text1"/>
          <w:lang w:val="en-US"/>
        </w:rPr>
        <w:t>Biometrics</w:t>
      </w:r>
      <w:r w:rsidRPr="008E3F16">
        <w:rPr>
          <w:rFonts w:ascii="Book Antiqua" w:hAnsi="Book Antiqua" w:cs="Times New Roman"/>
          <w:color w:val="000000" w:themeColor="text1"/>
          <w:lang w:val="en-US"/>
        </w:rPr>
        <w:t xml:space="preserve"> 2003; </w:t>
      </w:r>
      <w:r w:rsidRPr="008E3F16">
        <w:rPr>
          <w:rFonts w:ascii="Book Antiqua" w:hAnsi="Book Antiqua" w:cs="Times New Roman"/>
          <w:b/>
          <w:bCs/>
          <w:color w:val="000000" w:themeColor="text1"/>
          <w:lang w:val="en-US"/>
        </w:rPr>
        <w:t>59</w:t>
      </w:r>
      <w:r w:rsidRPr="008E3F16">
        <w:rPr>
          <w:rFonts w:ascii="Book Antiqua" w:hAnsi="Book Antiqua" w:cs="Times New Roman"/>
          <w:color w:val="000000" w:themeColor="text1"/>
          <w:lang w:val="en-US"/>
        </w:rPr>
        <w:t>: 936-946 [PMID: 14969472 DOI: 10.1111/j.0006-341X.2003.00108.x]</w:t>
      </w:r>
    </w:p>
    <w:p w14:paraId="760E2DB3"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33 </w:t>
      </w:r>
      <w:r w:rsidRPr="008E3F16">
        <w:rPr>
          <w:rFonts w:ascii="Book Antiqua" w:hAnsi="Book Antiqua" w:cs="Times New Roman"/>
          <w:b/>
          <w:bCs/>
          <w:color w:val="000000" w:themeColor="text1"/>
          <w:lang w:val="en-US"/>
        </w:rPr>
        <w:t>Takwoingi Y</w:t>
      </w:r>
      <w:r w:rsidRPr="008E3F16">
        <w:rPr>
          <w:rFonts w:ascii="Book Antiqua" w:hAnsi="Book Antiqua" w:cs="Times New Roman"/>
          <w:color w:val="000000" w:themeColor="text1"/>
          <w:lang w:val="en-US"/>
        </w:rPr>
        <w:t xml:space="preserve">, Riley RD, Deeks JJ. Meta-analysis of diagnostic accuracy studies in mental health. </w:t>
      </w:r>
      <w:r w:rsidRPr="008E3F16">
        <w:rPr>
          <w:rFonts w:ascii="Book Antiqua" w:hAnsi="Book Antiqua" w:cs="Times New Roman"/>
          <w:i/>
          <w:iCs/>
          <w:color w:val="000000" w:themeColor="text1"/>
          <w:lang w:val="en-US"/>
        </w:rPr>
        <w:t>Evid Based Ment Health</w:t>
      </w:r>
      <w:r w:rsidRPr="008E3F16">
        <w:rPr>
          <w:rFonts w:ascii="Book Antiqua" w:hAnsi="Book Antiqua" w:cs="Times New Roman"/>
          <w:color w:val="000000" w:themeColor="text1"/>
          <w:lang w:val="en-US"/>
        </w:rPr>
        <w:t xml:space="preserve"> 2015; </w:t>
      </w:r>
      <w:r w:rsidRPr="008E3F16">
        <w:rPr>
          <w:rFonts w:ascii="Book Antiqua" w:hAnsi="Book Antiqua" w:cs="Times New Roman"/>
          <w:b/>
          <w:bCs/>
          <w:color w:val="000000" w:themeColor="text1"/>
          <w:lang w:val="en-US"/>
        </w:rPr>
        <w:t>18</w:t>
      </w:r>
      <w:r w:rsidRPr="008E3F16">
        <w:rPr>
          <w:rFonts w:ascii="Book Antiqua" w:hAnsi="Book Antiqua" w:cs="Times New Roman"/>
          <w:color w:val="000000" w:themeColor="text1"/>
          <w:lang w:val="en-US"/>
        </w:rPr>
        <w:t>: 103-109 [PMID: 26446042 DOI: 10.1136/eb-2015-102228]</w:t>
      </w:r>
    </w:p>
    <w:p w14:paraId="18FC2EDB"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34 </w:t>
      </w:r>
      <w:r w:rsidRPr="008E3F16">
        <w:rPr>
          <w:rFonts w:ascii="Book Antiqua" w:hAnsi="Book Antiqua" w:cs="Times New Roman"/>
          <w:b/>
          <w:bCs/>
          <w:color w:val="000000" w:themeColor="text1"/>
          <w:lang w:val="en-US"/>
        </w:rPr>
        <w:t>Rutter CM</w:t>
      </w:r>
      <w:r w:rsidRPr="008E3F16">
        <w:rPr>
          <w:rFonts w:ascii="Book Antiqua" w:hAnsi="Book Antiqua" w:cs="Times New Roman"/>
          <w:color w:val="000000" w:themeColor="text1"/>
          <w:lang w:val="en-US"/>
        </w:rPr>
        <w:t xml:space="preserve">, Gatsonis CA. A hierarchical regression approach to meta-analysis of diagnostic test accuracy evaluations. </w:t>
      </w:r>
      <w:r w:rsidRPr="008E3F16">
        <w:rPr>
          <w:rFonts w:ascii="Book Antiqua" w:hAnsi="Book Antiqua" w:cs="Times New Roman"/>
          <w:i/>
          <w:iCs/>
          <w:color w:val="000000" w:themeColor="text1"/>
          <w:lang w:val="en-US"/>
        </w:rPr>
        <w:t>Stat Med</w:t>
      </w:r>
      <w:r w:rsidRPr="008E3F16">
        <w:rPr>
          <w:rFonts w:ascii="Book Antiqua" w:hAnsi="Book Antiqua" w:cs="Times New Roman"/>
          <w:color w:val="000000" w:themeColor="text1"/>
          <w:lang w:val="en-US"/>
        </w:rPr>
        <w:t xml:space="preserve"> 2001; </w:t>
      </w:r>
      <w:r w:rsidRPr="008E3F16">
        <w:rPr>
          <w:rFonts w:ascii="Book Antiqua" w:hAnsi="Book Antiqua" w:cs="Times New Roman"/>
          <w:b/>
          <w:bCs/>
          <w:color w:val="000000" w:themeColor="text1"/>
          <w:lang w:val="en-US"/>
        </w:rPr>
        <w:t>20</w:t>
      </w:r>
      <w:r w:rsidRPr="008E3F16">
        <w:rPr>
          <w:rFonts w:ascii="Book Antiqua" w:hAnsi="Book Antiqua" w:cs="Times New Roman"/>
          <w:color w:val="000000" w:themeColor="text1"/>
          <w:lang w:val="en-US"/>
        </w:rPr>
        <w:t>: 2865-2884 [PMID: 11568945 DOI: 10.1002/sim.942]</w:t>
      </w:r>
    </w:p>
    <w:p w14:paraId="1D9E40BB" w14:textId="348941F1"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eastAsia="zh-CN"/>
        </w:rPr>
      </w:pPr>
      <w:r w:rsidRPr="008E3F16">
        <w:rPr>
          <w:rFonts w:ascii="Book Antiqua" w:hAnsi="Book Antiqua" w:cs="Times New Roman"/>
          <w:color w:val="000000" w:themeColor="text1"/>
          <w:highlight w:val="yellow"/>
          <w:lang w:val="en-US"/>
        </w:rPr>
        <w:t xml:space="preserve">35 </w:t>
      </w:r>
      <w:r w:rsidRPr="008E3F16">
        <w:rPr>
          <w:rFonts w:ascii="Book Antiqua" w:hAnsi="Book Antiqua" w:cs="Times New Roman"/>
          <w:b/>
          <w:bCs/>
          <w:color w:val="000000" w:themeColor="text1"/>
          <w:highlight w:val="yellow"/>
          <w:lang w:val="en-US"/>
        </w:rPr>
        <w:t>Macaskill P</w:t>
      </w:r>
      <w:r w:rsidRPr="008E3F16">
        <w:rPr>
          <w:rFonts w:ascii="Book Antiqua" w:hAnsi="Book Antiqua" w:cs="Times New Roman"/>
          <w:color w:val="000000" w:themeColor="text1"/>
          <w:highlight w:val="yellow"/>
          <w:lang w:val="en-US"/>
        </w:rPr>
        <w:t>, Gatsonis C, Deeks J, Harbord R, Takwoingi Y. Analysing and Presenting Results: Cochrane Handbook for Systematic Reviews of Diagnostic Test Accuracy. Version 1.0. T</w:t>
      </w:r>
      <w:r w:rsidR="00336512">
        <w:rPr>
          <w:rFonts w:ascii="Book Antiqua" w:hAnsi="Book Antiqua" w:cs="Times New Roman"/>
          <w:color w:val="000000" w:themeColor="text1"/>
          <w:highlight w:val="yellow"/>
          <w:lang w:val="en-US"/>
        </w:rPr>
        <w:t>he Cochrane Collaboration</w:t>
      </w:r>
      <w:r w:rsidR="00336512">
        <w:rPr>
          <w:rFonts w:ascii="Book Antiqua" w:hAnsi="Book Antiqua" w:cs="Times New Roman" w:hint="eastAsia"/>
          <w:color w:val="000000" w:themeColor="text1"/>
          <w:highlight w:val="yellow"/>
          <w:lang w:val="en-US" w:eastAsia="zh-CN"/>
        </w:rPr>
        <w:t>,</w:t>
      </w:r>
      <w:r w:rsidR="00336512">
        <w:rPr>
          <w:rFonts w:ascii="Book Antiqua" w:hAnsi="Book Antiqua" w:cs="Times New Roman"/>
          <w:color w:val="000000" w:themeColor="text1"/>
          <w:highlight w:val="yellow"/>
          <w:lang w:val="en-US"/>
        </w:rPr>
        <w:t xml:space="preserve"> 2010</w:t>
      </w:r>
    </w:p>
    <w:p w14:paraId="5B26101C"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36 </w:t>
      </w:r>
      <w:r w:rsidRPr="008E3F16">
        <w:rPr>
          <w:rFonts w:ascii="Book Antiqua" w:hAnsi="Book Antiqua" w:cs="Times New Roman"/>
          <w:b/>
          <w:bCs/>
          <w:color w:val="000000" w:themeColor="text1"/>
          <w:lang w:val="en-US"/>
        </w:rPr>
        <w:t>Takwoingi Y</w:t>
      </w:r>
      <w:r w:rsidRPr="008E3F16">
        <w:rPr>
          <w:rFonts w:ascii="Book Antiqua" w:hAnsi="Book Antiqua" w:cs="Times New Roman"/>
          <w:color w:val="000000" w:themeColor="text1"/>
          <w:lang w:val="en-US"/>
        </w:rPr>
        <w:t xml:space="preserve">, Guo B, Riley RD, Deeks JJ. Performance of methods for meta-analysis of diagnostic test accuracy with few studies or sparse data. </w:t>
      </w:r>
      <w:r w:rsidRPr="008E3F16">
        <w:rPr>
          <w:rFonts w:ascii="Book Antiqua" w:hAnsi="Book Antiqua" w:cs="Times New Roman"/>
          <w:i/>
          <w:iCs/>
          <w:color w:val="000000" w:themeColor="text1"/>
          <w:lang w:val="en-US"/>
        </w:rPr>
        <w:t>Stat Methods Med Res</w:t>
      </w:r>
      <w:r w:rsidRPr="008E3F16">
        <w:rPr>
          <w:rFonts w:ascii="Book Antiqua" w:hAnsi="Book Antiqua" w:cs="Times New Roman"/>
          <w:color w:val="000000" w:themeColor="text1"/>
          <w:lang w:val="en-US"/>
        </w:rPr>
        <w:t xml:space="preserve"> 2017; </w:t>
      </w:r>
      <w:r w:rsidRPr="008E3F16">
        <w:rPr>
          <w:rFonts w:ascii="Book Antiqua" w:hAnsi="Book Antiqua" w:cs="Times New Roman"/>
          <w:b/>
          <w:bCs/>
          <w:color w:val="000000" w:themeColor="text1"/>
          <w:lang w:val="en-US"/>
        </w:rPr>
        <w:t>26</w:t>
      </w:r>
      <w:r w:rsidRPr="008E3F16">
        <w:rPr>
          <w:rFonts w:ascii="Book Antiqua" w:hAnsi="Book Antiqua" w:cs="Times New Roman"/>
          <w:color w:val="000000" w:themeColor="text1"/>
          <w:lang w:val="en-US"/>
        </w:rPr>
        <w:t>: 1896-1911 [PMID: 26116616 DOI: 10.1177/0962280215592269]</w:t>
      </w:r>
    </w:p>
    <w:p w14:paraId="5E44FBA1"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37 </w:t>
      </w:r>
      <w:r w:rsidRPr="008E3F16">
        <w:rPr>
          <w:rFonts w:ascii="Book Antiqua" w:hAnsi="Book Antiqua" w:cs="Times New Roman"/>
          <w:b/>
          <w:bCs/>
          <w:color w:val="000000" w:themeColor="text1"/>
          <w:lang w:val="en-US"/>
        </w:rPr>
        <w:t>Buczinski S</w:t>
      </w:r>
      <w:r w:rsidRPr="008E3F16">
        <w:rPr>
          <w:rFonts w:ascii="Book Antiqua" w:hAnsi="Book Antiqua" w:cs="Times New Roman"/>
          <w:color w:val="000000" w:themeColor="text1"/>
          <w:lang w:val="en-US"/>
        </w:rPr>
        <w:t xml:space="preserve">, Gicquel E, Fecteau G, Takwoingi Y, Chigerwe M, Vandeweerd JM. Systematic Review and Meta-Analysis of Diagnostic Accuracy of Serum Refractometry and Brix Refractometry for the Diagnosis of Inadequate Transfer of Passive Immunity in Calves. </w:t>
      </w:r>
      <w:r w:rsidRPr="008E3F16">
        <w:rPr>
          <w:rFonts w:ascii="Book Antiqua" w:hAnsi="Book Antiqua" w:cs="Times New Roman"/>
          <w:i/>
          <w:iCs/>
          <w:color w:val="000000" w:themeColor="text1"/>
          <w:lang w:val="en-US"/>
        </w:rPr>
        <w:t>J Vet Intern Med</w:t>
      </w:r>
      <w:r w:rsidRPr="008E3F16">
        <w:rPr>
          <w:rFonts w:ascii="Book Antiqua" w:hAnsi="Book Antiqua" w:cs="Times New Roman"/>
          <w:color w:val="000000" w:themeColor="text1"/>
          <w:lang w:val="en-US"/>
        </w:rPr>
        <w:t xml:space="preserve"> 2018; </w:t>
      </w:r>
      <w:r w:rsidRPr="008E3F16">
        <w:rPr>
          <w:rFonts w:ascii="Book Antiqua" w:hAnsi="Book Antiqua" w:cs="Times New Roman"/>
          <w:b/>
          <w:bCs/>
          <w:color w:val="000000" w:themeColor="text1"/>
          <w:lang w:val="en-US"/>
        </w:rPr>
        <w:t>32</w:t>
      </w:r>
      <w:r w:rsidRPr="008E3F16">
        <w:rPr>
          <w:rFonts w:ascii="Book Antiqua" w:hAnsi="Book Antiqua" w:cs="Times New Roman"/>
          <w:color w:val="000000" w:themeColor="text1"/>
          <w:lang w:val="en-US"/>
        </w:rPr>
        <w:t>: 474-483 [PMID: 29210105 DOI: 10.1111/jvim.14893]</w:t>
      </w:r>
    </w:p>
    <w:p w14:paraId="17763A30"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38 </w:t>
      </w:r>
      <w:r w:rsidRPr="008E3F16">
        <w:rPr>
          <w:rFonts w:ascii="Book Antiqua" w:hAnsi="Book Antiqua" w:cs="Times New Roman"/>
          <w:b/>
          <w:bCs/>
          <w:color w:val="000000" w:themeColor="text1"/>
          <w:lang w:val="en-US"/>
        </w:rPr>
        <w:t>Ng SC</w:t>
      </w:r>
      <w:r w:rsidRPr="008E3F16">
        <w:rPr>
          <w:rFonts w:ascii="Book Antiqua" w:hAnsi="Book Antiqua" w:cs="Times New Roman"/>
          <w:color w:val="000000" w:themeColor="text1"/>
          <w:lang w:val="en-US"/>
        </w:rPr>
        <w:t xml:space="preserve">, Shi HY, Hamidi N, Underwood FE, Tang W, Benchimol EI, Panaccione R, Ghosh S, Wu JCY, Chan FKL, Sung JJY, Kaplan GG. Worldwide incidence and prevalence of inflammatory bowel disease in the 21st century: a systematic review of population-based studies. </w:t>
      </w:r>
      <w:r w:rsidRPr="008E3F16">
        <w:rPr>
          <w:rFonts w:ascii="Book Antiqua" w:hAnsi="Book Antiqua" w:cs="Times New Roman"/>
          <w:i/>
          <w:iCs/>
          <w:color w:val="000000" w:themeColor="text1"/>
          <w:lang w:val="en-US"/>
        </w:rPr>
        <w:t>Lancet</w:t>
      </w:r>
      <w:r w:rsidRPr="008E3F16">
        <w:rPr>
          <w:rFonts w:ascii="Book Antiqua" w:hAnsi="Book Antiqua" w:cs="Times New Roman"/>
          <w:color w:val="000000" w:themeColor="text1"/>
          <w:lang w:val="en-US"/>
        </w:rPr>
        <w:t xml:space="preserve"> 2018; </w:t>
      </w:r>
      <w:r w:rsidRPr="008E3F16">
        <w:rPr>
          <w:rFonts w:ascii="Book Antiqua" w:hAnsi="Book Antiqua" w:cs="Times New Roman"/>
          <w:b/>
          <w:bCs/>
          <w:color w:val="000000" w:themeColor="text1"/>
          <w:lang w:val="en-US"/>
        </w:rPr>
        <w:t>390</w:t>
      </w:r>
      <w:r w:rsidRPr="008E3F16">
        <w:rPr>
          <w:rFonts w:ascii="Book Antiqua" w:hAnsi="Book Antiqua" w:cs="Times New Roman"/>
          <w:color w:val="000000" w:themeColor="text1"/>
          <w:lang w:val="en-US"/>
        </w:rPr>
        <w:t>: 2769-2778 [PMID: 29050646 DOI: 10.1016/S0140-6736(17)32448-0]</w:t>
      </w:r>
    </w:p>
    <w:p w14:paraId="2DA31017" w14:textId="19DB2458"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highlight w:val="yellow"/>
          <w:lang w:val="en-US"/>
        </w:rPr>
      </w:pPr>
      <w:r w:rsidRPr="008E3F16">
        <w:rPr>
          <w:rFonts w:ascii="Book Antiqua" w:hAnsi="Book Antiqua" w:cs="Times New Roman"/>
          <w:color w:val="000000" w:themeColor="text1"/>
          <w:highlight w:val="yellow"/>
          <w:lang w:val="en-US"/>
        </w:rPr>
        <w:t xml:space="preserve">39 </w:t>
      </w:r>
      <w:r w:rsidRPr="008E3F16">
        <w:rPr>
          <w:rFonts w:ascii="Book Antiqua" w:hAnsi="Book Antiqua" w:cs="Times New Roman"/>
          <w:b/>
          <w:bCs/>
          <w:color w:val="000000" w:themeColor="text1"/>
          <w:highlight w:val="yellow"/>
          <w:lang w:val="en-US"/>
        </w:rPr>
        <w:t>Takwoingi Y</w:t>
      </w:r>
      <w:r w:rsidRPr="008E3F16">
        <w:rPr>
          <w:rFonts w:ascii="Book Antiqua" w:hAnsi="Book Antiqua" w:cs="Times New Roman"/>
          <w:color w:val="000000" w:themeColor="text1"/>
          <w:highlight w:val="yellow"/>
          <w:lang w:val="en-US"/>
        </w:rPr>
        <w:t xml:space="preserve">, Deeks J. MetaDAS: A SAS macro for meta-analysis of diagnostic accuracy studies: User guide, Version 1.3. </w:t>
      </w:r>
      <w:r w:rsidR="00143AE5" w:rsidRPr="008E3F16">
        <w:rPr>
          <w:rFonts w:ascii="Book Antiqua" w:hAnsi="Book Antiqua" w:cs="Times New Roman"/>
          <w:color w:val="000000" w:themeColor="text1"/>
          <w:highlight w:val="yellow"/>
          <w:lang w:val="en-US"/>
        </w:rPr>
        <w:t xml:space="preserve">30 July </w:t>
      </w:r>
      <w:r w:rsidRPr="008E3F16">
        <w:rPr>
          <w:rFonts w:ascii="Book Antiqua" w:hAnsi="Book Antiqua" w:cs="Times New Roman"/>
          <w:color w:val="000000" w:themeColor="text1"/>
          <w:highlight w:val="yellow"/>
          <w:lang w:val="en-US"/>
        </w:rPr>
        <w:t>2010.</w:t>
      </w:r>
      <w:r w:rsidR="00143AE5" w:rsidRPr="008E3F16">
        <w:rPr>
          <w:rFonts w:ascii="Book Antiqua" w:hAnsi="Book Antiqua" w:cs="Times New Roman"/>
          <w:color w:val="000000" w:themeColor="text1"/>
          <w:highlight w:val="yellow"/>
          <w:lang w:val="en-US"/>
        </w:rPr>
        <w:t xml:space="preserve"> Available from: http://srdta.cochrane.org/ Cited 17 March 2019</w:t>
      </w:r>
    </w:p>
    <w:p w14:paraId="63AD1539" w14:textId="7541663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eastAsia="zh-CN"/>
        </w:rPr>
      </w:pPr>
      <w:r w:rsidRPr="008E3F16">
        <w:rPr>
          <w:rFonts w:ascii="Book Antiqua" w:hAnsi="Book Antiqua" w:cs="Times New Roman"/>
          <w:color w:val="000000" w:themeColor="text1"/>
          <w:highlight w:val="yellow"/>
          <w:lang w:val="en-US"/>
        </w:rPr>
        <w:t xml:space="preserve">40 </w:t>
      </w:r>
      <w:r w:rsidRPr="008E3F16">
        <w:rPr>
          <w:rFonts w:ascii="Book Antiqua" w:hAnsi="Book Antiqua" w:cs="Times New Roman"/>
          <w:b/>
          <w:bCs/>
          <w:color w:val="000000" w:themeColor="text1"/>
          <w:highlight w:val="yellow"/>
          <w:lang w:val="en-US"/>
        </w:rPr>
        <w:t>The Nordic Cochrane Centre</w:t>
      </w:r>
      <w:r w:rsidRPr="008E3F16">
        <w:rPr>
          <w:rFonts w:ascii="Book Antiqua" w:hAnsi="Book Antiqua" w:cs="Times New Roman"/>
          <w:color w:val="000000" w:themeColor="text1"/>
          <w:highlight w:val="yellow"/>
          <w:lang w:val="en-US"/>
        </w:rPr>
        <w:t>. Review Manager</w:t>
      </w:r>
      <w:r w:rsidR="00143AE5" w:rsidRPr="008E3F16">
        <w:rPr>
          <w:rFonts w:ascii="Book Antiqua" w:hAnsi="Book Antiqua" w:cs="Times New Roman"/>
          <w:color w:val="000000" w:themeColor="text1"/>
          <w:highlight w:val="yellow"/>
          <w:lang w:val="en-US"/>
        </w:rPr>
        <w:t>;</w:t>
      </w:r>
      <w:r w:rsidRPr="008E3F16">
        <w:rPr>
          <w:rFonts w:ascii="Book Antiqua" w:hAnsi="Book Antiqua" w:cs="Times New Roman"/>
          <w:color w:val="000000" w:themeColor="text1"/>
          <w:highlight w:val="yellow"/>
          <w:lang w:val="en-US"/>
        </w:rPr>
        <w:t xml:space="preserve"> </w:t>
      </w:r>
      <w:r w:rsidR="00143AE5" w:rsidRPr="008E3F16">
        <w:rPr>
          <w:rFonts w:ascii="Book Antiqua" w:hAnsi="Book Antiqua" w:cs="Times New Roman"/>
          <w:color w:val="000000" w:themeColor="text1"/>
          <w:highlight w:val="yellow"/>
          <w:lang w:val="en-US"/>
        </w:rPr>
        <w:t xml:space="preserve">2014. </w:t>
      </w:r>
      <w:r w:rsidRPr="008E3F16">
        <w:rPr>
          <w:rFonts w:ascii="Book Antiqua" w:hAnsi="Book Antiqua" w:cs="Times New Roman"/>
          <w:color w:val="000000" w:themeColor="text1"/>
          <w:highlight w:val="yellow"/>
          <w:lang w:val="en-US"/>
        </w:rPr>
        <w:t xml:space="preserve">Cochrane </w:t>
      </w:r>
      <w:r w:rsidRPr="00336512">
        <w:rPr>
          <w:rFonts w:ascii="Book Antiqua" w:hAnsi="Book Antiqua" w:cs="Times New Roman"/>
          <w:color w:val="000000" w:themeColor="text1"/>
          <w:highlight w:val="yellow"/>
          <w:lang w:val="en-US"/>
        </w:rPr>
        <w:t>Collab</w:t>
      </w:r>
      <w:r w:rsidR="00336512" w:rsidRPr="00336512">
        <w:rPr>
          <w:rFonts w:ascii="Book Antiqua" w:hAnsi="Book Antiqua" w:cs="Times New Roman" w:hint="eastAsia"/>
          <w:color w:val="000000" w:themeColor="text1"/>
          <w:highlight w:val="yellow"/>
          <w:lang w:val="en-US" w:eastAsia="zh-CN"/>
        </w:rPr>
        <w:t>, 2014</w:t>
      </w:r>
    </w:p>
    <w:p w14:paraId="021427DE"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41 </w:t>
      </w:r>
      <w:r w:rsidRPr="008E3F16">
        <w:rPr>
          <w:rFonts w:ascii="Book Antiqua" w:hAnsi="Book Antiqua" w:cs="Times New Roman"/>
          <w:b/>
          <w:bCs/>
          <w:color w:val="000000" w:themeColor="text1"/>
          <w:lang w:val="en-US"/>
        </w:rPr>
        <w:t>Bogdanos DP</w:t>
      </w:r>
      <w:r w:rsidRPr="008E3F16">
        <w:rPr>
          <w:rFonts w:ascii="Book Antiqua" w:hAnsi="Book Antiqua" w:cs="Times New Roman"/>
          <w:color w:val="000000" w:themeColor="text1"/>
          <w:lang w:val="en-US"/>
        </w:rPr>
        <w:t xml:space="preserve">, Roggenbuck D, Reinhold D, Wex T, Pavlidis P, von Arnim U, Malfertheiner P, Forbes A, Conrad K, Laass MW. Pancreatic-specific autoantibodies to glycoprotein 2 mirror disease location and behaviour in younger patients with Crohn's disease. </w:t>
      </w:r>
      <w:r w:rsidRPr="008E3F16">
        <w:rPr>
          <w:rFonts w:ascii="Book Antiqua" w:hAnsi="Book Antiqua" w:cs="Times New Roman"/>
          <w:i/>
          <w:iCs/>
          <w:color w:val="000000" w:themeColor="text1"/>
          <w:lang w:val="en-US"/>
        </w:rPr>
        <w:t>BMC Gastroenterol</w:t>
      </w:r>
      <w:r w:rsidRPr="008E3F16">
        <w:rPr>
          <w:rFonts w:ascii="Book Antiqua" w:hAnsi="Book Antiqua" w:cs="Times New Roman"/>
          <w:color w:val="000000" w:themeColor="text1"/>
          <w:lang w:val="en-US"/>
        </w:rPr>
        <w:t xml:space="preserve"> 2012; </w:t>
      </w:r>
      <w:r w:rsidRPr="008E3F16">
        <w:rPr>
          <w:rFonts w:ascii="Book Antiqua" w:hAnsi="Book Antiqua" w:cs="Times New Roman"/>
          <w:b/>
          <w:bCs/>
          <w:color w:val="000000" w:themeColor="text1"/>
          <w:lang w:val="en-US"/>
        </w:rPr>
        <w:t>12</w:t>
      </w:r>
      <w:r w:rsidRPr="008E3F16">
        <w:rPr>
          <w:rFonts w:ascii="Book Antiqua" w:hAnsi="Book Antiqua" w:cs="Times New Roman"/>
          <w:color w:val="000000" w:themeColor="text1"/>
          <w:lang w:val="en-US"/>
        </w:rPr>
        <w:t>: 102 [PMID: 22866900 DOI: 10.1186/1471-230X-12-102]</w:t>
      </w:r>
    </w:p>
    <w:p w14:paraId="5A4A224C"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42 </w:t>
      </w:r>
      <w:r w:rsidRPr="008E3F16">
        <w:rPr>
          <w:rFonts w:ascii="Book Antiqua" w:hAnsi="Book Antiqua" w:cs="Times New Roman"/>
          <w:b/>
          <w:bCs/>
          <w:color w:val="000000" w:themeColor="text1"/>
          <w:lang w:val="en-US"/>
        </w:rPr>
        <w:t>Bonaci-Nikolic B</w:t>
      </w:r>
      <w:r w:rsidRPr="008E3F16">
        <w:rPr>
          <w:rFonts w:ascii="Book Antiqua" w:hAnsi="Book Antiqua" w:cs="Times New Roman"/>
          <w:color w:val="000000" w:themeColor="text1"/>
          <w:lang w:val="en-US"/>
        </w:rPr>
        <w:t xml:space="preserve">, Spuran M, Andrejevic S, Nikolic M. Autoantibodies to GP2, the major zymogen granule membrane glycoprotein, in patients with gluten-sensitive enteropathy: a possible serological trap. </w:t>
      </w:r>
      <w:r w:rsidRPr="008E3F16">
        <w:rPr>
          <w:rFonts w:ascii="Book Antiqua" w:hAnsi="Book Antiqua" w:cs="Times New Roman"/>
          <w:i/>
          <w:iCs/>
          <w:color w:val="000000" w:themeColor="text1"/>
          <w:lang w:val="en-US"/>
        </w:rPr>
        <w:t>Clin Chim Acta</w:t>
      </w:r>
      <w:r w:rsidRPr="008E3F16">
        <w:rPr>
          <w:rFonts w:ascii="Book Antiqua" w:hAnsi="Book Antiqua" w:cs="Times New Roman"/>
          <w:color w:val="000000" w:themeColor="text1"/>
          <w:lang w:val="en-US"/>
        </w:rPr>
        <w:t xml:space="preserve"> 2012; </w:t>
      </w:r>
      <w:r w:rsidRPr="008E3F16">
        <w:rPr>
          <w:rFonts w:ascii="Book Antiqua" w:hAnsi="Book Antiqua" w:cs="Times New Roman"/>
          <w:b/>
          <w:bCs/>
          <w:color w:val="000000" w:themeColor="text1"/>
          <w:lang w:val="en-US"/>
        </w:rPr>
        <w:t>413</w:t>
      </w:r>
      <w:r w:rsidRPr="008E3F16">
        <w:rPr>
          <w:rFonts w:ascii="Book Antiqua" w:hAnsi="Book Antiqua" w:cs="Times New Roman"/>
          <w:color w:val="000000" w:themeColor="text1"/>
          <w:lang w:val="en-US"/>
        </w:rPr>
        <w:t>: 822-823 [PMID: 22269156 DOI: 10.1016/j.cca.2012.01.005]</w:t>
      </w:r>
    </w:p>
    <w:p w14:paraId="6912B5B8"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 xml:space="preserve">43 </w:t>
      </w:r>
      <w:r w:rsidRPr="008E3F16">
        <w:rPr>
          <w:rFonts w:ascii="Book Antiqua" w:hAnsi="Book Antiqua" w:cs="Times New Roman"/>
          <w:b/>
          <w:bCs/>
          <w:color w:val="000000" w:themeColor="text1"/>
          <w:lang w:val="en-US"/>
        </w:rPr>
        <w:t>Caneparo V</w:t>
      </w:r>
      <w:r w:rsidRPr="008E3F16">
        <w:rPr>
          <w:rFonts w:ascii="Book Antiqua" w:hAnsi="Book Antiqua" w:cs="Times New Roman"/>
          <w:color w:val="000000" w:themeColor="text1"/>
          <w:lang w:val="en-US"/>
        </w:rPr>
        <w:t xml:space="preserve">, Pastorelli L, Pisani LF, Bruni B, Prodam F, Boldorini R, Roggenbuck D, Vecchi M, Landolfo S, Gariglio M, De Andrea M. Distinct Anti-IFI16 and Anti-GP2 Antibodies in Inflammatory Bowel Disease and Their Variation with Infliximab Therapy. </w:t>
      </w:r>
      <w:r w:rsidRPr="008E3F16">
        <w:rPr>
          <w:rFonts w:ascii="Book Antiqua" w:hAnsi="Book Antiqua" w:cs="Times New Roman"/>
          <w:i/>
          <w:iCs/>
          <w:color w:val="000000" w:themeColor="text1"/>
          <w:lang w:val="en-US"/>
        </w:rPr>
        <w:t>Inflamm Bowel Dis</w:t>
      </w:r>
      <w:r w:rsidRPr="008E3F16">
        <w:rPr>
          <w:rFonts w:ascii="Book Antiqua" w:hAnsi="Book Antiqua" w:cs="Times New Roman"/>
          <w:color w:val="000000" w:themeColor="text1"/>
          <w:lang w:val="en-US"/>
        </w:rPr>
        <w:t xml:space="preserve"> 2016; </w:t>
      </w:r>
      <w:r w:rsidRPr="008E3F16">
        <w:rPr>
          <w:rFonts w:ascii="Book Antiqua" w:hAnsi="Book Antiqua" w:cs="Times New Roman"/>
          <w:b/>
          <w:bCs/>
          <w:color w:val="000000" w:themeColor="text1"/>
          <w:lang w:val="en-US"/>
        </w:rPr>
        <w:t>22</w:t>
      </w:r>
      <w:r w:rsidRPr="008E3F16">
        <w:rPr>
          <w:rFonts w:ascii="Book Antiqua" w:hAnsi="Book Antiqua" w:cs="Times New Roman"/>
          <w:color w:val="000000" w:themeColor="text1"/>
          <w:lang w:val="en-US"/>
        </w:rPr>
        <w:t>: 2977-2987 [PMID: 27636380 DOI: 10.1097/MIB.0000000000000926]</w:t>
      </w:r>
    </w:p>
    <w:p w14:paraId="0DD24B35"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44 </w:t>
      </w:r>
      <w:r w:rsidRPr="008E3F16">
        <w:rPr>
          <w:rFonts w:ascii="Book Antiqua" w:hAnsi="Book Antiqua" w:cs="Times New Roman"/>
          <w:b/>
          <w:bCs/>
          <w:color w:val="000000" w:themeColor="text1"/>
          <w:lang w:val="en-US"/>
        </w:rPr>
        <w:t>Cummings D</w:t>
      </w:r>
      <w:r w:rsidRPr="008E3F16">
        <w:rPr>
          <w:rFonts w:ascii="Book Antiqua" w:hAnsi="Book Antiqua" w:cs="Times New Roman"/>
          <w:color w:val="000000" w:themeColor="text1"/>
          <w:lang w:val="en-US"/>
        </w:rPr>
        <w:t xml:space="preserve">, Cruise M, Lopez R, Roggenbuck D, Jairath V, Wang Y, Shen B, Rieder F. Loss of tolerance to glycoprotein 2 isoforms 1 and 4 is associated with Crohn's disease of the pouch. </w:t>
      </w:r>
      <w:r w:rsidRPr="008E3F16">
        <w:rPr>
          <w:rFonts w:ascii="Book Antiqua" w:hAnsi="Book Antiqua" w:cs="Times New Roman"/>
          <w:i/>
          <w:iCs/>
          <w:color w:val="000000" w:themeColor="text1"/>
          <w:lang w:val="en-US"/>
        </w:rPr>
        <w:t>Aliment Pharmacol Ther</w:t>
      </w:r>
      <w:r w:rsidRPr="008E3F16">
        <w:rPr>
          <w:rFonts w:ascii="Book Antiqua" w:hAnsi="Book Antiqua" w:cs="Times New Roman"/>
          <w:color w:val="000000" w:themeColor="text1"/>
          <w:lang w:val="en-US"/>
        </w:rPr>
        <w:t xml:space="preserve"> 2018; </w:t>
      </w:r>
      <w:r w:rsidRPr="008E3F16">
        <w:rPr>
          <w:rFonts w:ascii="Book Antiqua" w:hAnsi="Book Antiqua" w:cs="Times New Roman"/>
          <w:b/>
          <w:bCs/>
          <w:color w:val="000000" w:themeColor="text1"/>
          <w:lang w:val="en-US"/>
        </w:rPr>
        <w:t>48</w:t>
      </w:r>
      <w:r w:rsidRPr="008E3F16">
        <w:rPr>
          <w:rFonts w:ascii="Book Antiqua" w:hAnsi="Book Antiqua" w:cs="Times New Roman"/>
          <w:color w:val="000000" w:themeColor="text1"/>
          <w:lang w:val="en-US"/>
        </w:rPr>
        <w:t>: 1251-1259 [PMID: 30411391 DOI: 10.1111/apt.15034]</w:t>
      </w:r>
    </w:p>
    <w:p w14:paraId="579BF14A"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45 </w:t>
      </w:r>
      <w:r w:rsidRPr="008E3F16">
        <w:rPr>
          <w:rFonts w:ascii="Book Antiqua" w:hAnsi="Book Antiqua" w:cs="Times New Roman"/>
          <w:b/>
          <w:bCs/>
          <w:color w:val="000000" w:themeColor="text1"/>
          <w:lang w:val="en-US"/>
        </w:rPr>
        <w:t>Degenhardt F</w:t>
      </w:r>
      <w:r w:rsidRPr="008E3F16">
        <w:rPr>
          <w:rFonts w:ascii="Book Antiqua" w:hAnsi="Book Antiqua" w:cs="Times New Roman"/>
          <w:color w:val="000000" w:themeColor="text1"/>
          <w:lang w:val="en-US"/>
        </w:rPr>
        <w:t xml:space="preserve">, Dirmeier A, Lopez R, Lang S, Kunst C, Roggenbuck D, Reinhold D, Szymczak S, Rogler G, Klebl F, Franke A, Rieder F. Serologic Anti-GP2 Antibodies Are Associated with Genetic Polymorphisms, Fibrostenosis, and Need for Surgical Resection in Crohn's Disease. </w:t>
      </w:r>
      <w:r w:rsidRPr="008E3F16">
        <w:rPr>
          <w:rFonts w:ascii="Book Antiqua" w:hAnsi="Book Antiqua" w:cs="Times New Roman"/>
          <w:i/>
          <w:iCs/>
          <w:color w:val="000000" w:themeColor="text1"/>
          <w:lang w:val="en-US"/>
        </w:rPr>
        <w:t>Inflamm Bowel Dis</w:t>
      </w:r>
      <w:r w:rsidRPr="008E3F16">
        <w:rPr>
          <w:rFonts w:ascii="Book Antiqua" w:hAnsi="Book Antiqua" w:cs="Times New Roman"/>
          <w:color w:val="000000" w:themeColor="text1"/>
          <w:lang w:val="en-US"/>
        </w:rPr>
        <w:t xml:space="preserve"> 2016; </w:t>
      </w:r>
      <w:r w:rsidRPr="008E3F16">
        <w:rPr>
          <w:rFonts w:ascii="Book Antiqua" w:hAnsi="Book Antiqua" w:cs="Times New Roman"/>
          <w:b/>
          <w:bCs/>
          <w:color w:val="000000" w:themeColor="text1"/>
          <w:lang w:val="en-US"/>
        </w:rPr>
        <w:t>22</w:t>
      </w:r>
      <w:r w:rsidRPr="008E3F16">
        <w:rPr>
          <w:rFonts w:ascii="Book Antiqua" w:hAnsi="Book Antiqua" w:cs="Times New Roman"/>
          <w:color w:val="000000" w:themeColor="text1"/>
          <w:lang w:val="en-US"/>
        </w:rPr>
        <w:t>: 2648-2657 [PMID: 27753692 DOI: 10.1097/MIB.0000000000000936]</w:t>
      </w:r>
    </w:p>
    <w:p w14:paraId="14849733"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46 </w:t>
      </w:r>
      <w:r w:rsidRPr="008E3F16">
        <w:rPr>
          <w:rFonts w:ascii="Book Antiqua" w:hAnsi="Book Antiqua" w:cs="Times New Roman"/>
          <w:b/>
          <w:bCs/>
          <w:color w:val="000000" w:themeColor="text1"/>
          <w:lang w:val="en-US"/>
        </w:rPr>
        <w:t>Gross S</w:t>
      </w:r>
      <w:r w:rsidRPr="008E3F16">
        <w:rPr>
          <w:rFonts w:ascii="Book Antiqua" w:hAnsi="Book Antiqua" w:cs="Times New Roman"/>
          <w:color w:val="000000" w:themeColor="text1"/>
          <w:lang w:val="en-US"/>
        </w:rPr>
        <w:t xml:space="preserve">, Bakker SF, van Bodegraven AA, van Hoogstraten IM, Gelderman KA, Bouma G, Mulder CJ, von Blomberg BM, Bontkes HJ. Increased IgA glycoprotein-2 specific antibody titres in refractory celiac disease. </w:t>
      </w:r>
      <w:r w:rsidRPr="008E3F16">
        <w:rPr>
          <w:rFonts w:ascii="Book Antiqua" w:hAnsi="Book Antiqua" w:cs="Times New Roman"/>
          <w:i/>
          <w:iCs/>
          <w:color w:val="000000" w:themeColor="text1"/>
          <w:lang w:val="en-US"/>
        </w:rPr>
        <w:t>J Gastrointestin Liver Dis</w:t>
      </w:r>
      <w:r w:rsidRPr="008E3F16">
        <w:rPr>
          <w:rFonts w:ascii="Book Antiqua" w:hAnsi="Book Antiqua" w:cs="Times New Roman"/>
          <w:color w:val="000000" w:themeColor="text1"/>
          <w:lang w:val="en-US"/>
        </w:rPr>
        <w:t xml:space="preserve"> 2014; </w:t>
      </w:r>
      <w:r w:rsidRPr="008E3F16">
        <w:rPr>
          <w:rFonts w:ascii="Book Antiqua" w:hAnsi="Book Antiqua" w:cs="Times New Roman"/>
          <w:b/>
          <w:bCs/>
          <w:color w:val="000000" w:themeColor="text1"/>
          <w:lang w:val="en-US"/>
        </w:rPr>
        <w:t>23</w:t>
      </w:r>
      <w:r w:rsidRPr="008E3F16">
        <w:rPr>
          <w:rFonts w:ascii="Book Antiqua" w:hAnsi="Book Antiqua" w:cs="Times New Roman"/>
          <w:color w:val="000000" w:themeColor="text1"/>
          <w:lang w:val="en-US"/>
        </w:rPr>
        <w:t>: 127-133 [PMID: 24949603 DOI: 10.15403/jgld.2014.1121.232.sg1]</w:t>
      </w:r>
    </w:p>
    <w:p w14:paraId="3DA947E9"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47 </w:t>
      </w:r>
      <w:r w:rsidRPr="008E3F16">
        <w:rPr>
          <w:rFonts w:ascii="Book Antiqua" w:hAnsi="Book Antiqua" w:cs="Times New Roman"/>
          <w:b/>
          <w:bCs/>
          <w:color w:val="000000" w:themeColor="text1"/>
          <w:lang w:val="en-US"/>
        </w:rPr>
        <w:t>Michaels MA</w:t>
      </w:r>
      <w:r w:rsidRPr="008E3F16">
        <w:rPr>
          <w:rFonts w:ascii="Book Antiqua" w:hAnsi="Book Antiqua" w:cs="Times New Roman"/>
          <w:color w:val="000000" w:themeColor="text1"/>
          <w:lang w:val="en-US"/>
        </w:rPr>
        <w:t xml:space="preserve">, Jendrek ST, Korf T, Nitzsche T, Teegen B, Komorowski L, Derer S, Schröder T, Baer F, Lehnert H, Büning J, Fellerman K, Sina C. Pancreatic Autoantibodies Against CUZD1 and GP2 Are Associated with Distinct Clinical Phenotypes of Crohn's Disease. </w:t>
      </w:r>
      <w:r w:rsidRPr="008E3F16">
        <w:rPr>
          <w:rFonts w:ascii="Book Antiqua" w:hAnsi="Book Antiqua" w:cs="Times New Roman"/>
          <w:i/>
          <w:iCs/>
          <w:color w:val="000000" w:themeColor="text1"/>
          <w:lang w:val="en-US"/>
        </w:rPr>
        <w:t>Inflamm Bowel Dis</w:t>
      </w:r>
      <w:r w:rsidRPr="008E3F16">
        <w:rPr>
          <w:rFonts w:ascii="Book Antiqua" w:hAnsi="Book Antiqua" w:cs="Times New Roman"/>
          <w:color w:val="000000" w:themeColor="text1"/>
          <w:lang w:val="en-US"/>
        </w:rPr>
        <w:t xml:space="preserve"> 2015; </w:t>
      </w:r>
      <w:r w:rsidRPr="008E3F16">
        <w:rPr>
          <w:rFonts w:ascii="Book Antiqua" w:hAnsi="Book Antiqua" w:cs="Times New Roman"/>
          <w:b/>
          <w:bCs/>
          <w:color w:val="000000" w:themeColor="text1"/>
          <w:lang w:val="en-US"/>
        </w:rPr>
        <w:t>21</w:t>
      </w:r>
      <w:r w:rsidRPr="008E3F16">
        <w:rPr>
          <w:rFonts w:ascii="Book Antiqua" w:hAnsi="Book Antiqua" w:cs="Times New Roman"/>
          <w:color w:val="000000" w:themeColor="text1"/>
          <w:lang w:val="en-US"/>
        </w:rPr>
        <w:t>: 2864-2872 [PMID: 26273818 DOI: 10.1097/MIB.0000000000000564]</w:t>
      </w:r>
    </w:p>
    <w:p w14:paraId="22387AF5" w14:textId="552F3924"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48 </w:t>
      </w:r>
      <w:r w:rsidRPr="008E3F16">
        <w:rPr>
          <w:rFonts w:ascii="Book Antiqua" w:hAnsi="Book Antiqua" w:cs="Times New Roman"/>
          <w:b/>
          <w:bCs/>
          <w:color w:val="000000" w:themeColor="text1"/>
          <w:lang w:val="en-US"/>
        </w:rPr>
        <w:t>Op De Beéck K</w:t>
      </w:r>
      <w:r w:rsidRPr="008E3F16">
        <w:rPr>
          <w:rFonts w:ascii="Book Antiqua" w:hAnsi="Book Antiqua" w:cs="Times New Roman"/>
          <w:color w:val="000000" w:themeColor="text1"/>
          <w:lang w:val="en-US"/>
        </w:rPr>
        <w:t xml:space="preserve">, Vermeire S, Rutgeerts P, Bossuyt X. Antibodies to GP2, the major zymogen granule membrane glycoprotein, in inflammatory bowel diseases. </w:t>
      </w:r>
      <w:r w:rsidRPr="008E3F16">
        <w:rPr>
          <w:rFonts w:ascii="Book Antiqua" w:hAnsi="Book Antiqua" w:cs="Times New Roman"/>
          <w:i/>
          <w:iCs/>
          <w:color w:val="000000" w:themeColor="text1"/>
          <w:lang w:val="en-US"/>
        </w:rPr>
        <w:t>Gut</w:t>
      </w:r>
      <w:r w:rsidRPr="008E3F16">
        <w:rPr>
          <w:rFonts w:ascii="Book Antiqua" w:hAnsi="Book Antiqua" w:cs="Times New Roman"/>
          <w:color w:val="000000" w:themeColor="text1"/>
          <w:lang w:val="en-US"/>
        </w:rPr>
        <w:t xml:space="preserve"> 2012; </w:t>
      </w:r>
      <w:r w:rsidRPr="008E3F16">
        <w:rPr>
          <w:rFonts w:ascii="Book Antiqua" w:hAnsi="Book Antiqua" w:cs="Times New Roman"/>
          <w:b/>
          <w:bCs/>
          <w:color w:val="000000" w:themeColor="text1"/>
          <w:lang w:val="en-US"/>
        </w:rPr>
        <w:t>61</w:t>
      </w:r>
      <w:r w:rsidRPr="008E3F16">
        <w:rPr>
          <w:rFonts w:ascii="Book Antiqua" w:hAnsi="Book Antiqua" w:cs="Times New Roman"/>
          <w:color w:val="000000" w:themeColor="text1"/>
          <w:lang w:val="en-US"/>
        </w:rPr>
        <w:t>: 162-</w:t>
      </w:r>
      <w:r w:rsidR="00E754D8" w:rsidRPr="008E3F16">
        <w:rPr>
          <w:rFonts w:ascii="Book Antiqua" w:hAnsi="Book Antiqua" w:cs="Times New Roman"/>
          <w:color w:val="000000" w:themeColor="text1"/>
          <w:lang w:val="en-US"/>
        </w:rPr>
        <w:t>16</w:t>
      </w:r>
      <w:r w:rsidRPr="008E3F16">
        <w:rPr>
          <w:rFonts w:ascii="Book Antiqua" w:hAnsi="Book Antiqua" w:cs="Times New Roman"/>
          <w:color w:val="000000" w:themeColor="text1"/>
          <w:lang w:val="en-US"/>
        </w:rPr>
        <w:t>4; author reply 164-5 [PMID: 21193445 DOI: 10.1136/gut.2010.233148]</w:t>
      </w:r>
    </w:p>
    <w:p w14:paraId="6BD1BD27"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49 </w:t>
      </w:r>
      <w:r w:rsidRPr="008E3F16">
        <w:rPr>
          <w:rFonts w:ascii="Book Antiqua" w:hAnsi="Book Antiqua" w:cs="Times New Roman"/>
          <w:b/>
          <w:bCs/>
          <w:color w:val="000000" w:themeColor="text1"/>
          <w:lang w:val="en-US"/>
        </w:rPr>
        <w:t>Papp M</w:t>
      </w:r>
      <w:r w:rsidRPr="008E3F16">
        <w:rPr>
          <w:rFonts w:ascii="Book Antiqua" w:hAnsi="Book Antiqua" w:cs="Times New Roman"/>
          <w:color w:val="000000" w:themeColor="text1"/>
          <w:lang w:val="en-US"/>
        </w:rPr>
        <w:t xml:space="preserve">, Sipeki N, Tornai T, Altorjay I, Norman GL, Shums Z, Roggenbuck D, Fechner K, Stöcker W, Antal-Szalmas P, Veres G, Lakatos PL. Rediscovery of the Anti-Pancreatic Antibodies and Evaluation of their Prognostic Value in a Prospective Clinical Cohort of Crohn's Patients: The Importance of Specific Target Antigens [GP2 and CUZD1]. </w:t>
      </w:r>
      <w:r w:rsidRPr="008E3F16">
        <w:rPr>
          <w:rFonts w:ascii="Book Antiqua" w:hAnsi="Book Antiqua" w:cs="Times New Roman"/>
          <w:i/>
          <w:iCs/>
          <w:color w:val="000000" w:themeColor="text1"/>
          <w:lang w:val="en-US"/>
        </w:rPr>
        <w:t>J Crohns Colitis</w:t>
      </w:r>
      <w:r w:rsidRPr="008E3F16">
        <w:rPr>
          <w:rFonts w:ascii="Book Antiqua" w:hAnsi="Book Antiqua" w:cs="Times New Roman"/>
          <w:color w:val="000000" w:themeColor="text1"/>
          <w:lang w:val="en-US"/>
        </w:rPr>
        <w:t xml:space="preserve"> 2015; </w:t>
      </w:r>
      <w:r w:rsidRPr="008E3F16">
        <w:rPr>
          <w:rFonts w:ascii="Book Antiqua" w:hAnsi="Book Antiqua" w:cs="Times New Roman"/>
          <w:b/>
          <w:bCs/>
          <w:color w:val="000000" w:themeColor="text1"/>
          <w:lang w:val="en-US"/>
        </w:rPr>
        <w:t>9</w:t>
      </w:r>
      <w:r w:rsidRPr="008E3F16">
        <w:rPr>
          <w:rFonts w:ascii="Book Antiqua" w:hAnsi="Book Antiqua" w:cs="Times New Roman"/>
          <w:color w:val="000000" w:themeColor="text1"/>
          <w:lang w:val="en-US"/>
        </w:rPr>
        <w:t>: 659-668 [PMID: 25968583 DOI: 10.1093/ecco-jcc/jjv087]</w:t>
      </w:r>
    </w:p>
    <w:p w14:paraId="68526B30"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50 </w:t>
      </w:r>
      <w:r w:rsidRPr="008E3F16">
        <w:rPr>
          <w:rFonts w:ascii="Book Antiqua" w:hAnsi="Book Antiqua" w:cs="Times New Roman"/>
          <w:b/>
          <w:bCs/>
          <w:color w:val="000000" w:themeColor="text1"/>
          <w:lang w:val="en-US"/>
        </w:rPr>
        <w:t>Pavlidis P</w:t>
      </w:r>
      <w:r w:rsidRPr="008E3F16">
        <w:rPr>
          <w:rFonts w:ascii="Book Antiqua" w:hAnsi="Book Antiqua" w:cs="Times New Roman"/>
          <w:color w:val="000000" w:themeColor="text1"/>
          <w:lang w:val="en-US"/>
        </w:rPr>
        <w:t xml:space="preserve">, Romanidou O, Roggenbuck D, Mytilinaiou MG, Al-Sulttan F, Liaskos C, Smyk DS, Koutsoumpas AL, Rigopoulou EI, Conrad K, Forbes A, Bogdanos DP. Ileal inflammation may trigger the development of GP2-specific pancreatic autoantibodies in patients with Crohn's disease. </w:t>
      </w:r>
      <w:r w:rsidRPr="008E3F16">
        <w:rPr>
          <w:rFonts w:ascii="Book Antiqua" w:hAnsi="Book Antiqua" w:cs="Times New Roman"/>
          <w:i/>
          <w:iCs/>
          <w:color w:val="000000" w:themeColor="text1"/>
          <w:lang w:val="en-US"/>
        </w:rPr>
        <w:t>Clin Dev Immunol</w:t>
      </w:r>
      <w:r w:rsidRPr="008E3F16">
        <w:rPr>
          <w:rFonts w:ascii="Book Antiqua" w:hAnsi="Book Antiqua" w:cs="Times New Roman"/>
          <w:color w:val="000000" w:themeColor="text1"/>
          <w:lang w:val="en-US"/>
        </w:rPr>
        <w:t xml:space="preserve"> 2012; </w:t>
      </w:r>
      <w:r w:rsidRPr="008E3F16">
        <w:rPr>
          <w:rFonts w:ascii="Book Antiqua" w:hAnsi="Book Antiqua" w:cs="Times New Roman"/>
          <w:b/>
          <w:bCs/>
          <w:color w:val="000000" w:themeColor="text1"/>
          <w:lang w:val="en-US"/>
        </w:rPr>
        <w:t>2012</w:t>
      </w:r>
      <w:r w:rsidRPr="008E3F16">
        <w:rPr>
          <w:rFonts w:ascii="Book Antiqua" w:hAnsi="Book Antiqua" w:cs="Times New Roman"/>
          <w:color w:val="000000" w:themeColor="text1"/>
          <w:lang w:val="en-US"/>
        </w:rPr>
        <w:t xml:space="preserve">: 640835 [PMID: 23118780 DOI: </w:t>
      </w:r>
      <w:r w:rsidRPr="008E3F16">
        <w:rPr>
          <w:rFonts w:ascii="Book Antiqua" w:hAnsi="Book Antiqua" w:cs="Times New Roman"/>
          <w:color w:val="000000" w:themeColor="text1"/>
          <w:lang w:val="en-US"/>
        </w:rPr>
        <w:lastRenderedPageBreak/>
        <w:t>10.1155/2012/640835]</w:t>
      </w:r>
    </w:p>
    <w:p w14:paraId="3CE7118A"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51 </w:t>
      </w:r>
      <w:r w:rsidRPr="008E3F16">
        <w:rPr>
          <w:rFonts w:ascii="Book Antiqua" w:hAnsi="Book Antiqua" w:cs="Times New Roman"/>
          <w:b/>
          <w:bCs/>
          <w:color w:val="000000" w:themeColor="text1"/>
          <w:lang w:val="en-US"/>
        </w:rPr>
        <w:t>Pavlidis P</w:t>
      </w:r>
      <w:r w:rsidRPr="008E3F16">
        <w:rPr>
          <w:rFonts w:ascii="Book Antiqua" w:hAnsi="Book Antiqua" w:cs="Times New Roman"/>
          <w:color w:val="000000" w:themeColor="text1"/>
          <w:lang w:val="en-US"/>
        </w:rPr>
        <w:t xml:space="preserve">, Shums Z, Koutsoumpas AL, Milo J, Papp M, Umemura T, Lakatos PL, Smyk DS, Bogdanos DP, Forbes A, Norman GL. Diagnostic and clinical significance of Crohn's disease-specific anti-MZGP2 pancreatic antibodies by a novel ELISA. </w:t>
      </w:r>
      <w:r w:rsidRPr="008E3F16">
        <w:rPr>
          <w:rFonts w:ascii="Book Antiqua" w:hAnsi="Book Antiqua" w:cs="Times New Roman"/>
          <w:i/>
          <w:iCs/>
          <w:color w:val="000000" w:themeColor="text1"/>
          <w:lang w:val="en-US"/>
        </w:rPr>
        <w:t>Clin Chim Acta</w:t>
      </w:r>
      <w:r w:rsidRPr="008E3F16">
        <w:rPr>
          <w:rFonts w:ascii="Book Antiqua" w:hAnsi="Book Antiqua" w:cs="Times New Roman"/>
          <w:color w:val="000000" w:themeColor="text1"/>
          <w:lang w:val="en-US"/>
        </w:rPr>
        <w:t xml:space="preserve"> 2015; </w:t>
      </w:r>
      <w:r w:rsidRPr="008E3F16">
        <w:rPr>
          <w:rFonts w:ascii="Book Antiqua" w:hAnsi="Book Antiqua" w:cs="Times New Roman"/>
          <w:b/>
          <w:bCs/>
          <w:color w:val="000000" w:themeColor="text1"/>
          <w:lang w:val="en-US"/>
        </w:rPr>
        <w:t>441</w:t>
      </w:r>
      <w:r w:rsidRPr="008E3F16">
        <w:rPr>
          <w:rFonts w:ascii="Book Antiqua" w:hAnsi="Book Antiqua" w:cs="Times New Roman"/>
          <w:color w:val="000000" w:themeColor="text1"/>
          <w:lang w:val="en-US"/>
        </w:rPr>
        <w:t>: 176-181 [PMID: 25512163 DOI: 10.1016/j.cca.2014.12.010]</w:t>
      </w:r>
    </w:p>
    <w:p w14:paraId="0798B3B4"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52 </w:t>
      </w:r>
      <w:r w:rsidRPr="008E3F16">
        <w:rPr>
          <w:rFonts w:ascii="Book Antiqua" w:hAnsi="Book Antiqua" w:cs="Times New Roman"/>
          <w:b/>
          <w:bCs/>
          <w:color w:val="000000" w:themeColor="text1"/>
          <w:lang w:val="en-US"/>
        </w:rPr>
        <w:t>Pavlidis P</w:t>
      </w:r>
      <w:r w:rsidRPr="008E3F16">
        <w:rPr>
          <w:rFonts w:ascii="Book Antiqua" w:hAnsi="Book Antiqua" w:cs="Times New Roman"/>
          <w:color w:val="000000" w:themeColor="text1"/>
          <w:lang w:val="en-US"/>
        </w:rPr>
        <w:t xml:space="preserve">, Komorowski L, Teegen B, Liaskos C, Koutsoumpas AL, Smyk DS, Perricone C, Mytilinaiou MG, Stocker W, Forbes A, Bogdanos DP. Diagnostic and clinical significance of Crohn's disease-specific pancreatic anti-GP2 and anti-CUZD1 antibodies. </w:t>
      </w:r>
      <w:r w:rsidRPr="008E3F16">
        <w:rPr>
          <w:rFonts w:ascii="Book Antiqua" w:hAnsi="Book Antiqua" w:cs="Times New Roman"/>
          <w:i/>
          <w:iCs/>
          <w:color w:val="000000" w:themeColor="text1"/>
          <w:lang w:val="en-US"/>
        </w:rPr>
        <w:t>Clin Chem Lab Med</w:t>
      </w:r>
      <w:r w:rsidRPr="008E3F16">
        <w:rPr>
          <w:rFonts w:ascii="Book Antiqua" w:hAnsi="Book Antiqua" w:cs="Times New Roman"/>
          <w:color w:val="000000" w:themeColor="text1"/>
          <w:lang w:val="en-US"/>
        </w:rPr>
        <w:t xml:space="preserve"> 2016; </w:t>
      </w:r>
      <w:r w:rsidRPr="008E3F16">
        <w:rPr>
          <w:rFonts w:ascii="Book Antiqua" w:hAnsi="Book Antiqua" w:cs="Times New Roman"/>
          <w:b/>
          <w:bCs/>
          <w:color w:val="000000" w:themeColor="text1"/>
          <w:lang w:val="en-US"/>
        </w:rPr>
        <w:t>54</w:t>
      </w:r>
      <w:r w:rsidRPr="008E3F16">
        <w:rPr>
          <w:rFonts w:ascii="Book Antiqua" w:hAnsi="Book Antiqua" w:cs="Times New Roman"/>
          <w:color w:val="000000" w:themeColor="text1"/>
          <w:lang w:val="en-US"/>
        </w:rPr>
        <w:t>: 249-256 [PMID: 26351932 DOI: 10.1515/cclm-2015-0376]</w:t>
      </w:r>
    </w:p>
    <w:p w14:paraId="0832A855"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53 </w:t>
      </w:r>
      <w:r w:rsidRPr="008E3F16">
        <w:rPr>
          <w:rFonts w:ascii="Book Antiqua" w:hAnsi="Book Antiqua" w:cs="Times New Roman"/>
          <w:b/>
          <w:bCs/>
          <w:color w:val="000000" w:themeColor="text1"/>
          <w:lang w:val="en-US"/>
        </w:rPr>
        <w:t>Röber N</w:t>
      </w:r>
      <w:r w:rsidRPr="008E3F16">
        <w:rPr>
          <w:rFonts w:ascii="Book Antiqua" w:hAnsi="Book Antiqua" w:cs="Times New Roman"/>
          <w:color w:val="000000" w:themeColor="text1"/>
          <w:lang w:val="en-US"/>
        </w:rPr>
        <w:t xml:space="preserve">, Noß L, Goihl A, Reinhold D, Jahn J, de Laffolie J, Johannes W, Flemming GM, Roggenbuck D, Conrad K, Laass MW. Autoantibodies Against Glycoprotein 2 Isoforms in Pediatric Patients with Inflammatory Bowel Disease. </w:t>
      </w:r>
      <w:r w:rsidRPr="008E3F16">
        <w:rPr>
          <w:rFonts w:ascii="Book Antiqua" w:hAnsi="Book Antiqua" w:cs="Times New Roman"/>
          <w:i/>
          <w:iCs/>
          <w:color w:val="000000" w:themeColor="text1"/>
          <w:lang w:val="en-US"/>
        </w:rPr>
        <w:t>Inflamm Bowel Dis</w:t>
      </w:r>
      <w:r w:rsidRPr="008E3F16">
        <w:rPr>
          <w:rFonts w:ascii="Book Antiqua" w:hAnsi="Book Antiqua" w:cs="Times New Roman"/>
          <w:color w:val="000000" w:themeColor="text1"/>
          <w:lang w:val="en-US"/>
        </w:rPr>
        <w:t xml:space="preserve"> 2017; </w:t>
      </w:r>
      <w:r w:rsidRPr="008E3F16">
        <w:rPr>
          <w:rFonts w:ascii="Book Antiqua" w:hAnsi="Book Antiqua" w:cs="Times New Roman"/>
          <w:b/>
          <w:bCs/>
          <w:color w:val="000000" w:themeColor="text1"/>
          <w:lang w:val="en-US"/>
        </w:rPr>
        <w:t>23</w:t>
      </w:r>
      <w:r w:rsidRPr="008E3F16">
        <w:rPr>
          <w:rFonts w:ascii="Book Antiqua" w:hAnsi="Book Antiqua" w:cs="Times New Roman"/>
          <w:color w:val="000000" w:themeColor="text1"/>
          <w:lang w:val="en-US"/>
        </w:rPr>
        <w:t>: 1624-1636 [PMID: 28691939 DOI: 10.1097/MIB.0000000000001159]</w:t>
      </w:r>
    </w:p>
    <w:p w14:paraId="1A70713D"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54 </w:t>
      </w:r>
      <w:r w:rsidRPr="008E3F16">
        <w:rPr>
          <w:rFonts w:ascii="Book Antiqua" w:hAnsi="Book Antiqua" w:cs="Times New Roman"/>
          <w:b/>
          <w:bCs/>
          <w:color w:val="000000" w:themeColor="text1"/>
          <w:lang w:val="en-US"/>
        </w:rPr>
        <w:t>Roggenbuck D</w:t>
      </w:r>
      <w:r w:rsidRPr="008E3F16">
        <w:rPr>
          <w:rFonts w:ascii="Book Antiqua" w:hAnsi="Book Antiqua" w:cs="Times New Roman"/>
          <w:color w:val="000000" w:themeColor="text1"/>
          <w:lang w:val="en-US"/>
        </w:rPr>
        <w:t xml:space="preserve">, Reinhold D, Wex T, Goihl A, von Arnim U, Malfertheiner P, Büttner T, Porstmann T, Porstmann S, Liedvogel B, Bogdanos DP, Laass MW, Conrad K. Autoantibodies to GP2, the major zymogen granule membrane glycoprotein, are new markers in Crohn's disease. </w:t>
      </w:r>
      <w:r w:rsidRPr="008E3F16">
        <w:rPr>
          <w:rFonts w:ascii="Book Antiqua" w:hAnsi="Book Antiqua" w:cs="Times New Roman"/>
          <w:i/>
          <w:iCs/>
          <w:color w:val="000000" w:themeColor="text1"/>
          <w:lang w:val="en-US"/>
        </w:rPr>
        <w:t>Clin Chim Acta</w:t>
      </w:r>
      <w:r w:rsidRPr="008E3F16">
        <w:rPr>
          <w:rFonts w:ascii="Book Antiqua" w:hAnsi="Book Antiqua" w:cs="Times New Roman"/>
          <w:color w:val="000000" w:themeColor="text1"/>
          <w:lang w:val="en-US"/>
        </w:rPr>
        <w:t xml:space="preserve"> 2011; </w:t>
      </w:r>
      <w:r w:rsidRPr="008E3F16">
        <w:rPr>
          <w:rFonts w:ascii="Book Antiqua" w:hAnsi="Book Antiqua" w:cs="Times New Roman"/>
          <w:b/>
          <w:bCs/>
          <w:color w:val="000000" w:themeColor="text1"/>
          <w:lang w:val="en-US"/>
        </w:rPr>
        <w:t>412</w:t>
      </w:r>
      <w:r w:rsidRPr="008E3F16">
        <w:rPr>
          <w:rFonts w:ascii="Book Antiqua" w:hAnsi="Book Antiqua" w:cs="Times New Roman"/>
          <w:color w:val="000000" w:themeColor="text1"/>
          <w:lang w:val="en-US"/>
        </w:rPr>
        <w:t>: 718-724 [PMID: 21195704 DOI: 10.1016/j.cca.2010.12.029]</w:t>
      </w:r>
    </w:p>
    <w:p w14:paraId="66B4F904"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55 </w:t>
      </w:r>
      <w:r w:rsidRPr="008E3F16">
        <w:rPr>
          <w:rFonts w:ascii="Book Antiqua" w:hAnsi="Book Antiqua" w:cs="Times New Roman"/>
          <w:b/>
          <w:bCs/>
          <w:color w:val="000000" w:themeColor="text1"/>
          <w:lang w:val="en-US"/>
        </w:rPr>
        <w:t>Roggenbuck D</w:t>
      </w:r>
      <w:r w:rsidRPr="008E3F16">
        <w:rPr>
          <w:rFonts w:ascii="Book Antiqua" w:hAnsi="Book Antiqua" w:cs="Times New Roman"/>
          <w:color w:val="000000" w:themeColor="text1"/>
          <w:lang w:val="en-US"/>
        </w:rPr>
        <w:t xml:space="preserve">, Hausdorf G, Martinez-Gamboa L, Reinhold D, Büttner T, Jungblut PR, Porstmann T, Laass MW, Henker J, Büning C, Feist E, Conrad K. Identification of GP2, the major zymogen granule membrane glycoprotein, as the autoantigen of pancreatic antibodies in Crohn's disease. </w:t>
      </w:r>
      <w:r w:rsidRPr="008E3F16">
        <w:rPr>
          <w:rFonts w:ascii="Book Antiqua" w:hAnsi="Book Antiqua" w:cs="Times New Roman"/>
          <w:i/>
          <w:iCs/>
          <w:color w:val="000000" w:themeColor="text1"/>
          <w:lang w:val="en-US"/>
        </w:rPr>
        <w:t>Gut</w:t>
      </w:r>
      <w:r w:rsidRPr="008E3F16">
        <w:rPr>
          <w:rFonts w:ascii="Book Antiqua" w:hAnsi="Book Antiqua" w:cs="Times New Roman"/>
          <w:color w:val="000000" w:themeColor="text1"/>
          <w:lang w:val="en-US"/>
        </w:rPr>
        <w:t xml:space="preserve"> 2009; </w:t>
      </w:r>
      <w:r w:rsidRPr="008E3F16">
        <w:rPr>
          <w:rFonts w:ascii="Book Antiqua" w:hAnsi="Book Antiqua" w:cs="Times New Roman"/>
          <w:b/>
          <w:bCs/>
          <w:color w:val="000000" w:themeColor="text1"/>
          <w:lang w:val="en-US"/>
        </w:rPr>
        <w:t>58</w:t>
      </w:r>
      <w:r w:rsidRPr="008E3F16">
        <w:rPr>
          <w:rFonts w:ascii="Book Antiqua" w:hAnsi="Book Antiqua" w:cs="Times New Roman"/>
          <w:color w:val="000000" w:themeColor="text1"/>
          <w:lang w:val="en-US"/>
        </w:rPr>
        <w:t>: 1620-1628 [PMID: 19549613 DOI: 10.1136/gut.2008.162495]</w:t>
      </w:r>
    </w:p>
    <w:p w14:paraId="47C1EFB6"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56 </w:t>
      </w:r>
      <w:r w:rsidRPr="008E3F16">
        <w:rPr>
          <w:rFonts w:ascii="Book Antiqua" w:hAnsi="Book Antiqua" w:cs="Times New Roman"/>
          <w:b/>
          <w:bCs/>
          <w:color w:val="000000" w:themeColor="text1"/>
          <w:lang w:val="en-US"/>
        </w:rPr>
        <w:t>Roggenbuck D</w:t>
      </w:r>
      <w:r w:rsidRPr="008E3F16">
        <w:rPr>
          <w:rFonts w:ascii="Book Antiqua" w:hAnsi="Book Antiqua" w:cs="Times New Roman"/>
          <w:color w:val="000000" w:themeColor="text1"/>
          <w:lang w:val="en-US"/>
        </w:rPr>
        <w:t xml:space="preserve">, Vermeire S, Hoffman I, Reinhold D, Schierack P, Goihl A, von Arnim U, De Hertogh G, Polymeros D, Bogdanos DP, Bossuyt X. Evidence of Crohn's disease-related anti-glycoprotein 2 antibodies in patients with celiac disease. </w:t>
      </w:r>
      <w:r w:rsidRPr="008E3F16">
        <w:rPr>
          <w:rFonts w:ascii="Book Antiqua" w:hAnsi="Book Antiqua" w:cs="Times New Roman"/>
          <w:i/>
          <w:iCs/>
          <w:color w:val="000000" w:themeColor="text1"/>
          <w:lang w:val="en-US"/>
        </w:rPr>
        <w:t>Clin Chem Lab Med</w:t>
      </w:r>
      <w:r w:rsidRPr="008E3F16">
        <w:rPr>
          <w:rFonts w:ascii="Book Antiqua" w:hAnsi="Book Antiqua" w:cs="Times New Roman"/>
          <w:color w:val="000000" w:themeColor="text1"/>
          <w:lang w:val="en-US"/>
        </w:rPr>
        <w:t xml:space="preserve"> 2015; </w:t>
      </w:r>
      <w:r w:rsidRPr="008E3F16">
        <w:rPr>
          <w:rFonts w:ascii="Book Antiqua" w:hAnsi="Book Antiqua" w:cs="Times New Roman"/>
          <w:b/>
          <w:bCs/>
          <w:color w:val="000000" w:themeColor="text1"/>
          <w:lang w:val="en-US"/>
        </w:rPr>
        <w:t>53</w:t>
      </w:r>
      <w:r w:rsidRPr="008E3F16">
        <w:rPr>
          <w:rFonts w:ascii="Book Antiqua" w:hAnsi="Book Antiqua" w:cs="Times New Roman"/>
          <w:color w:val="000000" w:themeColor="text1"/>
          <w:lang w:val="en-US"/>
        </w:rPr>
        <w:t>: 1349-1357 [PMID: 25411995 DOI: 10.1515/cclm-2014-0238]</w:t>
      </w:r>
    </w:p>
    <w:p w14:paraId="7615EA1D"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57 </w:t>
      </w:r>
      <w:r w:rsidRPr="008E3F16">
        <w:rPr>
          <w:rFonts w:ascii="Book Antiqua" w:hAnsi="Book Antiqua" w:cs="Times New Roman"/>
          <w:b/>
          <w:bCs/>
          <w:color w:val="000000" w:themeColor="text1"/>
          <w:lang w:val="en-US"/>
        </w:rPr>
        <w:t>Zhang S</w:t>
      </w:r>
      <w:r w:rsidRPr="008E3F16">
        <w:rPr>
          <w:rFonts w:ascii="Book Antiqua" w:hAnsi="Book Antiqua" w:cs="Times New Roman"/>
          <w:color w:val="000000" w:themeColor="text1"/>
          <w:lang w:val="en-US"/>
        </w:rPr>
        <w:t xml:space="preserve">, Wu Z, Luo J, Ding X, Hu C, Li P, Deng C, Zhang F, Qian J, Li Y. Diagnostic Potential of Zymogen Granule Glycoprotein 2 Antibodies as Serologic Biomarkers in Chinese Patients With Crohn Disease. </w:t>
      </w:r>
      <w:r w:rsidRPr="008E3F16">
        <w:rPr>
          <w:rFonts w:ascii="Book Antiqua" w:hAnsi="Book Antiqua" w:cs="Times New Roman"/>
          <w:i/>
          <w:iCs/>
          <w:color w:val="000000" w:themeColor="text1"/>
          <w:lang w:val="en-US"/>
        </w:rPr>
        <w:t>Medicine (Baltimore)</w:t>
      </w:r>
      <w:r w:rsidRPr="008E3F16">
        <w:rPr>
          <w:rFonts w:ascii="Book Antiqua" w:hAnsi="Book Antiqua" w:cs="Times New Roman"/>
          <w:color w:val="000000" w:themeColor="text1"/>
          <w:lang w:val="en-US"/>
        </w:rPr>
        <w:t xml:space="preserve"> 2015; </w:t>
      </w:r>
      <w:r w:rsidRPr="008E3F16">
        <w:rPr>
          <w:rFonts w:ascii="Book Antiqua" w:hAnsi="Book Antiqua" w:cs="Times New Roman"/>
          <w:b/>
          <w:bCs/>
          <w:color w:val="000000" w:themeColor="text1"/>
          <w:lang w:val="en-US"/>
        </w:rPr>
        <w:t>94</w:t>
      </w:r>
      <w:r w:rsidRPr="008E3F16">
        <w:rPr>
          <w:rFonts w:ascii="Book Antiqua" w:hAnsi="Book Antiqua" w:cs="Times New Roman"/>
          <w:color w:val="000000" w:themeColor="text1"/>
          <w:lang w:val="en-US"/>
        </w:rPr>
        <w:t>: e1654 [PMID: 26496271 DOI: 10.1097/MD.0000000000001654]</w:t>
      </w:r>
    </w:p>
    <w:p w14:paraId="41C341F0"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58 </w:t>
      </w:r>
      <w:r w:rsidRPr="008E3F16">
        <w:rPr>
          <w:rFonts w:ascii="Book Antiqua" w:hAnsi="Book Antiqua" w:cs="Times New Roman"/>
          <w:b/>
          <w:bCs/>
          <w:color w:val="000000" w:themeColor="text1"/>
          <w:lang w:val="en-US"/>
        </w:rPr>
        <w:t>Zhang S</w:t>
      </w:r>
      <w:r w:rsidRPr="008E3F16">
        <w:rPr>
          <w:rFonts w:ascii="Book Antiqua" w:hAnsi="Book Antiqua" w:cs="Times New Roman"/>
          <w:color w:val="000000" w:themeColor="text1"/>
          <w:lang w:val="en-US"/>
        </w:rPr>
        <w:t xml:space="preserve">, Luo J, Wu Z, Roggenbuck D, Schierack P, Reinhold D, Li J, Zeng X, Zhang F, Qian J, Li Y. Antibodies against glycoprotein 2 display diagnostic advantages over ASCA in distinguishing CD from intestinal tuberculosis and intestinal Behçet's disease. </w:t>
      </w:r>
      <w:r w:rsidRPr="008E3F16">
        <w:rPr>
          <w:rFonts w:ascii="Book Antiqua" w:hAnsi="Book Antiqua" w:cs="Times New Roman"/>
          <w:i/>
          <w:iCs/>
          <w:color w:val="000000" w:themeColor="text1"/>
          <w:lang w:val="en-US"/>
        </w:rPr>
        <w:t xml:space="preserve">Clin Transl </w:t>
      </w:r>
      <w:r w:rsidRPr="008E3F16">
        <w:rPr>
          <w:rFonts w:ascii="Book Antiqua" w:hAnsi="Book Antiqua" w:cs="Times New Roman"/>
          <w:i/>
          <w:iCs/>
          <w:color w:val="000000" w:themeColor="text1"/>
          <w:lang w:val="en-US"/>
        </w:rPr>
        <w:lastRenderedPageBreak/>
        <w:t>Gastroenterol</w:t>
      </w:r>
      <w:r w:rsidRPr="008E3F16">
        <w:rPr>
          <w:rFonts w:ascii="Book Antiqua" w:hAnsi="Book Antiqua" w:cs="Times New Roman"/>
          <w:color w:val="000000" w:themeColor="text1"/>
          <w:lang w:val="en-US"/>
        </w:rPr>
        <w:t xml:space="preserve"> 2018; </w:t>
      </w:r>
      <w:r w:rsidRPr="008E3F16">
        <w:rPr>
          <w:rFonts w:ascii="Book Antiqua" w:hAnsi="Book Antiqua" w:cs="Times New Roman"/>
          <w:b/>
          <w:bCs/>
          <w:color w:val="000000" w:themeColor="text1"/>
          <w:lang w:val="en-US"/>
        </w:rPr>
        <w:t>9</w:t>
      </w:r>
      <w:r w:rsidRPr="008E3F16">
        <w:rPr>
          <w:rFonts w:ascii="Book Antiqua" w:hAnsi="Book Antiqua" w:cs="Times New Roman"/>
          <w:color w:val="000000" w:themeColor="text1"/>
          <w:lang w:val="en-US"/>
        </w:rPr>
        <w:t>: e133 [PMID: 29446764 DOI: 10.1038/ctg.2018.1]</w:t>
      </w:r>
    </w:p>
    <w:p w14:paraId="7AC56123"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59 </w:t>
      </w:r>
      <w:r w:rsidRPr="008E3F16">
        <w:rPr>
          <w:rFonts w:ascii="Book Antiqua" w:hAnsi="Book Antiqua" w:cs="Times New Roman"/>
          <w:b/>
          <w:bCs/>
          <w:color w:val="000000" w:themeColor="text1"/>
          <w:lang w:val="en-US"/>
        </w:rPr>
        <w:t>Joossens S</w:t>
      </w:r>
      <w:r w:rsidRPr="008E3F16">
        <w:rPr>
          <w:rFonts w:ascii="Book Antiqua" w:hAnsi="Book Antiqua" w:cs="Times New Roman"/>
          <w:color w:val="000000" w:themeColor="text1"/>
          <w:lang w:val="en-US"/>
        </w:rPr>
        <w:t xml:space="preserve">, Vermeire S, Van Steen K, Godefridis G, Claessens G, Pierik M, Vlietinck R, Aerts R, Rutgeerts P, Bossuyt X. Pancreatic autoantibodies in inflammatory bowel disease. </w:t>
      </w:r>
      <w:r w:rsidRPr="008E3F16">
        <w:rPr>
          <w:rFonts w:ascii="Book Antiqua" w:hAnsi="Book Antiqua" w:cs="Times New Roman"/>
          <w:i/>
          <w:iCs/>
          <w:color w:val="000000" w:themeColor="text1"/>
          <w:lang w:val="en-US"/>
        </w:rPr>
        <w:t>Inflamm Bowel Dis</w:t>
      </w:r>
      <w:r w:rsidRPr="008E3F16">
        <w:rPr>
          <w:rFonts w:ascii="Book Antiqua" w:hAnsi="Book Antiqua" w:cs="Times New Roman"/>
          <w:color w:val="000000" w:themeColor="text1"/>
          <w:lang w:val="en-US"/>
        </w:rPr>
        <w:t xml:space="preserve"> 2004; </w:t>
      </w:r>
      <w:r w:rsidRPr="008E3F16">
        <w:rPr>
          <w:rFonts w:ascii="Book Antiqua" w:hAnsi="Book Antiqua" w:cs="Times New Roman"/>
          <w:b/>
          <w:bCs/>
          <w:color w:val="000000" w:themeColor="text1"/>
          <w:lang w:val="en-US"/>
        </w:rPr>
        <w:t>10</w:t>
      </w:r>
      <w:r w:rsidRPr="008E3F16">
        <w:rPr>
          <w:rFonts w:ascii="Book Antiqua" w:hAnsi="Book Antiqua" w:cs="Times New Roman"/>
          <w:color w:val="000000" w:themeColor="text1"/>
          <w:lang w:val="en-US"/>
        </w:rPr>
        <w:t>: 771-777 [PMID: 15626896 DOI: 10.1097/00054725-200411000-00012]</w:t>
      </w:r>
    </w:p>
    <w:p w14:paraId="012C6A77"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60 </w:t>
      </w:r>
      <w:r w:rsidRPr="008E3F16">
        <w:rPr>
          <w:rFonts w:ascii="Book Antiqua" w:hAnsi="Book Antiqua" w:cs="Times New Roman"/>
          <w:b/>
          <w:bCs/>
          <w:color w:val="000000" w:themeColor="text1"/>
          <w:lang w:val="en-US"/>
        </w:rPr>
        <w:t>Stafylidou M</w:t>
      </w:r>
      <w:r w:rsidRPr="008E3F16">
        <w:rPr>
          <w:rFonts w:ascii="Book Antiqua" w:hAnsi="Book Antiqua" w:cs="Times New Roman"/>
          <w:color w:val="000000" w:themeColor="text1"/>
          <w:lang w:val="en-US"/>
        </w:rPr>
        <w:t xml:space="preserve">, Paschos P, Katsoula A, Malandris K, Ioakim K, Bekiari E, Haidich AB, Akriviadis E, Tsapas A. Performance of Baveno VI and Expanded Baveno VI Criteria for Excluding High-Risk Varices in Patients With Chronic Liver Diseases: A Systematic Review and Meta-analysis. </w:t>
      </w:r>
      <w:r w:rsidRPr="008E3F16">
        <w:rPr>
          <w:rFonts w:ascii="Book Antiqua" w:hAnsi="Book Antiqua" w:cs="Times New Roman"/>
          <w:i/>
          <w:iCs/>
          <w:color w:val="000000" w:themeColor="text1"/>
          <w:lang w:val="en-US"/>
        </w:rPr>
        <w:t>Clin Gastroenterol Hepatol</w:t>
      </w:r>
      <w:r w:rsidRPr="008E3F16">
        <w:rPr>
          <w:rFonts w:ascii="Book Antiqua" w:hAnsi="Book Antiqua" w:cs="Times New Roman"/>
          <w:color w:val="000000" w:themeColor="text1"/>
          <w:lang w:val="en-US"/>
        </w:rPr>
        <w:t xml:space="preserve"> 2019; </w:t>
      </w:r>
      <w:r w:rsidRPr="008E3F16">
        <w:rPr>
          <w:rFonts w:ascii="Book Antiqua" w:hAnsi="Book Antiqua" w:cs="Times New Roman"/>
          <w:b/>
          <w:bCs/>
          <w:color w:val="000000" w:themeColor="text1"/>
          <w:lang w:val="en-US"/>
        </w:rPr>
        <w:t>17</w:t>
      </w:r>
      <w:r w:rsidRPr="008E3F16">
        <w:rPr>
          <w:rFonts w:ascii="Book Antiqua" w:hAnsi="Book Antiqua" w:cs="Times New Roman"/>
          <w:color w:val="000000" w:themeColor="text1"/>
          <w:lang w:val="en-US"/>
        </w:rPr>
        <w:t>: 1744-1755.e11 [PMID: 31077823 DOI: 10.1016/j.cgh.2019.04.062]</w:t>
      </w:r>
    </w:p>
    <w:p w14:paraId="1FFCF654"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61 </w:t>
      </w:r>
      <w:r w:rsidRPr="008E3F16">
        <w:rPr>
          <w:rFonts w:ascii="Book Antiqua" w:hAnsi="Book Antiqua" w:cs="Times New Roman"/>
          <w:b/>
          <w:bCs/>
          <w:color w:val="000000" w:themeColor="text1"/>
          <w:lang w:val="en-US"/>
        </w:rPr>
        <w:t>Lalkhen AG</w:t>
      </w:r>
      <w:r w:rsidRPr="008E3F16">
        <w:rPr>
          <w:rFonts w:ascii="Book Antiqua" w:hAnsi="Book Antiqua" w:cs="Times New Roman"/>
          <w:color w:val="000000" w:themeColor="text1"/>
          <w:lang w:val="en-US"/>
        </w:rPr>
        <w:t xml:space="preserve">, McCluskey A. Clinical tests: sensitivity and specificity. </w:t>
      </w:r>
      <w:r w:rsidRPr="008E3F16">
        <w:rPr>
          <w:rFonts w:ascii="Book Antiqua" w:hAnsi="Book Antiqua" w:cs="Times New Roman"/>
          <w:i/>
          <w:iCs/>
          <w:color w:val="000000" w:themeColor="text1"/>
          <w:lang w:val="en-US"/>
        </w:rPr>
        <w:t>Contin Educ Anaesth Crit Care Pain</w:t>
      </w:r>
      <w:r w:rsidRPr="008E3F16">
        <w:rPr>
          <w:rFonts w:ascii="Book Antiqua" w:hAnsi="Book Antiqua" w:cs="Times New Roman"/>
          <w:color w:val="000000" w:themeColor="text1"/>
          <w:lang w:val="en-US"/>
        </w:rPr>
        <w:t xml:space="preserve"> 2008; </w:t>
      </w:r>
      <w:r w:rsidRPr="008E3F16">
        <w:rPr>
          <w:rFonts w:ascii="Book Antiqua" w:hAnsi="Book Antiqua" w:cs="Times New Roman"/>
          <w:b/>
          <w:bCs/>
          <w:color w:val="000000" w:themeColor="text1"/>
          <w:lang w:val="en-US"/>
        </w:rPr>
        <w:t>8</w:t>
      </w:r>
      <w:r w:rsidRPr="008E3F16">
        <w:rPr>
          <w:rFonts w:ascii="Book Antiqua" w:hAnsi="Book Antiqua" w:cs="Times New Roman"/>
          <w:color w:val="000000" w:themeColor="text1"/>
          <w:lang w:val="en-US"/>
        </w:rPr>
        <w:t>: 221–223 [DOI: 10.1093/bjaceaccp/mkn041]</w:t>
      </w:r>
    </w:p>
    <w:p w14:paraId="4682B69A"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62 </w:t>
      </w:r>
      <w:r w:rsidRPr="008E3F16">
        <w:rPr>
          <w:rFonts w:ascii="Book Antiqua" w:hAnsi="Book Antiqua" w:cs="Times New Roman"/>
          <w:b/>
          <w:bCs/>
          <w:color w:val="000000" w:themeColor="text1"/>
          <w:lang w:val="en-US"/>
        </w:rPr>
        <w:t>Power M</w:t>
      </w:r>
      <w:r w:rsidRPr="008E3F16">
        <w:rPr>
          <w:rFonts w:ascii="Book Antiqua" w:hAnsi="Book Antiqua" w:cs="Times New Roman"/>
          <w:color w:val="000000" w:themeColor="text1"/>
          <w:lang w:val="en-US"/>
        </w:rPr>
        <w:t xml:space="preserve">, Fell G, Wright M. Principles for high-quality, high-value testing. </w:t>
      </w:r>
      <w:r w:rsidRPr="008E3F16">
        <w:rPr>
          <w:rFonts w:ascii="Book Antiqua" w:hAnsi="Book Antiqua" w:cs="Times New Roman"/>
          <w:i/>
          <w:iCs/>
          <w:color w:val="000000" w:themeColor="text1"/>
          <w:lang w:val="en-US"/>
        </w:rPr>
        <w:t>Evid Based Med</w:t>
      </w:r>
      <w:r w:rsidRPr="008E3F16">
        <w:rPr>
          <w:rFonts w:ascii="Book Antiqua" w:hAnsi="Book Antiqua" w:cs="Times New Roman"/>
          <w:color w:val="000000" w:themeColor="text1"/>
          <w:lang w:val="en-US"/>
        </w:rPr>
        <w:t xml:space="preserve"> 2013; </w:t>
      </w:r>
      <w:r w:rsidRPr="008E3F16">
        <w:rPr>
          <w:rFonts w:ascii="Book Antiqua" w:hAnsi="Book Antiqua" w:cs="Times New Roman"/>
          <w:b/>
          <w:bCs/>
          <w:color w:val="000000" w:themeColor="text1"/>
          <w:lang w:val="en-US"/>
        </w:rPr>
        <w:t>18</w:t>
      </w:r>
      <w:r w:rsidRPr="008E3F16">
        <w:rPr>
          <w:rFonts w:ascii="Book Antiqua" w:hAnsi="Book Antiqua" w:cs="Times New Roman"/>
          <w:color w:val="000000" w:themeColor="text1"/>
          <w:lang w:val="en-US"/>
        </w:rPr>
        <w:t>: 5-10 [PMID: 22740357 DOI: 10.1136/eb-2012-100645]</w:t>
      </w:r>
    </w:p>
    <w:p w14:paraId="1FA41F3B"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63 </w:t>
      </w:r>
      <w:r w:rsidRPr="008E3F16">
        <w:rPr>
          <w:rFonts w:ascii="Book Antiqua" w:hAnsi="Book Antiqua" w:cs="Times New Roman"/>
          <w:b/>
          <w:bCs/>
          <w:color w:val="000000" w:themeColor="text1"/>
          <w:lang w:val="en-US"/>
        </w:rPr>
        <w:t>Trevethan R</w:t>
      </w:r>
      <w:r w:rsidRPr="008E3F16">
        <w:rPr>
          <w:rFonts w:ascii="Book Antiqua" w:hAnsi="Book Antiqua" w:cs="Times New Roman"/>
          <w:color w:val="000000" w:themeColor="text1"/>
          <w:lang w:val="en-US"/>
        </w:rPr>
        <w:t xml:space="preserve">. Sensitivity, Specificity, and Predictive Values: Foundations, Pliabilities, and Pitfalls in Research and Practice. </w:t>
      </w:r>
      <w:r w:rsidRPr="008E3F16">
        <w:rPr>
          <w:rFonts w:ascii="Book Antiqua" w:hAnsi="Book Antiqua" w:cs="Times New Roman"/>
          <w:i/>
          <w:iCs/>
          <w:color w:val="000000" w:themeColor="text1"/>
          <w:lang w:val="en-US"/>
        </w:rPr>
        <w:t>Front Public Health</w:t>
      </w:r>
      <w:r w:rsidRPr="008E3F16">
        <w:rPr>
          <w:rFonts w:ascii="Book Antiqua" w:hAnsi="Book Antiqua" w:cs="Times New Roman"/>
          <w:color w:val="000000" w:themeColor="text1"/>
          <w:lang w:val="en-US"/>
        </w:rPr>
        <w:t xml:space="preserve"> 2017; </w:t>
      </w:r>
      <w:r w:rsidRPr="008E3F16">
        <w:rPr>
          <w:rFonts w:ascii="Book Antiqua" w:hAnsi="Book Antiqua" w:cs="Times New Roman"/>
          <w:b/>
          <w:bCs/>
          <w:color w:val="000000" w:themeColor="text1"/>
          <w:lang w:val="en-US"/>
        </w:rPr>
        <w:t>5</w:t>
      </w:r>
      <w:r w:rsidRPr="008E3F16">
        <w:rPr>
          <w:rFonts w:ascii="Book Antiqua" w:hAnsi="Book Antiqua" w:cs="Times New Roman"/>
          <w:color w:val="000000" w:themeColor="text1"/>
          <w:lang w:val="en-US"/>
        </w:rPr>
        <w:t>: 307 [PMID: 29209603 DOI: 10.3389/fpubh.2017.00307]</w:t>
      </w:r>
    </w:p>
    <w:p w14:paraId="764EDE2A"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64 </w:t>
      </w:r>
      <w:r w:rsidRPr="008E3F16">
        <w:rPr>
          <w:rFonts w:ascii="Book Antiqua" w:hAnsi="Book Antiqua" w:cs="Times New Roman"/>
          <w:b/>
          <w:bCs/>
          <w:color w:val="000000" w:themeColor="text1"/>
          <w:lang w:val="en-US"/>
        </w:rPr>
        <w:t>Fukuoka S</w:t>
      </w:r>
      <w:r w:rsidRPr="008E3F16">
        <w:rPr>
          <w:rFonts w:ascii="Book Antiqua" w:hAnsi="Book Antiqua" w:cs="Times New Roman"/>
          <w:color w:val="000000" w:themeColor="text1"/>
          <w:lang w:val="en-US"/>
        </w:rPr>
        <w:t xml:space="preserve">. Molecular cloning and sequences of cDNAs encoding alpha (large) and beta (small) isoforms of human pancreatic zymogen granule membrane-associated protein GP2. </w:t>
      </w:r>
      <w:r w:rsidRPr="008E3F16">
        <w:rPr>
          <w:rFonts w:ascii="Book Antiqua" w:hAnsi="Book Antiqua" w:cs="Times New Roman"/>
          <w:i/>
          <w:iCs/>
          <w:color w:val="000000" w:themeColor="text1"/>
          <w:lang w:val="en-US"/>
        </w:rPr>
        <w:t>Biochim Biophys Acta</w:t>
      </w:r>
      <w:r w:rsidRPr="008E3F16">
        <w:rPr>
          <w:rFonts w:ascii="Book Antiqua" w:hAnsi="Book Antiqua" w:cs="Times New Roman"/>
          <w:color w:val="000000" w:themeColor="text1"/>
          <w:lang w:val="en-US"/>
        </w:rPr>
        <w:t xml:space="preserve"> 2000; </w:t>
      </w:r>
      <w:r w:rsidRPr="008E3F16">
        <w:rPr>
          <w:rFonts w:ascii="Book Antiqua" w:hAnsi="Book Antiqua" w:cs="Times New Roman"/>
          <w:b/>
          <w:bCs/>
          <w:color w:val="000000" w:themeColor="text1"/>
          <w:lang w:val="en-US"/>
        </w:rPr>
        <w:t>1491</w:t>
      </w:r>
      <w:r w:rsidRPr="008E3F16">
        <w:rPr>
          <w:rFonts w:ascii="Book Antiqua" w:hAnsi="Book Antiqua" w:cs="Times New Roman"/>
          <w:color w:val="000000" w:themeColor="text1"/>
          <w:lang w:val="en-US"/>
        </w:rPr>
        <w:t>: 376-380 [PMID: 10760606 DOI: 10.1016/s0167-4781(00)00057-9]</w:t>
      </w:r>
    </w:p>
    <w:p w14:paraId="4AADF941"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65 </w:t>
      </w:r>
      <w:r w:rsidRPr="008E3F16">
        <w:rPr>
          <w:rFonts w:ascii="Book Antiqua" w:hAnsi="Book Antiqua" w:cs="Times New Roman"/>
          <w:b/>
          <w:bCs/>
          <w:color w:val="000000" w:themeColor="text1"/>
          <w:lang w:val="en-US"/>
        </w:rPr>
        <w:t>Schmidt RL</w:t>
      </w:r>
      <w:r w:rsidRPr="008E3F16">
        <w:rPr>
          <w:rFonts w:ascii="Book Antiqua" w:hAnsi="Book Antiqua" w:cs="Times New Roman"/>
          <w:color w:val="000000" w:themeColor="text1"/>
          <w:lang w:val="en-US"/>
        </w:rPr>
        <w:t xml:space="preserve">, Factor RE. Understanding sources of bias in diagnostic accuracy studies. </w:t>
      </w:r>
      <w:r w:rsidRPr="008E3F16">
        <w:rPr>
          <w:rFonts w:ascii="Book Antiqua" w:hAnsi="Book Antiqua" w:cs="Times New Roman"/>
          <w:i/>
          <w:iCs/>
          <w:color w:val="000000" w:themeColor="text1"/>
          <w:lang w:val="en-US"/>
        </w:rPr>
        <w:t>Arch Pathol Lab Med</w:t>
      </w:r>
      <w:r w:rsidRPr="008E3F16">
        <w:rPr>
          <w:rFonts w:ascii="Book Antiqua" w:hAnsi="Book Antiqua" w:cs="Times New Roman"/>
          <w:color w:val="000000" w:themeColor="text1"/>
          <w:lang w:val="en-US"/>
        </w:rPr>
        <w:t xml:space="preserve"> 2013; </w:t>
      </w:r>
      <w:r w:rsidRPr="008E3F16">
        <w:rPr>
          <w:rFonts w:ascii="Book Antiqua" w:hAnsi="Book Antiqua" w:cs="Times New Roman"/>
          <w:b/>
          <w:bCs/>
          <w:color w:val="000000" w:themeColor="text1"/>
          <w:lang w:val="en-US"/>
        </w:rPr>
        <w:t>137</w:t>
      </w:r>
      <w:r w:rsidRPr="008E3F16">
        <w:rPr>
          <w:rFonts w:ascii="Book Antiqua" w:hAnsi="Book Antiqua" w:cs="Times New Roman"/>
          <w:color w:val="000000" w:themeColor="text1"/>
          <w:lang w:val="en-US"/>
        </w:rPr>
        <w:t>: 558-565 [PMID: 23544945 DOI: 10.5858/arpa.2012-0198-RA]</w:t>
      </w:r>
    </w:p>
    <w:p w14:paraId="0F40002B"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66 </w:t>
      </w:r>
      <w:r w:rsidRPr="008E3F16">
        <w:rPr>
          <w:rFonts w:ascii="Book Antiqua" w:hAnsi="Book Antiqua" w:cs="Times New Roman"/>
          <w:b/>
          <w:bCs/>
          <w:color w:val="000000" w:themeColor="text1"/>
          <w:lang w:val="en-US"/>
        </w:rPr>
        <w:t>Al Fattani AG</w:t>
      </w:r>
      <w:r w:rsidRPr="008E3F16">
        <w:rPr>
          <w:rFonts w:ascii="Book Antiqua" w:hAnsi="Book Antiqua" w:cs="Times New Roman"/>
          <w:color w:val="000000" w:themeColor="text1"/>
          <w:lang w:val="en-US"/>
        </w:rPr>
        <w:t xml:space="preserve">, Aljoudi A. Sources of bias in diagnostic accuracy studies. </w:t>
      </w:r>
      <w:r w:rsidRPr="008E3F16">
        <w:rPr>
          <w:rFonts w:ascii="Book Antiqua" w:hAnsi="Book Antiqua" w:cs="Times New Roman"/>
          <w:i/>
          <w:iCs/>
          <w:color w:val="000000" w:themeColor="text1"/>
          <w:lang w:val="en-US"/>
        </w:rPr>
        <w:t>J Appl Hematol</w:t>
      </w:r>
      <w:r w:rsidRPr="008E3F16">
        <w:rPr>
          <w:rFonts w:ascii="Book Antiqua" w:hAnsi="Book Antiqua" w:cs="Times New Roman"/>
          <w:color w:val="000000" w:themeColor="text1"/>
          <w:lang w:val="en-US"/>
        </w:rPr>
        <w:t xml:space="preserve"> 2015;</w:t>
      </w:r>
      <w:r w:rsidRPr="008E3F16">
        <w:rPr>
          <w:rFonts w:ascii="Book Antiqua" w:hAnsi="Book Antiqua" w:cs="Times New Roman"/>
          <w:b/>
          <w:bCs/>
          <w:color w:val="000000" w:themeColor="text1"/>
          <w:lang w:val="en-US"/>
        </w:rPr>
        <w:t xml:space="preserve"> 6</w:t>
      </w:r>
      <w:r w:rsidRPr="008E3F16">
        <w:rPr>
          <w:rFonts w:ascii="Book Antiqua" w:hAnsi="Book Antiqua" w:cs="Times New Roman"/>
          <w:color w:val="000000" w:themeColor="text1"/>
          <w:lang w:val="en-US"/>
        </w:rPr>
        <w:t>: 178 [DOI: 10.4103/1658-5127.171991]</w:t>
      </w:r>
    </w:p>
    <w:p w14:paraId="25532506" w14:textId="22FCC37D"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67 Nature journals tighten rules on non-financial conflicts. </w:t>
      </w:r>
      <w:r w:rsidRPr="008E3F16">
        <w:rPr>
          <w:rFonts w:ascii="Book Antiqua" w:hAnsi="Book Antiqua" w:cs="Times New Roman"/>
          <w:i/>
          <w:iCs/>
          <w:color w:val="000000" w:themeColor="text1"/>
          <w:lang w:val="en-US"/>
        </w:rPr>
        <w:t>Nature</w:t>
      </w:r>
      <w:r w:rsidRPr="008E3F16">
        <w:rPr>
          <w:rFonts w:ascii="Book Antiqua" w:hAnsi="Book Antiqua" w:cs="Times New Roman"/>
          <w:color w:val="000000" w:themeColor="text1"/>
          <w:lang w:val="en-US"/>
        </w:rPr>
        <w:t xml:space="preserve"> 2018; </w:t>
      </w:r>
      <w:r w:rsidRPr="008E3F16">
        <w:rPr>
          <w:rFonts w:ascii="Book Antiqua" w:hAnsi="Book Antiqua" w:cs="Times New Roman"/>
          <w:b/>
          <w:bCs/>
          <w:color w:val="000000" w:themeColor="text1"/>
          <w:lang w:val="en-US"/>
        </w:rPr>
        <w:t>554</w:t>
      </w:r>
      <w:r w:rsidRPr="008E3F16">
        <w:rPr>
          <w:rFonts w:ascii="Book Antiqua" w:hAnsi="Book Antiqua" w:cs="Times New Roman"/>
          <w:color w:val="000000" w:themeColor="text1"/>
          <w:lang w:val="en-US"/>
        </w:rPr>
        <w:t>: 6 [PMID: 29388964 DOI: 10.1038/d41586-018-01420-8]</w:t>
      </w:r>
    </w:p>
    <w:p w14:paraId="01C021E3"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68 </w:t>
      </w:r>
      <w:r w:rsidRPr="008E3F16">
        <w:rPr>
          <w:rFonts w:ascii="Book Antiqua" w:hAnsi="Book Antiqua" w:cs="Times New Roman"/>
          <w:b/>
          <w:bCs/>
          <w:color w:val="000000" w:themeColor="text1"/>
          <w:lang w:val="en-US"/>
        </w:rPr>
        <w:t>Tulleken C van</w:t>
      </w:r>
      <w:r w:rsidRPr="008E3F16">
        <w:rPr>
          <w:rFonts w:ascii="Book Antiqua" w:hAnsi="Book Antiqua" w:cs="Times New Roman"/>
          <w:color w:val="000000" w:themeColor="text1"/>
          <w:lang w:val="en-US"/>
        </w:rPr>
        <w:t xml:space="preserve">. Overdiagnosis and industry influence: how cow’s milk protein allergy is extending the reach of infant formula manufacturers. </w:t>
      </w:r>
      <w:r w:rsidRPr="008E3F16">
        <w:rPr>
          <w:rFonts w:ascii="Book Antiqua" w:hAnsi="Book Antiqua" w:cs="Times New Roman"/>
          <w:i/>
          <w:iCs/>
          <w:color w:val="000000" w:themeColor="text1"/>
          <w:lang w:val="en-US"/>
        </w:rPr>
        <w:t>BMJ</w:t>
      </w:r>
      <w:r w:rsidRPr="008E3F16">
        <w:rPr>
          <w:rFonts w:ascii="Book Antiqua" w:hAnsi="Book Antiqua" w:cs="Times New Roman"/>
          <w:color w:val="000000" w:themeColor="text1"/>
          <w:lang w:val="en-US"/>
        </w:rPr>
        <w:t xml:space="preserve"> 2018; </w:t>
      </w:r>
      <w:r w:rsidRPr="008E3F16">
        <w:rPr>
          <w:rFonts w:ascii="Book Antiqua" w:hAnsi="Book Antiqua" w:cs="Times New Roman"/>
          <w:b/>
          <w:bCs/>
          <w:color w:val="000000" w:themeColor="text1"/>
          <w:lang w:val="en-US"/>
        </w:rPr>
        <w:t>363</w:t>
      </w:r>
      <w:r w:rsidRPr="008E3F16">
        <w:rPr>
          <w:rFonts w:ascii="Book Antiqua" w:hAnsi="Book Antiqua" w:cs="Times New Roman"/>
          <w:color w:val="000000" w:themeColor="text1"/>
          <w:lang w:val="en-US"/>
        </w:rPr>
        <w:t>: k5056 [DOI: 10.1136/bmj.k5056]</w:t>
      </w:r>
    </w:p>
    <w:p w14:paraId="42E0B89D"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69 </w:t>
      </w:r>
      <w:r w:rsidRPr="008E3F16">
        <w:rPr>
          <w:rFonts w:ascii="Book Antiqua" w:hAnsi="Book Antiqua" w:cs="Times New Roman"/>
          <w:b/>
          <w:bCs/>
          <w:color w:val="000000" w:themeColor="text1"/>
          <w:lang w:val="en-US"/>
        </w:rPr>
        <w:t>Mintzes B</w:t>
      </w:r>
      <w:r w:rsidRPr="008E3F16">
        <w:rPr>
          <w:rFonts w:ascii="Book Antiqua" w:hAnsi="Book Antiqua" w:cs="Times New Roman"/>
          <w:color w:val="000000" w:themeColor="text1"/>
          <w:lang w:val="en-US"/>
        </w:rPr>
        <w:t xml:space="preserve">, Swandari S, Fabbri A, Grundy Q, Moynihan R, Bero L. Does industry-sponsored education foster overdiagnosis and overtreatment of depression, osteoporosis and over-active bladder syndrome? An Australian cohort study. </w:t>
      </w:r>
      <w:r w:rsidRPr="008E3F16">
        <w:rPr>
          <w:rFonts w:ascii="Book Antiqua" w:hAnsi="Book Antiqua" w:cs="Times New Roman"/>
          <w:i/>
          <w:iCs/>
          <w:color w:val="000000" w:themeColor="text1"/>
          <w:lang w:val="en-US"/>
        </w:rPr>
        <w:t>BMJ Open</w:t>
      </w:r>
      <w:r w:rsidRPr="008E3F16">
        <w:rPr>
          <w:rFonts w:ascii="Book Antiqua" w:hAnsi="Book Antiqua" w:cs="Times New Roman"/>
          <w:color w:val="000000" w:themeColor="text1"/>
          <w:lang w:val="en-US"/>
        </w:rPr>
        <w:t xml:space="preserve"> 2018; </w:t>
      </w:r>
      <w:r w:rsidRPr="008E3F16">
        <w:rPr>
          <w:rFonts w:ascii="Book Antiqua" w:hAnsi="Book Antiqua" w:cs="Times New Roman"/>
          <w:b/>
          <w:bCs/>
          <w:color w:val="000000" w:themeColor="text1"/>
          <w:lang w:val="en-US"/>
        </w:rPr>
        <w:t>8</w:t>
      </w:r>
      <w:r w:rsidRPr="008E3F16">
        <w:rPr>
          <w:rFonts w:ascii="Book Antiqua" w:hAnsi="Book Antiqua" w:cs="Times New Roman"/>
          <w:color w:val="000000" w:themeColor="text1"/>
          <w:lang w:val="en-US"/>
        </w:rPr>
        <w:t>: e019027 [PMID: 29440213 DOI: 10.1136/bmjopen-2017-019027]</w:t>
      </w:r>
    </w:p>
    <w:p w14:paraId="42172CE3"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 xml:space="preserve">70 </w:t>
      </w:r>
      <w:r w:rsidRPr="008E3F16">
        <w:rPr>
          <w:rFonts w:ascii="Book Antiqua" w:hAnsi="Book Antiqua" w:cs="Times New Roman"/>
          <w:b/>
          <w:bCs/>
          <w:color w:val="000000" w:themeColor="text1"/>
          <w:lang w:val="en-US"/>
        </w:rPr>
        <w:t>Dakubo GD</w:t>
      </w:r>
      <w:r w:rsidRPr="008E3F16">
        <w:rPr>
          <w:rFonts w:ascii="Book Antiqua" w:hAnsi="Book Antiqua" w:cs="Times New Roman"/>
          <w:color w:val="000000" w:themeColor="text1"/>
          <w:lang w:val="en-US"/>
        </w:rPr>
        <w:t>.</w:t>
      </w:r>
      <w:r w:rsidRPr="008E3F16">
        <w:rPr>
          <w:rFonts w:ascii="Book Antiqua" w:hAnsi="Book Antiqua" w:cs="Times New Roman"/>
          <w:b/>
          <w:bCs/>
          <w:color w:val="000000" w:themeColor="text1"/>
          <w:lang w:val="en-US"/>
        </w:rPr>
        <w:t xml:space="preserve"> </w:t>
      </w:r>
      <w:r w:rsidRPr="008E3F16">
        <w:rPr>
          <w:rFonts w:ascii="Book Antiqua" w:hAnsi="Book Antiqua" w:cs="Times New Roman"/>
          <w:color w:val="000000" w:themeColor="text1"/>
          <w:lang w:val="en-US"/>
        </w:rPr>
        <w:t>Cancer biomarkers in body fluids: principles. Ontario, Canada: Springer Nature; 2016; [DOI: 10.1007/978-3-319-01580-4]</w:t>
      </w:r>
    </w:p>
    <w:p w14:paraId="0E21E6BF"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71 </w:t>
      </w:r>
      <w:r w:rsidRPr="008E3F16">
        <w:rPr>
          <w:rFonts w:ascii="Book Antiqua" w:hAnsi="Book Antiqua" w:cs="Times New Roman"/>
          <w:b/>
          <w:bCs/>
          <w:color w:val="000000" w:themeColor="text1"/>
          <w:lang w:val="en-US"/>
        </w:rPr>
        <w:t>Thunnissen E</w:t>
      </w:r>
      <w:r w:rsidRPr="008E3F16">
        <w:rPr>
          <w:rFonts w:ascii="Book Antiqua" w:hAnsi="Book Antiqua" w:cs="Times New Roman"/>
          <w:color w:val="000000" w:themeColor="text1"/>
          <w:lang w:val="en-US"/>
        </w:rPr>
        <w:t xml:space="preserve">. How to Validate Predictive Immunohistochemistry Testing in Pathology? A Practical Approach Exploiting the Heterogeneity of Programmed Death Ligand-1 Present in Non-Small Cell Lung Cancer. </w:t>
      </w:r>
      <w:r w:rsidRPr="008E3F16">
        <w:rPr>
          <w:rFonts w:ascii="Book Antiqua" w:hAnsi="Book Antiqua" w:cs="Times New Roman"/>
          <w:i/>
          <w:iCs/>
          <w:color w:val="000000" w:themeColor="text1"/>
          <w:lang w:val="en-US"/>
        </w:rPr>
        <w:t>Arch Pathol Lab Med</w:t>
      </w:r>
      <w:r w:rsidRPr="008E3F16">
        <w:rPr>
          <w:rFonts w:ascii="Book Antiqua" w:hAnsi="Book Antiqua" w:cs="Times New Roman"/>
          <w:color w:val="000000" w:themeColor="text1"/>
          <w:lang w:val="en-US"/>
        </w:rPr>
        <w:t xml:space="preserve"> 2019; </w:t>
      </w:r>
      <w:r w:rsidRPr="008E3F16">
        <w:rPr>
          <w:rFonts w:ascii="Book Antiqua" w:hAnsi="Book Antiqua" w:cs="Times New Roman"/>
          <w:b/>
          <w:bCs/>
          <w:color w:val="000000" w:themeColor="text1"/>
          <w:lang w:val="en-US"/>
        </w:rPr>
        <w:t>143</w:t>
      </w:r>
      <w:r w:rsidRPr="008E3F16">
        <w:rPr>
          <w:rFonts w:ascii="Book Antiqua" w:hAnsi="Book Antiqua" w:cs="Times New Roman"/>
          <w:color w:val="000000" w:themeColor="text1"/>
          <w:lang w:val="en-US"/>
        </w:rPr>
        <w:t>: 11-12 [PMID: 30307747 DOI: 10.5858/arpa.2018-0410-ED]</w:t>
      </w:r>
    </w:p>
    <w:p w14:paraId="459DDE8A"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72 </w:t>
      </w:r>
      <w:r w:rsidRPr="008E3F16">
        <w:rPr>
          <w:rFonts w:ascii="Book Antiqua" w:hAnsi="Book Antiqua" w:cs="Times New Roman"/>
          <w:b/>
          <w:bCs/>
          <w:color w:val="000000" w:themeColor="text1"/>
          <w:lang w:val="en-US"/>
        </w:rPr>
        <w:t>Fitzgibbons PL</w:t>
      </w:r>
      <w:r w:rsidRPr="008E3F16">
        <w:rPr>
          <w:rFonts w:ascii="Book Antiqua" w:hAnsi="Book Antiqua" w:cs="Times New Roman"/>
          <w:color w:val="000000" w:themeColor="text1"/>
          <w:lang w:val="en-US"/>
        </w:rPr>
        <w:t xml:space="preserve">, Bradley LA, Fatheree LA, Alsabeh R, Fulton RS, Goldsmith JD, Haas TS, Karabakhtsian RG, Loykasek PA, Marolt MJ, Shen SS, Smith AT, Swanson PE; College of American Pathologists Pathology and Laboratory Quality Center. Principles of analytic validation of immunohistochemical assays: Guideline from the College of American Pathologists Pathology and Laboratory Quality Center. </w:t>
      </w:r>
      <w:r w:rsidRPr="008E3F16">
        <w:rPr>
          <w:rFonts w:ascii="Book Antiqua" w:hAnsi="Book Antiqua" w:cs="Times New Roman"/>
          <w:i/>
          <w:iCs/>
          <w:color w:val="000000" w:themeColor="text1"/>
          <w:lang w:val="en-US"/>
        </w:rPr>
        <w:t>Arch Pathol Lab Med</w:t>
      </w:r>
      <w:r w:rsidRPr="008E3F16">
        <w:rPr>
          <w:rFonts w:ascii="Book Antiqua" w:hAnsi="Book Antiqua" w:cs="Times New Roman"/>
          <w:color w:val="000000" w:themeColor="text1"/>
          <w:lang w:val="en-US"/>
        </w:rPr>
        <w:t xml:space="preserve"> 2014; </w:t>
      </w:r>
      <w:r w:rsidRPr="008E3F16">
        <w:rPr>
          <w:rFonts w:ascii="Book Antiqua" w:hAnsi="Book Antiqua" w:cs="Times New Roman"/>
          <w:b/>
          <w:bCs/>
          <w:color w:val="000000" w:themeColor="text1"/>
          <w:lang w:val="en-US"/>
        </w:rPr>
        <w:t>138</w:t>
      </w:r>
      <w:r w:rsidRPr="008E3F16">
        <w:rPr>
          <w:rFonts w:ascii="Book Antiqua" w:hAnsi="Book Antiqua" w:cs="Times New Roman"/>
          <w:color w:val="000000" w:themeColor="text1"/>
          <w:lang w:val="en-US"/>
        </w:rPr>
        <w:t>: 1432-1443 [PMID: 24646069 DOI: 10.5858/arpa.2013-0610-CP]</w:t>
      </w:r>
    </w:p>
    <w:p w14:paraId="546F33F7"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73 </w:t>
      </w:r>
      <w:r w:rsidRPr="008E3F16">
        <w:rPr>
          <w:rFonts w:ascii="Book Antiqua" w:hAnsi="Book Antiqua" w:cs="Times New Roman"/>
          <w:b/>
          <w:bCs/>
          <w:color w:val="000000" w:themeColor="text1"/>
          <w:lang w:val="en-US"/>
        </w:rPr>
        <w:t>Magro F</w:t>
      </w:r>
      <w:r w:rsidRPr="008E3F16">
        <w:rPr>
          <w:rFonts w:ascii="Book Antiqua" w:hAnsi="Book Antiqua" w:cs="Times New Roman"/>
          <w:color w:val="000000" w:themeColor="text1"/>
          <w:lang w:val="en-US"/>
        </w:rPr>
        <w:t xml:space="preserve">, Lopes J, Borralho P, Lopes S, Coelho R, Cotter J, Castro FD, Sousa HT, Salgado M, Andrade P, Vieira AI, Figueiredo P, Caldeira P, Sousa A, Duarte MA, Ávila F, Silva J, Moleiro J, Mendes S, Giestas S, Ministro P, Sousa P, Gonçalves R, Gonçalves B, Oliveira A, Rosa I, Rodrigues M, Chagas C, Dias CC, Afonso J, Geboes K, Carneiro F; Portuguese IBD Study Group (GEDII). Comparison of different histological indexes in the assessment of UC activity and their accuracy regarding endoscopic outcomes and faecal calprotectin levels. </w:t>
      </w:r>
      <w:r w:rsidRPr="008E3F16">
        <w:rPr>
          <w:rFonts w:ascii="Book Antiqua" w:hAnsi="Book Antiqua" w:cs="Times New Roman"/>
          <w:i/>
          <w:iCs/>
          <w:color w:val="000000" w:themeColor="text1"/>
          <w:lang w:val="en-US"/>
        </w:rPr>
        <w:t>Gut</w:t>
      </w:r>
      <w:r w:rsidRPr="008E3F16">
        <w:rPr>
          <w:rFonts w:ascii="Book Antiqua" w:hAnsi="Book Antiqua" w:cs="Times New Roman"/>
          <w:color w:val="000000" w:themeColor="text1"/>
          <w:lang w:val="en-US"/>
        </w:rPr>
        <w:t xml:space="preserve"> 2019; </w:t>
      </w:r>
      <w:r w:rsidRPr="008E3F16">
        <w:rPr>
          <w:rFonts w:ascii="Book Antiqua" w:hAnsi="Book Antiqua" w:cs="Times New Roman"/>
          <w:b/>
          <w:bCs/>
          <w:color w:val="000000" w:themeColor="text1"/>
          <w:lang w:val="en-US"/>
        </w:rPr>
        <w:t>68</w:t>
      </w:r>
      <w:r w:rsidRPr="008E3F16">
        <w:rPr>
          <w:rFonts w:ascii="Book Antiqua" w:hAnsi="Book Antiqua" w:cs="Times New Roman"/>
          <w:color w:val="000000" w:themeColor="text1"/>
          <w:lang w:val="en-US"/>
        </w:rPr>
        <w:t>: 594-603 [PMID: 29437913 DOI: 10.1136/gutjnl-2017-315545]</w:t>
      </w:r>
    </w:p>
    <w:p w14:paraId="492970C8"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74 </w:t>
      </w:r>
      <w:r w:rsidRPr="008E3F16">
        <w:rPr>
          <w:rFonts w:ascii="Book Antiqua" w:hAnsi="Book Antiqua" w:cs="Times New Roman"/>
          <w:b/>
          <w:bCs/>
          <w:color w:val="000000" w:themeColor="text1"/>
          <w:lang w:val="en-US"/>
        </w:rPr>
        <w:t>Frykman PK</w:t>
      </w:r>
      <w:r w:rsidRPr="008E3F16">
        <w:rPr>
          <w:rFonts w:ascii="Book Antiqua" w:hAnsi="Book Antiqua" w:cs="Times New Roman"/>
          <w:color w:val="000000" w:themeColor="text1"/>
          <w:lang w:val="en-US"/>
        </w:rPr>
        <w:t xml:space="preserve">, Patel DC, Kim S, Cheng Z, Wester T, Nordenskjöld A, Kawaguchi A, Hui TT, Ehrlich PF, Granström AL, Benliyan F; HAEC Collaborative Research Group (HCRG). Inflammatory Bowel Disease Serological Immune Markers Anti-Saccharomyces cerevisiae Mannan Antibodies and Outer Membrane Porin C are Potential Biomarkers for Hirschsprung-associated Enterocolitis. </w:t>
      </w:r>
      <w:r w:rsidRPr="008E3F16">
        <w:rPr>
          <w:rFonts w:ascii="Book Antiqua" w:hAnsi="Book Antiqua" w:cs="Times New Roman"/>
          <w:i/>
          <w:iCs/>
          <w:color w:val="000000" w:themeColor="text1"/>
          <w:lang w:val="en-US"/>
        </w:rPr>
        <w:t>J Pediatr Gastroenterol Nutr</w:t>
      </w:r>
      <w:r w:rsidRPr="008E3F16">
        <w:rPr>
          <w:rFonts w:ascii="Book Antiqua" w:hAnsi="Book Antiqua" w:cs="Times New Roman"/>
          <w:color w:val="000000" w:themeColor="text1"/>
          <w:lang w:val="en-US"/>
        </w:rPr>
        <w:t xml:space="preserve"> 2019; </w:t>
      </w:r>
      <w:r w:rsidRPr="008E3F16">
        <w:rPr>
          <w:rFonts w:ascii="Book Antiqua" w:hAnsi="Book Antiqua" w:cs="Times New Roman"/>
          <w:b/>
          <w:bCs/>
          <w:color w:val="000000" w:themeColor="text1"/>
          <w:lang w:val="en-US"/>
        </w:rPr>
        <w:t>69</w:t>
      </w:r>
      <w:r w:rsidRPr="008E3F16">
        <w:rPr>
          <w:rFonts w:ascii="Book Antiqua" w:hAnsi="Book Antiqua" w:cs="Times New Roman"/>
          <w:color w:val="000000" w:themeColor="text1"/>
          <w:lang w:val="en-US"/>
        </w:rPr>
        <w:t>: 176-181 [PMID: 30964819 DOI: 10.1097/MPG.0000000000002358]</w:t>
      </w:r>
    </w:p>
    <w:p w14:paraId="55D891A1"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75 </w:t>
      </w:r>
      <w:r w:rsidRPr="008E3F16">
        <w:rPr>
          <w:rFonts w:ascii="Book Antiqua" w:hAnsi="Book Antiqua" w:cs="Times New Roman"/>
          <w:b/>
          <w:bCs/>
          <w:color w:val="000000" w:themeColor="text1"/>
          <w:lang w:val="en-US"/>
        </w:rPr>
        <w:t>Freeman K</w:t>
      </w:r>
      <w:r w:rsidRPr="008E3F16">
        <w:rPr>
          <w:rFonts w:ascii="Book Antiqua" w:hAnsi="Book Antiqua" w:cs="Times New Roman"/>
          <w:color w:val="000000" w:themeColor="text1"/>
          <w:lang w:val="en-US"/>
        </w:rPr>
        <w:t xml:space="preserve">, Willis BH, Fraser H, Taylor-Phillips S, Clarke A. Faecal calprotectin to detect inflammatory bowel disease: a systematic review and exploratory meta-analysis of test accuracy. </w:t>
      </w:r>
      <w:r w:rsidRPr="008E3F16">
        <w:rPr>
          <w:rFonts w:ascii="Book Antiqua" w:hAnsi="Book Antiqua" w:cs="Times New Roman"/>
          <w:i/>
          <w:iCs/>
          <w:color w:val="000000" w:themeColor="text1"/>
          <w:lang w:val="en-US"/>
        </w:rPr>
        <w:t>BMJ Open</w:t>
      </w:r>
      <w:r w:rsidRPr="008E3F16">
        <w:rPr>
          <w:rFonts w:ascii="Book Antiqua" w:hAnsi="Book Antiqua" w:cs="Times New Roman"/>
          <w:color w:val="000000" w:themeColor="text1"/>
          <w:lang w:val="en-US"/>
        </w:rPr>
        <w:t xml:space="preserve"> 2019; </w:t>
      </w:r>
      <w:r w:rsidRPr="008E3F16">
        <w:rPr>
          <w:rFonts w:ascii="Book Antiqua" w:hAnsi="Book Antiqua" w:cs="Times New Roman"/>
          <w:b/>
          <w:bCs/>
          <w:color w:val="000000" w:themeColor="text1"/>
          <w:lang w:val="en-US"/>
        </w:rPr>
        <w:t>9</w:t>
      </w:r>
      <w:r w:rsidRPr="008E3F16">
        <w:rPr>
          <w:rFonts w:ascii="Book Antiqua" w:hAnsi="Book Antiqua" w:cs="Times New Roman"/>
          <w:color w:val="000000" w:themeColor="text1"/>
          <w:lang w:val="en-US"/>
        </w:rPr>
        <w:t>: e027428 [PMID: 30852550 DOI: 10.1136/bmjopen-2018-027428]</w:t>
      </w:r>
    </w:p>
    <w:p w14:paraId="7057B9AF"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76 </w:t>
      </w:r>
      <w:r w:rsidRPr="008E3F16">
        <w:rPr>
          <w:rFonts w:ascii="Book Antiqua" w:hAnsi="Book Antiqua" w:cs="Times New Roman"/>
          <w:b/>
          <w:bCs/>
          <w:color w:val="000000" w:themeColor="text1"/>
          <w:lang w:val="en-US"/>
        </w:rPr>
        <w:t>Jellema P</w:t>
      </w:r>
      <w:r w:rsidRPr="008E3F16">
        <w:rPr>
          <w:rFonts w:ascii="Book Antiqua" w:hAnsi="Book Antiqua" w:cs="Times New Roman"/>
          <w:color w:val="000000" w:themeColor="text1"/>
          <w:lang w:val="en-US"/>
        </w:rPr>
        <w:t xml:space="preserve">, van der Windt DA, Bruinvels DJ, Mallen CD, van Weyenberg SJ, Mulder CJ, de Vet HC. Value of symptoms and additional diagnostic tests for colorectal cancer in primary care: systematic review and meta-analysis. </w:t>
      </w:r>
      <w:r w:rsidRPr="008E3F16">
        <w:rPr>
          <w:rFonts w:ascii="Book Antiqua" w:hAnsi="Book Antiqua" w:cs="Times New Roman"/>
          <w:i/>
          <w:iCs/>
          <w:color w:val="000000" w:themeColor="text1"/>
          <w:lang w:val="en-US"/>
        </w:rPr>
        <w:t>BMJ</w:t>
      </w:r>
      <w:r w:rsidRPr="008E3F16">
        <w:rPr>
          <w:rFonts w:ascii="Book Antiqua" w:hAnsi="Book Antiqua" w:cs="Times New Roman"/>
          <w:color w:val="000000" w:themeColor="text1"/>
          <w:lang w:val="en-US"/>
        </w:rPr>
        <w:t xml:space="preserve"> 2010; </w:t>
      </w:r>
      <w:r w:rsidRPr="008E3F16">
        <w:rPr>
          <w:rFonts w:ascii="Book Antiqua" w:hAnsi="Book Antiqua" w:cs="Times New Roman"/>
          <w:b/>
          <w:bCs/>
          <w:color w:val="000000" w:themeColor="text1"/>
          <w:lang w:val="en-US"/>
        </w:rPr>
        <w:t>340</w:t>
      </w:r>
      <w:r w:rsidRPr="008E3F16">
        <w:rPr>
          <w:rFonts w:ascii="Book Antiqua" w:hAnsi="Book Antiqua" w:cs="Times New Roman"/>
          <w:color w:val="000000" w:themeColor="text1"/>
          <w:lang w:val="en-US"/>
        </w:rPr>
        <w:t>: c1269 [PMID: 20360221 DOI: 10.1136/bmj.c1269]</w:t>
      </w:r>
    </w:p>
    <w:p w14:paraId="707B5380"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77 </w:t>
      </w:r>
      <w:r w:rsidRPr="008E3F16">
        <w:rPr>
          <w:rFonts w:ascii="Book Antiqua" w:hAnsi="Book Antiqua" w:cs="Times New Roman"/>
          <w:b/>
          <w:bCs/>
          <w:color w:val="000000" w:themeColor="text1"/>
          <w:lang w:val="en-US"/>
        </w:rPr>
        <w:t>Cole SR</w:t>
      </w:r>
      <w:r w:rsidRPr="008E3F16">
        <w:rPr>
          <w:rFonts w:ascii="Book Antiqua" w:hAnsi="Book Antiqua" w:cs="Times New Roman"/>
          <w:color w:val="000000" w:themeColor="text1"/>
          <w:lang w:val="en-US"/>
        </w:rPr>
        <w:t xml:space="preserve">, Smith A, Wilson C, Turnbull D, Esterman A, Young GP. An advance notification letter increases participation in colorectal cancer screening. </w:t>
      </w:r>
      <w:r w:rsidRPr="008E3F16">
        <w:rPr>
          <w:rFonts w:ascii="Book Antiqua" w:hAnsi="Book Antiqua" w:cs="Times New Roman"/>
          <w:i/>
          <w:iCs/>
          <w:color w:val="000000" w:themeColor="text1"/>
          <w:lang w:val="en-US"/>
        </w:rPr>
        <w:t>J Med Screen</w:t>
      </w:r>
      <w:r w:rsidRPr="008E3F16">
        <w:rPr>
          <w:rFonts w:ascii="Book Antiqua" w:hAnsi="Book Antiqua" w:cs="Times New Roman"/>
          <w:color w:val="000000" w:themeColor="text1"/>
          <w:lang w:val="en-US"/>
        </w:rPr>
        <w:t xml:space="preserve"> 2007; </w:t>
      </w:r>
      <w:r w:rsidRPr="008E3F16">
        <w:rPr>
          <w:rFonts w:ascii="Book Antiqua" w:hAnsi="Book Antiqua" w:cs="Times New Roman"/>
          <w:b/>
          <w:bCs/>
          <w:color w:val="000000" w:themeColor="text1"/>
          <w:lang w:val="en-US"/>
        </w:rPr>
        <w:t>14</w:t>
      </w:r>
      <w:r w:rsidRPr="008E3F16">
        <w:rPr>
          <w:rFonts w:ascii="Book Antiqua" w:hAnsi="Book Antiqua" w:cs="Times New Roman"/>
          <w:color w:val="000000" w:themeColor="text1"/>
          <w:lang w:val="en-US"/>
        </w:rPr>
        <w:t xml:space="preserve">: 73-75 </w:t>
      </w:r>
      <w:r w:rsidRPr="008E3F16">
        <w:rPr>
          <w:rFonts w:ascii="Book Antiqua" w:hAnsi="Book Antiqua" w:cs="Times New Roman"/>
          <w:color w:val="000000" w:themeColor="text1"/>
          <w:lang w:val="en-US"/>
        </w:rPr>
        <w:lastRenderedPageBreak/>
        <w:t>[PMID: 17626705 DOI: 10.1258/096914107781261927]</w:t>
      </w:r>
    </w:p>
    <w:p w14:paraId="463F491D"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78 </w:t>
      </w:r>
      <w:r w:rsidRPr="008E3F16">
        <w:rPr>
          <w:rFonts w:ascii="Book Antiqua" w:hAnsi="Book Antiqua" w:cs="Times New Roman"/>
          <w:b/>
          <w:bCs/>
          <w:color w:val="000000" w:themeColor="text1"/>
          <w:lang w:val="en-US"/>
        </w:rPr>
        <w:t>Gomollón F</w:t>
      </w:r>
      <w:r w:rsidRPr="008E3F16">
        <w:rPr>
          <w:rFonts w:ascii="Book Antiqua" w:hAnsi="Book Antiqua" w:cs="Times New Roman"/>
          <w:color w:val="000000" w:themeColor="text1"/>
          <w:lang w:val="en-US"/>
        </w:rPr>
        <w:t xml:space="preserve">, Dignass A, Annese V, Tilg H, Van Assche G, Lindsay JO, Peyrin-Biroulet L, Cullen GJ, Daperno M, Kucharzik T, Rieder F, Almer S, Armuzzi A, Harbord M, Langhorst J, Sans M, Chowers Y, Fiorino G, Juillerat P, Mantzaris GJ, Rizzello F, Vavricka S, Gionchetti P; ECCO. 3rd European Evidence-based Consensus on the Diagnosis and Management of Crohn's Disease 2016: Part 1: Diagnosis and Medical Management. </w:t>
      </w:r>
      <w:r w:rsidRPr="008E3F16">
        <w:rPr>
          <w:rFonts w:ascii="Book Antiqua" w:hAnsi="Book Antiqua" w:cs="Times New Roman"/>
          <w:i/>
          <w:iCs/>
          <w:color w:val="000000" w:themeColor="text1"/>
          <w:lang w:val="en-US"/>
        </w:rPr>
        <w:t>J Crohns Colitis</w:t>
      </w:r>
      <w:r w:rsidRPr="008E3F16">
        <w:rPr>
          <w:rFonts w:ascii="Book Antiqua" w:hAnsi="Book Antiqua" w:cs="Times New Roman"/>
          <w:color w:val="000000" w:themeColor="text1"/>
          <w:lang w:val="en-US"/>
        </w:rPr>
        <w:t xml:space="preserve"> 2017; </w:t>
      </w:r>
      <w:r w:rsidRPr="008E3F16">
        <w:rPr>
          <w:rFonts w:ascii="Book Antiqua" w:hAnsi="Book Antiqua" w:cs="Times New Roman"/>
          <w:b/>
          <w:bCs/>
          <w:color w:val="000000" w:themeColor="text1"/>
          <w:lang w:val="en-US"/>
        </w:rPr>
        <w:t>11</w:t>
      </w:r>
      <w:r w:rsidRPr="008E3F16">
        <w:rPr>
          <w:rFonts w:ascii="Book Antiqua" w:hAnsi="Book Antiqua" w:cs="Times New Roman"/>
          <w:color w:val="000000" w:themeColor="text1"/>
          <w:lang w:val="en-US"/>
        </w:rPr>
        <w:t>: 3-25 [PMID: 27660341 DOI: 10.1093/ecco-jcc/jjw168]</w:t>
      </w:r>
    </w:p>
    <w:p w14:paraId="04E4C1DE"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79 </w:t>
      </w:r>
      <w:r w:rsidRPr="008E3F16">
        <w:rPr>
          <w:rFonts w:ascii="Book Antiqua" w:hAnsi="Book Antiqua" w:cs="Times New Roman"/>
          <w:b/>
          <w:bCs/>
          <w:color w:val="000000" w:themeColor="text1"/>
          <w:lang w:val="en-US"/>
        </w:rPr>
        <w:t>Kedia S</w:t>
      </w:r>
      <w:r w:rsidRPr="008E3F16">
        <w:rPr>
          <w:rFonts w:ascii="Book Antiqua" w:hAnsi="Book Antiqua" w:cs="Times New Roman"/>
          <w:color w:val="000000" w:themeColor="text1"/>
          <w:lang w:val="en-US"/>
        </w:rPr>
        <w:t xml:space="preserve">, Das P, Madhusudhan KS, Dattagupta S, Sharma R, Sahni P, Makharia G, Ahuja V. Differentiating Crohn's disease from intestinal tuberculosis. </w:t>
      </w:r>
      <w:r w:rsidRPr="008E3F16">
        <w:rPr>
          <w:rFonts w:ascii="Book Antiqua" w:hAnsi="Book Antiqua" w:cs="Times New Roman"/>
          <w:i/>
          <w:iCs/>
          <w:color w:val="000000" w:themeColor="text1"/>
          <w:lang w:val="en-US"/>
        </w:rPr>
        <w:t>World J Gastroenterol</w:t>
      </w:r>
      <w:r w:rsidRPr="008E3F16">
        <w:rPr>
          <w:rFonts w:ascii="Book Antiqua" w:hAnsi="Book Antiqua" w:cs="Times New Roman"/>
          <w:color w:val="000000" w:themeColor="text1"/>
          <w:lang w:val="en-US"/>
        </w:rPr>
        <w:t xml:space="preserve"> 2019; </w:t>
      </w:r>
      <w:r w:rsidRPr="008E3F16">
        <w:rPr>
          <w:rFonts w:ascii="Book Antiqua" w:hAnsi="Book Antiqua" w:cs="Times New Roman"/>
          <w:b/>
          <w:bCs/>
          <w:color w:val="000000" w:themeColor="text1"/>
          <w:lang w:val="en-US"/>
        </w:rPr>
        <w:t>25</w:t>
      </w:r>
      <w:r w:rsidRPr="008E3F16">
        <w:rPr>
          <w:rFonts w:ascii="Book Antiqua" w:hAnsi="Book Antiqua" w:cs="Times New Roman"/>
          <w:color w:val="000000" w:themeColor="text1"/>
          <w:lang w:val="en-US"/>
        </w:rPr>
        <w:t>: 418-432 [PMID: 30700939 DOI: 10.3748/wjg.v25.i4.418]</w:t>
      </w:r>
    </w:p>
    <w:p w14:paraId="56EE1D71"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80 </w:t>
      </w:r>
      <w:r w:rsidRPr="008E3F16">
        <w:rPr>
          <w:rFonts w:ascii="Book Antiqua" w:hAnsi="Book Antiqua" w:cs="Times New Roman"/>
          <w:b/>
          <w:bCs/>
          <w:color w:val="000000" w:themeColor="text1"/>
          <w:lang w:val="en-US"/>
        </w:rPr>
        <w:t>Zhang TY</w:t>
      </w:r>
      <w:r w:rsidRPr="008E3F16">
        <w:rPr>
          <w:rFonts w:ascii="Book Antiqua" w:hAnsi="Book Antiqua" w:cs="Times New Roman"/>
          <w:color w:val="000000" w:themeColor="text1"/>
          <w:lang w:val="en-US"/>
        </w:rPr>
        <w:t xml:space="preserve">, Lin Y, Fan R, Hu SR, Cheng MM, Zhang MC, Hong LW, Zhou XL, Wang ZT, Zhong J. Potential model for differential diagnosis between Crohn's disease and primary intestinal lymphoma. </w:t>
      </w:r>
      <w:r w:rsidRPr="008E3F16">
        <w:rPr>
          <w:rFonts w:ascii="Book Antiqua" w:hAnsi="Book Antiqua" w:cs="Times New Roman"/>
          <w:i/>
          <w:iCs/>
          <w:color w:val="000000" w:themeColor="text1"/>
          <w:lang w:val="en-US"/>
        </w:rPr>
        <w:t>World J Gastroenterol</w:t>
      </w:r>
      <w:r w:rsidRPr="008E3F16">
        <w:rPr>
          <w:rFonts w:ascii="Book Antiqua" w:hAnsi="Book Antiqua" w:cs="Times New Roman"/>
          <w:color w:val="000000" w:themeColor="text1"/>
          <w:lang w:val="en-US"/>
        </w:rPr>
        <w:t xml:space="preserve"> 2016; </w:t>
      </w:r>
      <w:r w:rsidRPr="008E3F16">
        <w:rPr>
          <w:rFonts w:ascii="Book Antiqua" w:hAnsi="Book Antiqua" w:cs="Times New Roman"/>
          <w:b/>
          <w:bCs/>
          <w:color w:val="000000" w:themeColor="text1"/>
          <w:lang w:val="en-US"/>
        </w:rPr>
        <w:t>22</w:t>
      </w:r>
      <w:r w:rsidRPr="008E3F16">
        <w:rPr>
          <w:rFonts w:ascii="Book Antiqua" w:hAnsi="Book Antiqua" w:cs="Times New Roman"/>
          <w:color w:val="000000" w:themeColor="text1"/>
          <w:lang w:val="en-US"/>
        </w:rPr>
        <w:t>: 9411-9418 [PMID: 27895429 DOI: 10.3748/wjg.v22.i42.9411]</w:t>
      </w:r>
    </w:p>
    <w:p w14:paraId="07EC4FF2"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81 </w:t>
      </w:r>
      <w:r w:rsidRPr="008E3F16">
        <w:rPr>
          <w:rFonts w:ascii="Book Antiqua" w:hAnsi="Book Antiqua" w:cs="Times New Roman"/>
          <w:b/>
          <w:bCs/>
          <w:color w:val="000000" w:themeColor="text1"/>
          <w:lang w:val="en-US"/>
        </w:rPr>
        <w:t>Silverberg MS</w:t>
      </w:r>
      <w:r w:rsidRPr="008E3F16">
        <w:rPr>
          <w:rFonts w:ascii="Book Antiqua" w:hAnsi="Book Antiqua" w:cs="Times New Roman"/>
          <w:color w:val="000000" w:themeColor="text1"/>
          <w:lang w:val="en-US"/>
        </w:rPr>
        <w:t xml:space="preserve">, Satsangi J, Ahmad T, Arnott ID, Bernstein CN, Brant SR, Caprilli R, Colombel JF, Gasche C, Geboes K, Jewell DP, Karban A, Loftus EV Jr, Peña AS, Riddell RH, Sachar DB, Schreiber S, Steinhart AH, Targan SR, Vermeire S, Warren BF. Toward an integrated clinical, molecular and serological classification of inflammatory bowel disease: report of a Working Party of the 2005 Montreal World Congress of Gastroenterology. </w:t>
      </w:r>
      <w:r w:rsidRPr="008E3F16">
        <w:rPr>
          <w:rFonts w:ascii="Book Antiqua" w:hAnsi="Book Antiqua" w:cs="Times New Roman"/>
          <w:i/>
          <w:iCs/>
          <w:color w:val="000000" w:themeColor="text1"/>
          <w:lang w:val="en-US"/>
        </w:rPr>
        <w:t>Can J Gastroenterol</w:t>
      </w:r>
      <w:r w:rsidRPr="008E3F16">
        <w:rPr>
          <w:rFonts w:ascii="Book Antiqua" w:hAnsi="Book Antiqua" w:cs="Times New Roman"/>
          <w:color w:val="000000" w:themeColor="text1"/>
          <w:lang w:val="en-US"/>
        </w:rPr>
        <w:t xml:space="preserve"> 2005; </w:t>
      </w:r>
      <w:r w:rsidRPr="008E3F16">
        <w:rPr>
          <w:rFonts w:ascii="Book Antiqua" w:hAnsi="Book Antiqua" w:cs="Times New Roman"/>
          <w:b/>
          <w:bCs/>
          <w:color w:val="000000" w:themeColor="text1"/>
          <w:lang w:val="en-US"/>
        </w:rPr>
        <w:t xml:space="preserve">19 </w:t>
      </w:r>
      <w:r w:rsidRPr="008E3F16">
        <w:rPr>
          <w:rFonts w:ascii="Book Antiqua" w:hAnsi="Book Antiqua" w:cs="Times New Roman"/>
          <w:color w:val="000000" w:themeColor="text1"/>
          <w:lang w:val="en-US"/>
        </w:rPr>
        <w:t>Suppl A: 5A-36A [PMID: 16151544 DOI: 10.1155/2005/269076]</w:t>
      </w:r>
    </w:p>
    <w:p w14:paraId="0FC3ACDE"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82 </w:t>
      </w:r>
      <w:r w:rsidRPr="008E3F16">
        <w:rPr>
          <w:rFonts w:ascii="Book Antiqua" w:hAnsi="Book Antiqua" w:cs="Times New Roman"/>
          <w:b/>
          <w:bCs/>
          <w:color w:val="000000" w:themeColor="text1"/>
          <w:lang w:val="en-US"/>
        </w:rPr>
        <w:t>Levine A</w:t>
      </w:r>
      <w:r w:rsidRPr="008E3F16">
        <w:rPr>
          <w:rFonts w:ascii="Book Antiqua" w:hAnsi="Book Antiqua" w:cs="Times New Roman"/>
          <w:color w:val="000000" w:themeColor="text1"/>
          <w:lang w:val="en-US"/>
        </w:rPr>
        <w:t xml:space="preserve">, Griffiths A, Markowitz J, Wilson DC, Turner D, Russell RK, Fell J, Ruemmele FM, Walters T, Sherlock M, Dubinsky M, Hyams JS. Pediatric modification of the Montreal classification for inflammatory bowel disease: the Paris classification. </w:t>
      </w:r>
      <w:r w:rsidRPr="008E3F16">
        <w:rPr>
          <w:rFonts w:ascii="Book Antiqua" w:hAnsi="Book Antiqua" w:cs="Times New Roman"/>
          <w:i/>
          <w:iCs/>
          <w:color w:val="000000" w:themeColor="text1"/>
          <w:lang w:val="en-US"/>
        </w:rPr>
        <w:t>Inflamm Bowel Dis</w:t>
      </w:r>
      <w:r w:rsidRPr="008E3F16">
        <w:rPr>
          <w:rFonts w:ascii="Book Antiqua" w:hAnsi="Book Antiqua" w:cs="Times New Roman"/>
          <w:color w:val="000000" w:themeColor="text1"/>
          <w:lang w:val="en-US"/>
        </w:rPr>
        <w:t xml:space="preserve"> 2011; </w:t>
      </w:r>
      <w:r w:rsidRPr="008E3F16">
        <w:rPr>
          <w:rFonts w:ascii="Book Antiqua" w:hAnsi="Book Antiqua" w:cs="Times New Roman"/>
          <w:b/>
          <w:bCs/>
          <w:color w:val="000000" w:themeColor="text1"/>
          <w:lang w:val="en-US"/>
        </w:rPr>
        <w:t>17</w:t>
      </w:r>
      <w:r w:rsidRPr="008E3F16">
        <w:rPr>
          <w:rFonts w:ascii="Book Antiqua" w:hAnsi="Book Antiqua" w:cs="Times New Roman"/>
          <w:color w:val="000000" w:themeColor="text1"/>
          <w:lang w:val="en-US"/>
        </w:rPr>
        <w:t>: 1314-1321 [PMID: 21560194 DOI: 10.1002/ibd.21493]</w:t>
      </w:r>
    </w:p>
    <w:p w14:paraId="60CB6BBB" w14:textId="77777777" w:rsidR="00671122" w:rsidRPr="008E3F16"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83 </w:t>
      </w:r>
      <w:r w:rsidRPr="008E3F16">
        <w:rPr>
          <w:rFonts w:ascii="Book Antiqua" w:hAnsi="Book Antiqua" w:cs="Times New Roman"/>
          <w:b/>
          <w:bCs/>
          <w:color w:val="000000" w:themeColor="text1"/>
          <w:lang w:val="en-US"/>
        </w:rPr>
        <w:t>Komorowski L</w:t>
      </w:r>
      <w:r w:rsidRPr="008E3F16">
        <w:rPr>
          <w:rFonts w:ascii="Book Antiqua" w:hAnsi="Book Antiqua" w:cs="Times New Roman"/>
          <w:color w:val="000000" w:themeColor="text1"/>
          <w:lang w:val="en-US"/>
        </w:rPr>
        <w:t xml:space="preserve">, Teegen B, Probst C, Aulinger-Stöcker K, Sina C, Fellermann K, Stöcker W. Autoantibodies against exocrine pancreas in Crohn's disease are directed against two antigens: the glycoproteins CUZD1 and GP2. </w:t>
      </w:r>
      <w:r w:rsidRPr="008E3F16">
        <w:rPr>
          <w:rFonts w:ascii="Book Antiqua" w:hAnsi="Book Antiqua" w:cs="Times New Roman"/>
          <w:i/>
          <w:iCs/>
          <w:color w:val="000000" w:themeColor="text1"/>
          <w:lang w:val="en-US"/>
        </w:rPr>
        <w:t>J Crohns Colitis</w:t>
      </w:r>
      <w:r w:rsidRPr="008E3F16">
        <w:rPr>
          <w:rFonts w:ascii="Book Antiqua" w:hAnsi="Book Antiqua" w:cs="Times New Roman"/>
          <w:color w:val="000000" w:themeColor="text1"/>
          <w:lang w:val="en-US"/>
        </w:rPr>
        <w:t xml:space="preserve"> 2013; </w:t>
      </w:r>
      <w:r w:rsidRPr="008E3F16">
        <w:rPr>
          <w:rFonts w:ascii="Book Antiqua" w:hAnsi="Book Antiqua" w:cs="Times New Roman"/>
          <w:b/>
          <w:bCs/>
          <w:color w:val="000000" w:themeColor="text1"/>
          <w:lang w:val="en-US"/>
        </w:rPr>
        <w:t>7</w:t>
      </w:r>
      <w:r w:rsidRPr="008E3F16">
        <w:rPr>
          <w:rFonts w:ascii="Book Antiqua" w:hAnsi="Book Antiqua" w:cs="Times New Roman"/>
          <w:color w:val="000000" w:themeColor="text1"/>
          <w:lang w:val="en-US"/>
        </w:rPr>
        <w:t>: 780-790 [PMID: 23140841 DOI: 10.1016/j.crohns.2012.10.011]</w:t>
      </w:r>
    </w:p>
    <w:p w14:paraId="60D38E61" w14:textId="1760B3F4" w:rsidR="00DB6CA3" w:rsidRPr="008E3F16" w:rsidRDefault="00DB6CA3"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br w:type="page"/>
      </w:r>
    </w:p>
    <w:p w14:paraId="73E44B6A" w14:textId="5D651BC9" w:rsidR="00DB6CA3" w:rsidRPr="008E3F16" w:rsidRDefault="00DB6CA3" w:rsidP="00C66188">
      <w:pPr>
        <w:adjustRightInd w:val="0"/>
        <w:snapToGrid w:val="0"/>
        <w:spacing w:line="360" w:lineRule="auto"/>
        <w:rPr>
          <w:rFonts w:ascii="Book Antiqua" w:eastAsia="MS Mincho" w:hAnsi="Book Antiqua" w:cs="Times New Roman"/>
          <w:b/>
          <w:color w:val="000000" w:themeColor="text1"/>
          <w:lang w:val="it-IT" w:eastAsia="it-IT"/>
        </w:rPr>
      </w:pPr>
      <w:r w:rsidRPr="008E3F16">
        <w:rPr>
          <w:rFonts w:ascii="Book Antiqua" w:eastAsia="MS Mincho" w:hAnsi="Book Antiqua" w:cs="Times New Roman"/>
          <w:b/>
          <w:color w:val="000000" w:themeColor="text1"/>
          <w:lang w:val="it-IT" w:eastAsia="it-IT"/>
        </w:rPr>
        <w:lastRenderedPageBreak/>
        <w:t>Footnotes</w:t>
      </w:r>
    </w:p>
    <w:p w14:paraId="46923891" w14:textId="77777777" w:rsidR="00DB6CA3" w:rsidRPr="008E3F16" w:rsidRDefault="00DB6CA3" w:rsidP="00C66188">
      <w:pPr>
        <w:pStyle w:val="Default"/>
        <w:snapToGrid w:val="0"/>
        <w:spacing w:line="360" w:lineRule="auto"/>
        <w:jc w:val="both"/>
        <w:rPr>
          <w:color w:val="000000" w:themeColor="text1"/>
          <w:lang w:val="en-US"/>
        </w:rPr>
      </w:pPr>
      <w:r w:rsidRPr="008E3F16">
        <w:rPr>
          <w:b/>
          <w:bCs/>
          <w:color w:val="000000" w:themeColor="text1"/>
          <w:lang w:val="en-US"/>
        </w:rPr>
        <w:t xml:space="preserve">Conflict-of-interest statement: </w:t>
      </w:r>
      <w:r w:rsidRPr="008E3F16">
        <w:rPr>
          <w:color w:val="000000" w:themeColor="text1"/>
          <w:lang w:val="en-US"/>
        </w:rPr>
        <w:t xml:space="preserve">The authors deny any conflict of interest. </w:t>
      </w:r>
    </w:p>
    <w:p w14:paraId="0AE7E635" w14:textId="7290EBB0" w:rsidR="00DB6CA3" w:rsidRPr="008E3F16" w:rsidRDefault="00DB6CA3" w:rsidP="00C66188">
      <w:pPr>
        <w:adjustRightInd w:val="0"/>
        <w:snapToGrid w:val="0"/>
        <w:spacing w:line="360" w:lineRule="auto"/>
        <w:rPr>
          <w:rFonts w:ascii="Book Antiqua" w:eastAsia="MS Mincho" w:hAnsi="Book Antiqua" w:cs="Times New Roman"/>
          <w:b/>
          <w:color w:val="000000" w:themeColor="text1"/>
          <w:lang w:val="en-US" w:eastAsia="it-IT"/>
        </w:rPr>
      </w:pPr>
    </w:p>
    <w:p w14:paraId="485067D1" w14:textId="10A1489A" w:rsidR="00DB6CA3" w:rsidRPr="008E3F16" w:rsidRDefault="00DB6CA3" w:rsidP="00C66188">
      <w:pPr>
        <w:adjustRightInd w:val="0"/>
        <w:snapToGrid w:val="0"/>
        <w:spacing w:line="360" w:lineRule="auto"/>
        <w:jc w:val="both"/>
        <w:rPr>
          <w:rFonts w:ascii="Book Antiqua" w:eastAsia="宋体" w:hAnsi="Book Antiqua" w:cs="Times New Roman"/>
          <w:color w:val="000000" w:themeColor="text1"/>
          <w:lang w:val="en-US" w:eastAsia="zh-CN"/>
        </w:rPr>
      </w:pPr>
      <w:r w:rsidRPr="008E3F16">
        <w:rPr>
          <w:rFonts w:ascii="Book Antiqua" w:eastAsia="宋体" w:hAnsi="Book Antiqua" w:cs="Times New Roman"/>
          <w:b/>
          <w:color w:val="000000" w:themeColor="text1"/>
          <w:lang w:val="en-US" w:eastAsia="zh-CN"/>
        </w:rPr>
        <w:t xml:space="preserve">PRISMA 2009 Checklist </w:t>
      </w:r>
      <w:r w:rsidRPr="008E3F16">
        <w:rPr>
          <w:rFonts w:ascii="Book Antiqua" w:eastAsia="MS Mincho" w:hAnsi="Book Antiqua" w:cs="Times New Roman"/>
          <w:b/>
          <w:color w:val="000000" w:themeColor="text1"/>
          <w:lang w:val="it-IT" w:eastAsia="it-IT"/>
        </w:rPr>
        <w:t>statement</w:t>
      </w:r>
      <w:r w:rsidRPr="008E3F16">
        <w:rPr>
          <w:rFonts w:ascii="Book Antiqua" w:eastAsia="MS Mincho" w:hAnsi="Book Antiqua" w:cs="TimesNewRomanPS-BoldItalicMT"/>
          <w:b/>
          <w:bCs/>
          <w:iCs/>
          <w:color w:val="000000" w:themeColor="text1"/>
          <w:lang w:val="en-US" w:eastAsia="it-IT"/>
        </w:rPr>
        <w:t>:</w:t>
      </w:r>
      <w:r w:rsidR="001A17C0" w:rsidRPr="008E3F16">
        <w:rPr>
          <w:rFonts w:ascii="Book Antiqua" w:eastAsia="MS Mincho" w:hAnsi="Book Antiqua" w:cs="TimesNewRomanPS-BoldItalicMT"/>
          <w:b/>
          <w:bCs/>
          <w:iCs/>
          <w:color w:val="000000" w:themeColor="text1"/>
          <w:lang w:val="en-US" w:eastAsia="it-IT"/>
        </w:rPr>
        <w:t xml:space="preserve"> </w:t>
      </w:r>
      <w:r w:rsidR="001A17C0" w:rsidRPr="008E3F16">
        <w:rPr>
          <w:rFonts w:ascii="Book Antiqua" w:eastAsia="MS Mincho" w:hAnsi="Book Antiqua" w:cs="TimesNewRomanPS-BoldItalicMT"/>
          <w:iCs/>
          <w:color w:val="000000" w:themeColor="text1"/>
          <w:lang w:val="en-US" w:eastAsia="it-IT"/>
        </w:rPr>
        <w:t>The authors have read the PRISMA 2009 Checklist, and the manuscript was prepared and revised according to the PRISMA 2009 Checklist.</w:t>
      </w:r>
    </w:p>
    <w:p w14:paraId="3CAEB70C" w14:textId="6975F6CE" w:rsidR="00DB6CA3" w:rsidRPr="008E3F16" w:rsidRDefault="00DB6CA3" w:rsidP="00C66188">
      <w:pPr>
        <w:adjustRightInd w:val="0"/>
        <w:snapToGrid w:val="0"/>
        <w:spacing w:line="360" w:lineRule="auto"/>
        <w:rPr>
          <w:rFonts w:ascii="Book Antiqua" w:eastAsia="MS Mincho" w:hAnsi="Book Antiqua" w:cs="Times New Roman"/>
          <w:b/>
          <w:color w:val="000000" w:themeColor="text1"/>
          <w:lang w:val="en-US" w:eastAsia="it-IT"/>
        </w:rPr>
      </w:pPr>
    </w:p>
    <w:p w14:paraId="6197864E" w14:textId="77777777" w:rsidR="00DB6CA3" w:rsidRPr="008E3F16" w:rsidRDefault="00DB6CA3" w:rsidP="00C66188">
      <w:pPr>
        <w:adjustRightInd w:val="0"/>
        <w:snapToGrid w:val="0"/>
        <w:spacing w:line="360" w:lineRule="auto"/>
        <w:jc w:val="both"/>
        <w:rPr>
          <w:rFonts w:ascii="Book Antiqua" w:eastAsia="MS Mincho" w:hAnsi="Book Antiqua" w:cs="Times New Roman"/>
          <w:b/>
          <w:color w:val="000000" w:themeColor="text1"/>
          <w:lang w:val="en-US" w:eastAsia="it-IT"/>
        </w:rPr>
      </w:pPr>
      <w:r w:rsidRPr="008E3F16">
        <w:rPr>
          <w:rFonts w:ascii="Book Antiqua" w:eastAsia="MS Mincho" w:hAnsi="Book Antiqua" w:cs="Times New Roman"/>
          <w:b/>
          <w:color w:val="000000" w:themeColor="text1"/>
          <w:lang w:val="en-US" w:eastAsia="it-IT"/>
        </w:rPr>
        <w:t xml:space="preserve">Open-Access: </w:t>
      </w:r>
      <w:r w:rsidRPr="008E3F16">
        <w:rPr>
          <w:rFonts w:ascii="Book Antiqua" w:eastAsia="MS Mincho" w:hAnsi="Book Antiqua" w:cs="Times New Roman"/>
          <w:color w:val="000000" w:themeColor="text1"/>
          <w:lang w:val="en-US"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083A80" w14:textId="77777777" w:rsidR="00DB6CA3" w:rsidRPr="008E3F16" w:rsidRDefault="00DB6CA3" w:rsidP="00C66188">
      <w:pPr>
        <w:adjustRightInd w:val="0"/>
        <w:snapToGrid w:val="0"/>
        <w:spacing w:line="360" w:lineRule="auto"/>
        <w:jc w:val="both"/>
        <w:rPr>
          <w:rFonts w:ascii="Book Antiqua" w:eastAsia="宋体" w:hAnsi="Book Antiqua" w:cs="Times New Roman"/>
          <w:color w:val="000000" w:themeColor="text1"/>
          <w:lang w:val="it-IT" w:eastAsia="zh-CN"/>
        </w:rPr>
      </w:pPr>
    </w:p>
    <w:p w14:paraId="0FB90403" w14:textId="4FFDDCCA" w:rsidR="00DB6CA3" w:rsidRPr="008E3F16" w:rsidRDefault="00DB6CA3" w:rsidP="00C66188">
      <w:pPr>
        <w:adjustRightInd w:val="0"/>
        <w:snapToGrid w:val="0"/>
        <w:spacing w:line="360" w:lineRule="auto"/>
        <w:jc w:val="both"/>
        <w:rPr>
          <w:rFonts w:ascii="Book Antiqua" w:eastAsia="MS Mincho" w:hAnsi="Book Antiqua" w:cs="Times New Roman"/>
          <w:bCs/>
          <w:color w:val="000000" w:themeColor="text1"/>
          <w:lang w:val="it-IT" w:eastAsia="zh-CN"/>
        </w:rPr>
      </w:pPr>
      <w:r w:rsidRPr="008E3F16">
        <w:rPr>
          <w:rFonts w:ascii="Book Antiqua" w:eastAsia="MS Mincho" w:hAnsi="Book Antiqua" w:cs="Times New Roman"/>
          <w:b/>
          <w:bCs/>
          <w:color w:val="000000" w:themeColor="text1"/>
          <w:lang w:val="it-IT" w:eastAsia="pl-PL"/>
        </w:rPr>
        <w:t>Manuscript source:</w:t>
      </w:r>
      <w:r w:rsidRPr="008E3F16">
        <w:rPr>
          <w:rFonts w:ascii="Book Antiqua" w:eastAsia="MS Mincho" w:hAnsi="Book Antiqua" w:cs="Times New Roman"/>
          <w:b/>
          <w:bCs/>
          <w:color w:val="000000" w:themeColor="text1"/>
          <w:lang w:val="it-IT" w:eastAsia="zh-CN"/>
        </w:rPr>
        <w:t xml:space="preserve"> </w:t>
      </w:r>
      <w:r w:rsidR="007A02C8" w:rsidRPr="008E3F16">
        <w:rPr>
          <w:rFonts w:ascii="Book Antiqua" w:eastAsia="MS Mincho" w:hAnsi="Book Antiqua" w:cs="Times New Roman"/>
          <w:bCs/>
          <w:color w:val="000000" w:themeColor="text1"/>
          <w:lang w:val="it-IT" w:eastAsia="pl-PL"/>
        </w:rPr>
        <w:tab/>
        <w:t>Invited Manuscript</w:t>
      </w:r>
    </w:p>
    <w:p w14:paraId="6D8A24FC" w14:textId="77777777" w:rsidR="00DB6CA3" w:rsidRPr="008E3F16" w:rsidRDefault="00DB6CA3" w:rsidP="00C66188">
      <w:pPr>
        <w:adjustRightInd w:val="0"/>
        <w:snapToGrid w:val="0"/>
        <w:spacing w:line="360" w:lineRule="auto"/>
        <w:rPr>
          <w:rFonts w:ascii="Book Antiqua" w:eastAsia="MS Mincho" w:hAnsi="Book Antiqua" w:cs="Times New Roman"/>
          <w:b/>
          <w:color w:val="000000" w:themeColor="text1"/>
          <w:lang w:val="en-US" w:eastAsia="it-IT"/>
        </w:rPr>
      </w:pPr>
    </w:p>
    <w:p w14:paraId="04986CEC" w14:textId="51BBF25F" w:rsidR="001A17C0" w:rsidRPr="008E3F16" w:rsidRDefault="001A17C0" w:rsidP="00C66188">
      <w:pPr>
        <w:adjustRightInd w:val="0"/>
        <w:snapToGrid w:val="0"/>
        <w:spacing w:line="360" w:lineRule="auto"/>
        <w:jc w:val="both"/>
        <w:rPr>
          <w:rFonts w:ascii="Book Antiqua" w:eastAsia="MS Mincho" w:hAnsi="Book Antiqua" w:cs="Times New Roman"/>
          <w:b/>
          <w:color w:val="000000" w:themeColor="text1"/>
          <w:lang w:val="en-US" w:eastAsia="it-IT"/>
        </w:rPr>
      </w:pPr>
      <w:r w:rsidRPr="008E3F16">
        <w:rPr>
          <w:rFonts w:ascii="Book Antiqua" w:eastAsia="MS Mincho" w:hAnsi="Book Antiqua" w:cs="Times New Roman"/>
          <w:b/>
          <w:color w:val="000000" w:themeColor="text1"/>
          <w:lang w:val="en-US" w:eastAsia="it-IT"/>
        </w:rPr>
        <w:t xml:space="preserve">Peer-review started: </w:t>
      </w:r>
      <w:r w:rsidRPr="008E3F16">
        <w:rPr>
          <w:rFonts w:ascii="Book Antiqua" w:eastAsia="MS Mincho" w:hAnsi="Book Antiqua" w:cs="Times New Roman"/>
          <w:color w:val="000000" w:themeColor="text1"/>
          <w:lang w:val="en-US" w:eastAsia="it-IT"/>
        </w:rPr>
        <w:t>November 1, 2019</w:t>
      </w:r>
    </w:p>
    <w:p w14:paraId="66974FAE" w14:textId="7872D735" w:rsidR="001A17C0" w:rsidRPr="008E3F16" w:rsidRDefault="001A17C0" w:rsidP="00C66188">
      <w:pPr>
        <w:adjustRightInd w:val="0"/>
        <w:snapToGrid w:val="0"/>
        <w:spacing w:line="360" w:lineRule="auto"/>
        <w:jc w:val="both"/>
        <w:rPr>
          <w:rFonts w:ascii="Book Antiqua" w:eastAsia="MS Mincho" w:hAnsi="Book Antiqua" w:cs="Times New Roman"/>
          <w:b/>
          <w:color w:val="000000" w:themeColor="text1"/>
          <w:lang w:val="en-US" w:eastAsia="it-IT"/>
        </w:rPr>
      </w:pPr>
      <w:r w:rsidRPr="008E3F16">
        <w:rPr>
          <w:rFonts w:ascii="Book Antiqua" w:eastAsia="MS Mincho" w:hAnsi="Book Antiqua" w:cs="Times New Roman"/>
          <w:b/>
          <w:color w:val="000000" w:themeColor="text1"/>
          <w:lang w:val="en-US" w:eastAsia="it-IT"/>
        </w:rPr>
        <w:t xml:space="preserve">First decision: </w:t>
      </w:r>
      <w:r w:rsidRPr="008E3F16">
        <w:rPr>
          <w:rFonts w:ascii="Book Antiqua" w:eastAsia="MS Mincho" w:hAnsi="Book Antiqua" w:cs="Times New Roman"/>
          <w:color w:val="000000" w:themeColor="text1"/>
          <w:lang w:val="en-US" w:eastAsia="it-IT"/>
        </w:rPr>
        <w:t>November 22, 2019</w:t>
      </w:r>
    </w:p>
    <w:p w14:paraId="55D8BE05" w14:textId="77777777" w:rsidR="001A17C0" w:rsidRPr="008E3F16" w:rsidRDefault="001A17C0" w:rsidP="00C66188">
      <w:pPr>
        <w:adjustRightInd w:val="0"/>
        <w:snapToGrid w:val="0"/>
        <w:spacing w:line="360" w:lineRule="auto"/>
        <w:jc w:val="both"/>
        <w:rPr>
          <w:rFonts w:ascii="Book Antiqua" w:eastAsia="宋体" w:hAnsi="Book Antiqua" w:cs="Times New Roman"/>
          <w:b/>
          <w:color w:val="000000" w:themeColor="text1"/>
          <w:lang w:val="en-US" w:eastAsia="zh-CN"/>
        </w:rPr>
      </w:pPr>
      <w:r w:rsidRPr="008E3F16">
        <w:rPr>
          <w:rFonts w:ascii="Book Antiqua" w:eastAsia="MS Mincho" w:hAnsi="Book Antiqua" w:cs="Times New Roman"/>
          <w:b/>
          <w:color w:val="000000" w:themeColor="text1"/>
          <w:lang w:val="en-US" w:eastAsia="it-IT"/>
        </w:rPr>
        <w:t>Article in press:</w:t>
      </w:r>
    </w:p>
    <w:p w14:paraId="76FEB0A9" w14:textId="77777777" w:rsidR="001A17C0" w:rsidRPr="008E3F16" w:rsidRDefault="001A17C0" w:rsidP="00C66188">
      <w:pPr>
        <w:adjustRightInd w:val="0"/>
        <w:snapToGrid w:val="0"/>
        <w:spacing w:line="360" w:lineRule="auto"/>
        <w:jc w:val="both"/>
        <w:rPr>
          <w:rFonts w:ascii="Book Antiqua" w:eastAsia="宋体" w:hAnsi="Book Antiqua" w:cs="Times New Roman"/>
          <w:b/>
          <w:color w:val="000000" w:themeColor="text1"/>
          <w:lang w:val="en-US" w:eastAsia="zh-CN"/>
        </w:rPr>
      </w:pPr>
    </w:p>
    <w:p w14:paraId="23CC4459" w14:textId="77777777" w:rsidR="001A17C0" w:rsidRPr="008E3F16" w:rsidRDefault="001A17C0" w:rsidP="00C66188">
      <w:pPr>
        <w:widowControl w:val="0"/>
        <w:adjustRightInd w:val="0"/>
        <w:snapToGrid w:val="0"/>
        <w:spacing w:line="360" w:lineRule="auto"/>
        <w:jc w:val="both"/>
        <w:rPr>
          <w:rFonts w:ascii="Book Antiqua" w:eastAsia="微软雅黑" w:hAnsi="Book Antiqua" w:cs="宋体"/>
          <w:color w:val="000000" w:themeColor="text1"/>
          <w:lang w:val="it-IT" w:eastAsia="zh-CN"/>
        </w:rPr>
      </w:pPr>
      <w:r w:rsidRPr="008E3F16">
        <w:rPr>
          <w:rFonts w:ascii="Book Antiqua" w:eastAsia="MS Mincho" w:hAnsi="Book Antiqua" w:cs="宋体"/>
          <w:b/>
          <w:color w:val="000000" w:themeColor="text1"/>
          <w:lang w:val="it-IT" w:eastAsia="zh-CN"/>
        </w:rPr>
        <w:t xml:space="preserve">Specialty type: </w:t>
      </w:r>
      <w:r w:rsidRPr="008E3F16">
        <w:rPr>
          <w:rFonts w:ascii="Book Antiqua" w:eastAsia="微软雅黑" w:hAnsi="Book Antiqua" w:cs="宋体"/>
          <w:color w:val="000000" w:themeColor="text1"/>
          <w:lang w:val="it-IT" w:eastAsia="zh-CN"/>
        </w:rPr>
        <w:t>Gastroenterology and hepatology</w:t>
      </w:r>
    </w:p>
    <w:p w14:paraId="6E66D508" w14:textId="542408B2" w:rsidR="001A17C0" w:rsidRPr="008E3F16" w:rsidRDefault="001A17C0" w:rsidP="00C66188">
      <w:pPr>
        <w:widowControl w:val="0"/>
        <w:adjustRightInd w:val="0"/>
        <w:snapToGrid w:val="0"/>
        <w:spacing w:line="360" w:lineRule="auto"/>
        <w:jc w:val="both"/>
        <w:rPr>
          <w:rFonts w:ascii="Book Antiqua" w:eastAsia="宋体" w:hAnsi="Book Antiqua" w:cs="宋体"/>
          <w:color w:val="000000" w:themeColor="text1"/>
          <w:lang w:val="it-IT" w:eastAsia="zh-CN"/>
        </w:rPr>
      </w:pPr>
      <w:r w:rsidRPr="008E3F16">
        <w:rPr>
          <w:rFonts w:ascii="Book Antiqua" w:eastAsia="MS Mincho" w:hAnsi="Book Antiqua" w:cs="宋体"/>
          <w:b/>
          <w:color w:val="000000" w:themeColor="text1"/>
          <w:lang w:val="it-IT" w:eastAsia="zh-CN"/>
        </w:rPr>
        <w:t xml:space="preserve">Country of origin: </w:t>
      </w:r>
      <w:r w:rsidR="008E662F" w:rsidRPr="008E3F16">
        <w:rPr>
          <w:rFonts w:ascii="Book Antiqua" w:eastAsia="宋体" w:hAnsi="Book Antiqua" w:cs="宋体"/>
          <w:color w:val="000000" w:themeColor="text1"/>
          <w:lang w:val="it-IT" w:eastAsia="zh-CN"/>
        </w:rPr>
        <w:t>Greece</w:t>
      </w:r>
    </w:p>
    <w:p w14:paraId="7A0797C7" w14:textId="77777777" w:rsidR="001A17C0" w:rsidRPr="008E3F16" w:rsidRDefault="001A17C0" w:rsidP="00C66188">
      <w:pPr>
        <w:widowControl w:val="0"/>
        <w:adjustRightInd w:val="0"/>
        <w:snapToGrid w:val="0"/>
        <w:spacing w:line="360" w:lineRule="auto"/>
        <w:jc w:val="both"/>
        <w:rPr>
          <w:rFonts w:ascii="Book Antiqua" w:eastAsia="MS Mincho" w:hAnsi="Book Antiqua" w:cs="宋体"/>
          <w:b/>
          <w:color w:val="000000" w:themeColor="text1"/>
          <w:lang w:val="it-IT" w:eastAsia="zh-CN"/>
        </w:rPr>
      </w:pPr>
      <w:r w:rsidRPr="008E3F16">
        <w:rPr>
          <w:rFonts w:ascii="Book Antiqua" w:eastAsia="MS Mincho" w:hAnsi="Book Antiqua" w:cs="宋体"/>
          <w:b/>
          <w:color w:val="000000" w:themeColor="text1"/>
          <w:lang w:val="it-IT" w:eastAsia="zh-CN"/>
        </w:rPr>
        <w:t>Peer-review report classification</w:t>
      </w:r>
    </w:p>
    <w:p w14:paraId="1056A183" w14:textId="7BE4F640" w:rsidR="001A17C0" w:rsidRPr="008E3F16" w:rsidRDefault="001A17C0" w:rsidP="00C66188">
      <w:pPr>
        <w:widowControl w:val="0"/>
        <w:adjustRightInd w:val="0"/>
        <w:snapToGrid w:val="0"/>
        <w:spacing w:line="360" w:lineRule="auto"/>
        <w:jc w:val="both"/>
        <w:rPr>
          <w:rFonts w:ascii="Book Antiqua" w:eastAsia="MS Mincho" w:hAnsi="Book Antiqua" w:cs="宋体"/>
          <w:color w:val="000000" w:themeColor="text1"/>
          <w:lang w:val="it-IT" w:eastAsia="zh-CN"/>
        </w:rPr>
      </w:pPr>
      <w:r w:rsidRPr="008E3F16">
        <w:rPr>
          <w:rFonts w:ascii="Book Antiqua" w:eastAsia="MS Mincho" w:hAnsi="Book Antiqua" w:cs="宋体"/>
          <w:color w:val="000000" w:themeColor="text1"/>
          <w:lang w:val="it-IT" w:eastAsia="zh-CN"/>
        </w:rPr>
        <w:t xml:space="preserve">Grade A (Excellent): </w:t>
      </w:r>
      <w:r w:rsidR="008E662F" w:rsidRPr="008E3F16">
        <w:rPr>
          <w:rFonts w:ascii="Book Antiqua" w:eastAsia="MS Mincho" w:hAnsi="Book Antiqua" w:cs="宋体"/>
          <w:color w:val="000000" w:themeColor="text1"/>
          <w:lang w:val="it-IT" w:eastAsia="zh-CN"/>
        </w:rPr>
        <w:t>0</w:t>
      </w:r>
    </w:p>
    <w:p w14:paraId="667EC793" w14:textId="77777777" w:rsidR="001A17C0" w:rsidRPr="008E3F16" w:rsidRDefault="001A17C0" w:rsidP="00C66188">
      <w:pPr>
        <w:widowControl w:val="0"/>
        <w:adjustRightInd w:val="0"/>
        <w:snapToGrid w:val="0"/>
        <w:spacing w:line="360" w:lineRule="auto"/>
        <w:jc w:val="both"/>
        <w:rPr>
          <w:rFonts w:ascii="Book Antiqua" w:eastAsia="宋体" w:hAnsi="Book Antiqua" w:cs="宋体"/>
          <w:color w:val="000000" w:themeColor="text1"/>
          <w:lang w:val="it-IT" w:eastAsia="zh-CN"/>
        </w:rPr>
      </w:pPr>
      <w:r w:rsidRPr="008E3F16">
        <w:rPr>
          <w:rFonts w:ascii="Book Antiqua" w:eastAsia="MS Mincho" w:hAnsi="Book Antiqua" w:cs="宋体"/>
          <w:color w:val="000000" w:themeColor="text1"/>
          <w:lang w:val="it-IT" w:eastAsia="zh-CN"/>
        </w:rPr>
        <w:t xml:space="preserve">Grade B (Very good): </w:t>
      </w:r>
      <w:r w:rsidRPr="008E3F16">
        <w:rPr>
          <w:rFonts w:ascii="Book Antiqua" w:eastAsia="宋体" w:hAnsi="Book Antiqua" w:cs="宋体"/>
          <w:color w:val="000000" w:themeColor="text1"/>
          <w:lang w:val="it-IT" w:eastAsia="zh-CN"/>
        </w:rPr>
        <w:t>B</w:t>
      </w:r>
    </w:p>
    <w:p w14:paraId="28BB39F4" w14:textId="77777777" w:rsidR="001A17C0" w:rsidRPr="008E3F16" w:rsidRDefault="001A17C0" w:rsidP="00C66188">
      <w:pPr>
        <w:widowControl w:val="0"/>
        <w:adjustRightInd w:val="0"/>
        <w:snapToGrid w:val="0"/>
        <w:spacing w:line="360" w:lineRule="auto"/>
        <w:jc w:val="both"/>
        <w:rPr>
          <w:rFonts w:ascii="Book Antiqua" w:eastAsia="MS Mincho" w:hAnsi="Book Antiqua" w:cs="宋体"/>
          <w:color w:val="000000" w:themeColor="text1"/>
          <w:lang w:val="it-IT" w:eastAsia="zh-CN"/>
        </w:rPr>
      </w:pPr>
      <w:r w:rsidRPr="008E3F16">
        <w:rPr>
          <w:rFonts w:ascii="Book Antiqua" w:eastAsia="MS Mincho" w:hAnsi="Book Antiqua" w:cs="宋体"/>
          <w:color w:val="000000" w:themeColor="text1"/>
          <w:lang w:val="it-IT" w:eastAsia="zh-CN"/>
        </w:rPr>
        <w:t>Grade C (Good): C</w:t>
      </w:r>
    </w:p>
    <w:p w14:paraId="31AB2088" w14:textId="77777777" w:rsidR="001A17C0" w:rsidRPr="008E3F16" w:rsidRDefault="001A17C0" w:rsidP="00C66188">
      <w:pPr>
        <w:widowControl w:val="0"/>
        <w:adjustRightInd w:val="0"/>
        <w:snapToGrid w:val="0"/>
        <w:spacing w:line="360" w:lineRule="auto"/>
        <w:jc w:val="both"/>
        <w:rPr>
          <w:rFonts w:ascii="Book Antiqua" w:eastAsia="MS Mincho" w:hAnsi="Book Antiqua" w:cs="宋体"/>
          <w:color w:val="000000" w:themeColor="text1"/>
          <w:lang w:val="it-IT" w:eastAsia="zh-CN"/>
        </w:rPr>
      </w:pPr>
      <w:r w:rsidRPr="008E3F16">
        <w:rPr>
          <w:rFonts w:ascii="Book Antiqua" w:eastAsia="MS Mincho" w:hAnsi="Book Antiqua" w:cs="宋体"/>
          <w:color w:val="000000" w:themeColor="text1"/>
          <w:lang w:val="it-IT" w:eastAsia="zh-CN"/>
        </w:rPr>
        <w:t>Grade D (Fair): 0</w:t>
      </w:r>
    </w:p>
    <w:p w14:paraId="0D0BC18C" w14:textId="58C6B1FC" w:rsidR="001A17C0" w:rsidRPr="008E3F16" w:rsidRDefault="001A17C0" w:rsidP="00C66188">
      <w:pPr>
        <w:widowControl w:val="0"/>
        <w:adjustRightInd w:val="0"/>
        <w:snapToGrid w:val="0"/>
        <w:spacing w:line="360" w:lineRule="auto"/>
        <w:jc w:val="both"/>
        <w:rPr>
          <w:rFonts w:ascii="Book Antiqua" w:eastAsia="MS Mincho" w:hAnsi="Book Antiqua" w:cs="宋体"/>
          <w:color w:val="000000" w:themeColor="text1"/>
          <w:lang w:val="it-IT" w:eastAsia="zh-CN"/>
        </w:rPr>
      </w:pPr>
      <w:r w:rsidRPr="008E3F16">
        <w:rPr>
          <w:rFonts w:ascii="Book Antiqua" w:eastAsia="MS Mincho" w:hAnsi="Book Antiqua" w:cs="宋体"/>
          <w:color w:val="000000" w:themeColor="text1"/>
          <w:lang w:val="it-IT" w:eastAsia="zh-CN"/>
        </w:rPr>
        <w:t>Grade E (Poor): 0</w:t>
      </w:r>
    </w:p>
    <w:p w14:paraId="59A702BD" w14:textId="7720DF9A" w:rsidR="00986229" w:rsidRPr="008E3F16" w:rsidRDefault="00986229" w:rsidP="00C66188">
      <w:pPr>
        <w:widowControl w:val="0"/>
        <w:adjustRightInd w:val="0"/>
        <w:snapToGrid w:val="0"/>
        <w:spacing w:line="360" w:lineRule="auto"/>
        <w:jc w:val="both"/>
        <w:rPr>
          <w:rFonts w:ascii="Book Antiqua" w:hAnsi="Book Antiqua" w:cs="宋体"/>
          <w:color w:val="000000" w:themeColor="text1"/>
          <w:lang w:val="it-IT" w:eastAsia="zh-CN"/>
        </w:rPr>
      </w:pPr>
    </w:p>
    <w:p w14:paraId="62E76A53" w14:textId="2D1538FC" w:rsidR="00DB6CA3" w:rsidRPr="008E3F16" w:rsidRDefault="00986229" w:rsidP="00C66188">
      <w:pPr>
        <w:suppressAutoHyphens/>
        <w:adjustRightInd w:val="0"/>
        <w:snapToGrid w:val="0"/>
        <w:spacing w:line="360" w:lineRule="auto"/>
        <w:ind w:right="120"/>
        <w:rPr>
          <w:rFonts w:ascii="Book Antiqua" w:eastAsia="宋体" w:hAnsi="Book Antiqua" w:cs="Mangal"/>
          <w:b/>
          <w:bCs/>
          <w:color w:val="000000" w:themeColor="text1"/>
          <w:kern w:val="1"/>
          <w:lang w:val="it-IT" w:eastAsia="zh-CN" w:bidi="hi-IN"/>
        </w:rPr>
      </w:pPr>
      <w:r w:rsidRPr="008E3F16">
        <w:rPr>
          <w:rFonts w:ascii="Book Antiqua" w:eastAsia="Lucida Sans Unicode" w:hAnsi="Book Antiqua" w:cs="Arial"/>
          <w:b/>
          <w:noProof/>
          <w:color w:val="000000" w:themeColor="text1"/>
          <w:kern w:val="1"/>
          <w:lang w:val="it-IT" w:eastAsia="hi-IN" w:bidi="hi-IN"/>
        </w:rPr>
        <w:t>P-Reviewer</w:t>
      </w:r>
      <w:r w:rsidRPr="008E3F16">
        <w:rPr>
          <w:rFonts w:ascii="Book Antiqua" w:eastAsia="宋体" w:hAnsi="Book Antiqua" w:cs="Arial"/>
          <w:b/>
          <w:noProof/>
          <w:color w:val="000000" w:themeColor="text1"/>
          <w:kern w:val="1"/>
          <w:lang w:val="it-IT" w:eastAsia="zh-CN" w:bidi="hi-IN"/>
        </w:rPr>
        <w:t>:</w:t>
      </w:r>
      <w:r w:rsidRPr="008E3F16">
        <w:rPr>
          <w:rFonts w:ascii="Book Antiqua" w:eastAsia="Lucida Sans Unicode" w:hAnsi="Book Antiqua" w:cs="Mangal"/>
          <w:bCs/>
          <w:color w:val="000000" w:themeColor="text1"/>
          <w:kern w:val="1"/>
          <w:lang w:val="it-IT" w:eastAsia="hi-IN" w:bidi="hi-IN"/>
        </w:rPr>
        <w:t xml:space="preserve"> Mattar MC, Sachar D </w:t>
      </w:r>
      <w:r w:rsidRPr="008E3F16">
        <w:rPr>
          <w:rFonts w:ascii="Book Antiqua" w:eastAsia="Lucida Sans Unicode" w:hAnsi="Book Antiqua" w:cs="Mangal"/>
          <w:b/>
          <w:bCs/>
          <w:color w:val="000000" w:themeColor="text1"/>
          <w:kern w:val="1"/>
          <w:lang w:val="it-IT" w:eastAsia="hi-IN" w:bidi="hi-IN"/>
        </w:rPr>
        <w:t>S-Editor</w:t>
      </w:r>
      <w:r w:rsidRPr="008E3F16">
        <w:rPr>
          <w:rFonts w:ascii="Book Antiqua" w:eastAsia="宋体" w:hAnsi="Book Antiqua" w:cs="Mangal"/>
          <w:b/>
          <w:bCs/>
          <w:color w:val="000000" w:themeColor="text1"/>
          <w:kern w:val="1"/>
          <w:lang w:val="it-IT" w:eastAsia="zh-CN" w:bidi="hi-IN"/>
        </w:rPr>
        <w:t>:</w:t>
      </w:r>
      <w:r w:rsidRPr="008E3F16">
        <w:rPr>
          <w:rFonts w:ascii="Book Antiqua" w:eastAsia="Lucida Sans Unicode" w:hAnsi="Book Antiqua" w:cs="Mangal"/>
          <w:bCs/>
          <w:color w:val="000000" w:themeColor="text1"/>
          <w:kern w:val="1"/>
          <w:lang w:val="it-IT" w:eastAsia="hi-IN" w:bidi="hi-IN"/>
        </w:rPr>
        <w:t xml:space="preserve"> </w:t>
      </w:r>
      <w:r w:rsidRPr="008E3F16">
        <w:rPr>
          <w:rFonts w:ascii="Book Antiqua" w:eastAsia="宋体" w:hAnsi="Book Antiqua" w:cs="Mangal"/>
          <w:bCs/>
          <w:color w:val="000000" w:themeColor="text1"/>
          <w:kern w:val="1"/>
          <w:lang w:val="it-IT" w:eastAsia="zh-CN" w:bidi="hi-IN"/>
        </w:rPr>
        <w:t>Tang JZ</w:t>
      </w:r>
      <w:r w:rsidRPr="008E3F16">
        <w:rPr>
          <w:rFonts w:ascii="Book Antiqua" w:eastAsia="Lucida Sans Unicode" w:hAnsi="Book Antiqua" w:cs="Mangal"/>
          <w:b/>
          <w:bCs/>
          <w:color w:val="000000" w:themeColor="text1"/>
          <w:kern w:val="1"/>
          <w:lang w:val="it-IT" w:eastAsia="hi-IN" w:bidi="hi-IN"/>
        </w:rPr>
        <w:t xml:space="preserve"> L-Editor</w:t>
      </w:r>
      <w:r w:rsidRPr="008E3F16">
        <w:rPr>
          <w:rFonts w:ascii="Book Antiqua" w:eastAsia="宋体" w:hAnsi="Book Antiqua" w:cs="Mangal"/>
          <w:b/>
          <w:bCs/>
          <w:color w:val="000000" w:themeColor="text1"/>
          <w:kern w:val="1"/>
          <w:lang w:val="it-IT" w:eastAsia="zh-CN" w:bidi="hi-IN"/>
        </w:rPr>
        <w:t>:</w:t>
      </w:r>
      <w:r w:rsidRPr="008E3F16">
        <w:rPr>
          <w:rFonts w:ascii="Book Antiqua" w:eastAsia="Lucida Sans Unicode" w:hAnsi="Book Antiqua" w:cs="Mangal"/>
          <w:b/>
          <w:bCs/>
          <w:color w:val="000000" w:themeColor="text1"/>
          <w:kern w:val="1"/>
          <w:lang w:val="it-IT" w:eastAsia="hi-IN" w:bidi="hi-IN"/>
        </w:rPr>
        <w:t xml:space="preserve">   E-Editor</w:t>
      </w:r>
      <w:r w:rsidRPr="008E3F16">
        <w:rPr>
          <w:rFonts w:ascii="Book Antiqua" w:eastAsia="宋体" w:hAnsi="Book Antiqua" w:cs="Mangal"/>
          <w:b/>
          <w:bCs/>
          <w:color w:val="000000" w:themeColor="text1"/>
          <w:kern w:val="1"/>
          <w:lang w:val="it-IT" w:eastAsia="zh-CN" w:bidi="hi-IN"/>
        </w:rPr>
        <w:t>:</w:t>
      </w:r>
    </w:p>
    <w:p w14:paraId="2BA94249" w14:textId="1F349D1D" w:rsidR="000D491E" w:rsidRPr="008E3F16" w:rsidRDefault="00DB6CA3"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br w:type="page"/>
      </w:r>
    </w:p>
    <w:p w14:paraId="3184CDD0" w14:textId="3BF75BE5" w:rsidR="00E6147D" w:rsidRPr="008E3F16" w:rsidRDefault="00E6147D" w:rsidP="00C66188">
      <w:pPr>
        <w:adjustRightInd w:val="0"/>
        <w:snapToGrid w:val="0"/>
        <w:spacing w:line="360" w:lineRule="auto"/>
        <w:jc w:val="both"/>
        <w:rPr>
          <w:rFonts w:ascii="Book Antiqua" w:hAnsi="Book Antiqua"/>
          <w:color w:val="000000" w:themeColor="text1"/>
          <w:lang w:val="en-US"/>
        </w:rPr>
      </w:pPr>
      <w:r w:rsidRPr="008E3F16">
        <w:rPr>
          <w:rFonts w:ascii="Book Antiqua" w:hAnsi="Book Antiqua"/>
          <w:b/>
          <w:bCs/>
          <w:color w:val="000000" w:themeColor="text1"/>
          <w:lang w:val="en-US"/>
        </w:rPr>
        <w:lastRenderedPageBreak/>
        <w:t>Table 1</w:t>
      </w:r>
      <w:r w:rsidRPr="008E3F16">
        <w:rPr>
          <w:rFonts w:ascii="Book Antiqua" w:hAnsi="Book Antiqua"/>
          <w:color w:val="000000" w:themeColor="text1"/>
          <w:lang w:val="en-US"/>
        </w:rPr>
        <w:t xml:space="preserve"> </w:t>
      </w:r>
      <w:r w:rsidRPr="008E3F16">
        <w:rPr>
          <w:rFonts w:ascii="Book Antiqua" w:hAnsi="Book Antiqua"/>
          <w:b/>
          <w:bCs/>
          <w:color w:val="000000" w:themeColor="text1"/>
          <w:lang w:val="en-US"/>
        </w:rPr>
        <w:t>Search strategy for PubMed and Cochrane-CENTRAL</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386"/>
      </w:tblGrid>
      <w:tr w:rsidR="008E3F16" w:rsidRPr="008E3F16" w14:paraId="53DCD22B" w14:textId="77777777" w:rsidTr="00B26157">
        <w:trPr>
          <w:trHeight w:val="576"/>
        </w:trPr>
        <w:tc>
          <w:tcPr>
            <w:tcW w:w="2552" w:type="dxa"/>
            <w:tcBorders>
              <w:top w:val="single" w:sz="4" w:space="0" w:color="auto"/>
              <w:bottom w:val="single" w:sz="4" w:space="0" w:color="auto"/>
            </w:tcBorders>
            <w:vAlign w:val="center"/>
          </w:tcPr>
          <w:p w14:paraId="4ED86620" w14:textId="77777777" w:rsidR="00BA27D6" w:rsidRPr="008E3F16" w:rsidRDefault="00BA27D6" w:rsidP="00C66188">
            <w:pPr>
              <w:adjustRightInd w:val="0"/>
              <w:snapToGrid w:val="0"/>
              <w:spacing w:line="360" w:lineRule="auto"/>
              <w:jc w:val="both"/>
              <w:rPr>
                <w:rFonts w:ascii="Book Antiqua" w:hAnsi="Book Antiqua"/>
                <w:b/>
                <w:bCs/>
                <w:color w:val="000000" w:themeColor="text1"/>
                <w:lang w:val="en-US"/>
              </w:rPr>
            </w:pPr>
            <w:r w:rsidRPr="008E3F16">
              <w:rPr>
                <w:rFonts w:ascii="Book Antiqua" w:hAnsi="Book Antiqua"/>
                <w:b/>
                <w:bCs/>
                <w:color w:val="000000" w:themeColor="text1"/>
                <w:lang w:val="en-US"/>
              </w:rPr>
              <w:t>Database</w:t>
            </w:r>
          </w:p>
        </w:tc>
        <w:tc>
          <w:tcPr>
            <w:tcW w:w="5386" w:type="dxa"/>
            <w:tcBorders>
              <w:top w:val="single" w:sz="4" w:space="0" w:color="auto"/>
              <w:bottom w:val="single" w:sz="4" w:space="0" w:color="auto"/>
            </w:tcBorders>
            <w:vAlign w:val="center"/>
          </w:tcPr>
          <w:p w14:paraId="5ED2B0FD" w14:textId="60F4B657" w:rsidR="00BA27D6" w:rsidRPr="008E3F16" w:rsidRDefault="00BA27D6" w:rsidP="00C66188">
            <w:pPr>
              <w:adjustRightInd w:val="0"/>
              <w:snapToGrid w:val="0"/>
              <w:spacing w:line="360" w:lineRule="auto"/>
              <w:jc w:val="center"/>
              <w:rPr>
                <w:rFonts w:ascii="Book Antiqua" w:hAnsi="Book Antiqua"/>
                <w:b/>
                <w:bCs/>
                <w:color w:val="000000" w:themeColor="text1"/>
                <w:lang w:val="en-US"/>
              </w:rPr>
            </w:pPr>
            <w:r w:rsidRPr="008E3F16">
              <w:rPr>
                <w:rFonts w:ascii="Book Antiqua" w:hAnsi="Book Antiqua"/>
                <w:b/>
                <w:bCs/>
                <w:color w:val="000000" w:themeColor="text1"/>
                <w:lang w:val="en-US"/>
              </w:rPr>
              <w:t>Key</w:t>
            </w:r>
            <w:r w:rsidR="00212D1B" w:rsidRPr="008E3F16">
              <w:rPr>
                <w:rFonts w:ascii="Book Antiqua" w:hAnsi="Book Antiqua"/>
                <w:b/>
                <w:bCs/>
                <w:color w:val="000000" w:themeColor="text1"/>
                <w:lang w:val="en-US"/>
              </w:rPr>
              <w:t xml:space="preserve"> </w:t>
            </w:r>
            <w:r w:rsidRPr="008E3F16">
              <w:rPr>
                <w:rFonts w:ascii="Book Antiqua" w:hAnsi="Book Antiqua"/>
                <w:b/>
                <w:bCs/>
                <w:color w:val="000000" w:themeColor="text1"/>
                <w:lang w:val="en-US"/>
              </w:rPr>
              <w:t>words</w:t>
            </w:r>
          </w:p>
        </w:tc>
      </w:tr>
      <w:tr w:rsidR="008E3F16" w:rsidRPr="008E3F16" w14:paraId="4831F0AC" w14:textId="77777777" w:rsidTr="00B26157">
        <w:trPr>
          <w:trHeight w:val="576"/>
        </w:trPr>
        <w:tc>
          <w:tcPr>
            <w:tcW w:w="2552" w:type="dxa"/>
            <w:tcBorders>
              <w:top w:val="single" w:sz="4" w:space="0" w:color="auto"/>
            </w:tcBorders>
            <w:vAlign w:val="center"/>
          </w:tcPr>
          <w:p w14:paraId="5977A9EA" w14:textId="77777777" w:rsidR="00E6147D" w:rsidRPr="008E3F16" w:rsidRDefault="00BA27D6" w:rsidP="00C66188">
            <w:pPr>
              <w:adjustRightInd w:val="0"/>
              <w:snapToGrid w:val="0"/>
              <w:spacing w:line="360" w:lineRule="auto"/>
              <w:jc w:val="both"/>
              <w:rPr>
                <w:rFonts w:ascii="Book Antiqua" w:hAnsi="Book Antiqua"/>
                <w:color w:val="000000" w:themeColor="text1"/>
                <w:lang w:val="en-US"/>
              </w:rPr>
            </w:pPr>
            <w:r w:rsidRPr="008E3F16">
              <w:rPr>
                <w:rFonts w:ascii="Book Antiqua" w:hAnsi="Book Antiqua"/>
                <w:color w:val="000000" w:themeColor="text1"/>
                <w:lang w:val="en-US"/>
              </w:rPr>
              <w:t>PubMed</w:t>
            </w:r>
          </w:p>
        </w:tc>
        <w:tc>
          <w:tcPr>
            <w:tcW w:w="5386" w:type="dxa"/>
            <w:tcBorders>
              <w:top w:val="single" w:sz="4" w:space="0" w:color="auto"/>
            </w:tcBorders>
            <w:vAlign w:val="center"/>
          </w:tcPr>
          <w:p w14:paraId="5EBE5E3B" w14:textId="77777777" w:rsidR="00E6147D" w:rsidRPr="008E3F16" w:rsidRDefault="00E6147D" w:rsidP="00C66188">
            <w:pPr>
              <w:adjustRightInd w:val="0"/>
              <w:snapToGrid w:val="0"/>
              <w:spacing w:line="360" w:lineRule="auto"/>
              <w:jc w:val="center"/>
              <w:rPr>
                <w:rFonts w:ascii="Book Antiqua" w:hAnsi="Book Antiqua"/>
                <w:color w:val="000000" w:themeColor="text1"/>
              </w:rPr>
            </w:pPr>
          </w:p>
        </w:tc>
      </w:tr>
      <w:tr w:rsidR="008E3F16" w:rsidRPr="008E3F16" w14:paraId="441554B5" w14:textId="77777777" w:rsidTr="00B26157">
        <w:trPr>
          <w:trHeight w:val="288"/>
        </w:trPr>
        <w:tc>
          <w:tcPr>
            <w:tcW w:w="2552" w:type="dxa"/>
            <w:vAlign w:val="center"/>
          </w:tcPr>
          <w:p w14:paraId="3EEADE43" w14:textId="553A09D1" w:rsidR="00E6147D" w:rsidRPr="008E3F16" w:rsidRDefault="0004316F" w:rsidP="00C66188">
            <w:pPr>
              <w:adjustRightInd w:val="0"/>
              <w:snapToGrid w:val="0"/>
              <w:spacing w:line="360" w:lineRule="auto"/>
              <w:jc w:val="both"/>
              <w:rPr>
                <w:rFonts w:ascii="Book Antiqua" w:hAnsi="Book Antiqua"/>
                <w:color w:val="000000" w:themeColor="text1"/>
              </w:rPr>
            </w:pPr>
            <w:bookmarkStart w:id="36" w:name="_Hlk23028475"/>
            <w:r w:rsidRPr="008E3F16">
              <w:rPr>
                <w:rFonts w:ascii="Book Antiqua" w:hAnsi="Book Antiqua"/>
                <w:color w:val="000000" w:themeColor="text1"/>
              </w:rPr>
              <w:t>N</w:t>
            </w:r>
            <w:r w:rsidRPr="008E3F16">
              <w:rPr>
                <w:rFonts w:ascii="Book Antiqua" w:hAnsi="Book Antiqua"/>
                <w:color w:val="000000" w:themeColor="text1"/>
                <w:lang w:eastAsia="zh-CN"/>
              </w:rPr>
              <w:t>o</w:t>
            </w:r>
            <w:r w:rsidRPr="008E3F16">
              <w:rPr>
                <w:rFonts w:ascii="Book Antiqua" w:hAnsi="Book Antiqua"/>
                <w:color w:val="000000" w:themeColor="text1"/>
              </w:rPr>
              <w:t xml:space="preserve">. </w:t>
            </w:r>
            <w:r w:rsidR="00E6147D" w:rsidRPr="008E3F16">
              <w:rPr>
                <w:rFonts w:ascii="Book Antiqua" w:hAnsi="Book Antiqua"/>
                <w:color w:val="000000" w:themeColor="text1"/>
              </w:rPr>
              <w:t>1</w:t>
            </w:r>
          </w:p>
        </w:tc>
        <w:tc>
          <w:tcPr>
            <w:tcW w:w="5386" w:type="dxa"/>
            <w:vAlign w:val="center"/>
          </w:tcPr>
          <w:p w14:paraId="535D79C5" w14:textId="77777777" w:rsidR="00E6147D" w:rsidRPr="008E3F16" w:rsidRDefault="00BA27D6"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anti-glycoprotein 2 antibody</w:t>
            </w:r>
          </w:p>
        </w:tc>
      </w:tr>
      <w:tr w:rsidR="008E3F16" w:rsidRPr="008E3F16" w14:paraId="53726271" w14:textId="77777777" w:rsidTr="00B26157">
        <w:trPr>
          <w:trHeight w:val="288"/>
        </w:trPr>
        <w:tc>
          <w:tcPr>
            <w:tcW w:w="2552" w:type="dxa"/>
            <w:vAlign w:val="center"/>
          </w:tcPr>
          <w:p w14:paraId="015F6AF1" w14:textId="1CC32480" w:rsidR="00E6147D" w:rsidRPr="008E3F16" w:rsidRDefault="0004316F"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rPr>
              <w:t>N</w:t>
            </w:r>
            <w:r w:rsidRPr="008E3F16">
              <w:rPr>
                <w:rFonts w:ascii="Book Antiqua" w:hAnsi="Book Antiqua"/>
                <w:color w:val="000000" w:themeColor="text1"/>
                <w:lang w:eastAsia="zh-CN"/>
              </w:rPr>
              <w:t>o</w:t>
            </w:r>
            <w:r w:rsidRPr="008E3F16">
              <w:rPr>
                <w:rFonts w:ascii="Book Antiqua" w:hAnsi="Book Antiqua"/>
                <w:color w:val="000000" w:themeColor="text1"/>
              </w:rPr>
              <w:t xml:space="preserve">. </w:t>
            </w:r>
            <w:r w:rsidR="00E6147D" w:rsidRPr="008E3F16">
              <w:rPr>
                <w:rFonts w:ascii="Book Antiqua" w:hAnsi="Book Antiqua"/>
                <w:color w:val="000000" w:themeColor="text1"/>
              </w:rPr>
              <w:t>2</w:t>
            </w:r>
          </w:p>
        </w:tc>
        <w:tc>
          <w:tcPr>
            <w:tcW w:w="5386" w:type="dxa"/>
            <w:vAlign w:val="center"/>
          </w:tcPr>
          <w:p w14:paraId="44964218" w14:textId="77777777" w:rsidR="00E6147D" w:rsidRPr="008E3F16" w:rsidRDefault="00E6147D"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w:t>
            </w:r>
            <w:r w:rsidR="00BA27D6" w:rsidRPr="008E3F16">
              <w:rPr>
                <w:rFonts w:ascii="Book Antiqua" w:hAnsi="Book Antiqua"/>
                <w:color w:val="000000" w:themeColor="text1"/>
                <w:lang w:val="en-US"/>
              </w:rPr>
              <w:t>anti-glycoprotein 2 antibody</w:t>
            </w:r>
            <w:r w:rsidRPr="008E3F16">
              <w:rPr>
                <w:rFonts w:ascii="Book Antiqua" w:hAnsi="Book Antiqua"/>
                <w:color w:val="000000" w:themeColor="text1"/>
                <w:lang w:val="en-US"/>
              </w:rPr>
              <w:t>"</w:t>
            </w:r>
          </w:p>
        </w:tc>
      </w:tr>
      <w:tr w:rsidR="008E3F16" w:rsidRPr="008E3F16" w14:paraId="34ED104B" w14:textId="77777777" w:rsidTr="00B26157">
        <w:trPr>
          <w:trHeight w:val="288"/>
        </w:trPr>
        <w:tc>
          <w:tcPr>
            <w:tcW w:w="2552" w:type="dxa"/>
            <w:vAlign w:val="center"/>
          </w:tcPr>
          <w:p w14:paraId="6637788B" w14:textId="7DCDA2F9" w:rsidR="00E6147D" w:rsidRPr="008E3F16" w:rsidRDefault="0004316F"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rPr>
              <w:t>N</w:t>
            </w:r>
            <w:r w:rsidRPr="008E3F16">
              <w:rPr>
                <w:rFonts w:ascii="Book Antiqua" w:hAnsi="Book Antiqua"/>
                <w:color w:val="000000" w:themeColor="text1"/>
                <w:lang w:eastAsia="zh-CN"/>
              </w:rPr>
              <w:t>o</w:t>
            </w:r>
            <w:r w:rsidRPr="008E3F16">
              <w:rPr>
                <w:rFonts w:ascii="Book Antiqua" w:hAnsi="Book Antiqua"/>
                <w:color w:val="000000" w:themeColor="text1"/>
              </w:rPr>
              <w:t xml:space="preserve">. </w:t>
            </w:r>
            <w:r w:rsidR="00E6147D" w:rsidRPr="008E3F16">
              <w:rPr>
                <w:rFonts w:ascii="Book Antiqua" w:hAnsi="Book Antiqua"/>
                <w:color w:val="000000" w:themeColor="text1"/>
              </w:rPr>
              <w:t>3</w:t>
            </w:r>
          </w:p>
        </w:tc>
        <w:tc>
          <w:tcPr>
            <w:tcW w:w="5386" w:type="dxa"/>
            <w:vAlign w:val="center"/>
          </w:tcPr>
          <w:p w14:paraId="7918511F" w14:textId="77777777" w:rsidR="00E6147D" w:rsidRPr="008E3F16" w:rsidRDefault="00E6147D"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anti-glycoprotein 2 antibody [Text Words]</w:t>
            </w:r>
          </w:p>
        </w:tc>
      </w:tr>
      <w:tr w:rsidR="008E3F16" w:rsidRPr="008E3F16" w14:paraId="5E384DD3" w14:textId="77777777" w:rsidTr="00B26157">
        <w:trPr>
          <w:trHeight w:val="288"/>
        </w:trPr>
        <w:tc>
          <w:tcPr>
            <w:tcW w:w="2552" w:type="dxa"/>
            <w:vAlign w:val="center"/>
          </w:tcPr>
          <w:p w14:paraId="0596D4CE" w14:textId="100553DB" w:rsidR="00E6147D" w:rsidRPr="008E3F16" w:rsidRDefault="00027CA7" w:rsidP="00C66188">
            <w:pPr>
              <w:adjustRightInd w:val="0"/>
              <w:snapToGrid w:val="0"/>
              <w:spacing w:line="360" w:lineRule="auto"/>
              <w:jc w:val="both"/>
              <w:rPr>
                <w:rFonts w:ascii="Book Antiqua" w:hAnsi="Book Antiqua"/>
                <w:color w:val="000000" w:themeColor="text1"/>
                <w:lang w:val="en-US"/>
              </w:rPr>
            </w:pPr>
            <w:r w:rsidRPr="008E3F16">
              <w:rPr>
                <w:rFonts w:ascii="Book Antiqua" w:hAnsi="Book Antiqua"/>
                <w:color w:val="000000" w:themeColor="text1"/>
                <w:lang w:val="en-US"/>
              </w:rPr>
              <w:t>No. 4</w:t>
            </w:r>
          </w:p>
        </w:tc>
        <w:tc>
          <w:tcPr>
            <w:tcW w:w="5386" w:type="dxa"/>
            <w:vAlign w:val="center"/>
          </w:tcPr>
          <w:p w14:paraId="066EA839" w14:textId="77777777" w:rsidR="00E6147D" w:rsidRPr="008E3F16" w:rsidRDefault="00BA27D6" w:rsidP="00C66188">
            <w:pPr>
              <w:adjustRightInd w:val="0"/>
              <w:snapToGrid w:val="0"/>
              <w:spacing w:line="360" w:lineRule="auto"/>
              <w:jc w:val="center"/>
              <w:rPr>
                <w:rFonts w:ascii="Book Antiqua" w:hAnsi="Book Antiqua"/>
                <w:color w:val="000000" w:themeColor="text1"/>
              </w:rPr>
            </w:pPr>
            <w:r w:rsidRPr="008E3F16">
              <w:rPr>
                <w:rFonts w:ascii="Book Antiqua" w:hAnsi="Book Antiqua"/>
                <w:color w:val="000000" w:themeColor="text1"/>
                <w:lang w:val="en-US"/>
              </w:rPr>
              <w:t>autoantibodies to glycoprotein 2</w:t>
            </w:r>
          </w:p>
        </w:tc>
      </w:tr>
      <w:tr w:rsidR="008E3F16" w:rsidRPr="008E3F16" w14:paraId="01404734" w14:textId="77777777" w:rsidTr="00B26157">
        <w:trPr>
          <w:trHeight w:val="288"/>
        </w:trPr>
        <w:tc>
          <w:tcPr>
            <w:tcW w:w="2552" w:type="dxa"/>
            <w:vAlign w:val="center"/>
          </w:tcPr>
          <w:p w14:paraId="310E7D8E" w14:textId="4D27386A" w:rsidR="00E6147D" w:rsidRPr="008E3F16" w:rsidRDefault="00027CA7"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lang w:val="en-US"/>
              </w:rPr>
              <w:t xml:space="preserve">No. </w:t>
            </w:r>
            <w:r w:rsidR="00E6147D" w:rsidRPr="008E3F16">
              <w:rPr>
                <w:rFonts w:ascii="Book Antiqua" w:hAnsi="Book Antiqua"/>
                <w:color w:val="000000" w:themeColor="text1"/>
              </w:rPr>
              <w:t>5</w:t>
            </w:r>
          </w:p>
        </w:tc>
        <w:tc>
          <w:tcPr>
            <w:tcW w:w="5386" w:type="dxa"/>
            <w:vAlign w:val="center"/>
          </w:tcPr>
          <w:p w14:paraId="13F38BA0" w14:textId="77777777" w:rsidR="00E6147D" w:rsidRPr="008E3F16" w:rsidRDefault="00E6147D"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w:t>
            </w:r>
            <w:r w:rsidR="00BA27D6" w:rsidRPr="008E3F16">
              <w:rPr>
                <w:rFonts w:ascii="Book Antiqua" w:hAnsi="Book Antiqua"/>
                <w:color w:val="000000" w:themeColor="text1"/>
                <w:lang w:val="en-US"/>
              </w:rPr>
              <w:t>autoantibodies to glycoprotein 2</w:t>
            </w:r>
            <w:r w:rsidRPr="008E3F16">
              <w:rPr>
                <w:rFonts w:ascii="Book Antiqua" w:hAnsi="Book Antiqua"/>
                <w:color w:val="000000" w:themeColor="text1"/>
                <w:lang w:val="en-US"/>
              </w:rPr>
              <w:t>"</w:t>
            </w:r>
          </w:p>
        </w:tc>
      </w:tr>
      <w:tr w:rsidR="008E3F16" w:rsidRPr="008E3F16" w14:paraId="0D07AE18" w14:textId="77777777" w:rsidTr="00B26157">
        <w:trPr>
          <w:trHeight w:val="288"/>
        </w:trPr>
        <w:tc>
          <w:tcPr>
            <w:tcW w:w="2552" w:type="dxa"/>
            <w:vAlign w:val="center"/>
          </w:tcPr>
          <w:p w14:paraId="19F853B6" w14:textId="61D94D53" w:rsidR="00E6147D" w:rsidRPr="008E3F16" w:rsidRDefault="00027CA7"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lang w:val="en-US"/>
              </w:rPr>
              <w:t xml:space="preserve">No. </w:t>
            </w:r>
            <w:r w:rsidR="00E6147D" w:rsidRPr="008E3F16">
              <w:rPr>
                <w:rFonts w:ascii="Book Antiqua" w:hAnsi="Book Antiqua"/>
                <w:color w:val="000000" w:themeColor="text1"/>
              </w:rPr>
              <w:t>6</w:t>
            </w:r>
          </w:p>
        </w:tc>
        <w:tc>
          <w:tcPr>
            <w:tcW w:w="5386" w:type="dxa"/>
            <w:vAlign w:val="center"/>
          </w:tcPr>
          <w:p w14:paraId="66B01AF9" w14:textId="77777777" w:rsidR="00E6147D" w:rsidRPr="008E3F16" w:rsidRDefault="00E6147D"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autoantibodies to glycoprotein 2 [Text Words]</w:t>
            </w:r>
          </w:p>
        </w:tc>
      </w:tr>
      <w:tr w:rsidR="008E3F16" w:rsidRPr="008E3F16" w14:paraId="72824642" w14:textId="77777777" w:rsidTr="00B26157">
        <w:trPr>
          <w:trHeight w:val="288"/>
        </w:trPr>
        <w:tc>
          <w:tcPr>
            <w:tcW w:w="2552" w:type="dxa"/>
            <w:vAlign w:val="center"/>
          </w:tcPr>
          <w:p w14:paraId="7AAE929A" w14:textId="2496BE72" w:rsidR="00E6147D" w:rsidRPr="008E3F16" w:rsidRDefault="00027CA7"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lang w:val="en-US"/>
              </w:rPr>
              <w:t xml:space="preserve">No. </w:t>
            </w:r>
            <w:r w:rsidR="00E6147D" w:rsidRPr="008E3F16">
              <w:rPr>
                <w:rFonts w:ascii="Book Antiqua" w:hAnsi="Book Antiqua"/>
                <w:color w:val="000000" w:themeColor="text1"/>
              </w:rPr>
              <w:t>7</w:t>
            </w:r>
          </w:p>
        </w:tc>
        <w:tc>
          <w:tcPr>
            <w:tcW w:w="5386" w:type="dxa"/>
            <w:vAlign w:val="center"/>
          </w:tcPr>
          <w:p w14:paraId="163B0D84" w14:textId="77777777" w:rsidR="00E6147D" w:rsidRPr="008E3F16" w:rsidRDefault="00E6147D" w:rsidP="00C66188">
            <w:pPr>
              <w:adjustRightInd w:val="0"/>
              <w:snapToGrid w:val="0"/>
              <w:spacing w:line="360" w:lineRule="auto"/>
              <w:jc w:val="center"/>
              <w:rPr>
                <w:rFonts w:ascii="Book Antiqua" w:hAnsi="Book Antiqua"/>
                <w:color w:val="000000" w:themeColor="text1"/>
              </w:rPr>
            </w:pPr>
            <w:r w:rsidRPr="008E3F16">
              <w:rPr>
                <w:rFonts w:ascii="Book Antiqua" w:hAnsi="Book Antiqua"/>
                <w:color w:val="000000" w:themeColor="text1"/>
              </w:rPr>
              <w:t>"</w:t>
            </w:r>
            <w:r w:rsidR="00BA27D6" w:rsidRPr="008E3F16">
              <w:rPr>
                <w:rFonts w:ascii="Book Antiqua" w:hAnsi="Book Antiqua"/>
                <w:color w:val="000000" w:themeColor="text1"/>
                <w:lang w:val="en-US"/>
              </w:rPr>
              <w:t>glycoprotein</w:t>
            </w:r>
            <w:r w:rsidRPr="008E3F16">
              <w:rPr>
                <w:rFonts w:ascii="Book Antiqua" w:hAnsi="Book Antiqua"/>
                <w:color w:val="000000" w:themeColor="text1"/>
              </w:rPr>
              <w:t xml:space="preserve"> 2 </w:t>
            </w:r>
            <w:r w:rsidR="00BA27D6" w:rsidRPr="008E3F16">
              <w:rPr>
                <w:rFonts w:ascii="Book Antiqua" w:hAnsi="Book Antiqua"/>
                <w:color w:val="000000" w:themeColor="text1"/>
                <w:lang w:val="en-US"/>
              </w:rPr>
              <w:t>autoantibodies</w:t>
            </w:r>
            <w:r w:rsidRPr="008E3F16">
              <w:rPr>
                <w:rFonts w:ascii="Book Antiqua" w:hAnsi="Book Antiqua"/>
                <w:color w:val="000000" w:themeColor="text1"/>
              </w:rPr>
              <w:t>"</w:t>
            </w:r>
          </w:p>
        </w:tc>
      </w:tr>
      <w:tr w:rsidR="008E3F16" w:rsidRPr="008E3F16" w14:paraId="3B4AC202" w14:textId="77777777" w:rsidTr="00B26157">
        <w:trPr>
          <w:trHeight w:val="288"/>
        </w:trPr>
        <w:tc>
          <w:tcPr>
            <w:tcW w:w="2552" w:type="dxa"/>
            <w:vAlign w:val="center"/>
          </w:tcPr>
          <w:p w14:paraId="0ACE52DB" w14:textId="7B724855" w:rsidR="00E6147D" w:rsidRPr="008E3F16" w:rsidRDefault="00027CA7"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lang w:val="en-US"/>
              </w:rPr>
              <w:t xml:space="preserve">No. </w:t>
            </w:r>
            <w:r w:rsidR="00E6147D" w:rsidRPr="008E3F16">
              <w:rPr>
                <w:rFonts w:ascii="Book Antiqua" w:hAnsi="Book Antiqua"/>
                <w:color w:val="000000" w:themeColor="text1"/>
              </w:rPr>
              <w:t>8</w:t>
            </w:r>
          </w:p>
        </w:tc>
        <w:tc>
          <w:tcPr>
            <w:tcW w:w="5386" w:type="dxa"/>
            <w:vAlign w:val="center"/>
          </w:tcPr>
          <w:p w14:paraId="284D5F38" w14:textId="2237E188" w:rsidR="00E6147D" w:rsidRPr="008E3F16" w:rsidRDefault="00BA27D6"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glycoprotein 2 autoantibodies</w:t>
            </w:r>
            <w:r w:rsidR="00E6147D" w:rsidRPr="008E3F16">
              <w:rPr>
                <w:rFonts w:ascii="Book Antiqua" w:hAnsi="Book Antiqua"/>
                <w:color w:val="000000" w:themeColor="text1"/>
                <w:lang w:val="en-US"/>
              </w:rPr>
              <w:t xml:space="preserve"> [</w:t>
            </w:r>
            <w:r w:rsidRPr="008E3F16">
              <w:rPr>
                <w:rFonts w:ascii="Book Antiqua" w:hAnsi="Book Antiqua"/>
                <w:color w:val="000000" w:themeColor="text1"/>
                <w:lang w:val="en-US"/>
              </w:rPr>
              <w:t>Text Words</w:t>
            </w:r>
            <w:r w:rsidR="00E6147D" w:rsidRPr="008E3F16">
              <w:rPr>
                <w:rFonts w:ascii="Book Antiqua" w:hAnsi="Book Antiqua"/>
                <w:color w:val="000000" w:themeColor="text1"/>
                <w:lang w:val="en-US"/>
              </w:rPr>
              <w:t>]</w:t>
            </w:r>
          </w:p>
        </w:tc>
      </w:tr>
      <w:bookmarkEnd w:id="36"/>
      <w:tr w:rsidR="008E3F16" w:rsidRPr="008E3F16" w14:paraId="77942BBF" w14:textId="77777777" w:rsidTr="00B26157">
        <w:trPr>
          <w:trHeight w:val="288"/>
        </w:trPr>
        <w:tc>
          <w:tcPr>
            <w:tcW w:w="2552" w:type="dxa"/>
            <w:vAlign w:val="center"/>
          </w:tcPr>
          <w:p w14:paraId="3E019853" w14:textId="4DCB3DB4" w:rsidR="00E6147D" w:rsidRPr="008E3F16" w:rsidRDefault="00027CA7"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rPr>
              <w:t xml:space="preserve">No. </w:t>
            </w:r>
            <w:r w:rsidR="00E6147D" w:rsidRPr="008E3F16">
              <w:rPr>
                <w:rFonts w:ascii="Book Antiqua" w:hAnsi="Book Antiqua"/>
                <w:color w:val="000000" w:themeColor="text1"/>
              </w:rPr>
              <w:t>9</w:t>
            </w:r>
          </w:p>
        </w:tc>
        <w:tc>
          <w:tcPr>
            <w:tcW w:w="5386" w:type="dxa"/>
            <w:vAlign w:val="center"/>
          </w:tcPr>
          <w:p w14:paraId="5E3D7A92" w14:textId="77777777" w:rsidR="00E6147D" w:rsidRPr="008E3F16" w:rsidRDefault="00E6147D"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autoantibodies (as a MeSH term)</w:t>
            </w:r>
          </w:p>
        </w:tc>
      </w:tr>
      <w:tr w:rsidR="008E3F16" w:rsidRPr="008E3F16" w14:paraId="4E6B1746" w14:textId="77777777" w:rsidTr="00B26157">
        <w:trPr>
          <w:trHeight w:val="288"/>
        </w:trPr>
        <w:tc>
          <w:tcPr>
            <w:tcW w:w="2552" w:type="dxa"/>
            <w:vAlign w:val="center"/>
          </w:tcPr>
          <w:p w14:paraId="0A5F3022" w14:textId="14E8B761" w:rsidR="00E6147D" w:rsidRPr="008E3F16" w:rsidRDefault="00027CA7"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lang w:val="en-US"/>
              </w:rPr>
              <w:t xml:space="preserve">No. </w:t>
            </w:r>
            <w:r w:rsidR="00E6147D" w:rsidRPr="008E3F16">
              <w:rPr>
                <w:rFonts w:ascii="Book Antiqua" w:hAnsi="Book Antiqua"/>
                <w:color w:val="000000" w:themeColor="text1"/>
              </w:rPr>
              <w:t>10</w:t>
            </w:r>
          </w:p>
        </w:tc>
        <w:tc>
          <w:tcPr>
            <w:tcW w:w="5386" w:type="dxa"/>
            <w:vAlign w:val="center"/>
          </w:tcPr>
          <w:p w14:paraId="00C631A4" w14:textId="4AE2EECB" w:rsidR="00E6147D" w:rsidRPr="008E3F16" w:rsidRDefault="00E6147D"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OR (</w:t>
            </w:r>
            <w:r w:rsidR="00027CA7" w:rsidRPr="008E3F16">
              <w:rPr>
                <w:rFonts w:ascii="Book Antiqua" w:hAnsi="Book Antiqua"/>
                <w:color w:val="000000" w:themeColor="text1"/>
              </w:rPr>
              <w:t>Νο</w:t>
            </w:r>
            <w:r w:rsidR="00027CA7" w:rsidRPr="008E3F16">
              <w:rPr>
                <w:rFonts w:ascii="Book Antiqua" w:hAnsi="Book Antiqua"/>
                <w:color w:val="000000" w:themeColor="text1"/>
                <w:lang w:val="en-US"/>
              </w:rPr>
              <w:t xml:space="preserve">. 1 </w:t>
            </w:r>
            <w:r w:rsidR="00921D60" w:rsidRPr="008E3F16">
              <w:rPr>
                <w:rFonts w:ascii="Book Antiqua" w:hAnsi="Book Antiqua"/>
                <w:color w:val="000000" w:themeColor="text1"/>
                <w:lang w:val="en-US"/>
              </w:rPr>
              <w:t>–</w:t>
            </w:r>
            <w:r w:rsidR="00027CA7" w:rsidRPr="008E3F16">
              <w:rPr>
                <w:rFonts w:ascii="Book Antiqua" w:hAnsi="Book Antiqua"/>
                <w:color w:val="000000" w:themeColor="text1"/>
                <w:lang w:val="en-US"/>
              </w:rPr>
              <w:t xml:space="preserve"> No. 9</w:t>
            </w:r>
            <w:r w:rsidRPr="008E3F16">
              <w:rPr>
                <w:rFonts w:ascii="Book Antiqua" w:hAnsi="Book Antiqua"/>
                <w:color w:val="000000" w:themeColor="text1"/>
                <w:lang w:val="en-US"/>
              </w:rPr>
              <w:t>)</w:t>
            </w:r>
          </w:p>
        </w:tc>
      </w:tr>
      <w:tr w:rsidR="008E3F16" w:rsidRPr="008E3F16" w14:paraId="4502D4E1" w14:textId="77777777" w:rsidTr="00B26157">
        <w:trPr>
          <w:trHeight w:val="288"/>
        </w:trPr>
        <w:tc>
          <w:tcPr>
            <w:tcW w:w="2552" w:type="dxa"/>
            <w:vAlign w:val="center"/>
          </w:tcPr>
          <w:p w14:paraId="7D68C932" w14:textId="282AA311" w:rsidR="00E6147D" w:rsidRPr="008E3F16" w:rsidRDefault="00027CA7"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lang w:val="en-US"/>
              </w:rPr>
              <w:t xml:space="preserve">No. </w:t>
            </w:r>
            <w:r w:rsidR="00E6147D" w:rsidRPr="008E3F16">
              <w:rPr>
                <w:rFonts w:ascii="Book Antiqua" w:hAnsi="Book Antiqua"/>
                <w:color w:val="000000" w:themeColor="text1"/>
              </w:rPr>
              <w:t>11</w:t>
            </w:r>
          </w:p>
        </w:tc>
        <w:tc>
          <w:tcPr>
            <w:tcW w:w="5386" w:type="dxa"/>
            <w:vAlign w:val="center"/>
          </w:tcPr>
          <w:p w14:paraId="37FB76A1" w14:textId="77777777" w:rsidR="00E6147D" w:rsidRPr="008E3F16" w:rsidRDefault="00BA27D6"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Crohn’s disease</w:t>
            </w:r>
          </w:p>
        </w:tc>
      </w:tr>
      <w:tr w:rsidR="008E3F16" w:rsidRPr="008E3F16" w14:paraId="0DC2ABEB" w14:textId="77777777" w:rsidTr="00B26157">
        <w:trPr>
          <w:trHeight w:val="288"/>
        </w:trPr>
        <w:tc>
          <w:tcPr>
            <w:tcW w:w="2552" w:type="dxa"/>
            <w:vAlign w:val="center"/>
          </w:tcPr>
          <w:p w14:paraId="18ADA624" w14:textId="63EB41DE" w:rsidR="00E6147D" w:rsidRPr="008E3F16" w:rsidRDefault="00027CA7"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lang w:val="en-US"/>
              </w:rPr>
              <w:t xml:space="preserve">No. </w:t>
            </w:r>
            <w:r w:rsidR="00E6147D" w:rsidRPr="008E3F16">
              <w:rPr>
                <w:rFonts w:ascii="Book Antiqua" w:hAnsi="Book Antiqua"/>
                <w:color w:val="000000" w:themeColor="text1"/>
              </w:rPr>
              <w:t>12</w:t>
            </w:r>
          </w:p>
        </w:tc>
        <w:tc>
          <w:tcPr>
            <w:tcW w:w="5386" w:type="dxa"/>
            <w:vAlign w:val="center"/>
          </w:tcPr>
          <w:p w14:paraId="58CB63DB" w14:textId="77777777" w:rsidR="00E6147D" w:rsidRPr="008E3F16" w:rsidRDefault="00E6147D"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Crohn's disease (as a MeSH term)</w:t>
            </w:r>
          </w:p>
        </w:tc>
      </w:tr>
      <w:tr w:rsidR="008E3F16" w:rsidRPr="008E3F16" w14:paraId="6EC7E158" w14:textId="77777777" w:rsidTr="00B26157">
        <w:trPr>
          <w:trHeight w:val="288"/>
        </w:trPr>
        <w:tc>
          <w:tcPr>
            <w:tcW w:w="2552" w:type="dxa"/>
            <w:vAlign w:val="center"/>
          </w:tcPr>
          <w:p w14:paraId="004A044E" w14:textId="231E153E" w:rsidR="00E6147D" w:rsidRPr="008E3F16" w:rsidRDefault="00027CA7"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lang w:val="en-US"/>
              </w:rPr>
              <w:t xml:space="preserve">No. </w:t>
            </w:r>
            <w:r w:rsidR="00E6147D" w:rsidRPr="008E3F16">
              <w:rPr>
                <w:rFonts w:ascii="Book Antiqua" w:hAnsi="Book Antiqua"/>
                <w:color w:val="000000" w:themeColor="text1"/>
              </w:rPr>
              <w:t>13</w:t>
            </w:r>
          </w:p>
        </w:tc>
        <w:tc>
          <w:tcPr>
            <w:tcW w:w="5386" w:type="dxa"/>
            <w:vAlign w:val="center"/>
          </w:tcPr>
          <w:p w14:paraId="3293E513" w14:textId="3B4CAE2B" w:rsidR="00E6147D" w:rsidRPr="008E3F16" w:rsidRDefault="00E6147D"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OR (</w:t>
            </w:r>
            <w:r w:rsidR="00027CA7" w:rsidRPr="008E3F16">
              <w:rPr>
                <w:rFonts w:ascii="Book Antiqua" w:hAnsi="Book Antiqua"/>
                <w:color w:val="000000" w:themeColor="text1"/>
                <w:lang w:val="en-US"/>
              </w:rPr>
              <w:t>No. 11</w:t>
            </w:r>
            <w:r w:rsidR="00921D60" w:rsidRPr="008E3F16">
              <w:rPr>
                <w:rFonts w:ascii="Book Antiqua" w:hAnsi="Book Antiqua"/>
                <w:color w:val="000000" w:themeColor="text1"/>
                <w:lang w:val="en-US"/>
              </w:rPr>
              <w:t>,</w:t>
            </w:r>
            <w:r w:rsidRPr="008E3F16">
              <w:rPr>
                <w:rFonts w:ascii="Book Antiqua" w:hAnsi="Book Antiqua"/>
                <w:color w:val="000000" w:themeColor="text1"/>
                <w:lang w:val="en-US"/>
              </w:rPr>
              <w:t xml:space="preserve"> </w:t>
            </w:r>
            <w:r w:rsidR="00027CA7" w:rsidRPr="008E3F16">
              <w:rPr>
                <w:rFonts w:ascii="Book Antiqua" w:hAnsi="Book Antiqua"/>
                <w:color w:val="000000" w:themeColor="text1"/>
                <w:lang w:val="en-US"/>
              </w:rPr>
              <w:t>No. 12</w:t>
            </w:r>
            <w:r w:rsidRPr="008E3F16">
              <w:rPr>
                <w:rFonts w:ascii="Book Antiqua" w:hAnsi="Book Antiqua"/>
                <w:color w:val="000000" w:themeColor="text1"/>
                <w:lang w:val="en-US"/>
              </w:rPr>
              <w:t>)</w:t>
            </w:r>
          </w:p>
        </w:tc>
      </w:tr>
      <w:tr w:rsidR="008E3F16" w:rsidRPr="008E3F16" w14:paraId="12E64293" w14:textId="77777777" w:rsidTr="00B26157">
        <w:trPr>
          <w:trHeight w:val="288"/>
        </w:trPr>
        <w:tc>
          <w:tcPr>
            <w:tcW w:w="2552" w:type="dxa"/>
            <w:vAlign w:val="center"/>
          </w:tcPr>
          <w:p w14:paraId="051CD439" w14:textId="15C28D41" w:rsidR="00E6147D" w:rsidRPr="008E3F16" w:rsidRDefault="00027CA7"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lang w:val="en-US"/>
              </w:rPr>
              <w:t xml:space="preserve">No. </w:t>
            </w:r>
            <w:r w:rsidR="00E6147D" w:rsidRPr="008E3F16">
              <w:rPr>
                <w:rFonts w:ascii="Book Antiqua" w:hAnsi="Book Antiqua"/>
                <w:color w:val="000000" w:themeColor="text1"/>
              </w:rPr>
              <w:t>14</w:t>
            </w:r>
          </w:p>
        </w:tc>
        <w:tc>
          <w:tcPr>
            <w:tcW w:w="5386" w:type="dxa"/>
            <w:vAlign w:val="center"/>
          </w:tcPr>
          <w:p w14:paraId="3E064DDF" w14:textId="2CA7EC4E" w:rsidR="00E6147D" w:rsidRPr="008E3F16" w:rsidRDefault="00E6147D" w:rsidP="00C66188">
            <w:pPr>
              <w:adjustRightInd w:val="0"/>
              <w:snapToGrid w:val="0"/>
              <w:spacing w:line="360" w:lineRule="auto"/>
              <w:jc w:val="center"/>
              <w:rPr>
                <w:rFonts w:ascii="Book Antiqua" w:hAnsi="Book Antiqua"/>
                <w:color w:val="000000" w:themeColor="text1"/>
              </w:rPr>
            </w:pPr>
            <w:r w:rsidRPr="008E3F16">
              <w:rPr>
                <w:rFonts w:ascii="Book Antiqua" w:hAnsi="Book Antiqua"/>
                <w:color w:val="000000" w:themeColor="text1"/>
              </w:rPr>
              <w:t>AND (</w:t>
            </w:r>
            <w:r w:rsidR="00027CA7" w:rsidRPr="008E3F16">
              <w:rPr>
                <w:rFonts w:ascii="Book Antiqua" w:hAnsi="Book Antiqua"/>
                <w:color w:val="000000" w:themeColor="text1"/>
                <w:lang w:val="en-US"/>
              </w:rPr>
              <w:t>No. 10</w:t>
            </w:r>
            <w:r w:rsidRPr="008E3F16">
              <w:rPr>
                <w:rFonts w:ascii="Book Antiqua" w:hAnsi="Book Antiqua"/>
                <w:color w:val="000000" w:themeColor="text1"/>
              </w:rPr>
              <w:t xml:space="preserve">, </w:t>
            </w:r>
            <w:r w:rsidR="00027CA7" w:rsidRPr="008E3F16">
              <w:rPr>
                <w:rFonts w:ascii="Book Antiqua" w:hAnsi="Book Antiqua"/>
                <w:color w:val="000000" w:themeColor="text1"/>
                <w:lang w:val="en-US"/>
              </w:rPr>
              <w:t>No. 13</w:t>
            </w:r>
            <w:r w:rsidRPr="008E3F16">
              <w:rPr>
                <w:rFonts w:ascii="Book Antiqua" w:hAnsi="Book Antiqua"/>
                <w:color w:val="000000" w:themeColor="text1"/>
              </w:rPr>
              <w:t>)</w:t>
            </w:r>
          </w:p>
        </w:tc>
      </w:tr>
      <w:tr w:rsidR="008E3F16" w:rsidRPr="008E3F16" w14:paraId="17747DA3" w14:textId="77777777" w:rsidTr="00B26157">
        <w:trPr>
          <w:trHeight w:val="576"/>
        </w:trPr>
        <w:tc>
          <w:tcPr>
            <w:tcW w:w="2552" w:type="dxa"/>
            <w:vAlign w:val="center"/>
          </w:tcPr>
          <w:p w14:paraId="2694BDB9" w14:textId="77777777" w:rsidR="00E6147D" w:rsidRPr="008E3F16" w:rsidRDefault="00BA27D6" w:rsidP="00C66188">
            <w:pPr>
              <w:adjustRightInd w:val="0"/>
              <w:snapToGrid w:val="0"/>
              <w:spacing w:line="360" w:lineRule="auto"/>
              <w:jc w:val="both"/>
              <w:rPr>
                <w:rFonts w:ascii="Book Antiqua" w:hAnsi="Book Antiqua"/>
                <w:color w:val="000000" w:themeColor="text1"/>
                <w:lang w:val="en-US"/>
              </w:rPr>
            </w:pPr>
            <w:r w:rsidRPr="008E3F16">
              <w:rPr>
                <w:rFonts w:ascii="Book Antiqua" w:hAnsi="Book Antiqua"/>
                <w:color w:val="000000" w:themeColor="text1"/>
                <w:lang w:val="en-US"/>
              </w:rPr>
              <w:t>Cochrane-CENTRAL</w:t>
            </w:r>
          </w:p>
        </w:tc>
        <w:tc>
          <w:tcPr>
            <w:tcW w:w="5386" w:type="dxa"/>
            <w:vAlign w:val="center"/>
          </w:tcPr>
          <w:p w14:paraId="333F1E27" w14:textId="77777777" w:rsidR="00E6147D" w:rsidRPr="008E3F16" w:rsidRDefault="00E6147D" w:rsidP="00C66188">
            <w:pPr>
              <w:adjustRightInd w:val="0"/>
              <w:snapToGrid w:val="0"/>
              <w:spacing w:line="360" w:lineRule="auto"/>
              <w:jc w:val="center"/>
              <w:rPr>
                <w:rFonts w:ascii="Book Antiqua" w:hAnsi="Book Antiqua"/>
                <w:color w:val="000000" w:themeColor="text1"/>
              </w:rPr>
            </w:pPr>
          </w:p>
        </w:tc>
      </w:tr>
      <w:tr w:rsidR="008E3F16" w:rsidRPr="008E3F16" w14:paraId="3AED7C57" w14:textId="77777777" w:rsidTr="00B26157">
        <w:tc>
          <w:tcPr>
            <w:tcW w:w="2552" w:type="dxa"/>
            <w:vAlign w:val="center"/>
          </w:tcPr>
          <w:p w14:paraId="6B0483EB" w14:textId="4D682ABB" w:rsidR="00BA27D6" w:rsidRPr="008E3F16" w:rsidRDefault="00027CA7"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lang w:val="en-US"/>
              </w:rPr>
              <w:t xml:space="preserve">No. </w:t>
            </w:r>
            <w:r w:rsidR="00BA27D6" w:rsidRPr="008E3F16">
              <w:rPr>
                <w:rFonts w:ascii="Book Antiqua" w:hAnsi="Book Antiqua"/>
                <w:color w:val="000000" w:themeColor="text1"/>
              </w:rPr>
              <w:t>1</w:t>
            </w:r>
          </w:p>
        </w:tc>
        <w:tc>
          <w:tcPr>
            <w:tcW w:w="5386" w:type="dxa"/>
            <w:vAlign w:val="center"/>
          </w:tcPr>
          <w:p w14:paraId="2745C6EF" w14:textId="77777777" w:rsidR="00BA27D6" w:rsidRPr="008E3F16" w:rsidRDefault="00BA27D6"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anti-glycoprotein 2 antibody</w:t>
            </w:r>
          </w:p>
        </w:tc>
      </w:tr>
      <w:tr w:rsidR="008E3F16" w:rsidRPr="008E3F16" w14:paraId="09859A47" w14:textId="77777777" w:rsidTr="00B26157">
        <w:tc>
          <w:tcPr>
            <w:tcW w:w="2552" w:type="dxa"/>
            <w:vAlign w:val="center"/>
          </w:tcPr>
          <w:p w14:paraId="43C7F451" w14:textId="355E468C" w:rsidR="00BA27D6" w:rsidRPr="008E3F16" w:rsidRDefault="00027CA7"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lang w:val="en-US"/>
              </w:rPr>
              <w:t xml:space="preserve">No. </w:t>
            </w:r>
            <w:r w:rsidR="00BA27D6" w:rsidRPr="008E3F16">
              <w:rPr>
                <w:rFonts w:ascii="Book Antiqua" w:hAnsi="Book Antiqua"/>
                <w:color w:val="000000" w:themeColor="text1"/>
              </w:rPr>
              <w:t>2</w:t>
            </w:r>
          </w:p>
        </w:tc>
        <w:tc>
          <w:tcPr>
            <w:tcW w:w="5386" w:type="dxa"/>
            <w:vAlign w:val="center"/>
          </w:tcPr>
          <w:p w14:paraId="68F491AD" w14:textId="77777777" w:rsidR="00BA27D6" w:rsidRPr="008E3F16" w:rsidRDefault="00BA27D6"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autoantibodies to glycoprotein 2</w:t>
            </w:r>
          </w:p>
        </w:tc>
      </w:tr>
      <w:tr w:rsidR="008E3F16" w:rsidRPr="008E3F16" w14:paraId="04BF5677" w14:textId="77777777" w:rsidTr="00B26157">
        <w:tc>
          <w:tcPr>
            <w:tcW w:w="2552" w:type="dxa"/>
            <w:vAlign w:val="center"/>
          </w:tcPr>
          <w:p w14:paraId="657C5601" w14:textId="3F80181C" w:rsidR="00BA27D6" w:rsidRPr="008E3F16" w:rsidRDefault="00027CA7"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lang w:val="en-US"/>
              </w:rPr>
              <w:t xml:space="preserve">No. </w:t>
            </w:r>
            <w:r w:rsidR="00BA27D6" w:rsidRPr="008E3F16">
              <w:rPr>
                <w:rFonts w:ascii="Book Antiqua" w:hAnsi="Book Antiqua"/>
                <w:color w:val="000000" w:themeColor="text1"/>
              </w:rPr>
              <w:t>3</w:t>
            </w:r>
          </w:p>
        </w:tc>
        <w:tc>
          <w:tcPr>
            <w:tcW w:w="5386" w:type="dxa"/>
            <w:vAlign w:val="center"/>
          </w:tcPr>
          <w:p w14:paraId="6DFC57C0" w14:textId="77777777" w:rsidR="00BA27D6" w:rsidRPr="008E3F16" w:rsidRDefault="00BA27D6"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autoantibodies (as a MeSH term)</w:t>
            </w:r>
          </w:p>
        </w:tc>
      </w:tr>
      <w:tr w:rsidR="008E3F16" w:rsidRPr="008E3F16" w14:paraId="6B4F4DDE" w14:textId="77777777" w:rsidTr="00B26157">
        <w:tc>
          <w:tcPr>
            <w:tcW w:w="2552" w:type="dxa"/>
            <w:vAlign w:val="center"/>
          </w:tcPr>
          <w:p w14:paraId="3B64D47E" w14:textId="6B8724D7" w:rsidR="00BA27D6" w:rsidRPr="008E3F16" w:rsidRDefault="00027CA7"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lang w:val="en-US"/>
              </w:rPr>
              <w:t xml:space="preserve">No. </w:t>
            </w:r>
            <w:r w:rsidR="00BA27D6" w:rsidRPr="008E3F16">
              <w:rPr>
                <w:rFonts w:ascii="Book Antiqua" w:hAnsi="Book Antiqua"/>
                <w:color w:val="000000" w:themeColor="text1"/>
              </w:rPr>
              <w:t>4</w:t>
            </w:r>
          </w:p>
        </w:tc>
        <w:tc>
          <w:tcPr>
            <w:tcW w:w="5386" w:type="dxa"/>
            <w:vAlign w:val="center"/>
          </w:tcPr>
          <w:p w14:paraId="2638C7A2" w14:textId="577BB991" w:rsidR="00BA27D6" w:rsidRPr="008E3F16" w:rsidRDefault="00BA27D6" w:rsidP="00C66188">
            <w:pPr>
              <w:adjustRightInd w:val="0"/>
              <w:snapToGrid w:val="0"/>
              <w:spacing w:line="360" w:lineRule="auto"/>
              <w:jc w:val="center"/>
              <w:rPr>
                <w:rFonts w:ascii="Book Antiqua" w:hAnsi="Book Antiqua"/>
                <w:color w:val="000000" w:themeColor="text1"/>
              </w:rPr>
            </w:pPr>
            <w:r w:rsidRPr="008E3F16">
              <w:rPr>
                <w:rFonts w:ascii="Book Antiqua" w:hAnsi="Book Antiqua"/>
                <w:color w:val="000000" w:themeColor="text1"/>
              </w:rPr>
              <w:t>OR (</w:t>
            </w:r>
            <w:r w:rsidR="00921D60" w:rsidRPr="008E3F16">
              <w:rPr>
                <w:rFonts w:ascii="Book Antiqua" w:hAnsi="Book Antiqua"/>
                <w:color w:val="000000" w:themeColor="text1"/>
                <w:lang w:val="en-US"/>
              </w:rPr>
              <w:t>No. 1</w:t>
            </w:r>
            <w:r w:rsidRPr="008E3F16">
              <w:rPr>
                <w:rFonts w:ascii="Book Antiqua" w:hAnsi="Book Antiqua"/>
                <w:color w:val="000000" w:themeColor="text1"/>
              </w:rPr>
              <w:t xml:space="preserve"> – </w:t>
            </w:r>
            <w:r w:rsidR="00921D60" w:rsidRPr="008E3F16">
              <w:rPr>
                <w:rFonts w:ascii="Book Antiqua" w:hAnsi="Book Antiqua"/>
                <w:color w:val="000000" w:themeColor="text1"/>
                <w:lang w:val="en-US"/>
              </w:rPr>
              <w:t>No. 3</w:t>
            </w:r>
            <w:r w:rsidRPr="008E3F16">
              <w:rPr>
                <w:rFonts w:ascii="Book Antiqua" w:hAnsi="Book Antiqua"/>
                <w:color w:val="000000" w:themeColor="text1"/>
              </w:rPr>
              <w:t>)</w:t>
            </w:r>
          </w:p>
        </w:tc>
      </w:tr>
      <w:tr w:rsidR="008E3F16" w:rsidRPr="008E3F16" w14:paraId="691AED5B" w14:textId="77777777" w:rsidTr="00B26157">
        <w:tc>
          <w:tcPr>
            <w:tcW w:w="2552" w:type="dxa"/>
            <w:vAlign w:val="center"/>
          </w:tcPr>
          <w:p w14:paraId="5C6B2A71" w14:textId="72DC2085" w:rsidR="00BA27D6" w:rsidRPr="008E3F16" w:rsidRDefault="00027CA7"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lang w:val="en-US"/>
              </w:rPr>
              <w:t xml:space="preserve">No. </w:t>
            </w:r>
            <w:r w:rsidR="00BA27D6" w:rsidRPr="008E3F16">
              <w:rPr>
                <w:rFonts w:ascii="Book Antiqua" w:hAnsi="Book Antiqua"/>
                <w:color w:val="000000" w:themeColor="text1"/>
              </w:rPr>
              <w:t>5</w:t>
            </w:r>
          </w:p>
        </w:tc>
        <w:tc>
          <w:tcPr>
            <w:tcW w:w="5386" w:type="dxa"/>
            <w:vAlign w:val="center"/>
          </w:tcPr>
          <w:p w14:paraId="1648275E" w14:textId="77777777" w:rsidR="00BA27D6" w:rsidRPr="008E3F16" w:rsidRDefault="00BA27D6"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Crohn’s disease</w:t>
            </w:r>
          </w:p>
        </w:tc>
      </w:tr>
      <w:tr w:rsidR="008E3F16" w:rsidRPr="008E3F16" w14:paraId="52C69F0E" w14:textId="77777777" w:rsidTr="00B26157">
        <w:tc>
          <w:tcPr>
            <w:tcW w:w="2552" w:type="dxa"/>
            <w:vAlign w:val="center"/>
          </w:tcPr>
          <w:p w14:paraId="49109C57" w14:textId="622AB80F" w:rsidR="00BA27D6" w:rsidRPr="008E3F16" w:rsidRDefault="00027CA7"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lang w:val="en-US"/>
              </w:rPr>
              <w:t xml:space="preserve">No. </w:t>
            </w:r>
            <w:r w:rsidR="00BA27D6" w:rsidRPr="008E3F16">
              <w:rPr>
                <w:rFonts w:ascii="Book Antiqua" w:hAnsi="Book Antiqua"/>
                <w:color w:val="000000" w:themeColor="text1"/>
              </w:rPr>
              <w:t>6</w:t>
            </w:r>
          </w:p>
        </w:tc>
        <w:tc>
          <w:tcPr>
            <w:tcW w:w="5386" w:type="dxa"/>
            <w:vAlign w:val="center"/>
          </w:tcPr>
          <w:p w14:paraId="1D4A9F1B" w14:textId="77777777" w:rsidR="00BA27D6" w:rsidRPr="008E3F16" w:rsidRDefault="00BA27D6"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Crohn's disease (as a MeSH term)</w:t>
            </w:r>
          </w:p>
        </w:tc>
      </w:tr>
      <w:tr w:rsidR="008E3F16" w:rsidRPr="008E3F16" w14:paraId="4A7A1CE3" w14:textId="77777777" w:rsidTr="00B26157">
        <w:tc>
          <w:tcPr>
            <w:tcW w:w="2552" w:type="dxa"/>
            <w:vAlign w:val="center"/>
          </w:tcPr>
          <w:p w14:paraId="28D0CA88" w14:textId="6E3858A3" w:rsidR="00BA27D6" w:rsidRPr="008E3F16" w:rsidRDefault="00027CA7" w:rsidP="00C66188">
            <w:pPr>
              <w:adjustRightInd w:val="0"/>
              <w:snapToGrid w:val="0"/>
              <w:spacing w:line="360" w:lineRule="auto"/>
              <w:jc w:val="both"/>
              <w:rPr>
                <w:rFonts w:ascii="Book Antiqua" w:hAnsi="Book Antiqua"/>
                <w:color w:val="000000" w:themeColor="text1"/>
              </w:rPr>
            </w:pPr>
            <w:r w:rsidRPr="008E3F16">
              <w:rPr>
                <w:rFonts w:ascii="Book Antiqua" w:hAnsi="Book Antiqua"/>
                <w:color w:val="000000" w:themeColor="text1"/>
                <w:lang w:val="en-US"/>
              </w:rPr>
              <w:t xml:space="preserve">No. </w:t>
            </w:r>
            <w:r w:rsidR="00BA27D6" w:rsidRPr="008E3F16">
              <w:rPr>
                <w:rFonts w:ascii="Book Antiqua" w:hAnsi="Book Antiqua"/>
                <w:color w:val="000000" w:themeColor="text1"/>
              </w:rPr>
              <w:t>7</w:t>
            </w:r>
          </w:p>
        </w:tc>
        <w:tc>
          <w:tcPr>
            <w:tcW w:w="5386" w:type="dxa"/>
            <w:vAlign w:val="center"/>
          </w:tcPr>
          <w:p w14:paraId="6CF69334" w14:textId="65637932" w:rsidR="00BA27D6" w:rsidRPr="008E3F16" w:rsidRDefault="00BA27D6" w:rsidP="00C66188">
            <w:pPr>
              <w:adjustRightInd w:val="0"/>
              <w:snapToGrid w:val="0"/>
              <w:spacing w:line="360" w:lineRule="auto"/>
              <w:jc w:val="center"/>
              <w:rPr>
                <w:rFonts w:ascii="Book Antiqua" w:hAnsi="Book Antiqua"/>
                <w:color w:val="000000" w:themeColor="text1"/>
              </w:rPr>
            </w:pPr>
            <w:r w:rsidRPr="008E3F16">
              <w:rPr>
                <w:rFonts w:ascii="Book Antiqua" w:hAnsi="Book Antiqua"/>
                <w:color w:val="000000" w:themeColor="text1"/>
              </w:rPr>
              <w:t>OR (</w:t>
            </w:r>
            <w:r w:rsidR="00921D60" w:rsidRPr="008E3F16">
              <w:rPr>
                <w:rFonts w:ascii="Book Antiqua" w:hAnsi="Book Antiqua"/>
                <w:color w:val="000000" w:themeColor="text1"/>
                <w:lang w:val="en-US"/>
              </w:rPr>
              <w:t xml:space="preserve">No. </w:t>
            </w:r>
            <w:r w:rsidRPr="008E3F16">
              <w:rPr>
                <w:rFonts w:ascii="Book Antiqua" w:hAnsi="Book Antiqua"/>
                <w:color w:val="000000" w:themeColor="text1"/>
              </w:rPr>
              <w:t>5</w:t>
            </w:r>
            <w:r w:rsidR="00921D60" w:rsidRPr="008E3F16">
              <w:rPr>
                <w:rFonts w:ascii="Book Antiqua" w:hAnsi="Book Antiqua"/>
                <w:color w:val="000000" w:themeColor="text1"/>
                <w:lang w:val="en-US"/>
              </w:rPr>
              <w:t>,</w:t>
            </w:r>
            <w:r w:rsidRPr="008E3F16">
              <w:rPr>
                <w:rFonts w:ascii="Book Antiqua" w:hAnsi="Book Antiqua"/>
                <w:color w:val="000000" w:themeColor="text1"/>
              </w:rPr>
              <w:t xml:space="preserve"> </w:t>
            </w:r>
            <w:r w:rsidR="00921D60" w:rsidRPr="008E3F16">
              <w:rPr>
                <w:rFonts w:ascii="Book Antiqua" w:hAnsi="Book Antiqua"/>
                <w:color w:val="000000" w:themeColor="text1"/>
                <w:lang w:val="en-US"/>
              </w:rPr>
              <w:t xml:space="preserve">No. </w:t>
            </w:r>
            <w:r w:rsidRPr="008E3F16">
              <w:rPr>
                <w:rFonts w:ascii="Book Antiqua" w:hAnsi="Book Antiqua"/>
                <w:color w:val="000000" w:themeColor="text1"/>
              </w:rPr>
              <w:t>6)</w:t>
            </w:r>
          </w:p>
        </w:tc>
      </w:tr>
      <w:tr w:rsidR="008E3F16" w:rsidRPr="008E3F16" w14:paraId="061E4CB1" w14:textId="77777777" w:rsidTr="00B26157">
        <w:tc>
          <w:tcPr>
            <w:tcW w:w="2552" w:type="dxa"/>
            <w:vAlign w:val="center"/>
          </w:tcPr>
          <w:p w14:paraId="49B318FD" w14:textId="4A7D1602" w:rsidR="00BA27D6" w:rsidRPr="008E3F16" w:rsidRDefault="00027CA7" w:rsidP="00C66188">
            <w:pPr>
              <w:adjustRightInd w:val="0"/>
              <w:snapToGrid w:val="0"/>
              <w:spacing w:line="360" w:lineRule="auto"/>
              <w:jc w:val="both"/>
              <w:rPr>
                <w:rFonts w:ascii="Book Antiqua" w:hAnsi="Book Antiqua"/>
                <w:color w:val="000000" w:themeColor="text1"/>
                <w:lang w:val="en-US"/>
              </w:rPr>
            </w:pPr>
            <w:r w:rsidRPr="008E3F16">
              <w:rPr>
                <w:rFonts w:ascii="Book Antiqua" w:hAnsi="Book Antiqua"/>
                <w:color w:val="000000" w:themeColor="text1"/>
                <w:lang w:val="en-US"/>
              </w:rPr>
              <w:t xml:space="preserve">No. </w:t>
            </w:r>
            <w:r w:rsidR="00BA27D6" w:rsidRPr="008E3F16">
              <w:rPr>
                <w:rFonts w:ascii="Book Antiqua" w:hAnsi="Book Antiqua"/>
                <w:color w:val="000000" w:themeColor="text1"/>
              </w:rPr>
              <w:t>8</w:t>
            </w:r>
          </w:p>
        </w:tc>
        <w:tc>
          <w:tcPr>
            <w:tcW w:w="5386" w:type="dxa"/>
            <w:vAlign w:val="center"/>
          </w:tcPr>
          <w:p w14:paraId="76D28AA8" w14:textId="5A824D7A" w:rsidR="00BA27D6" w:rsidRPr="008E3F16" w:rsidRDefault="00BA27D6" w:rsidP="00C66188">
            <w:pPr>
              <w:adjustRightInd w:val="0"/>
              <w:snapToGrid w:val="0"/>
              <w:spacing w:line="360" w:lineRule="auto"/>
              <w:jc w:val="center"/>
              <w:rPr>
                <w:rFonts w:ascii="Book Antiqua" w:hAnsi="Book Antiqua"/>
                <w:color w:val="000000" w:themeColor="text1"/>
              </w:rPr>
            </w:pPr>
            <w:r w:rsidRPr="008E3F16">
              <w:rPr>
                <w:rFonts w:ascii="Book Antiqua" w:hAnsi="Book Antiqua"/>
                <w:color w:val="000000" w:themeColor="text1"/>
              </w:rPr>
              <w:t>AND (</w:t>
            </w:r>
            <w:r w:rsidR="00921D60" w:rsidRPr="008E3F16">
              <w:rPr>
                <w:rFonts w:ascii="Book Antiqua" w:hAnsi="Book Antiqua"/>
                <w:color w:val="000000" w:themeColor="text1"/>
                <w:lang w:val="en-US"/>
              </w:rPr>
              <w:t xml:space="preserve">No. </w:t>
            </w:r>
            <w:r w:rsidRPr="008E3F16">
              <w:rPr>
                <w:rFonts w:ascii="Book Antiqua" w:hAnsi="Book Antiqua"/>
                <w:color w:val="000000" w:themeColor="text1"/>
              </w:rPr>
              <w:t xml:space="preserve">4, </w:t>
            </w:r>
            <w:r w:rsidR="00921D60" w:rsidRPr="008E3F16">
              <w:rPr>
                <w:rFonts w:ascii="Book Antiqua" w:hAnsi="Book Antiqua"/>
                <w:color w:val="000000" w:themeColor="text1"/>
                <w:lang w:val="en-US"/>
              </w:rPr>
              <w:t>No. 7</w:t>
            </w:r>
            <w:r w:rsidRPr="008E3F16">
              <w:rPr>
                <w:rFonts w:ascii="Book Antiqua" w:hAnsi="Book Antiqua"/>
                <w:color w:val="000000" w:themeColor="text1"/>
              </w:rPr>
              <w:t>)</w:t>
            </w:r>
          </w:p>
        </w:tc>
      </w:tr>
    </w:tbl>
    <w:p w14:paraId="1FE55AF0" w14:textId="5F071588" w:rsidR="00921D60" w:rsidRPr="008E3F16" w:rsidRDefault="00921D60" w:rsidP="00C66188">
      <w:pPr>
        <w:adjustRightInd w:val="0"/>
        <w:snapToGrid w:val="0"/>
        <w:spacing w:line="360" w:lineRule="auto"/>
        <w:jc w:val="both"/>
        <w:rPr>
          <w:rFonts w:ascii="Book Antiqua" w:hAnsi="Book Antiqua"/>
          <w:color w:val="000000" w:themeColor="text1"/>
          <w:lang w:val="en-US"/>
        </w:rPr>
      </w:pPr>
      <w:r w:rsidRPr="008E3F16">
        <w:rPr>
          <w:rFonts w:ascii="Book Antiqua" w:hAnsi="Book Antiqua"/>
          <w:color w:val="000000" w:themeColor="text1"/>
          <w:lang w:val="en-US"/>
        </w:rPr>
        <w:t>No.</w:t>
      </w:r>
      <w:r w:rsidR="004F76CE" w:rsidRPr="008E3F16">
        <w:rPr>
          <w:rFonts w:ascii="Book Antiqua" w:hAnsi="Book Antiqua"/>
          <w:color w:val="000000" w:themeColor="text1"/>
          <w:lang w:val="en-US"/>
        </w:rPr>
        <w:t xml:space="preserve"> </w:t>
      </w:r>
      <w:r w:rsidR="004F76CE" w:rsidRPr="008E3F16">
        <w:rPr>
          <w:rFonts w:ascii="Book Antiqua" w:hAnsi="Book Antiqua"/>
          <w:color w:val="000000" w:themeColor="text1"/>
          <w:lang w:val="en-US" w:eastAsia="zh-CN"/>
        </w:rPr>
        <w:t>means</w:t>
      </w:r>
      <w:r w:rsidRPr="008E3F16">
        <w:rPr>
          <w:rFonts w:ascii="Book Antiqua" w:hAnsi="Book Antiqua"/>
          <w:color w:val="000000" w:themeColor="text1"/>
          <w:lang w:val="en-US"/>
        </w:rPr>
        <w:t xml:space="preserve"> </w:t>
      </w:r>
      <w:r w:rsidR="004F76CE" w:rsidRPr="008E3F16">
        <w:rPr>
          <w:rFonts w:ascii="Book Antiqua" w:hAnsi="Book Antiqua"/>
          <w:color w:val="000000" w:themeColor="text1"/>
          <w:lang w:val="en-US"/>
        </w:rPr>
        <w:t>o</w:t>
      </w:r>
      <w:r w:rsidRPr="008E3F16">
        <w:rPr>
          <w:rFonts w:ascii="Book Antiqua" w:hAnsi="Book Antiqua"/>
          <w:color w:val="000000" w:themeColor="text1"/>
          <w:lang w:val="en-US"/>
        </w:rPr>
        <w:t>rder of the keywords entered on PubMed and CENTRAL</w:t>
      </w:r>
      <w:r w:rsidR="004F76CE" w:rsidRPr="008E3F16">
        <w:rPr>
          <w:rFonts w:ascii="Book Antiqua" w:hAnsi="Book Antiqua"/>
          <w:color w:val="000000" w:themeColor="text1"/>
          <w:lang w:val="en-US" w:eastAsia="zh-CN"/>
        </w:rPr>
        <w:t xml:space="preserve">. </w:t>
      </w:r>
      <w:r w:rsidRPr="008E3F16">
        <w:rPr>
          <w:rFonts w:ascii="Book Antiqua" w:hAnsi="Book Antiqua"/>
          <w:color w:val="000000" w:themeColor="text1"/>
          <w:lang w:val="en-US"/>
        </w:rPr>
        <w:t>OR</w:t>
      </w:r>
      <w:r w:rsidR="004F76CE" w:rsidRPr="008E3F16">
        <w:rPr>
          <w:rFonts w:ascii="Book Antiqua" w:hAnsi="Book Antiqua"/>
          <w:color w:val="000000" w:themeColor="text1"/>
          <w:lang w:val="en-US"/>
        </w:rPr>
        <w:t xml:space="preserve"> </w:t>
      </w:r>
      <w:r w:rsidR="004F76CE" w:rsidRPr="008E3F16">
        <w:rPr>
          <w:rFonts w:ascii="Book Antiqua" w:hAnsi="Book Antiqua"/>
          <w:color w:val="000000" w:themeColor="text1"/>
          <w:lang w:val="en-US" w:eastAsia="zh-CN"/>
        </w:rPr>
        <w:t>and</w:t>
      </w:r>
      <w:r w:rsidRPr="008E3F16">
        <w:rPr>
          <w:rFonts w:ascii="Book Antiqua" w:hAnsi="Book Antiqua"/>
          <w:color w:val="000000" w:themeColor="text1"/>
          <w:lang w:val="en-US"/>
        </w:rPr>
        <w:t xml:space="preserve"> AND</w:t>
      </w:r>
      <w:r w:rsidR="004F76CE" w:rsidRPr="008E3F16">
        <w:rPr>
          <w:rFonts w:ascii="Book Antiqua" w:hAnsi="Book Antiqua"/>
          <w:color w:val="000000" w:themeColor="text1"/>
          <w:lang w:val="en-US"/>
        </w:rPr>
        <w:t xml:space="preserve"> </w:t>
      </w:r>
      <w:r w:rsidR="004F76CE" w:rsidRPr="008E3F16">
        <w:rPr>
          <w:rFonts w:ascii="Book Antiqua" w:hAnsi="Book Antiqua"/>
          <w:color w:val="000000" w:themeColor="text1"/>
          <w:lang w:val="en-US" w:eastAsia="zh-CN"/>
        </w:rPr>
        <w:t>are</w:t>
      </w:r>
      <w:r w:rsidR="004F76CE" w:rsidRPr="008E3F16">
        <w:rPr>
          <w:rFonts w:ascii="Book Antiqua" w:hAnsi="Book Antiqua"/>
          <w:color w:val="000000" w:themeColor="text1"/>
          <w:lang w:val="en-US"/>
        </w:rPr>
        <w:t xml:space="preserve"> b</w:t>
      </w:r>
      <w:r w:rsidRPr="008E3F16">
        <w:rPr>
          <w:rFonts w:ascii="Book Antiqua" w:hAnsi="Book Antiqua"/>
          <w:color w:val="000000" w:themeColor="text1"/>
          <w:lang w:val="en-US"/>
        </w:rPr>
        <w:t>oolean operators used between keywords</w:t>
      </w:r>
      <w:r w:rsidR="003E3786" w:rsidRPr="008E3F16">
        <w:rPr>
          <w:rFonts w:ascii="Book Antiqua" w:hAnsi="Book Antiqua"/>
          <w:color w:val="000000" w:themeColor="text1"/>
          <w:lang w:val="en-US"/>
        </w:rPr>
        <w:t>.</w:t>
      </w:r>
    </w:p>
    <w:p w14:paraId="288CDE93" w14:textId="77777777" w:rsidR="00EE1DB2" w:rsidRPr="008E3F16" w:rsidRDefault="00EE1DB2" w:rsidP="00C66188">
      <w:pPr>
        <w:adjustRightInd w:val="0"/>
        <w:snapToGrid w:val="0"/>
        <w:spacing w:line="360" w:lineRule="auto"/>
        <w:jc w:val="both"/>
        <w:rPr>
          <w:rFonts w:ascii="Book Antiqua" w:hAnsi="Book Antiqua"/>
          <w:color w:val="000000" w:themeColor="text1"/>
          <w:lang w:val="en-US"/>
        </w:rPr>
      </w:pPr>
    </w:p>
    <w:p w14:paraId="3F436AC5" w14:textId="77777777" w:rsidR="00EE1DB2" w:rsidRPr="008E3F16" w:rsidRDefault="00EE1DB2" w:rsidP="00C66188">
      <w:pPr>
        <w:adjustRightInd w:val="0"/>
        <w:snapToGrid w:val="0"/>
        <w:spacing w:line="360" w:lineRule="auto"/>
        <w:jc w:val="both"/>
        <w:rPr>
          <w:rFonts w:ascii="Book Antiqua" w:hAnsi="Book Antiqua"/>
          <w:color w:val="000000" w:themeColor="text1"/>
          <w:lang w:val="en-US"/>
        </w:rPr>
        <w:sectPr w:rsidR="00EE1DB2" w:rsidRPr="008E3F16" w:rsidSect="00BA27D6">
          <w:footerReference w:type="even" r:id="rId8"/>
          <w:pgSz w:w="11900" w:h="16820"/>
          <w:pgMar w:top="799" w:right="1134" w:bottom="590" w:left="1134" w:header="709" w:footer="709" w:gutter="0"/>
          <w:cols w:space="708"/>
          <w:docGrid w:linePitch="360"/>
        </w:sectPr>
      </w:pPr>
    </w:p>
    <w:p w14:paraId="1863D858" w14:textId="0DC041BA" w:rsidR="00C222AC" w:rsidRPr="008E3F16" w:rsidRDefault="00C222AC" w:rsidP="00C66188">
      <w:pPr>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b/>
          <w:color w:val="000000" w:themeColor="text1"/>
          <w:lang w:val="en-US"/>
        </w:rPr>
        <w:lastRenderedPageBreak/>
        <w:t xml:space="preserve">Table </w:t>
      </w:r>
      <w:r w:rsidR="00E6147D" w:rsidRPr="008E3F16">
        <w:rPr>
          <w:rFonts w:ascii="Book Antiqua" w:hAnsi="Book Antiqua" w:cs="Times New Roman"/>
          <w:b/>
          <w:color w:val="000000" w:themeColor="text1"/>
          <w:lang w:val="en-US"/>
        </w:rPr>
        <w:t>2</w:t>
      </w:r>
      <w:r w:rsidRPr="008E3F16">
        <w:rPr>
          <w:rFonts w:ascii="Book Antiqua" w:hAnsi="Book Antiqua" w:cs="Times New Roman"/>
          <w:color w:val="000000" w:themeColor="text1"/>
          <w:lang w:val="en-US"/>
        </w:rPr>
        <w:t xml:space="preserve"> </w:t>
      </w:r>
      <w:r w:rsidRPr="008E3F16">
        <w:rPr>
          <w:rFonts w:ascii="Book Antiqua" w:hAnsi="Book Antiqua" w:cs="Times New Roman"/>
          <w:b/>
          <w:bCs/>
          <w:color w:val="000000" w:themeColor="text1"/>
          <w:lang w:val="en-US"/>
        </w:rPr>
        <w:t xml:space="preserve">Characteristics of the included studies evaluating the diagnostic accuracy of </w:t>
      </w:r>
      <w:r w:rsidR="00277845" w:rsidRPr="008E3F16">
        <w:rPr>
          <w:rFonts w:ascii="Book Antiqua" w:hAnsi="Book Antiqua" w:cs="Times New Roman"/>
          <w:b/>
          <w:bCs/>
          <w:color w:val="000000" w:themeColor="text1"/>
          <w:lang w:val="en-US"/>
        </w:rPr>
        <w:t>glycoprotein 2 antibodies</w:t>
      </w:r>
      <w:r w:rsidRPr="008E3F16">
        <w:rPr>
          <w:rFonts w:ascii="Book Antiqua" w:hAnsi="Book Antiqua" w:cs="Times New Roman"/>
          <w:b/>
          <w:bCs/>
          <w:color w:val="000000" w:themeColor="text1"/>
          <w:lang w:val="en-US"/>
        </w:rPr>
        <w:t xml:space="preserve"> in Crohn’s disease</w:t>
      </w:r>
    </w:p>
    <w:tbl>
      <w:tblPr>
        <w:tblStyle w:val="a6"/>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7"/>
        <w:gridCol w:w="941"/>
        <w:gridCol w:w="464"/>
        <w:gridCol w:w="545"/>
        <w:gridCol w:w="1023"/>
        <w:gridCol w:w="464"/>
        <w:gridCol w:w="1221"/>
        <w:gridCol w:w="507"/>
        <w:gridCol w:w="834"/>
        <w:gridCol w:w="1046"/>
        <w:gridCol w:w="725"/>
        <w:gridCol w:w="464"/>
        <w:gridCol w:w="791"/>
        <w:gridCol w:w="611"/>
        <w:gridCol w:w="625"/>
        <w:gridCol w:w="416"/>
        <w:gridCol w:w="665"/>
        <w:gridCol w:w="894"/>
        <w:gridCol w:w="1150"/>
      </w:tblGrid>
      <w:tr w:rsidR="008E3F16" w:rsidRPr="008E3F16" w14:paraId="5BC59062" w14:textId="77777777" w:rsidTr="00DC5337">
        <w:trPr>
          <w:cantSplit/>
          <w:trHeight w:val="560"/>
        </w:trPr>
        <w:tc>
          <w:tcPr>
            <w:tcW w:w="330" w:type="pct"/>
            <w:vMerge w:val="restart"/>
            <w:tcBorders>
              <w:top w:val="single" w:sz="4" w:space="0" w:color="auto"/>
              <w:bottom w:val="single" w:sz="4" w:space="0" w:color="auto"/>
            </w:tcBorders>
            <w:vAlign w:val="center"/>
          </w:tcPr>
          <w:p w14:paraId="673E1383" w14:textId="34E5D04E" w:rsidR="00F807E4" w:rsidRPr="008E3F16" w:rsidRDefault="00D5396B" w:rsidP="00C66188">
            <w:pPr>
              <w:adjustRightInd w:val="0"/>
              <w:snapToGrid w:val="0"/>
              <w:spacing w:line="360" w:lineRule="auto"/>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Ref.</w:t>
            </w:r>
          </w:p>
        </w:tc>
        <w:tc>
          <w:tcPr>
            <w:tcW w:w="328" w:type="pct"/>
            <w:vMerge w:val="restart"/>
            <w:tcBorders>
              <w:top w:val="single" w:sz="4" w:space="0" w:color="auto"/>
              <w:bottom w:val="single" w:sz="4" w:space="0" w:color="auto"/>
            </w:tcBorders>
            <w:textDirection w:val="btLr"/>
            <w:vAlign w:val="center"/>
          </w:tcPr>
          <w:p w14:paraId="537F7503" w14:textId="77777777" w:rsidR="00F807E4" w:rsidRPr="008E3F16" w:rsidRDefault="00F807E4" w:rsidP="00C66188">
            <w:pPr>
              <w:adjustRightInd w:val="0"/>
              <w:snapToGrid w:val="0"/>
              <w:spacing w:line="360" w:lineRule="auto"/>
              <w:ind w:left="113" w:right="113"/>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Country</w:t>
            </w:r>
          </w:p>
        </w:tc>
        <w:tc>
          <w:tcPr>
            <w:tcW w:w="162" w:type="pct"/>
            <w:vMerge w:val="restart"/>
            <w:tcBorders>
              <w:top w:val="single" w:sz="4" w:space="0" w:color="auto"/>
              <w:bottom w:val="single" w:sz="4" w:space="0" w:color="auto"/>
            </w:tcBorders>
            <w:textDirection w:val="btLr"/>
            <w:vAlign w:val="center"/>
          </w:tcPr>
          <w:p w14:paraId="5BB8C78F" w14:textId="77777777" w:rsidR="00F807E4" w:rsidRPr="008E3F16" w:rsidRDefault="00F807E4" w:rsidP="00C66188">
            <w:pPr>
              <w:adjustRightInd w:val="0"/>
              <w:snapToGrid w:val="0"/>
              <w:spacing w:line="360" w:lineRule="auto"/>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Multicenter</w:t>
            </w:r>
          </w:p>
        </w:tc>
        <w:tc>
          <w:tcPr>
            <w:tcW w:w="709" w:type="pct"/>
            <w:gridSpan w:val="3"/>
            <w:tcBorders>
              <w:top w:val="single" w:sz="4" w:space="0" w:color="auto"/>
              <w:bottom w:val="single" w:sz="4" w:space="0" w:color="auto"/>
            </w:tcBorders>
            <w:vAlign w:val="center"/>
          </w:tcPr>
          <w:p w14:paraId="5ACCA020"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Recruitment</w:t>
            </w:r>
          </w:p>
        </w:tc>
        <w:tc>
          <w:tcPr>
            <w:tcW w:w="603" w:type="pct"/>
            <w:gridSpan w:val="2"/>
            <w:tcBorders>
              <w:top w:val="single" w:sz="4" w:space="0" w:color="auto"/>
              <w:bottom w:val="single" w:sz="4" w:space="0" w:color="auto"/>
            </w:tcBorders>
            <w:vAlign w:val="center"/>
          </w:tcPr>
          <w:p w14:paraId="4C7E9003" w14:textId="09CFE44A"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CD diagnosis and classification</w:t>
            </w:r>
          </w:p>
        </w:tc>
        <w:tc>
          <w:tcPr>
            <w:tcW w:w="1347" w:type="pct"/>
            <w:gridSpan w:val="5"/>
            <w:tcBorders>
              <w:top w:val="single" w:sz="4" w:space="0" w:color="auto"/>
              <w:bottom w:val="single" w:sz="4" w:space="0" w:color="auto"/>
            </w:tcBorders>
            <w:vAlign w:val="center"/>
          </w:tcPr>
          <w:p w14:paraId="5A800B2A"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Assays characteristics</w:t>
            </w:r>
          </w:p>
        </w:tc>
        <w:tc>
          <w:tcPr>
            <w:tcW w:w="1120" w:type="pct"/>
            <w:gridSpan w:val="5"/>
            <w:tcBorders>
              <w:top w:val="single" w:sz="4" w:space="0" w:color="auto"/>
              <w:bottom w:val="single" w:sz="4" w:space="0" w:color="auto"/>
            </w:tcBorders>
            <w:vAlign w:val="center"/>
          </w:tcPr>
          <w:p w14:paraId="13BD69AC"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Sample characteristics</w:t>
            </w:r>
          </w:p>
        </w:tc>
        <w:tc>
          <w:tcPr>
            <w:tcW w:w="401" w:type="pct"/>
            <w:vMerge w:val="restart"/>
            <w:tcBorders>
              <w:top w:val="single" w:sz="4" w:space="0" w:color="auto"/>
              <w:bottom w:val="single" w:sz="4" w:space="0" w:color="auto"/>
            </w:tcBorders>
            <w:vAlign w:val="center"/>
          </w:tcPr>
          <w:p w14:paraId="648BA1A8"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Funding</w:t>
            </w:r>
          </w:p>
        </w:tc>
      </w:tr>
      <w:tr w:rsidR="008E3F16" w:rsidRPr="008E3F16" w14:paraId="323F71E1" w14:textId="77777777" w:rsidTr="00DC5337">
        <w:trPr>
          <w:cantSplit/>
          <w:trHeight w:val="1121"/>
        </w:trPr>
        <w:tc>
          <w:tcPr>
            <w:tcW w:w="330" w:type="pct"/>
            <w:vMerge/>
            <w:tcBorders>
              <w:top w:val="single" w:sz="4" w:space="0" w:color="auto"/>
              <w:bottom w:val="single" w:sz="4" w:space="0" w:color="auto"/>
            </w:tcBorders>
            <w:vAlign w:val="center"/>
          </w:tcPr>
          <w:p w14:paraId="4540DE16" w14:textId="77777777" w:rsidR="00F807E4" w:rsidRPr="008E3F16" w:rsidRDefault="00F807E4" w:rsidP="00C66188">
            <w:pPr>
              <w:adjustRightInd w:val="0"/>
              <w:snapToGrid w:val="0"/>
              <w:spacing w:line="360" w:lineRule="auto"/>
              <w:rPr>
                <w:rFonts w:ascii="Book Antiqua" w:hAnsi="Book Antiqua" w:cs="Times New Roman"/>
                <w:color w:val="000000" w:themeColor="text1"/>
                <w:lang w:val="en-US"/>
              </w:rPr>
            </w:pPr>
          </w:p>
        </w:tc>
        <w:tc>
          <w:tcPr>
            <w:tcW w:w="328" w:type="pct"/>
            <w:vMerge/>
            <w:tcBorders>
              <w:top w:val="single" w:sz="4" w:space="0" w:color="auto"/>
              <w:bottom w:val="single" w:sz="4" w:space="0" w:color="auto"/>
            </w:tcBorders>
            <w:vAlign w:val="center"/>
          </w:tcPr>
          <w:p w14:paraId="6494CDB4" w14:textId="77777777" w:rsidR="00F807E4" w:rsidRPr="008E3F16" w:rsidRDefault="00F807E4" w:rsidP="00C66188">
            <w:pPr>
              <w:adjustRightInd w:val="0"/>
              <w:snapToGrid w:val="0"/>
              <w:spacing w:line="360" w:lineRule="auto"/>
              <w:rPr>
                <w:rFonts w:ascii="Book Antiqua" w:hAnsi="Book Antiqua" w:cs="Times New Roman"/>
                <w:color w:val="000000" w:themeColor="text1"/>
                <w:lang w:val="en-US"/>
              </w:rPr>
            </w:pPr>
          </w:p>
        </w:tc>
        <w:tc>
          <w:tcPr>
            <w:tcW w:w="162" w:type="pct"/>
            <w:vMerge/>
            <w:tcBorders>
              <w:top w:val="single" w:sz="4" w:space="0" w:color="auto"/>
              <w:bottom w:val="single" w:sz="4" w:space="0" w:color="auto"/>
            </w:tcBorders>
            <w:vAlign w:val="center"/>
          </w:tcPr>
          <w:p w14:paraId="3BA458D1" w14:textId="77777777" w:rsidR="00F807E4" w:rsidRPr="008E3F16" w:rsidRDefault="00F807E4" w:rsidP="00C66188">
            <w:pPr>
              <w:adjustRightInd w:val="0"/>
              <w:snapToGrid w:val="0"/>
              <w:spacing w:line="360" w:lineRule="auto"/>
              <w:rPr>
                <w:rFonts w:ascii="Book Antiqua" w:hAnsi="Book Antiqua" w:cs="Times New Roman"/>
                <w:color w:val="000000" w:themeColor="text1"/>
                <w:lang w:val="en-US"/>
              </w:rPr>
            </w:pPr>
          </w:p>
        </w:tc>
        <w:tc>
          <w:tcPr>
            <w:tcW w:w="190" w:type="pct"/>
            <w:tcBorders>
              <w:top w:val="single" w:sz="4" w:space="0" w:color="auto"/>
              <w:bottom w:val="single" w:sz="4" w:space="0" w:color="auto"/>
            </w:tcBorders>
            <w:vAlign w:val="center"/>
          </w:tcPr>
          <w:p w14:paraId="2AF02F61"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Year</w:t>
            </w:r>
          </w:p>
        </w:tc>
        <w:tc>
          <w:tcPr>
            <w:tcW w:w="357" w:type="pct"/>
            <w:tcBorders>
              <w:top w:val="single" w:sz="4" w:space="0" w:color="auto"/>
              <w:bottom w:val="single" w:sz="4" w:space="0" w:color="auto"/>
            </w:tcBorders>
            <w:vAlign w:val="center"/>
          </w:tcPr>
          <w:p w14:paraId="5B5673D4"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Site</w:t>
            </w:r>
          </w:p>
        </w:tc>
        <w:tc>
          <w:tcPr>
            <w:tcW w:w="162" w:type="pct"/>
            <w:tcBorders>
              <w:top w:val="single" w:sz="4" w:space="0" w:color="auto"/>
              <w:bottom w:val="single" w:sz="4" w:space="0" w:color="auto"/>
            </w:tcBorders>
            <w:textDirection w:val="btLr"/>
            <w:vAlign w:val="center"/>
          </w:tcPr>
          <w:p w14:paraId="1EA672D2"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Consecutive</w:t>
            </w:r>
          </w:p>
        </w:tc>
        <w:tc>
          <w:tcPr>
            <w:tcW w:w="426" w:type="pct"/>
            <w:tcBorders>
              <w:top w:val="single" w:sz="4" w:space="0" w:color="auto"/>
              <w:bottom w:val="single" w:sz="4" w:space="0" w:color="auto"/>
            </w:tcBorders>
            <w:vAlign w:val="center"/>
          </w:tcPr>
          <w:p w14:paraId="0AA7C3E9"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CD diagnosis</w:t>
            </w:r>
          </w:p>
        </w:tc>
        <w:tc>
          <w:tcPr>
            <w:tcW w:w="177" w:type="pct"/>
            <w:tcBorders>
              <w:top w:val="single" w:sz="4" w:space="0" w:color="auto"/>
              <w:bottom w:val="single" w:sz="4" w:space="0" w:color="auto"/>
            </w:tcBorders>
            <w:textDirection w:val="btLr"/>
            <w:vAlign w:val="center"/>
          </w:tcPr>
          <w:p w14:paraId="6113841B"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Montreal</w:t>
            </w:r>
            <w:r w:rsidRPr="008E3F16">
              <w:rPr>
                <w:rFonts w:ascii="Book Antiqua" w:hAnsi="Book Antiqua" w:cs="Times New Roman"/>
                <w:b/>
                <w:bCs/>
                <w:color w:val="000000" w:themeColor="text1"/>
                <w:lang w:val="en-US"/>
              </w:rPr>
              <w:fldChar w:fldCharType="begin" w:fldLock="1"/>
            </w:r>
            <w:r w:rsidRPr="008E3F16">
              <w:rPr>
                <w:rFonts w:ascii="Book Antiqua" w:hAnsi="Book Antiqua" w:cs="Times New Roman"/>
                <w:b/>
                <w:bCs/>
                <w:color w:val="000000" w:themeColor="text1"/>
                <w:lang w:val="en-US"/>
              </w:rPr>
              <w:instrText>ADDIN CSL_CITATION {"citationItems":[{"id":"ITEM-1","itemData":{"DOI":"10.1155/2005/269076","ISSN":"1916-7237","PMID":"16151544","abstract":"The discovery of a series of genetic and serological markers associated with disease susceptibility and phenotype in inflammatory bowel disease has led to the prospect of an integrated classification system involving clinical, serological and genetic parameters. The Working Party has reviewed current clinical classification systems in Crohn's disease, ulcerative colitis and indeterminate colitis, and provided recommendations for clinical classification in practice. Progress with respect to integrating serological and genetic markers has been examined in detail, and the implications are discussed. While an integrated system is not proposed for clinical use at present, the introduction of a widely acceptable clinical subclassification is strongly advocated, which would allow detailed correlations among serotype, genotype and clinical phenotype to be examined and confirmed in independent cohorts of patients and, thereby, provide a vital foundation for future work.","author":[{"dropping-particle":"","family":"Silverberg","given":"Mark S","non-dropping-particle":"","parse-names":false,"suffix":""},{"dropping-particle":"","family":"Satsangi","given":"Jack","non-dropping-particle":"","parse-names":false,"suffix":""},{"dropping-particle":"","family":"Ahmad","given":"Tariq","non-dropping-particle":"","parse-names":false,"suffix":""},{"dropping-particle":"","family":"Arnott","given":"Ian D R","non-dropping-particle":"","parse-names":false,"suffix":""},{"dropping-particle":"","family":"Bernstein","given":"Charles N","non-dropping-particle":"","parse-names":false,"suffix":""},{"dropping-particle":"","family":"Brant","given":"Steven R","non-dropping-particle":"","parse-names":false,"suffix":""},{"dropping-particle":"","family":"Caprilli","given":"Renzo","non-dropping-particle":"","parse-names":false,"suffix":""},{"dropping-particle":"","family":"Colombel","given":"Jean-Frédéric","non-dropping-particle":"","parse-names":false,"suffix":""},{"dropping-particle":"","family":"Gasche","given":"Christoph","non-dropping-particle":"","parse-names":false,"suffix":""},{"dropping-particle":"","family":"Geboes","given":"Karel","non-dropping-particle":"","parse-names":false,"suffix":""},{"dropping-particle":"","family":"Jewell","given":"Derek P","non-dropping-particle":"","parse-names":false,"suffix":""},{"dropping-particle":"","family":"Karban","given":"Amir","non-dropping-particle":"","parse-names":false,"suffix":""},{"dropping-particle":"V","family":"Loftus","given":"Edward","non-dropping-particle":"","parse-names":false,"suffix":""},{"dropping-particle":"","family":"Peña","given":"A Salvador","non-dropping-particle":"","parse-names":false,"suffix":""},{"dropping-particle":"","family":"Riddell","given":"Robert H","non-dropping-particle":"","parse-names":false,"suffix":""},{"dropping-particle":"","family":"Sachar","given":"David B","non-dropping-particle":"","parse-names":false,"suffix":""},{"dropping-particle":"","family":"Schreiber","given":"Stefan","non-dropping-particle":"","parse-names":false,"suffix":""},{"dropping-particle":"","family":"Steinhart","given":"A Hillary","non-dropping-particle":"","parse-names":false,"suffix":""},{"dropping-particle":"","family":"Targan","given":"Stephan R","non-dropping-particle":"","parse-names":false,"suffix":""},{"dropping-particle":"","family":"Vermeire","given":"Severine","non-dropping-particle":"","parse-names":false,"suffix":""},{"dropping-particle":"","family":"Warren","given":"B F","non-dropping-particle":"","parse-names":false,"suffix":""}],"container-title":"Canadian journal of gastroenterology = Journal canadien de gastroenterologie","id":"ITEM-1","issued":{"date-parts":[["2005","9"]]},"page":"5A-36A","title":"Toward an integrated clinical, molecular and serological classification of inflammatory bowel disease: report of a Working Party of the 2005 Montreal World Congress of Gastroenterology.","type":"article-journal","volume":"19 Suppl A"},"uris":["http://www.mendeley.com/documents/?uuid=774ee35b-4bac-388f-965c-2d31127769ce"]}],"mendeley":{"formattedCitation":"&lt;sup&gt;[81]&lt;/sup&gt;","plainTextFormattedCitation":"[81]","previouslyFormattedCitation":"&lt;sup&gt;[81]&lt;/sup&gt;"},"properties":{"noteIndex":0},"schema":"https://github.com/citation-style-language/schema/raw/master/csl-citation.json"}</w:instrText>
            </w:r>
            <w:r w:rsidRPr="008E3F16">
              <w:rPr>
                <w:rFonts w:ascii="Book Antiqua" w:hAnsi="Book Antiqua" w:cs="Times New Roman"/>
                <w:b/>
                <w:bCs/>
                <w:color w:val="000000" w:themeColor="text1"/>
                <w:lang w:val="en-US"/>
              </w:rPr>
              <w:fldChar w:fldCharType="separate"/>
            </w:r>
            <w:r w:rsidRPr="008E3F16">
              <w:rPr>
                <w:rFonts w:ascii="Book Antiqua" w:hAnsi="Book Antiqua" w:cs="Times New Roman"/>
                <w:b/>
                <w:bCs/>
                <w:noProof/>
                <w:color w:val="000000" w:themeColor="text1"/>
                <w:vertAlign w:val="superscript"/>
                <w:lang w:val="en-US"/>
              </w:rPr>
              <w:t>[81]</w:t>
            </w:r>
            <w:r w:rsidRPr="008E3F16">
              <w:rPr>
                <w:rFonts w:ascii="Book Antiqua" w:hAnsi="Book Antiqua" w:cs="Times New Roman"/>
                <w:b/>
                <w:bCs/>
                <w:color w:val="000000" w:themeColor="text1"/>
                <w:lang w:val="en-US"/>
              </w:rPr>
              <w:fldChar w:fldCharType="end"/>
            </w:r>
          </w:p>
        </w:tc>
        <w:tc>
          <w:tcPr>
            <w:tcW w:w="291" w:type="pct"/>
            <w:tcBorders>
              <w:top w:val="single" w:sz="4" w:space="0" w:color="auto"/>
              <w:bottom w:val="single" w:sz="4" w:space="0" w:color="auto"/>
            </w:tcBorders>
            <w:vAlign w:val="center"/>
          </w:tcPr>
          <w:p w14:paraId="0FB71F59" w14:textId="77777777" w:rsidR="00F807E4" w:rsidRPr="008E3F16" w:rsidRDefault="00F807E4" w:rsidP="00C66188">
            <w:pPr>
              <w:adjustRightInd w:val="0"/>
              <w:snapToGrid w:val="0"/>
              <w:spacing w:line="360" w:lineRule="auto"/>
              <w:ind w:right="-487"/>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Assay</w:t>
            </w:r>
          </w:p>
        </w:tc>
        <w:tc>
          <w:tcPr>
            <w:tcW w:w="365" w:type="pct"/>
            <w:tcBorders>
              <w:top w:val="single" w:sz="4" w:space="0" w:color="auto"/>
              <w:bottom w:val="single" w:sz="4" w:space="0" w:color="auto"/>
            </w:tcBorders>
            <w:vAlign w:val="center"/>
          </w:tcPr>
          <w:p w14:paraId="7F3A65C1"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Kit</w:t>
            </w:r>
          </w:p>
        </w:tc>
        <w:tc>
          <w:tcPr>
            <w:tcW w:w="253" w:type="pct"/>
            <w:tcBorders>
              <w:top w:val="single" w:sz="4" w:space="0" w:color="auto"/>
              <w:bottom w:val="single" w:sz="4" w:space="0" w:color="auto"/>
            </w:tcBorders>
            <w:vAlign w:val="center"/>
          </w:tcPr>
          <w:p w14:paraId="7E5EA7CD"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anti-GP2 form</w:t>
            </w:r>
          </w:p>
        </w:tc>
        <w:tc>
          <w:tcPr>
            <w:tcW w:w="162" w:type="pct"/>
            <w:tcBorders>
              <w:top w:val="single" w:sz="4" w:space="0" w:color="auto"/>
              <w:bottom w:val="single" w:sz="4" w:space="0" w:color="auto"/>
            </w:tcBorders>
            <w:textDirection w:val="btLr"/>
            <w:vAlign w:val="center"/>
          </w:tcPr>
          <w:p w14:paraId="10586C12"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Blind assay</w:t>
            </w:r>
          </w:p>
        </w:tc>
        <w:tc>
          <w:tcPr>
            <w:tcW w:w="276" w:type="pct"/>
            <w:tcBorders>
              <w:top w:val="single" w:sz="4" w:space="0" w:color="auto"/>
              <w:bottom w:val="single" w:sz="4" w:space="0" w:color="auto"/>
            </w:tcBorders>
            <w:vAlign w:val="center"/>
          </w:tcPr>
          <w:p w14:paraId="2B36A71D"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Positivity cut-off U/dL</w:t>
            </w:r>
          </w:p>
        </w:tc>
        <w:tc>
          <w:tcPr>
            <w:tcW w:w="213" w:type="pct"/>
            <w:tcBorders>
              <w:top w:val="single" w:sz="4" w:space="0" w:color="auto"/>
              <w:bottom w:val="single" w:sz="4" w:space="0" w:color="auto"/>
            </w:tcBorders>
            <w:vAlign w:val="center"/>
          </w:tcPr>
          <w:p w14:paraId="5906D694"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N</w:t>
            </w:r>
            <w:r w:rsidRPr="008E3F16">
              <w:rPr>
                <w:rFonts w:ascii="Book Antiqua" w:hAnsi="Book Antiqua" w:cs="Times New Roman"/>
                <w:b/>
                <w:bCs/>
                <w:color w:val="000000" w:themeColor="text1"/>
                <w:vertAlign w:val="superscript"/>
                <w:lang w:val="en-US"/>
              </w:rPr>
              <w:t>9</w:t>
            </w:r>
          </w:p>
        </w:tc>
        <w:tc>
          <w:tcPr>
            <w:tcW w:w="218" w:type="pct"/>
            <w:tcBorders>
              <w:top w:val="single" w:sz="4" w:space="0" w:color="auto"/>
              <w:bottom w:val="single" w:sz="4" w:space="0" w:color="auto"/>
            </w:tcBorders>
            <w:textDirection w:val="btLr"/>
            <w:vAlign w:val="center"/>
          </w:tcPr>
          <w:p w14:paraId="7662D377"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Unrelated sample</w:t>
            </w:r>
          </w:p>
        </w:tc>
        <w:tc>
          <w:tcPr>
            <w:tcW w:w="145" w:type="pct"/>
            <w:tcBorders>
              <w:top w:val="single" w:sz="4" w:space="0" w:color="auto"/>
              <w:bottom w:val="single" w:sz="4" w:space="0" w:color="auto"/>
            </w:tcBorders>
            <w:textDirection w:val="btLr"/>
            <w:vAlign w:val="center"/>
          </w:tcPr>
          <w:p w14:paraId="4857650E"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Children included</w:t>
            </w:r>
          </w:p>
        </w:tc>
        <w:tc>
          <w:tcPr>
            <w:tcW w:w="232" w:type="pct"/>
            <w:tcBorders>
              <w:top w:val="single" w:sz="4" w:space="0" w:color="auto"/>
              <w:bottom w:val="single" w:sz="4" w:space="0" w:color="auto"/>
            </w:tcBorders>
            <w:vAlign w:val="center"/>
          </w:tcPr>
          <w:p w14:paraId="5BCCA86B"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Sex (% female)</w:t>
            </w:r>
          </w:p>
        </w:tc>
        <w:tc>
          <w:tcPr>
            <w:tcW w:w="312" w:type="pct"/>
            <w:tcBorders>
              <w:top w:val="single" w:sz="4" w:space="0" w:color="auto"/>
              <w:bottom w:val="single" w:sz="4" w:space="0" w:color="auto"/>
            </w:tcBorders>
            <w:vAlign w:val="center"/>
          </w:tcPr>
          <w:p w14:paraId="45DB0C65" w14:textId="6600E635" w:rsidR="00F807E4" w:rsidRPr="008E3F16" w:rsidRDefault="00F807E4" w:rsidP="00C66188">
            <w:pPr>
              <w:adjustRightInd w:val="0"/>
              <w:snapToGrid w:val="0"/>
              <w:spacing w:line="360" w:lineRule="auto"/>
              <w:jc w:val="center"/>
              <w:rPr>
                <w:rFonts w:ascii="Book Antiqua" w:hAnsi="Book Antiqua" w:cs="Times New Roman"/>
                <w:b/>
                <w:bCs/>
                <w:color w:val="000000" w:themeColor="text1"/>
                <w:vertAlign w:val="superscript"/>
                <w:lang w:val="en-US"/>
              </w:rPr>
            </w:pPr>
            <w:r w:rsidRPr="008E3F16">
              <w:rPr>
                <w:rFonts w:ascii="Book Antiqua" w:hAnsi="Book Antiqua" w:cs="Times New Roman"/>
                <w:b/>
                <w:bCs/>
                <w:color w:val="000000" w:themeColor="text1"/>
                <w:lang w:val="en-US"/>
              </w:rPr>
              <w:t>Age</w:t>
            </w:r>
            <w:r w:rsidR="007A38A4" w:rsidRPr="008E3F16">
              <w:rPr>
                <w:rFonts w:ascii="Book Antiqua" w:hAnsi="Book Antiqua" w:cs="Times New Roman"/>
                <w:b/>
                <w:bCs/>
                <w:color w:val="000000" w:themeColor="text1"/>
                <w:lang w:val="en-US"/>
              </w:rPr>
              <w:t xml:space="preserve"> </w:t>
            </w:r>
            <w:r w:rsidRPr="008E3F16">
              <w:rPr>
                <w:rFonts w:ascii="Book Antiqua" w:hAnsi="Book Antiqua" w:cs="Times New Roman"/>
                <w:b/>
                <w:bCs/>
                <w:color w:val="000000" w:themeColor="text1"/>
                <w:lang w:val="en-US"/>
              </w:rPr>
              <w:t>(yr)</w:t>
            </w:r>
            <w:r w:rsidRPr="008E3F16">
              <w:rPr>
                <w:rFonts w:ascii="Book Antiqua" w:hAnsi="Book Antiqua" w:cs="Times New Roman"/>
                <w:b/>
                <w:bCs/>
                <w:color w:val="000000" w:themeColor="text1"/>
                <w:vertAlign w:val="superscript"/>
                <w:lang w:val="en-US"/>
              </w:rPr>
              <w:t>5</w:t>
            </w:r>
          </w:p>
          <w:p w14:paraId="7F776364" w14:textId="77777777" w:rsidR="00F807E4" w:rsidRPr="008E3F16" w:rsidRDefault="00F807E4" w:rsidP="00C66188">
            <w:pPr>
              <w:adjustRightInd w:val="0"/>
              <w:snapToGrid w:val="0"/>
              <w:spacing w:line="360" w:lineRule="auto"/>
              <w:jc w:val="center"/>
              <w:rPr>
                <w:rFonts w:ascii="Book Antiqua" w:hAnsi="Book Antiqua" w:cs="Times New Roman"/>
                <w:b/>
                <w:bCs/>
                <w:color w:val="000000" w:themeColor="text1"/>
                <w:lang w:val="en-US"/>
              </w:rPr>
            </w:pPr>
          </w:p>
        </w:tc>
        <w:tc>
          <w:tcPr>
            <w:tcW w:w="401" w:type="pct"/>
            <w:vMerge/>
            <w:tcBorders>
              <w:top w:val="single" w:sz="4" w:space="0" w:color="auto"/>
              <w:bottom w:val="single" w:sz="4" w:space="0" w:color="auto"/>
            </w:tcBorders>
            <w:vAlign w:val="center"/>
          </w:tcPr>
          <w:p w14:paraId="222CF854"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p>
        </w:tc>
      </w:tr>
      <w:tr w:rsidR="008E3F16" w:rsidRPr="008E3F16" w14:paraId="2BE738B9" w14:textId="77777777" w:rsidTr="00211BB2">
        <w:tc>
          <w:tcPr>
            <w:tcW w:w="330" w:type="pct"/>
            <w:tcBorders>
              <w:top w:val="single" w:sz="4" w:space="0" w:color="auto"/>
            </w:tcBorders>
            <w:vAlign w:val="center"/>
          </w:tcPr>
          <w:p w14:paraId="47008387" w14:textId="0BCA64EA" w:rsidR="00F807E4" w:rsidRPr="008E3F16" w:rsidRDefault="00F807E4"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Bogdanos</w:t>
            </w:r>
            <w:r w:rsidR="00DE2F0F" w:rsidRPr="008E3F16">
              <w:rPr>
                <w:rFonts w:ascii="Book Antiqua" w:hAnsi="Book Antiqua" w:cs="Times New Roman"/>
                <w:color w:val="000000" w:themeColor="text1"/>
                <w:lang w:val="en-US"/>
              </w:rPr>
              <w:t xml:space="preserve"> </w:t>
            </w:r>
            <w:r w:rsidR="00DE2F0F" w:rsidRPr="008E3F16">
              <w:rPr>
                <w:rFonts w:ascii="Book Antiqua" w:hAnsi="Book Antiqua" w:cs="Times New Roman"/>
                <w:i/>
                <w:iCs/>
                <w:color w:val="000000" w:themeColor="text1"/>
                <w:lang w:val="en-US"/>
              </w:rPr>
              <w:t>et al</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{"citationItems":[{"id":"ITEM-1","itemData":{"DOI":"10.1186/1471-230X-12-102","ISSN":"1471-230X","PMID":"22866900","abstract":"BACKGROUND Glycoprotein 2 (GP2) was discovered as the major autoantigen of Crohn's disease (CD)-specific pancreatic autoantibodies (PAB). We investigated anti-GP2 IgA and IgG antibodies as novel serological parameters in CD and assessed their association with distinct disease phenotypes. METHODS Anti-GP2 and anti-Saccharomyces cerevisiae (ASCA) IgA and IgG were detected by ELISA employing recombinant human GP2 and phosphopeptidomannan, respectively and PAB by indirect immunofluorescence (IIF) in 271 sera, 169 with CD and 102 with ulcerative colitis (UC). As healthy controls 160 adult blood donors and 65 children were included. RESULTS Anti-GP2 IgG and/or IgA were more prevalent in CD (51/169, 30.2%) than in UC (9/102, 8.9%) patients and in controls (9/225, 4%) (p</w:instrText>
            </w:r>
            <w:r w:rsidRPr="008E3F16">
              <w:rPr>
                <w:rFonts w:ascii="MS Gothic" w:eastAsia="MS Gothic" w:hAnsi="MS Gothic" w:cs="MS Gothic" w:hint="eastAsia"/>
                <w:color w:val="000000" w:themeColor="text1"/>
                <w:lang w:val="en-US"/>
              </w:rPr>
              <w:instrText> </w:instrText>
            </w:r>
            <w:r w:rsidRPr="008E3F16">
              <w:rPr>
                <w:rFonts w:ascii="Book Antiqua" w:hAnsi="Book Antiqua" w:cs="Times New Roman"/>
                <w:color w:val="000000" w:themeColor="text1"/>
                <w:lang w:val="en-US"/>
              </w:rPr>
              <w:instrText>&lt;</w:instrText>
            </w:r>
            <w:r w:rsidRPr="008E3F16">
              <w:rPr>
                <w:rFonts w:ascii="MS Gothic" w:eastAsia="MS Gothic" w:hAnsi="MS Gothic" w:cs="MS Gothic" w:hint="eastAsia"/>
                <w:color w:val="000000" w:themeColor="text1"/>
                <w:lang w:val="en-US"/>
              </w:rPr>
              <w:instrText> </w:instrText>
            </w:r>
            <w:r w:rsidRPr="008E3F16">
              <w:rPr>
                <w:rFonts w:ascii="Book Antiqua" w:hAnsi="Book Antiqua" w:cs="Times New Roman"/>
                <w:color w:val="000000" w:themeColor="text1"/>
                <w:lang w:val="en-US"/>
              </w:rPr>
              <w:instrText>0.001 respectively). ASCA IgG and/or IgA were present in 60/169 (35.5%) in CD and in 7/102 (6.9%) in UC patients (p</w:instrText>
            </w:r>
            <w:r w:rsidRPr="008E3F16">
              <w:rPr>
                <w:rFonts w:ascii="MS Gothic" w:eastAsia="MS Gothic" w:hAnsi="MS Gothic" w:cs="MS Gothic" w:hint="eastAsia"/>
                <w:color w:val="000000" w:themeColor="text1"/>
                <w:lang w:val="en-US"/>
              </w:rPr>
              <w:instrText> </w:instrText>
            </w:r>
            <w:r w:rsidRPr="008E3F16">
              <w:rPr>
                <w:rFonts w:ascii="Book Antiqua" w:hAnsi="Book Antiqua" w:cs="Times New Roman"/>
                <w:color w:val="000000" w:themeColor="text1"/>
                <w:lang w:val="en-US"/>
              </w:rPr>
              <w:instrText>&lt;</w:instrText>
            </w:r>
            <w:r w:rsidRPr="008E3F16">
              <w:rPr>
                <w:rFonts w:ascii="MS Gothic" w:eastAsia="MS Gothic" w:hAnsi="MS Gothic" w:cs="MS Gothic" w:hint="eastAsia"/>
                <w:color w:val="000000" w:themeColor="text1"/>
                <w:lang w:val="en-US"/>
              </w:rPr>
              <w:instrText> </w:instrText>
            </w:r>
            <w:r w:rsidRPr="008E3F16">
              <w:rPr>
                <w:rFonts w:ascii="Book Antiqua" w:hAnsi="Book Antiqua" w:cs="Times New Roman"/>
                <w:color w:val="000000" w:themeColor="text1"/>
                <w:lang w:val="en-US"/>
              </w:rPr>
              <w:instrText>0.001). CD patients with ileocolonic location (L3) showed a significantly higher prevalence of anti-GP2 and ASCA IgA and/or IgG (40/113 and 48/113, respectively; p</w:instrText>
            </w:r>
            <w:r w:rsidRPr="008E3F16">
              <w:rPr>
                <w:rFonts w:ascii="MS Gothic" w:eastAsia="MS Gothic" w:hAnsi="MS Gothic" w:cs="MS Gothic" w:hint="eastAsia"/>
                <w:color w:val="000000" w:themeColor="text1"/>
                <w:lang w:val="en-US"/>
              </w:rPr>
              <w:instrText> </w:instrText>
            </w:r>
            <w:r w:rsidRPr="008E3F16">
              <w:rPr>
                <w:rFonts w:ascii="Book Antiqua" w:hAnsi="Book Antiqua" w:cs="Times New Roman"/>
                <w:color w:val="000000" w:themeColor="text1"/>
                <w:lang w:val="en-US"/>
              </w:rPr>
              <w:instrText>&lt;</w:instrText>
            </w:r>
            <w:r w:rsidRPr="008E3F16">
              <w:rPr>
                <w:rFonts w:ascii="MS Gothic" w:eastAsia="MS Gothic" w:hAnsi="MS Gothic" w:cs="MS Gothic" w:hint="eastAsia"/>
                <w:color w:val="000000" w:themeColor="text1"/>
                <w:lang w:val="en-US"/>
              </w:rPr>
              <w:instrText> </w:instrText>
            </w:r>
            <w:r w:rsidRPr="008E3F16">
              <w:rPr>
                <w:rFonts w:ascii="Book Antiqua" w:hAnsi="Book Antiqua" w:cs="Times New Roman"/>
                <w:color w:val="000000" w:themeColor="text1"/>
                <w:lang w:val="en-US"/>
              </w:rPr>
              <w:instrText>0.05 for both comparisons), whereas CD patients with colonic location (L2) revealed a significantly diminished prevalence for these autoantibody specificities (2/32 and 5/32, respectively, p</w:instrText>
            </w:r>
            <w:r w:rsidRPr="008E3F16">
              <w:rPr>
                <w:rFonts w:ascii="MS Gothic" w:eastAsia="MS Gothic" w:hAnsi="MS Gothic" w:cs="MS Gothic" w:hint="eastAsia"/>
                <w:color w:val="000000" w:themeColor="text1"/>
                <w:lang w:val="en-US"/>
              </w:rPr>
              <w:instrText> </w:instrText>
            </w:r>
            <w:r w:rsidRPr="008E3F16">
              <w:rPr>
                <w:rFonts w:ascii="Book Antiqua" w:hAnsi="Book Antiqua" w:cs="Times New Roman"/>
                <w:color w:val="000000" w:themeColor="text1"/>
                <w:lang w:val="en-US"/>
              </w:rPr>
              <w:instrText>&lt;</w:instrText>
            </w:r>
            <w:r w:rsidRPr="008E3F16">
              <w:rPr>
                <w:rFonts w:ascii="MS Gothic" w:eastAsia="MS Gothic" w:hAnsi="MS Gothic" w:cs="MS Gothic" w:hint="eastAsia"/>
                <w:color w:val="000000" w:themeColor="text1"/>
                <w:lang w:val="en-US"/>
              </w:rPr>
              <w:instrText> </w:instrText>
            </w:r>
            <w:r w:rsidRPr="008E3F16">
              <w:rPr>
                <w:rFonts w:ascii="Book Antiqua" w:hAnsi="Book Antiqua" w:cs="Times New Roman"/>
                <w:color w:val="000000" w:themeColor="text1"/>
                <w:lang w:val="en-US"/>
              </w:rPr>
              <w:instrText>0.05 for both). Anti-GP2 IgG were significantly more prevalent in CD patients with stricturing behaviour (B2) and perianal disease (7/11, p</w:instrText>
            </w:r>
            <w:r w:rsidRPr="008E3F16">
              <w:rPr>
                <w:rFonts w:ascii="MS Gothic" w:eastAsia="MS Gothic" w:hAnsi="MS Gothic" w:cs="MS Gothic" w:hint="eastAsia"/>
                <w:color w:val="000000" w:themeColor="text1"/>
                <w:lang w:val="en-US"/>
              </w:rPr>
              <w:instrText> </w:instrText>
            </w:r>
            <w:r w:rsidRPr="008E3F16">
              <w:rPr>
                <w:rFonts w:ascii="Book Antiqua" w:hAnsi="Book Antiqua" w:cs="Times New Roman"/>
                <w:color w:val="000000" w:themeColor="text1"/>
                <w:lang w:val="en-US"/>
              </w:rPr>
              <w:instrText>&lt;</w:instrText>
            </w:r>
            <w:r w:rsidRPr="008E3F16">
              <w:rPr>
                <w:rFonts w:ascii="MS Gothic" w:eastAsia="MS Gothic" w:hAnsi="MS Gothic" w:cs="MS Gothic" w:hint="eastAsia"/>
                <w:color w:val="000000" w:themeColor="text1"/>
                <w:lang w:val="en-US"/>
              </w:rPr>
              <w:instrText> </w:instrText>
            </w:r>
            <w:r w:rsidRPr="008E3F16">
              <w:rPr>
                <w:rFonts w:ascii="Book Antiqua" w:hAnsi="Book Antiqua" w:cs="Times New Roman"/>
                <w:color w:val="000000" w:themeColor="text1"/>
                <w:lang w:val="en-US"/>
              </w:rPr>
              <w:instrText>0.02) and less prevalent in those with penetrating behaviour (B3) and perianal disease (4/31, p</w:instrText>
            </w:r>
            <w:r w:rsidRPr="008E3F16">
              <w:rPr>
                <w:rFonts w:ascii="MS Gothic" w:eastAsia="MS Gothic" w:hAnsi="MS Gothic" w:cs="MS Gothic" w:hint="eastAsia"/>
                <w:color w:val="000000" w:themeColor="text1"/>
                <w:lang w:val="en-US"/>
              </w:rPr>
              <w:instrText> </w:instrText>
            </w:r>
            <w:r w:rsidRPr="008E3F16">
              <w:rPr>
                <w:rFonts w:ascii="Book Antiqua" w:hAnsi="Book Antiqua" w:cs="Times New Roman"/>
                <w:color w:val="000000" w:themeColor="text1"/>
                <w:lang w:val="en-US"/>
              </w:rPr>
              <w:instrText>&lt;</w:instrText>
            </w:r>
            <w:r w:rsidRPr="008E3F16">
              <w:rPr>
                <w:rFonts w:ascii="MS Gothic" w:eastAsia="MS Gothic" w:hAnsi="MS Gothic" w:cs="MS Gothic" w:hint="eastAsia"/>
                <w:color w:val="000000" w:themeColor="text1"/>
                <w:lang w:val="en-US"/>
              </w:rPr>
              <w:instrText> </w:instrText>
            </w:r>
            <w:r w:rsidRPr="008E3F16">
              <w:rPr>
                <w:rFonts w:ascii="Book Antiqua" w:hAnsi="Book Antiqua" w:cs="Times New Roman"/>
                <w:color w:val="000000" w:themeColor="text1"/>
                <w:lang w:val="en-US"/>
              </w:rPr>
              <w:instrText>0.05). The occurrence of anti-GP2 IgA and/or IgG was significantly more prevalent in CD patients with age at diagnosis of ≤16</w:instrText>
            </w:r>
            <w:r w:rsidRPr="008E3F16">
              <w:rPr>
                <w:rFonts w:ascii="MS Gothic" w:eastAsia="MS Gothic" w:hAnsi="MS Gothic" w:cs="MS Gothic" w:hint="eastAsia"/>
                <w:color w:val="000000" w:themeColor="text1"/>
                <w:lang w:val="en-US"/>
              </w:rPr>
              <w:instrText> </w:instrText>
            </w:r>
            <w:r w:rsidRPr="008E3F16">
              <w:rPr>
                <w:rFonts w:ascii="Book Antiqua" w:hAnsi="Book Antiqua" w:cs="Times New Roman"/>
                <w:color w:val="000000" w:themeColor="text1"/>
                <w:lang w:val="en-US"/>
              </w:rPr>
              <w:instrText>years (16/31, p</w:instrText>
            </w:r>
            <w:r w:rsidRPr="008E3F16">
              <w:rPr>
                <w:rFonts w:ascii="MS Gothic" w:eastAsia="MS Gothic" w:hAnsi="MS Gothic" w:cs="MS Gothic" w:hint="eastAsia"/>
                <w:color w:val="000000" w:themeColor="text1"/>
                <w:lang w:val="en-US"/>
              </w:rPr>
              <w:instrText> </w:instrText>
            </w:r>
            <w:r w:rsidRPr="008E3F16">
              <w:rPr>
                <w:rFonts w:ascii="Book Antiqua" w:hAnsi="Book Antiqua" w:cs="Times New Roman"/>
                <w:color w:val="000000" w:themeColor="text1"/>
                <w:lang w:val="en-US"/>
              </w:rPr>
              <w:instrText>&lt;</w:instrText>
            </w:r>
            <w:r w:rsidRPr="008E3F16">
              <w:rPr>
                <w:rFonts w:ascii="MS Gothic" w:eastAsia="MS Gothic" w:hAnsi="MS Gothic" w:cs="MS Gothic" w:hint="eastAsia"/>
                <w:color w:val="000000" w:themeColor="text1"/>
                <w:lang w:val="en-US"/>
              </w:rPr>
              <w:instrText> </w:instrText>
            </w:r>
            <w:r w:rsidRPr="008E3F16">
              <w:rPr>
                <w:rFonts w:ascii="Book Antiqua" w:hAnsi="Book Antiqua" w:cs="Times New Roman"/>
                <w:color w:val="000000" w:themeColor="text1"/>
                <w:lang w:val="en-US"/>
              </w:rPr>
              <w:instrText>0.009). Prevalence of one or more anti-GP2 or ASCA IgA and/or IgG was significantly higher in L3, B2, and A1 and lower in L2 (68/113, 27/41, 23/31, 6/32; p</w:instrText>
            </w:r>
            <w:r w:rsidRPr="008E3F16">
              <w:rPr>
                <w:rFonts w:ascii="MS Gothic" w:eastAsia="MS Gothic" w:hAnsi="MS Gothic" w:cs="MS Gothic" w:hint="eastAsia"/>
                <w:color w:val="000000" w:themeColor="text1"/>
                <w:lang w:val="en-US"/>
              </w:rPr>
              <w:instrText> </w:instrText>
            </w:r>
            <w:r w:rsidRPr="008E3F16">
              <w:rPr>
                <w:rFonts w:ascii="Book Antiqua" w:hAnsi="Book Antiqua" w:cs="Times New Roman"/>
                <w:color w:val="000000" w:themeColor="text1"/>
                <w:lang w:val="en-US"/>
              </w:rPr>
              <w:instrText>&lt;</w:instrText>
            </w:r>
            <w:r w:rsidRPr="008E3F16">
              <w:rPr>
                <w:rFonts w:ascii="MS Gothic" w:eastAsia="MS Gothic" w:hAnsi="MS Gothic" w:cs="MS Gothic" w:hint="eastAsia"/>
                <w:color w:val="000000" w:themeColor="text1"/>
                <w:lang w:val="en-US"/>
              </w:rPr>
              <w:instrText> </w:instrText>
            </w:r>
            <w:r w:rsidRPr="008E3F16">
              <w:rPr>
                <w:rFonts w:ascii="Book Antiqua" w:hAnsi="Book Antiqua" w:cs="Times New Roman"/>
                <w:color w:val="000000" w:themeColor="text1"/>
                <w:lang w:val="en-US"/>
              </w:rPr>
              <w:instrText>0.04, respectively). CONCLUSIONS Anti-GP2 IgG and IgA, constituting novel CD specific autoantibodies, appear to be associated with distinct disease phenotypes identifying patients at a younger age, with ileocolonic location, and stricturing behaviour with perianal disease.","author":[{"dropping-particle":"","family":"Bogdanos","given":"Dimitrios P","non-dropping-particle":"","parse-names":false,"suffix":""},{"dropping-particle":"","family":"Roggenbuck","given":"Dirk","non-dropping-particle":"","parse-names":false,"suffix":""},{"dropping-particle":"","family":"Reinhold","given":"Dirk","non-dropping-particle":"","parse-names":false,"suffix":""},{"dropping-particle":"","family":"Wex","given":"Thomas","non-dropping-particle":"","parse-names":false,"suffix":""},{"dropping-particle":"","family":"Pavlidis","given":"Polychronis","non-dropping-particle":"","parse-names":false,"suffix":""},{"dropping-particle":"","family":"Arnim","given":"Ulrike","non-dropping-particle":"von","parse-names":false,"suffix":""},{"dropping-particle":"","family":"Malfertheiner","given":"Peter","non-dropping-particle":"","parse-names":false,"suffix":""},{"dropping-particle":"","family":"Forbes","given":"Alastair","non-dropping-particle":"","parse-names":false,"suffix":""},{"dropping-particle":"","family":"Conrad","given":"Karsten","non-dropping-particle":"","parse-names":false,"suffix":""},{"dropping-particle":"","family":"Laass","given":"Martin W","non-dropping-particle":"","parse-names":false,"suffix":""}],"container-title":"BMC gastroenterology","id":"ITEM-1","issue":"1","issued":{"date-parts":[["2012","8","6"]]},"page":"102","title":"Pancreatic-specific autoantibodies to glycoprotein 2 mirror disease location and behaviour in younger patients with Crohn's disease.","type":"article-journal","volume":"12"},"uris":["http://www.mendeley.com/documents/?uuid=cae9d9ee-272a-3aac-a9f4-fb15b91f3e74"]}],"mendeley":{"formattedCitation":"&lt;sup&gt;[41]&lt;/sup&gt;","plainTextFormattedCitation":"[41]","previouslyFormattedCitation":"&lt;sup&gt;[41]&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[41]</w:t>
            </w:r>
            <w:r w:rsidRPr="008E3F16">
              <w:rPr>
                <w:rFonts w:ascii="Book Antiqua" w:hAnsi="Book Antiqua" w:cs="Times New Roman"/>
                <w:color w:val="000000" w:themeColor="text1"/>
                <w:lang w:val="en-US"/>
              </w:rPr>
              <w:fldChar w:fldCharType="end"/>
            </w:r>
          </w:p>
        </w:tc>
        <w:tc>
          <w:tcPr>
            <w:tcW w:w="328" w:type="pct"/>
            <w:tcBorders>
              <w:top w:val="single" w:sz="4" w:space="0" w:color="auto"/>
            </w:tcBorders>
            <w:vAlign w:val="center"/>
          </w:tcPr>
          <w:p w14:paraId="1727A462" w14:textId="5469BA9B" w:rsidR="001A6B8B" w:rsidRPr="008E3F16" w:rsidRDefault="001A6B8B"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Germany;</w:t>
            </w:r>
          </w:p>
          <w:p w14:paraId="3D85008C" w14:textId="03EA580C" w:rsidR="00F807E4" w:rsidRPr="008E3F16" w:rsidRDefault="001A6B8B"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United Kingdom</w:t>
            </w:r>
          </w:p>
        </w:tc>
        <w:tc>
          <w:tcPr>
            <w:tcW w:w="162" w:type="pct"/>
            <w:tcBorders>
              <w:top w:val="single" w:sz="4" w:space="0" w:color="auto"/>
            </w:tcBorders>
            <w:vAlign w:val="center"/>
          </w:tcPr>
          <w:p w14:paraId="3272DB4B"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190" w:type="pct"/>
            <w:tcBorders>
              <w:top w:val="single" w:sz="4" w:space="0" w:color="auto"/>
            </w:tcBorders>
            <w:vAlign w:val="center"/>
          </w:tcPr>
          <w:p w14:paraId="7B539D51"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357" w:type="pct"/>
            <w:tcBorders>
              <w:top w:val="single" w:sz="4" w:space="0" w:color="auto"/>
            </w:tcBorders>
            <w:vAlign w:val="center"/>
          </w:tcPr>
          <w:p w14:paraId="02D4E22E" w14:textId="3ED53AB9" w:rsidR="00F807E4" w:rsidRPr="008E3F16" w:rsidRDefault="00F807E4" w:rsidP="00C66188">
            <w:pPr>
              <w:adjustRightInd w:val="0"/>
              <w:snapToGrid w:val="0"/>
              <w:spacing w:line="360" w:lineRule="auto"/>
              <w:ind w:right="-87"/>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Otto-von-Gue-ricke University</w:t>
            </w:r>
            <w:r w:rsidR="007A38A4" w:rsidRPr="008E3F16">
              <w:rPr>
                <w:rFonts w:ascii="Book Antiqua" w:hAnsi="Book Antiqua" w:cs="Times New Roman"/>
                <w:color w:val="000000" w:themeColor="text1"/>
                <w:lang w:val="en-US"/>
              </w:rPr>
              <w:t>;</w:t>
            </w:r>
            <w:r w:rsidR="007A38A4" w:rsidRPr="008E3F16">
              <w:rPr>
                <w:rFonts w:ascii="Book Antiqua" w:hAnsi="Book Antiqua" w:cs="Times New Roman"/>
                <w:color w:val="000000" w:themeColor="text1"/>
                <w:lang w:val="en-US" w:eastAsia="zh-CN"/>
              </w:rPr>
              <w:t xml:space="preserve"> </w:t>
            </w:r>
            <w:r w:rsidRPr="008E3F16">
              <w:rPr>
                <w:rFonts w:ascii="Book Antiqua" w:hAnsi="Book Antiqua" w:cs="Times New Roman"/>
                <w:color w:val="000000" w:themeColor="text1"/>
                <w:lang w:val="en-US"/>
              </w:rPr>
              <w:t>UCL Hospital</w:t>
            </w:r>
            <w:r w:rsidR="007A38A4" w:rsidRPr="008E3F16">
              <w:rPr>
                <w:rFonts w:ascii="Book Antiqua" w:hAnsi="Book Antiqua" w:cs="Times New Roman"/>
                <w:color w:val="000000" w:themeColor="text1"/>
                <w:lang w:val="en-US"/>
              </w:rPr>
              <w:t>; and</w:t>
            </w:r>
            <w:r w:rsidR="007A38A4" w:rsidRPr="008E3F16">
              <w:rPr>
                <w:rFonts w:ascii="Book Antiqua" w:hAnsi="Book Antiqua" w:cs="Times New Roman"/>
                <w:color w:val="000000" w:themeColor="text1"/>
                <w:lang w:val="en-US" w:eastAsia="zh-CN"/>
              </w:rPr>
              <w:t xml:space="preserve"> </w:t>
            </w:r>
            <w:r w:rsidRPr="008E3F16">
              <w:rPr>
                <w:rFonts w:ascii="Book Antiqua" w:hAnsi="Book Antiqua" w:cs="Times New Roman"/>
                <w:color w:val="000000" w:themeColor="text1"/>
                <w:lang w:val="en-US"/>
              </w:rPr>
              <w:t xml:space="preserve">Children’s hospital </w:t>
            </w:r>
            <w:r w:rsidRPr="008E3F16">
              <w:rPr>
                <w:rFonts w:ascii="Book Antiqua" w:hAnsi="Book Antiqua" w:cs="Times New Roman"/>
                <w:color w:val="000000" w:themeColor="text1"/>
                <w:lang w:val="en-US"/>
              </w:rPr>
              <w:lastRenderedPageBreak/>
              <w:t>Technical University Dresden</w:t>
            </w:r>
          </w:p>
        </w:tc>
        <w:tc>
          <w:tcPr>
            <w:tcW w:w="162" w:type="pct"/>
            <w:tcBorders>
              <w:top w:val="single" w:sz="4" w:space="0" w:color="auto"/>
            </w:tcBorders>
            <w:vAlign w:val="center"/>
          </w:tcPr>
          <w:p w14:paraId="3BF5BC61"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NR</w:t>
            </w:r>
          </w:p>
        </w:tc>
        <w:tc>
          <w:tcPr>
            <w:tcW w:w="426" w:type="pct"/>
            <w:tcBorders>
              <w:top w:val="single" w:sz="4" w:space="0" w:color="auto"/>
            </w:tcBorders>
            <w:vAlign w:val="center"/>
          </w:tcPr>
          <w:p w14:paraId="45833CB2" w14:textId="061CAC10" w:rsidR="00F807E4" w:rsidRPr="008E3F16" w:rsidRDefault="00F807E4" w:rsidP="00C66188">
            <w:pPr>
              <w:adjustRightInd w:val="0"/>
              <w:snapToGrid w:val="0"/>
              <w:spacing w:line="360" w:lineRule="auto"/>
              <w:ind w:right="-91"/>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Standard clinical, radiological, en-doscopical </w:t>
            </w:r>
            <w:r w:rsidR="00781C54" w:rsidRPr="008E3F16">
              <w:rPr>
                <w:rFonts w:ascii="Book Antiqua" w:hAnsi="Book Antiqua" w:cs="Times New Roman"/>
                <w:color w:val="000000" w:themeColor="text1"/>
                <w:lang w:val="en-US"/>
              </w:rPr>
              <w:t>and</w:t>
            </w:r>
            <w:r w:rsidRPr="008E3F16">
              <w:rPr>
                <w:rFonts w:ascii="Book Antiqua" w:hAnsi="Book Antiqua" w:cs="Times New Roman"/>
                <w:color w:val="000000" w:themeColor="text1"/>
                <w:lang w:val="en-US"/>
              </w:rPr>
              <w:t xml:space="preserve"> histological criteria</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{"citationItems":[{"id":"ITEM-1","itemData":{"DOI":"10.1136/gut.2005.081950a","ISSN":"0017-5749","PMID":"16481628","author":[{"dropping-particle":"","family":"Stange","given":"E F","non-dropping-particle":"","parse-names":false,"suffix":""},{"dropping-particle":"","family":"Travis","given":"S P L","non-dropping-particle":"","parse-names":false,"suffix":""},{"dropping-particle":"","family":"Vermeire","given":"S","non-dropping-particle":"","parse-names":false,"suffix":""},{"dropping-particle":"","family":"Beglinger","given":"C","non-dropping-particle":"","parse-names":false,"suffix":""},{"dropping-particle":"","family":"Kupcinkas","given":"L","non-dropping-particle":"","parse-names":false,"suffix":""},{"dropping-particle":"","family":"Geboes","given":"K","non-dropping-particle":"","parse-names":false,"suffix":""},{"dropping-particle":"","family":"Barakauskiene","given":"A","non-dropping-particle":"","parse-names":false,"suffix":""},{"dropping-particle":"","family":"Villanacci","given":"V","non-dropping-particle":"","parse-names":false,"suffix":""},{"dropping-particle":"","family":"Herbay","given":"A","non-dropping-particle":"Von","parse-names":false,"suffix":""},{"dropping-particle":"","family":"Warren","given":"B F","non-dropping-particle":"","parse-names":false,"suffix":""},{"dropping-particle":"","family":"Gasche","given":"C","non-dropping-particle":"","parse-names":false,"suffix":""},{"dropping-particle":"","family":"Tilg","given":"H","non-dropping-particle":"","parse-names":false,"suffix":""},{"dropping-particle":"","family":"Schreiber","given":"Stefan W","non-dropping-particle":"","parse-names":false,"suffix":""},{"dropping-particle":"","family":"Schölmerich","given":"J","non-dropping-particle":"","parse-names":false,"suffix":""},{"dropping-particle":"","family":"Reinisch","given":"W","non-dropping-particle":"","parse-names":false,"suffix":""},{"dropping-particle":"","family":"European Crohn's and Colitis Organisation","given":"","non-dropping-particle":"","parse-names":false,"suffix":""}],"container-title":"Gut","id":"ITEM-1","issue":"suppl_1","issued":{"date-parts":[["2006","3","1"]]},"page":"i1-i15","title":"European evidence based consensus on the diagnosis and management of Crohn's disease: definitions and diagnosis","type":"article-journal","volume":"55"},"uris":["http://www.mendeley.com/documents/?uuid=b58cb24f-3191-3ea9-8d87-e93eaf5f02b1"]},{"id":"ITEM-2","itemData":{"ISSN":"0277-2116","PMID":"15990620","abstract":"Ulcerative colitis and Crohn disease may present before the age of 20 years in 25% to 30% of all patients with inflammatory bowel disease. Reported incidence figures vary considerably depending on the collection of data. Multicenter, multinational collaboration is needed when studying pediatric inflammatory bowel disease. The essential first step is uniformity in the work-up and criteria used for diagnosis. The Porto diagnostic criteria presented here provide the tool that is needed. These criteria are the result of consensus reached by the ESPGHAN inflammatory bowel disease working group. Diagnosis of Crohn disease, ulcerative colitis and indeterminate colitis is based on clinical signs and symptoms, endoscopy and histology and radiology. Every child suspected of inflammatory bowel disease should undergo a complete diagnostic program consisting of colonoscopy with ileal intubation, upper gastrointestinal endoscopy and (in all cases except in definite ulcerative colitis) radiologic contrast imaging of the small bowel. Multiple biopsies from all segments of the gastrointestinal tract are needed for a complete histologic evaluation. A diagnosis of indeterminate colitis cannot be made unless a full diagnostic program has been performed.","author":[{"dropping-particle":"","family":"IBD Working Group of the European Society for Paediatric Gastroenterology, Hepatology and Nutrition","given":"","non-dropping-particle":"","parse-names":false,"suffix":""}],"container-title":"Journal of pediatric gastroenterology and nutrition","id":"ITEM-2","issue":"1","issued":{"date-parts":[["2005","7"]]},"page":"1-7","title":"Inflammatory bowel disease in children and adolescents: recommendations for diagnosis--the Porto criteria.","type":"article-journal","volume":"41"},"uris":["http://www.mendeley.com/documents/?uuid=be6b551a-aae9-320a-b15a-079b22309168"]}],"mendeley":{"formattedCitation":"&lt;sup&gt;[8,9]&lt;/sup&gt;","plainTextFormattedCitation":"[8,9]","previouslyFormattedCitation":"&lt;sup&gt;[8,9]&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[8,9]</w:t>
            </w:r>
            <w:r w:rsidRPr="008E3F16">
              <w:rPr>
                <w:rFonts w:ascii="Book Antiqua" w:hAnsi="Book Antiqua" w:cs="Times New Roman"/>
                <w:color w:val="000000" w:themeColor="text1"/>
                <w:lang w:val="en-US"/>
              </w:rPr>
              <w:fldChar w:fldCharType="end"/>
            </w:r>
          </w:p>
        </w:tc>
        <w:tc>
          <w:tcPr>
            <w:tcW w:w="177" w:type="pct"/>
            <w:tcBorders>
              <w:top w:val="single" w:sz="4" w:space="0" w:color="auto"/>
            </w:tcBorders>
            <w:vAlign w:val="center"/>
          </w:tcPr>
          <w:p w14:paraId="56BC4A69"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291" w:type="pct"/>
            <w:tcBorders>
              <w:top w:val="single" w:sz="4" w:space="0" w:color="auto"/>
            </w:tcBorders>
            <w:vAlign w:val="center"/>
          </w:tcPr>
          <w:p w14:paraId="0624E4F9" w14:textId="77777777" w:rsidR="00F807E4" w:rsidRPr="008E3F16" w:rsidRDefault="00F807E4" w:rsidP="00C66188">
            <w:pPr>
              <w:adjustRightInd w:val="0"/>
              <w:snapToGrid w:val="0"/>
              <w:spacing w:line="360" w:lineRule="auto"/>
              <w:ind w:right="-487"/>
              <w:rPr>
                <w:rFonts w:ascii="Book Antiqua" w:hAnsi="Book Antiqua" w:cs="Times New Roman"/>
                <w:color w:val="000000" w:themeColor="text1"/>
                <w:lang w:val="en-US"/>
              </w:rPr>
            </w:pPr>
            <w:r w:rsidRPr="008E3F16">
              <w:rPr>
                <w:rFonts w:ascii="Book Antiqua" w:hAnsi="Book Antiqua" w:cs="Times New Roman"/>
                <w:color w:val="000000" w:themeColor="text1"/>
                <w:lang w:val="en-US"/>
              </w:rPr>
              <w:t>ELISA</w:t>
            </w:r>
          </w:p>
        </w:tc>
        <w:tc>
          <w:tcPr>
            <w:tcW w:w="365" w:type="pct"/>
            <w:tcBorders>
              <w:top w:val="single" w:sz="4" w:space="0" w:color="auto"/>
            </w:tcBorders>
            <w:vAlign w:val="center"/>
          </w:tcPr>
          <w:p w14:paraId="5070CA38" w14:textId="05701143" w:rsidR="00F807E4" w:rsidRPr="008E3F16" w:rsidRDefault="00F807E4" w:rsidP="00C66188">
            <w:pPr>
              <w:adjustRightInd w:val="0"/>
              <w:snapToGrid w:val="0"/>
              <w:spacing w:line="360" w:lineRule="auto"/>
              <w:ind w:right="-54"/>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GA (Dahlewitz/Berlin Germany)</w:t>
            </w:r>
          </w:p>
        </w:tc>
        <w:tc>
          <w:tcPr>
            <w:tcW w:w="253" w:type="pct"/>
            <w:tcBorders>
              <w:top w:val="single" w:sz="4" w:space="0" w:color="auto"/>
            </w:tcBorders>
            <w:vAlign w:val="center"/>
          </w:tcPr>
          <w:p w14:paraId="120AB52A"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Total</w:t>
            </w:r>
          </w:p>
        </w:tc>
        <w:tc>
          <w:tcPr>
            <w:tcW w:w="162" w:type="pct"/>
            <w:tcBorders>
              <w:top w:val="single" w:sz="4" w:space="0" w:color="auto"/>
            </w:tcBorders>
            <w:vAlign w:val="center"/>
          </w:tcPr>
          <w:p w14:paraId="3FD4D889"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No</w:t>
            </w:r>
          </w:p>
        </w:tc>
        <w:tc>
          <w:tcPr>
            <w:tcW w:w="276" w:type="pct"/>
            <w:tcBorders>
              <w:top w:val="single" w:sz="4" w:space="0" w:color="auto"/>
            </w:tcBorders>
            <w:vAlign w:val="center"/>
          </w:tcPr>
          <w:p w14:paraId="53BBCD4B" w14:textId="07CC3139"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IgA 20</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IgG 20</w:t>
            </w:r>
          </w:p>
        </w:tc>
        <w:tc>
          <w:tcPr>
            <w:tcW w:w="213" w:type="pct"/>
            <w:tcBorders>
              <w:top w:val="single" w:sz="4" w:space="0" w:color="auto"/>
            </w:tcBorders>
            <w:vAlign w:val="center"/>
          </w:tcPr>
          <w:p w14:paraId="53E2F4BB" w14:textId="2DD1CAD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CD </w:t>
            </w:r>
            <w:r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169</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UC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102</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HC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225</w:t>
            </w:r>
          </w:p>
        </w:tc>
        <w:tc>
          <w:tcPr>
            <w:tcW w:w="218" w:type="pct"/>
            <w:tcBorders>
              <w:top w:val="single" w:sz="4" w:space="0" w:color="auto"/>
            </w:tcBorders>
            <w:vAlign w:val="center"/>
          </w:tcPr>
          <w:p w14:paraId="44D38160" w14:textId="77777777" w:rsidR="00F807E4" w:rsidRPr="008E3F16" w:rsidRDefault="00F807E4" w:rsidP="00C66188">
            <w:pPr>
              <w:adjustRightInd w:val="0"/>
              <w:snapToGrid w:val="0"/>
              <w:spacing w:line="360" w:lineRule="auto"/>
              <w:ind w:right="-628"/>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145" w:type="pct"/>
            <w:tcBorders>
              <w:top w:val="single" w:sz="4" w:space="0" w:color="auto"/>
            </w:tcBorders>
            <w:vAlign w:val="center"/>
          </w:tcPr>
          <w:p w14:paraId="011718BE"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232" w:type="pct"/>
            <w:tcBorders>
              <w:top w:val="single" w:sz="4" w:space="0" w:color="auto"/>
            </w:tcBorders>
            <w:vAlign w:val="center"/>
          </w:tcPr>
          <w:p w14:paraId="67E977FA" w14:textId="1F092F9D"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CD 60.3%</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UC 55.9%</w:t>
            </w:r>
          </w:p>
        </w:tc>
        <w:tc>
          <w:tcPr>
            <w:tcW w:w="312" w:type="pct"/>
            <w:tcBorders>
              <w:top w:val="single" w:sz="4" w:space="0" w:color="auto"/>
            </w:tcBorders>
            <w:vAlign w:val="center"/>
          </w:tcPr>
          <w:p w14:paraId="3578AA63" w14:textId="6A84A3B9"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CD 36 (8–87)</w:t>
            </w:r>
            <w:r w:rsidRPr="008E3F16">
              <w:rPr>
                <w:rFonts w:ascii="Book Antiqua" w:hAnsi="Book Antiqua" w:cs="Times New Roman"/>
                <w:color w:val="000000" w:themeColor="text1"/>
                <w:vertAlign w:val="superscript"/>
                <w:lang w:val="en-US"/>
              </w:rPr>
              <w:t>1</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UC 47 (17–92)</w:t>
            </w:r>
            <w:r w:rsidRPr="008E3F16">
              <w:rPr>
                <w:rFonts w:ascii="Book Antiqua" w:hAnsi="Book Antiqua" w:cs="Times New Roman"/>
                <w:color w:val="000000" w:themeColor="text1"/>
                <w:vertAlign w:val="superscript"/>
                <w:lang w:val="en-US"/>
              </w:rPr>
              <w:t>1</w:t>
            </w:r>
          </w:p>
        </w:tc>
        <w:tc>
          <w:tcPr>
            <w:tcW w:w="401" w:type="pct"/>
            <w:tcBorders>
              <w:top w:val="single" w:sz="4" w:space="0" w:color="auto"/>
            </w:tcBorders>
            <w:vAlign w:val="center"/>
          </w:tcPr>
          <w:p w14:paraId="4423C91D" w14:textId="0FCE1E0B" w:rsidR="00F807E4" w:rsidRPr="008E3F16" w:rsidRDefault="00F807E4" w:rsidP="00C66188">
            <w:pPr>
              <w:adjustRightInd w:val="0"/>
              <w:snapToGrid w:val="0"/>
              <w:spacing w:line="360" w:lineRule="auto"/>
              <w:ind w:right="-161"/>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Higher Education Funding Council of England;</w:t>
            </w:r>
            <w:r w:rsidRPr="008E3F16">
              <w:rPr>
                <w:rFonts w:ascii="Book Antiqua" w:hAnsi="Book Antiqua" w:cs="Times New Roman"/>
                <w:color w:val="000000" w:themeColor="text1"/>
                <w:lang w:val="en-US" w:eastAsia="zh-CN"/>
              </w:rPr>
              <w:t xml:space="preserve"> </w:t>
            </w:r>
            <w:r w:rsidRPr="008E3F16">
              <w:rPr>
                <w:rFonts w:ascii="Book Antiqua" w:hAnsi="Book Antiqua" w:cs="Times New Roman"/>
                <w:color w:val="000000" w:themeColor="text1"/>
                <w:lang w:val="en-US"/>
              </w:rPr>
              <w:t>Biomedical Research Centre, U</w:t>
            </w:r>
            <w:r w:rsidR="000E3C3A" w:rsidRPr="008E3F16">
              <w:rPr>
                <w:rFonts w:ascii="Book Antiqua" w:hAnsi="Book Antiqua" w:cs="Times New Roman"/>
                <w:color w:val="000000" w:themeColor="text1"/>
                <w:lang w:val="en-US"/>
              </w:rPr>
              <w:t xml:space="preserve">nited </w:t>
            </w:r>
            <w:r w:rsidRPr="008E3F16">
              <w:rPr>
                <w:rFonts w:ascii="Book Antiqua" w:hAnsi="Book Antiqua" w:cs="Times New Roman"/>
                <w:color w:val="000000" w:themeColor="text1"/>
                <w:lang w:val="en-US"/>
              </w:rPr>
              <w:t>K</w:t>
            </w:r>
            <w:r w:rsidR="000E3C3A" w:rsidRPr="008E3F16">
              <w:rPr>
                <w:rFonts w:ascii="Book Antiqua" w:hAnsi="Book Antiqua" w:cs="Times New Roman"/>
                <w:color w:val="000000" w:themeColor="text1"/>
                <w:lang w:val="en-US"/>
              </w:rPr>
              <w:t>ingdom</w:t>
            </w:r>
            <w:r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lastRenderedPageBreak/>
              <w:t xml:space="preserve">NIHR; </w:t>
            </w:r>
            <w:r w:rsidR="007A38A4" w:rsidRPr="008E3F16">
              <w:rPr>
                <w:rFonts w:ascii="Book Antiqua" w:hAnsi="Book Antiqua" w:cs="Times New Roman"/>
                <w:color w:val="000000" w:themeColor="text1"/>
                <w:lang w:val="en-US"/>
              </w:rPr>
              <w:t xml:space="preserve">and </w:t>
            </w:r>
            <w:r w:rsidRPr="008E3F16">
              <w:rPr>
                <w:rFonts w:ascii="Book Antiqua" w:hAnsi="Book Antiqua" w:cs="Times New Roman"/>
                <w:color w:val="000000" w:themeColor="text1"/>
                <w:lang w:val="en-US"/>
              </w:rPr>
              <w:t>Brandenburg Ministry of Economics; and EU</w:t>
            </w:r>
          </w:p>
        </w:tc>
      </w:tr>
      <w:tr w:rsidR="008E3F16" w:rsidRPr="008E3F16" w14:paraId="5F47349C" w14:textId="77777777" w:rsidTr="00211BB2">
        <w:tc>
          <w:tcPr>
            <w:tcW w:w="330" w:type="pct"/>
            <w:vAlign w:val="center"/>
          </w:tcPr>
          <w:p w14:paraId="6077ED38" w14:textId="1AB63D4A" w:rsidR="00F807E4" w:rsidRPr="008E3F16" w:rsidRDefault="00DE2F0F"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 xml:space="preserve">Bonaci-Nikolic </w:t>
            </w:r>
            <w:r w:rsidRPr="008E3F16">
              <w:rPr>
                <w:rFonts w:ascii="Book Antiqua" w:hAnsi="Book Antiqua" w:cs="Times New Roman"/>
                <w:i/>
                <w:iCs/>
                <w:color w:val="000000" w:themeColor="text1"/>
                <w:lang w:val="en-US"/>
              </w:rPr>
              <w:t>et al</w:t>
            </w:r>
            <w:r w:rsidR="00F807E4" w:rsidRPr="008E3F16">
              <w:rPr>
                <w:rFonts w:ascii="Book Antiqua" w:hAnsi="Book Antiqua" w:cs="Times New Roman"/>
                <w:color w:val="000000" w:themeColor="text1"/>
                <w:lang w:val="en-US"/>
              </w:rPr>
              <w:fldChar w:fldCharType="begin" w:fldLock="1"/>
            </w:r>
            <w:r w:rsidR="00F807E4" w:rsidRPr="008E3F16">
              <w:rPr>
                <w:rFonts w:ascii="Book Antiqua" w:hAnsi="Book Antiqua" w:cs="Times New Roman"/>
                <w:color w:val="000000" w:themeColor="text1"/>
                <w:lang w:val="en-US"/>
              </w:rPr>
              <w:instrText>ADDIN CSL_CITATION {"citationItems":[{"id":"ITEM-1","itemData":{"DOI":"10.1016/j.cca.2012.01.005","ISSN":"1873-3492","PMID":"22269156","author":[{"dropping-particle":"","family":"Bonaci-Nikolic","given":"Branka","non-dropping-particle":"","parse-names":false,"suffix":""},{"dropping-particle":"","family":"Spuran","given":"Milan","non-dropping-particle":"","parse-names":false,"suffix":""},{"dropping-particle":"","family":"Andrejevic","given":"Sladjana","non-dropping-particle":"","parse-names":false,"suffix":""},{"dropping-particle":"","family":"Nikolic","given":"Milos","non-dropping-particle":"","parse-names":false,"suffix":""}],"container-title":"Clinica chimica acta; international journal of clinical chemistry","id":"ITEM-1","issue":"7-8","issued":{"date-parts":[["2012","4","11"]]},"page":"822-3","title":"Autoantibodies to GP2, the major zymogen granule membrane glycoprotein, in patients with gluten-sensitive enteropathy: a possible serological trap.","type":"article-journal","volume":"413"},"uris":["http://www.mendeley.com/documents/?uuid=d097aba8-e43d-32a6-a76a-485aab3db298"]}],"mendeley":{"formattedCitation":"&lt;sup&gt;[42]&lt;/sup&gt;","plainTextFormattedCitation":"[42]","previouslyFormattedCitation":"&lt;sup&gt;[42]&lt;/sup&gt;"},"properties":{"noteIndex":0},"schema":"https://github.com/citation-style-language/schema/raw/master/csl-citation.json"}</w:instrText>
            </w:r>
            <w:r w:rsidR="00F807E4" w:rsidRPr="008E3F16">
              <w:rPr>
                <w:rFonts w:ascii="Book Antiqua" w:hAnsi="Book Antiqua" w:cs="Times New Roman"/>
                <w:color w:val="000000" w:themeColor="text1"/>
                <w:lang w:val="en-US"/>
              </w:rPr>
              <w:fldChar w:fldCharType="separate"/>
            </w:r>
            <w:r w:rsidR="00F807E4" w:rsidRPr="008E3F16">
              <w:rPr>
                <w:rFonts w:ascii="Book Antiqua" w:hAnsi="Book Antiqua" w:cs="Times New Roman"/>
                <w:noProof/>
                <w:color w:val="000000" w:themeColor="text1"/>
                <w:vertAlign w:val="superscript"/>
                <w:lang w:val="en-US"/>
              </w:rPr>
              <w:t>[42]</w:t>
            </w:r>
            <w:r w:rsidR="00F807E4" w:rsidRPr="008E3F16">
              <w:rPr>
                <w:rFonts w:ascii="Book Antiqua" w:hAnsi="Book Antiqua" w:cs="Times New Roman"/>
                <w:color w:val="000000" w:themeColor="text1"/>
                <w:lang w:val="en-US"/>
              </w:rPr>
              <w:fldChar w:fldCharType="end"/>
            </w:r>
          </w:p>
        </w:tc>
        <w:tc>
          <w:tcPr>
            <w:tcW w:w="328" w:type="pct"/>
            <w:vAlign w:val="center"/>
          </w:tcPr>
          <w:p w14:paraId="73D45947" w14:textId="7A1450EC" w:rsidR="00F807E4" w:rsidRPr="008E3F16" w:rsidRDefault="001A6B8B"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Apple Color Emoji"/>
                <w:color w:val="000000" w:themeColor="text1"/>
                <w:lang w:val="en-US"/>
              </w:rPr>
              <w:t>Serbia</w:t>
            </w:r>
          </w:p>
        </w:tc>
        <w:tc>
          <w:tcPr>
            <w:tcW w:w="162" w:type="pct"/>
            <w:vAlign w:val="center"/>
          </w:tcPr>
          <w:p w14:paraId="3471F420"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190" w:type="pct"/>
            <w:vAlign w:val="center"/>
          </w:tcPr>
          <w:p w14:paraId="12AF48DE"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357" w:type="pct"/>
            <w:vAlign w:val="center"/>
          </w:tcPr>
          <w:p w14:paraId="698B2CEF"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Clinical Center of Serbia</w:t>
            </w:r>
          </w:p>
        </w:tc>
        <w:tc>
          <w:tcPr>
            <w:tcW w:w="162" w:type="pct"/>
            <w:vAlign w:val="center"/>
          </w:tcPr>
          <w:p w14:paraId="1B47C72F"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426" w:type="pct"/>
            <w:vAlign w:val="center"/>
          </w:tcPr>
          <w:p w14:paraId="45576EE6" w14:textId="150182C9" w:rsidR="00F807E4" w:rsidRPr="008E3F16" w:rsidRDefault="00F807E4" w:rsidP="00C66188">
            <w:pPr>
              <w:adjustRightInd w:val="0"/>
              <w:snapToGrid w:val="0"/>
              <w:spacing w:line="360" w:lineRule="auto"/>
              <w:ind w:right="-91"/>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Clinical, endoscopic, histologic, lab findings</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{"citationItems":[{"id":"ITEM-1","itemData":{"DOI":"10.1056/NEJM199603283341307","ISSN":"0028-4793","PMID":"8596552","author":[{"dropping-particle":"","family":"Hanauer","given":"Stephen B.","non-dropping-particle":"","parse-names":false,"suffix":""}],"container-title":"New England Journal of Medicine","editor":[{"dropping-particle":"","family":"Wood","given":"Alastair J.J.","non-dropping-particle":"","parse-names":false,"suffix":""}],"id":"ITEM-1","issue":"13","issued":{"date-parts":[["1996","3","28"]]},"page":"841-848","title":"Inflammatory Bowel Disease","type":"article-journal","volume":"334"},"uris":["http://www.mendeley.com/documents/?uuid=28ce90a2-a4b8-3e47-8d4a-4efcbb49c338"]}],"mendeley":{"formattedCitation":"&lt;sup&gt;[21]&lt;/sup&gt;","plainTextFormattedCitation":"[21]","previouslyFormattedCitation":"&lt;sup&gt;[21]&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[21]</w:t>
            </w:r>
            <w:r w:rsidRPr="008E3F16">
              <w:rPr>
                <w:rFonts w:ascii="Book Antiqua" w:hAnsi="Book Antiqua" w:cs="Times New Roman"/>
                <w:color w:val="000000" w:themeColor="text1"/>
                <w:lang w:val="en-US"/>
              </w:rPr>
              <w:fldChar w:fldCharType="end"/>
            </w:r>
          </w:p>
        </w:tc>
        <w:tc>
          <w:tcPr>
            <w:tcW w:w="177" w:type="pct"/>
            <w:vAlign w:val="center"/>
          </w:tcPr>
          <w:p w14:paraId="464644EC"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291" w:type="pct"/>
            <w:vAlign w:val="center"/>
          </w:tcPr>
          <w:p w14:paraId="6BFF85C8" w14:textId="77777777" w:rsidR="00F807E4" w:rsidRPr="008E3F16" w:rsidRDefault="00F807E4" w:rsidP="00C66188">
            <w:pPr>
              <w:adjustRightInd w:val="0"/>
              <w:snapToGrid w:val="0"/>
              <w:spacing w:line="360" w:lineRule="auto"/>
              <w:ind w:right="-487"/>
              <w:rPr>
                <w:rFonts w:ascii="Book Antiqua" w:hAnsi="Book Antiqua" w:cs="Times New Roman"/>
                <w:color w:val="000000" w:themeColor="text1"/>
                <w:lang w:val="en-US"/>
              </w:rPr>
            </w:pPr>
            <w:r w:rsidRPr="008E3F16">
              <w:rPr>
                <w:rFonts w:ascii="Book Antiqua" w:hAnsi="Book Antiqua" w:cs="Times New Roman"/>
                <w:color w:val="000000" w:themeColor="text1"/>
                <w:lang w:val="en-US"/>
              </w:rPr>
              <w:t>ELISA</w:t>
            </w:r>
          </w:p>
        </w:tc>
        <w:tc>
          <w:tcPr>
            <w:tcW w:w="365" w:type="pct"/>
            <w:vAlign w:val="center"/>
          </w:tcPr>
          <w:p w14:paraId="44BC31E2" w14:textId="3752E2CD" w:rsidR="00F807E4" w:rsidRPr="008E3F16" w:rsidRDefault="00F807E4" w:rsidP="00C66188">
            <w:pPr>
              <w:adjustRightInd w:val="0"/>
              <w:snapToGrid w:val="0"/>
              <w:spacing w:line="360" w:lineRule="auto"/>
              <w:ind w:right="-131"/>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GA (Dahlewitz/Berlin Germany)</w:t>
            </w:r>
          </w:p>
        </w:tc>
        <w:tc>
          <w:tcPr>
            <w:tcW w:w="253" w:type="pct"/>
            <w:vAlign w:val="center"/>
          </w:tcPr>
          <w:p w14:paraId="02D2780F"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Total</w:t>
            </w:r>
          </w:p>
        </w:tc>
        <w:tc>
          <w:tcPr>
            <w:tcW w:w="162" w:type="pct"/>
            <w:vAlign w:val="center"/>
          </w:tcPr>
          <w:p w14:paraId="5F547977"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No</w:t>
            </w:r>
          </w:p>
        </w:tc>
        <w:tc>
          <w:tcPr>
            <w:tcW w:w="276" w:type="pct"/>
            <w:vAlign w:val="center"/>
          </w:tcPr>
          <w:p w14:paraId="03835070" w14:textId="40102CF8"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IgA 20</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IgG 24</w:t>
            </w:r>
          </w:p>
        </w:tc>
        <w:tc>
          <w:tcPr>
            <w:tcW w:w="213" w:type="pct"/>
            <w:vAlign w:val="center"/>
          </w:tcPr>
          <w:p w14:paraId="2F9C8F0B" w14:textId="0B1D2AA0"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CD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33</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UC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23</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GSE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21</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HC </w:t>
            </w:r>
            <w:r w:rsidR="00AA2CB1" w:rsidRPr="008E3F16">
              <w:rPr>
                <w:rFonts w:ascii="Book Antiqua" w:hAnsi="Book Antiqua" w:cs="Times New Roman"/>
                <w:i/>
                <w:iCs/>
                <w:color w:val="000000" w:themeColor="text1"/>
                <w:lang w:val="en-US"/>
              </w:rPr>
              <w:lastRenderedPageBreak/>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13</w:t>
            </w:r>
          </w:p>
        </w:tc>
        <w:tc>
          <w:tcPr>
            <w:tcW w:w="218" w:type="pct"/>
            <w:vAlign w:val="center"/>
          </w:tcPr>
          <w:p w14:paraId="24286400" w14:textId="77777777" w:rsidR="00F807E4" w:rsidRPr="008E3F16" w:rsidRDefault="00F807E4" w:rsidP="00C66188">
            <w:pPr>
              <w:adjustRightInd w:val="0"/>
              <w:snapToGrid w:val="0"/>
              <w:spacing w:line="360" w:lineRule="auto"/>
              <w:ind w:right="-628"/>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NR</w:t>
            </w:r>
          </w:p>
        </w:tc>
        <w:tc>
          <w:tcPr>
            <w:tcW w:w="145" w:type="pct"/>
            <w:vAlign w:val="center"/>
          </w:tcPr>
          <w:p w14:paraId="3C912705"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232" w:type="pct"/>
            <w:vAlign w:val="center"/>
          </w:tcPr>
          <w:p w14:paraId="6F7FADA5" w14:textId="48F7386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rPr>
              <w:t>CD 42.4%</w:t>
            </w:r>
            <w:r w:rsidR="00AA2CB1"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UC 56.5%</w:t>
            </w:r>
            <w:r w:rsidR="00AA2CB1"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GSE 76.2%</w:t>
            </w:r>
            <w:r w:rsidR="00AA2CB1"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lang w:val="en-US"/>
              </w:rPr>
              <w:t xml:space="preserve">HC </w:t>
            </w:r>
            <w:r w:rsidRPr="008E3F16">
              <w:rPr>
                <w:rFonts w:ascii="Book Antiqua" w:hAnsi="Book Antiqua" w:cs="Times New Roman"/>
                <w:color w:val="000000" w:themeColor="text1"/>
                <w:lang w:val="en-US"/>
              </w:rPr>
              <w:lastRenderedPageBreak/>
              <w:t>46.1%</w:t>
            </w:r>
          </w:p>
        </w:tc>
        <w:tc>
          <w:tcPr>
            <w:tcW w:w="312" w:type="pct"/>
            <w:vAlign w:val="center"/>
          </w:tcPr>
          <w:p w14:paraId="10358091" w14:textId="7D89DFFF" w:rsidR="00F807E4" w:rsidRPr="008E3F16" w:rsidRDefault="00F807E4" w:rsidP="00C66188">
            <w:pPr>
              <w:adjustRightInd w:val="0"/>
              <w:snapToGrid w:val="0"/>
              <w:spacing w:line="360" w:lineRule="auto"/>
              <w:jc w:val="center"/>
              <w:rPr>
                <w:rFonts w:ascii="Book Antiqua" w:hAnsi="Book Antiqua" w:cs="Times New Roman"/>
                <w:color w:val="000000" w:themeColor="text1"/>
                <w:vertAlign w:val="superscript"/>
              </w:rPr>
            </w:pPr>
            <w:r w:rsidRPr="008E3F16">
              <w:rPr>
                <w:rFonts w:ascii="Book Antiqua" w:hAnsi="Book Antiqua" w:cs="Times New Roman"/>
                <w:color w:val="000000" w:themeColor="text1"/>
              </w:rPr>
              <w:lastRenderedPageBreak/>
              <w:t>CD 35</w:t>
            </w:r>
            <w:r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rPr>
              <w:t>(19</w:t>
            </w:r>
            <w:r w:rsidRPr="008E3F16">
              <w:rPr>
                <w:rFonts w:ascii="Book Antiqua" w:hAnsi="Book Antiqua" w:cs="Times New Roman"/>
                <w:color w:val="000000" w:themeColor="text1"/>
                <w:lang w:val="en-US"/>
              </w:rPr>
              <w:t>–</w:t>
            </w:r>
            <w:r w:rsidRPr="008E3F16">
              <w:rPr>
                <w:rFonts w:ascii="Book Antiqua" w:hAnsi="Book Antiqua" w:cs="Times New Roman"/>
                <w:color w:val="000000" w:themeColor="text1"/>
              </w:rPr>
              <w:t>63)</w:t>
            </w:r>
            <w:r w:rsidRPr="008E3F16">
              <w:rPr>
                <w:rFonts w:ascii="Book Antiqua" w:hAnsi="Book Antiqua" w:cs="Times New Roman"/>
                <w:color w:val="000000" w:themeColor="text1"/>
                <w:vertAlign w:val="superscript"/>
              </w:rPr>
              <w:t>4</w:t>
            </w:r>
            <w:r w:rsidR="007A38A4" w:rsidRPr="008E3F16">
              <w:rPr>
                <w:rFonts w:ascii="Book Antiqua" w:hAnsi="Book Antiqua" w:cs="Times New Roman"/>
                <w:color w:val="000000" w:themeColor="text1"/>
              </w:rPr>
              <w:t>;</w:t>
            </w:r>
          </w:p>
          <w:p w14:paraId="4205BB14" w14:textId="4EEEA1C4"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rPr>
              <w:t>UC 34</w:t>
            </w:r>
            <w:r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rPr>
              <w:t>(24</w:t>
            </w:r>
            <w:r w:rsidRPr="008E3F16">
              <w:rPr>
                <w:rFonts w:ascii="Book Antiqua" w:hAnsi="Book Antiqua" w:cs="Times New Roman"/>
                <w:color w:val="000000" w:themeColor="text1"/>
                <w:lang w:val="en-US"/>
              </w:rPr>
              <w:t>–</w:t>
            </w:r>
            <w:r w:rsidRPr="008E3F16">
              <w:rPr>
                <w:rFonts w:ascii="Book Antiqua" w:hAnsi="Book Antiqua" w:cs="Times New Roman"/>
                <w:color w:val="000000" w:themeColor="text1"/>
              </w:rPr>
              <w:t>57)</w:t>
            </w:r>
            <w:r w:rsidRPr="008E3F16">
              <w:rPr>
                <w:rFonts w:ascii="Book Antiqua" w:hAnsi="Book Antiqua" w:cs="Times New Roman"/>
                <w:color w:val="000000" w:themeColor="text1"/>
                <w:vertAlign w:val="superscript"/>
                <w:lang w:val="en-US"/>
              </w:rPr>
              <w:t>4</w:t>
            </w:r>
            <w:r w:rsidR="007A38A4"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GSE 31</w:t>
            </w:r>
            <w:r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rPr>
              <w:t>(19</w:t>
            </w:r>
            <w:r w:rsidRPr="008E3F16">
              <w:rPr>
                <w:rFonts w:ascii="Book Antiqua" w:hAnsi="Book Antiqua" w:cs="Times New Roman"/>
                <w:color w:val="000000" w:themeColor="text1"/>
                <w:lang w:val="en-US"/>
              </w:rPr>
              <w:t>–</w:t>
            </w:r>
            <w:r w:rsidRPr="008E3F16">
              <w:rPr>
                <w:rFonts w:ascii="Book Antiqua" w:hAnsi="Book Antiqua" w:cs="Times New Roman"/>
                <w:color w:val="000000" w:themeColor="text1"/>
              </w:rPr>
              <w:t>57)</w:t>
            </w:r>
            <w:r w:rsidRPr="008E3F16">
              <w:rPr>
                <w:rFonts w:ascii="Book Antiqua" w:hAnsi="Book Antiqua" w:cs="Times New Roman"/>
                <w:color w:val="000000" w:themeColor="text1"/>
                <w:vertAlign w:val="superscript"/>
                <w:lang w:val="en-US"/>
              </w:rPr>
              <w:t>4</w:t>
            </w:r>
            <w:r w:rsidR="007A38A4" w:rsidRPr="008E3F16">
              <w:rPr>
                <w:rFonts w:ascii="Book Antiqua" w:hAnsi="Book Antiqua" w:cs="Times New Roman"/>
                <w:color w:val="000000" w:themeColor="text1"/>
              </w:rPr>
              <w:t>;</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HC 41 </w:t>
            </w:r>
            <w:r w:rsidRPr="008E3F16">
              <w:rPr>
                <w:rFonts w:ascii="Book Antiqua" w:hAnsi="Book Antiqua" w:cs="Times New Roman"/>
                <w:color w:val="000000" w:themeColor="text1"/>
                <w:lang w:val="en-US"/>
              </w:rPr>
              <w:lastRenderedPageBreak/>
              <w:t>(22–55)</w:t>
            </w:r>
          </w:p>
        </w:tc>
        <w:tc>
          <w:tcPr>
            <w:tcW w:w="401" w:type="pct"/>
            <w:vAlign w:val="center"/>
          </w:tcPr>
          <w:p w14:paraId="70E6BF56"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None declared</w:t>
            </w:r>
          </w:p>
        </w:tc>
      </w:tr>
      <w:tr w:rsidR="008E3F16" w:rsidRPr="008E3F16" w14:paraId="31D01235" w14:textId="77777777" w:rsidTr="00211BB2">
        <w:tc>
          <w:tcPr>
            <w:tcW w:w="330" w:type="pct"/>
            <w:vAlign w:val="center"/>
          </w:tcPr>
          <w:p w14:paraId="49BA33F1" w14:textId="2C998AF5" w:rsidR="00F807E4" w:rsidRPr="008E3F16" w:rsidRDefault="00F807E4"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Caneparo</w:t>
            </w:r>
            <w:r w:rsidR="00DE2F0F" w:rsidRPr="008E3F16">
              <w:rPr>
                <w:rFonts w:ascii="Book Antiqua" w:hAnsi="Book Antiqua" w:cs="Times New Roman"/>
                <w:i/>
                <w:iCs/>
                <w:color w:val="000000" w:themeColor="text1"/>
                <w:lang w:val="en-US"/>
              </w:rPr>
              <w:t xml:space="preserve"> et al</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{"citationItems":[{"id":"ITEM-1","itemData":{"DOI":"10.1097/MIB.0000000000000926","ISSN":"1536-4844","PMID":"27636380","abstract":"BACKGROUND Inflammatory bowel disease (IBD) is characterized by a chronic inflammation of the gut, partly driven by defects in the expression and function of pattern recognition receptors, including the IFI16 protein. Because this protein is a target for autoantibodies and its aberrant expression was reported in colonic mucosa from active patients with ulcerative colitis, we studied its expression and specific seroresponse in patients with IBD before and after infliximab (IFX) therapy. METHODS Anti-IFI16 antibodies (IgG and IgA subtypes) were measured in the sera of 74 patients with IBD: 48 patients with Crohn's disease (CD) and 26 patients with ulcerative colitis, prospectively harvested before and after IFX therapy. Anti-GP2 antibodies (both IgG and IgA subtypes) were also tested for comparison. The patient antibody statuses were qualitatively and quantitatively associated with disease phenotype and response to IFX therapy. RESULTS Significantly higher titers of anti-IFI16 IgG were found in both CD and ulcerative colitis patients compared with healthy controls. Anti-IFI16 IgA titers were also present in patients with CD. Anti-GP2 IgG subtype titers were significantly increased in patients with CD, as were IgA subtype titers. Significant changes in anti-IFI16 IgG subtype titers were observed after IFX in patients with CD who correlated with clinical remission or response. CONCLUSIONS Our results highlight the importance of IFI16 in IBD pathogenesis showing that its de novo overexpression in the gut epithelial cells leads to a breakdown in immune tolerance and the subsequent development of specific autoantibodies. Anti-IFI16 IgG antibodies hold the potential to serve as a biomarker of response to IFX therapy.","author":[{"dropping-particle":"","family":"Caneparo","given":"Valeria","non-dropping-particle":"","parse-names":false,"suffix":""},{"dropping-particle":"","family":"Pastorelli","given":"Luca","non-dropping-particle":"","parse-names":false,"suffix":""},{"dropping-particle":"","family":"Pisani","given":"Laura Francesca","non-dropping-particle":"","parse-names":false,"suffix":""},{"dropping-particle":"","family":"Bruni","given":"Barbara","non-dropping-particle":"","parse-names":false,"suffix":""},{"dropping-particle":"","family":"Prodam","given":"Flavia","non-dropping-particle":"","parse-names":false,"suffix":""},{"dropping-particle":"","family":"Boldorini","given":"Renzo","non-dropping-particle":"","parse-names":false,"suffix":""},{"dropping-particle":"","family":"Roggenbuck","given":"Dirk","non-dropping-particle":"","parse-names":false,"suffix":""},{"dropping-particle":"","family":"Vecchi","given":"Maurizio","non-dropping-particle":"","parse-names":false,"suffix":""},{"dropping-particle":"","family":"Landolfo","given":"Santo","non-dropping-particle":"","parse-names":false,"suffix":""},{"dropping-particle":"","family":"Gariglio","given":"Marisa","non-dropping-particle":"","parse-names":false,"suffix":""},{"dropping-particle":"","family":"Andrea","given":"Marco","non-dropping-particle":"De","parse-names":false,"suffix":""}],"container-title":"Inflammatory bowel diseases","id":"ITEM-1","issue":"12","issued":{"date-parts":[["2016","12"]]},"page":"2977-2987","title":"Distinct Anti-IFI16 and Anti-GP2 Antibodies in Inflammatory Bowel Disease and Their Variation with Infliximab Therapy.","type":"article-journal","volume":"22"},"uris":["http://www.mendeley.com/documents/?uuid=296539fe-2560-3ec0-b0dd-1c449dee0dc1"]}],"mendeley":{"formattedCitation":"&lt;sup&gt;[43]&lt;/sup&gt;","plainTextFormattedCitation":"[43]","previouslyFormattedCitation":"&lt;sup&gt;[51]&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[43]</w:t>
            </w:r>
            <w:r w:rsidRPr="008E3F16">
              <w:rPr>
                <w:rFonts w:ascii="Book Antiqua" w:hAnsi="Book Antiqua" w:cs="Times New Roman"/>
                <w:color w:val="000000" w:themeColor="text1"/>
                <w:lang w:val="en-US"/>
              </w:rPr>
              <w:fldChar w:fldCharType="end"/>
            </w:r>
          </w:p>
        </w:tc>
        <w:tc>
          <w:tcPr>
            <w:tcW w:w="328" w:type="pct"/>
            <w:vAlign w:val="center"/>
          </w:tcPr>
          <w:p w14:paraId="07677447" w14:textId="0B1A52A3" w:rsidR="00F807E4" w:rsidRPr="008E3F16" w:rsidRDefault="001A6B8B"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Italy</w:t>
            </w:r>
          </w:p>
        </w:tc>
        <w:tc>
          <w:tcPr>
            <w:tcW w:w="162" w:type="pct"/>
            <w:vAlign w:val="center"/>
          </w:tcPr>
          <w:p w14:paraId="26E48576"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190" w:type="pct"/>
            <w:vAlign w:val="center"/>
          </w:tcPr>
          <w:p w14:paraId="27E0C627" w14:textId="5102AD51"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2008–</w:t>
            </w:r>
            <w:r w:rsidR="002B46E0" w:rsidRPr="008E3F16">
              <w:rPr>
                <w:rFonts w:ascii="Book Antiqua" w:hAnsi="Book Antiqua" w:cs="Times New Roman"/>
                <w:color w:val="000000" w:themeColor="text1"/>
                <w:lang w:val="en-US"/>
              </w:rPr>
              <w:t>20</w:t>
            </w:r>
            <w:r w:rsidRPr="008E3F16">
              <w:rPr>
                <w:rFonts w:ascii="Book Antiqua" w:hAnsi="Book Antiqua" w:cs="Times New Roman"/>
                <w:color w:val="000000" w:themeColor="text1"/>
                <w:lang w:val="en-US"/>
              </w:rPr>
              <w:t>14</w:t>
            </w:r>
          </w:p>
        </w:tc>
        <w:tc>
          <w:tcPr>
            <w:tcW w:w="357" w:type="pct"/>
            <w:vAlign w:val="center"/>
          </w:tcPr>
          <w:p w14:paraId="751E882D"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Policlinico San Donato</w:t>
            </w:r>
          </w:p>
        </w:tc>
        <w:tc>
          <w:tcPr>
            <w:tcW w:w="162" w:type="pct"/>
            <w:vAlign w:val="center"/>
          </w:tcPr>
          <w:p w14:paraId="2F5B2786"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426" w:type="pct"/>
            <w:vAlign w:val="center"/>
          </w:tcPr>
          <w:p w14:paraId="6DA24B28" w14:textId="7603097F" w:rsidR="00F807E4" w:rsidRPr="008E3F16" w:rsidRDefault="00F807E4" w:rsidP="00C66188">
            <w:pPr>
              <w:adjustRightInd w:val="0"/>
              <w:snapToGrid w:val="0"/>
              <w:spacing w:line="360" w:lineRule="auto"/>
              <w:ind w:right="-91"/>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Clinical, endoscopic </w:t>
            </w:r>
            <w:r w:rsidR="00781C54" w:rsidRPr="008E3F16">
              <w:rPr>
                <w:rFonts w:ascii="Book Antiqua" w:hAnsi="Book Antiqua" w:cs="Times New Roman"/>
                <w:color w:val="000000" w:themeColor="text1"/>
                <w:lang w:val="en-US"/>
              </w:rPr>
              <w:t>and</w:t>
            </w:r>
            <w:r w:rsidRPr="008E3F16">
              <w:rPr>
                <w:rFonts w:ascii="Book Antiqua" w:hAnsi="Book Antiqua" w:cs="Times New Roman"/>
                <w:color w:val="000000" w:themeColor="text1"/>
                <w:lang w:val="en-US"/>
              </w:rPr>
              <w:t xml:space="preserve"> histologi-cal criteria</w:t>
            </w:r>
          </w:p>
        </w:tc>
        <w:tc>
          <w:tcPr>
            <w:tcW w:w="177" w:type="pct"/>
            <w:vAlign w:val="center"/>
          </w:tcPr>
          <w:p w14:paraId="062A36FE"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291" w:type="pct"/>
            <w:vAlign w:val="center"/>
          </w:tcPr>
          <w:p w14:paraId="53187731" w14:textId="77777777" w:rsidR="00F807E4" w:rsidRPr="008E3F16" w:rsidRDefault="00F807E4" w:rsidP="00C66188">
            <w:pPr>
              <w:adjustRightInd w:val="0"/>
              <w:snapToGrid w:val="0"/>
              <w:spacing w:line="360" w:lineRule="auto"/>
              <w:ind w:right="-487"/>
              <w:rPr>
                <w:rFonts w:ascii="Book Antiqua" w:hAnsi="Book Antiqua" w:cs="Times New Roman"/>
                <w:color w:val="000000" w:themeColor="text1"/>
                <w:lang w:val="en-US"/>
              </w:rPr>
            </w:pPr>
            <w:r w:rsidRPr="008E3F16">
              <w:rPr>
                <w:rFonts w:ascii="Book Antiqua" w:hAnsi="Book Antiqua" w:cs="Times New Roman"/>
                <w:color w:val="000000" w:themeColor="text1"/>
                <w:lang w:val="en-US"/>
              </w:rPr>
              <w:t>ELISA</w:t>
            </w:r>
          </w:p>
        </w:tc>
        <w:tc>
          <w:tcPr>
            <w:tcW w:w="365" w:type="pct"/>
            <w:vAlign w:val="center"/>
          </w:tcPr>
          <w:p w14:paraId="6CA187E9" w14:textId="01D39371" w:rsidR="00F807E4" w:rsidRPr="008E3F16" w:rsidRDefault="00F807E4" w:rsidP="00C66188">
            <w:pPr>
              <w:adjustRightInd w:val="0"/>
              <w:snapToGrid w:val="0"/>
              <w:spacing w:line="360" w:lineRule="auto"/>
              <w:ind w:right="-54"/>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GA (Dahlewitz/Berlin Germany)</w:t>
            </w:r>
          </w:p>
        </w:tc>
        <w:tc>
          <w:tcPr>
            <w:tcW w:w="253" w:type="pct"/>
            <w:vAlign w:val="center"/>
          </w:tcPr>
          <w:p w14:paraId="0BE7F22E"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Total</w:t>
            </w:r>
          </w:p>
        </w:tc>
        <w:tc>
          <w:tcPr>
            <w:tcW w:w="162" w:type="pct"/>
            <w:vAlign w:val="center"/>
          </w:tcPr>
          <w:p w14:paraId="5C427DFD"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276" w:type="pct"/>
            <w:vAlign w:val="center"/>
          </w:tcPr>
          <w:p w14:paraId="52930AAF" w14:textId="0118C76E"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IgA 10</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IgG 15</w:t>
            </w:r>
          </w:p>
        </w:tc>
        <w:tc>
          <w:tcPr>
            <w:tcW w:w="213" w:type="pct"/>
            <w:vAlign w:val="center"/>
          </w:tcPr>
          <w:p w14:paraId="1FD5AB18"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CD n=48</w:t>
            </w:r>
          </w:p>
          <w:p w14:paraId="63118292"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UC n=26</w:t>
            </w:r>
          </w:p>
          <w:p w14:paraId="31CB067D"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HC n=182</w:t>
            </w:r>
          </w:p>
        </w:tc>
        <w:tc>
          <w:tcPr>
            <w:tcW w:w="218" w:type="pct"/>
            <w:vAlign w:val="center"/>
          </w:tcPr>
          <w:p w14:paraId="54C4AF05" w14:textId="77777777" w:rsidR="00F807E4" w:rsidRPr="008E3F16" w:rsidRDefault="00F807E4" w:rsidP="00C66188">
            <w:pPr>
              <w:adjustRightInd w:val="0"/>
              <w:snapToGrid w:val="0"/>
              <w:spacing w:line="360" w:lineRule="auto"/>
              <w:ind w:right="-628"/>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145" w:type="pct"/>
            <w:vAlign w:val="center"/>
          </w:tcPr>
          <w:p w14:paraId="187B22D8"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232" w:type="pct"/>
            <w:vAlign w:val="center"/>
          </w:tcPr>
          <w:p w14:paraId="29D2751B" w14:textId="4D5F0EBE"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CD 47.9%</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UC 19.2%</w:t>
            </w:r>
          </w:p>
        </w:tc>
        <w:tc>
          <w:tcPr>
            <w:tcW w:w="312" w:type="pct"/>
            <w:vAlign w:val="center"/>
          </w:tcPr>
          <w:p w14:paraId="708D2683" w14:textId="2632525C"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CD 41 (16–65)</w:t>
            </w:r>
            <w:r w:rsidRPr="008E3F16">
              <w:rPr>
                <w:rFonts w:ascii="Book Antiqua" w:hAnsi="Book Antiqua" w:cs="Times New Roman"/>
                <w:color w:val="000000" w:themeColor="text1"/>
                <w:vertAlign w:val="superscript"/>
                <w:lang w:val="en-US"/>
              </w:rPr>
              <w:t>4</w:t>
            </w:r>
            <w:r w:rsidR="007A38A4" w:rsidRPr="008E3F16">
              <w:rPr>
                <w:rFonts w:ascii="Book Antiqua" w:hAnsi="Book Antiqua" w:cs="Times New Roman"/>
                <w:color w:val="000000" w:themeColor="text1"/>
              </w:rPr>
              <w:t>;</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UC 39 (17–62)</w:t>
            </w:r>
            <w:r w:rsidRPr="008E3F16">
              <w:rPr>
                <w:rFonts w:ascii="Book Antiqua" w:hAnsi="Book Antiqua" w:cs="Times New Roman"/>
                <w:color w:val="000000" w:themeColor="text1"/>
                <w:vertAlign w:val="superscript"/>
                <w:lang w:val="en-US"/>
              </w:rPr>
              <w:t>4</w:t>
            </w:r>
          </w:p>
        </w:tc>
        <w:tc>
          <w:tcPr>
            <w:tcW w:w="401" w:type="pct"/>
            <w:vAlign w:val="center"/>
          </w:tcPr>
          <w:p w14:paraId="3BCC907E" w14:textId="3ECF1FCA"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Regione Piemonte and</w:t>
            </w:r>
            <w:r w:rsidRPr="008E3F16">
              <w:rPr>
                <w:rFonts w:ascii="Book Antiqua" w:hAnsi="Book Antiqua" w:cs="Times New Roman"/>
                <w:color w:val="000000" w:themeColor="text1"/>
                <w:lang w:val="en-US" w:eastAsia="zh-CN"/>
              </w:rPr>
              <w:t xml:space="preserve"> </w:t>
            </w:r>
            <w:r w:rsidRPr="008E3F16">
              <w:rPr>
                <w:rFonts w:ascii="Book Antiqua" w:hAnsi="Book Antiqua" w:cs="Times New Roman"/>
                <w:color w:val="000000" w:themeColor="text1"/>
                <w:lang w:val="en-US"/>
              </w:rPr>
              <w:t>Letizia Castelli Schubert Foundation</w:t>
            </w:r>
          </w:p>
        </w:tc>
      </w:tr>
      <w:tr w:rsidR="008E3F16" w:rsidRPr="008E3F16" w14:paraId="31E89DEC" w14:textId="77777777" w:rsidTr="00211BB2">
        <w:tc>
          <w:tcPr>
            <w:tcW w:w="330" w:type="pct"/>
            <w:vAlign w:val="center"/>
          </w:tcPr>
          <w:p w14:paraId="16574C54" w14:textId="6EFE30DC" w:rsidR="00F807E4" w:rsidRPr="008E3F16" w:rsidRDefault="00F807E4"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Cummings</w:t>
            </w:r>
            <w:r w:rsidR="00DE2F0F" w:rsidRPr="008E3F16">
              <w:rPr>
                <w:rFonts w:ascii="Book Antiqua" w:hAnsi="Book Antiqua" w:cs="Times New Roman"/>
                <w:i/>
                <w:iCs/>
                <w:color w:val="000000" w:themeColor="text1"/>
                <w:lang w:val="en-US"/>
              </w:rPr>
              <w:t xml:space="preserve"> et al</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Therapeutics","id":"ITEM-1","issue":"11-12","issued":{"date-parts":[["2018","12","1"]]},"page":"1251-1259","publisher":"John Wiley &amp; Sons, Ltd (10.1111)","title":"Loss of tolerance to glycoprotein 2 isoforms 1 and 4 is associated with Crohn’s disease of the pouch","type":"article-journal","volume":"48"},"uris":["http://www.mendeley.com/documents/?uuid=413ef96f-4c6c-3af1-92b3-c49157b781d6"]}],"mendeley":{"formattedCitation":"&lt;sup&gt;[44]&lt;/sup&gt;","plainTextFormattedCitation":"[44]","previouslyFormattedCitation":"&lt;sup&gt;[52]&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[44]</w:t>
            </w:r>
            <w:r w:rsidRPr="008E3F16">
              <w:rPr>
                <w:rFonts w:ascii="Book Antiqua" w:hAnsi="Book Antiqua" w:cs="Times New Roman"/>
                <w:color w:val="000000" w:themeColor="text1"/>
                <w:lang w:val="en-US"/>
              </w:rPr>
              <w:fldChar w:fldCharType="end"/>
            </w:r>
          </w:p>
        </w:tc>
        <w:tc>
          <w:tcPr>
            <w:tcW w:w="328" w:type="pct"/>
            <w:vAlign w:val="center"/>
          </w:tcPr>
          <w:p w14:paraId="2E17FA86" w14:textId="7A8B1A7A" w:rsidR="00F807E4" w:rsidRPr="008E3F16" w:rsidRDefault="001A6B8B"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United Kingdom</w:t>
            </w:r>
          </w:p>
        </w:tc>
        <w:tc>
          <w:tcPr>
            <w:tcW w:w="162" w:type="pct"/>
            <w:vAlign w:val="center"/>
          </w:tcPr>
          <w:p w14:paraId="68F2AF82"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190" w:type="pct"/>
            <w:vAlign w:val="center"/>
          </w:tcPr>
          <w:p w14:paraId="4143FD58" w14:textId="52210E24"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2009 –</w:t>
            </w:r>
            <w:r w:rsidR="002B46E0" w:rsidRPr="008E3F16">
              <w:rPr>
                <w:rFonts w:ascii="Book Antiqua" w:hAnsi="Book Antiqua" w:cs="Times New Roman"/>
                <w:color w:val="000000" w:themeColor="text1"/>
                <w:lang w:val="en-US"/>
              </w:rPr>
              <w:t>20</w:t>
            </w:r>
            <w:r w:rsidRPr="008E3F16">
              <w:rPr>
                <w:rFonts w:ascii="Book Antiqua" w:hAnsi="Book Antiqua" w:cs="Times New Roman"/>
                <w:color w:val="000000" w:themeColor="text1"/>
                <w:lang w:val="en-US"/>
              </w:rPr>
              <w:t>10</w:t>
            </w:r>
          </w:p>
        </w:tc>
        <w:tc>
          <w:tcPr>
            <w:tcW w:w="357" w:type="pct"/>
            <w:vAlign w:val="center"/>
          </w:tcPr>
          <w:p w14:paraId="685B011E"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Cleveland Clinic</w:t>
            </w:r>
          </w:p>
        </w:tc>
        <w:tc>
          <w:tcPr>
            <w:tcW w:w="162" w:type="pct"/>
            <w:vAlign w:val="center"/>
          </w:tcPr>
          <w:p w14:paraId="0646C82C"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426" w:type="pct"/>
            <w:vAlign w:val="center"/>
          </w:tcPr>
          <w:p w14:paraId="3832885F" w14:textId="6D903AFB" w:rsidR="00F807E4" w:rsidRPr="008E3F16" w:rsidRDefault="00F807E4" w:rsidP="00C66188">
            <w:pPr>
              <w:adjustRightInd w:val="0"/>
              <w:snapToGrid w:val="0"/>
              <w:spacing w:line="360" w:lineRule="auto"/>
              <w:ind w:right="-91"/>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Clinical, endoscopic, radiographic, histopathological criteria</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10.1093/ecco-jcc/jjv213","ISSN":"1876-4479","PMID":"26614685","author":[{"dropping-particle":"","family":"Harbord","given":"Marcus","non-dropping-particle":"","parse-names":false,"suffix":""},{"dropping-particle":"","family":"Annese","given":"Vito","non-dropping-particle":"","parse-names":false,"suffix":""},{"dropping-particle":"","family":"Vavricka","given":"Stephan R.","non-dropping-particle":"","parse-names":false,"suffix":""},{"dropping-particle":"","family":"Allez","given":"Matthieu","non-dropping-particle":"","parse-names":false,"suffix":""},{"dropping-particle":"","family":"Barreiro-de Acosta","given":"Manuel","non-dropping-particle":"","parse-names":false,"suffix":""},{"dropping-particle":"","family":"Boberg","given":"Kirsten Muri","non-dropping-particle":"","parse-names":false,"suffix":""},{"dropping-particle":"","family":"Burisch","given":"Johan","non-dropping-particle":"","parse-names":false,"suffix":""},{"dropping-particle":"","family":"Vos","given":"Martine","non-dropping-particle":"De","parse-names":false,"suffix":""},{"dropping-particle":"","family":"Vries","given":"Anne-Marie","non-dropping-particle":"De","parse-names":false,"suffix":""},{"dropping-particle":"","family":"Dick","given":"Andrew D.","non-dropping-particle":"","parse-names":false,"suffix":""},{"dropping-particle":"","family":"Juillerat","given":"Pascal","non-dropping-particle":"","parse-names":false,"suffix":""},{"dropping-particle":"","family":"Karlsen","given":"Tom H.","non-dropping-particle":"","parse-names":false,"suffix":""},{"dropping-particle":"","family":"Koutroubakis","given":"Ioannis","non-dropping-particle":"","parse-names":false,"suffix":""},{"dropping-particle":"","family":"Lakatos","given":"Peter L.","non-dropping-particle":"","parse-names":false,"suffix":""},{"dropping-particle":"","family":"Orchard","given":"Tim","non-dropping-particle":"","parse-names":false,"suffix":""},{"dropping-particle":"","family":"Papay","given":"Pavol","non-dropping-particle":"","parse-names":false,"suffix":""},{"dropping-particle":"","family":"Raine","given":"Tim","non-dropping-particle":"","parse-names":false,"suffix":""},{"dropping-particle":"","family":"Reinshagen","given":"Max","non-dropping-particle":"","parse-names":false,"suffix":""},{"dropping-particle":"","family":"Thaci","given":"Diamant","non-dropping-particle":"","parse-names":false,"suffix":""},{"dropping-particle":"","family":"Tilg","given":"Herbert","non-dropping-particle":"","parse-names":false,"suffix":""},{"dropping-particle":"","family":"Carbonnel","given":"Franck","non-dropping-particle":"","parse-names":false,"suffix":""},{"dropping-particle":"","family":"European Crohn’s and Colitis Organisation","given":"","non-dropping-particle":"","parse-names":false,"suffix":""}],"container-title":"Journal of Crohn's and Colitis","id":"ITEM-1","issue":"3","issued":{"date-parts":[["2016","3","1"]]},"page":"239-254","title":"The First European Evidence-based Consensus on Extra-intestinal Manifestations in Inflammatory Bowel Disease","type":"article-journal","volume":"10"},"uris":["http://www.mendeley.com/documents/?uuid=3290107c-bd9d-3b25-babe-bfbcaef880eb"]}],"mendeley":{"formattedCitation":"&lt;sup&gt;[22]&lt;/sup&gt;","plainTextFormattedCitation":"[22]","previouslyFormattedCitation":"&lt;sup&gt;[22]&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[22]</w:t>
            </w:r>
            <w:r w:rsidRPr="008E3F16">
              <w:rPr>
                <w:rFonts w:ascii="Book Antiqua" w:hAnsi="Book Antiqua" w:cs="Times New Roman"/>
                <w:color w:val="000000" w:themeColor="text1"/>
                <w:lang w:val="en-US"/>
              </w:rPr>
              <w:fldChar w:fldCharType="end"/>
            </w:r>
          </w:p>
        </w:tc>
        <w:tc>
          <w:tcPr>
            <w:tcW w:w="177" w:type="pct"/>
            <w:vAlign w:val="center"/>
          </w:tcPr>
          <w:p w14:paraId="05A6822D"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291" w:type="pct"/>
            <w:vAlign w:val="center"/>
          </w:tcPr>
          <w:p w14:paraId="30034BF7" w14:textId="77777777" w:rsidR="00F807E4" w:rsidRPr="008E3F16" w:rsidRDefault="00F807E4" w:rsidP="00C66188">
            <w:pPr>
              <w:adjustRightInd w:val="0"/>
              <w:snapToGrid w:val="0"/>
              <w:spacing w:line="360" w:lineRule="auto"/>
              <w:ind w:right="-487"/>
              <w:rPr>
                <w:rFonts w:ascii="Book Antiqua" w:hAnsi="Book Antiqua" w:cs="Times New Roman"/>
                <w:color w:val="000000" w:themeColor="text1"/>
                <w:lang w:val="en-US"/>
              </w:rPr>
            </w:pPr>
            <w:r w:rsidRPr="008E3F16">
              <w:rPr>
                <w:rFonts w:ascii="Book Antiqua" w:hAnsi="Book Antiqua" w:cs="Times New Roman"/>
                <w:color w:val="000000" w:themeColor="text1"/>
                <w:lang w:val="en-US"/>
              </w:rPr>
              <w:t>ELISA</w:t>
            </w:r>
          </w:p>
        </w:tc>
        <w:tc>
          <w:tcPr>
            <w:tcW w:w="365" w:type="pct"/>
            <w:vAlign w:val="center"/>
          </w:tcPr>
          <w:p w14:paraId="0985FDB4" w14:textId="2CCBF5AC" w:rsidR="00F807E4" w:rsidRPr="008E3F16" w:rsidRDefault="00F807E4" w:rsidP="00C66188">
            <w:pPr>
              <w:adjustRightInd w:val="0"/>
              <w:snapToGrid w:val="0"/>
              <w:spacing w:line="360" w:lineRule="auto"/>
              <w:ind w:right="-54"/>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GA (Dahlewitz/Berlin Germany)</w:t>
            </w:r>
          </w:p>
        </w:tc>
        <w:tc>
          <w:tcPr>
            <w:tcW w:w="253" w:type="pct"/>
            <w:vAlign w:val="center"/>
          </w:tcPr>
          <w:p w14:paraId="746293FE" w14:textId="1EF993BF" w:rsidR="00F807E4" w:rsidRPr="008E3F16" w:rsidRDefault="00F807E4" w:rsidP="00C66188">
            <w:pPr>
              <w:adjustRightInd w:val="0"/>
              <w:snapToGrid w:val="0"/>
              <w:spacing w:line="360" w:lineRule="auto"/>
              <w:ind w:right="-329"/>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Isoforms</w:t>
            </w:r>
          </w:p>
          <w:p w14:paraId="04D45A8F" w14:textId="71D61AB0"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GP2</w:t>
            </w:r>
            <w:r w:rsidRPr="008E3F16">
              <w:rPr>
                <w:rFonts w:ascii="Book Antiqua" w:hAnsi="Book Antiqua" w:cs="Times New Roman"/>
                <w:color w:val="000000" w:themeColor="text1"/>
                <w:vertAlign w:val="subscript"/>
                <w:lang w:val="en-US"/>
              </w:rPr>
              <w:t>1</w:t>
            </w:r>
            <w:r w:rsidRPr="008E3F16">
              <w:rPr>
                <w:rFonts w:ascii="Book Antiqua" w:hAnsi="Book Antiqua" w:cs="Times New Roman"/>
                <w:color w:val="000000" w:themeColor="text1"/>
                <w:lang w:val="en-US"/>
              </w:rPr>
              <w:t xml:space="preserve"> </w:t>
            </w:r>
            <w:r w:rsidR="00781C54" w:rsidRPr="008E3F16">
              <w:rPr>
                <w:rFonts w:ascii="Book Antiqua" w:hAnsi="Book Antiqua" w:cs="Times New Roman"/>
                <w:color w:val="000000" w:themeColor="text1"/>
                <w:lang w:val="en-US"/>
              </w:rPr>
              <w:t>and</w:t>
            </w:r>
            <w:r w:rsidRPr="008E3F16">
              <w:rPr>
                <w:rFonts w:ascii="Book Antiqua" w:hAnsi="Book Antiqua" w:cs="Times New Roman"/>
                <w:color w:val="000000" w:themeColor="text1"/>
                <w:lang w:val="en-US"/>
              </w:rPr>
              <w:t xml:space="preserve"> GP2</w:t>
            </w:r>
            <w:r w:rsidRPr="008E3F16">
              <w:rPr>
                <w:rFonts w:ascii="Book Antiqua" w:hAnsi="Book Antiqua" w:cs="Times New Roman"/>
                <w:color w:val="000000" w:themeColor="text1"/>
                <w:vertAlign w:val="subscript"/>
                <w:lang w:val="en-US"/>
              </w:rPr>
              <w:t>4</w:t>
            </w:r>
          </w:p>
        </w:tc>
        <w:tc>
          <w:tcPr>
            <w:tcW w:w="162" w:type="pct"/>
            <w:vAlign w:val="center"/>
          </w:tcPr>
          <w:p w14:paraId="61A2C6FC"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276" w:type="pct"/>
            <w:vAlign w:val="center"/>
          </w:tcPr>
          <w:p w14:paraId="69281E6E" w14:textId="6EF7DB7E" w:rsidR="00F807E4" w:rsidRPr="008E3F16" w:rsidRDefault="00F807E4" w:rsidP="00C66188">
            <w:pPr>
              <w:adjustRightInd w:val="0"/>
              <w:snapToGrid w:val="0"/>
              <w:spacing w:line="360" w:lineRule="auto"/>
              <w:ind w:right="-95"/>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IgA GP2</w:t>
            </w:r>
            <w:r w:rsidRPr="008E3F16">
              <w:rPr>
                <w:rFonts w:ascii="Book Antiqua" w:hAnsi="Book Antiqua" w:cs="Times New Roman"/>
                <w:color w:val="000000" w:themeColor="text1"/>
                <w:vertAlign w:val="subscript"/>
                <w:lang w:val="en-US"/>
              </w:rPr>
              <w:t>1</w:t>
            </w:r>
            <w:r w:rsidRPr="008E3F16">
              <w:rPr>
                <w:rFonts w:ascii="Book Antiqua" w:hAnsi="Book Antiqua" w:cs="Times New Roman"/>
                <w:color w:val="000000" w:themeColor="text1"/>
                <w:lang w:val="en-US"/>
              </w:rPr>
              <w:t xml:space="preserve"> 14</w:t>
            </w:r>
            <w:r w:rsidR="00781C54"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eastAsia="zh-CN"/>
              </w:rPr>
              <w:t xml:space="preserve"> </w:t>
            </w:r>
            <w:r w:rsidRPr="008E3F16">
              <w:rPr>
                <w:rFonts w:ascii="Book Antiqua" w:hAnsi="Book Antiqua" w:cs="Times New Roman"/>
                <w:color w:val="000000" w:themeColor="text1"/>
                <w:lang w:val="en-US"/>
              </w:rPr>
              <w:t>IgA GP2</w:t>
            </w:r>
            <w:r w:rsidRPr="008E3F16">
              <w:rPr>
                <w:rFonts w:ascii="Book Antiqua" w:hAnsi="Book Antiqua" w:cs="Times New Roman"/>
                <w:color w:val="000000" w:themeColor="text1"/>
                <w:vertAlign w:val="subscript"/>
                <w:lang w:val="en-US"/>
              </w:rPr>
              <w:t>4</w:t>
            </w:r>
            <w:r w:rsidRPr="008E3F16">
              <w:rPr>
                <w:rFonts w:ascii="Book Antiqua" w:hAnsi="Book Antiqua" w:cs="Times New Roman"/>
                <w:color w:val="000000" w:themeColor="text1"/>
                <w:lang w:val="en-US"/>
              </w:rPr>
              <w:t xml:space="preserve"> 3.7</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IgG GP2</w:t>
            </w:r>
            <w:r w:rsidRPr="008E3F16">
              <w:rPr>
                <w:rFonts w:ascii="Book Antiqua" w:hAnsi="Book Antiqua" w:cs="Times New Roman"/>
                <w:color w:val="000000" w:themeColor="text1"/>
                <w:vertAlign w:val="subscript"/>
                <w:lang w:val="en-US"/>
              </w:rPr>
              <w:t xml:space="preserve">1 </w:t>
            </w:r>
            <w:r w:rsidRPr="008E3F16">
              <w:rPr>
                <w:rFonts w:ascii="Book Antiqua" w:hAnsi="Book Antiqua" w:cs="Times New Roman"/>
                <w:color w:val="000000" w:themeColor="text1"/>
                <w:lang w:val="en-US"/>
              </w:rPr>
              <w:t>18</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lastRenderedPageBreak/>
              <w:t>IgG GP2</w:t>
            </w:r>
            <w:r w:rsidRPr="008E3F16">
              <w:rPr>
                <w:rFonts w:ascii="Book Antiqua" w:hAnsi="Book Antiqua" w:cs="Times New Roman"/>
                <w:color w:val="000000" w:themeColor="text1"/>
                <w:vertAlign w:val="subscript"/>
                <w:lang w:val="en-US"/>
              </w:rPr>
              <w:t xml:space="preserve">4 </w:t>
            </w:r>
            <w:r w:rsidRPr="008E3F16">
              <w:rPr>
                <w:rFonts w:ascii="Book Antiqua" w:hAnsi="Book Antiqua" w:cs="Times New Roman"/>
                <w:color w:val="000000" w:themeColor="text1"/>
                <w:lang w:val="en-US"/>
              </w:rPr>
              <w:t>15</w:t>
            </w:r>
          </w:p>
        </w:tc>
        <w:tc>
          <w:tcPr>
            <w:tcW w:w="213" w:type="pct"/>
            <w:vAlign w:val="center"/>
          </w:tcPr>
          <w:p w14:paraId="64AEA440" w14:textId="490627CE"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 xml:space="preserve">UC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117</w:t>
            </w:r>
          </w:p>
        </w:tc>
        <w:tc>
          <w:tcPr>
            <w:tcW w:w="218" w:type="pct"/>
            <w:vAlign w:val="center"/>
          </w:tcPr>
          <w:p w14:paraId="1AE0071D"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145" w:type="pct"/>
            <w:vAlign w:val="center"/>
          </w:tcPr>
          <w:p w14:paraId="1F7DB18A"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232" w:type="pct"/>
            <w:vAlign w:val="center"/>
          </w:tcPr>
          <w:p w14:paraId="3410B1FB" w14:textId="6C28AD93"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UC 44.4%</w:t>
            </w:r>
          </w:p>
        </w:tc>
        <w:tc>
          <w:tcPr>
            <w:tcW w:w="312" w:type="pct"/>
            <w:vAlign w:val="center"/>
          </w:tcPr>
          <w:p w14:paraId="7F88C285" w14:textId="34A752B3"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UC 44.3</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13.7</w:t>
            </w:r>
          </w:p>
        </w:tc>
        <w:tc>
          <w:tcPr>
            <w:tcW w:w="401" w:type="pct"/>
            <w:vAlign w:val="center"/>
          </w:tcPr>
          <w:p w14:paraId="3C9B6E70"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Obtained but not disclosed</w:t>
            </w:r>
          </w:p>
        </w:tc>
      </w:tr>
      <w:tr w:rsidR="008E3F16" w:rsidRPr="008E3F16" w14:paraId="125D5F76" w14:textId="77777777" w:rsidTr="00211BB2">
        <w:tc>
          <w:tcPr>
            <w:tcW w:w="330" w:type="pct"/>
            <w:vAlign w:val="center"/>
          </w:tcPr>
          <w:p w14:paraId="43FF3B67" w14:textId="2B9B788D" w:rsidR="00F807E4" w:rsidRPr="008E3F16" w:rsidRDefault="00F807E4" w:rsidP="00C66188">
            <w:pPr>
              <w:adjustRightInd w:val="0"/>
              <w:snapToGrid w:val="0"/>
              <w:spacing w:line="360" w:lineRule="auto"/>
              <w:ind w:right="-43"/>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Degenhardt</w:t>
            </w:r>
            <w:r w:rsidR="00DE2F0F" w:rsidRPr="008E3F16">
              <w:rPr>
                <w:rFonts w:ascii="Book Antiqua" w:hAnsi="Book Antiqua" w:cs="Times New Roman"/>
                <w:i/>
                <w:iCs/>
                <w:color w:val="000000" w:themeColor="text1"/>
                <w:lang w:val="en-US"/>
              </w:rPr>
              <w:t xml:space="preserve"> et al</w:t>
            </w:r>
            <w:r w:rsidRPr="008E3F16">
              <w:rPr>
                <w:rFonts w:ascii="Book Antiqua" w:hAnsi="Book Antiqua" w:cs="Times New Roman"/>
                <w:color w:val="000000" w:themeColor="text1"/>
              </w:rPr>
              <w:fldChar w:fldCharType="begin" w:fldLock="1"/>
            </w:r>
            <w:r w:rsidRPr="008E3F16">
              <w:rPr>
                <w:rFonts w:ascii="Book Antiqua" w:hAnsi="Book Antiqua" w:cs="Times New Roman"/>
                <w:color w:val="000000" w:themeColor="text1"/>
                <w:lang w:val="en-US"/>
              </w:rPr>
              <w:instrText>ADDIN CSL_CITATION {"citationItems":[{"id":"ITEM-1","itemData":{"DOI":"10.1097/MIB.0000000000000936","ISSN":"1536-4844","PMID":"27753692","abstract":"BACKGROUND The presentation of Crohn's disease (CD) is heterogeneous and often leads to serious complications and need for surgery. We tested serum anti-zymogen granule glycoprotein 2 (GP2) antibodies, including its novel isoform alpha, for association with genetic variants, diagnosis, disease stratification, and prediction of CD courses in a combined cross-sectional and cohort study. METHODS Serum samples of 303 CD, 108 ulcerative colitis, 72 other inflammatory gastrointestinal diseases, and 206 controls without predominant gastrointestinal diseases controls (HC) were tested for the presence of Anti-GP2 and Anti-Saccharomyces cervisiae (ASCA) by enzyme-linked immunosorbent assay. Genetic analysis was performed using the Illumina Immunochip. RESULTS GP2 IgA and IgG had the highest discriminatory capability for CD versus ulcerative colitis and CD versus inflammatory gastrointestinal diseases. We identified an association of GP2 IgA and IgG each with 5 distinct single-nucleotide polymorphisms. Levels of anti-GP2 IgG were moderately associated with ileal disease location. Interestingly, both, anti-GP2 IgA and IgG were exclusively associated with the occurrence of stenosis and need for surgery, independently of disease location, but not with fistulizing CD, early disease onset or disease activity. ASCA IgG and IgA were qualitatively and quantitatively linked to CD, CD complications, and need for surgery. Increased levels of ASCA IgG and IgA and positivity for ASCA IgG, but neither levels nor positivity for GP2 IgG or IgA were predictive of the earlier occurrence of complications or surgery. CONCLUSIONS Anti-GP2 antibodies may aid as a tool for diagnosis and differentiation of CD and could indicate a more complicated CD course.","author":[{"dropping-particle":"","family":"Degenhardt","given":"Frauke","non-dropping-particle":"","parse-names":false,"suffix":""},{"dropping-particle":"","family":"Dirmeier","given":"Andrea","non-dropping-particle":"","parse-names":false,"suffix":""},{"dropping-particle":"","family":"Lopez","given":"Rocio","non-dropping-particle":"","parse-names":false,"suffix":""},{"dropping-particle":"","family":"Lang","given":"Sylvia","non-dropping-particle":"","parse-names":false,"suffix":""},{"dropping-particle":"","family":"Kunst","given":"Claudia","non-dropping-particle":"","parse-names":false,"suffix":""},{"dropping-particle":"","family":"Roggenbuck","given":"Dirk","non-dropping-particle":"","parse-names":false,"suffix":""},{"dropping-particle":"","family":"Reinhold","given":"Dirk","non-dropping-particle":"","parse-names":false,"suffix":""},{"dropping-particle":"","family":"Szymczak","given":"Silke","non-dropping-particle":"","parse-names":false,"suffix":""},{"dropping-particle":"","family":"Rogler","given":"Gerhard","non-dropping-particle":"","parse-names":false,"suffix":""},{"dropping-particle":"","family":"Klebl","given":"Frank","non-dropping-particle":"","parse-names":false,"suffix":""},{"dropping-particle":"","family":"Franke","given":"Andre","non-dropping-particle":"","parse-names":false,"suffix":""},{"dropping-particle":"","family":"Rieder","given":"Florian","non-dropping-particle":"","parse-names":false,"suffix":""}],"container-title":"Inflammatory bowel diseases","id":"ITEM-1","issue":"11","issued":{"date-parts":[["2016","11"]]},"page":"2648-2657","title":"Serologic Anti-GP2 Antibodies Are Associated with Genetic Polymorphisms, Fibrostenosis, and Need for Surgical Resection in Crohn's Disease.","type":"article-journal","volume":"22"},"uris":["http://www.mendeley.com/documents/?uuid=0b53a7a7-223a-3fdf-8643-eb7481531624"]}],"mendeley":{"formattedCitation":"&lt;sup&gt;[45]&lt;/sup&gt;","plainTextFormattedCitation":"[45]","previouslyFormattedCitation":"&lt;sup&gt;[53]&lt;/sup&gt;"},"properties":{"noteIndex":0},"schema":"https://github.com/citation-style-language/schema/raw/master/csl-citation.json"}</w:instrText>
            </w:r>
            <w:r w:rsidRPr="008E3F16">
              <w:rPr>
                <w:rFonts w:ascii="Book Antiqua" w:hAnsi="Book Antiqua" w:cs="Times New Roman"/>
                <w:color w:val="000000" w:themeColor="text1"/>
              </w:rPr>
              <w:fldChar w:fldCharType="separate"/>
            </w:r>
            <w:r w:rsidRPr="008E3F16">
              <w:rPr>
                <w:rFonts w:ascii="Book Antiqua" w:hAnsi="Book Antiqua" w:cs="Times New Roman"/>
                <w:noProof/>
                <w:color w:val="000000" w:themeColor="text1"/>
                <w:vertAlign w:val="superscript"/>
                <w:lang w:val="en-US"/>
              </w:rPr>
              <w:t>[45]</w:t>
            </w:r>
            <w:r w:rsidRPr="008E3F16">
              <w:rPr>
                <w:rFonts w:ascii="Book Antiqua" w:hAnsi="Book Antiqua" w:cs="Times New Roman"/>
                <w:color w:val="000000" w:themeColor="text1"/>
                <w:lang w:val="en-US"/>
              </w:rPr>
              <w:fldChar w:fldCharType="end"/>
            </w:r>
          </w:p>
        </w:tc>
        <w:tc>
          <w:tcPr>
            <w:tcW w:w="328" w:type="pct"/>
            <w:vAlign w:val="center"/>
          </w:tcPr>
          <w:p w14:paraId="3196C200" w14:textId="7F10B416" w:rsidR="00F807E4" w:rsidRPr="008E3F16" w:rsidRDefault="001A6B8B"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Germany</w:t>
            </w:r>
          </w:p>
        </w:tc>
        <w:tc>
          <w:tcPr>
            <w:tcW w:w="162" w:type="pct"/>
            <w:vAlign w:val="center"/>
          </w:tcPr>
          <w:p w14:paraId="7F9D3CD5"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190" w:type="pct"/>
            <w:vAlign w:val="center"/>
          </w:tcPr>
          <w:p w14:paraId="4E33B87B" w14:textId="1984A123"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2000–</w:t>
            </w:r>
            <w:r w:rsidR="002B46E0" w:rsidRPr="008E3F16">
              <w:rPr>
                <w:rFonts w:ascii="Book Antiqua" w:hAnsi="Book Antiqua" w:cs="Times New Roman"/>
                <w:color w:val="000000" w:themeColor="text1"/>
                <w:lang w:val="en-US"/>
              </w:rPr>
              <w:t>200</w:t>
            </w:r>
            <w:r w:rsidRPr="008E3F16">
              <w:rPr>
                <w:rFonts w:ascii="Book Antiqua" w:hAnsi="Book Antiqua" w:cs="Times New Roman"/>
                <w:color w:val="000000" w:themeColor="text1"/>
                <w:lang w:val="en-US"/>
              </w:rPr>
              <w:t>6</w:t>
            </w:r>
          </w:p>
        </w:tc>
        <w:tc>
          <w:tcPr>
            <w:tcW w:w="357" w:type="pct"/>
            <w:vAlign w:val="center"/>
          </w:tcPr>
          <w:p w14:paraId="31391F53"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University Medical Center Regensburg</w:t>
            </w:r>
          </w:p>
        </w:tc>
        <w:tc>
          <w:tcPr>
            <w:tcW w:w="162" w:type="pct"/>
            <w:vAlign w:val="center"/>
          </w:tcPr>
          <w:p w14:paraId="7773886B"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426" w:type="pct"/>
            <w:vAlign w:val="center"/>
          </w:tcPr>
          <w:p w14:paraId="4F608B0C" w14:textId="5133941C" w:rsidR="00F807E4" w:rsidRPr="008E3F16" w:rsidRDefault="00F807E4" w:rsidP="00C66188">
            <w:pPr>
              <w:adjustRightInd w:val="0"/>
              <w:snapToGrid w:val="0"/>
              <w:spacing w:line="360" w:lineRule="auto"/>
              <w:ind w:right="-91"/>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European Crohn </w:t>
            </w:r>
            <w:r w:rsidR="00781C54" w:rsidRPr="008E3F16">
              <w:rPr>
                <w:rFonts w:ascii="Book Antiqua" w:hAnsi="Book Antiqua" w:cs="Times New Roman"/>
                <w:color w:val="000000" w:themeColor="text1"/>
                <w:lang w:val="en-US"/>
              </w:rPr>
              <w:t>and</w:t>
            </w:r>
            <w:r w:rsidRPr="008E3F16">
              <w:rPr>
                <w:rFonts w:ascii="Book Antiqua" w:hAnsi="Book Antiqua" w:cs="Times New Roman"/>
                <w:color w:val="000000" w:themeColor="text1"/>
                <w:lang w:val="en-US"/>
              </w:rPr>
              <w:t xml:space="preserve"> Colitis Organization criteria</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10.1016/j.crohns.2009.12.002","ISSN":"18739946","PMID":"21122489","author":[{"dropping-particle":"","family":"Dignass","given":"A.","non-dropping-particle":"","parse-names":false,"suffix":""},{"dropping-particle":"","family":"Assche","given":"G.","non-dropping-particle":"Van","parse-names":false,"suffix":""},{"dropping-particle":"","family":"Lindsay","given":"J.O.","non-dropping-particle":"","parse-names":false,"suffix":""},{"dropping-particle":"","family":"Lémann","given":"M.","non-dropping-particle":"","parse-names":false,"suffix":""},{"dropping-particle":"","family":"Söderholm","given":"J.","non-dropping-particle":"","parse-names":false,"suffix":""},{"dropping-particle":"","family":"Colombel","given":"J.F.","non-dropping-particle":"","parse-names":false,"suffix":""},{"dropping-particle":"","family":"Danese","given":"S.","non-dropping-particle":"","parse-names":false,"suffix":""},{"dropping-particle":"","family":"D'Hoore","given":"A.","non-dropping-particle":"","parse-names":false,"suffix":""},{"dropping-particle":"","family":"Gassull","given":"M.","non-dropping-particle":"","parse-names":false,"suffix":""},{"dropping-particle":"","family":"Gomollón","given":"F.","non-dropping-particle":"","parse-names":false,"suffix":""},{"dropping-particle":"","family":"Hommes","given":"D.W.","non-dropping-particle":"","parse-names":false,"suffix":""},{"dropping-particle":"","family":"Michetti","given":"P.","non-dropping-particle":"","parse-names":false,"suffix":""},{"dropping-particle":"","family":"O'Morain","given":"C.","non-dropping-particle":"","parse-names":false,"suffix":""},{"dropping-particle":"","family":"Öresland","given":"T.","non-dropping-particle":"","parse-names":false,"suffix":""},{"dropping-particle":"","family":"Windsor","given":"A.","non-dropping-particle":"","parse-names":false,"suffix":""},{"dropping-particle":"","family":"Stange","given":"E.F.","non-dropping-particle":"","parse-names":false,"suffix":""},{"dropping-particle":"","family":"Travis","given":"S.P.L.","non-dropping-particle":"","parse-names":false,"suffix":""},{"dropping-particle":"","family":"European Crohn's and Colitis Organisation (ECCO)","given":"","non-dropping-particle":"","parse-names":false,"suffix":""}],"container-title":"Journal of Crohn's and Colitis","id":"ITEM-1","issue":"1","issued":{"date-parts":[["2010","2"]]},"page":"28-62","title":"The second European evidence-based Consensus on the diagnosis and management of Crohn's disease: Current management","type":"article-journal","volume":"4"},"uris":["http://www.mendeley.com/documents/?uuid=0837df63-bb41-3d76-aac3-09511fd9946c"]}],"mendeley":{"formattedCitation":"&lt;sup&gt;[23]&lt;/sup&gt;","plainTextFormattedCitation":"[23]","previouslyFormattedCitation":"&lt;sup&gt;[23]&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[23]</w:t>
            </w:r>
            <w:r w:rsidRPr="008E3F16">
              <w:rPr>
                <w:rFonts w:ascii="Book Antiqua" w:hAnsi="Book Antiqua" w:cs="Times New Roman"/>
                <w:color w:val="000000" w:themeColor="text1"/>
                <w:lang w:val="en-US"/>
              </w:rPr>
              <w:fldChar w:fldCharType="end"/>
            </w:r>
          </w:p>
        </w:tc>
        <w:tc>
          <w:tcPr>
            <w:tcW w:w="177" w:type="pct"/>
            <w:vAlign w:val="center"/>
          </w:tcPr>
          <w:p w14:paraId="45C33010"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291" w:type="pct"/>
            <w:vAlign w:val="center"/>
          </w:tcPr>
          <w:p w14:paraId="64726310" w14:textId="77777777" w:rsidR="00F807E4" w:rsidRPr="008E3F16" w:rsidRDefault="00F807E4"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ELISA</w:t>
            </w:r>
          </w:p>
        </w:tc>
        <w:tc>
          <w:tcPr>
            <w:tcW w:w="365" w:type="pct"/>
            <w:vAlign w:val="center"/>
          </w:tcPr>
          <w:p w14:paraId="134F3B26" w14:textId="279C93FE" w:rsidR="00F807E4" w:rsidRPr="008E3F16" w:rsidRDefault="00F807E4" w:rsidP="00C66188">
            <w:pPr>
              <w:adjustRightInd w:val="0"/>
              <w:snapToGrid w:val="0"/>
              <w:spacing w:line="360" w:lineRule="auto"/>
              <w:ind w:right="-54"/>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GA (Dahlewitz/Berlin Germany)</w:t>
            </w:r>
          </w:p>
        </w:tc>
        <w:tc>
          <w:tcPr>
            <w:tcW w:w="253" w:type="pct"/>
            <w:vAlign w:val="center"/>
          </w:tcPr>
          <w:p w14:paraId="619CEE94" w14:textId="108C0BF5"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Isoform alpha </w:t>
            </w:r>
            <w:r w:rsidR="00781C54" w:rsidRPr="008E3F16">
              <w:rPr>
                <w:rFonts w:ascii="Book Antiqua" w:hAnsi="Book Antiqua" w:cs="Times New Roman"/>
                <w:color w:val="000000" w:themeColor="text1"/>
                <w:lang w:val="en-US"/>
              </w:rPr>
              <w:t>and</w:t>
            </w:r>
            <w:r w:rsidRPr="008E3F16">
              <w:rPr>
                <w:rFonts w:ascii="Book Antiqua" w:hAnsi="Book Antiqua" w:cs="Times New Roman"/>
                <w:color w:val="000000" w:themeColor="text1"/>
                <w:lang w:val="en-US"/>
              </w:rPr>
              <w:t xml:space="preserve"> betta</w:t>
            </w:r>
          </w:p>
        </w:tc>
        <w:tc>
          <w:tcPr>
            <w:tcW w:w="162" w:type="pct"/>
            <w:vAlign w:val="center"/>
          </w:tcPr>
          <w:p w14:paraId="5C79926F"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276" w:type="pct"/>
            <w:vAlign w:val="center"/>
          </w:tcPr>
          <w:p w14:paraId="3EF39107"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p>
        </w:tc>
        <w:tc>
          <w:tcPr>
            <w:tcW w:w="213" w:type="pct"/>
            <w:vAlign w:val="center"/>
          </w:tcPr>
          <w:p w14:paraId="7F7682A1" w14:textId="7D01DCBA"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CD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=303</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UC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=108</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OGD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72</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OPC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206</w:t>
            </w:r>
          </w:p>
        </w:tc>
        <w:tc>
          <w:tcPr>
            <w:tcW w:w="218" w:type="pct"/>
            <w:vAlign w:val="center"/>
          </w:tcPr>
          <w:p w14:paraId="007E66E8" w14:textId="77777777" w:rsidR="00F807E4" w:rsidRPr="008E3F16" w:rsidRDefault="00F807E4" w:rsidP="00C66188">
            <w:pPr>
              <w:adjustRightInd w:val="0"/>
              <w:snapToGrid w:val="0"/>
              <w:spacing w:line="360" w:lineRule="auto"/>
              <w:ind w:right="-628"/>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145" w:type="pct"/>
            <w:vAlign w:val="center"/>
          </w:tcPr>
          <w:p w14:paraId="0C3E950C"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232" w:type="pct"/>
            <w:vAlign w:val="center"/>
          </w:tcPr>
          <w:p w14:paraId="65548DF0" w14:textId="209F90D5"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CD 52.8%</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UC 39.8%</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ODG 36.1%</w:t>
            </w:r>
          </w:p>
        </w:tc>
        <w:tc>
          <w:tcPr>
            <w:tcW w:w="312" w:type="pct"/>
            <w:vAlign w:val="center"/>
          </w:tcPr>
          <w:p w14:paraId="10062318" w14:textId="7198F0B8"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CD 36.1</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12.5</w:t>
            </w:r>
            <w:r w:rsidR="007A38A4" w:rsidRPr="008E3F16">
              <w:rPr>
                <w:rFonts w:ascii="Book Antiqua" w:hAnsi="Book Antiqua" w:cs="Times New Roman"/>
                <w:color w:val="000000" w:themeColor="text1"/>
              </w:rPr>
              <w:t>;</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UC 40.2</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12.8</w:t>
            </w:r>
            <w:r w:rsidR="007A38A4" w:rsidRPr="008E3F16">
              <w:rPr>
                <w:rFonts w:ascii="Book Antiqua" w:hAnsi="Book Antiqua" w:cs="Times New Roman"/>
                <w:color w:val="000000" w:themeColor="text1"/>
              </w:rPr>
              <w:t>;</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OGD 60.3</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13.8</w:t>
            </w:r>
          </w:p>
        </w:tc>
        <w:tc>
          <w:tcPr>
            <w:tcW w:w="401" w:type="pct"/>
            <w:vAlign w:val="center"/>
          </w:tcPr>
          <w:p w14:paraId="1865BF02" w14:textId="0DF242A3" w:rsidR="00F807E4" w:rsidRPr="008E3F16" w:rsidRDefault="00F807E4" w:rsidP="00C66188">
            <w:pPr>
              <w:adjustRightInd w:val="0"/>
              <w:snapToGrid w:val="0"/>
              <w:spacing w:line="360" w:lineRule="auto"/>
              <w:ind w:right="-161"/>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Bundesministerium fu</w:t>
            </w:r>
            <w:r w:rsidRPr="008E3F16">
              <w:rPr>
                <w:rFonts w:ascii="MS Gothic" w:eastAsia="MS Gothic" w:hAnsi="MS Gothic" w:cs="MS Gothic" w:hint="eastAsia"/>
                <w:color w:val="000000" w:themeColor="text1"/>
                <w:lang w:val="en-US"/>
              </w:rPr>
              <w:t>̈</w:t>
            </w:r>
            <w:r w:rsidRPr="008E3F16">
              <w:rPr>
                <w:rFonts w:ascii="Book Antiqua" w:hAnsi="Book Antiqua" w:cs="Times New Roman"/>
                <w:color w:val="000000" w:themeColor="text1"/>
                <w:lang w:val="en-US"/>
              </w:rPr>
              <w:t>r Bildung &amp; Forschung</w:t>
            </w:r>
            <w:r w:rsidR="007A38A4" w:rsidRPr="008E3F16">
              <w:rPr>
                <w:rFonts w:ascii="Book Antiqua" w:hAnsi="Book Antiqua" w:cs="Times New Roman"/>
                <w:color w:val="000000" w:themeColor="text1"/>
                <w:lang w:val="en-US"/>
              </w:rPr>
              <w:t xml:space="preserve"> and </w:t>
            </w:r>
            <w:r w:rsidRPr="008E3F16">
              <w:rPr>
                <w:rFonts w:ascii="Book Antiqua" w:hAnsi="Book Antiqua" w:cs="Times New Roman"/>
                <w:color w:val="000000" w:themeColor="text1"/>
                <w:lang w:val="en-US"/>
              </w:rPr>
              <w:t>Kompetenznetz chron-isch entzu</w:t>
            </w:r>
            <w:r w:rsidRPr="008E3F16">
              <w:rPr>
                <w:rFonts w:ascii="MS Gothic" w:eastAsia="MS Gothic" w:hAnsi="MS Gothic" w:cs="MS Gothic" w:hint="eastAsia"/>
                <w:color w:val="000000" w:themeColor="text1"/>
                <w:lang w:val="en-US"/>
              </w:rPr>
              <w:t>̈</w:t>
            </w:r>
            <w:r w:rsidRPr="008E3F16">
              <w:rPr>
                <w:rFonts w:ascii="Book Antiqua" w:hAnsi="Book Antiqua" w:cs="Times New Roman"/>
                <w:color w:val="000000" w:themeColor="text1"/>
                <w:lang w:val="en-US"/>
              </w:rPr>
              <w:t>ndliche Darmerkrankungen</w:t>
            </w:r>
          </w:p>
        </w:tc>
      </w:tr>
      <w:tr w:rsidR="008E3F16" w:rsidRPr="008E3F16" w14:paraId="65DD4C79" w14:textId="77777777" w:rsidTr="00211BB2">
        <w:tc>
          <w:tcPr>
            <w:tcW w:w="330" w:type="pct"/>
            <w:vAlign w:val="center"/>
          </w:tcPr>
          <w:p w14:paraId="2323DA08" w14:textId="29E14AA3" w:rsidR="00F807E4" w:rsidRPr="008E3F16" w:rsidRDefault="00F807E4"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Gross</w:t>
            </w:r>
            <w:r w:rsidR="00DE2F0F" w:rsidRPr="008E3F16">
              <w:rPr>
                <w:rFonts w:ascii="Book Antiqua" w:hAnsi="Book Antiqua" w:cs="Times New Roman"/>
                <w:i/>
                <w:iCs/>
                <w:color w:val="000000" w:themeColor="text1"/>
                <w:lang w:val="en-US"/>
              </w:rPr>
              <w:t xml:space="preserve"> et al</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{"citationItems":[{"id":"ITEM-1","itemData":{"DOI":"10.15403/jgld.2014.1121.232.sg1","ISSN":"1842-1121","PMID":"24949603","abstract":"BACKGROUND &amp; AIMS In most cases celiac disease (CD) is successfully treated with a gluten-free diet (GFD). However, some patients become refractory to the GFD. Refractory CD (RCD) patients have an increased risk for developing enteropathy associated T-cell lymphoma and early diagnosis is therefore of importance. Currently, RCD diagnosis relies on endoscopy and adequate serological markers are lacking. Antibodies against glycoprotein-2 (GP2A) were described in Crohn's disease (CrD) and active CD but not in ulcerative colitis (UC), suggesting this is a specific marker for small intestinal lesions. METHODS Sera obtained from patients visiting our outpatient clinic for routine serological tests for diagnosis and/or follow-up of inflammatory bowel disease (n=78), active CD (n=45), GFD (n=34) and RCD (n=15) were analysed for GP2A titres. RESULTS Increased GP2A-IgA levels in CrD and active CD as compared to controls (p&lt;0.001) and lack thereof in UC was confirmed. However, we could not confirm the association with small bowel localization within the CrD patient group. Within CD patients, we demonstrated a significant decrease of GP2A-IgA titres upon a GFD and increased levels in RCD patients as compared to patients on a GFD. Although GP2A-IgA was not associated with the degree of villous atrophy, GP2A-IgA levels were able to distinguish RCD patients from GFD patients (ROC AUC=0.79, p=0.002). CONCLUSION Follow-up of GP2A-IgA titres in CD patients on a GFD may help to identify patients at risk for developing RCD.","author":[{"dropping-particle":"","family":"Gross","given":"Sascha","non-dropping-particle":"","parse-names":false,"suffix":""},{"dropping-particle":"","family":"Bakker","given":"Sjoerd F","non-dropping-particle":"","parse-names":false,"suffix":""},{"dropping-particle":"","family":"Bodegraven","given":"Adriaan A","non-dropping-particle":"van","parse-names":false,"suffix":""},{"dropping-particle":"","family":"Hoogstraten","given":"Ingrid M W","non-dropping-particle":"van","parse-names":false,"suffix":""},{"dropping-particle":"","family":"Gelderman","given":"Kyra A","non-dropping-particle":"","parse-names":false,"suffix":""},{"dropping-particle":"","family":"Bouma","given":"Gerd","non-dropping-particle":"","parse-names":false,"suffix":""},{"dropping-particle":"","family":"Mulder","given":"Chris J","non-dropping-particle":"","parse-names":false,"suffix":""},{"dropping-particle":"","family":"Blomberg","given":"B Mary E","non-dropping-particle":"von","parse-names":false,"suffix":""},{"dropping-particle":"","family":"Bontkes","given":"Hetty J","non-dropping-particle":"","parse-names":false,"suffix":""}],"container-title":"Journal of gastrointestinal and liver diseases : JGLD","id":"ITEM-1","issue":"2","issued":{"date-parts":[["2014","6"]]},"page":"127-33","title":"Increased IgA glycoprotein-2 specific antibody titres in refractory celiac disease.","type":"article-journal","volume":"23"},"uris":["http://www.mendeley.com/documents/?uuid=f891648e-269d-3937-ac9f-be69465d0bed"]}],"mendeley":{"formattedCitation":"&lt;sup&gt;[46]&lt;/sup&gt;","plainTextFormattedCitation":"[46]","previouslyFormattedCitation":"&lt;sup&gt;[54]&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[46]</w:t>
            </w:r>
            <w:r w:rsidRPr="008E3F16">
              <w:rPr>
                <w:rFonts w:ascii="Book Antiqua" w:hAnsi="Book Antiqua" w:cs="Times New Roman"/>
                <w:color w:val="000000" w:themeColor="text1"/>
                <w:lang w:val="en-US"/>
              </w:rPr>
              <w:fldChar w:fldCharType="end"/>
            </w:r>
          </w:p>
        </w:tc>
        <w:tc>
          <w:tcPr>
            <w:tcW w:w="328" w:type="pct"/>
            <w:vAlign w:val="center"/>
          </w:tcPr>
          <w:p w14:paraId="3170262C" w14:textId="0C596A94" w:rsidR="00F807E4" w:rsidRPr="008E3F16" w:rsidRDefault="001A6B8B"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Netherlands</w:t>
            </w:r>
          </w:p>
        </w:tc>
        <w:tc>
          <w:tcPr>
            <w:tcW w:w="162" w:type="pct"/>
            <w:vAlign w:val="center"/>
          </w:tcPr>
          <w:p w14:paraId="3675217A"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190" w:type="pct"/>
            <w:vAlign w:val="center"/>
          </w:tcPr>
          <w:p w14:paraId="469227B3"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357" w:type="pct"/>
            <w:vAlign w:val="center"/>
          </w:tcPr>
          <w:p w14:paraId="7009EAD2"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VU University Medical Center Amsterdam</w:t>
            </w:r>
          </w:p>
        </w:tc>
        <w:tc>
          <w:tcPr>
            <w:tcW w:w="162" w:type="pct"/>
            <w:vAlign w:val="center"/>
          </w:tcPr>
          <w:p w14:paraId="4782709A"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426" w:type="pct"/>
            <w:vAlign w:val="center"/>
          </w:tcPr>
          <w:p w14:paraId="4D6C061B"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Lennard-Jones criteria</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[24]</w:t>
            </w:r>
            <w:r w:rsidRPr="008E3F16">
              <w:rPr>
                <w:rFonts w:ascii="Book Antiqua" w:hAnsi="Book Antiqua" w:cs="Times New Roman"/>
                <w:color w:val="000000" w:themeColor="text1"/>
                <w:lang w:val="en-US"/>
              </w:rPr>
              <w:fldChar w:fldCharType="end"/>
            </w:r>
          </w:p>
        </w:tc>
        <w:tc>
          <w:tcPr>
            <w:tcW w:w="177" w:type="pct"/>
            <w:vAlign w:val="center"/>
          </w:tcPr>
          <w:p w14:paraId="44331F56"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291" w:type="pct"/>
            <w:vAlign w:val="center"/>
          </w:tcPr>
          <w:p w14:paraId="31330F28" w14:textId="77777777" w:rsidR="00F807E4" w:rsidRPr="008E3F16" w:rsidRDefault="00F807E4" w:rsidP="00C66188">
            <w:pPr>
              <w:adjustRightInd w:val="0"/>
              <w:snapToGrid w:val="0"/>
              <w:spacing w:line="360" w:lineRule="auto"/>
              <w:ind w:right="-487"/>
              <w:rPr>
                <w:rFonts w:ascii="Book Antiqua" w:hAnsi="Book Antiqua" w:cs="Times New Roman"/>
                <w:color w:val="000000" w:themeColor="text1"/>
                <w:lang w:val="en-US"/>
              </w:rPr>
            </w:pPr>
            <w:r w:rsidRPr="008E3F16">
              <w:rPr>
                <w:rFonts w:ascii="Book Antiqua" w:hAnsi="Book Antiqua" w:cs="Times New Roman"/>
                <w:color w:val="000000" w:themeColor="text1"/>
                <w:lang w:val="en-US"/>
              </w:rPr>
              <w:t>ELISA</w:t>
            </w:r>
          </w:p>
        </w:tc>
        <w:tc>
          <w:tcPr>
            <w:tcW w:w="365" w:type="pct"/>
            <w:vAlign w:val="center"/>
          </w:tcPr>
          <w:p w14:paraId="0ED92D8D" w14:textId="3CE62CD9" w:rsidR="00F807E4" w:rsidRPr="008E3F16" w:rsidRDefault="00F807E4" w:rsidP="00C66188">
            <w:pPr>
              <w:adjustRightInd w:val="0"/>
              <w:snapToGrid w:val="0"/>
              <w:spacing w:line="360" w:lineRule="auto"/>
              <w:ind w:right="-54"/>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GA (Dahlewitz/Berlin Germany)</w:t>
            </w:r>
          </w:p>
        </w:tc>
        <w:tc>
          <w:tcPr>
            <w:tcW w:w="253" w:type="pct"/>
            <w:vAlign w:val="center"/>
          </w:tcPr>
          <w:p w14:paraId="3CB540A8"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Total</w:t>
            </w:r>
          </w:p>
        </w:tc>
        <w:tc>
          <w:tcPr>
            <w:tcW w:w="162" w:type="pct"/>
            <w:vAlign w:val="center"/>
          </w:tcPr>
          <w:p w14:paraId="107E3CFC"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No</w:t>
            </w:r>
          </w:p>
        </w:tc>
        <w:tc>
          <w:tcPr>
            <w:tcW w:w="276" w:type="pct"/>
            <w:vAlign w:val="center"/>
          </w:tcPr>
          <w:p w14:paraId="625F3B65" w14:textId="749E466B"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IgA 20</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IgG 20</w:t>
            </w:r>
          </w:p>
        </w:tc>
        <w:tc>
          <w:tcPr>
            <w:tcW w:w="213" w:type="pct"/>
            <w:vAlign w:val="center"/>
          </w:tcPr>
          <w:p w14:paraId="712E51A2" w14:textId="637A7C0E"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CD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38</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UC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40</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CeD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45</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GFD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34</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RCD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15</w:t>
            </w:r>
          </w:p>
        </w:tc>
        <w:tc>
          <w:tcPr>
            <w:tcW w:w="218" w:type="pct"/>
            <w:vAlign w:val="center"/>
          </w:tcPr>
          <w:p w14:paraId="18FEA00D" w14:textId="77777777" w:rsidR="00F807E4" w:rsidRPr="008E3F16" w:rsidRDefault="00F807E4" w:rsidP="00C66188">
            <w:pPr>
              <w:adjustRightInd w:val="0"/>
              <w:snapToGrid w:val="0"/>
              <w:spacing w:line="360" w:lineRule="auto"/>
              <w:ind w:right="-628"/>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145" w:type="pct"/>
            <w:vAlign w:val="center"/>
          </w:tcPr>
          <w:p w14:paraId="7B4ED149"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232" w:type="pct"/>
            <w:vAlign w:val="center"/>
          </w:tcPr>
          <w:p w14:paraId="6EC409E2" w14:textId="1E416D63" w:rsidR="00F807E4" w:rsidRPr="008E3F16" w:rsidRDefault="00F807E4" w:rsidP="00C66188">
            <w:pPr>
              <w:adjustRightInd w:val="0"/>
              <w:snapToGrid w:val="0"/>
              <w:spacing w:line="360" w:lineRule="auto"/>
              <w:jc w:val="center"/>
              <w:rPr>
                <w:rFonts w:ascii="Book Antiqua" w:hAnsi="Book Antiqua" w:cs="Times New Roman"/>
                <w:color w:val="000000" w:themeColor="text1"/>
              </w:rPr>
            </w:pPr>
            <w:r w:rsidRPr="008E3F16">
              <w:rPr>
                <w:rFonts w:ascii="Book Antiqua" w:hAnsi="Book Antiqua" w:cs="Times New Roman"/>
                <w:color w:val="000000" w:themeColor="text1"/>
              </w:rPr>
              <w:t>CD 71.1%</w:t>
            </w:r>
            <w:r w:rsidR="00AA2CB1"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UC 52.5%</w:t>
            </w:r>
          </w:p>
        </w:tc>
        <w:tc>
          <w:tcPr>
            <w:tcW w:w="312" w:type="pct"/>
            <w:vAlign w:val="center"/>
          </w:tcPr>
          <w:p w14:paraId="56CBF9E0" w14:textId="007BEB8A" w:rsidR="00F807E4" w:rsidRPr="008E3F16" w:rsidRDefault="00F807E4" w:rsidP="00C66188">
            <w:pPr>
              <w:adjustRightInd w:val="0"/>
              <w:snapToGrid w:val="0"/>
              <w:spacing w:line="360" w:lineRule="auto"/>
              <w:jc w:val="center"/>
              <w:rPr>
                <w:rFonts w:ascii="Book Antiqua" w:hAnsi="Book Antiqua" w:cs="Times New Roman"/>
                <w:color w:val="000000" w:themeColor="text1"/>
              </w:rPr>
            </w:pPr>
            <w:r w:rsidRPr="008E3F16">
              <w:rPr>
                <w:rFonts w:ascii="Book Antiqua" w:hAnsi="Book Antiqua" w:cs="Times New Roman"/>
                <w:color w:val="000000" w:themeColor="text1"/>
              </w:rPr>
              <w:t>CD 36.4</w:t>
            </w:r>
            <w:r w:rsidR="007A38A4"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w:t>
            </w:r>
            <w:r w:rsidR="007A38A4"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11.8</w:t>
            </w:r>
            <w:r w:rsidR="007A38A4"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UC 36.5</w:t>
            </w:r>
            <w:r w:rsidR="007A38A4"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w:t>
            </w:r>
            <w:r w:rsidR="007A38A4"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9.6</w:t>
            </w:r>
          </w:p>
        </w:tc>
        <w:tc>
          <w:tcPr>
            <w:tcW w:w="401" w:type="pct"/>
            <w:vAlign w:val="center"/>
          </w:tcPr>
          <w:p w14:paraId="6A3DF498" w14:textId="1FCA24F2"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CD consortium</w:t>
            </w:r>
          </w:p>
        </w:tc>
      </w:tr>
      <w:tr w:rsidR="008E3F16" w:rsidRPr="008E3F16" w14:paraId="5193D360" w14:textId="77777777" w:rsidTr="00211BB2">
        <w:tc>
          <w:tcPr>
            <w:tcW w:w="330" w:type="pct"/>
            <w:vAlign w:val="center"/>
          </w:tcPr>
          <w:p w14:paraId="75CBB551" w14:textId="07D10D19" w:rsidR="00F807E4" w:rsidRPr="008E3F16" w:rsidRDefault="00F807E4"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Michaels</w:t>
            </w:r>
            <w:r w:rsidR="00DE2F0F" w:rsidRPr="008E3F16">
              <w:rPr>
                <w:rFonts w:ascii="Book Antiqua" w:hAnsi="Book Antiqua" w:cs="Times New Roman"/>
                <w:i/>
                <w:iCs/>
                <w:color w:val="000000" w:themeColor="text1"/>
                <w:lang w:val="en-US"/>
              </w:rPr>
              <w:t xml:space="preserve"> et al</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{"citationItems":[{"id":"ITEM-1","itemData":{"DOI":"10.1097/MIB.0000000000000564","ISSN":"1536-4844","PMID":"26273818","abstract":"BACKGROUND Inflammatory bowel disease (IBD) is characterized by a broad spectrum of clinical phenotypes with different outcomes. In the last decades, several IBD-associated autoantibodies have been identified and investigated for their diagnostic relevance. Autoantibodies against the pancreatic glycoproteins (PAB) CUB and zona pellucida-like domains-containing protein 1 (CUZD1), and glycoprotein 2 (GP2) have been demonstrated to possess high specificity for the diagnosis of IBD. Although several studies have shown significant interrelations of anti-GP2 positivity with disease phenotype, associations of clinical phenotypes with anti-CUZD1 are still unknown. The aim was to identify the association of clinical phenotypes with anti-CUZD1 and anti-GP2 in a well-defined German IBD cohort. METHODS Patients with IBD (224 patients with Crohn's disease and 136 patients with ulcerative colitis), who were tested for anti-GP2 and anti-CUZD1 immunoglobulin G and immunoglobulin A by indirect immunofluorescence on transfected cells between 2005 and 2013, were included. Serotype and specified phenotypic data were collected in retrospect and statistically analyzed. RESULTS Both anti-GP2 (P &lt; 0.001) and anti-CUZD1 (P &lt; 0.001) were significantly more prevalent in patients with Crohn's disease than in ulcerative colitis. PAB positivity was associated with ileocolonic disease (P = 0.002), perianal disease (P = 0.011), immunosuppressive treatment (P = 0.036), and ASCA positivity (P = 0.036). Anti-CUZD1 positivity was associated with ileocolonic (P = 0.016) and perianal disease (P = 0.002), whereas anti-GP2 positivity was positively associated with stricturing behavior (P = 0.016). CONCLUSIONS We found distinct clinical phenotypes to be associated with PAB positivity. Therefore, determination of PABs and their subgroup analysis might identify patients with complicated disease behavior. However, the clinical relevance of our findings should be further evaluated in prospective cohorts.","author":[{"dropping-particle":"","family":"Michaels","given":"Maike Anna","non-dropping-particle":"","parse-names":false,"suffix":""},{"dropping-particle":"","family":"Jendrek","given":"Sebastian Torben","non-dropping-particle":"","parse-names":false,"suffix":""},{"dropping-particle":"","family":"Korf","given":"Tobias","non-dropping-particle":"","parse-names":false,"suffix":""},{"dropping-particle":"","family":"Nitzsche","given":"Thomas","non-dropping-particle":"","parse-names":false,"suffix":""},{"dropping-particle":"","family":"Teegen","given":"Bianca","non-dropping-particle":"","parse-names":false,"suffix":""},{"dropping-particle":"","family":"Komorowski","given":"Lars","non-dropping-particle":"","parse-names":false,"suffix":""},{"dropping-particle":"","family":"Derer","given":"Stefanie","non-dropping-particle":"","parse-names":false,"suffix":""},{"dropping-particle":"","family":"Schröder","given":"Torsten","non-dropping-particle":"","parse-names":false,"suffix":""},{"dropping-particle":"","family":"Baer","given":"Florian","non-dropping-particle":"","parse-names":false,"suffix":""},{"dropping-particle":"","family":"Lehnert","given":"Henrik","non-dropping-particle":"","parse-names":false,"suffix":""},{"dropping-particle":"","family":"Büning","given":"Jürgen","non-dropping-particle":"","parse-names":false,"suffix":""},{"dropping-particle":"","family":"Fellerman","given":"Klaus","non-dropping-particle":"","parse-names":false,"suffix":""},{"dropping-particle":"","family":"Sina","given":"Christian","non-dropping-particle":"","parse-names":false,"suffix":""}],"container-title":"Inflammatory bowel diseases","id":"ITEM-1","issue":"12","issued":{"date-parts":[["2015","12"]]},"page":"2864-72","title":"Pancreatic Autoantibodies Against CUZD1 and GP2 Are Associated with Distinct Clinical Phenotypes of Crohn's Disease.","type":"article-journal","volume":"21"},"uris":["http://www.mendeley.com/documents/?uuid=b3131b82-7088-35e2-8352-f9006f7becbf"]}],"mendeley":{"formattedCitation":"&lt;sup&gt;[47]&lt;/sup&gt;","plainTextFormattedCitation":"[47]","previouslyFormattedCitation":"&lt;sup&gt;[55]&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[47]</w:t>
            </w:r>
            <w:r w:rsidRPr="008E3F16">
              <w:rPr>
                <w:rFonts w:ascii="Book Antiqua" w:hAnsi="Book Antiqua" w:cs="Times New Roman"/>
                <w:color w:val="000000" w:themeColor="text1"/>
                <w:lang w:val="en-US"/>
              </w:rPr>
              <w:fldChar w:fldCharType="end"/>
            </w:r>
          </w:p>
        </w:tc>
        <w:tc>
          <w:tcPr>
            <w:tcW w:w="328" w:type="pct"/>
            <w:vAlign w:val="center"/>
          </w:tcPr>
          <w:p w14:paraId="22F7CBD4" w14:textId="61310A1B" w:rsidR="00F807E4" w:rsidRPr="008E3F16" w:rsidRDefault="001A6B8B"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Germany</w:t>
            </w:r>
          </w:p>
        </w:tc>
        <w:tc>
          <w:tcPr>
            <w:tcW w:w="162" w:type="pct"/>
            <w:vAlign w:val="center"/>
          </w:tcPr>
          <w:p w14:paraId="175350F8"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190" w:type="pct"/>
            <w:vAlign w:val="center"/>
          </w:tcPr>
          <w:p w14:paraId="72560279" w14:textId="2D0BC1E8"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2005–</w:t>
            </w:r>
            <w:r w:rsidR="002B46E0" w:rsidRPr="008E3F16">
              <w:rPr>
                <w:rFonts w:ascii="Book Antiqua" w:hAnsi="Book Antiqua" w:cs="Times New Roman"/>
                <w:color w:val="000000" w:themeColor="text1"/>
                <w:lang w:val="en-US"/>
              </w:rPr>
              <w:t>20</w:t>
            </w:r>
            <w:r w:rsidRPr="008E3F16">
              <w:rPr>
                <w:rFonts w:ascii="Book Antiqua" w:hAnsi="Book Antiqua" w:cs="Times New Roman"/>
                <w:color w:val="000000" w:themeColor="text1"/>
                <w:lang w:val="en-US"/>
              </w:rPr>
              <w:t>13</w:t>
            </w:r>
          </w:p>
        </w:tc>
        <w:tc>
          <w:tcPr>
            <w:tcW w:w="357" w:type="pct"/>
            <w:vAlign w:val="center"/>
          </w:tcPr>
          <w:p w14:paraId="68A9C7A0" w14:textId="48AA0D83"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University Hospital Schleswig-Holstein</w:t>
            </w:r>
          </w:p>
        </w:tc>
        <w:tc>
          <w:tcPr>
            <w:tcW w:w="162" w:type="pct"/>
            <w:vAlign w:val="center"/>
          </w:tcPr>
          <w:p w14:paraId="545C4613"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426" w:type="pct"/>
            <w:vAlign w:val="center"/>
          </w:tcPr>
          <w:p w14:paraId="5DE222BB" w14:textId="1B2B4BAF"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Typical clinical, endoscopical, histological and/or radiological findings of CD/UC</w:t>
            </w:r>
          </w:p>
        </w:tc>
        <w:tc>
          <w:tcPr>
            <w:tcW w:w="177" w:type="pct"/>
            <w:vAlign w:val="center"/>
          </w:tcPr>
          <w:p w14:paraId="475B5858"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291" w:type="pct"/>
            <w:vAlign w:val="center"/>
          </w:tcPr>
          <w:p w14:paraId="6F0EDAB9" w14:textId="77777777" w:rsidR="00F807E4" w:rsidRPr="008E3F16" w:rsidRDefault="00F807E4" w:rsidP="00C66188">
            <w:pPr>
              <w:adjustRightInd w:val="0"/>
              <w:snapToGrid w:val="0"/>
              <w:spacing w:line="360" w:lineRule="auto"/>
              <w:ind w:right="-487"/>
              <w:rPr>
                <w:rFonts w:ascii="Book Antiqua" w:hAnsi="Book Antiqua" w:cs="Times New Roman"/>
                <w:color w:val="000000" w:themeColor="text1"/>
                <w:lang w:val="en-US"/>
              </w:rPr>
            </w:pPr>
            <w:r w:rsidRPr="008E3F16">
              <w:rPr>
                <w:rFonts w:ascii="Book Antiqua" w:hAnsi="Book Antiqua" w:cs="Times New Roman"/>
                <w:color w:val="000000" w:themeColor="text1"/>
                <w:lang w:val="en-US"/>
              </w:rPr>
              <w:t>IIF</w:t>
            </w:r>
          </w:p>
        </w:tc>
        <w:tc>
          <w:tcPr>
            <w:tcW w:w="365" w:type="pct"/>
            <w:vAlign w:val="center"/>
          </w:tcPr>
          <w:p w14:paraId="27E9DF33"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Euroimmun Germany</w:t>
            </w:r>
          </w:p>
        </w:tc>
        <w:tc>
          <w:tcPr>
            <w:tcW w:w="253" w:type="pct"/>
            <w:vAlign w:val="center"/>
          </w:tcPr>
          <w:p w14:paraId="522461E5"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Total</w:t>
            </w:r>
          </w:p>
        </w:tc>
        <w:tc>
          <w:tcPr>
            <w:tcW w:w="162" w:type="pct"/>
            <w:vAlign w:val="center"/>
          </w:tcPr>
          <w:p w14:paraId="58CC7B23"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276" w:type="pct"/>
            <w:vAlign w:val="center"/>
          </w:tcPr>
          <w:p w14:paraId="379CCB9A"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p>
        </w:tc>
        <w:tc>
          <w:tcPr>
            <w:tcW w:w="213" w:type="pct"/>
            <w:vAlign w:val="center"/>
          </w:tcPr>
          <w:p w14:paraId="3C46FC53" w14:textId="11ADEDAA"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CD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224</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UC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136</w:t>
            </w:r>
          </w:p>
        </w:tc>
        <w:tc>
          <w:tcPr>
            <w:tcW w:w="218" w:type="pct"/>
            <w:vAlign w:val="center"/>
          </w:tcPr>
          <w:p w14:paraId="0A4AC98F" w14:textId="77777777" w:rsidR="00F807E4" w:rsidRPr="008E3F16" w:rsidRDefault="00F807E4" w:rsidP="00C66188">
            <w:pPr>
              <w:adjustRightInd w:val="0"/>
              <w:snapToGrid w:val="0"/>
              <w:spacing w:line="360" w:lineRule="auto"/>
              <w:ind w:right="-628"/>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145" w:type="pct"/>
            <w:vAlign w:val="center"/>
          </w:tcPr>
          <w:p w14:paraId="72231869" w14:textId="77777777" w:rsidR="00F807E4" w:rsidRPr="008E3F16" w:rsidRDefault="00F807E4" w:rsidP="00C66188">
            <w:pPr>
              <w:adjustRightInd w:val="0"/>
              <w:snapToGrid w:val="0"/>
              <w:spacing w:line="360" w:lineRule="auto"/>
              <w:ind w:right="-758"/>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232" w:type="pct"/>
            <w:vAlign w:val="center"/>
          </w:tcPr>
          <w:p w14:paraId="25AFD7FB" w14:textId="12A25F45"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CD 64.3%</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UC 54.4%</w:t>
            </w:r>
          </w:p>
        </w:tc>
        <w:tc>
          <w:tcPr>
            <w:tcW w:w="312" w:type="pct"/>
            <w:vAlign w:val="center"/>
          </w:tcPr>
          <w:p w14:paraId="4665A093" w14:textId="661E1C05" w:rsidR="00F807E4" w:rsidRPr="008E3F16" w:rsidRDefault="00F807E4" w:rsidP="00C66188">
            <w:pPr>
              <w:adjustRightInd w:val="0"/>
              <w:snapToGrid w:val="0"/>
              <w:spacing w:line="360" w:lineRule="auto"/>
              <w:jc w:val="center"/>
              <w:rPr>
                <w:rFonts w:ascii="Book Antiqua" w:hAnsi="Book Antiqua" w:cs="Times New Roman"/>
                <w:color w:val="000000" w:themeColor="text1"/>
                <w:vertAlign w:val="superscript"/>
                <w:lang w:val="en-US"/>
              </w:rPr>
            </w:pPr>
            <w:r w:rsidRPr="008E3F16">
              <w:rPr>
                <w:rFonts w:ascii="Book Antiqua" w:hAnsi="Book Antiqua" w:cs="Times New Roman"/>
                <w:color w:val="000000" w:themeColor="text1"/>
                <w:lang w:val="en-US"/>
              </w:rPr>
              <w:t>CD 39</w:t>
            </w:r>
            <w:r w:rsidRPr="008E3F16">
              <w:rPr>
                <w:rFonts w:ascii="Book Antiqua" w:hAnsi="Book Antiqua" w:cs="Times New Roman"/>
                <w:color w:val="000000" w:themeColor="text1"/>
                <w:vertAlign w:val="superscript"/>
                <w:lang w:val="en-US"/>
              </w:rPr>
              <w:t>2</w:t>
            </w:r>
            <w:r w:rsidR="007A38A4" w:rsidRPr="008E3F16">
              <w:rPr>
                <w:rFonts w:ascii="Book Antiqua" w:hAnsi="Book Antiqua" w:cs="Times New Roman"/>
                <w:color w:val="000000" w:themeColor="text1"/>
              </w:rPr>
              <w:t>;</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UC 42</w:t>
            </w:r>
            <w:r w:rsidRPr="008E3F16">
              <w:rPr>
                <w:rFonts w:ascii="Book Antiqua" w:hAnsi="Book Antiqua" w:cs="Times New Roman"/>
                <w:color w:val="000000" w:themeColor="text1"/>
                <w:vertAlign w:val="superscript"/>
                <w:lang w:val="en-US"/>
              </w:rPr>
              <w:t>2</w:t>
            </w:r>
          </w:p>
        </w:tc>
        <w:tc>
          <w:tcPr>
            <w:tcW w:w="401" w:type="pct"/>
            <w:vAlign w:val="center"/>
          </w:tcPr>
          <w:p w14:paraId="43CE049D" w14:textId="28F80D91"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Else-Kröner-Fresenius-Stiftung</w:t>
            </w:r>
          </w:p>
        </w:tc>
      </w:tr>
      <w:tr w:rsidR="008E3F16" w:rsidRPr="008E3F16" w14:paraId="17740390" w14:textId="77777777" w:rsidTr="00211BB2">
        <w:tc>
          <w:tcPr>
            <w:tcW w:w="330" w:type="pct"/>
            <w:vAlign w:val="center"/>
          </w:tcPr>
          <w:p w14:paraId="2F20E9A2" w14:textId="2A46439E" w:rsidR="00F807E4" w:rsidRPr="008E3F16" w:rsidRDefault="00DE2F0F"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Op De Beéck</w:t>
            </w:r>
            <w:r w:rsidRPr="008E3F16">
              <w:rPr>
                <w:rFonts w:ascii="Book Antiqua" w:hAnsi="Book Antiqua" w:cs="Times New Roman"/>
                <w:i/>
                <w:iCs/>
                <w:color w:val="000000" w:themeColor="text1"/>
                <w:lang w:val="en-US"/>
              </w:rPr>
              <w:t xml:space="preserve"> et al</w:t>
            </w:r>
            <w:r w:rsidR="00F807E4" w:rsidRPr="008E3F16">
              <w:rPr>
                <w:rFonts w:ascii="Book Antiqua" w:hAnsi="Book Antiqua" w:cs="Times New Roman"/>
                <w:color w:val="000000" w:themeColor="text1"/>
                <w:lang w:val="en-US"/>
              </w:rPr>
              <w:fldChar w:fldCharType="begin" w:fldLock="1"/>
            </w:r>
            <w:r w:rsidR="00F807E4" w:rsidRPr="008E3F16">
              <w:rPr>
                <w:rFonts w:ascii="Book Antiqua" w:hAnsi="Book Antiqua" w:cs="Times New Roman"/>
                <w:color w:val="000000" w:themeColor="text1"/>
                <w:lang w:val="en-US"/>
              </w:rPr>
              <w:instrText>ADDIN CSL_CITATION {"citationItems":[{"id":"ITEM-1","itemData":{"DOI":"10.1136/gut.2010.233148","ISSN":"0017-5749","PMID":"21193445","author":[{"dropping-particle":"","family":"Beéck","given":"Katrijn","non-dropping-particle":"Op De","parse-names":false,"suffix":""},{"dropping-particle":"","family":"Vermeire","given":"Séverine","non-dropping-particle":"","parse-names":false,"suffix":""},{"dropping-particle":"","family":"Rutgeerts","given":"Paul","non-dropping-particle":"","parse-names":false,"suffix":""},{"dropping-particle":"","family":"Bossuyt","given":"Xavier","non-dropping-particle":"","parse-names":false,"suffix":""}],"container-title":"Gut","id":"ITEM-1","issue":"1","issued":{"date-parts":[["2012","1"]]},"page":"162.3-164","title":"Antibodies to GP2, the major zymogen granule membrane glycoprotein, in inflammatory bowel diseases","type":"article-journal","volume":"61"},"uris":["http://www.mendeley.com/documents/?uuid=adfa91ac-e3b5-3161-9581-86e336622463"]}],"mendeley":{"formattedCitation":"&lt;sup&gt;[48]&lt;/sup&gt;","plainTextFormattedCitation":"[48]","previouslyFormattedCitation":"&lt;sup&gt;[56]&lt;/sup&gt;"},"properties":{"noteIndex":0},"schema":"https://github.com/citation-style-language/schema/raw/master/csl-citation.json"}</w:instrText>
            </w:r>
            <w:r w:rsidR="00F807E4" w:rsidRPr="008E3F16">
              <w:rPr>
                <w:rFonts w:ascii="Book Antiqua" w:hAnsi="Book Antiqua" w:cs="Times New Roman"/>
                <w:color w:val="000000" w:themeColor="text1"/>
                <w:lang w:val="en-US"/>
              </w:rPr>
              <w:fldChar w:fldCharType="separate"/>
            </w:r>
            <w:r w:rsidR="00F807E4" w:rsidRPr="008E3F16">
              <w:rPr>
                <w:rFonts w:ascii="Book Antiqua" w:hAnsi="Book Antiqua" w:cs="Times New Roman"/>
                <w:noProof/>
                <w:color w:val="000000" w:themeColor="text1"/>
                <w:vertAlign w:val="superscript"/>
                <w:lang w:val="en-US"/>
              </w:rPr>
              <w:t>[48]</w:t>
            </w:r>
            <w:r w:rsidR="00F807E4" w:rsidRPr="008E3F16">
              <w:rPr>
                <w:rFonts w:ascii="Book Antiqua" w:hAnsi="Book Antiqua" w:cs="Times New Roman"/>
                <w:color w:val="000000" w:themeColor="text1"/>
                <w:lang w:val="en-US"/>
              </w:rPr>
              <w:fldChar w:fldCharType="end"/>
            </w:r>
          </w:p>
        </w:tc>
        <w:tc>
          <w:tcPr>
            <w:tcW w:w="328" w:type="pct"/>
            <w:vAlign w:val="center"/>
          </w:tcPr>
          <w:p w14:paraId="1CAFCAF0" w14:textId="7D24A8ED" w:rsidR="00F807E4" w:rsidRPr="008E3F16" w:rsidRDefault="001A6B8B"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Belgium</w:t>
            </w:r>
          </w:p>
        </w:tc>
        <w:tc>
          <w:tcPr>
            <w:tcW w:w="162" w:type="pct"/>
            <w:vAlign w:val="center"/>
          </w:tcPr>
          <w:p w14:paraId="1F091FEC"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190" w:type="pct"/>
            <w:vAlign w:val="center"/>
          </w:tcPr>
          <w:p w14:paraId="3C1A6632"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357" w:type="pct"/>
            <w:vAlign w:val="center"/>
          </w:tcPr>
          <w:p w14:paraId="5BCF4E40" w14:textId="0DD893C8"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University Hospital Gasthuisberg, Leuven</w:t>
            </w:r>
          </w:p>
        </w:tc>
        <w:tc>
          <w:tcPr>
            <w:tcW w:w="162" w:type="pct"/>
            <w:vAlign w:val="center"/>
          </w:tcPr>
          <w:p w14:paraId="3AF9CF08"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426" w:type="pct"/>
            <w:vAlign w:val="center"/>
          </w:tcPr>
          <w:p w14:paraId="323EB158"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Lennard-Jones criteria</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[24]</w:t>
            </w:r>
            <w:r w:rsidRPr="008E3F16">
              <w:rPr>
                <w:rFonts w:ascii="Book Antiqua" w:hAnsi="Book Antiqua" w:cs="Times New Roman"/>
                <w:color w:val="000000" w:themeColor="text1"/>
                <w:lang w:val="en-US"/>
              </w:rPr>
              <w:fldChar w:fldCharType="end"/>
            </w:r>
          </w:p>
        </w:tc>
        <w:tc>
          <w:tcPr>
            <w:tcW w:w="177" w:type="pct"/>
            <w:vAlign w:val="center"/>
          </w:tcPr>
          <w:p w14:paraId="2A264C8B"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291" w:type="pct"/>
            <w:vAlign w:val="center"/>
          </w:tcPr>
          <w:p w14:paraId="07C7DD62" w14:textId="77777777" w:rsidR="00F807E4" w:rsidRPr="008E3F16" w:rsidRDefault="00F807E4" w:rsidP="00C66188">
            <w:pPr>
              <w:adjustRightInd w:val="0"/>
              <w:snapToGrid w:val="0"/>
              <w:spacing w:line="360" w:lineRule="auto"/>
              <w:ind w:right="-487"/>
              <w:rPr>
                <w:rFonts w:ascii="Book Antiqua" w:hAnsi="Book Antiqua" w:cs="Times New Roman"/>
                <w:color w:val="000000" w:themeColor="text1"/>
                <w:lang w:val="en-US"/>
              </w:rPr>
            </w:pPr>
            <w:r w:rsidRPr="008E3F16">
              <w:rPr>
                <w:rFonts w:ascii="Book Antiqua" w:hAnsi="Book Antiqua" w:cs="Times New Roman"/>
                <w:color w:val="000000" w:themeColor="text1"/>
                <w:lang w:val="en-US"/>
              </w:rPr>
              <w:t>ELISA</w:t>
            </w:r>
          </w:p>
        </w:tc>
        <w:tc>
          <w:tcPr>
            <w:tcW w:w="365" w:type="pct"/>
            <w:vAlign w:val="center"/>
          </w:tcPr>
          <w:p w14:paraId="1984B9DE" w14:textId="655355CC" w:rsidR="00F807E4" w:rsidRPr="008E3F16" w:rsidRDefault="00F807E4" w:rsidP="00C66188">
            <w:pPr>
              <w:adjustRightInd w:val="0"/>
              <w:snapToGrid w:val="0"/>
              <w:spacing w:line="360" w:lineRule="auto"/>
              <w:ind w:right="-54"/>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GA (Dahlewitz/Berlin Germany)</w:t>
            </w:r>
          </w:p>
        </w:tc>
        <w:tc>
          <w:tcPr>
            <w:tcW w:w="253" w:type="pct"/>
            <w:vAlign w:val="center"/>
          </w:tcPr>
          <w:p w14:paraId="13DB3525"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Total</w:t>
            </w:r>
          </w:p>
        </w:tc>
        <w:tc>
          <w:tcPr>
            <w:tcW w:w="162" w:type="pct"/>
            <w:vAlign w:val="center"/>
          </w:tcPr>
          <w:p w14:paraId="5B928875"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276" w:type="pct"/>
            <w:vAlign w:val="center"/>
          </w:tcPr>
          <w:p w14:paraId="06FBA2ED" w14:textId="20A0A503"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IgA 15</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IgG 15</w:t>
            </w:r>
          </w:p>
        </w:tc>
        <w:tc>
          <w:tcPr>
            <w:tcW w:w="213" w:type="pct"/>
            <w:vAlign w:val="center"/>
          </w:tcPr>
          <w:p w14:paraId="2D67E7AD" w14:textId="7BCA5E7B"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CD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164</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UC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118</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lastRenderedPageBreak/>
              <w:t xml:space="preserve">OGD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75</w:t>
            </w:r>
          </w:p>
        </w:tc>
        <w:tc>
          <w:tcPr>
            <w:tcW w:w="218" w:type="pct"/>
            <w:vAlign w:val="center"/>
          </w:tcPr>
          <w:p w14:paraId="062F9BD0" w14:textId="77777777" w:rsidR="00F807E4" w:rsidRPr="008E3F16" w:rsidRDefault="00F807E4" w:rsidP="00C66188">
            <w:pPr>
              <w:adjustRightInd w:val="0"/>
              <w:snapToGrid w:val="0"/>
              <w:spacing w:line="360" w:lineRule="auto"/>
              <w:ind w:right="-628"/>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NR</w:t>
            </w:r>
          </w:p>
        </w:tc>
        <w:tc>
          <w:tcPr>
            <w:tcW w:w="145" w:type="pct"/>
            <w:vAlign w:val="center"/>
          </w:tcPr>
          <w:p w14:paraId="6B79245F"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232" w:type="pct"/>
            <w:vAlign w:val="center"/>
          </w:tcPr>
          <w:p w14:paraId="5C4F6782" w14:textId="2C77127A"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CD 58.6%</w:t>
            </w:r>
            <w:r w:rsidRPr="008E3F16">
              <w:rPr>
                <w:rFonts w:ascii="Book Antiqua" w:hAnsi="Book Antiqua" w:cs="Times New Roman"/>
                <w:color w:val="000000" w:themeColor="text1"/>
                <w:vertAlign w:val="superscript"/>
                <w:lang w:val="en-US"/>
              </w:rPr>
              <w:t>6</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UC 41.7%</w:t>
            </w:r>
            <w:r w:rsidRPr="008E3F16">
              <w:rPr>
                <w:rFonts w:ascii="Book Antiqua" w:hAnsi="Book Antiqua" w:cs="Times New Roman"/>
                <w:color w:val="000000" w:themeColor="text1"/>
                <w:vertAlign w:val="superscript"/>
                <w:lang w:val="en-US"/>
              </w:rPr>
              <w:t>6</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{"citationItems":[{"id":"ITEM-1","itemData":{"DOI":"10.1097/00054725-200411000-00012","ISSN":"1078-0998","PMID":"15626896","abstract":"BACKGROUND Autoantibodies against exocrine pancreas (PABs) have been reported to be specific for Crohn's disease (CD), albeit at a low prevalence (30%). We studied PABs in patients with inflammatory bowel disease (IBD), unaffected family members, and control subjects. METHODS A Belgian study cohort of 575 subjects, including 289 IBD patients (CD, 169 patients; ulcerative colitis [UC], 120 patients), 108 unaffected first-degree relatives, 78 subjects with non-IBD gastrointestinal disorders (gastrointestinal control subjects [GIcos]), and 100 healthy control subjects (Hcos), were tested for PAB by a standardized indirect immunofluorescence method. RESULTS The prevalence of PABs in this study cohort was 32% for CD, 23.3% for UC, and 22.2% for their unaffected family members (all P &lt; 0.001), compared with 1.3% for GIcos and 0% for Hcos. Two staining patterns could be observed: an intracellular pattern (IC); and an extracellular pattern (EC). The EC was significantly more prevalent in CD patients compared with UC patients (P = 0.014), and higher titers of this pattern were found in CD patients (P = 0.01). Both PAB patterns were negatively associated with stricturing disease behavior of CD (P = 0.021). The IC was associated with familial CD (P = 0.0009) and familial UC (P = 0.0003). CONCLUSIONS The prevalence of PAB found in CD patients in this study was similar to that cited in previous reports. In contrast to these reports, we also found an increased prevalence of PABs in patients with UC and in unaffected first-degree relatives of IBD patients. We observed two main staining patterns, both of which were present in IBD and were associated with specific phenotypes of the disease.","author":[{"dropping-particle":"","family":"Joossens","given":"Sofie","non-dropping-particle":"","parse-names":false,"suffix":""},{"dropping-particle":"","family":"Vermeire","given":"Severine","non-dropping-particle":"","parse-names":false,"suffix":""},{"dropping-particle":"","family":"Steen","given":"Kristel","non-dropping-particle":"Van","parse-names":false,"suffix":""},{"dropping-particle":"","family":"Godefridis","given":"Godelieve","non-dropping-particle":"","parse-names":false,"suffix":""},{"dropping-particle":"","family":"Claessens","given":"Greet","non-dropping-particle":"","parse-names":false,"suffix":""},{"dropping-particle":"","family":"Pierik","given":"Marie","non-dropping-particle":"","parse-names":false,"suffix":""},{"dropping-particle":"","family":"Vlietinck","given":"Robert","non-dropping-particle":"","parse-names":false,"suffix":""},{"dropping-particle":"","family":"Aerts","given":"Raymond","non-dropping-particle":"","parse-names":false,"suffix":""},{"dropping-particle":"","family":"Rutgeerts","given":"Paul","non-dropping-particle":"","parse-names":false,"suffix":""},{"dropping-particle":"","family":"Bossuyt","given":"Xavier","non-dropping-particle":"","parse-names":false,"suffix":""}],"container-title":"Inflammatory bowel diseases","id":"ITEM-1","issue":"6","issued":{"date-parts":[["2004","11"]]},"page":"771-7","title":"Pancreatic autoantibodies in inflammatory bowel disease.","type":"article-journal","volume":"10"},"uris":["http://www.mendeley.com/documents/?uuid=09f10f5c-0515-36f9-85d4-3177159485e2"]}],"mendeley":{"formattedCitation":"&lt;sup&gt;[59]&lt;/sup&gt;","plainTextFormattedCitation":"[59]","previouslyFormattedCitation":"&lt;sup&gt;[59]&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[59]</w:t>
            </w:r>
            <w:r w:rsidRPr="008E3F16">
              <w:rPr>
                <w:rFonts w:ascii="Book Antiqua" w:hAnsi="Book Antiqua" w:cs="Times New Roman"/>
                <w:color w:val="000000" w:themeColor="text1"/>
                <w:lang w:val="en-US"/>
              </w:rPr>
              <w:fldChar w:fldCharType="end"/>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OD</w:t>
            </w:r>
            <w:r w:rsidRPr="008E3F16">
              <w:rPr>
                <w:rFonts w:ascii="Book Antiqua" w:hAnsi="Book Antiqua" w:cs="Times New Roman"/>
                <w:color w:val="000000" w:themeColor="text1"/>
                <w:lang w:val="en-US"/>
              </w:rPr>
              <w:lastRenderedPageBreak/>
              <w:t>G NR</w:t>
            </w:r>
          </w:p>
        </w:tc>
        <w:tc>
          <w:tcPr>
            <w:tcW w:w="312" w:type="pct"/>
            <w:vAlign w:val="center"/>
          </w:tcPr>
          <w:p w14:paraId="046EAAD2" w14:textId="4659721D"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CD 42 (17–80)</w:t>
            </w:r>
            <w:r w:rsidRPr="008E3F16">
              <w:rPr>
                <w:rFonts w:ascii="Book Antiqua" w:hAnsi="Book Antiqua" w:cs="Times New Roman"/>
                <w:color w:val="000000" w:themeColor="text1"/>
                <w:vertAlign w:val="superscript"/>
                <w:lang w:val="en-US"/>
              </w:rPr>
              <w:t>1,6</w:t>
            </w:r>
            <w:r w:rsidR="007A38A4" w:rsidRPr="008E3F16">
              <w:rPr>
                <w:rFonts w:ascii="Book Antiqua" w:hAnsi="Book Antiqua" w:cs="Times New Roman"/>
                <w:color w:val="000000" w:themeColor="text1"/>
              </w:rPr>
              <w:t>;</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UC 43 (19–78)</w:t>
            </w:r>
            <w:r w:rsidRPr="008E3F16">
              <w:rPr>
                <w:rFonts w:ascii="Book Antiqua" w:hAnsi="Book Antiqua" w:cs="Times New Roman"/>
                <w:color w:val="000000" w:themeColor="text1"/>
                <w:vertAlign w:val="superscript"/>
                <w:lang w:val="en-US"/>
              </w:rPr>
              <w:t>1,6</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{"citationItems":[{"id":"ITEM-1","itemData":{"DOI":"10.1097/00054725-200411000-00012","ISSN":"1078-0998","PMID":"15626896","abstract":"BACKGROUND Autoantibodies against exocrine pancreas (PABs) have been reported to be specific for Crohn's disease (CD), albeit at a low prevalence (30%). We studied PABs in patients with inflammatory bowel disease (IBD), unaffected family members, and control subjects. METHODS A Belgian study cohort of 575 subjects, including 289 IBD patients (CD, 169 patients; ulcerative colitis [UC], 120 patients), 108 unaffected first-degree relatives, 78 subjects with non-IBD gastrointestinal disorders (gastrointestinal control subjects [GIcos]), and 100 healthy control subjects (Hcos), were tested for PAB by a standardized indirect immunofluorescence method. RESULTS The prevalence of PABs in this study cohort was 32% for CD, 23.3% for UC, and 22.2% for their unaffected family members (all P &lt; 0.001), compared with 1.3% for GIcos and 0% for Hcos. Two staining patterns could be observed: an intracellular pattern (IC); and an extracellular pattern (EC). The EC was significantly more prevalent in CD patients compared with UC patients (P = 0.014), and higher titers of this pattern were found in CD patients (P = 0.01). Both PAB patterns were negatively associated with stricturing disease behavior of CD (P = 0.021). The IC was associated with familial CD (P = 0.0009) and familial UC (P = 0.0003). CONCLUSIONS The prevalence of PAB found in CD patients in this study was similar to that cited in previous reports. In contrast to these reports, we also found an increased prevalence of PABs in patients with UC and in unaffected first-degree relatives of IBD patients. We observed two main staining patterns, both of which were present in IBD and were associated with specific phenotypes of the disease.","author":[{"dropping-particle":"","family":"Joossens","given":"Sofie","non-dropping-particle":"","parse-names":false,"suffix":""},{"dropping-particle":"","family":"Vermeire","given":"Severine","non-dropping-particle":"","parse-names":false,"suffix":""},{"dropping-particle":"","family":"Steen","given":"Kristel","non-dropping-particle":"Van","parse-names":false,"suffix":""},{"dropping-particle":"","family":"Godefridis","given":"Godelieve","non-dropping-particle":"","parse-names":false,"suffix":""},{"dropping-particle":"","family":"Claessens","given":"Greet","non-dropping-particle":"","parse-names":false,"suffix":""},{"dropping-particle":"","family":"Pierik","given":"Marie","non-dropping-particle":"","parse-names":false,"suffix":""},{"dropping-particle":"","family":"Vlietinck","given":"Robert","non-dropping-particle":"","parse-names":false,"suffix":""},{"dropping-particle":"","family":"Aerts","given":"Raymond","non-dropping-particle":"","parse-names":false,"suffix":""},{"dropping-particle":"","family":"Rutgeerts","given":"Paul","non-dropping-particle":"","parse-names":false,"suffix":""},{"dropping-particle":"","family":"Bossuyt","given":"Xavier","non-dropping-particle":"","parse-names":false,"suffix":""}],"container-title":"Inflammatory bowel diseases","id":"ITEM-1","issue":"6","issued":{"date-parts":[["2004","11"]]},"page":"771-7","title":"Pancreatic autoantibodies in inflammatory bowel disease.","type":"article-journal","volume":"10"},"uris":["http://www.mendeley.com/documents/?uuid=09f10f5c-0515-36f9-85d4-3177159485e2"]}],"mendeley":{"formattedCitation":"&lt;sup&gt;[59]&lt;/sup&gt;","plainTextFormattedCitation":"[59]","previouslyFormattedCitation":"&lt;sup&gt;[59]&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[59]</w:t>
            </w:r>
            <w:r w:rsidRPr="008E3F16">
              <w:rPr>
                <w:rFonts w:ascii="Book Antiqua" w:hAnsi="Book Antiqua" w:cs="Times New Roman"/>
                <w:color w:val="000000" w:themeColor="text1"/>
                <w:lang w:val="en-US"/>
              </w:rPr>
              <w:fldChar w:fldCharType="end"/>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lastRenderedPageBreak/>
              <w:t>ODG NR</w:t>
            </w:r>
          </w:p>
        </w:tc>
        <w:tc>
          <w:tcPr>
            <w:tcW w:w="401" w:type="pct"/>
            <w:vAlign w:val="center"/>
          </w:tcPr>
          <w:p w14:paraId="0C64F0BC" w14:textId="63D0D5DE" w:rsidR="00F807E4" w:rsidRPr="008E3F16" w:rsidRDefault="00F807E4" w:rsidP="00C66188">
            <w:pPr>
              <w:adjustRightInd w:val="0"/>
              <w:snapToGrid w:val="0"/>
              <w:spacing w:line="360" w:lineRule="auto"/>
              <w:ind w:right="-161"/>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Fund for Scientific Research Flanders and GA GmbH</w:t>
            </w:r>
          </w:p>
        </w:tc>
      </w:tr>
      <w:tr w:rsidR="008E3F16" w:rsidRPr="008E3F16" w14:paraId="3AEAB81F" w14:textId="77777777" w:rsidTr="00211BB2">
        <w:tc>
          <w:tcPr>
            <w:tcW w:w="330" w:type="pct"/>
            <w:vAlign w:val="center"/>
          </w:tcPr>
          <w:p w14:paraId="58B965AE" w14:textId="38137A8F" w:rsidR="00F807E4" w:rsidRPr="008E3F16" w:rsidRDefault="00F807E4"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Papp</w:t>
            </w:r>
            <w:r w:rsidR="00DE2F0F" w:rsidRPr="008E3F16">
              <w:rPr>
                <w:rFonts w:ascii="Book Antiqua" w:hAnsi="Book Antiqua" w:cs="Times New Roman"/>
                <w:color w:val="000000" w:themeColor="text1"/>
                <w:lang w:val="en-US"/>
              </w:rPr>
              <w:t xml:space="preserve"> </w:t>
            </w:r>
            <w:r w:rsidR="00DE2F0F" w:rsidRPr="008E3F16">
              <w:rPr>
                <w:rFonts w:ascii="Book Antiqua" w:hAnsi="Book Antiqua" w:cs="Times New Roman"/>
                <w:i/>
                <w:iCs/>
                <w:color w:val="000000" w:themeColor="text1"/>
                <w:lang w:val="en-US"/>
              </w:rPr>
              <w:t>et al</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{"citationItems":[{"id":"ITEM-1","itemData":{"DOI":"10.1093/ecco-jcc/jjv087","ISSN":"1873-9946","PMID":"25968583","abstract":"BACKGROUNDS Glycoprotein 2[GP2] and CUB zona pellucida-like domain 1[CUZD1] belong to protein families involved in gut innate immunity processes and have recently been identified as specific targets of anti-pancreatic autoantibodies [PAbs] in Crohn's disease[CD]. We aimed to determine the prognostic potential of novel target-specific PAbs regarding long-term disease course of an adult CD patient cohort. METHODS Sera of 458 consecutive well-characterised IBD patients from a single referral IBD centre were tested by enzyme-linked immunosorbent assay [ELISA] with isoform 4 of recombinant GP2 [anti-MZGP2 and anti-GP2 IgA/IgG] and indirect immunofluorescence test [IIFT] system with GP2 and CUZD1 expressing transfected HEK 293 cells [anti-rPAg2 and rPAg1 IgA/IgG]. Clinical data were available on complicated disease or surgical interventions as well as disease activity and medical treatment during the prospective follow-up [median, 108 months]. RESULTS Totals of 12.4% and 20.8% of CD patients were positive for IgA/IgG type of anti-GP2 and anti-CUZD1, respectively, with a significant difference compared with UC [p &lt; 0.01]. Antibody status was stable over time. Agreement among three different anti-GP2 assays was good. Positivity for PAbs, mainly IgA subtypes, predicted a faster progression towards complicated disease course. In Kaplan-Meier analysis, time to surgery or development of perianal disease was associated with anti-GP2 IgA [pLogRank &lt; 0.01] or anti-CUZD1 IgA [pLogRank &lt; 0.001] positivity, respectively. Anti-CUZD1 IgA remained an independent predictor in the multivariate Cox-regression model (hazard ratio [HR]: 3.43, 95% confidence interval [CI]: 1.68-7.02, p &lt; 0.001). CONCLUSIONS The present study has shown that specific PAbs [especially IgA subtype] predict complicated disease course including the development of perianal disease in CD.","author":[{"dropping-particle":"","family":"Papp","given":"Maria","non-dropping-particle":"","parse-names":false,"suffix":""},{"dropping-particle":"","family":"Sipeki","given":"Nora","non-dropping-particle":"","parse-names":false,"suffix":""},{"dropping-particle":"","family":"Tornai","given":"Tamas","non-dropping-particle":"","parse-names":false,"suffix":""},{"dropping-particle":"","family":"Altorjay","given":"Istvan","non-dropping-particle":"","parse-names":false,"suffix":""},{"dropping-particle":"","family":"Norman","given":"Gary L.","non-dropping-particle":"","parse-names":false,"suffix":""},{"dropping-particle":"","family":"Shums","given":"Zakera","non-dropping-particle":"","parse-names":false,"suffix":""},{"dropping-particle":"","family":"Roggenbuck","given":"Dirk","non-dropping-particle":"","parse-names":false,"suffix":""},{"dropping-particle":"","family":"Fechner","given":"Kai","non-dropping-particle":"","parse-names":false,"suffix":""},{"dropping-particle":"","family":"Stöcker","given":"Winfried","non-dropping-particle":"","parse-names":false,"suffix":""},{"dropping-particle":"","family":"Antal-Szalmas","given":"Peter","non-dropping-particle":"","parse-names":false,"suffix":""},{"dropping-particle":"","family":"Veres","given":"Gabor","non-dropping-particle":"","parse-names":false,"suffix":""},{"dropping-particle":"","family":"Lakatos","given":"Peter Laszlo","non-dropping-particle":"","parse-names":false,"suffix":""}],"container-title":"Journal of Crohn's and Colitis","id":"ITEM-1","issue":"8","issued":{"date-parts":[["2015","8"]]},"page":"659-668","title":"Rediscovery of the Anti-Pancreatic Antibodies and Evaluation of their Prognostic Value in a Prospective Clinical Cohort of Crohn’s Patients: The Importance of Specific Target Antigens [GP2 and CUZD1]","type":"article-journal","volume":"9"},"uris":["http://www.mendeley.com/documents/?uuid=8e5f0827-94c6-3db1-88c6-9bdbc72ea222"]}],"mendeley":{"formattedCitation":"&lt;sup&gt;[49]&lt;/sup&gt;","plainTextFormattedCitation":"[49]","previouslyFormattedCitation":"&lt;sup&gt;[57]&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[49]</w:t>
            </w:r>
            <w:r w:rsidRPr="008E3F16">
              <w:rPr>
                <w:rFonts w:ascii="Book Antiqua" w:hAnsi="Book Antiqua" w:cs="Times New Roman"/>
                <w:color w:val="000000" w:themeColor="text1"/>
                <w:lang w:val="en-US"/>
              </w:rPr>
              <w:fldChar w:fldCharType="end"/>
            </w:r>
          </w:p>
        </w:tc>
        <w:tc>
          <w:tcPr>
            <w:tcW w:w="328" w:type="pct"/>
            <w:vAlign w:val="center"/>
          </w:tcPr>
          <w:p w14:paraId="5B7EB128" w14:textId="6172BB9A" w:rsidR="00F807E4" w:rsidRPr="008E3F16" w:rsidRDefault="001A6B8B"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Hungary</w:t>
            </w:r>
          </w:p>
        </w:tc>
        <w:tc>
          <w:tcPr>
            <w:tcW w:w="162" w:type="pct"/>
            <w:vAlign w:val="center"/>
          </w:tcPr>
          <w:p w14:paraId="265F296B"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190" w:type="pct"/>
            <w:vAlign w:val="center"/>
          </w:tcPr>
          <w:p w14:paraId="2BC4B834" w14:textId="14A9870B"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2005–</w:t>
            </w:r>
            <w:r w:rsidR="002B46E0" w:rsidRPr="008E3F16">
              <w:rPr>
                <w:rFonts w:ascii="Book Antiqua" w:hAnsi="Book Antiqua" w:cs="Times New Roman"/>
                <w:color w:val="000000" w:themeColor="text1"/>
                <w:lang w:val="en-US"/>
              </w:rPr>
              <w:t>20</w:t>
            </w:r>
            <w:r w:rsidRPr="008E3F16">
              <w:rPr>
                <w:rFonts w:ascii="Book Antiqua" w:hAnsi="Book Antiqua" w:cs="Times New Roman"/>
                <w:color w:val="000000" w:themeColor="text1"/>
                <w:lang w:val="en-US"/>
              </w:rPr>
              <w:t>10</w:t>
            </w:r>
          </w:p>
        </w:tc>
        <w:tc>
          <w:tcPr>
            <w:tcW w:w="357" w:type="pct"/>
            <w:vAlign w:val="center"/>
          </w:tcPr>
          <w:p w14:paraId="34DB5D8F" w14:textId="18D27F13"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Institute of Internal Medicine, University of Debrecen</w:t>
            </w:r>
          </w:p>
        </w:tc>
        <w:tc>
          <w:tcPr>
            <w:tcW w:w="162" w:type="pct"/>
            <w:vAlign w:val="center"/>
          </w:tcPr>
          <w:p w14:paraId="5EA11967"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426" w:type="pct"/>
            <w:vAlign w:val="center"/>
          </w:tcPr>
          <w:p w14:paraId="0E076EE8"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Lennard-Jones criteria</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[24]</w:t>
            </w:r>
            <w:r w:rsidRPr="008E3F16">
              <w:rPr>
                <w:rFonts w:ascii="Book Antiqua" w:hAnsi="Book Antiqua" w:cs="Times New Roman"/>
                <w:color w:val="000000" w:themeColor="text1"/>
                <w:lang w:val="en-US"/>
              </w:rPr>
              <w:fldChar w:fldCharType="end"/>
            </w:r>
          </w:p>
        </w:tc>
        <w:tc>
          <w:tcPr>
            <w:tcW w:w="177" w:type="pct"/>
            <w:vAlign w:val="center"/>
          </w:tcPr>
          <w:p w14:paraId="4E3666DD"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rPr>
            </w:pPr>
            <w:r w:rsidRPr="008E3F16">
              <w:rPr>
                <w:rFonts w:ascii="Book Antiqua" w:hAnsi="Book Antiqua" w:cs="Times New Roman"/>
                <w:color w:val="000000" w:themeColor="text1"/>
                <w:lang w:val="en-US"/>
              </w:rPr>
              <w:sym w:font="Symbol" w:char="F0D6"/>
            </w:r>
          </w:p>
        </w:tc>
        <w:tc>
          <w:tcPr>
            <w:tcW w:w="291" w:type="pct"/>
            <w:vAlign w:val="center"/>
          </w:tcPr>
          <w:p w14:paraId="7A08E640" w14:textId="77777777" w:rsidR="00F807E4" w:rsidRPr="008E3F16" w:rsidRDefault="00F807E4" w:rsidP="00C66188">
            <w:pPr>
              <w:adjustRightInd w:val="0"/>
              <w:snapToGrid w:val="0"/>
              <w:spacing w:line="360" w:lineRule="auto"/>
              <w:ind w:right="-489"/>
              <w:rPr>
                <w:rFonts w:ascii="Book Antiqua" w:hAnsi="Book Antiqua" w:cs="Times New Roman"/>
                <w:color w:val="000000" w:themeColor="text1"/>
                <w:lang w:val="en-US"/>
              </w:rPr>
            </w:pPr>
            <w:r w:rsidRPr="008E3F16">
              <w:rPr>
                <w:rFonts w:ascii="Book Antiqua" w:hAnsi="Book Antiqua" w:cs="Times New Roman"/>
                <w:color w:val="000000" w:themeColor="text1"/>
                <w:lang w:val="en-US"/>
              </w:rPr>
              <w:t>ELISA</w:t>
            </w:r>
          </w:p>
        </w:tc>
        <w:tc>
          <w:tcPr>
            <w:tcW w:w="365" w:type="pct"/>
            <w:vAlign w:val="center"/>
          </w:tcPr>
          <w:p w14:paraId="42761DBC" w14:textId="490F7290" w:rsidR="00F807E4" w:rsidRPr="008E3F16" w:rsidRDefault="00F807E4" w:rsidP="00C66188">
            <w:pPr>
              <w:adjustRightInd w:val="0"/>
              <w:snapToGrid w:val="0"/>
              <w:spacing w:line="360" w:lineRule="auto"/>
              <w:ind w:right="-54"/>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GA (Dahlewitz/Berlin Germany)</w:t>
            </w:r>
          </w:p>
        </w:tc>
        <w:tc>
          <w:tcPr>
            <w:tcW w:w="253" w:type="pct"/>
            <w:vAlign w:val="center"/>
          </w:tcPr>
          <w:p w14:paraId="485F9222"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Total</w:t>
            </w:r>
          </w:p>
        </w:tc>
        <w:tc>
          <w:tcPr>
            <w:tcW w:w="162" w:type="pct"/>
            <w:vAlign w:val="center"/>
          </w:tcPr>
          <w:p w14:paraId="1575FE37"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276" w:type="pct"/>
            <w:vAlign w:val="center"/>
          </w:tcPr>
          <w:p w14:paraId="09A3E766" w14:textId="49D48DED"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IgA 20</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IgG 20</w:t>
            </w:r>
          </w:p>
        </w:tc>
        <w:tc>
          <w:tcPr>
            <w:tcW w:w="213" w:type="pct"/>
            <w:vAlign w:val="center"/>
          </w:tcPr>
          <w:p w14:paraId="2DEB7CF2" w14:textId="7023297E"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CD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271</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UC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187</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HC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100</w:t>
            </w:r>
          </w:p>
        </w:tc>
        <w:tc>
          <w:tcPr>
            <w:tcW w:w="218" w:type="pct"/>
            <w:vAlign w:val="center"/>
          </w:tcPr>
          <w:p w14:paraId="3E250D22" w14:textId="77777777" w:rsidR="00F807E4" w:rsidRPr="008E3F16" w:rsidRDefault="00F807E4" w:rsidP="00C66188">
            <w:pPr>
              <w:adjustRightInd w:val="0"/>
              <w:snapToGrid w:val="0"/>
              <w:spacing w:line="360" w:lineRule="auto"/>
              <w:ind w:right="-628"/>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145" w:type="pct"/>
            <w:vAlign w:val="center"/>
          </w:tcPr>
          <w:p w14:paraId="2E759430"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232" w:type="pct"/>
            <w:vAlign w:val="center"/>
          </w:tcPr>
          <w:p w14:paraId="1FB926EA" w14:textId="17F689E6" w:rsidR="00F807E4" w:rsidRPr="008E3F16" w:rsidRDefault="00F807E4" w:rsidP="00C66188">
            <w:pPr>
              <w:adjustRightInd w:val="0"/>
              <w:snapToGrid w:val="0"/>
              <w:spacing w:line="360" w:lineRule="auto"/>
              <w:jc w:val="center"/>
              <w:rPr>
                <w:rFonts w:ascii="Book Antiqua" w:hAnsi="Book Antiqua" w:cs="Times New Roman"/>
                <w:color w:val="000000" w:themeColor="text1"/>
              </w:rPr>
            </w:pPr>
            <w:r w:rsidRPr="008E3F16">
              <w:rPr>
                <w:rFonts w:ascii="Book Antiqua" w:hAnsi="Book Antiqua" w:cs="Times New Roman"/>
                <w:color w:val="000000" w:themeColor="text1"/>
              </w:rPr>
              <w:t>CD 61.5%</w:t>
            </w:r>
            <w:r w:rsidR="00AA2CB1"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UC 54%</w:t>
            </w:r>
          </w:p>
        </w:tc>
        <w:tc>
          <w:tcPr>
            <w:tcW w:w="312" w:type="pct"/>
            <w:vAlign w:val="center"/>
          </w:tcPr>
          <w:p w14:paraId="0A09422A" w14:textId="69EB27E5" w:rsidR="00F807E4" w:rsidRPr="008E3F16" w:rsidRDefault="00F807E4" w:rsidP="00C66188">
            <w:pPr>
              <w:adjustRightInd w:val="0"/>
              <w:snapToGrid w:val="0"/>
              <w:spacing w:line="360" w:lineRule="auto"/>
              <w:jc w:val="center"/>
              <w:rPr>
                <w:rFonts w:ascii="Book Antiqua" w:hAnsi="Book Antiqua" w:cs="Times New Roman"/>
                <w:color w:val="000000" w:themeColor="text1"/>
              </w:rPr>
            </w:pPr>
            <w:r w:rsidRPr="008E3F16">
              <w:rPr>
                <w:rFonts w:ascii="Book Antiqua" w:hAnsi="Book Antiqua" w:cs="Times New Roman"/>
                <w:color w:val="000000" w:themeColor="text1"/>
              </w:rPr>
              <w:t>CD 25</w:t>
            </w:r>
            <w:r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rPr>
              <w:t>(19</w:t>
            </w:r>
            <w:r w:rsidRPr="008E3F16">
              <w:rPr>
                <w:rFonts w:ascii="Book Antiqua" w:hAnsi="Book Antiqua" w:cs="Times New Roman"/>
                <w:color w:val="000000" w:themeColor="text1"/>
                <w:lang w:val="en-US"/>
              </w:rPr>
              <w:t>–</w:t>
            </w:r>
            <w:r w:rsidRPr="008E3F16">
              <w:rPr>
                <w:rFonts w:ascii="Book Antiqua" w:hAnsi="Book Antiqua" w:cs="Times New Roman"/>
                <w:color w:val="000000" w:themeColor="text1"/>
              </w:rPr>
              <w:t>33)</w:t>
            </w:r>
            <w:r w:rsidR="007A38A4"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UC 33</w:t>
            </w:r>
            <w:r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rPr>
              <w:t>(23</w:t>
            </w:r>
            <w:r w:rsidRPr="008E3F16">
              <w:rPr>
                <w:rFonts w:ascii="Book Antiqua" w:hAnsi="Book Antiqua" w:cs="Times New Roman"/>
                <w:color w:val="000000" w:themeColor="text1"/>
                <w:lang w:val="en-US"/>
              </w:rPr>
              <w:t>–</w:t>
            </w:r>
            <w:r w:rsidRPr="008E3F16">
              <w:rPr>
                <w:rFonts w:ascii="Book Antiqua" w:hAnsi="Book Antiqua" w:cs="Times New Roman"/>
                <w:color w:val="000000" w:themeColor="text1"/>
              </w:rPr>
              <w:t>43)</w:t>
            </w:r>
          </w:p>
        </w:tc>
        <w:tc>
          <w:tcPr>
            <w:tcW w:w="401" w:type="pct"/>
            <w:vAlign w:val="center"/>
          </w:tcPr>
          <w:p w14:paraId="7460A6C5" w14:textId="3795F2DA"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Janos Bolyai Research Scholarship; Debrecen University; and IOIBD Research</w:t>
            </w:r>
          </w:p>
        </w:tc>
      </w:tr>
      <w:tr w:rsidR="008E3F16" w:rsidRPr="008E3F16" w14:paraId="7AA81F65" w14:textId="77777777" w:rsidTr="00211BB2">
        <w:tc>
          <w:tcPr>
            <w:tcW w:w="330" w:type="pct"/>
            <w:vAlign w:val="center"/>
          </w:tcPr>
          <w:p w14:paraId="59A64E1C" w14:textId="47C3F6AA" w:rsidR="00F807E4" w:rsidRPr="008E3F16" w:rsidRDefault="00F807E4"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Pavlidis</w:t>
            </w:r>
            <w:r w:rsidR="00DE2F0F" w:rsidRPr="008E3F16">
              <w:rPr>
                <w:rFonts w:ascii="Book Antiqua" w:hAnsi="Book Antiqua" w:cs="Times New Roman"/>
                <w:color w:val="000000" w:themeColor="text1"/>
                <w:lang w:val="en-US"/>
              </w:rPr>
              <w:t xml:space="preserve"> </w:t>
            </w:r>
            <w:r w:rsidR="00DE2F0F" w:rsidRPr="008E3F16">
              <w:rPr>
                <w:rFonts w:ascii="Book Antiqua" w:hAnsi="Book Antiqua" w:cs="Times New Roman"/>
                <w:i/>
                <w:iCs/>
                <w:color w:val="000000" w:themeColor="text1"/>
                <w:lang w:val="en-US"/>
              </w:rPr>
              <w:t>et al</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{"citationItems":[{"id":"ITEM-1","itemData":{"DOI":"10.1155/2012/640835","ISSN":"1740-2522","PMID":"23118780","abstract":"Why zymogen glycoprotein 2 (GP2), the Crohn’s disease (CD)-specific pancreatic autoantigen, is the major target of humoral autoimmunity in inflammatory bowel diseases (IBD) is uknown. Recent evidence demonstrates that GP2 is also present on the apical surface of microfold (M) intestinal cells. As the colon lacks GP2-rich M cells, we assumed that patients with colonic CD are seronegative for anti-GP2. Anti-GP2 antibodies were tested in 225 CDs, including 45 patients with colonic location (L2), 45 with terminal ileum (L1) and 135 with ileocolonic involvement; 225 patients with ulcerative colitis (UC) were also tested. Anti-GP2 reactivity was detected in 59 (26.2%) CDs and 15 (6.7%) UCs ( P &lt; 0.001 ) . Only 5 CDs with L2 had anti-GP2 antibodies, compared to 54/180 (30.0%, P = 0.0128 ) of the CDs with L1 and L3. Anti-GP2 antibody positive CD patients had higher ASCA titres compared to seronegative cases. Amongst the 128 CD patients with previous surgical intervention, 45 (35.0%) were anti-GP2 antibody positive compared to 14/97 (14.0%) without surgical ( P &lt; 0.001 ) . Our data support the assumption that ileal inflammation is required for the development of anti-GP2 antibodies in CD, and suggest that the intestine rather than the pancreatic juice is the antigenic source required for the initiation of anti-GP2 antibodies.","author":[{"dropping-particle":"","family":"Pavlidis","given":"Polychronis","non-dropping-particle":"","parse-names":false,"suffix":""},{"dropping-particle":"","family":"Romanidou","given":"Ourania","non-dropping-particle":"","parse-names":false,"suffix":""},{"dropping-particle":"","family":"Roggenbuck","given":"Dirk","non-dropping-particle":"","parse-names":false,"suffix":""},{"dropping-particle":"","family":"Mytilinaiou","given":"Maria G.","non-dropping-particle":"","parse-names":false,"suffix":""},{"dropping-particle":"","family":"Al-Sulttan","given":"Faris","non-dropping-particle":"","parse-names":false,"suffix":""},{"dropping-particle":"","family":"Liaskos","given":"Christos","non-dropping-particle":"","parse-names":false,"suffix":""},{"dropping-particle":"","family":"Smyk","given":"Daniel S.","non-dropping-particle":"","parse-names":false,"suffix":""},{"dropping-particle":"","family":"Koutsoumpas","given":"Andreas L.","non-dropping-particle":"","parse-names":false,"suffix":""},{"dropping-particle":"","family":"Rigopoulou","given":"Eirini I.","non-dropping-particle":"","parse-names":false,"suffix":""},{"dropping-particle":"","family":"Conrad","given":"Karsten","non-dropping-particle":"","parse-names":false,"suffix":""},{"dropping-particle":"","family":"Forbes","given":"Alastair","non-dropping-particle":"","parse-names":false,"suffix":""},{"dropping-particle":"","family":"Bogdanos","given":"Dimitrios P.","non-dropping-particle":"","parse-names":false,"suffix":""}],"container-title":"Clinical and Developmental Immunology","id":"ITEM-1","issued":{"date-parts":[["2012","10","17"]]},"page":"1-8","publisher":"Hindawi","title":"Ileal Inflammation May Trigger the Development of GP2-Specific Pancreatic Autoantibodies in Patients with Crohn’s Disease","type":"article-journal","volume":"2012"},"uris":["http://www.mendeley.com/documents/?uuid=290361ae-8e98-3943-a1ce-ac284f58eb38"]}],"mendeley":{"formattedCitation":"&lt;sup&gt;[50]&lt;/sup&gt;","plainTextFormattedCitation":"[50]","previouslyFormattedCitation":"&lt;sup&gt;[58]&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[50]</w:t>
            </w:r>
            <w:r w:rsidRPr="008E3F16">
              <w:rPr>
                <w:rFonts w:ascii="Book Antiqua" w:hAnsi="Book Antiqua" w:cs="Times New Roman"/>
                <w:color w:val="000000" w:themeColor="text1"/>
                <w:lang w:val="en-US"/>
              </w:rPr>
              <w:fldChar w:fldCharType="end"/>
            </w:r>
          </w:p>
        </w:tc>
        <w:tc>
          <w:tcPr>
            <w:tcW w:w="328" w:type="pct"/>
            <w:vAlign w:val="center"/>
          </w:tcPr>
          <w:p w14:paraId="5C0F61A3" w14:textId="0C8D8427" w:rsidR="00F807E4" w:rsidRPr="008E3F16" w:rsidRDefault="001A6B8B"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United </w:t>
            </w:r>
            <w:r w:rsidRPr="008E3F16">
              <w:rPr>
                <w:rFonts w:ascii="Book Antiqua" w:hAnsi="Book Antiqua" w:cs="Times New Roman"/>
                <w:color w:val="000000" w:themeColor="text1"/>
                <w:lang w:val="en-US"/>
              </w:rPr>
              <w:lastRenderedPageBreak/>
              <w:t>Kingdom</w:t>
            </w:r>
          </w:p>
        </w:tc>
        <w:tc>
          <w:tcPr>
            <w:tcW w:w="162" w:type="pct"/>
            <w:vAlign w:val="center"/>
          </w:tcPr>
          <w:p w14:paraId="55217F68"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w:t>
            </w:r>
          </w:p>
        </w:tc>
        <w:tc>
          <w:tcPr>
            <w:tcW w:w="190" w:type="pct"/>
            <w:vAlign w:val="center"/>
          </w:tcPr>
          <w:p w14:paraId="0121A6C8"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357" w:type="pct"/>
            <w:vAlign w:val="center"/>
          </w:tcPr>
          <w:p w14:paraId="0307ECA6"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UCL Hospital</w:t>
            </w:r>
          </w:p>
        </w:tc>
        <w:tc>
          <w:tcPr>
            <w:tcW w:w="162" w:type="pct"/>
            <w:vAlign w:val="center"/>
          </w:tcPr>
          <w:p w14:paraId="620E534D"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426" w:type="pct"/>
            <w:vAlign w:val="center"/>
          </w:tcPr>
          <w:p w14:paraId="12D66EF4"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Lennard-Jones </w:t>
            </w:r>
            <w:r w:rsidRPr="008E3F16">
              <w:rPr>
                <w:rFonts w:ascii="Book Antiqua" w:hAnsi="Book Antiqua" w:cs="Times New Roman"/>
                <w:color w:val="000000" w:themeColor="text1"/>
                <w:lang w:val="en-US"/>
              </w:rPr>
              <w:lastRenderedPageBreak/>
              <w:t>criteria</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[24]</w:t>
            </w:r>
            <w:r w:rsidRPr="008E3F16">
              <w:rPr>
                <w:rFonts w:ascii="Book Antiqua" w:hAnsi="Book Antiqua" w:cs="Times New Roman"/>
                <w:color w:val="000000" w:themeColor="text1"/>
                <w:lang w:val="en-US"/>
              </w:rPr>
              <w:fldChar w:fldCharType="end"/>
            </w:r>
          </w:p>
        </w:tc>
        <w:tc>
          <w:tcPr>
            <w:tcW w:w="177" w:type="pct"/>
            <w:vAlign w:val="center"/>
          </w:tcPr>
          <w:p w14:paraId="476B39E4"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sym w:font="Symbol" w:char="F0D6"/>
            </w:r>
          </w:p>
        </w:tc>
        <w:tc>
          <w:tcPr>
            <w:tcW w:w="291" w:type="pct"/>
            <w:vAlign w:val="center"/>
          </w:tcPr>
          <w:p w14:paraId="3A7C16C2" w14:textId="77777777" w:rsidR="00F807E4" w:rsidRPr="008E3F16" w:rsidRDefault="00F807E4" w:rsidP="00C66188">
            <w:pPr>
              <w:adjustRightInd w:val="0"/>
              <w:snapToGrid w:val="0"/>
              <w:spacing w:line="360" w:lineRule="auto"/>
              <w:ind w:right="-489"/>
              <w:rPr>
                <w:rFonts w:ascii="Book Antiqua" w:hAnsi="Book Antiqua" w:cs="Times New Roman"/>
                <w:color w:val="000000" w:themeColor="text1"/>
                <w:lang w:val="en-US"/>
              </w:rPr>
            </w:pPr>
            <w:r w:rsidRPr="008E3F16">
              <w:rPr>
                <w:rFonts w:ascii="Book Antiqua" w:hAnsi="Book Antiqua" w:cs="Times New Roman"/>
                <w:color w:val="000000" w:themeColor="text1"/>
                <w:lang w:val="en-US"/>
              </w:rPr>
              <w:t>ELISA</w:t>
            </w:r>
          </w:p>
        </w:tc>
        <w:tc>
          <w:tcPr>
            <w:tcW w:w="365" w:type="pct"/>
            <w:vAlign w:val="center"/>
          </w:tcPr>
          <w:p w14:paraId="4581DDBA" w14:textId="70AAD706" w:rsidR="00F807E4" w:rsidRPr="008E3F16" w:rsidRDefault="00F807E4" w:rsidP="00C66188">
            <w:pPr>
              <w:adjustRightInd w:val="0"/>
              <w:snapToGrid w:val="0"/>
              <w:spacing w:line="360" w:lineRule="auto"/>
              <w:ind w:right="-54"/>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GA (Dahlewitz/Be</w:t>
            </w:r>
            <w:r w:rsidRPr="008E3F16">
              <w:rPr>
                <w:rFonts w:ascii="Book Antiqua" w:hAnsi="Book Antiqua" w:cs="Times New Roman"/>
                <w:color w:val="000000" w:themeColor="text1"/>
                <w:lang w:val="en-US"/>
              </w:rPr>
              <w:lastRenderedPageBreak/>
              <w:t>rlin Germany)</w:t>
            </w:r>
          </w:p>
        </w:tc>
        <w:tc>
          <w:tcPr>
            <w:tcW w:w="253" w:type="pct"/>
            <w:vAlign w:val="center"/>
          </w:tcPr>
          <w:p w14:paraId="22240CD4"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Total</w:t>
            </w:r>
          </w:p>
        </w:tc>
        <w:tc>
          <w:tcPr>
            <w:tcW w:w="162" w:type="pct"/>
            <w:vAlign w:val="center"/>
          </w:tcPr>
          <w:p w14:paraId="5C0CD5D7"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276" w:type="pct"/>
            <w:vAlign w:val="center"/>
          </w:tcPr>
          <w:p w14:paraId="7374751D"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IgG 20</w:t>
            </w:r>
          </w:p>
        </w:tc>
        <w:tc>
          <w:tcPr>
            <w:tcW w:w="213" w:type="pct"/>
            <w:vAlign w:val="center"/>
          </w:tcPr>
          <w:p w14:paraId="065E8015" w14:textId="7D5A3319"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CD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225</w:t>
            </w:r>
            <w:r w:rsidR="00AA2CB1" w:rsidRPr="008E3F16">
              <w:rPr>
                <w:rFonts w:ascii="Book Antiqua" w:hAnsi="Book Antiqua" w:cs="Times New Roman"/>
                <w:color w:val="000000" w:themeColor="text1"/>
                <w:lang w:val="en-US"/>
              </w:rPr>
              <w:lastRenderedPageBreak/>
              <w:t xml:space="preserve">; </w:t>
            </w:r>
            <w:r w:rsidRPr="008E3F16">
              <w:rPr>
                <w:rFonts w:ascii="Book Antiqua" w:hAnsi="Book Antiqua" w:cs="Times New Roman"/>
                <w:color w:val="000000" w:themeColor="text1"/>
                <w:lang w:val="en-US"/>
              </w:rPr>
              <w:t xml:space="preserve">UC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225</w:t>
            </w:r>
          </w:p>
        </w:tc>
        <w:tc>
          <w:tcPr>
            <w:tcW w:w="218" w:type="pct"/>
            <w:vAlign w:val="center"/>
          </w:tcPr>
          <w:p w14:paraId="72645402" w14:textId="77777777" w:rsidR="00F807E4" w:rsidRPr="008E3F16" w:rsidRDefault="00F807E4" w:rsidP="00C66188">
            <w:pPr>
              <w:adjustRightInd w:val="0"/>
              <w:snapToGrid w:val="0"/>
              <w:spacing w:line="360" w:lineRule="auto"/>
              <w:ind w:right="-628"/>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NR</w:t>
            </w:r>
          </w:p>
        </w:tc>
        <w:tc>
          <w:tcPr>
            <w:tcW w:w="145" w:type="pct"/>
            <w:vAlign w:val="center"/>
          </w:tcPr>
          <w:p w14:paraId="0DF7BB47" w14:textId="77777777" w:rsidR="00F807E4" w:rsidRPr="008E3F16" w:rsidRDefault="00F807E4" w:rsidP="00C66188">
            <w:pPr>
              <w:adjustRightInd w:val="0"/>
              <w:snapToGrid w:val="0"/>
              <w:spacing w:line="360" w:lineRule="auto"/>
              <w:ind w:right="-762"/>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232" w:type="pct"/>
            <w:vAlign w:val="center"/>
          </w:tcPr>
          <w:p w14:paraId="4CC18315" w14:textId="06150836"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CD 56.4%</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lastRenderedPageBreak/>
              <w:t>UC 49.7%</w:t>
            </w:r>
          </w:p>
        </w:tc>
        <w:tc>
          <w:tcPr>
            <w:tcW w:w="312" w:type="pct"/>
            <w:vAlign w:val="center"/>
          </w:tcPr>
          <w:p w14:paraId="2C80E183" w14:textId="074BB83E"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CD 36</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14.3</w:t>
            </w:r>
            <w:r w:rsidR="007A38A4" w:rsidRPr="008E3F16">
              <w:rPr>
                <w:rFonts w:ascii="Book Antiqua" w:hAnsi="Book Antiqua" w:cs="Times New Roman"/>
                <w:color w:val="000000" w:themeColor="text1"/>
              </w:rPr>
              <w:t>;</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lastRenderedPageBreak/>
              <w:t>UC 51</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15.7</w:t>
            </w:r>
          </w:p>
        </w:tc>
        <w:tc>
          <w:tcPr>
            <w:tcW w:w="401" w:type="pct"/>
            <w:vAlign w:val="center"/>
          </w:tcPr>
          <w:p w14:paraId="69F86E30" w14:textId="016608F0"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NIHR;</w:t>
            </w:r>
            <w:r w:rsidRPr="008E3F16">
              <w:rPr>
                <w:rFonts w:ascii="Book Antiqua" w:hAnsi="Book Antiqua" w:cs="Times New Roman"/>
                <w:color w:val="000000" w:themeColor="text1"/>
                <w:lang w:val="en-US" w:eastAsia="zh-CN"/>
              </w:rPr>
              <w:t xml:space="preserve"> </w:t>
            </w:r>
            <w:r w:rsidRPr="008E3F16">
              <w:rPr>
                <w:rFonts w:ascii="Book Antiqua" w:hAnsi="Book Antiqua" w:cs="Times New Roman"/>
                <w:color w:val="000000" w:themeColor="text1"/>
                <w:lang w:val="en-US"/>
              </w:rPr>
              <w:t>Higher Educati</w:t>
            </w:r>
            <w:r w:rsidRPr="008E3F16">
              <w:rPr>
                <w:rFonts w:ascii="Book Antiqua" w:hAnsi="Book Antiqua" w:cs="Times New Roman"/>
                <w:color w:val="000000" w:themeColor="text1"/>
                <w:lang w:val="en-US"/>
              </w:rPr>
              <w:lastRenderedPageBreak/>
              <w:t>on Fund-ing Council for England;</w:t>
            </w:r>
            <w:r w:rsidRPr="008E3F16">
              <w:rPr>
                <w:rFonts w:ascii="Book Antiqua" w:hAnsi="Book Antiqua" w:cs="Times New Roman"/>
                <w:color w:val="000000" w:themeColor="text1"/>
                <w:lang w:val="en-US" w:eastAsia="zh-CN"/>
              </w:rPr>
              <w:t xml:space="preserve"> </w:t>
            </w:r>
            <w:r w:rsidRPr="008E3F16">
              <w:rPr>
                <w:rFonts w:ascii="Book Antiqua" w:hAnsi="Book Antiqua" w:cs="Times New Roman"/>
                <w:color w:val="000000" w:themeColor="text1"/>
                <w:lang w:val="en-US"/>
              </w:rPr>
              <w:t>EASL; and</w:t>
            </w:r>
            <w:r w:rsidRPr="008E3F16">
              <w:rPr>
                <w:rFonts w:ascii="Book Antiqua" w:hAnsi="Book Antiqua" w:cs="Times New Roman"/>
                <w:color w:val="000000" w:themeColor="text1"/>
                <w:lang w:val="en-US" w:eastAsia="zh-CN"/>
              </w:rPr>
              <w:t xml:space="preserve"> </w:t>
            </w:r>
            <w:r w:rsidRPr="008E3F16">
              <w:rPr>
                <w:rFonts w:ascii="Book Antiqua" w:hAnsi="Book Antiqua" w:cs="Times New Roman"/>
                <w:color w:val="000000" w:themeColor="text1"/>
                <w:lang w:val="en-US"/>
              </w:rPr>
              <w:t>INOVA Diagnostics</w:t>
            </w:r>
          </w:p>
        </w:tc>
      </w:tr>
      <w:tr w:rsidR="008E3F16" w:rsidRPr="008E3F16" w14:paraId="290F64D6" w14:textId="77777777" w:rsidTr="00211BB2">
        <w:tc>
          <w:tcPr>
            <w:tcW w:w="330" w:type="pct"/>
            <w:vAlign w:val="center"/>
          </w:tcPr>
          <w:p w14:paraId="1EC95E7A" w14:textId="5826BD8B" w:rsidR="00F807E4" w:rsidRPr="008E3F16" w:rsidRDefault="00F807E4"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Pavlidis</w:t>
            </w:r>
            <w:r w:rsidR="00DE2F0F" w:rsidRPr="008E3F16">
              <w:rPr>
                <w:rFonts w:ascii="Book Antiqua" w:hAnsi="Book Antiqua" w:cs="Times New Roman"/>
                <w:i/>
                <w:iCs/>
                <w:color w:val="000000" w:themeColor="text1"/>
                <w:lang w:val="en-US"/>
              </w:rPr>
              <w:t xml:space="preserve"> et al</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{"citationItems":[{"id":"ITEM-1","itemData":{"DOI":"10.1016/j.cca.2014.12.010","ISSN":"00098981","PMID":"25512163","abstract":"BACKGROUND We developed a new IgA and IgG anti-MZGP2 antibody ELISAs based on recombinant isoform-4 of human zymogen granule protein-2 (GP2), which is the major autoantigen of Crohn's disease (CrD)-specific pancreatic autoantibodies and assessed their clinical relevance in the largest inflammatory bowel disease (IBD) cohort tested to date. METHODS 832 sera were studied, including 617 consecutive IBD patients from 323 CrD and 294 ulcerative colitis (UC) follow-up in a tertiary centre, and 112 pathological and 103 normal controls. RESULTS Sensitivity of IgA anti-MZGP2 for CrD in the IBD population was 15% and specificity was 98% (95, 99), while the sensitivity and specificity of IgG anti-MZGP2 were 27% and 97%. IgA and IgG anti-MZGP2 combined testing led to a sensitivity of 31% and a specificity of 96%. Positivity for either ASCA (IgA or IgG) or anti-MZGP2 (IgA or IgG) showed a sensitivity of 75% (70, 80) and a specificity of 84% (79, 89). IgA anti-MZGP2 antibodies were more prevalent in CrD patients with early disease onset (p=0.011). Also, anti-MZGP2 positive patients more frequently had extensive disease with ileal involvement. Patients with longer disease duration were more likely to have IgG anti-MZGP2 antibodies. CONCLUSIONS Our novel ELISA confirms the high specificity of anti-MZGP2 antibodies for CrD and their association with disease severity phenotypes.","author":[{"dropping-particle":"","family":"Pavlidis","given":"Polychronis","non-dropping-particle":"","parse-names":false,"suffix":""},{"dropping-particle":"","family":"Shums","given":"Zakera","non-dropping-particle":"","parse-names":false,"suffix":""},{"dropping-particle":"","family":"Koutsoumpas","given":"Andreas L.","non-dropping-particle":"","parse-names":false,"suffix":""},{"dropping-particle":"","family":"Milo","given":"Jay","non-dropping-particle":"","parse-names":false,"suffix":""},{"dropping-particle":"","family":"Papp","given":"Maria","non-dropping-particle":"","parse-names":false,"suffix":""},{"dropping-particle":"","family":"Umemura","given":"Takeji","non-dropping-particle":"","parse-names":false,"suffix":""},{"dropping-particle":"","family":"Lakatos","given":"Peter L.","non-dropping-particle":"","parse-names":false,"suffix":""},{"dropping-particle":"","family":"Smyk","given":"Daniel S.","non-dropping-particle":"","parse-names":false,"suffix":""},{"dropping-particle":"","family":"Bogdanos","given":"Dimitrios P.","non-dropping-particle":"","parse-names":false,"suffix":""},{"dropping-particle":"","family":"Forbes","given":"Alastair","non-dropping-particle":"","parse-names":false,"suffix":""},{"dropping-particle":"","family":"Norman","given":"Gary L.","non-dropping-particle":"","parse-names":false,"suffix":""}],"container-title":"Clinica Chimica Acta","id":"ITEM-1","issued":{"date-parts":[["2015","2","20"]]},"page":"176-181","title":"Diagnostic and clinical significance of Crohn's disease-specific anti-MZGP2 pancreatic antibodies by a novel ELISA","type":"article-journal","volume":"441"},"uris":["http://www.mendeley.com/documents/?uuid=d7a8bc7b-fb59-3c93-925d-44c90e4e081c"]}],"mendeley":{"formattedCitation":"&lt;sup&gt;[51]&lt;/sup&gt;","plainTextFormattedCitation":"[51]","previouslyFormattedCitation":"&lt;sup&gt;[43]&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[51]</w:t>
            </w:r>
            <w:r w:rsidRPr="008E3F16">
              <w:rPr>
                <w:rFonts w:ascii="Book Antiqua" w:hAnsi="Book Antiqua" w:cs="Times New Roman"/>
                <w:color w:val="000000" w:themeColor="text1"/>
                <w:lang w:val="en-US"/>
              </w:rPr>
              <w:fldChar w:fldCharType="end"/>
            </w:r>
          </w:p>
        </w:tc>
        <w:tc>
          <w:tcPr>
            <w:tcW w:w="328" w:type="pct"/>
            <w:vAlign w:val="center"/>
          </w:tcPr>
          <w:p w14:paraId="2E3A40AB" w14:textId="425DC45B" w:rsidR="00F807E4" w:rsidRPr="008E3F16" w:rsidRDefault="001A6B8B"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United Kingdom</w:t>
            </w:r>
          </w:p>
        </w:tc>
        <w:tc>
          <w:tcPr>
            <w:tcW w:w="162" w:type="pct"/>
            <w:vAlign w:val="center"/>
          </w:tcPr>
          <w:p w14:paraId="0BCFAB81"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190" w:type="pct"/>
            <w:vAlign w:val="center"/>
          </w:tcPr>
          <w:p w14:paraId="38F31D00"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357" w:type="pct"/>
            <w:vAlign w:val="center"/>
          </w:tcPr>
          <w:p w14:paraId="61AC581F"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UCL Hospital</w:t>
            </w:r>
          </w:p>
        </w:tc>
        <w:tc>
          <w:tcPr>
            <w:tcW w:w="162" w:type="pct"/>
            <w:vAlign w:val="center"/>
          </w:tcPr>
          <w:p w14:paraId="2BBD9646"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426" w:type="pct"/>
            <w:vAlign w:val="center"/>
          </w:tcPr>
          <w:p w14:paraId="1F5754CE"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Lennard-Jones criteria</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[24]</w:t>
            </w:r>
            <w:r w:rsidRPr="008E3F16">
              <w:rPr>
                <w:rFonts w:ascii="Book Antiqua" w:hAnsi="Book Antiqua" w:cs="Times New Roman"/>
                <w:color w:val="000000" w:themeColor="text1"/>
                <w:lang w:val="en-US"/>
              </w:rPr>
              <w:fldChar w:fldCharType="end"/>
            </w:r>
          </w:p>
        </w:tc>
        <w:tc>
          <w:tcPr>
            <w:tcW w:w="177" w:type="pct"/>
            <w:vAlign w:val="center"/>
          </w:tcPr>
          <w:p w14:paraId="745D3375"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291" w:type="pct"/>
            <w:vAlign w:val="center"/>
          </w:tcPr>
          <w:p w14:paraId="3313093B" w14:textId="77777777" w:rsidR="00F807E4" w:rsidRPr="008E3F16" w:rsidRDefault="00F807E4" w:rsidP="00C66188">
            <w:pPr>
              <w:adjustRightInd w:val="0"/>
              <w:snapToGrid w:val="0"/>
              <w:spacing w:line="360" w:lineRule="auto"/>
              <w:ind w:right="-489"/>
              <w:rPr>
                <w:rFonts w:ascii="Book Antiqua" w:hAnsi="Book Antiqua" w:cs="Times New Roman"/>
                <w:color w:val="000000" w:themeColor="text1"/>
                <w:lang w:val="en-US"/>
              </w:rPr>
            </w:pPr>
            <w:r w:rsidRPr="008E3F16">
              <w:rPr>
                <w:rFonts w:ascii="Book Antiqua" w:hAnsi="Book Antiqua" w:cs="Times New Roman"/>
                <w:color w:val="000000" w:themeColor="text1"/>
                <w:lang w:val="en-US"/>
              </w:rPr>
              <w:t>ELISA</w:t>
            </w:r>
          </w:p>
        </w:tc>
        <w:tc>
          <w:tcPr>
            <w:tcW w:w="365" w:type="pct"/>
            <w:vAlign w:val="center"/>
          </w:tcPr>
          <w:p w14:paraId="7C55E9E8" w14:textId="7F85DA35"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Inova Diagnostics (Research use only)</w:t>
            </w:r>
          </w:p>
        </w:tc>
        <w:tc>
          <w:tcPr>
            <w:tcW w:w="253" w:type="pct"/>
            <w:vAlign w:val="center"/>
          </w:tcPr>
          <w:p w14:paraId="06FB6272"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Total</w:t>
            </w:r>
          </w:p>
        </w:tc>
        <w:tc>
          <w:tcPr>
            <w:tcW w:w="162" w:type="pct"/>
            <w:vAlign w:val="center"/>
          </w:tcPr>
          <w:p w14:paraId="74FC57F3"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276" w:type="pct"/>
            <w:vAlign w:val="center"/>
          </w:tcPr>
          <w:p w14:paraId="5CF421DA" w14:textId="6AC46245"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IgA 20</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IgG 25</w:t>
            </w:r>
          </w:p>
        </w:tc>
        <w:tc>
          <w:tcPr>
            <w:tcW w:w="213" w:type="pct"/>
            <w:vAlign w:val="center"/>
          </w:tcPr>
          <w:p w14:paraId="7C380755" w14:textId="15D3CFB1"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CD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323</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UC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294</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OP</w:t>
            </w:r>
            <w:r w:rsidRPr="008E3F16">
              <w:rPr>
                <w:rFonts w:ascii="Book Antiqua" w:hAnsi="Book Antiqua" w:cs="Times New Roman"/>
                <w:color w:val="000000" w:themeColor="text1"/>
                <w:lang w:val="en-US"/>
              </w:rPr>
              <w:lastRenderedPageBreak/>
              <w:t xml:space="preserve">C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112</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HC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103</w:t>
            </w:r>
          </w:p>
        </w:tc>
        <w:tc>
          <w:tcPr>
            <w:tcW w:w="218" w:type="pct"/>
            <w:vAlign w:val="center"/>
          </w:tcPr>
          <w:p w14:paraId="0C7E4756" w14:textId="77777777" w:rsidR="00F807E4" w:rsidRPr="008E3F16" w:rsidRDefault="00F807E4" w:rsidP="00C66188">
            <w:pPr>
              <w:adjustRightInd w:val="0"/>
              <w:snapToGrid w:val="0"/>
              <w:spacing w:line="360" w:lineRule="auto"/>
              <w:ind w:right="-628"/>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NR</w:t>
            </w:r>
          </w:p>
        </w:tc>
        <w:tc>
          <w:tcPr>
            <w:tcW w:w="145" w:type="pct"/>
            <w:vAlign w:val="center"/>
          </w:tcPr>
          <w:p w14:paraId="638360AB"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232" w:type="pct"/>
            <w:vAlign w:val="center"/>
          </w:tcPr>
          <w:p w14:paraId="6F8F53DF" w14:textId="1C5E8F10" w:rsidR="00F807E4" w:rsidRPr="008E3F16" w:rsidRDefault="00F807E4" w:rsidP="00C66188">
            <w:pPr>
              <w:adjustRightInd w:val="0"/>
              <w:snapToGrid w:val="0"/>
              <w:spacing w:line="360" w:lineRule="auto"/>
              <w:jc w:val="center"/>
              <w:rPr>
                <w:rFonts w:ascii="Book Antiqua" w:hAnsi="Book Antiqua" w:cs="Times New Roman"/>
                <w:color w:val="000000" w:themeColor="text1"/>
              </w:rPr>
            </w:pPr>
            <w:r w:rsidRPr="008E3F16">
              <w:rPr>
                <w:rFonts w:ascii="Book Antiqua" w:hAnsi="Book Antiqua" w:cs="Times New Roman"/>
                <w:color w:val="000000" w:themeColor="text1"/>
              </w:rPr>
              <w:t>CD 54%</w:t>
            </w:r>
            <w:r w:rsidR="00AA2CB1"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UC 47</w:t>
            </w:r>
            <w:r w:rsidRPr="008E3F16">
              <w:rPr>
                <w:rFonts w:ascii="Book Antiqua" w:hAnsi="Book Antiqua" w:cs="Times New Roman"/>
                <w:color w:val="000000" w:themeColor="text1"/>
                <w:lang w:val="en-US"/>
              </w:rPr>
              <w:t>.</w:t>
            </w:r>
            <w:r w:rsidRPr="008E3F16">
              <w:rPr>
                <w:rFonts w:ascii="Book Antiqua" w:hAnsi="Book Antiqua" w:cs="Times New Roman"/>
                <w:color w:val="000000" w:themeColor="text1"/>
              </w:rPr>
              <w:t>9%</w:t>
            </w:r>
          </w:p>
        </w:tc>
        <w:tc>
          <w:tcPr>
            <w:tcW w:w="312" w:type="pct"/>
            <w:vAlign w:val="center"/>
          </w:tcPr>
          <w:p w14:paraId="311C56E7" w14:textId="28881D8F" w:rsidR="00F807E4" w:rsidRPr="008E3F16" w:rsidRDefault="00F807E4" w:rsidP="00C66188">
            <w:pPr>
              <w:adjustRightInd w:val="0"/>
              <w:snapToGrid w:val="0"/>
              <w:spacing w:line="360" w:lineRule="auto"/>
              <w:jc w:val="center"/>
              <w:rPr>
                <w:rFonts w:ascii="Book Antiqua" w:hAnsi="Book Antiqua" w:cs="Times New Roman"/>
                <w:color w:val="000000" w:themeColor="text1"/>
              </w:rPr>
            </w:pPr>
            <w:r w:rsidRPr="008E3F16">
              <w:rPr>
                <w:rFonts w:ascii="Book Antiqua" w:hAnsi="Book Antiqua" w:cs="Times New Roman"/>
                <w:color w:val="000000" w:themeColor="text1"/>
              </w:rPr>
              <w:t>CD 40</w:t>
            </w:r>
            <w:r w:rsidR="007A38A4"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w:t>
            </w:r>
            <w:r w:rsidR="007A38A4"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14.3</w:t>
            </w:r>
            <w:r w:rsidR="007A38A4"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UC 48.7</w:t>
            </w:r>
            <w:r w:rsidR="007A38A4"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w:t>
            </w:r>
            <w:r w:rsidR="007A38A4"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15.7</w:t>
            </w:r>
          </w:p>
        </w:tc>
        <w:tc>
          <w:tcPr>
            <w:tcW w:w="401" w:type="pct"/>
            <w:vAlign w:val="center"/>
          </w:tcPr>
          <w:p w14:paraId="273EA367" w14:textId="21F30E54"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INOVA Diagnostics</w:t>
            </w:r>
          </w:p>
        </w:tc>
      </w:tr>
      <w:tr w:rsidR="008E3F16" w:rsidRPr="008E3F16" w14:paraId="3B68380D" w14:textId="77777777" w:rsidTr="00211BB2">
        <w:tc>
          <w:tcPr>
            <w:tcW w:w="330" w:type="pct"/>
            <w:vAlign w:val="center"/>
          </w:tcPr>
          <w:p w14:paraId="4E9C24FB" w14:textId="2DB83216" w:rsidR="00F807E4" w:rsidRPr="008E3F16" w:rsidRDefault="00F807E4"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Pavlidis</w:t>
            </w:r>
            <w:r w:rsidR="00DE2F0F" w:rsidRPr="008E3F16">
              <w:rPr>
                <w:rFonts w:ascii="Book Antiqua" w:hAnsi="Book Antiqua" w:cs="Times New Roman"/>
                <w:color w:val="000000" w:themeColor="text1"/>
                <w:lang w:val="en-US"/>
              </w:rPr>
              <w:t xml:space="preserve"> </w:t>
            </w:r>
            <w:r w:rsidR="00DE2F0F" w:rsidRPr="008E3F16">
              <w:rPr>
                <w:rFonts w:ascii="Book Antiqua" w:hAnsi="Book Antiqua" w:cs="Times New Roman"/>
                <w:i/>
                <w:iCs/>
                <w:color w:val="000000" w:themeColor="text1"/>
                <w:lang w:val="en-US"/>
              </w:rPr>
              <w:t>et al</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{"citationItems":[{"id":"ITEM-1","itemData":{"DOI":"10.1515/cclm-2015-0376","ISSN":"1437-4331","PMID":"26351932","abstract":"BACKGROUND Pancreatic autoantibodies (PAB) targeting GP2 and CUZD1 are Crohn's disease (CrD)-markers. The clinical significance of anti-GP2 antibodies has been assessed, but that of anti-CUZD1 remains elusive. The aim of the study was to assess the clinical utility of anti-CUZD1/anti-GP2 by novel cell-based indirect immunofluorescence (IIF) assays in CrD. METHODS A total of 212 CrD and 249 UC patients followed up at a London IBD centre were investigated to simultaneously detect PABs, anti-GP2 and anti-CUZD1 by IIF using primate pancreatic tissue, and HEK293 over-expressing CUZD1 or GP2. RESULTS Overall, 88 (41.5%) CrDs compared to 26 (10.4%) UCs (p&lt;0.001) tested positive for IgA and/or IgG anti-GP2 and/or anti-CUZD1 antibodies, while ASCA were found in 67.5% CrDs versus 19.2% UCs (p&lt;0.0001); ASCA and/or PAB (anti-GP2 or anti-CUZD1) were detected in 76% CrD versus 34% UC patients. IgG anti-GP2 antibodies were less prevalent in L2 phenotype (p=0.002) and more prevalent in patients with stricturing disease (p=0.0418), even when a higher cut-off (≥1000 RU) was used (p=0.0396). Also, anti-GP2 IgG positive CrD patients had younger age of disease onset. IgA and/or IgG ASCA and anti-GP2 IgG antibody positive CrDs had younger onset of disease (p&lt;0.0001), were more likely to have both ileal and colonic disease (p&lt;0.0001) and had more stricturing (p&lt;0.0001) than seronegative patients. Clinical correlates were not found for anti-CUZD1 positivity. CONCLUSIONS PAB testing increases ASCA's serological sensitivity for CrD. Anti-GP2 detection, in isolation or in combination with ASCA, stratify CrD patients who phenotypically are characterised by a much younger onset of disease, extensive and stricturing behaviour.","author":[{"dropping-particle":"","family":"Pavlidis","given":"Polychronis","non-dropping-particle":"","parse-names":false,"suffix":""},{"dropping-particle":"","family":"Komorowski","given":"Lars","non-dropping-particle":"","parse-names":false,"suffix":""},{"dropping-particle":"","family":"Teegen","given":"Bianca","non-dropping-particle":"","parse-names":false,"suffix":""},{"dropping-particle":"","family":"Liaskos","given":"Christos","non-dropping-particle":"","parse-names":false,"suffix":""},{"dropping-particle":"","family":"Koutsoumpas","given":"Andreas L","non-dropping-particle":"","parse-names":false,"suffix":""},{"dropping-particle":"","family":"Smyk","given":"Daniel S","non-dropping-particle":"","parse-names":false,"suffix":""},{"dropping-particle":"","family":"Perricone","given":"Carlo","non-dropping-particle":"","parse-names":false,"suffix":""},{"dropping-particle":"","family":"Mytilinaiou","given":"Maria G","non-dropping-particle":"","parse-names":false,"suffix":""},{"dropping-particle":"","family":"Stocker","given":"Winfried","non-dropping-particle":"","parse-names":false,"suffix":""},{"dropping-particle":"","family":"Forbes","given":"Alastair","non-dropping-particle":"","parse-names":false,"suffix":""},{"dropping-particle":"","family":"Bogdanos","given":"Dimitrios P","non-dropping-particle":"","parse-names":false,"suffix":""}],"container-title":"Clinical chemistry and laboratory medicine","id":"ITEM-1","issue":"2","issued":{"date-parts":[["2016","2","1"]]},"page":"249-56","title":"Diagnostic and clinical significance of Crohn's disease-specific pancreatic anti-GP2 and anti-CUZD1 antibodies.","type":"article-journal","volume":"54"},"uris":["http://www.mendeley.com/documents/?uuid=577c6c6c-f09e-3779-aa14-2a2a25239d40"]}],"mendeley":{"formattedCitation":"&lt;sup&gt;[52]&lt;/sup&gt;","plainTextFormattedCitation":"[52]","previouslyFormattedCitation":"&lt;sup&gt;[44]&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[52]</w:t>
            </w:r>
            <w:r w:rsidRPr="008E3F16">
              <w:rPr>
                <w:rFonts w:ascii="Book Antiqua" w:hAnsi="Book Antiqua" w:cs="Times New Roman"/>
                <w:color w:val="000000" w:themeColor="text1"/>
                <w:lang w:val="en-US"/>
              </w:rPr>
              <w:fldChar w:fldCharType="end"/>
            </w:r>
          </w:p>
        </w:tc>
        <w:tc>
          <w:tcPr>
            <w:tcW w:w="328" w:type="pct"/>
            <w:vAlign w:val="center"/>
          </w:tcPr>
          <w:p w14:paraId="574396B6" w14:textId="710DF5CE" w:rsidR="00F807E4" w:rsidRPr="008E3F16" w:rsidRDefault="001A6B8B"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United Kingdom</w:t>
            </w:r>
          </w:p>
        </w:tc>
        <w:tc>
          <w:tcPr>
            <w:tcW w:w="162" w:type="pct"/>
            <w:vAlign w:val="center"/>
          </w:tcPr>
          <w:p w14:paraId="56F9A2AD"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190" w:type="pct"/>
            <w:vAlign w:val="center"/>
          </w:tcPr>
          <w:p w14:paraId="41E2A987"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357" w:type="pct"/>
            <w:vAlign w:val="center"/>
          </w:tcPr>
          <w:p w14:paraId="2F8E825A"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UCL Hospital</w:t>
            </w:r>
          </w:p>
        </w:tc>
        <w:tc>
          <w:tcPr>
            <w:tcW w:w="162" w:type="pct"/>
            <w:vAlign w:val="center"/>
          </w:tcPr>
          <w:p w14:paraId="092B762A"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426" w:type="pct"/>
            <w:vAlign w:val="center"/>
          </w:tcPr>
          <w:p w14:paraId="152393EE"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Lennard-Jones criteria</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[24]</w:t>
            </w:r>
            <w:r w:rsidRPr="008E3F16">
              <w:rPr>
                <w:rFonts w:ascii="Book Antiqua" w:hAnsi="Book Antiqua" w:cs="Times New Roman"/>
                <w:color w:val="000000" w:themeColor="text1"/>
                <w:lang w:val="en-US"/>
              </w:rPr>
              <w:fldChar w:fldCharType="end"/>
            </w:r>
          </w:p>
        </w:tc>
        <w:tc>
          <w:tcPr>
            <w:tcW w:w="177" w:type="pct"/>
            <w:vAlign w:val="center"/>
          </w:tcPr>
          <w:p w14:paraId="10EECEE8"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p w14:paraId="34844BA9"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p>
        </w:tc>
        <w:tc>
          <w:tcPr>
            <w:tcW w:w="291" w:type="pct"/>
            <w:vAlign w:val="center"/>
          </w:tcPr>
          <w:p w14:paraId="7D283F41" w14:textId="77777777" w:rsidR="00F807E4" w:rsidRPr="008E3F16" w:rsidRDefault="00F807E4" w:rsidP="00C66188">
            <w:pPr>
              <w:adjustRightInd w:val="0"/>
              <w:snapToGrid w:val="0"/>
              <w:spacing w:line="360" w:lineRule="auto"/>
              <w:ind w:right="-489"/>
              <w:rPr>
                <w:rFonts w:ascii="Book Antiqua" w:hAnsi="Book Antiqua" w:cs="Times New Roman"/>
                <w:color w:val="000000" w:themeColor="text1"/>
                <w:lang w:val="en-US"/>
              </w:rPr>
            </w:pPr>
            <w:r w:rsidRPr="008E3F16">
              <w:rPr>
                <w:rFonts w:ascii="Book Antiqua" w:hAnsi="Book Antiqua" w:cs="Times New Roman"/>
                <w:color w:val="000000" w:themeColor="text1"/>
                <w:lang w:val="en-US"/>
              </w:rPr>
              <w:t>IIF</w:t>
            </w:r>
          </w:p>
        </w:tc>
        <w:tc>
          <w:tcPr>
            <w:tcW w:w="365" w:type="pct"/>
            <w:vAlign w:val="center"/>
          </w:tcPr>
          <w:p w14:paraId="0C0F8AB7"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vertAlign w:val="superscript"/>
                <w:lang w:val="en-US"/>
              </w:rPr>
            </w:pPr>
            <w:r w:rsidRPr="008E3F16">
              <w:rPr>
                <w:rFonts w:ascii="Book Antiqua" w:hAnsi="Book Antiqua" w:cs="Times New Roman"/>
                <w:color w:val="000000" w:themeColor="text1"/>
                <w:lang w:val="en-US"/>
              </w:rPr>
              <w:t>N/A</w:t>
            </w:r>
            <w:r w:rsidRPr="008E3F16">
              <w:rPr>
                <w:rFonts w:ascii="Book Antiqua" w:hAnsi="Book Antiqua" w:cs="Times New Roman"/>
                <w:color w:val="000000" w:themeColor="text1"/>
                <w:vertAlign w:val="superscript"/>
                <w:lang w:val="en-US"/>
              </w:rPr>
              <w:t>8</w:t>
            </w:r>
          </w:p>
        </w:tc>
        <w:tc>
          <w:tcPr>
            <w:tcW w:w="253" w:type="pct"/>
            <w:vAlign w:val="center"/>
          </w:tcPr>
          <w:p w14:paraId="4B4949C0"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Total</w:t>
            </w:r>
          </w:p>
        </w:tc>
        <w:tc>
          <w:tcPr>
            <w:tcW w:w="162" w:type="pct"/>
            <w:vAlign w:val="center"/>
          </w:tcPr>
          <w:p w14:paraId="559F183A"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276" w:type="pct"/>
            <w:vAlign w:val="center"/>
          </w:tcPr>
          <w:p w14:paraId="53713BDD"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p>
        </w:tc>
        <w:tc>
          <w:tcPr>
            <w:tcW w:w="213" w:type="pct"/>
            <w:vAlign w:val="center"/>
          </w:tcPr>
          <w:p w14:paraId="4FAF1F17" w14:textId="34F5716B"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CD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212</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UC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249</w:t>
            </w:r>
          </w:p>
        </w:tc>
        <w:tc>
          <w:tcPr>
            <w:tcW w:w="218" w:type="pct"/>
            <w:vAlign w:val="center"/>
          </w:tcPr>
          <w:p w14:paraId="0C489963" w14:textId="77777777" w:rsidR="00F807E4" w:rsidRPr="008E3F16" w:rsidRDefault="00F807E4" w:rsidP="00C66188">
            <w:pPr>
              <w:adjustRightInd w:val="0"/>
              <w:snapToGrid w:val="0"/>
              <w:spacing w:line="360" w:lineRule="auto"/>
              <w:ind w:right="-628"/>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145" w:type="pct"/>
            <w:vAlign w:val="center"/>
          </w:tcPr>
          <w:p w14:paraId="5831313F"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232" w:type="pct"/>
            <w:vAlign w:val="center"/>
          </w:tcPr>
          <w:p w14:paraId="6237B327" w14:textId="3F5C3C9A"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CD 42.4%</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UC 51.4%</w:t>
            </w:r>
          </w:p>
        </w:tc>
        <w:tc>
          <w:tcPr>
            <w:tcW w:w="312" w:type="pct"/>
            <w:vAlign w:val="center"/>
          </w:tcPr>
          <w:p w14:paraId="0200C993" w14:textId="7F864D49"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CD 42.4 (30–49)</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UC 51.4 (37–61)</w:t>
            </w:r>
          </w:p>
        </w:tc>
        <w:tc>
          <w:tcPr>
            <w:tcW w:w="401" w:type="pct"/>
            <w:vAlign w:val="center"/>
          </w:tcPr>
          <w:p w14:paraId="7341B922" w14:textId="187A579A"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Euroimmun</w:t>
            </w:r>
          </w:p>
        </w:tc>
      </w:tr>
      <w:tr w:rsidR="008E3F16" w:rsidRPr="008E3F16" w14:paraId="50B98CF8" w14:textId="77777777" w:rsidTr="00211BB2">
        <w:tc>
          <w:tcPr>
            <w:tcW w:w="330" w:type="pct"/>
            <w:vAlign w:val="center"/>
          </w:tcPr>
          <w:p w14:paraId="283B2E74" w14:textId="380B98D8" w:rsidR="00F807E4" w:rsidRPr="008E3F16" w:rsidRDefault="00F807E4"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Röber</w:t>
            </w:r>
            <w:r w:rsidR="00DE2F0F" w:rsidRPr="008E3F16">
              <w:rPr>
                <w:rFonts w:ascii="Book Antiqua" w:hAnsi="Book Antiqua" w:cs="Times New Roman"/>
                <w:color w:val="000000" w:themeColor="text1"/>
                <w:lang w:val="en-US"/>
              </w:rPr>
              <w:t xml:space="preserve"> </w:t>
            </w:r>
            <w:r w:rsidR="00DE2F0F" w:rsidRPr="008E3F16">
              <w:rPr>
                <w:rFonts w:ascii="Book Antiqua" w:hAnsi="Book Antiqua" w:cs="Times New Roman"/>
                <w:i/>
                <w:iCs/>
                <w:color w:val="000000" w:themeColor="text1"/>
                <w:lang w:val="en-US"/>
              </w:rPr>
              <w:t>et al</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{"citationItems":[{"id":"ITEM-1","itemData":{"DOI":"10.1097/MIB.0000000000001159","ISSN":"1536-4844","PMID":"28691939","abstract":"BACKGROUND Anti-Glycoprotein 2 (GP2) antibodies are associated with a more complicated course of Crohn's disease (CD) in adults. Four different GP2 isoforms with different length and antibody-binding sites have been identified so far but not been explored in serological studies. We aimed to investigate the diagnostic utility of autoantibodies against all 4 isoforms of GP2 in an exclusively pediatric population for the first time. METHODS We included 278 children and adolescents with inflammatory bowel disease: 164 with CD, 114 with ulcerative colitis, 83 disease controls (acute gastrointestinal infection, nonspecific gastrointestinal functional disorders), and 219 healthy controls. Sera were tested for anti-GP2 antibodies using 4 different isoforms of GP2 for anti-Saccharomyces cerevisiae antibodies, antineutrophil cytoplasmic antibodies, and pancreatic antibodies. RESULTS Anti-GP2 antibodies were significantly more prevalent in patients with CD than in ulcerative colitis and controls. We found a sensitivity of 38% (with a specificity of 95%) for anti-GP2 IgG against isoform 4 in CD. Anti-GP2 IgA against isoform 1 and anti-GP2 IgG against isoform 4 possessed the best diagnostic values for identification of CD. For the differentiation of CD from ulcerative colitis anti-GP2 IgG against isoforms 3 and 4 proved to be most accurate markers. Anti-GP2 antibodies were associated with a more complicated disease behavior and bowel surgery in CD. In a subgroup of patients with CD, anti-GP2 IgG against isoform 4 proved to be a relatively stable marker over time independent of disease activity. CONCLUSIONS Anti-GP2 antibodies against different isoforms are specific markers for CD and for different phenotypes in pediatric inflammatory bowel disease.","author":[{"dropping-particle":"","family":"Röber","given":"Nadja","non-dropping-particle":"","parse-names":false,"suffix":""},{"dropping-particle":"","family":"Noß","given":"Lydia","non-dropping-particle":"","parse-names":false,"suffix":""},{"dropping-particle":"","family":"Goihl","given":"Alexander","non-dropping-particle":"","parse-names":false,"suffix":""},{"dropping-particle":"","family":"Reinhold","given":"Dirk","non-dropping-particle":"","parse-names":false,"suffix":""},{"dropping-particle":"","family":"Jahn","given":"Josefine","non-dropping-particle":"","parse-names":false,"suffix":""},{"dropping-particle":"","family":"Laffolie","given":"Jan","non-dropping-particle":"de","parse-names":false,"suffix":""},{"dropping-particle":"","family":"Johannes","given":"Wolf","non-dropping-particle":"","parse-names":false,"suffix":""},{"dropping-particle":"","family":"Flemming","given":"Gunter M","non-dropping-particle":"","parse-names":false,"suffix":""},{"dropping-particle":"","family":"Roggenbuck","given":"Dirk","non-dropping-particle":"","parse-names":false,"suffix":""},{"dropping-particle":"","family":"Conrad","given":"Karsten","non-dropping-particle":"","parse-names":false,"suffix":""},{"dropping-particle":"","family":"Laass","given":"Martin W","non-dropping-particle":"","parse-names":false,"suffix":""}],"container-title":"Inflammatory bowel diseases","id":"ITEM-1","issue":"9","issued":{"date-parts":[["2017","9"]]},"page":"1624-1636","title":"Autoantibodies Against Glycoprotein 2 Isoforms in Pediatric Patients with Inflammatory Bowel Disease.","type":"article-journal","volume":"23"},"uris":["http://www.mendeley.com/documents/?uuid=7aa3f6d3-884a-379f-8cb1-62b8e64206d5"]}],"mendeley":{"formattedCitation":"&lt;sup&gt;[53]&lt;/sup&gt;","plainTextFormattedCitation":"[53]","previouslyFormattedCitation":"&lt;sup&gt;[45]&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[53]</w:t>
            </w:r>
            <w:r w:rsidRPr="008E3F16">
              <w:rPr>
                <w:rFonts w:ascii="Book Antiqua" w:hAnsi="Book Antiqua" w:cs="Times New Roman"/>
                <w:color w:val="000000" w:themeColor="text1"/>
                <w:lang w:val="en-US"/>
              </w:rPr>
              <w:fldChar w:fldCharType="end"/>
            </w:r>
          </w:p>
        </w:tc>
        <w:tc>
          <w:tcPr>
            <w:tcW w:w="328" w:type="pct"/>
            <w:vAlign w:val="center"/>
          </w:tcPr>
          <w:p w14:paraId="0171E8EB" w14:textId="4C4A5915" w:rsidR="00F807E4" w:rsidRPr="008E3F16" w:rsidRDefault="001A6B8B"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Germany</w:t>
            </w:r>
          </w:p>
        </w:tc>
        <w:tc>
          <w:tcPr>
            <w:tcW w:w="162" w:type="pct"/>
            <w:vAlign w:val="center"/>
          </w:tcPr>
          <w:p w14:paraId="0A012B82"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190" w:type="pct"/>
            <w:vAlign w:val="center"/>
          </w:tcPr>
          <w:p w14:paraId="69EECD2D"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1994-2014</w:t>
            </w:r>
          </w:p>
        </w:tc>
        <w:tc>
          <w:tcPr>
            <w:tcW w:w="357" w:type="pct"/>
            <w:vAlign w:val="center"/>
          </w:tcPr>
          <w:p w14:paraId="09423079" w14:textId="516CD3C0" w:rsidR="00F807E4" w:rsidRPr="008E3F16" w:rsidRDefault="00F807E4" w:rsidP="00C66188">
            <w:pPr>
              <w:adjustRightInd w:val="0"/>
              <w:snapToGrid w:val="0"/>
              <w:spacing w:line="360" w:lineRule="auto"/>
              <w:ind w:right="-86"/>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Three children’</w:t>
            </w:r>
            <w:r w:rsidR="00FF242A" w:rsidRPr="008E3F16">
              <w:rPr>
                <w:rFonts w:ascii="Book Antiqua" w:hAnsi="Book Antiqua" w:cs="Times New Roman"/>
                <w:color w:val="000000" w:themeColor="text1"/>
                <w:lang w:val="en-US"/>
              </w:rPr>
              <w:t xml:space="preserve"> s</w:t>
            </w:r>
            <w:r w:rsidRPr="008E3F16">
              <w:rPr>
                <w:rFonts w:ascii="Book Antiqua" w:hAnsi="Book Antiqua" w:cs="Times New Roman"/>
                <w:color w:val="000000" w:themeColor="text1"/>
                <w:lang w:val="en-US"/>
              </w:rPr>
              <w:t xml:space="preserve"> University </w:t>
            </w:r>
            <w:r w:rsidRPr="008E3F16">
              <w:rPr>
                <w:rFonts w:ascii="Book Antiqua" w:hAnsi="Book Antiqua" w:cs="Times New Roman"/>
                <w:color w:val="000000" w:themeColor="text1"/>
                <w:lang w:val="en-US"/>
              </w:rPr>
              <w:lastRenderedPageBreak/>
              <w:t>hospitals (Dresden, Leipzig, Giessen)</w:t>
            </w:r>
          </w:p>
        </w:tc>
        <w:tc>
          <w:tcPr>
            <w:tcW w:w="162" w:type="pct"/>
            <w:vAlign w:val="center"/>
          </w:tcPr>
          <w:p w14:paraId="4B4A4A27"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NR</w:t>
            </w:r>
          </w:p>
        </w:tc>
        <w:tc>
          <w:tcPr>
            <w:tcW w:w="426" w:type="pct"/>
            <w:vAlign w:val="center"/>
          </w:tcPr>
          <w:p w14:paraId="648D1323"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Porto criteria</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{"citationItems":[{"id":"ITEM-1","itemData":{"DOI":"10.1097/MPG.0000000000000239","ISSN":"0277-2116","PMID":"24231644","abstract":"BACKGROUND The diagnosis of pediatric-onset inflammatory bowel disease (PIBD) can be challenging in choosing the most informative diagnostic tests and correctly classifying PIBD into its different subtypes. Recent advances in our understanding of the natural history and phenotype of PIBD, increasing availability of serological and fecal biomarkers, and the emergence of novel endoscopic and imaging technologies taken together have made the previous Porto criteria for the diagnosis of PIBD obsolete. METHODS We aimed to revise the original Porto criteria using an evidence-based approach and consensus process to yield specific practice recommendations for the diagnosis of PIBD. These revised criteria are based on the Paris classification of PIBD and the original Porto criteria while incorporating novel data, such as for serum and fecal biomarkers. A consensus of at least 80% of participants was achieved for all recommendations and the summary algorithm. RESULTS The revised criteria depart from existing criteria by defining 2 categories of ulcerative colitis (UC, typical and atypical); atypical phenotypes of UC should be treated as UC. A novel approach based on multiple criteria for diagnosing IBD-unclassified (IBD-U) is proposed. Specifically, these revised criteria recommend upper gastrointestinal endoscopy and ileocolonscopy for all suspected patients with PIBD, with small bowel imaging (unless typical UC after endoscopy and histology) by magnetic resonance enterography or wireless capsule endoscopy. CONCLUSIONS These revised Porto criteria for the diagnosis of PIBD have been developed to meet present challenges and developments in PIBD and provide up-to-date guidelines for the definition and diagnosis of the IBD spectrum.","author":[{"dropping-particle":"","family":"Levine","given":"Arie","non-dropping-particle":"","parse-names":false,"suffix":""},{"dropping-particle":"","family":"Koletzko","given":"Sibylle","non-dropping-particle":"","parse-names":false,"suffix":""},{"dropping-particle":"","family":"Turner","given":"Dan","non-dropping-particle":"","parse-names":false,"suffix":""},{"dropping-particle":"","family":"Escher","given":"Johanna C.","non-dropping-particle":"","parse-names":false,"suffix":""},{"dropping-particle":"","family":"Cucchiara","given":"Salvatore","non-dropping-particle":"","parse-names":false,"suffix":""},{"dropping-particle":"","family":"Ridder","given":"Lissy","non-dropping-particle":"de","parse-names":false,"suffix":""},{"dropping-particle":"","family":"Kolho","given":"Kaija-Leena","non-dropping-particle":"","parse-names":false,"suffix":""},{"dropping-particle":"","family":"Veres","given":"Gabor","non-dropping-particle":"","parse-names":false,"suffix":""},{"dropping-particle":"","family":"Russell","given":"Richard K.","non-dropping-particle":"","parse-names":false,"suffix":""},{"dropping-particle":"","family":"Paerregaard","given":"Anders","non-dropping-particle":"","parse-names":false,"suffix":""},{"dropping-particle":"","family":"Buderus","given":"Stephan","non-dropping-particle":"","parse-names":false,"suffix":""},{"dropping-particle":"","family":"Greer","given":"Mary-Louise C.","non-dropping-particle":"","parse-names":false,"suffix":""},{"dropping-particle":"","family":"Dias","given":"Jorge Amil","non-dropping-particle":"","parse-names":false,"suffix":""},{"dropping-particle":"","family":"Veereman-Wauters","given":"Gigi","non-dropping-particle":"","parse-names":false,"suffix":""},{"dropping-particle":"","family":"Lionetti","given":"Paolo","non-dropping-particle":"","parse-names":false,"suffix":""},{"dropping-particle":"","family":"Sladek","given":"Malgorzata","non-dropping-particle":"","parse-names":false,"suffix":""},{"dropping-particle":"de","family":"Carpi","given":"Javier Martin","non-dropping-particle":"","parse-names":false,"suffix":""},{"dropping-particle":"","family":"Staiano","given":"Annamaria","non-dropping-particle":"","parse-names":false,"suffix":""},{"dropping-particle":"","family":"Ruemmele","given":"Frank M.","non-dropping-particle":"","parse-names":false,"suffix":""},{"dropping-particle":"","family":"Wilson","given":"David C.","non-dropping-particle":"","parse-names":false,"suffix":""},{"dropping-particle":"","family":"European Society of Pediatric Gastroenterology, Hepatology, and Nutrition","given":"","non-dropping-particle":"","parse-names":false,"suffix":""}],"container-title":"Journal of Pediatric Gastroenterology and Nutrition","id":"ITEM-1","issue":"6","issued":{"date-parts":[["2013","11"]]},"page":"1","title":"The ESPGHAN Revised Porto Criteria for the Diagnosis of Inflammatory Bowel Disease in Children and Adolescents","type":"article-journal","volume":"58"},"uris":["http://www.mendeley.com/documents/?uuid=8890fba6-f624-3677-a29f-2f8f96aae9d2"]}],"mendeley":{"formattedCitation":"&lt;sup&gt;[25]&lt;/sup&gt;","plainTextFormattedCitation":"[25]","previouslyFormattedCitation":"&lt;sup&gt;[25]&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[25]</w:t>
            </w:r>
            <w:r w:rsidRPr="008E3F16">
              <w:rPr>
                <w:rFonts w:ascii="Book Antiqua" w:hAnsi="Book Antiqua" w:cs="Times New Roman"/>
                <w:color w:val="000000" w:themeColor="text1"/>
                <w:lang w:val="en-US"/>
              </w:rPr>
              <w:fldChar w:fldCharType="end"/>
            </w:r>
          </w:p>
        </w:tc>
        <w:tc>
          <w:tcPr>
            <w:tcW w:w="177" w:type="pct"/>
            <w:vAlign w:val="center"/>
          </w:tcPr>
          <w:p w14:paraId="13240B8C"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Paris</w:t>
            </w:r>
          </w:p>
          <w:p w14:paraId="68DBA790"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vertAlign w:val="superscript"/>
                <w:lang w:val="en-US"/>
              </w:rPr>
            </w:pPr>
            <w:r w:rsidRPr="008E3F16">
              <w:rPr>
                <w:rFonts w:ascii="Book Antiqua" w:hAnsi="Book Antiqua" w:cs="Times New Roman"/>
                <w:color w:val="000000" w:themeColor="text1"/>
                <w:vertAlign w:val="superscript"/>
                <w:lang w:val="en-US"/>
              </w:rPr>
              <w:fldChar w:fldCharType="begin" w:fldLock="1"/>
            </w:r>
            <w:r w:rsidRPr="008E3F16">
              <w:rPr>
                <w:rFonts w:ascii="Book Antiqua" w:hAnsi="Book Antiqua" w:cs="Times New Roman"/>
                <w:color w:val="000000" w:themeColor="text1"/>
                <w:vertAlign w:val="superscript"/>
                <w:lang w:val="en-US"/>
              </w:rPr>
              <w:instrText>ADDIN CSL_CITATION {"citationItems":[{"id":"ITEM-1","itemData":{"DOI":"10.1002/ibd.21493","ISSN":"1078-0998","PMID":"21560194","abstract":"BACKGROUND Crohn's disease and ulcerative colitis are complex disorders with some shared and many unique predisposing genes. Accurate phenotype classification is essential in determining the utility of genotype-phenotype correlation. The Montreal Classification of IBD has several weaknesses with respect to classification of children. The dynamic features of pediatric disease phenotype (change in disease location and behavior over time, growth failure) are not sufficiently captured by the current Montreal Classification. METHODS Focusing on facilitating research in pediatric inflammatory bowel disease (IBD), and creating uniform standards for defining IBD phenotypes, an international group of pediatric IBD experts met in Paris, France to develop evidence-based consensus recommendations for a pediatric modification of the Montreal criteria. RESULTS Important modifications developed include classifying age at diagnosis as A1a (0 to &lt;10 years), A1b (10 to &lt;17 years), A2 (17 to 40 years), and A3 (&gt;40 years), distinguishing disease above the distal ileum as L4a (proximal to ligament of Treitz) and L4b (ligament of Treitz to above distal ileum), allowing both stenosing and penetrating disease to be classified in the same patient (B2B3), denoting the presence of growth failure in the patient at any time as G(1) versus G(0) (never growth failure), adding E4 to denote extent of ulcerative colitis that is proximal to the hepatic flexure, and denoting ever severe ulcerative colitis during disease course by S1. CONCLUSIONS These modifications are termed the Paris Classification. By adhering to the Montreal framework, we have not jeopardized or altered the ability to use this classification for adult onset disease or by adult gastroenterologists.","author":[{"dropping-particle":"","family":"Levine","given":"Arie","non-dropping-particle":"","parse-names":false,"suffix":""},{"dropping-particle":"","family":"Griffiths","given":"Anne","non-dropping-particle":"","parse-names":false,"suffix":""},{"dropping-particle":"","family":"Markowitz","given":"James","non-dropping-particle":"","parse-names":false,"suffix":""},{"dropping-particle":"","family":"Wilson","given":"David C","non-dropping-particle":"","parse-names":false,"suffix":""},{"dropping-particle":"","family":"Turner","given":"Dan","non-dropping-particle":"","parse-names":false,"suffix":""},{"dropping-particle":"","family":"Russell","given":"Richard K","non-dropping-particle":"","parse-names":false,"suffix":""},{"dropping-particle":"","family":"Fell","given":"John","non-dropping-particle":"","parse-names":false,"suffix":""},{"dropping-particle":"","family":"Ruemmele","given":"Frank M","non-dropping-particle":"","parse-names":false,"suffix":""},{"dropping-particle":"","family":"Walters","given":"Thomas","non-dropping-particle":"","parse-names":false,"suffix":""},{"dropping-particle":"","family":"Sherlock","given":"Mary","non-dropping-particle":"","parse-names":false,"suffix":""},{"dropping-particle":"","family":"Dubinsky","given":"Marla","non-dropping-particle":"","parse-names":false,"suffix":""},{"dropping-particle":"","family":"Hyams","given":"Jeffrey S","non-dropping-particle":"","parse-names":false,"suffix":""}],"container-title":"Inflammatory Bowel Diseases","id":"ITEM-1","issue":"6","issued":{"date-parts":[["2011","6"]]},"page":"1314-1321","title":"Pediatric modification of the Montreal classification for inflammatory bowel disease","type":"article-journal","volume":"17"},"uris":["http://www.mendeley.com/documents/?uuid=5a65d9cc-ce33-3d3f-bce4-17e3dc48d125"]}],"mendeley":{"formattedCitation":"&lt;sup&gt;[82]&lt;/sup&gt;","plainTextFormattedCitation":"[82]","previouslyFormattedCitation":"&lt;sup&gt;[82]&lt;/sup&gt;"},"properties":{"noteIndex":0},"schema":"https://github.com/citation-style-language/schema/raw/master/csl-citation.json"}</w:instrText>
            </w:r>
            <w:r w:rsidRPr="008E3F16">
              <w:rPr>
                <w:rFonts w:ascii="Book Antiqua" w:hAnsi="Book Antiqua" w:cs="Times New Roman"/>
                <w:color w:val="000000" w:themeColor="text1"/>
                <w:vertAlign w:val="superscript"/>
                <w:lang w:val="en-US"/>
              </w:rPr>
              <w:fldChar w:fldCharType="separate"/>
            </w:r>
            <w:r w:rsidRPr="008E3F16">
              <w:rPr>
                <w:rFonts w:ascii="Book Antiqua" w:hAnsi="Book Antiqua" w:cs="Times New Roman"/>
                <w:noProof/>
                <w:color w:val="000000" w:themeColor="text1"/>
                <w:vertAlign w:val="superscript"/>
                <w:lang w:val="en-US"/>
              </w:rPr>
              <w:t>[82]</w:t>
            </w:r>
            <w:r w:rsidRPr="008E3F16">
              <w:rPr>
                <w:rFonts w:ascii="Book Antiqua" w:hAnsi="Book Antiqua" w:cs="Times New Roman"/>
                <w:color w:val="000000" w:themeColor="text1"/>
                <w:vertAlign w:val="superscript"/>
                <w:lang w:val="en-US"/>
              </w:rPr>
              <w:fldChar w:fldCharType="end"/>
            </w:r>
          </w:p>
        </w:tc>
        <w:tc>
          <w:tcPr>
            <w:tcW w:w="291" w:type="pct"/>
            <w:vAlign w:val="center"/>
          </w:tcPr>
          <w:p w14:paraId="2F4449D1" w14:textId="77777777" w:rsidR="00F807E4" w:rsidRPr="008E3F16" w:rsidRDefault="00F807E4" w:rsidP="00C66188">
            <w:pPr>
              <w:adjustRightInd w:val="0"/>
              <w:snapToGrid w:val="0"/>
              <w:spacing w:line="360" w:lineRule="auto"/>
              <w:ind w:right="-489"/>
              <w:rPr>
                <w:rFonts w:ascii="Book Antiqua" w:hAnsi="Book Antiqua" w:cs="Times New Roman"/>
                <w:color w:val="000000" w:themeColor="text1"/>
                <w:lang w:val="en-US"/>
              </w:rPr>
            </w:pPr>
            <w:r w:rsidRPr="008E3F16">
              <w:rPr>
                <w:rFonts w:ascii="Book Antiqua" w:hAnsi="Book Antiqua" w:cs="Times New Roman"/>
                <w:color w:val="000000" w:themeColor="text1"/>
                <w:lang w:val="en-US"/>
              </w:rPr>
              <w:t>ELISA</w:t>
            </w:r>
          </w:p>
        </w:tc>
        <w:tc>
          <w:tcPr>
            <w:tcW w:w="365" w:type="pct"/>
            <w:vAlign w:val="center"/>
          </w:tcPr>
          <w:p w14:paraId="69D0AEAA" w14:textId="43BD9EE2" w:rsidR="00F807E4" w:rsidRPr="008E3F16" w:rsidRDefault="00F807E4" w:rsidP="00C66188">
            <w:pPr>
              <w:adjustRightInd w:val="0"/>
              <w:snapToGrid w:val="0"/>
              <w:spacing w:line="360" w:lineRule="auto"/>
              <w:ind w:right="-131"/>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GP2</w:t>
            </w:r>
            <w:r w:rsidRPr="008E3F16">
              <w:rPr>
                <w:rFonts w:ascii="Book Antiqua" w:hAnsi="Book Antiqua" w:cs="Times New Roman"/>
                <w:color w:val="000000" w:themeColor="text1"/>
                <w:vertAlign w:val="subscript"/>
                <w:lang w:val="en-US"/>
              </w:rPr>
              <w:t>1</w:t>
            </w:r>
            <w:r w:rsidRPr="008E3F16">
              <w:rPr>
                <w:rFonts w:ascii="Book Antiqua" w:hAnsi="Book Antiqua" w:cs="Times New Roman"/>
                <w:color w:val="000000" w:themeColor="text1"/>
                <w:lang w:val="en-US"/>
              </w:rPr>
              <w:t>, GP2</w:t>
            </w:r>
            <w:r w:rsidRPr="008E3F16">
              <w:rPr>
                <w:rFonts w:ascii="Book Antiqua" w:hAnsi="Book Antiqua" w:cs="Times New Roman"/>
                <w:color w:val="000000" w:themeColor="text1"/>
                <w:vertAlign w:val="subscript"/>
                <w:lang w:val="en-US"/>
              </w:rPr>
              <w:t>3</w:t>
            </w:r>
            <w:r w:rsidRPr="008E3F16">
              <w:rPr>
                <w:rFonts w:ascii="Book Antiqua" w:hAnsi="Book Antiqua" w:cs="Times New Roman"/>
                <w:color w:val="000000" w:themeColor="text1"/>
                <w:lang w:val="en-US"/>
              </w:rPr>
              <w:t xml:space="preserve">: (AMS Biotechnology, </w:t>
            </w:r>
            <w:r w:rsidRPr="008E3F16">
              <w:rPr>
                <w:rFonts w:ascii="Book Antiqua" w:hAnsi="Book Antiqua" w:cs="Times New Roman"/>
                <w:color w:val="000000" w:themeColor="text1"/>
                <w:lang w:val="en-US"/>
              </w:rPr>
              <w:lastRenderedPageBreak/>
              <w:t>Abingdon, U</w:t>
            </w:r>
            <w:r w:rsidR="00FF242A" w:rsidRPr="008E3F16">
              <w:rPr>
                <w:rFonts w:ascii="Book Antiqua" w:hAnsi="Book Antiqua" w:cs="Times New Roman"/>
                <w:color w:val="000000" w:themeColor="text1"/>
                <w:lang w:val="en-US"/>
              </w:rPr>
              <w:t xml:space="preserve">nited </w:t>
            </w:r>
            <w:r w:rsidRPr="008E3F16">
              <w:rPr>
                <w:rFonts w:ascii="Book Antiqua" w:hAnsi="Book Antiqua" w:cs="Times New Roman"/>
                <w:color w:val="000000" w:themeColor="text1"/>
                <w:lang w:val="en-US"/>
              </w:rPr>
              <w:t>K</w:t>
            </w:r>
            <w:r w:rsidR="00FF242A" w:rsidRPr="008E3F16">
              <w:rPr>
                <w:rFonts w:ascii="Book Antiqua" w:hAnsi="Book Antiqua" w:cs="Times New Roman"/>
                <w:color w:val="000000" w:themeColor="text1"/>
                <w:lang w:val="en-US"/>
              </w:rPr>
              <w:t>ingdom</w:t>
            </w:r>
            <w:r w:rsidRPr="008E3F16">
              <w:rPr>
                <w:rFonts w:ascii="Book Antiqua" w:hAnsi="Book Antiqua" w:cs="Times New Roman"/>
                <w:color w:val="000000" w:themeColor="text1"/>
                <w:lang w:val="en-US"/>
              </w:rPr>
              <w:t>); GP2</w:t>
            </w:r>
            <w:r w:rsidRPr="008E3F16">
              <w:rPr>
                <w:rFonts w:ascii="Book Antiqua" w:hAnsi="Book Antiqua" w:cs="Times New Roman"/>
                <w:color w:val="000000" w:themeColor="text1"/>
                <w:vertAlign w:val="subscript"/>
                <w:lang w:val="en-US"/>
              </w:rPr>
              <w:t>2</w:t>
            </w:r>
            <w:r w:rsidRPr="008E3F16">
              <w:rPr>
                <w:rFonts w:ascii="Book Antiqua" w:hAnsi="Book Antiqua" w:cs="Times New Roman"/>
                <w:color w:val="000000" w:themeColor="text1"/>
                <w:lang w:val="en-US"/>
              </w:rPr>
              <w:t>: (CCS GmbH, Hamburg, Germany);</w:t>
            </w:r>
          </w:p>
          <w:p w14:paraId="05C9A480" w14:textId="095B3CE4"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GP2</w:t>
            </w:r>
            <w:r w:rsidRPr="008E3F16">
              <w:rPr>
                <w:rFonts w:ascii="Book Antiqua" w:hAnsi="Book Antiqua" w:cs="Times New Roman"/>
                <w:color w:val="000000" w:themeColor="text1"/>
                <w:vertAlign w:val="subscript"/>
                <w:lang w:val="en-US"/>
              </w:rPr>
              <w:t>4</w:t>
            </w:r>
            <w:r w:rsidRPr="008E3F16">
              <w:rPr>
                <w:rFonts w:ascii="Book Antiqua" w:hAnsi="Book Antiqua" w:cs="Times New Roman"/>
                <w:color w:val="000000" w:themeColor="text1"/>
                <w:lang w:val="en-US"/>
              </w:rPr>
              <w:t>: (Thermo Sci, Braunschweig, Germany)</w:t>
            </w:r>
          </w:p>
        </w:tc>
        <w:tc>
          <w:tcPr>
            <w:tcW w:w="253" w:type="pct"/>
            <w:vAlign w:val="center"/>
          </w:tcPr>
          <w:p w14:paraId="768D09BF" w14:textId="6AB6F046" w:rsidR="00F807E4" w:rsidRPr="008E3F16" w:rsidRDefault="00F807E4" w:rsidP="00C66188">
            <w:pPr>
              <w:adjustRightInd w:val="0"/>
              <w:snapToGrid w:val="0"/>
              <w:spacing w:line="360" w:lineRule="auto"/>
              <w:ind w:right="-329"/>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Isoforms</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1, 2, 3, 4</w:t>
            </w:r>
          </w:p>
        </w:tc>
        <w:tc>
          <w:tcPr>
            <w:tcW w:w="162" w:type="pct"/>
            <w:vAlign w:val="center"/>
          </w:tcPr>
          <w:p w14:paraId="1BBBEC62"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276" w:type="pct"/>
            <w:vAlign w:val="center"/>
          </w:tcPr>
          <w:p w14:paraId="5A60F749" w14:textId="1AD0B546" w:rsidR="00F807E4" w:rsidRPr="008E3F16" w:rsidRDefault="00F807E4" w:rsidP="00C66188">
            <w:pPr>
              <w:adjustRightInd w:val="0"/>
              <w:snapToGrid w:val="0"/>
              <w:spacing w:line="360" w:lineRule="auto"/>
              <w:ind w:right="-184"/>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IgA GP2</w:t>
            </w:r>
            <w:r w:rsidRPr="008E3F16">
              <w:rPr>
                <w:rFonts w:ascii="Book Antiqua" w:hAnsi="Book Antiqua" w:cs="Times New Roman"/>
                <w:color w:val="000000" w:themeColor="text1"/>
                <w:vertAlign w:val="subscript"/>
                <w:lang w:val="en-US"/>
              </w:rPr>
              <w:t>1</w:t>
            </w:r>
            <w:r w:rsidRPr="008E3F16">
              <w:rPr>
                <w:rFonts w:ascii="Book Antiqua" w:hAnsi="Book Antiqua" w:cs="Times New Roman"/>
                <w:color w:val="000000" w:themeColor="text1"/>
                <w:lang w:val="en-US"/>
              </w:rPr>
              <w:t xml:space="preserve"> 7.02</w:t>
            </w:r>
            <w:r w:rsidR="00781C54" w:rsidRPr="008E3F16">
              <w:rPr>
                <w:rFonts w:ascii="Book Antiqua" w:hAnsi="Book Antiqua" w:cs="Times New Roman"/>
                <w:color w:val="000000" w:themeColor="text1"/>
                <w:lang w:val="en-US" w:eastAsia="zh-CN"/>
              </w:rPr>
              <w:t xml:space="preserve">; </w:t>
            </w:r>
            <w:r w:rsidRPr="008E3F16">
              <w:rPr>
                <w:rFonts w:ascii="Book Antiqua" w:hAnsi="Book Antiqua" w:cs="Times New Roman"/>
                <w:color w:val="000000" w:themeColor="text1"/>
                <w:lang w:val="en-US"/>
              </w:rPr>
              <w:t>IgA GP2</w:t>
            </w:r>
            <w:r w:rsidRPr="008E3F16">
              <w:rPr>
                <w:rFonts w:ascii="Book Antiqua" w:hAnsi="Book Antiqua" w:cs="Times New Roman"/>
                <w:color w:val="000000" w:themeColor="text1"/>
                <w:vertAlign w:val="subscript"/>
                <w:lang w:val="en-US"/>
              </w:rPr>
              <w:t>2</w:t>
            </w:r>
            <w:r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lastRenderedPageBreak/>
              <w:t>7.33</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IgA GP2</w:t>
            </w:r>
            <w:r w:rsidRPr="008E3F16">
              <w:rPr>
                <w:rFonts w:ascii="Book Antiqua" w:hAnsi="Book Antiqua" w:cs="Times New Roman"/>
                <w:color w:val="000000" w:themeColor="text1"/>
                <w:vertAlign w:val="subscript"/>
                <w:lang w:val="en-US"/>
              </w:rPr>
              <w:t>3</w:t>
            </w:r>
            <w:r w:rsidRPr="008E3F16">
              <w:rPr>
                <w:rFonts w:ascii="Book Antiqua" w:hAnsi="Book Antiqua" w:cs="Times New Roman"/>
                <w:color w:val="000000" w:themeColor="text1"/>
                <w:lang w:val="en-US"/>
              </w:rPr>
              <w:t xml:space="preserve"> 4.37</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IgA GP2</w:t>
            </w:r>
            <w:r w:rsidRPr="008E3F16">
              <w:rPr>
                <w:rFonts w:ascii="Book Antiqua" w:hAnsi="Book Antiqua" w:cs="Times New Roman"/>
                <w:color w:val="000000" w:themeColor="text1"/>
                <w:vertAlign w:val="subscript"/>
                <w:lang w:val="en-US"/>
              </w:rPr>
              <w:t>4</w:t>
            </w:r>
            <w:r w:rsidRPr="008E3F16">
              <w:rPr>
                <w:rFonts w:ascii="Book Antiqua" w:hAnsi="Book Antiqua" w:cs="Times New Roman"/>
                <w:color w:val="000000" w:themeColor="text1"/>
                <w:lang w:val="en-US"/>
              </w:rPr>
              <w:t xml:space="preserve"> 9.01</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IgG GP2</w:t>
            </w:r>
            <w:r w:rsidRPr="008E3F16">
              <w:rPr>
                <w:rFonts w:ascii="Book Antiqua" w:hAnsi="Book Antiqua" w:cs="Times New Roman"/>
                <w:color w:val="000000" w:themeColor="text1"/>
                <w:vertAlign w:val="subscript"/>
                <w:lang w:val="en-US"/>
              </w:rPr>
              <w:t xml:space="preserve">1 </w:t>
            </w:r>
            <w:r w:rsidRPr="008E3F16">
              <w:rPr>
                <w:rFonts w:ascii="Book Antiqua" w:hAnsi="Book Antiqua" w:cs="Times New Roman"/>
                <w:color w:val="000000" w:themeColor="text1"/>
                <w:lang w:val="en-US"/>
              </w:rPr>
              <w:t>33.38</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IgG GP2</w:t>
            </w:r>
            <w:r w:rsidRPr="008E3F16">
              <w:rPr>
                <w:rFonts w:ascii="Book Antiqua" w:hAnsi="Book Antiqua" w:cs="Times New Roman"/>
                <w:color w:val="000000" w:themeColor="text1"/>
                <w:vertAlign w:val="subscript"/>
                <w:lang w:val="en-US"/>
              </w:rPr>
              <w:t xml:space="preserve">2 </w:t>
            </w:r>
            <w:r w:rsidRPr="008E3F16">
              <w:rPr>
                <w:rFonts w:ascii="Book Antiqua" w:hAnsi="Book Antiqua" w:cs="Times New Roman"/>
                <w:color w:val="000000" w:themeColor="text1"/>
                <w:lang w:val="en-US"/>
              </w:rPr>
              <w:t>71.75</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IgG GP2</w:t>
            </w:r>
            <w:r w:rsidRPr="008E3F16">
              <w:rPr>
                <w:rFonts w:ascii="Book Antiqua" w:hAnsi="Book Antiqua" w:cs="Times New Roman"/>
                <w:color w:val="000000" w:themeColor="text1"/>
                <w:vertAlign w:val="subscript"/>
                <w:lang w:val="en-US"/>
              </w:rPr>
              <w:t xml:space="preserve">3 </w:t>
            </w:r>
            <w:r w:rsidRPr="008E3F16">
              <w:rPr>
                <w:rFonts w:ascii="Book Antiqua" w:hAnsi="Book Antiqua" w:cs="Times New Roman"/>
                <w:color w:val="000000" w:themeColor="text1"/>
                <w:lang w:val="en-US"/>
              </w:rPr>
              <w:t>15.89</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IgG GP2</w:t>
            </w:r>
            <w:r w:rsidRPr="008E3F16">
              <w:rPr>
                <w:rFonts w:ascii="Book Antiqua" w:hAnsi="Book Antiqua" w:cs="Times New Roman"/>
                <w:color w:val="000000" w:themeColor="text1"/>
                <w:vertAlign w:val="subscript"/>
                <w:lang w:val="en-US"/>
              </w:rPr>
              <w:t xml:space="preserve">4 </w:t>
            </w:r>
            <w:r w:rsidRPr="008E3F16">
              <w:rPr>
                <w:rFonts w:ascii="Book Antiqua" w:hAnsi="Book Antiqua" w:cs="Times New Roman"/>
                <w:color w:val="000000" w:themeColor="text1"/>
                <w:lang w:val="en-US"/>
              </w:rPr>
              <w:t>23.22</w:t>
            </w:r>
          </w:p>
        </w:tc>
        <w:tc>
          <w:tcPr>
            <w:tcW w:w="213" w:type="pct"/>
            <w:vAlign w:val="center"/>
          </w:tcPr>
          <w:p w14:paraId="2230D7D6" w14:textId="079A41CB"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 xml:space="preserve">CD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164</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UC </w:t>
            </w:r>
            <w:r w:rsidR="00AA2CB1" w:rsidRPr="008E3F16">
              <w:rPr>
                <w:rFonts w:ascii="Book Antiqua" w:hAnsi="Book Antiqua" w:cs="Times New Roman"/>
                <w:i/>
                <w:iCs/>
                <w:color w:val="000000" w:themeColor="text1"/>
                <w:lang w:val="en-US"/>
              </w:rPr>
              <w:lastRenderedPageBreak/>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114</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GE </w:t>
            </w:r>
            <w:r w:rsidR="00AA2CB1" w:rsidRPr="008E3F16">
              <w:rPr>
                <w:rFonts w:ascii="Book Antiqua" w:hAnsi="Book Antiqua" w:cs="Times New Roman"/>
                <w:i/>
                <w:iCs/>
                <w:color w:val="000000" w:themeColor="text1"/>
                <w:lang w:val="en-US"/>
              </w:rPr>
              <w:t>n</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27</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ENDO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=56</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HC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=218</w:t>
            </w:r>
          </w:p>
        </w:tc>
        <w:tc>
          <w:tcPr>
            <w:tcW w:w="218" w:type="pct"/>
            <w:vAlign w:val="center"/>
          </w:tcPr>
          <w:p w14:paraId="46D4E7B6" w14:textId="77777777" w:rsidR="00F807E4" w:rsidRPr="008E3F16" w:rsidRDefault="00F807E4" w:rsidP="00C66188">
            <w:pPr>
              <w:adjustRightInd w:val="0"/>
              <w:snapToGrid w:val="0"/>
              <w:spacing w:line="360" w:lineRule="auto"/>
              <w:ind w:right="-628"/>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NR</w:t>
            </w:r>
          </w:p>
        </w:tc>
        <w:tc>
          <w:tcPr>
            <w:tcW w:w="145" w:type="pct"/>
            <w:vAlign w:val="center"/>
          </w:tcPr>
          <w:p w14:paraId="70CA0915"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232" w:type="pct"/>
            <w:vAlign w:val="center"/>
          </w:tcPr>
          <w:p w14:paraId="19613563" w14:textId="5F312F19"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CD 39.6%</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UC 54.3</w:t>
            </w:r>
            <w:r w:rsidRPr="008E3F16">
              <w:rPr>
                <w:rFonts w:ascii="Book Antiqua" w:hAnsi="Book Antiqua" w:cs="Times New Roman"/>
                <w:color w:val="000000" w:themeColor="text1"/>
                <w:lang w:val="en-US"/>
              </w:rPr>
              <w:lastRenderedPageBreak/>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GE 52%</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ENDO 50%</w:t>
            </w:r>
          </w:p>
        </w:tc>
        <w:tc>
          <w:tcPr>
            <w:tcW w:w="312" w:type="pct"/>
            <w:vAlign w:val="center"/>
          </w:tcPr>
          <w:p w14:paraId="6A89AFB6" w14:textId="6EDB05F6"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CD 13 (10–15)</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UC 14 (11–</w:t>
            </w:r>
            <w:r w:rsidRPr="008E3F16">
              <w:rPr>
                <w:rFonts w:ascii="Book Antiqua" w:hAnsi="Book Antiqua" w:cs="Times New Roman"/>
                <w:color w:val="000000" w:themeColor="text1"/>
                <w:lang w:val="en-US"/>
              </w:rPr>
              <w:lastRenderedPageBreak/>
              <w:t>15)</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GE 2 (1–5)</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ENDO 13 (7–16)</w:t>
            </w:r>
          </w:p>
        </w:tc>
        <w:tc>
          <w:tcPr>
            <w:tcW w:w="401" w:type="pct"/>
            <w:vAlign w:val="center"/>
          </w:tcPr>
          <w:p w14:paraId="3F26DB58"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None declared</w:t>
            </w:r>
          </w:p>
        </w:tc>
      </w:tr>
      <w:tr w:rsidR="008E3F16" w:rsidRPr="008E3F16" w14:paraId="481B5F73" w14:textId="77777777" w:rsidTr="00211BB2">
        <w:tc>
          <w:tcPr>
            <w:tcW w:w="330" w:type="pct"/>
            <w:vAlign w:val="center"/>
          </w:tcPr>
          <w:p w14:paraId="7961E34D" w14:textId="6E4DB892" w:rsidR="00F807E4" w:rsidRPr="008E3F16" w:rsidRDefault="00F807E4" w:rsidP="00C66188">
            <w:pPr>
              <w:adjustRightInd w:val="0"/>
              <w:snapToGrid w:val="0"/>
              <w:spacing w:line="360" w:lineRule="auto"/>
              <w:ind w:right="-109"/>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Roggenbuck</w:t>
            </w:r>
            <w:r w:rsidR="00DE2F0F" w:rsidRPr="008E3F16">
              <w:rPr>
                <w:rFonts w:ascii="Book Antiqua" w:hAnsi="Book Antiqua" w:cs="Times New Roman"/>
                <w:i/>
                <w:iCs/>
                <w:color w:val="000000" w:themeColor="text1"/>
                <w:lang w:val="en-US"/>
              </w:rPr>
              <w:t xml:space="preserve"> et al</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{"citationItems":[{"id":"ITEM-1","itemData":{"DOI":"10.1515/cclm-2014-0238","ISSN":"1437-4331","PMID":"25411995","abstract":"BACKGROUND Autoantibodies to exocrine-pancreatic glycoprotein 2 (anti-GP2) are Crohn's disease (CD) markers. However, CD-specific antibodies have also been found in celiac-disease (CeD) patients, in which type 1 diabetes-specific autoantibodies against endocrine pancreatic targets can be present. We investigated whether anti-GP2 are also present in CeD, a disease like CD which is also characterised by intestinal mucosal inflammation with barrier impairment. METHODS Antibodies against GP2, tissue transglutaminase (tTG), deamidated gliadin (dGD), glutamic decarboxylase (GAD), and islet antigen-2 (IA2) were tested in sera from 73 CD patients, 90 blood donors (BD), and 79 (58 de novo) CeD patients (2 consecutive sera were available from 40 patients). RESULTS IgA and/or IgG anti-GP2 were found in 15/79 (19.0%) CeD patients on at least one occasion, in 25/73 (34.2%) CD patients, and in 4/90 (4.4%) BD (CeD vs. CD, p=0.042; BD vs. CeD and CD, p&lt;0.001, respectively). Amongst the 58 de novo CeD patients, anti-GP2 IgA and/or IgG were present in 11 (19.0%). Anti-GP2 IgA was significantly less prevalent in CeD compared with CD (p=0.004). Anti-GP2 IgA and IgG in CD patients demonstrated a significantly higher median level compared to patients with CeD (p&lt;0.001, p=0.008, respectively). IgA anti-GP2 levels correlated significantly with IgA anti-tTG and anti-dGD levels in CeD Spearman's coefficient of rank correlation (ρ)=0.42, confidence interval (CI): 0.26-0.56, p&lt;0.001; ρ=0.54, CI 0.39-0.65, p&lt;0.001, respectively. CONCLUSIONS The presence of anti-GP2 in CeD patients supports the notion that loss of tolerance to GP2 can probably be a manifestation of an autoinflammatory process in this intestinal disorder.","author":[{"dropping-particle":"","family":"Roggenbuck","given":"Dirk","non-dropping-particle":"","parse-names":false,"suffix":""},{"dropping-particle":"","family":"Vermeire","given":"Severine","non-dropping-particle":"","parse-names":false,"suffix":""},{"dropping-particle":"","family":"Hoffman","given":"Ilse","non-dropping-particle":"","parse-names":false,"suffix":""},{"dropping-particle":"","family":"Reinhold","given":"Dirk","non-dropping-particle":"","parse-names":false,"suffix":""},{"dropping-particle":"","family":"Schierack","given":"Peter","non-dropping-particle":"","parse-names":false,"suffix":""},{"dropping-particle":"","family":"Goihl","given":"Alexander","non-dropping-particle":"","parse-names":false,"suffix":""},{"dropping-particle":"","family":"Arnim","given":"Ulrike","non-dropping-particle":"von","parse-names":false,"suffix":""},{"dropping-particle":"","family":"Hertogh","given":"Gert","non-dropping-particle":"De","parse-names":false,"suffix":""},{"dropping-particle":"","family":"Polymeros","given":"Dimitrios","non-dropping-particle":"","parse-names":false,"suffix":""},{"dropping-particle":"","family":"Bogdanos","given":"Dimitrios P","non-dropping-particle":"","parse-names":false,"suffix":""},{"dropping-particle":"","family":"Bossuyt","given":"Xavier","non-dropping-particle":"","parse-names":false,"suffix":""}],"container-title":"Clinical chemistry and laboratory medicine","id":"ITEM-1","issue":"9","issued":{"date-parts":[["2015","8","1"]]},"page":"1349-57","title":"Evidence of Crohn's disease-related anti-glycoprotein 2 antibodies in patients with celiac disease.","type":"article-journal","volume":"53"},"uris":["http://www.mendeley.com/documents/?uuid=b9968e59-d7f7-3b04-9056-e04c43a3b853"]}],"mendeley":{"formattedCitation":"&lt;sup&gt;[56]&lt;/sup&gt;","plainTextFormattedCitation":"[56]","previouslyFormattedCitation":"&lt;sup&gt;[48]&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[56]</w:t>
            </w:r>
            <w:r w:rsidRPr="008E3F16">
              <w:rPr>
                <w:rFonts w:ascii="Book Antiqua" w:hAnsi="Book Antiqua" w:cs="Times New Roman"/>
                <w:color w:val="000000" w:themeColor="text1"/>
                <w:lang w:val="en-US"/>
              </w:rPr>
              <w:fldChar w:fldCharType="end"/>
            </w:r>
          </w:p>
        </w:tc>
        <w:tc>
          <w:tcPr>
            <w:tcW w:w="328" w:type="pct"/>
            <w:vAlign w:val="center"/>
          </w:tcPr>
          <w:p w14:paraId="06734C44" w14:textId="416D4554" w:rsidR="00F807E4" w:rsidRPr="008E3F16" w:rsidRDefault="001A6B8B"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Germany; Greece; Belgium</w:t>
            </w:r>
          </w:p>
        </w:tc>
        <w:tc>
          <w:tcPr>
            <w:tcW w:w="162" w:type="pct"/>
            <w:vAlign w:val="center"/>
          </w:tcPr>
          <w:p w14:paraId="10418F51"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190" w:type="pct"/>
            <w:vAlign w:val="center"/>
          </w:tcPr>
          <w:p w14:paraId="3E23DC42"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357" w:type="pct"/>
            <w:vAlign w:val="center"/>
          </w:tcPr>
          <w:p w14:paraId="680A66CA" w14:textId="70AC7B32"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Attikon Hospital, UoA</w:t>
            </w:r>
            <w:r w:rsidR="007A38A4" w:rsidRPr="008E3F16">
              <w:rPr>
                <w:rFonts w:ascii="Book Antiqua" w:hAnsi="Book Antiqua" w:cs="Times New Roman"/>
                <w:color w:val="000000" w:themeColor="text1"/>
                <w:lang w:val="en-US"/>
              </w:rPr>
              <w:t>;</w:t>
            </w:r>
            <w:r w:rsidR="007A38A4" w:rsidRPr="008E3F16">
              <w:rPr>
                <w:rFonts w:ascii="Book Antiqua" w:hAnsi="Book Antiqua" w:cs="Times New Roman"/>
                <w:color w:val="000000" w:themeColor="text1"/>
                <w:lang w:val="en-US" w:eastAsia="zh-CN"/>
              </w:rPr>
              <w:t xml:space="preserve"> </w:t>
            </w:r>
            <w:r w:rsidRPr="008E3F16">
              <w:rPr>
                <w:rFonts w:ascii="Book Antiqua" w:hAnsi="Book Antiqua" w:cs="Times New Roman"/>
                <w:color w:val="000000" w:themeColor="text1"/>
                <w:lang w:val="en-US"/>
              </w:rPr>
              <w:t>Otto-von-Gue-ricke University</w:t>
            </w:r>
            <w:r w:rsidR="007A38A4" w:rsidRPr="008E3F16">
              <w:rPr>
                <w:rFonts w:ascii="Book Antiqua" w:hAnsi="Book Antiqua" w:cs="Times New Roman"/>
                <w:color w:val="000000" w:themeColor="text1"/>
                <w:lang w:val="en-US"/>
              </w:rPr>
              <w:t>; and</w:t>
            </w:r>
            <w:r w:rsidR="007A38A4" w:rsidRPr="008E3F16">
              <w:rPr>
                <w:rFonts w:ascii="Book Antiqua" w:hAnsi="Book Antiqua" w:cs="Times New Roman"/>
                <w:color w:val="000000" w:themeColor="text1"/>
                <w:lang w:val="en-US" w:eastAsia="zh-CN"/>
              </w:rPr>
              <w:t xml:space="preserve"> </w:t>
            </w:r>
            <w:r w:rsidRPr="008E3F16">
              <w:rPr>
                <w:rFonts w:ascii="Book Antiqua" w:hAnsi="Book Antiqua" w:cs="Times New Roman"/>
                <w:color w:val="000000" w:themeColor="text1"/>
                <w:lang w:val="en-US"/>
              </w:rPr>
              <w:t>University Hospital Leuven</w:t>
            </w:r>
          </w:p>
        </w:tc>
        <w:tc>
          <w:tcPr>
            <w:tcW w:w="162" w:type="pct"/>
            <w:vAlign w:val="center"/>
          </w:tcPr>
          <w:p w14:paraId="72163E27"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426" w:type="pct"/>
            <w:vAlign w:val="center"/>
          </w:tcPr>
          <w:p w14:paraId="7D519EEA" w14:textId="02E29C30" w:rsidR="00F807E4" w:rsidRPr="008E3F16" w:rsidRDefault="00F807E4" w:rsidP="00C66188">
            <w:pPr>
              <w:adjustRightInd w:val="0"/>
              <w:snapToGrid w:val="0"/>
              <w:spacing w:line="360" w:lineRule="auto"/>
              <w:ind w:right="-91"/>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 Communication with an author, confirmed the Lennard-Jones criteria</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[24]</w:t>
            </w:r>
            <w:r w:rsidRPr="008E3F16">
              <w:rPr>
                <w:rFonts w:ascii="Book Antiqua" w:hAnsi="Book Antiqua" w:cs="Times New Roman"/>
                <w:color w:val="000000" w:themeColor="text1"/>
                <w:lang w:val="en-US"/>
              </w:rPr>
              <w:fldChar w:fldCharType="end"/>
            </w:r>
          </w:p>
        </w:tc>
        <w:tc>
          <w:tcPr>
            <w:tcW w:w="177" w:type="pct"/>
            <w:vAlign w:val="center"/>
          </w:tcPr>
          <w:p w14:paraId="3F4A738A"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291" w:type="pct"/>
            <w:vAlign w:val="center"/>
          </w:tcPr>
          <w:p w14:paraId="65247F5F" w14:textId="77777777" w:rsidR="00F807E4" w:rsidRPr="008E3F16" w:rsidRDefault="00F807E4" w:rsidP="00C66188">
            <w:pPr>
              <w:adjustRightInd w:val="0"/>
              <w:snapToGrid w:val="0"/>
              <w:spacing w:line="360" w:lineRule="auto"/>
              <w:ind w:right="-487"/>
              <w:rPr>
                <w:rFonts w:ascii="Book Antiqua" w:hAnsi="Book Antiqua" w:cs="Times New Roman"/>
                <w:color w:val="000000" w:themeColor="text1"/>
                <w:lang w:val="en-US"/>
              </w:rPr>
            </w:pPr>
            <w:r w:rsidRPr="008E3F16">
              <w:rPr>
                <w:rFonts w:ascii="Book Antiqua" w:hAnsi="Book Antiqua" w:cs="Times New Roman"/>
                <w:color w:val="000000" w:themeColor="text1"/>
                <w:lang w:val="en-US"/>
              </w:rPr>
              <w:t>ELISA</w:t>
            </w:r>
          </w:p>
        </w:tc>
        <w:tc>
          <w:tcPr>
            <w:tcW w:w="365" w:type="pct"/>
            <w:vAlign w:val="center"/>
          </w:tcPr>
          <w:p w14:paraId="44373980" w14:textId="0C3BB313" w:rsidR="00F807E4" w:rsidRPr="008E3F16" w:rsidRDefault="00F807E4" w:rsidP="00C66188">
            <w:pPr>
              <w:adjustRightInd w:val="0"/>
              <w:snapToGrid w:val="0"/>
              <w:spacing w:line="360" w:lineRule="auto"/>
              <w:ind w:right="-54"/>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GA (Dahlewitz/Berlin Germany)</w:t>
            </w:r>
          </w:p>
        </w:tc>
        <w:tc>
          <w:tcPr>
            <w:tcW w:w="253" w:type="pct"/>
            <w:vAlign w:val="center"/>
          </w:tcPr>
          <w:p w14:paraId="15A5C31D"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Total</w:t>
            </w:r>
          </w:p>
        </w:tc>
        <w:tc>
          <w:tcPr>
            <w:tcW w:w="162" w:type="pct"/>
            <w:vAlign w:val="center"/>
          </w:tcPr>
          <w:p w14:paraId="133ADA53"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276" w:type="pct"/>
            <w:vAlign w:val="center"/>
          </w:tcPr>
          <w:p w14:paraId="53D64AC3"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p>
        </w:tc>
        <w:tc>
          <w:tcPr>
            <w:tcW w:w="213" w:type="pct"/>
            <w:vAlign w:val="center"/>
          </w:tcPr>
          <w:p w14:paraId="7430717D" w14:textId="43ABEA6E"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CD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73</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CeD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79</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HC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90</w:t>
            </w:r>
          </w:p>
        </w:tc>
        <w:tc>
          <w:tcPr>
            <w:tcW w:w="218" w:type="pct"/>
            <w:vAlign w:val="center"/>
          </w:tcPr>
          <w:p w14:paraId="017EC877" w14:textId="77777777" w:rsidR="00F807E4" w:rsidRPr="008E3F16" w:rsidRDefault="00F807E4" w:rsidP="00C66188">
            <w:pPr>
              <w:adjustRightInd w:val="0"/>
              <w:snapToGrid w:val="0"/>
              <w:spacing w:line="360" w:lineRule="auto"/>
              <w:ind w:right="-628"/>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145" w:type="pct"/>
            <w:vAlign w:val="center"/>
          </w:tcPr>
          <w:p w14:paraId="77DD410A" w14:textId="77777777" w:rsidR="00F807E4" w:rsidRPr="008E3F16" w:rsidRDefault="00F807E4" w:rsidP="00C66188">
            <w:pPr>
              <w:adjustRightInd w:val="0"/>
              <w:snapToGrid w:val="0"/>
              <w:spacing w:line="360" w:lineRule="auto"/>
              <w:ind w:right="-756"/>
              <w:jc w:val="center"/>
              <w:rPr>
                <w:rFonts w:ascii="Book Antiqua" w:hAnsi="Book Antiqua" w:cs="Times New Roman"/>
                <w:color w:val="000000" w:themeColor="text1"/>
                <w:vertAlign w:val="superscript"/>
              </w:rPr>
            </w:pPr>
            <w:r w:rsidRPr="008E3F16">
              <w:rPr>
                <w:rFonts w:ascii="Book Antiqua" w:hAnsi="Book Antiqua" w:cs="Times New Roman"/>
                <w:color w:val="000000" w:themeColor="text1"/>
                <w:lang w:val="en-US"/>
              </w:rPr>
              <w:sym w:font="Symbol" w:char="F0D6"/>
            </w:r>
            <w:r w:rsidRPr="008E3F16">
              <w:rPr>
                <w:rFonts w:ascii="Book Antiqua" w:hAnsi="Book Antiqua" w:cs="Times New Roman"/>
                <w:color w:val="000000" w:themeColor="text1"/>
                <w:vertAlign w:val="superscript"/>
              </w:rPr>
              <w:t>7</w:t>
            </w:r>
          </w:p>
        </w:tc>
        <w:tc>
          <w:tcPr>
            <w:tcW w:w="232" w:type="pct"/>
            <w:vAlign w:val="center"/>
          </w:tcPr>
          <w:p w14:paraId="0776A3B2" w14:textId="088BDDAC"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CD 52%</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CeD 69.6%</w:t>
            </w:r>
          </w:p>
        </w:tc>
        <w:tc>
          <w:tcPr>
            <w:tcW w:w="312" w:type="pct"/>
            <w:vAlign w:val="center"/>
          </w:tcPr>
          <w:p w14:paraId="5EF7DEF1" w14:textId="19DD8E80" w:rsidR="00F807E4" w:rsidRPr="008E3F16" w:rsidRDefault="00F807E4" w:rsidP="00C66188">
            <w:pPr>
              <w:adjustRightInd w:val="0"/>
              <w:snapToGrid w:val="0"/>
              <w:spacing w:line="360" w:lineRule="auto"/>
              <w:ind w:right="-108"/>
              <w:jc w:val="center"/>
              <w:rPr>
                <w:rFonts w:ascii="Book Antiqua" w:hAnsi="Book Antiqua" w:cs="Times New Roman"/>
                <w:color w:val="000000" w:themeColor="text1"/>
              </w:rPr>
            </w:pPr>
            <w:r w:rsidRPr="008E3F16">
              <w:rPr>
                <w:rFonts w:ascii="Book Antiqua" w:hAnsi="Book Antiqua" w:cs="Times New Roman"/>
                <w:color w:val="000000" w:themeColor="text1"/>
                <w:lang w:val="en-US"/>
              </w:rPr>
              <w:t>CD 36.5 (30–43)</w:t>
            </w:r>
            <w:r w:rsidRPr="008E3F16">
              <w:rPr>
                <w:rFonts w:ascii="Book Antiqua" w:hAnsi="Book Antiqua" w:cs="Times New Roman"/>
                <w:color w:val="000000" w:themeColor="text1"/>
                <w:vertAlign w:val="superscript"/>
              </w:rPr>
              <w:t>3</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eastAsia="zh-CN"/>
              </w:rPr>
              <w:t xml:space="preserve"> </w:t>
            </w:r>
            <w:r w:rsidRPr="008E3F16">
              <w:rPr>
                <w:rFonts w:ascii="Book Antiqua" w:hAnsi="Book Antiqua" w:cs="Times New Roman"/>
                <w:color w:val="000000" w:themeColor="text1"/>
                <w:lang w:val="en-US"/>
              </w:rPr>
              <w:t>CeD 24 (12–42)</w:t>
            </w:r>
            <w:r w:rsidRPr="008E3F16">
              <w:rPr>
                <w:rFonts w:ascii="Book Antiqua" w:hAnsi="Book Antiqua" w:cs="Times New Roman"/>
                <w:color w:val="000000" w:themeColor="text1"/>
                <w:vertAlign w:val="superscript"/>
              </w:rPr>
              <w:t>3</w:t>
            </w:r>
          </w:p>
          <w:p w14:paraId="66309B4A"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p>
        </w:tc>
        <w:tc>
          <w:tcPr>
            <w:tcW w:w="401" w:type="pct"/>
            <w:vAlign w:val="center"/>
          </w:tcPr>
          <w:p w14:paraId="71C25A9E"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None declared</w:t>
            </w:r>
          </w:p>
        </w:tc>
      </w:tr>
      <w:tr w:rsidR="008E3F16" w:rsidRPr="008E3F16" w14:paraId="4E64E141" w14:textId="77777777" w:rsidTr="00211BB2">
        <w:tc>
          <w:tcPr>
            <w:tcW w:w="330" w:type="pct"/>
            <w:vAlign w:val="center"/>
          </w:tcPr>
          <w:p w14:paraId="5D29A8F3" w14:textId="778B4D8B" w:rsidR="00F807E4" w:rsidRPr="008E3F16" w:rsidRDefault="00F807E4" w:rsidP="00C66188">
            <w:pPr>
              <w:adjustRightInd w:val="0"/>
              <w:snapToGrid w:val="0"/>
              <w:spacing w:line="360" w:lineRule="auto"/>
              <w:ind w:right="-109"/>
              <w:rPr>
                <w:rFonts w:ascii="Book Antiqua" w:hAnsi="Book Antiqua" w:cs="Times New Roman"/>
                <w:color w:val="000000" w:themeColor="text1"/>
                <w:lang w:val="en-US"/>
              </w:rPr>
            </w:pPr>
            <w:r w:rsidRPr="008E3F16">
              <w:rPr>
                <w:rFonts w:ascii="Book Antiqua" w:hAnsi="Book Antiqua" w:cs="Times New Roman"/>
                <w:color w:val="000000" w:themeColor="text1"/>
                <w:lang w:val="en-US"/>
              </w:rPr>
              <w:t>Roggenbuck</w:t>
            </w:r>
            <w:r w:rsidR="00DE2F0F" w:rsidRPr="008E3F16">
              <w:rPr>
                <w:rFonts w:ascii="Book Antiqua" w:hAnsi="Book Antiqua" w:cs="Times New Roman"/>
                <w:i/>
                <w:iCs/>
                <w:color w:val="000000" w:themeColor="text1"/>
                <w:lang w:val="en-US"/>
              </w:rPr>
              <w:t xml:space="preserve"> et al</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{"citationItems":[{"id":"ITEM-1","itemData":{"DOI":"10.1136/gut.2008.162495","ISSN":"1468-3288","PMID":"19549613","abstract":"BACKGROUND AND AIMS The aetiopathogenesis of Crohn's disease, an inflammatory bowel disease (IBD), is not yet fully understood. Autoimmune mechanisms are thought to play a role in the development of Crohn's disease, but the target antigens and the underlying pathways have not been sufficiently identified. METHODS Based on data from immunoblotting and matrix-assisted laser desorption ionisation time-of-flight (MALDI-TOF) mass spectrometry, the major antigenic target of pancreatic autoantibodies (PABs), which are specific for Crohn's disease, was identified. Specificity of autoantibody reactivity was confirmed by enzyme-linked immunosorbent assay (ELISA) and indirect immunofluorescence (IIF) using purified rat and human recombinant GP2 synthesised in transiently transfected mammalian HEK 293 cells. Real-time polymerase chain reaction (rt-PCR) and IIF were used to detect mRNA and antigen localisation in human colon biopsies. RESULTS The major zymogen granule membrane glycoprotein 2 (GP2) was identified as the autoantigen of PABs in Crohn's disease. PAB-positive sera from patients with Crohn's disease (n = 42) displayed significantly higher IgG reactivity to rat GP2 in ELISA than either PAB-negative sera (n = 31), or sera from patients with ulcerative colitis (n = 49), or sera from blood donors (n = 69) (p&lt;0.0001, respectively). Twenty-eight (66%) and 18 (43%) of 42 PAB-positive sera demonstrated IgG and IgA reactivity to human recombinant GP2 in IIF, respectively. Patients with PAB-negative Crohn's disease (n = 31) were not reactive. GP2 mRNA transcription was significantly higher in colon biopsies from patients with Crohn's disease (n = 4) compared to patients with ulcerative colitis (n = 4) (p = 0.0286). Immunochemical staining confirmed GP2 expression in human colon biopsies from patients with Crohn's disease. CONCLUSION Anti-GP2 autoantibodies constitute novel Crohn's disease-specific markers, the quantification of which could significantly improve the serological diagnosis of IBD. The expression of GP2 in human enterocytes suggests an important role for anti-GP2 response in the pathogenesis of Crohn's disease.","author":[{"dropping-particle":"","family":"Roggenbuck","given":"D","non-dropping-particle":"","parse-names":false,"suffix":""},{"dropping-particle":"","family":"Hausdorf","given":"G","non-dropping-particle":"","parse-names":false,"suffix":""},{"dropping-particle":"","family":"Martinez-Gamboa","given":"L","non-dropping-particle":"","parse-names":false,"suffix":""},{"dropping-particle":"","family":"Reinhold","given":"D","non-dropping-particle":"","parse-names":false,"suffix":""},{"dropping-particle":"","family":"Büttner","given":"T","non-dropping-particle":"","parse-names":false,"suffix":""},{"dropping-particle":"","family":"Jungblut","given":"P R","non-dropping-particle":"","parse-names":false,"suffix":""},{"dropping-particle":"","family":"Porstmann","given":"T","non-dropping-particle":"","parse-names":false,"suffix":""},{"dropping-particle":"","family":"Laass","given":"M W","non-dropping-particle":"","parse-names":false,"suffix":""},{"dropping-particle":"","family":"Henker","given":"J","non-dropping-particle":"","parse-names":false,"suffix":""},{"dropping-particle":"","family":"Büning","given":"C","non-dropping-particle":"","parse-names":false,"suffix":""},{"dropping-particle":"","family":"Feist","given":"E","non-dropping-particle":"","parse-names":false,"suffix":""},{"dropping-particle":"","family":"Conrad","given":"K","non-dropping-particle":"","parse-names":false,"suffix":""}],"container-title":"Gut","id":"ITEM-1","issue":"12","issued":{"date-parts":[["2009","12","1"]]},"page":"1620-8","title":"Identification of GP2, the major zymogen granule membrane glycoprotein, as the autoantigen of pancreatic antibodies in Crohn's disease.","type":"article-journal","volume":"58"},"uris":["http://www.mendeley.com/documents/?uuid=c82ffa67-e9ea-3427-a545-59772317490a"]}],"mendeley":{"formattedCitation":"&lt;sup&gt;[55]&lt;/sup&gt;","plainTextFormattedCitation":"[55]","previouslyFormattedCitation":"&lt;sup&gt;[47]&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[55]</w:t>
            </w:r>
            <w:r w:rsidRPr="008E3F16">
              <w:rPr>
                <w:rFonts w:ascii="Book Antiqua" w:hAnsi="Book Antiqua" w:cs="Times New Roman"/>
                <w:color w:val="000000" w:themeColor="text1"/>
                <w:lang w:val="en-US"/>
              </w:rPr>
              <w:fldChar w:fldCharType="end"/>
            </w:r>
          </w:p>
        </w:tc>
        <w:tc>
          <w:tcPr>
            <w:tcW w:w="328" w:type="pct"/>
            <w:vAlign w:val="center"/>
          </w:tcPr>
          <w:p w14:paraId="22435AE1" w14:textId="61D2B7C6" w:rsidR="00F807E4" w:rsidRPr="008E3F16" w:rsidRDefault="002B46E0"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Germany</w:t>
            </w:r>
          </w:p>
        </w:tc>
        <w:tc>
          <w:tcPr>
            <w:tcW w:w="162" w:type="pct"/>
            <w:vAlign w:val="center"/>
          </w:tcPr>
          <w:p w14:paraId="0D023319"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190" w:type="pct"/>
            <w:vAlign w:val="center"/>
          </w:tcPr>
          <w:p w14:paraId="286EF2E4"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357" w:type="pct"/>
            <w:vAlign w:val="center"/>
          </w:tcPr>
          <w:p w14:paraId="4368E022"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Charité Berlin</w:t>
            </w:r>
          </w:p>
        </w:tc>
        <w:tc>
          <w:tcPr>
            <w:tcW w:w="162" w:type="pct"/>
            <w:vAlign w:val="center"/>
          </w:tcPr>
          <w:p w14:paraId="296B40E2"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426" w:type="pct"/>
            <w:vAlign w:val="center"/>
          </w:tcPr>
          <w:p w14:paraId="5CCBB59A"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Lennard-Jones </w:t>
            </w:r>
            <w:r w:rsidRPr="008E3F16">
              <w:rPr>
                <w:rFonts w:ascii="Book Antiqua" w:hAnsi="Book Antiqua" w:cs="Times New Roman"/>
                <w:color w:val="000000" w:themeColor="text1"/>
                <w:lang w:val="en-US"/>
              </w:rPr>
              <w:lastRenderedPageBreak/>
              <w:t>criteria</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[24]</w:t>
            </w:r>
            <w:r w:rsidRPr="008E3F16">
              <w:rPr>
                <w:rFonts w:ascii="Book Antiqua" w:hAnsi="Book Antiqua" w:cs="Times New Roman"/>
                <w:color w:val="000000" w:themeColor="text1"/>
                <w:lang w:val="en-US"/>
              </w:rPr>
              <w:fldChar w:fldCharType="end"/>
            </w:r>
          </w:p>
        </w:tc>
        <w:tc>
          <w:tcPr>
            <w:tcW w:w="177" w:type="pct"/>
            <w:vAlign w:val="center"/>
          </w:tcPr>
          <w:p w14:paraId="0E02BFB9"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w:t>
            </w:r>
          </w:p>
        </w:tc>
        <w:tc>
          <w:tcPr>
            <w:tcW w:w="291" w:type="pct"/>
            <w:vAlign w:val="center"/>
          </w:tcPr>
          <w:p w14:paraId="001AA8FC" w14:textId="77777777" w:rsidR="00F807E4" w:rsidRPr="008E3F16" w:rsidRDefault="00F807E4" w:rsidP="00C66188">
            <w:pPr>
              <w:adjustRightInd w:val="0"/>
              <w:snapToGrid w:val="0"/>
              <w:spacing w:line="360" w:lineRule="auto"/>
              <w:ind w:right="-487"/>
              <w:rPr>
                <w:rFonts w:ascii="Book Antiqua" w:hAnsi="Book Antiqua" w:cs="Times New Roman"/>
                <w:color w:val="000000" w:themeColor="text1"/>
                <w:lang w:val="en-US"/>
              </w:rPr>
            </w:pPr>
            <w:r w:rsidRPr="008E3F16">
              <w:rPr>
                <w:rFonts w:ascii="Book Antiqua" w:hAnsi="Book Antiqua" w:cs="Times New Roman"/>
                <w:color w:val="000000" w:themeColor="text1"/>
                <w:lang w:val="en-US"/>
              </w:rPr>
              <w:t>ELISA</w:t>
            </w:r>
          </w:p>
        </w:tc>
        <w:tc>
          <w:tcPr>
            <w:tcW w:w="365" w:type="pct"/>
            <w:vAlign w:val="center"/>
          </w:tcPr>
          <w:p w14:paraId="19D17B5B" w14:textId="695194E0" w:rsidR="00F807E4" w:rsidRPr="008E3F16" w:rsidRDefault="00F807E4" w:rsidP="00C66188">
            <w:pPr>
              <w:adjustRightInd w:val="0"/>
              <w:snapToGrid w:val="0"/>
              <w:spacing w:line="360" w:lineRule="auto"/>
              <w:ind w:right="-54"/>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GA (Dahlewitz/Be</w:t>
            </w:r>
            <w:r w:rsidRPr="008E3F16">
              <w:rPr>
                <w:rFonts w:ascii="Book Antiqua" w:hAnsi="Book Antiqua" w:cs="Times New Roman"/>
                <w:color w:val="000000" w:themeColor="text1"/>
                <w:lang w:val="en-US"/>
              </w:rPr>
              <w:lastRenderedPageBreak/>
              <w:t>rlin Germany)</w:t>
            </w:r>
          </w:p>
        </w:tc>
        <w:tc>
          <w:tcPr>
            <w:tcW w:w="253" w:type="pct"/>
            <w:vAlign w:val="center"/>
          </w:tcPr>
          <w:p w14:paraId="14760131"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Total</w:t>
            </w:r>
          </w:p>
        </w:tc>
        <w:tc>
          <w:tcPr>
            <w:tcW w:w="162" w:type="pct"/>
            <w:vAlign w:val="center"/>
          </w:tcPr>
          <w:p w14:paraId="0E188050"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276" w:type="pct"/>
            <w:vAlign w:val="center"/>
          </w:tcPr>
          <w:p w14:paraId="46AD040D" w14:textId="3AB34E7D"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IgA 20</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lastRenderedPageBreak/>
              <w:t>IgG 20</w:t>
            </w:r>
          </w:p>
        </w:tc>
        <w:tc>
          <w:tcPr>
            <w:tcW w:w="213" w:type="pct"/>
            <w:vAlign w:val="center"/>
          </w:tcPr>
          <w:p w14:paraId="78E79CA4" w14:textId="68ADE489"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 xml:space="preserve">CD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73</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lastRenderedPageBreak/>
              <w:t xml:space="preserve">UC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49</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HC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63</w:t>
            </w:r>
          </w:p>
        </w:tc>
        <w:tc>
          <w:tcPr>
            <w:tcW w:w="218" w:type="pct"/>
            <w:vAlign w:val="center"/>
          </w:tcPr>
          <w:p w14:paraId="68712D0C" w14:textId="77777777" w:rsidR="00F807E4" w:rsidRPr="008E3F16" w:rsidRDefault="00F807E4" w:rsidP="00C66188">
            <w:pPr>
              <w:adjustRightInd w:val="0"/>
              <w:snapToGrid w:val="0"/>
              <w:spacing w:line="360" w:lineRule="auto"/>
              <w:ind w:right="-628"/>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NR</w:t>
            </w:r>
          </w:p>
        </w:tc>
        <w:tc>
          <w:tcPr>
            <w:tcW w:w="145" w:type="pct"/>
            <w:vAlign w:val="center"/>
          </w:tcPr>
          <w:p w14:paraId="58DA0DBC"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232" w:type="pct"/>
            <w:vAlign w:val="center"/>
          </w:tcPr>
          <w:p w14:paraId="01CFD1B6" w14:textId="15181300" w:rsidR="00F807E4" w:rsidRPr="008E3F16" w:rsidRDefault="00F807E4" w:rsidP="00C66188">
            <w:pPr>
              <w:adjustRightInd w:val="0"/>
              <w:snapToGrid w:val="0"/>
              <w:spacing w:line="360" w:lineRule="auto"/>
              <w:jc w:val="center"/>
              <w:rPr>
                <w:rFonts w:ascii="Book Antiqua" w:hAnsi="Book Antiqua" w:cs="Times New Roman"/>
                <w:color w:val="000000" w:themeColor="text1"/>
              </w:rPr>
            </w:pPr>
            <w:r w:rsidRPr="008E3F16">
              <w:rPr>
                <w:rFonts w:ascii="Book Antiqua" w:hAnsi="Book Antiqua" w:cs="Times New Roman"/>
                <w:color w:val="000000" w:themeColor="text1"/>
              </w:rPr>
              <w:t>CD 57.5%</w:t>
            </w:r>
            <w:r w:rsidR="00AA2CB1"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lastRenderedPageBreak/>
              <w:t>UC 59.1%</w:t>
            </w:r>
          </w:p>
        </w:tc>
        <w:tc>
          <w:tcPr>
            <w:tcW w:w="312" w:type="pct"/>
            <w:vAlign w:val="center"/>
          </w:tcPr>
          <w:p w14:paraId="2DBE61EC" w14:textId="6E790B1F" w:rsidR="00F807E4" w:rsidRPr="008E3F16" w:rsidRDefault="00F807E4" w:rsidP="00C66188">
            <w:pPr>
              <w:adjustRightInd w:val="0"/>
              <w:snapToGrid w:val="0"/>
              <w:spacing w:line="360" w:lineRule="auto"/>
              <w:jc w:val="center"/>
              <w:rPr>
                <w:rFonts w:ascii="Book Antiqua" w:hAnsi="Book Antiqua" w:cs="Times New Roman"/>
                <w:color w:val="000000" w:themeColor="text1"/>
              </w:rPr>
            </w:pPr>
            <w:r w:rsidRPr="008E3F16">
              <w:rPr>
                <w:rFonts w:ascii="Book Antiqua" w:hAnsi="Book Antiqua" w:cs="Times New Roman"/>
                <w:color w:val="000000" w:themeColor="text1"/>
              </w:rPr>
              <w:lastRenderedPageBreak/>
              <w:t xml:space="preserve">CD </w:t>
            </w:r>
            <w:r w:rsidRPr="008E3F16">
              <w:rPr>
                <w:rFonts w:ascii="Book Antiqua" w:hAnsi="Book Antiqua" w:cs="Times New Roman"/>
                <w:color w:val="000000" w:themeColor="text1"/>
                <w:lang w:val="en-US"/>
              </w:rPr>
              <w:t xml:space="preserve">41 </w:t>
            </w:r>
            <w:r w:rsidRPr="008E3F16">
              <w:rPr>
                <w:rFonts w:ascii="Book Antiqua" w:hAnsi="Book Antiqua" w:cs="Times New Roman"/>
                <w:color w:val="000000" w:themeColor="text1"/>
              </w:rPr>
              <w:t>(20</w:t>
            </w:r>
            <w:r w:rsidRPr="008E3F16">
              <w:rPr>
                <w:rFonts w:ascii="Book Antiqua" w:hAnsi="Book Antiqua" w:cs="Times New Roman"/>
                <w:color w:val="000000" w:themeColor="text1"/>
                <w:lang w:val="en-US"/>
              </w:rPr>
              <w:t>–</w:t>
            </w:r>
            <w:r w:rsidRPr="008E3F16">
              <w:rPr>
                <w:rFonts w:ascii="Book Antiqua" w:hAnsi="Book Antiqua" w:cs="Times New Roman"/>
                <w:color w:val="000000" w:themeColor="text1"/>
              </w:rPr>
              <w:t>72)</w:t>
            </w:r>
            <w:r w:rsidRPr="008E3F16">
              <w:rPr>
                <w:rFonts w:ascii="Book Antiqua" w:hAnsi="Book Antiqua" w:cs="Times New Roman"/>
                <w:color w:val="000000" w:themeColor="text1"/>
                <w:vertAlign w:val="superscript"/>
              </w:rPr>
              <w:t>1</w:t>
            </w:r>
            <w:r w:rsidR="00AA2CB1"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lastRenderedPageBreak/>
              <w:t xml:space="preserve">UC </w:t>
            </w:r>
            <w:r w:rsidRPr="008E3F16">
              <w:rPr>
                <w:rFonts w:ascii="Book Antiqua" w:hAnsi="Book Antiqua" w:cs="Times New Roman"/>
                <w:color w:val="000000" w:themeColor="text1"/>
                <w:lang w:val="en-US"/>
              </w:rPr>
              <w:t xml:space="preserve">40 </w:t>
            </w:r>
            <w:r w:rsidRPr="008E3F16">
              <w:rPr>
                <w:rFonts w:ascii="Book Antiqua" w:hAnsi="Book Antiqua" w:cs="Times New Roman"/>
                <w:color w:val="000000" w:themeColor="text1"/>
              </w:rPr>
              <w:t>(21</w:t>
            </w:r>
            <w:r w:rsidRPr="008E3F16">
              <w:rPr>
                <w:rFonts w:ascii="Book Antiqua" w:hAnsi="Book Antiqua" w:cs="Times New Roman"/>
                <w:color w:val="000000" w:themeColor="text1"/>
                <w:lang w:val="en-US"/>
              </w:rPr>
              <w:t>–</w:t>
            </w:r>
            <w:r w:rsidRPr="008E3F16">
              <w:rPr>
                <w:rFonts w:ascii="Book Antiqua" w:hAnsi="Book Antiqua" w:cs="Times New Roman"/>
                <w:color w:val="000000" w:themeColor="text1"/>
              </w:rPr>
              <w:t>71)</w:t>
            </w:r>
            <w:r w:rsidRPr="008E3F16">
              <w:rPr>
                <w:rFonts w:ascii="Book Antiqua" w:hAnsi="Book Antiqua" w:cs="Times New Roman"/>
                <w:color w:val="000000" w:themeColor="text1"/>
                <w:vertAlign w:val="superscript"/>
                <w:lang w:val="en-US"/>
              </w:rPr>
              <w:t>1</w:t>
            </w:r>
          </w:p>
        </w:tc>
        <w:tc>
          <w:tcPr>
            <w:tcW w:w="401" w:type="pct"/>
            <w:vAlign w:val="center"/>
          </w:tcPr>
          <w:p w14:paraId="7B217A7C" w14:textId="1F3AE3D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 xml:space="preserve">Brandenburg Ministry </w:t>
            </w:r>
            <w:r w:rsidRPr="008E3F16">
              <w:rPr>
                <w:rFonts w:ascii="Book Antiqua" w:hAnsi="Book Antiqua" w:cs="Times New Roman"/>
                <w:color w:val="000000" w:themeColor="text1"/>
                <w:lang w:val="en-US"/>
              </w:rPr>
              <w:lastRenderedPageBreak/>
              <w:t>of Economics</w:t>
            </w:r>
            <w:r w:rsidR="007A38A4" w:rsidRPr="008E3F16">
              <w:rPr>
                <w:rFonts w:ascii="Book Antiqua" w:hAnsi="Book Antiqua" w:cs="Times New Roman"/>
                <w:color w:val="000000" w:themeColor="text1"/>
                <w:lang w:val="en-US"/>
              </w:rPr>
              <w:t xml:space="preserve"> and</w:t>
            </w:r>
            <w:r w:rsidR="007A38A4" w:rsidRPr="008E3F16">
              <w:rPr>
                <w:rFonts w:ascii="Book Antiqua" w:hAnsi="Book Antiqua" w:cs="Times New Roman"/>
                <w:color w:val="000000" w:themeColor="text1"/>
                <w:lang w:val="en-US" w:eastAsia="zh-CN"/>
              </w:rPr>
              <w:t xml:space="preserve"> </w:t>
            </w:r>
            <w:r w:rsidRPr="008E3F16">
              <w:rPr>
                <w:rFonts w:ascii="Book Antiqua" w:hAnsi="Book Antiqua" w:cs="Times New Roman"/>
                <w:color w:val="000000" w:themeColor="text1"/>
                <w:lang w:val="en-US"/>
              </w:rPr>
              <w:t>EU</w:t>
            </w:r>
          </w:p>
        </w:tc>
      </w:tr>
      <w:tr w:rsidR="008E3F16" w:rsidRPr="008E3F16" w14:paraId="682F7DC5" w14:textId="77777777" w:rsidTr="00211BB2">
        <w:tc>
          <w:tcPr>
            <w:tcW w:w="330" w:type="pct"/>
            <w:vAlign w:val="center"/>
          </w:tcPr>
          <w:p w14:paraId="0F225E59" w14:textId="32E15E09" w:rsidR="00F807E4" w:rsidRPr="008E3F16" w:rsidRDefault="00F807E4" w:rsidP="00C66188">
            <w:pPr>
              <w:adjustRightInd w:val="0"/>
              <w:snapToGrid w:val="0"/>
              <w:spacing w:line="360" w:lineRule="auto"/>
              <w:ind w:right="-109"/>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Roggenbuck</w:t>
            </w:r>
            <w:r w:rsidR="00DE2F0F" w:rsidRPr="008E3F16">
              <w:rPr>
                <w:rFonts w:ascii="Book Antiqua" w:hAnsi="Book Antiqua" w:cs="Times New Roman"/>
                <w:i/>
                <w:iCs/>
                <w:color w:val="000000" w:themeColor="text1"/>
                <w:lang w:val="en-US"/>
              </w:rPr>
              <w:t xml:space="preserve"> et al</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{"citationItems":[{"id":"ITEM-1","itemData":{"DOI":"10.1016/J.CCA.2010.12.029","ISSN":"0009-8981","PMID":"21195704","abstract":"BACKGROUND Crohn's disease (CD) is an inflammatory bowel disease (IBD) characterized by reactivity against microbial and self antigens. Zymogen granule glycoprotein 2 (GP2) was identified as the major autoantigen of CD-specific pancreatic autoantibodies (PAB). METHODS Human GP2 was expressed in the Spodoptera frugiperda 9 (Sf9) cell line using the baculovirus system, purified by Ni-chelate chromatography, and used as antigen for anti-GP2 IgA and IgG assessment by enzyme-linked immunosorbent assays (ELISA). Antibodies to mannan of Saccharomyces cerevisiae (ASCA), PAB, and anti-GP2 were investigated in sera of 178 CD patients, 100 ulcerative colitis (UC) patients, and 162 blood donors (BD). RESULTS Anti-GP2 IgG and IgA were found in 48/72 (66.7%) and 23/72 (31.9%) PAB positive and 5/106 (4.7%) and 1/106 (0.9%) PAB negative CD patients (p&lt;0.0001), respectively. CD patients displayed significantly higher reactivity to GP2 than UC patients and BD (p&lt;0.0001), respectively. Occurrence of anti-GP2 antibodies correlated with PAB reactivity (Spearmen's rho=0.493, p&lt;0.00001). There was a significant relationship between the occurrence of ASCA IgG and anti-GP2 IgG (p=0.0307). CONCLUSIONS Anti-GP2 IgG and IgA constitute novel CD specific autoantibodies, the quantification of which could improve the serological diagnosis of IBD.","author":[{"dropping-particle":"","family":"Roggenbuck","given":"Dirk","non-dropping-particle":"","parse-names":false,"suffix":""},{"dropping-particle":"","family":"Reinhold","given":"Dirk","non-dropping-particle":"","parse-names":false,"suffix":""},{"dropping-particle":"","family":"Wex","given":"Thomas","non-dropping-particle":"","parse-names":false,"suffix":""},{"dropping-particle":"","family":"Goihl","given":"Alexander","non-dropping-particle":"","parse-names":false,"suffix":""},{"dropping-particle":"","family":"Arnim","given":"Ulrike","non-dropping-particle":"von","parse-names":false,"suffix":""},{"dropping-particle":"","family":"Malfertheiner","given":"Peter","non-dropping-particle":"","parse-names":false,"suffix":""},{"dropping-particle":"","family":"Büttner","given":"Thomas","non-dropping-particle":"","parse-names":false,"suffix":""},{"dropping-particle":"","family":"Porstmann","given":"Tomas","non-dropping-particle":"","parse-names":false,"suffix":""},{"dropping-particle":"","family":"Porstmann","given":"Silvia","non-dropping-particle":"","parse-names":false,"suffix":""},{"dropping-particle":"","family":"Liedvogel","given":"Bodo","non-dropping-particle":"","parse-names":false,"suffix":""},{"dropping-particle":"","family":"Bogdanos","given":"Dimitrios P.","non-dropping-particle":"","parse-names":false,"suffix":""},{"dropping-particle":"","family":"Laass","given":"Martin W.","non-dropping-particle":"","parse-names":false,"suffix":""},{"dropping-particle":"","family":"Conrad","given":"Karsten","non-dropping-particle":"","parse-names":false,"suffix":""}],"container-title":"Clinica Chimica Acta","id":"ITEM-1","issue":"9-10","issued":{"date-parts":[["2011","4","11"]]},"page":"718-724","publisher":"Elsevier","title":"Autoantibodies to GP2, the major zymogen granule membrane glycoprotein, are new markers in Crohn's disease","type":"article-journal","volume":"412"},"uris":["http://www.mendeley.com/documents/?uuid=670b226c-263e-3b40-9fb0-407d7b31b520"]}],"mendeley":{"formattedCitation":"&lt;sup&gt;[54]&lt;/sup&gt;","plainTextFormattedCitation":"[54]","previouslyFormattedCitation":"&lt;sup&gt;[46]&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[54]</w:t>
            </w:r>
            <w:r w:rsidRPr="008E3F16">
              <w:rPr>
                <w:rFonts w:ascii="Book Antiqua" w:hAnsi="Book Antiqua" w:cs="Times New Roman"/>
                <w:color w:val="000000" w:themeColor="text1"/>
                <w:lang w:val="en-US"/>
              </w:rPr>
              <w:fldChar w:fldCharType="end"/>
            </w:r>
          </w:p>
        </w:tc>
        <w:tc>
          <w:tcPr>
            <w:tcW w:w="328" w:type="pct"/>
            <w:vAlign w:val="center"/>
          </w:tcPr>
          <w:p w14:paraId="348A26BE" w14:textId="64CCC662" w:rsidR="00F807E4" w:rsidRPr="008E3F16" w:rsidRDefault="002B46E0"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Germany</w:t>
            </w:r>
          </w:p>
        </w:tc>
        <w:tc>
          <w:tcPr>
            <w:tcW w:w="162" w:type="pct"/>
            <w:vAlign w:val="center"/>
          </w:tcPr>
          <w:p w14:paraId="32FD1985"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190" w:type="pct"/>
            <w:vAlign w:val="center"/>
          </w:tcPr>
          <w:p w14:paraId="32C8DCA2"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357" w:type="pct"/>
            <w:vAlign w:val="center"/>
          </w:tcPr>
          <w:p w14:paraId="5EC4FA1B"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162" w:type="pct"/>
            <w:vAlign w:val="center"/>
          </w:tcPr>
          <w:p w14:paraId="45BBD40C"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426" w:type="pct"/>
            <w:vAlign w:val="center"/>
          </w:tcPr>
          <w:p w14:paraId="31E610C6"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Lennard-Jones criteria</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[24]</w:t>
            </w:r>
            <w:r w:rsidRPr="008E3F16">
              <w:rPr>
                <w:rFonts w:ascii="Book Antiqua" w:hAnsi="Book Antiqua" w:cs="Times New Roman"/>
                <w:color w:val="000000" w:themeColor="text1"/>
                <w:lang w:val="en-US"/>
              </w:rPr>
              <w:fldChar w:fldCharType="end"/>
            </w:r>
          </w:p>
        </w:tc>
        <w:tc>
          <w:tcPr>
            <w:tcW w:w="177" w:type="pct"/>
            <w:vAlign w:val="center"/>
          </w:tcPr>
          <w:p w14:paraId="621E3EB0"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291" w:type="pct"/>
            <w:vAlign w:val="center"/>
          </w:tcPr>
          <w:p w14:paraId="6F3BEF39" w14:textId="77777777" w:rsidR="00F807E4" w:rsidRPr="008E3F16" w:rsidRDefault="00F807E4" w:rsidP="00C66188">
            <w:pPr>
              <w:adjustRightInd w:val="0"/>
              <w:snapToGrid w:val="0"/>
              <w:spacing w:line="360" w:lineRule="auto"/>
              <w:ind w:right="-487"/>
              <w:rPr>
                <w:rFonts w:ascii="Book Antiqua" w:hAnsi="Book Antiqua" w:cs="Times New Roman"/>
                <w:color w:val="000000" w:themeColor="text1"/>
                <w:lang w:val="en-US"/>
              </w:rPr>
            </w:pPr>
            <w:r w:rsidRPr="008E3F16">
              <w:rPr>
                <w:rFonts w:ascii="Book Antiqua" w:hAnsi="Book Antiqua" w:cs="Times New Roman"/>
                <w:color w:val="000000" w:themeColor="text1"/>
                <w:lang w:val="en-US"/>
              </w:rPr>
              <w:t>ELISA</w:t>
            </w:r>
          </w:p>
        </w:tc>
        <w:tc>
          <w:tcPr>
            <w:tcW w:w="365" w:type="pct"/>
            <w:vAlign w:val="center"/>
          </w:tcPr>
          <w:p w14:paraId="695551FE" w14:textId="79C93F52" w:rsidR="00F807E4" w:rsidRPr="008E3F16" w:rsidRDefault="00F807E4" w:rsidP="00C66188">
            <w:pPr>
              <w:adjustRightInd w:val="0"/>
              <w:snapToGrid w:val="0"/>
              <w:spacing w:line="360" w:lineRule="auto"/>
              <w:ind w:right="-54"/>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GA (Dahlewitz/Berlin Germany)</w:t>
            </w:r>
          </w:p>
        </w:tc>
        <w:tc>
          <w:tcPr>
            <w:tcW w:w="253" w:type="pct"/>
            <w:vAlign w:val="center"/>
          </w:tcPr>
          <w:p w14:paraId="093779E2"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Total</w:t>
            </w:r>
          </w:p>
        </w:tc>
        <w:tc>
          <w:tcPr>
            <w:tcW w:w="162" w:type="pct"/>
            <w:vAlign w:val="center"/>
          </w:tcPr>
          <w:p w14:paraId="304B8933"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276" w:type="pct"/>
            <w:vAlign w:val="center"/>
          </w:tcPr>
          <w:p w14:paraId="6388F540" w14:textId="75223921"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IgA 20</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IgG 20</w:t>
            </w:r>
          </w:p>
        </w:tc>
        <w:tc>
          <w:tcPr>
            <w:tcW w:w="213" w:type="pct"/>
            <w:vAlign w:val="center"/>
          </w:tcPr>
          <w:p w14:paraId="6F45B21A" w14:textId="6A43650F"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CD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178</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UC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100</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HC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162</w:t>
            </w:r>
          </w:p>
        </w:tc>
        <w:tc>
          <w:tcPr>
            <w:tcW w:w="218" w:type="pct"/>
            <w:vAlign w:val="center"/>
          </w:tcPr>
          <w:p w14:paraId="5FCE87DA" w14:textId="77777777" w:rsidR="00F807E4" w:rsidRPr="008E3F16" w:rsidRDefault="00F807E4" w:rsidP="00C66188">
            <w:pPr>
              <w:adjustRightInd w:val="0"/>
              <w:snapToGrid w:val="0"/>
              <w:spacing w:line="360" w:lineRule="auto"/>
              <w:ind w:right="-628"/>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145" w:type="pct"/>
            <w:vAlign w:val="center"/>
          </w:tcPr>
          <w:p w14:paraId="113EB281"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232" w:type="pct"/>
            <w:vAlign w:val="center"/>
          </w:tcPr>
          <w:p w14:paraId="5A878EA5" w14:textId="7F5CDBE4" w:rsidR="00F807E4" w:rsidRPr="008E3F16" w:rsidRDefault="00F807E4" w:rsidP="00C66188">
            <w:pPr>
              <w:adjustRightInd w:val="0"/>
              <w:snapToGrid w:val="0"/>
              <w:spacing w:line="360" w:lineRule="auto"/>
              <w:jc w:val="center"/>
              <w:rPr>
                <w:rFonts w:ascii="Book Antiqua" w:hAnsi="Book Antiqua" w:cs="Times New Roman"/>
                <w:color w:val="000000" w:themeColor="text1"/>
              </w:rPr>
            </w:pPr>
            <w:r w:rsidRPr="008E3F16">
              <w:rPr>
                <w:rFonts w:ascii="Book Antiqua" w:hAnsi="Book Antiqua" w:cs="Times New Roman"/>
                <w:color w:val="000000" w:themeColor="text1"/>
              </w:rPr>
              <w:t>CD 60.7%</w:t>
            </w:r>
            <w:r w:rsidR="00AA2CB1"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UC 54%</w:t>
            </w:r>
          </w:p>
        </w:tc>
        <w:tc>
          <w:tcPr>
            <w:tcW w:w="312" w:type="pct"/>
            <w:vAlign w:val="center"/>
          </w:tcPr>
          <w:p w14:paraId="26FE82C9" w14:textId="093F58E6" w:rsidR="00F807E4" w:rsidRPr="008E3F16" w:rsidRDefault="00F807E4" w:rsidP="00C66188">
            <w:pPr>
              <w:adjustRightInd w:val="0"/>
              <w:snapToGrid w:val="0"/>
              <w:spacing w:line="360" w:lineRule="auto"/>
              <w:jc w:val="center"/>
              <w:rPr>
                <w:rFonts w:ascii="Book Antiqua" w:hAnsi="Book Antiqua" w:cs="Times New Roman"/>
                <w:color w:val="000000" w:themeColor="text1"/>
              </w:rPr>
            </w:pPr>
            <w:r w:rsidRPr="008E3F16">
              <w:rPr>
                <w:rFonts w:ascii="Book Antiqua" w:hAnsi="Book Antiqua" w:cs="Times New Roman"/>
                <w:color w:val="000000" w:themeColor="text1"/>
              </w:rPr>
              <w:t>CD 39</w:t>
            </w:r>
            <w:r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rPr>
              <w:t>(18</w:t>
            </w:r>
            <w:r w:rsidRPr="008E3F16">
              <w:rPr>
                <w:rFonts w:ascii="Book Antiqua" w:hAnsi="Book Antiqua" w:cs="Times New Roman"/>
                <w:color w:val="000000" w:themeColor="text1"/>
                <w:lang w:val="en-US"/>
              </w:rPr>
              <w:t>–</w:t>
            </w:r>
            <w:r w:rsidRPr="008E3F16">
              <w:rPr>
                <w:rFonts w:ascii="Book Antiqua" w:hAnsi="Book Antiqua" w:cs="Times New Roman"/>
                <w:color w:val="000000" w:themeColor="text1"/>
              </w:rPr>
              <w:t>87)</w:t>
            </w:r>
            <w:r w:rsidRPr="008E3F16">
              <w:rPr>
                <w:rFonts w:ascii="Book Antiqua" w:hAnsi="Book Antiqua" w:cs="Times New Roman"/>
                <w:color w:val="000000" w:themeColor="text1"/>
                <w:vertAlign w:val="superscript"/>
                <w:lang w:val="en-US"/>
              </w:rPr>
              <w:t>1</w:t>
            </w:r>
            <w:r w:rsidR="00AA2CB1" w:rsidRPr="008E3F16">
              <w:rPr>
                <w:rFonts w:ascii="Book Antiqua" w:hAnsi="Book Antiqua" w:cs="Times New Roman"/>
                <w:color w:val="000000" w:themeColor="text1"/>
              </w:rPr>
              <w:t xml:space="preserve">; </w:t>
            </w:r>
            <w:r w:rsidRPr="008E3F16">
              <w:rPr>
                <w:rFonts w:ascii="Book Antiqua" w:hAnsi="Book Antiqua" w:cs="Times New Roman"/>
                <w:color w:val="000000" w:themeColor="text1"/>
              </w:rPr>
              <w:t>UC 42</w:t>
            </w:r>
            <w:r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rPr>
              <w:t>(18</w:t>
            </w:r>
            <w:r w:rsidRPr="008E3F16">
              <w:rPr>
                <w:rFonts w:ascii="Book Antiqua" w:hAnsi="Book Antiqua" w:cs="Times New Roman"/>
                <w:color w:val="000000" w:themeColor="text1"/>
                <w:lang w:val="en-US"/>
              </w:rPr>
              <w:t>–</w:t>
            </w:r>
            <w:r w:rsidRPr="008E3F16">
              <w:rPr>
                <w:rFonts w:ascii="Book Antiqua" w:hAnsi="Book Antiqua" w:cs="Times New Roman"/>
                <w:color w:val="000000" w:themeColor="text1"/>
              </w:rPr>
              <w:t>71)</w:t>
            </w:r>
            <w:r w:rsidRPr="008E3F16">
              <w:rPr>
                <w:rFonts w:ascii="Book Antiqua" w:hAnsi="Book Antiqua" w:cs="Times New Roman"/>
                <w:color w:val="000000" w:themeColor="text1"/>
                <w:vertAlign w:val="superscript"/>
                <w:lang w:val="en-US"/>
              </w:rPr>
              <w:t>1</w:t>
            </w:r>
          </w:p>
        </w:tc>
        <w:tc>
          <w:tcPr>
            <w:tcW w:w="401" w:type="pct"/>
            <w:vAlign w:val="center"/>
          </w:tcPr>
          <w:p w14:paraId="59ECB02C" w14:textId="5B278DD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Brandenburg Ministry of Economics</w:t>
            </w:r>
            <w:r w:rsidR="007A38A4" w:rsidRPr="008E3F16">
              <w:rPr>
                <w:rFonts w:ascii="Book Antiqua" w:hAnsi="Book Antiqua" w:cs="Times New Roman"/>
                <w:color w:val="000000" w:themeColor="text1"/>
                <w:lang w:val="en-US"/>
              </w:rPr>
              <w:t xml:space="preserve"> and </w:t>
            </w:r>
            <w:r w:rsidRPr="008E3F16">
              <w:rPr>
                <w:rFonts w:ascii="Book Antiqua" w:hAnsi="Book Antiqua" w:cs="Times New Roman"/>
                <w:color w:val="000000" w:themeColor="text1"/>
                <w:lang w:val="en-US"/>
              </w:rPr>
              <w:t>EU</w:t>
            </w:r>
          </w:p>
        </w:tc>
      </w:tr>
      <w:tr w:rsidR="008E3F16" w:rsidRPr="008E3F16" w14:paraId="6CD2AAB7" w14:textId="77777777" w:rsidTr="00211BB2">
        <w:tc>
          <w:tcPr>
            <w:tcW w:w="330" w:type="pct"/>
            <w:vAlign w:val="center"/>
          </w:tcPr>
          <w:p w14:paraId="00F8DD17" w14:textId="0DE9C4DB" w:rsidR="00F807E4" w:rsidRPr="008E3F16" w:rsidRDefault="00F807E4"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t>Zhang</w:t>
            </w:r>
            <w:r w:rsidR="00DE2F0F" w:rsidRPr="008E3F16">
              <w:rPr>
                <w:rFonts w:ascii="Book Antiqua" w:hAnsi="Book Antiqua" w:cs="Times New Roman"/>
                <w:i/>
                <w:iCs/>
                <w:color w:val="000000" w:themeColor="text1"/>
                <w:lang w:val="en-US"/>
              </w:rPr>
              <w:t xml:space="preserve"> et al</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{"citationItems":[{"id":"ITEM-1","itemData":{"DOI":"10.1097/MD.0000000000001654","ISSN":"0025-7974","PMID":"26496271","abstract":"The need for reliable biomarkers for distinguishing Crohn disease (CD) from ulcerative colitis (UC) is increasing. This study aimed at evaluating the diagnostic potential of anti-GP2 antibodies as a biomarker in Chinese patients with CD. In addition, a variety of autoantibodies, including anti-saccharomyces cerevisiae antibodies (ASCA), perinuclear anti-neutrophil cytoplasmic antibodies (PANCA), anti-intestinal goblet cell autoantibodies (GAB), and anti-pancreatic autoantibodies (PAB), were evaluated.A total of 91 subjects were prospectively enrolled in this study, including 35 patients with CD, 35 patients with UC, 13 patients with non-IBD gastrointestinal diseases as disease controls (non-IBD DC), and 8 healthy controls (HC). The diagnosis of IBD was determined based on the Lennard-Jones criteria, and the clinical phenotypes of the IBD patients were determined based on the Montreal Classification.Anti-GP2 IgG antibodies were significantly elevated in patients with CD, compared with patients with UC (P = 0.0038), HC (P = 0.0055), and non-IBD DC (P = 0.0063). The prevalence of anti-GP2 IgG, anti-GP2 IgA and anti-GP2 IgA, or IgG antibodies in patients with CD was 40.0%, 37.1%, and 54.3%, respectively, which were higher than those in non-IBD DC (anti-GP2 IgG, 15.4%; anti-GP2 IgA, 7.7%; and anti-GP2 IgA or IgG, 23.1%) and those in patients with UC (anti-GP2 IgG, 11.4%; anti-GP2 IgA, 2.9%; and anti-GP2 IgA or IgG, 14.3%). For distinguishing CD from UC, the sensitivity, specificity, positive predictive value (PPV) and positive likelihood ratios (LR+) were 40%, 88.6%, 77.8%, and 3.51 for anti-GP2 IgG, 37.1%, 97.1%, 92.9%, and 13.0 for anti-GP2 IgA, and 54.3%, 85.3%, 79.2%, and 3.69 for anti-GP2 IgA or IgG. For CD diagnosis, the combination of anti-GP2 antibodies with ASCA IgA increased the sensitivity to 68.6% with moderate loss of specificity to 74.3%. Spearman's rank of order revealed a significantly positive correlation of anti-GP2 IgG with ileocolonic location of disease (L3) (P = 0.043) and a negative correlation of anti-GP2 IgA with biologic therapy (P = 0.012).Our findings suggest that anti-GP2 antibodies could serve as a biomarker for distinguishing patients with CD from patients with UC, and the combination of anti-GP2 antibodies with ASCA IgA may improve the predictive power.","author":[{"dropping-particle":"","family":"Zhang","given":"Shulan","non-dropping-particle":"","parse-names":false,"suffix":""},{"dropping-particle":"","family":"Wu","given":"Ziyan","non-dropping-particle":"","parse-names":false,"suffix":""},{"dropping-particle":"","family":"Luo","given":"Jing","non-dropping-particle":"","parse-names":false,"suffix":""},{"dropping-particle":"","family":"Ding","given":"Xuefeng","non-dropping-particle":"","parse-names":false,"suffix":""},{"dropping-particle":"","family":"Hu","given":"Chaojun","non-dropping-particle":"","parse-names":false,"suffix":""},{"dropping-particle":"","family":"Li","given":"Ping","non-dropping-particle":"","parse-names":false,"suffix":""},{"dropping-particle":"","family":"Deng","given":"Chuiwen","non-dropping-particle":"","parse-names":false,"suffix":""},{"dropping-particle":"","family":"Zhang","given":"Fengchun","non-dropping-particle":"","parse-names":false,"suffix":""},{"dropping-particle":"","family":"Qian","given":"Jiaming","non-dropping-particle":"","parse-names":false,"suffix":""},{"dropping-particle":"","family":"Li","given":"Yongzhe","non-dropping-particle":"","parse-names":false,"suffix":""}],"container-title":"Medicine","id":"ITEM-1","issue":"42","issued":{"date-parts":[["2015","10"]]},"page":"e1654","title":"Diagnostic Potential of Zymogen Granule Glycoprotein 2 Antibodies as Serologic Biomarkers in Chinese Patients With Crohn Disease","type":"article-journal","volume":"94"},"uris":["http://www.mendeley.com/documents/?uuid=10c13fea-3c93-3da3-83f8-36daa9645729"]}],"mendeley":{"formattedCitation":"&lt;sup&gt;[57]&lt;/sup&gt;","plainTextFormattedCitation":"[57]","previouslyFormattedCitation":"&lt;sup&gt;[49]&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[57]</w:t>
            </w:r>
            <w:r w:rsidRPr="008E3F16">
              <w:rPr>
                <w:rFonts w:ascii="Book Antiqua" w:hAnsi="Book Antiqua" w:cs="Times New Roman"/>
                <w:color w:val="000000" w:themeColor="text1"/>
                <w:lang w:val="en-US"/>
              </w:rPr>
              <w:fldChar w:fldCharType="end"/>
            </w:r>
          </w:p>
        </w:tc>
        <w:tc>
          <w:tcPr>
            <w:tcW w:w="328" w:type="pct"/>
            <w:vAlign w:val="center"/>
          </w:tcPr>
          <w:p w14:paraId="66466BC2" w14:textId="7992741C" w:rsidR="00F807E4" w:rsidRPr="008E3F16" w:rsidRDefault="002B46E0" w:rsidP="00C66188">
            <w:pPr>
              <w:adjustRightInd w:val="0"/>
              <w:snapToGrid w:val="0"/>
              <w:spacing w:line="360" w:lineRule="auto"/>
              <w:rPr>
                <w:rFonts w:ascii="Book Antiqua" w:hAnsi="Book Antiqua" w:cs="Times New Roman"/>
                <w:color w:val="000000" w:themeColor="text1"/>
                <w:lang w:val="en-US" w:eastAsia="zh-CN"/>
              </w:rPr>
            </w:pPr>
            <w:r w:rsidRPr="008E3F16">
              <w:rPr>
                <w:rFonts w:ascii="Book Antiqua" w:hAnsi="Book Antiqua" w:cs="Times New Roman"/>
                <w:color w:val="000000" w:themeColor="text1"/>
                <w:lang w:val="en-US" w:eastAsia="zh-CN"/>
              </w:rPr>
              <w:t>China</w:t>
            </w:r>
          </w:p>
        </w:tc>
        <w:tc>
          <w:tcPr>
            <w:tcW w:w="162" w:type="pct"/>
            <w:vAlign w:val="center"/>
          </w:tcPr>
          <w:p w14:paraId="36A0D85B"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190" w:type="pct"/>
            <w:vAlign w:val="center"/>
          </w:tcPr>
          <w:p w14:paraId="5398E90F"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357" w:type="pct"/>
            <w:vAlign w:val="center"/>
          </w:tcPr>
          <w:p w14:paraId="2C31C1A9" w14:textId="54B22263"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Peking Union Medica</w:t>
            </w:r>
            <w:r w:rsidRPr="008E3F16">
              <w:rPr>
                <w:rFonts w:ascii="Book Antiqua" w:hAnsi="Book Antiqua" w:cs="Times New Roman"/>
                <w:color w:val="000000" w:themeColor="text1"/>
                <w:lang w:val="en-US"/>
              </w:rPr>
              <w:lastRenderedPageBreak/>
              <w:t>l College Hospital</w:t>
            </w:r>
          </w:p>
        </w:tc>
        <w:tc>
          <w:tcPr>
            <w:tcW w:w="162" w:type="pct"/>
            <w:vAlign w:val="center"/>
          </w:tcPr>
          <w:p w14:paraId="0BDF48BD"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NR</w:t>
            </w:r>
          </w:p>
        </w:tc>
        <w:tc>
          <w:tcPr>
            <w:tcW w:w="426" w:type="pct"/>
            <w:vAlign w:val="center"/>
          </w:tcPr>
          <w:p w14:paraId="7337DC2B"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Lennard-Jones </w:t>
            </w:r>
            <w:r w:rsidRPr="008E3F16">
              <w:rPr>
                <w:rFonts w:ascii="Book Antiqua" w:hAnsi="Book Antiqua" w:cs="Times New Roman"/>
                <w:color w:val="000000" w:themeColor="text1"/>
                <w:lang w:val="en-US"/>
              </w:rPr>
              <w:lastRenderedPageBreak/>
              <w:t>criteria</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[24]</w:t>
            </w:r>
            <w:r w:rsidRPr="008E3F16">
              <w:rPr>
                <w:rFonts w:ascii="Book Antiqua" w:hAnsi="Book Antiqua" w:cs="Times New Roman"/>
                <w:color w:val="000000" w:themeColor="text1"/>
                <w:lang w:val="en-US"/>
              </w:rPr>
              <w:fldChar w:fldCharType="end"/>
            </w:r>
          </w:p>
        </w:tc>
        <w:tc>
          <w:tcPr>
            <w:tcW w:w="177" w:type="pct"/>
            <w:vAlign w:val="center"/>
          </w:tcPr>
          <w:p w14:paraId="41064AB8"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sym w:font="Symbol" w:char="F0D6"/>
            </w:r>
          </w:p>
        </w:tc>
        <w:tc>
          <w:tcPr>
            <w:tcW w:w="291" w:type="pct"/>
            <w:vAlign w:val="center"/>
          </w:tcPr>
          <w:p w14:paraId="5E62846C" w14:textId="77777777" w:rsidR="00F807E4" w:rsidRPr="008E3F16" w:rsidRDefault="00F807E4" w:rsidP="00C66188">
            <w:pPr>
              <w:adjustRightInd w:val="0"/>
              <w:snapToGrid w:val="0"/>
              <w:spacing w:line="360" w:lineRule="auto"/>
              <w:ind w:right="-487"/>
              <w:rPr>
                <w:rFonts w:ascii="Book Antiqua" w:hAnsi="Book Antiqua" w:cs="Times New Roman"/>
                <w:color w:val="000000" w:themeColor="text1"/>
                <w:lang w:val="en-US"/>
              </w:rPr>
            </w:pPr>
            <w:r w:rsidRPr="008E3F16">
              <w:rPr>
                <w:rFonts w:ascii="Book Antiqua" w:hAnsi="Book Antiqua" w:cs="Times New Roman"/>
                <w:color w:val="000000" w:themeColor="text1"/>
                <w:lang w:val="en-US"/>
              </w:rPr>
              <w:t>ELISA</w:t>
            </w:r>
          </w:p>
        </w:tc>
        <w:tc>
          <w:tcPr>
            <w:tcW w:w="365" w:type="pct"/>
            <w:vAlign w:val="center"/>
          </w:tcPr>
          <w:p w14:paraId="047F0505" w14:textId="388F26D9" w:rsidR="00F807E4" w:rsidRPr="008E3F16" w:rsidRDefault="00F807E4" w:rsidP="00C66188">
            <w:pPr>
              <w:adjustRightInd w:val="0"/>
              <w:snapToGrid w:val="0"/>
              <w:spacing w:line="360" w:lineRule="auto"/>
              <w:ind w:right="-54"/>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GA (Dahlewitz/Be</w:t>
            </w:r>
            <w:r w:rsidRPr="008E3F16">
              <w:rPr>
                <w:rFonts w:ascii="Book Antiqua" w:hAnsi="Book Antiqua" w:cs="Times New Roman"/>
                <w:color w:val="000000" w:themeColor="text1"/>
                <w:lang w:val="en-US"/>
              </w:rPr>
              <w:lastRenderedPageBreak/>
              <w:t>rlin Germany)</w:t>
            </w:r>
          </w:p>
        </w:tc>
        <w:tc>
          <w:tcPr>
            <w:tcW w:w="253" w:type="pct"/>
            <w:vAlign w:val="center"/>
          </w:tcPr>
          <w:p w14:paraId="17F045DE"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Total</w:t>
            </w:r>
          </w:p>
        </w:tc>
        <w:tc>
          <w:tcPr>
            <w:tcW w:w="162" w:type="pct"/>
            <w:vAlign w:val="center"/>
          </w:tcPr>
          <w:p w14:paraId="77B52033"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276" w:type="pct"/>
            <w:vAlign w:val="center"/>
          </w:tcPr>
          <w:p w14:paraId="164CBD7A" w14:textId="1B72B86B"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IgA 20</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lastRenderedPageBreak/>
              <w:t>IgG 20</w:t>
            </w:r>
          </w:p>
        </w:tc>
        <w:tc>
          <w:tcPr>
            <w:tcW w:w="213" w:type="pct"/>
            <w:vAlign w:val="center"/>
          </w:tcPr>
          <w:p w14:paraId="1FE43688" w14:textId="079B80B2"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 xml:space="preserve">CD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35</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lastRenderedPageBreak/>
              <w:t xml:space="preserve">UC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35</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OGD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13</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HC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8</w:t>
            </w:r>
          </w:p>
        </w:tc>
        <w:tc>
          <w:tcPr>
            <w:tcW w:w="218" w:type="pct"/>
            <w:vAlign w:val="center"/>
          </w:tcPr>
          <w:p w14:paraId="110CBE80" w14:textId="77777777" w:rsidR="00F807E4" w:rsidRPr="008E3F16" w:rsidRDefault="00F807E4" w:rsidP="00C66188">
            <w:pPr>
              <w:adjustRightInd w:val="0"/>
              <w:snapToGrid w:val="0"/>
              <w:spacing w:line="360" w:lineRule="auto"/>
              <w:ind w:right="-628"/>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NR</w:t>
            </w:r>
          </w:p>
        </w:tc>
        <w:tc>
          <w:tcPr>
            <w:tcW w:w="145" w:type="pct"/>
            <w:vAlign w:val="center"/>
          </w:tcPr>
          <w:p w14:paraId="30F4E5BB"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232" w:type="pct"/>
            <w:vAlign w:val="center"/>
          </w:tcPr>
          <w:p w14:paraId="284DAD67" w14:textId="5C31C8A3"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CD 17%</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lastRenderedPageBreak/>
              <w:t>UC 38%</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ODG NR</w:t>
            </w:r>
          </w:p>
        </w:tc>
        <w:tc>
          <w:tcPr>
            <w:tcW w:w="312" w:type="pct"/>
            <w:vAlign w:val="center"/>
          </w:tcPr>
          <w:p w14:paraId="40AC4B07" w14:textId="5E7AC30F"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CD: 17 (13–</w:t>
            </w:r>
            <w:r w:rsidRPr="008E3F16">
              <w:rPr>
                <w:rFonts w:ascii="Book Antiqua" w:hAnsi="Book Antiqua" w:cs="Times New Roman"/>
                <w:color w:val="000000" w:themeColor="text1"/>
                <w:lang w:val="en-US"/>
              </w:rPr>
              <w:lastRenderedPageBreak/>
              <w:t>69)</w:t>
            </w:r>
            <w:r w:rsidRPr="008E3F16">
              <w:rPr>
                <w:rFonts w:ascii="Book Antiqua" w:hAnsi="Book Antiqua" w:cs="Times New Roman"/>
                <w:color w:val="000000" w:themeColor="text1"/>
                <w:vertAlign w:val="superscript"/>
                <w:lang w:val="en-US"/>
              </w:rPr>
              <w:t>1</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UC: 38 (18–75)</w:t>
            </w:r>
            <w:r w:rsidRPr="008E3F16">
              <w:rPr>
                <w:rFonts w:ascii="Book Antiqua" w:hAnsi="Book Antiqua" w:cs="Times New Roman"/>
                <w:color w:val="000000" w:themeColor="text1"/>
                <w:vertAlign w:val="superscript"/>
                <w:lang w:val="en-US"/>
              </w:rPr>
              <w:t>1</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ODG NR</w:t>
            </w:r>
          </w:p>
        </w:tc>
        <w:tc>
          <w:tcPr>
            <w:tcW w:w="401" w:type="pct"/>
            <w:vAlign w:val="center"/>
          </w:tcPr>
          <w:p w14:paraId="2CC71739" w14:textId="104E366C"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NNSFC</w:t>
            </w:r>
          </w:p>
        </w:tc>
      </w:tr>
      <w:tr w:rsidR="008E3F16" w:rsidRPr="008E3F16" w14:paraId="611832DB" w14:textId="77777777" w:rsidTr="00211BB2">
        <w:tc>
          <w:tcPr>
            <w:tcW w:w="330" w:type="pct"/>
            <w:vAlign w:val="center"/>
          </w:tcPr>
          <w:p w14:paraId="68EC137B" w14:textId="50325E8C" w:rsidR="00F807E4" w:rsidRPr="008E3F16" w:rsidRDefault="00F807E4"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Zhang</w:t>
            </w:r>
            <w:r w:rsidR="00DE2F0F" w:rsidRPr="008E3F16">
              <w:rPr>
                <w:rFonts w:ascii="Book Antiqua" w:hAnsi="Book Antiqua" w:cs="Times New Roman"/>
                <w:i/>
                <w:iCs/>
                <w:color w:val="000000" w:themeColor="text1"/>
                <w:lang w:val="en-US"/>
              </w:rPr>
              <w:t xml:space="preserve"> et al</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{"citationItems":[{"id":"ITEM-1","itemData":{"DOI":"10.1038/ctg.2018.1","ISSN":"2155-384X","PMID":"29446764","abstract":"OBJECTIVES There is an increasing need to identify reliable biomarkers for distinguishing Crohn's disease (CD) from other gastrointestinal disorders sharing similar clinical and pathological features. This study aimed at evaluating the diagnostic potential of antibodies to zymogen granule glycoprotein GP2 (aGP2) in a large, well-defined Chinese cohort with a special focus on their role in discriminating CD from intestinal Behçet's disease (BD) and intestinal tubercolosis (ITB). METHODS A total of 577 subjects were prospectively enrolled, including 171 patients with CD, 208 patients with ulcerative colitis (UC), 71 with BD, 57 with ITB and 70 healthy controls (HC). aGP2 and anti-Saccharomyces cerevisiae antibodies (ASCA) were determined by ELISA. Perinuclear antineutrophil cytoplasmic antibodies were tested by indirect immunofluorescent assay. RESULTS aGP2 IgG and IgA levels were significantly elevated in patients with CD compared with those in patients with UC, intestinal BD, and ITB and HC. Conversely, ASCA IgG levels were not different between CD and intestinal BD patients, whereas ASCA IgA levels did not discriminate CD from intestinal BD and ITB patients. aGP2 IgA and IgG displayed a better assay performance (larger areas under the curve) over ASCA IgA and IgG in differentiating CD from disease controls (P&lt;0.05). ASCA IgA did not discriminate CD from disease controls. aGP2 IgA and/or IgG was significantly associated with penetrating disease (B3) and ileal CD (L1) (P&lt;0.05), whereas ASCA IgA and/or IgG was not. CONCLUSIONS In comparison with ASCA, aGP2 distinguishes CD from intestinal BD or ITB as disease controls more efficiently, aiding in the differential diagnosis of IBD.","author":[{"dropping-particle":"","family":"Zhang","given":"Shulan","non-dropping-particle":"","parse-names":false,"suffix":""},{"dropping-particle":"","family":"Luo","given":"Jing","non-dropping-particle":"","parse-names":false,"suffix":""},{"dropping-particle":"","family":"Wu","given":"Ziyan","non-dropping-particle":"","parse-names":false,"suffix":""},{"dropping-particle":"","family":"Roggenbuck","given":"Dirk","non-dropping-particle":"","parse-names":false,"suffix":""},{"dropping-particle":"","family":"Schierack","given":"Peter","non-dropping-particle":"","parse-names":false,"suffix":""},{"dropping-particle":"","family":"Reinhold","given":"Dirk","non-dropping-particle":"","parse-names":false,"suffix":""},{"dropping-particle":"","family":"Li","given":"Ji","non-dropping-particle":"","parse-names":false,"suffix":""},{"dropping-particle":"","family":"Zeng","given":"Xiaofeng","non-dropping-particle":"","parse-names":false,"suffix":""},{"dropping-particle":"","family":"Zhang","given":"Fengchun","non-dropping-particle":"","parse-names":false,"suffix":""},{"dropping-particle":"","family":"Qian","given":"Jiaming","non-dropping-particle":"","parse-names":false,"suffix":""},{"dropping-particle":"","family":"Li","given":"Yongzhe","non-dropping-particle":"","parse-names":false,"suffix":""}],"container-title":"Clinical and translational gastroenterology","id":"ITEM-1","issue":"2","issued":{"date-parts":[["2018","2","15"]]},"page":"e133","title":"Antibodies against glycoprotein 2 display diagnostic advantages over ASCA in distinguishing CD from intestinal tuberculosis and intestinal Behçet's disease.","type":"article-journal","volume":"9"},"uris":["http://www.mendeley.com/documents/?uuid=d0ca257a-84a4-38bf-8e74-d3f5b43880e2"]}],"mendeley":{"formattedCitation":"&lt;sup&gt;[58]&lt;/sup&gt;","plainTextFormattedCitation":"[58]","previouslyFormattedCitation":"&lt;sup&gt;[50]&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[58]</w:t>
            </w:r>
            <w:r w:rsidRPr="008E3F16">
              <w:rPr>
                <w:rFonts w:ascii="Book Antiqua" w:hAnsi="Book Antiqua" w:cs="Times New Roman"/>
                <w:color w:val="000000" w:themeColor="text1"/>
                <w:lang w:val="en-US"/>
              </w:rPr>
              <w:fldChar w:fldCharType="end"/>
            </w:r>
          </w:p>
        </w:tc>
        <w:tc>
          <w:tcPr>
            <w:tcW w:w="328" w:type="pct"/>
            <w:vAlign w:val="center"/>
          </w:tcPr>
          <w:p w14:paraId="43B45031" w14:textId="49DE9CC4" w:rsidR="00F807E4" w:rsidRPr="008E3F16" w:rsidRDefault="002B46E0"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eastAsia="zh-CN"/>
              </w:rPr>
              <w:t>China</w:t>
            </w:r>
          </w:p>
        </w:tc>
        <w:tc>
          <w:tcPr>
            <w:tcW w:w="162" w:type="pct"/>
            <w:vAlign w:val="center"/>
          </w:tcPr>
          <w:p w14:paraId="777540F6"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w:t>
            </w:r>
          </w:p>
        </w:tc>
        <w:tc>
          <w:tcPr>
            <w:tcW w:w="190" w:type="pct"/>
            <w:vAlign w:val="center"/>
          </w:tcPr>
          <w:p w14:paraId="684A2369"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357" w:type="pct"/>
            <w:vAlign w:val="center"/>
          </w:tcPr>
          <w:p w14:paraId="7F3D71B2" w14:textId="50DE0682"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Peking Union Medical College Hospital</w:t>
            </w:r>
          </w:p>
        </w:tc>
        <w:tc>
          <w:tcPr>
            <w:tcW w:w="162" w:type="pct"/>
            <w:vAlign w:val="center"/>
          </w:tcPr>
          <w:p w14:paraId="733FB1D9"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426" w:type="pct"/>
            <w:vAlign w:val="center"/>
          </w:tcPr>
          <w:p w14:paraId="4A4A1FF4"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Lennard-Jones criteria</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[24]</w:t>
            </w:r>
            <w:r w:rsidRPr="008E3F16">
              <w:rPr>
                <w:rFonts w:ascii="Book Antiqua" w:hAnsi="Book Antiqua" w:cs="Times New Roman"/>
                <w:color w:val="000000" w:themeColor="text1"/>
                <w:lang w:val="en-US"/>
              </w:rPr>
              <w:fldChar w:fldCharType="end"/>
            </w:r>
          </w:p>
        </w:tc>
        <w:tc>
          <w:tcPr>
            <w:tcW w:w="177" w:type="pct"/>
            <w:vAlign w:val="center"/>
          </w:tcPr>
          <w:p w14:paraId="18B8A730"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291" w:type="pct"/>
            <w:vAlign w:val="center"/>
          </w:tcPr>
          <w:p w14:paraId="3D92D2A2" w14:textId="77777777" w:rsidR="00F807E4" w:rsidRPr="008E3F16" w:rsidRDefault="00F807E4" w:rsidP="00C66188">
            <w:pPr>
              <w:adjustRightInd w:val="0"/>
              <w:snapToGrid w:val="0"/>
              <w:spacing w:line="360" w:lineRule="auto"/>
              <w:ind w:right="-487"/>
              <w:rPr>
                <w:rFonts w:ascii="Book Antiqua" w:hAnsi="Book Antiqua" w:cs="Times New Roman"/>
                <w:color w:val="000000" w:themeColor="text1"/>
                <w:lang w:val="en-US"/>
              </w:rPr>
            </w:pPr>
            <w:r w:rsidRPr="008E3F16">
              <w:rPr>
                <w:rFonts w:ascii="Book Antiqua" w:hAnsi="Book Antiqua" w:cs="Times New Roman"/>
                <w:color w:val="000000" w:themeColor="text1"/>
                <w:lang w:val="en-US"/>
              </w:rPr>
              <w:t>ELISA</w:t>
            </w:r>
          </w:p>
        </w:tc>
        <w:tc>
          <w:tcPr>
            <w:tcW w:w="365" w:type="pct"/>
            <w:vAlign w:val="center"/>
          </w:tcPr>
          <w:p w14:paraId="44A7660C" w14:textId="66D2289F" w:rsidR="00F807E4" w:rsidRPr="008E3F16" w:rsidRDefault="00F807E4" w:rsidP="00C66188">
            <w:pPr>
              <w:adjustRightInd w:val="0"/>
              <w:snapToGrid w:val="0"/>
              <w:spacing w:line="360" w:lineRule="auto"/>
              <w:ind w:right="-54"/>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GA (Dahlewitz/Berlin Germany)</w:t>
            </w:r>
          </w:p>
        </w:tc>
        <w:tc>
          <w:tcPr>
            <w:tcW w:w="253" w:type="pct"/>
            <w:vAlign w:val="center"/>
          </w:tcPr>
          <w:p w14:paraId="6502A1FD"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Total</w:t>
            </w:r>
          </w:p>
        </w:tc>
        <w:tc>
          <w:tcPr>
            <w:tcW w:w="162" w:type="pct"/>
            <w:vAlign w:val="center"/>
          </w:tcPr>
          <w:p w14:paraId="310D59A0"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NR</w:t>
            </w:r>
          </w:p>
        </w:tc>
        <w:tc>
          <w:tcPr>
            <w:tcW w:w="276" w:type="pct"/>
            <w:vAlign w:val="center"/>
          </w:tcPr>
          <w:p w14:paraId="349B7753" w14:textId="5881941C"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IgA 10</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IgG 15</w:t>
            </w:r>
          </w:p>
        </w:tc>
        <w:tc>
          <w:tcPr>
            <w:tcW w:w="213" w:type="pct"/>
            <w:vAlign w:val="center"/>
          </w:tcPr>
          <w:p w14:paraId="6F55FFA0" w14:textId="2C53E5E6"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 xml:space="preserve">CD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171</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UC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208</w:t>
            </w:r>
            <w:r w:rsidR="00781C54" w:rsidRPr="008E3F16">
              <w:rPr>
                <w:rFonts w:ascii="Book Antiqua" w:hAnsi="Book Antiqua" w:cs="Times New Roman"/>
                <w:color w:val="000000" w:themeColor="text1"/>
                <w:lang w:val="en-US"/>
              </w:rPr>
              <w:t>;</w:t>
            </w:r>
            <w:r w:rsidRPr="008E3F16">
              <w:rPr>
                <w:rFonts w:ascii="Book Antiqua" w:hAnsi="Book Antiqua" w:cs="Times New Roman"/>
                <w:color w:val="000000" w:themeColor="text1"/>
                <w:lang w:val="en-US"/>
              </w:rPr>
              <w:t xml:space="preserve"> BD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lastRenderedPageBreak/>
              <w:t>71</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ITB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57</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HC </w:t>
            </w:r>
            <w:r w:rsidR="00781C54" w:rsidRPr="008E3F16">
              <w:rPr>
                <w:rFonts w:ascii="Book Antiqua" w:hAnsi="Book Antiqua" w:cs="Times New Roman"/>
                <w:i/>
                <w:iCs/>
                <w:color w:val="000000" w:themeColor="text1"/>
                <w:lang w:val="en-US"/>
              </w:rPr>
              <w:t>n</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w:t>
            </w:r>
            <w:r w:rsidR="00781C5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70</w:t>
            </w:r>
          </w:p>
        </w:tc>
        <w:tc>
          <w:tcPr>
            <w:tcW w:w="218" w:type="pct"/>
            <w:vAlign w:val="center"/>
          </w:tcPr>
          <w:p w14:paraId="513C820D" w14:textId="77777777" w:rsidR="00F807E4" w:rsidRPr="008E3F16" w:rsidRDefault="00F807E4" w:rsidP="00C66188">
            <w:pPr>
              <w:adjustRightInd w:val="0"/>
              <w:snapToGrid w:val="0"/>
              <w:spacing w:line="360" w:lineRule="auto"/>
              <w:ind w:right="-628"/>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NR</w:t>
            </w:r>
          </w:p>
        </w:tc>
        <w:tc>
          <w:tcPr>
            <w:tcW w:w="145" w:type="pct"/>
            <w:vAlign w:val="center"/>
          </w:tcPr>
          <w:p w14:paraId="19562057"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sym w:font="Symbol" w:char="F0D6"/>
            </w:r>
          </w:p>
        </w:tc>
        <w:tc>
          <w:tcPr>
            <w:tcW w:w="232" w:type="pct"/>
            <w:vAlign w:val="center"/>
          </w:tcPr>
          <w:p w14:paraId="6E550131" w14:textId="7ECF22D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t>CD 33%</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UC 43%</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BD 38%</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lastRenderedPageBreak/>
              <w:t>ITB 43%</w:t>
            </w:r>
          </w:p>
          <w:p w14:paraId="4E1BB022" w14:textId="77777777"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p>
        </w:tc>
        <w:tc>
          <w:tcPr>
            <w:tcW w:w="312" w:type="pct"/>
            <w:vAlign w:val="center"/>
          </w:tcPr>
          <w:p w14:paraId="1B286CF0" w14:textId="7C7877D4"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CD 33 (10–85)</w:t>
            </w:r>
            <w:r w:rsidRPr="008E3F16">
              <w:rPr>
                <w:rFonts w:ascii="Book Antiqua" w:hAnsi="Book Antiqua" w:cs="Times New Roman"/>
                <w:color w:val="000000" w:themeColor="text1"/>
                <w:vertAlign w:val="superscript"/>
                <w:lang w:val="en-US"/>
              </w:rPr>
              <w:t>1</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UC 43 (12–77)</w:t>
            </w:r>
            <w:r w:rsidRPr="008E3F16">
              <w:rPr>
                <w:rFonts w:ascii="Book Antiqua" w:hAnsi="Book Antiqua" w:cs="Times New Roman"/>
                <w:color w:val="000000" w:themeColor="text1"/>
                <w:vertAlign w:val="superscript"/>
                <w:lang w:val="en-US"/>
              </w:rPr>
              <w:t>1</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BD 38 (10–73)</w:t>
            </w:r>
            <w:r w:rsidRPr="008E3F16">
              <w:rPr>
                <w:rFonts w:ascii="Book Antiqua" w:hAnsi="Book Antiqua" w:cs="Times New Roman"/>
                <w:color w:val="000000" w:themeColor="text1"/>
                <w:vertAlign w:val="superscript"/>
                <w:lang w:val="en-US"/>
              </w:rPr>
              <w:t>1</w:t>
            </w:r>
            <w:r w:rsidR="00AA2CB1" w:rsidRPr="008E3F16">
              <w:rPr>
                <w:rFonts w:ascii="Book Antiqua" w:hAnsi="Book Antiqua" w:cs="Times New Roman"/>
                <w:color w:val="000000" w:themeColor="text1"/>
              </w:rPr>
              <w:t>;</w:t>
            </w:r>
            <w:r w:rsidR="00AA2CB1"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 xml:space="preserve">ITB 43 </w:t>
            </w:r>
            <w:r w:rsidRPr="008E3F16">
              <w:rPr>
                <w:rFonts w:ascii="Book Antiqua" w:hAnsi="Book Antiqua" w:cs="Times New Roman"/>
                <w:color w:val="000000" w:themeColor="text1"/>
                <w:lang w:val="en-US"/>
              </w:rPr>
              <w:lastRenderedPageBreak/>
              <w:t>(14–76)</w:t>
            </w:r>
            <w:r w:rsidRPr="008E3F16">
              <w:rPr>
                <w:rFonts w:ascii="Book Antiqua" w:hAnsi="Book Antiqua" w:cs="Times New Roman"/>
                <w:color w:val="000000" w:themeColor="text1"/>
                <w:vertAlign w:val="superscript"/>
                <w:lang w:val="en-US"/>
              </w:rPr>
              <w:t>1</w:t>
            </w:r>
          </w:p>
        </w:tc>
        <w:tc>
          <w:tcPr>
            <w:tcW w:w="401" w:type="pct"/>
            <w:vAlign w:val="center"/>
          </w:tcPr>
          <w:p w14:paraId="5FBFEDF1" w14:textId="1276A1C5" w:rsidR="00F807E4" w:rsidRPr="008E3F16" w:rsidRDefault="00F807E4" w:rsidP="00C66188">
            <w:pPr>
              <w:adjustRightInd w:val="0"/>
              <w:snapToGrid w:val="0"/>
              <w:spacing w:line="360" w:lineRule="auto"/>
              <w:jc w:val="center"/>
              <w:rPr>
                <w:rFonts w:ascii="Book Antiqua" w:hAnsi="Book Antiqua" w:cs="Times New Roman"/>
                <w:color w:val="000000" w:themeColor="text1"/>
                <w:lang w:val="en-US"/>
              </w:rPr>
            </w:pPr>
            <w:r w:rsidRPr="008E3F16">
              <w:rPr>
                <w:rFonts w:ascii="Book Antiqua" w:hAnsi="Book Antiqua" w:cs="Times New Roman"/>
                <w:color w:val="000000" w:themeColor="text1"/>
                <w:lang w:val="en-US"/>
              </w:rPr>
              <w:lastRenderedPageBreak/>
              <w:t>NNSFC</w:t>
            </w:r>
            <w:r w:rsidR="007A38A4"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t>Chinese Academy of Medical Sciences</w:t>
            </w:r>
            <w:r w:rsidR="007A38A4" w:rsidRPr="008E3F16">
              <w:rPr>
                <w:rFonts w:ascii="Book Antiqua" w:hAnsi="Book Antiqua" w:cs="Times New Roman"/>
                <w:color w:val="000000" w:themeColor="text1"/>
                <w:lang w:val="en-US"/>
              </w:rPr>
              <w:t>;</w:t>
            </w:r>
            <w:r w:rsidRPr="008E3F16">
              <w:rPr>
                <w:rFonts w:ascii="Book Antiqua" w:hAnsi="Book Antiqua" w:cs="Times New Roman"/>
                <w:color w:val="000000" w:themeColor="text1"/>
                <w:lang w:val="en-US"/>
              </w:rPr>
              <w:t xml:space="preserve"> </w:t>
            </w:r>
            <w:r w:rsidR="007A38A4" w:rsidRPr="008E3F16">
              <w:rPr>
                <w:rFonts w:ascii="Book Antiqua" w:hAnsi="Book Antiqua" w:cs="Times New Roman"/>
                <w:color w:val="000000" w:themeColor="text1"/>
                <w:lang w:val="en-US" w:eastAsia="zh-CN"/>
              </w:rPr>
              <w:t xml:space="preserve">and </w:t>
            </w:r>
            <w:r w:rsidRPr="008E3F16">
              <w:rPr>
                <w:rFonts w:ascii="Book Antiqua" w:hAnsi="Book Antiqua" w:cs="Times New Roman"/>
                <w:color w:val="000000" w:themeColor="text1"/>
                <w:lang w:val="en-US"/>
              </w:rPr>
              <w:t>Chinese Key Researc</w:t>
            </w:r>
            <w:r w:rsidRPr="008E3F16">
              <w:rPr>
                <w:rFonts w:ascii="Book Antiqua" w:hAnsi="Book Antiqua" w:cs="Times New Roman"/>
                <w:color w:val="000000" w:themeColor="text1"/>
                <w:lang w:val="en-US"/>
              </w:rPr>
              <w:lastRenderedPageBreak/>
              <w:t>h &amp; Development Program</w:t>
            </w:r>
          </w:p>
        </w:tc>
      </w:tr>
    </w:tbl>
    <w:p w14:paraId="0C966325" w14:textId="0A400554" w:rsidR="00E45888" w:rsidRPr="008E3F16" w:rsidRDefault="002B46E0" w:rsidP="00C66188">
      <w:pPr>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vertAlign w:val="superscript"/>
          <w:lang w:val="en-US"/>
        </w:rPr>
        <w:lastRenderedPageBreak/>
        <w:t>1</w:t>
      </w:r>
      <w:r w:rsidRPr="008E3F16">
        <w:rPr>
          <w:rFonts w:ascii="Book Antiqua" w:hAnsi="Book Antiqua" w:cs="Times New Roman"/>
          <w:color w:val="000000" w:themeColor="text1"/>
          <w:lang w:val="en-US"/>
        </w:rPr>
        <w:t xml:space="preserve">Median (minimum–maximum). </w:t>
      </w:r>
      <w:r w:rsidRPr="008E3F16">
        <w:rPr>
          <w:rFonts w:ascii="Book Antiqua" w:hAnsi="Book Antiqua" w:cs="Times New Roman"/>
          <w:color w:val="000000" w:themeColor="text1"/>
          <w:vertAlign w:val="superscript"/>
          <w:lang w:val="en-US"/>
        </w:rPr>
        <w:t>2</w:t>
      </w:r>
      <w:r w:rsidRPr="008E3F16">
        <w:rPr>
          <w:rFonts w:ascii="Book Antiqua" w:hAnsi="Book Antiqua" w:cs="Times New Roman"/>
          <w:color w:val="000000" w:themeColor="text1"/>
          <w:lang w:val="en-US"/>
        </w:rPr>
        <w:t xml:space="preserve">median. </w:t>
      </w:r>
      <w:r w:rsidRPr="008E3F16">
        <w:rPr>
          <w:rFonts w:ascii="Book Antiqua" w:hAnsi="Book Antiqua" w:cs="Times New Roman"/>
          <w:color w:val="000000" w:themeColor="text1"/>
          <w:vertAlign w:val="superscript"/>
          <w:lang w:val="en-US"/>
        </w:rPr>
        <w:t>3</w:t>
      </w:r>
      <w:r w:rsidRPr="008E3F16">
        <w:rPr>
          <w:rFonts w:ascii="Book Antiqua" w:hAnsi="Book Antiqua" w:cs="Times New Roman"/>
          <w:color w:val="000000" w:themeColor="text1"/>
          <w:lang w:val="en-US"/>
        </w:rPr>
        <w:t xml:space="preserve">Mean (IQR1–IQR3). </w:t>
      </w:r>
      <w:r w:rsidRPr="008E3F16">
        <w:rPr>
          <w:rFonts w:ascii="Book Antiqua" w:hAnsi="Book Antiqua" w:cs="Times New Roman"/>
          <w:color w:val="000000" w:themeColor="text1"/>
          <w:vertAlign w:val="superscript"/>
          <w:lang w:val="en-US"/>
        </w:rPr>
        <w:t>4</w:t>
      </w:r>
      <w:r w:rsidRPr="008E3F16">
        <w:rPr>
          <w:rFonts w:ascii="Book Antiqua" w:hAnsi="Book Antiqua" w:cs="Times New Roman"/>
          <w:color w:val="000000" w:themeColor="text1"/>
          <w:lang w:val="en-US"/>
        </w:rPr>
        <w:t xml:space="preserve">Mean (minimum–maximum). </w:t>
      </w:r>
      <w:r w:rsidRPr="008E3F16">
        <w:rPr>
          <w:rFonts w:ascii="Book Antiqua" w:hAnsi="Book Antiqua" w:cs="Times New Roman"/>
          <w:color w:val="000000" w:themeColor="text1"/>
          <w:vertAlign w:val="superscript"/>
          <w:lang w:val="en-US"/>
        </w:rPr>
        <w:t>5</w:t>
      </w:r>
      <w:r w:rsidRPr="008E3F16">
        <w:rPr>
          <w:rFonts w:ascii="Book Antiqua" w:hAnsi="Book Antiqua" w:cs="Times New Roman"/>
          <w:color w:val="000000" w:themeColor="text1"/>
          <w:lang w:val="en-US"/>
        </w:rPr>
        <w:t>mean</w:t>
      </w:r>
      <w:r w:rsidR="00FF242A" w:rsidRPr="008E3F16">
        <w:rPr>
          <w:rFonts w:ascii="Book Antiqua" w:hAnsi="Book Antiqua" w:cs="Times New Roman"/>
          <w:color w:val="000000" w:themeColor="text1"/>
          <w:lang w:val="en-US"/>
        </w:rPr>
        <w:t xml:space="preserve"> </w:t>
      </w:r>
      <w:r w:rsidRPr="008E3F16">
        <w:rPr>
          <w:rFonts w:ascii="Book Antiqua" w:hAnsi="Book Antiqua" w:cs="Times New Roman"/>
          <w:color w:val="000000" w:themeColor="text1"/>
          <w:lang w:val="en-US"/>
        </w:rPr>
        <w:sym w:font="Symbol" w:char="F0B1"/>
      </w:r>
      <w:r w:rsidR="00FF242A" w:rsidRPr="008E3F16">
        <w:rPr>
          <w:rFonts w:ascii="Book Antiqua" w:hAnsi="Book Antiqua" w:cs="Times New Roman"/>
          <w:color w:val="000000" w:themeColor="text1"/>
          <w:lang w:val="en-US"/>
        </w:rPr>
        <w:t xml:space="preserve"> standard deviation</w:t>
      </w:r>
      <w:r w:rsidRPr="008E3F16">
        <w:rPr>
          <w:rFonts w:ascii="Book Antiqua" w:hAnsi="Book Antiqua" w:cs="Times New Roman"/>
          <w:color w:val="000000" w:themeColor="text1"/>
          <w:lang w:val="en-US"/>
        </w:rPr>
        <w:t>, or median, IQR.</w:t>
      </w:r>
      <w:r w:rsidRPr="008E3F16">
        <w:rPr>
          <w:rFonts w:ascii="Book Antiqua" w:hAnsi="Book Antiqua" w:cs="Times New Roman"/>
          <w:color w:val="000000" w:themeColor="text1"/>
          <w:lang w:val="en-US" w:eastAsia="zh-CN"/>
        </w:rPr>
        <w:t xml:space="preserve"> </w:t>
      </w:r>
      <w:r w:rsidRPr="008E3F16">
        <w:rPr>
          <w:rFonts w:ascii="Book Antiqua" w:hAnsi="Book Antiqua" w:cs="Times New Roman"/>
          <w:color w:val="000000" w:themeColor="text1"/>
          <w:vertAlign w:val="superscript"/>
          <w:lang w:val="en-US"/>
        </w:rPr>
        <w:t>6</w:t>
      </w:r>
      <w:r w:rsidRPr="008E3F16">
        <w:rPr>
          <w:rFonts w:ascii="Book Antiqua" w:hAnsi="Book Antiqua" w:cs="Times New Roman"/>
          <w:color w:val="000000" w:themeColor="text1"/>
          <w:lang w:val="en-US"/>
        </w:rPr>
        <w:t>Not all participants from the Joossens</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{"citationItems":[{"id":"ITEM-1","itemData":{"DOI":"10.1097/00054725-200411000-00012","ISSN":"1078-0998","PMID":"15626896","abstract":"BACKGROUND Autoantibodies against exocrine pancreas (PABs) have been reported to be specific for Crohn's disease (CD), albeit at a low prevalence (30%). We studied PABs in patients with inflammatory bowel disease (IBD), unaffected family members, and control subjects. METHODS A Belgian study cohort of 575 subjects, including 289 IBD patients (CD, 169 patients; ulcerative colitis [UC], 120 patients), 108 unaffected first-degree relatives, 78 subjects with non-IBD gastrointestinal disorders (gastrointestinal control subjects [GIcos]), and 100 healthy control subjects (Hcos), were tested for PAB by a standardized indirect immunofluorescence method. RESULTS The prevalence of PABs in this study cohort was 32% for CD, 23.3% for UC, and 22.2% for their unaffected family members (all P &lt; 0.001), compared with 1.3% for GIcos and 0% for Hcos. Two staining patterns could be observed: an intracellular pattern (IC); and an extracellular pattern (EC). The EC was significantly more prevalent in CD patients compared with UC patients (P = 0.014), and higher titers of this pattern were found in CD patients (P = 0.01). Both PAB patterns were negatively associated with stricturing disease behavior of CD (P = 0.021). The IC was associated with familial CD (P = 0.0009) and familial UC (P = 0.0003). CONCLUSIONS The prevalence of PAB found in CD patients in this study was similar to that cited in previous reports. In contrast to these reports, we also found an increased prevalence of PABs in patients with UC and in unaffected first-degree relatives of IBD patients. We observed two main staining patterns, both of which were present in IBD and were associated with specific phenotypes of the disease.","author":[{"dropping-particle":"","family":"Joossens","given":"Sofie","non-dropping-particle":"","parse-names":false,"suffix":""},{"dropping-particle":"","family":"Vermeire","given":"Severine","non-dropping-particle":"","parse-names":false,"suffix":""},{"dropping-particle":"","family":"Steen","given":"Kristel","non-dropping-particle":"Van","parse-names":false,"suffix":""},{"dropping-particle":"","family":"Godefridis","given":"Godelieve","non-dropping-particle":"","parse-names":false,"suffix":""},{"dropping-particle":"","family":"Claessens","given":"Greet","non-dropping-particle":"","parse-names":false,"suffix":""},{"dropping-particle":"","family":"Pierik","given":"Marie","non-dropping-particle":"","parse-names":false,"suffix":""},{"dropping-particle":"","family":"Vlietinck","given":"Robert","non-dropping-particle":"","parse-names":false,"suffix":""},{"dropping-particle":"","family":"Aerts","given":"Raymond","non-dropping-particle":"","parse-names":false,"suffix":""},{"dropping-particle":"","family":"Rutgeerts","given":"Paul","non-dropping-particle":"","parse-names":false,"suffix":""},{"dropping-particle":"","family":"Bossuyt","given":"Xavier","non-dropping-particle":"","parse-names":false,"suffix":""}],"container-title":"Inflammatory bowel diseases","id":"ITEM-1","issue":"6","issued":{"date-parts":[["2004","11"]]},"page":"771-7","title":"Pancreatic autoantibodies in inflammatory bowel disease.","type":"article-journal","volume":"10"},"uris":["http://www.mendeley.com/documents/?uuid=09f10f5c-0515-36f9-85d4-3177159485e2"]}],"mendeley":{"formattedCitation":"&lt;sup&gt;[59]&lt;/sup&gt;","plainTextFormattedCitation":"[59]","previouslyFormattedCitation":"&lt;sup&gt;[59]&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[59]</w:t>
      </w:r>
      <w:r w:rsidRPr="008E3F16">
        <w:rPr>
          <w:rFonts w:ascii="Book Antiqua" w:hAnsi="Book Antiqua" w:cs="Times New Roman"/>
          <w:color w:val="000000" w:themeColor="text1"/>
          <w:lang w:val="en-US"/>
        </w:rPr>
        <w:fldChar w:fldCharType="end"/>
      </w:r>
      <w:r w:rsidRPr="008E3F16">
        <w:rPr>
          <w:rFonts w:ascii="Book Antiqua" w:hAnsi="Book Antiqua" w:cs="Times New Roman"/>
          <w:color w:val="000000" w:themeColor="text1"/>
          <w:lang w:val="en-US"/>
        </w:rPr>
        <w:t xml:space="preserve"> study were included.</w:t>
      </w:r>
      <w:r w:rsidRPr="008E3F16">
        <w:rPr>
          <w:rFonts w:ascii="Book Antiqua" w:hAnsi="Book Antiqua" w:cs="Times New Roman"/>
          <w:color w:val="000000" w:themeColor="text1"/>
          <w:lang w:val="en-US" w:eastAsia="zh-CN"/>
        </w:rPr>
        <w:t xml:space="preserve"> </w:t>
      </w:r>
      <w:r w:rsidRPr="008E3F16">
        <w:rPr>
          <w:rFonts w:ascii="Book Antiqua" w:hAnsi="Book Antiqua" w:cs="Times New Roman"/>
          <w:color w:val="000000" w:themeColor="text1"/>
          <w:vertAlign w:val="superscript"/>
          <w:lang w:val="en-US"/>
        </w:rPr>
        <w:t>7</w:t>
      </w:r>
      <w:r w:rsidRPr="008E3F16">
        <w:rPr>
          <w:rFonts w:ascii="Book Antiqua" w:hAnsi="Book Antiqua" w:cs="Times New Roman"/>
          <w:color w:val="000000" w:themeColor="text1"/>
          <w:lang w:val="en-US"/>
        </w:rPr>
        <w:t xml:space="preserve">Not among participants with </w:t>
      </w:r>
      <w:r w:rsidR="00FF242A" w:rsidRPr="008E3F16">
        <w:rPr>
          <w:rFonts w:ascii="Book Antiqua" w:hAnsi="Book Antiqua" w:cs="Times New Roman"/>
          <w:color w:val="000000" w:themeColor="text1"/>
          <w:lang w:val="en-US"/>
        </w:rPr>
        <w:t>Crohn’s disease</w:t>
      </w:r>
      <w:r w:rsidRPr="008E3F16">
        <w:rPr>
          <w:rFonts w:ascii="Book Antiqua" w:hAnsi="Book Antiqua" w:cs="Times New Roman"/>
          <w:color w:val="000000" w:themeColor="text1"/>
          <w:lang w:val="en-US"/>
        </w:rPr>
        <w:t>.</w:t>
      </w:r>
      <w:r w:rsidRPr="008E3F16">
        <w:rPr>
          <w:rFonts w:ascii="Book Antiqua" w:hAnsi="Book Antiqua" w:cs="Times New Roman"/>
          <w:color w:val="000000" w:themeColor="text1"/>
          <w:lang w:val="en-US" w:eastAsia="zh-CN"/>
        </w:rPr>
        <w:t xml:space="preserve"> </w:t>
      </w:r>
      <w:r w:rsidRPr="008E3F16">
        <w:rPr>
          <w:rFonts w:ascii="Book Antiqua" w:hAnsi="Book Antiqua" w:cs="Times New Roman"/>
          <w:color w:val="000000" w:themeColor="text1"/>
          <w:vertAlign w:val="superscript"/>
          <w:lang w:val="en-US"/>
        </w:rPr>
        <w:t>8</w:t>
      </w:r>
      <w:r w:rsidRPr="008E3F16">
        <w:rPr>
          <w:rFonts w:ascii="Book Antiqua" w:hAnsi="Book Antiqua" w:cs="Times New Roman"/>
          <w:color w:val="000000" w:themeColor="text1"/>
          <w:lang w:val="en-US"/>
        </w:rPr>
        <w:t>Using as substrates IIF chip slides containing sections of unfixed pancreas, recombinantly transformed HEK293 cells-overexpressing GP2</w:t>
      </w:r>
      <w:r w:rsidRPr="008E3F16">
        <w:rPr>
          <w:rFonts w:ascii="Book Antiqua" w:hAnsi="Book Antiqua" w:cs="Times New Roman"/>
          <w:color w:val="000000" w:themeColor="text1"/>
          <w:lang w:val="en-US"/>
        </w:rPr>
        <w:fldChar w:fldCharType="begin" w:fldLock="1"/>
      </w:r>
      <w:r w:rsidRPr="008E3F16">
        <w:rPr>
          <w:rFonts w:ascii="Book Antiqua" w:hAnsi="Book Antiqua" w:cs="Times New Roman"/>
          <w:color w:val="000000" w:themeColor="text1"/>
          <w:lang w:val="en-US"/>
        </w:rPr>
        <w:instrText>ADDIN CSL_CITATION {"citationItems":[{"id":"ITEM-1","itemData":{"DOI":"10.1016/j.crohns.2012.10.011","ISSN":"1876-4479","PMID":"23140841","abstract":"BACKGROUND Autoantibodies against exocrine pancreas (PAb) have been reported to be pathognomonic markers of Crohn's disease (CD). Recently, the glycoprotein GP2 has been proposed as the exclusive target for PAb but two equally prevalent binding patterns can be observed in the indirect immunofluorescence test (IIFT) using cryosections of human pancreas: a reticulogranular and a droplet pattern. AIM To identify autoantigens corresponding to the staining patterns. METHODS Different lectins were screened for their ability to immobilize PAb-reactive glycoproteins from cell free human pancreas. The glycoproteins were then purified via UEA-I affinity chromatography and identified by mass spectrometry. The two candidate autoantigens were separately expressed in HEK293 cells, and the recombinant cells applied as substrates in IIFT to analyze sera from 96 patients with CD, 89 controls and hybridoma supernatants during the generation of murine monoclonal antibodies. RESULTS The UEA-I eluate was able to neutralize PAb reactivity of both patterns in IIFT. It contained two major constituents which were identified as the glycoproteins CUZD1 and GP2. With the recombinant cells, 35.4% of the CD patients exhibited positive reactions (CUZD1 alone 19.8%, GP2 alone 9.4%, and both antigens 6.2%). The reaction with the CUZD1 expressing cells was strictly correlated to the reticulogranular pattern, whereas the antibodies causing the droplet pattern stained the GP2 expressing cells. Antigen-capture ELISA using the newly generated monoclonal antibodies against CUZD1 and GP2 verified this relationship. CONCLUSIONS The concordant reactivities of the different platforms can be regarded as a proof for the authenticity of the two identified autoantigens.","author":[{"dropping-particle":"","family":"Komorowski","given":"Lars","non-dropping-particle":"","parse-names":false,"suffix":""},{"dropping-particle":"","family":"Teegen","given":"Bianca","non-dropping-particle":"","parse-names":false,"suffix":""},{"dropping-particle":"","family":"Probst","given":"Christian","non-dropping-particle":"","parse-names":false,"suffix":""},{"dropping-particle":"","family":"Aulinger-Stöcker","given":"Karola","non-dropping-particle":"","parse-names":false,"suffix":""},{"dropping-particle":"","family":"Sina","given":"Christian","non-dropping-particle":"","parse-names":false,"suffix":""},{"dropping-particle":"","family":"Fellermann","given":"Klaus","non-dropping-particle":"","parse-names":false,"suffix":""},{"dropping-particle":"","family":"Stöcker","given":"Winfried","non-dropping-particle":"","parse-names":false,"suffix":""}],"container-title":"Journal of Crohn's &amp; colitis","id":"ITEM-1","issue":"10","issued":{"date-parts":[["2013","11"]]},"page":"780-90","title":"Autoantibodies against exocrine pancreas in Crohn's disease are directed against two antigens: the glycoproteins CUZD1 and GP2.","type":"article-journal","volume":"7"},"uris":["http://www.mendeley.com/documents/?uuid=efad8c96-59fa-3e2c-9d1b-67fcb07d424e"]}],"mendeley":{"formattedCitation":"&lt;sup&gt;[83]&lt;/sup&gt;","plainTextFormattedCitation":"[83]","previouslyFormattedCitation":"&lt;sup&gt;[83]&lt;/sup&gt;"},"properties":{"noteIndex":0},"schema":"https://github.com/citation-style-language/schema/raw/master/csl-citation.json"}</w:instrText>
      </w:r>
      <w:r w:rsidRPr="008E3F16">
        <w:rPr>
          <w:rFonts w:ascii="Book Antiqua" w:hAnsi="Book Antiqua" w:cs="Times New Roman"/>
          <w:color w:val="000000" w:themeColor="text1"/>
          <w:lang w:val="en-US"/>
        </w:rPr>
        <w:fldChar w:fldCharType="separate"/>
      </w:r>
      <w:r w:rsidRPr="008E3F16">
        <w:rPr>
          <w:rFonts w:ascii="Book Antiqua" w:hAnsi="Book Antiqua" w:cs="Times New Roman"/>
          <w:noProof/>
          <w:color w:val="000000" w:themeColor="text1"/>
          <w:vertAlign w:val="superscript"/>
          <w:lang w:val="en-US"/>
        </w:rPr>
        <w:t>[83]</w:t>
      </w:r>
      <w:r w:rsidRPr="008E3F16">
        <w:rPr>
          <w:rFonts w:ascii="Book Antiqua" w:hAnsi="Book Antiqua" w:cs="Times New Roman"/>
          <w:color w:val="000000" w:themeColor="text1"/>
          <w:lang w:val="en-US"/>
        </w:rPr>
        <w:fldChar w:fldCharType="end"/>
      </w:r>
      <w:r w:rsidRPr="008E3F16">
        <w:rPr>
          <w:rFonts w:ascii="Book Antiqua" w:hAnsi="Book Antiqua" w:cs="Times New Roman"/>
          <w:color w:val="000000" w:themeColor="text1"/>
          <w:lang w:val="en-US"/>
        </w:rPr>
        <w:t>.</w:t>
      </w:r>
      <w:r w:rsidRPr="008E3F16">
        <w:rPr>
          <w:rFonts w:ascii="Book Antiqua" w:hAnsi="Book Antiqua" w:cs="Times New Roman"/>
          <w:color w:val="000000" w:themeColor="text1"/>
          <w:lang w:val="en-US" w:eastAsia="zh-CN"/>
        </w:rPr>
        <w:t xml:space="preserve"> </w:t>
      </w:r>
      <w:r w:rsidRPr="008E3F16">
        <w:rPr>
          <w:rFonts w:ascii="Book Antiqua" w:hAnsi="Book Antiqua" w:cs="Times New Roman"/>
          <w:color w:val="000000" w:themeColor="text1"/>
          <w:vertAlign w:val="superscript"/>
          <w:lang w:val="en-US"/>
        </w:rPr>
        <w:t>9</w:t>
      </w:r>
      <w:r w:rsidRPr="008E3F16">
        <w:rPr>
          <w:rFonts w:ascii="Book Antiqua" w:hAnsi="Book Antiqua" w:cs="Times New Roman"/>
          <w:color w:val="000000" w:themeColor="text1"/>
          <w:lang w:val="en-US"/>
        </w:rPr>
        <w:t>Healthy controls were not included in the sensitivity and specificity analyses herein.</w:t>
      </w:r>
      <w:r w:rsidRPr="008E3F16">
        <w:rPr>
          <w:rFonts w:ascii="Book Antiqua" w:hAnsi="Book Antiqua" w:cs="Times New Roman"/>
          <w:color w:val="000000" w:themeColor="text1"/>
          <w:lang w:val="en-US" w:eastAsia="zh-CN"/>
        </w:rPr>
        <w:t xml:space="preserve"> </w:t>
      </w:r>
      <w:r w:rsidR="00E45888" w:rsidRPr="008E3F16">
        <w:rPr>
          <w:rFonts w:ascii="Book Antiqua" w:hAnsi="Book Antiqua" w:cs="Times New Roman"/>
          <w:color w:val="000000" w:themeColor="text1"/>
          <w:lang w:val="en-US"/>
        </w:rPr>
        <w:t xml:space="preserve">Anti-GP2: Glycoprotein 2 antibodies; BD: Behçet's disease; CD: Crohn’s disease; CeD: Celiac Disease; EASL: European </w:t>
      </w:r>
      <w:r w:rsidRPr="008E3F16">
        <w:rPr>
          <w:rFonts w:ascii="Book Antiqua" w:hAnsi="Book Antiqua" w:cs="Times New Roman"/>
          <w:color w:val="000000" w:themeColor="text1"/>
          <w:lang w:val="en-US"/>
        </w:rPr>
        <w:t>association for the study of l</w:t>
      </w:r>
      <w:r w:rsidR="00E45888" w:rsidRPr="008E3F16">
        <w:rPr>
          <w:rFonts w:ascii="Book Antiqua" w:hAnsi="Book Antiqua" w:cs="Times New Roman"/>
          <w:color w:val="000000" w:themeColor="text1"/>
          <w:lang w:val="en-US"/>
        </w:rPr>
        <w:t xml:space="preserve">iver; ENDO: </w:t>
      </w:r>
      <w:r w:rsidRPr="008E3F16">
        <w:rPr>
          <w:rFonts w:ascii="Book Antiqua" w:hAnsi="Book Antiqua" w:cs="Times New Roman"/>
          <w:color w:val="000000" w:themeColor="text1"/>
          <w:lang w:val="en-US"/>
        </w:rPr>
        <w:t>N</w:t>
      </w:r>
      <w:r w:rsidR="00E45888" w:rsidRPr="008E3F16">
        <w:rPr>
          <w:rFonts w:ascii="Book Antiqua" w:hAnsi="Book Antiqua" w:cs="Times New Roman"/>
          <w:color w:val="000000" w:themeColor="text1"/>
          <w:lang w:val="en-US"/>
        </w:rPr>
        <w:t xml:space="preserve">onspecific gastrointestinal symptoms; ELISA: </w:t>
      </w:r>
      <w:r w:rsidRPr="008E3F16">
        <w:rPr>
          <w:rFonts w:ascii="Book Antiqua" w:hAnsi="Book Antiqua" w:cs="Times New Roman"/>
          <w:color w:val="000000" w:themeColor="text1"/>
          <w:lang w:val="en-US"/>
        </w:rPr>
        <w:t>E</w:t>
      </w:r>
      <w:r w:rsidR="00E45888" w:rsidRPr="008E3F16">
        <w:rPr>
          <w:rFonts w:ascii="Book Antiqua" w:hAnsi="Book Antiqua" w:cs="Times New Roman"/>
          <w:color w:val="000000" w:themeColor="text1"/>
          <w:lang w:val="en-US"/>
        </w:rPr>
        <w:t>nzyme</w:t>
      </w:r>
      <w:r w:rsidRPr="008E3F16">
        <w:rPr>
          <w:rFonts w:ascii="Book Antiqua" w:eastAsia="宋体" w:hAnsi="Book Antiqua" w:cs="宋体"/>
          <w:color w:val="000000" w:themeColor="text1"/>
          <w:lang w:val="en-US" w:eastAsia="zh-CN"/>
        </w:rPr>
        <w:t>-</w:t>
      </w:r>
      <w:r w:rsidR="00E45888" w:rsidRPr="008E3F16">
        <w:rPr>
          <w:rFonts w:ascii="Book Antiqua" w:hAnsi="Book Antiqua" w:cs="Times New Roman"/>
          <w:color w:val="000000" w:themeColor="text1"/>
          <w:lang w:val="en-US"/>
        </w:rPr>
        <w:t xml:space="preserve">linked immunosorbent assay; EU: European Union; </w:t>
      </w:r>
      <w:r w:rsidR="00E45888" w:rsidRPr="008E3F16">
        <w:rPr>
          <w:rFonts w:ascii="Book Antiqua" w:hAnsi="Book Antiqua"/>
          <w:color w:val="000000" w:themeColor="text1"/>
          <w:lang w:val="en-US"/>
        </w:rPr>
        <w:t xml:space="preserve">GA: Generic </w:t>
      </w:r>
      <w:r w:rsidRPr="008E3F16">
        <w:rPr>
          <w:rFonts w:ascii="Book Antiqua" w:hAnsi="Book Antiqua"/>
          <w:color w:val="000000" w:themeColor="text1"/>
          <w:lang w:val="en-US"/>
        </w:rPr>
        <w:t>a</w:t>
      </w:r>
      <w:r w:rsidR="00E45888" w:rsidRPr="008E3F16">
        <w:rPr>
          <w:rFonts w:ascii="Book Antiqua" w:hAnsi="Book Antiqua"/>
          <w:color w:val="000000" w:themeColor="text1"/>
          <w:lang w:val="en-US"/>
        </w:rPr>
        <w:t xml:space="preserve">ssays; </w:t>
      </w:r>
      <w:r w:rsidR="00E45888" w:rsidRPr="008E3F16">
        <w:rPr>
          <w:rFonts w:ascii="Book Antiqua" w:hAnsi="Book Antiqua" w:cs="Times New Roman"/>
          <w:color w:val="000000" w:themeColor="text1"/>
          <w:lang w:val="en-US"/>
        </w:rPr>
        <w:t xml:space="preserve">GE: Acute gastroenteritis; GFD: CeD on gluten-free diet; GP2: Glycoprotein 2; GSE: </w:t>
      </w:r>
      <w:r w:rsidRPr="008E3F16">
        <w:rPr>
          <w:rFonts w:ascii="Book Antiqua" w:hAnsi="Book Antiqua" w:cs="Times New Roman"/>
          <w:color w:val="000000" w:themeColor="text1"/>
          <w:lang w:val="en-US"/>
        </w:rPr>
        <w:t>G</w:t>
      </w:r>
      <w:r w:rsidR="00E45888" w:rsidRPr="008E3F16">
        <w:rPr>
          <w:rFonts w:ascii="Book Antiqua" w:hAnsi="Book Antiqua" w:cs="Times New Roman"/>
          <w:color w:val="000000" w:themeColor="text1"/>
          <w:lang w:val="en-US"/>
        </w:rPr>
        <w:t xml:space="preserve">luten-sensitive enteropathy; HC: Healthy </w:t>
      </w:r>
      <w:r w:rsidRPr="008E3F16">
        <w:rPr>
          <w:rFonts w:ascii="Book Antiqua" w:hAnsi="Book Antiqua" w:cs="Times New Roman"/>
          <w:color w:val="000000" w:themeColor="text1"/>
          <w:lang w:val="en-US"/>
        </w:rPr>
        <w:t>c</w:t>
      </w:r>
      <w:r w:rsidR="00E45888" w:rsidRPr="008E3F16">
        <w:rPr>
          <w:rFonts w:ascii="Book Antiqua" w:hAnsi="Book Antiqua" w:cs="Times New Roman"/>
          <w:color w:val="000000" w:themeColor="text1"/>
          <w:lang w:val="en-US"/>
        </w:rPr>
        <w:t xml:space="preserve">ontrols; IBD: Inflammatory bowel diseases; IIF: </w:t>
      </w:r>
      <w:r w:rsidRPr="008E3F16">
        <w:rPr>
          <w:rFonts w:ascii="Book Antiqua" w:hAnsi="Book Antiqua" w:cs="Times New Roman"/>
          <w:color w:val="000000" w:themeColor="text1"/>
          <w:lang w:val="en-US"/>
        </w:rPr>
        <w:t>I</w:t>
      </w:r>
      <w:r w:rsidR="00E45888" w:rsidRPr="008E3F16">
        <w:rPr>
          <w:rFonts w:ascii="Book Antiqua" w:hAnsi="Book Antiqua" w:cs="Times New Roman"/>
          <w:color w:val="000000" w:themeColor="text1"/>
          <w:lang w:val="en-US"/>
        </w:rPr>
        <w:t xml:space="preserve">ndirect immune-fluorescence; ITB: Intestinal tuberculosis; N/A: Not applicable; NIHR: National Institute for Health Research; </w:t>
      </w:r>
      <w:r w:rsidR="00E45888" w:rsidRPr="008E3F16">
        <w:rPr>
          <w:rFonts w:ascii="Book Antiqua" w:hAnsi="Book Antiqua"/>
          <w:color w:val="000000" w:themeColor="text1"/>
          <w:lang w:val="en-US"/>
        </w:rPr>
        <w:t xml:space="preserve">NNSFC: National Natural Science Foundation of China; </w:t>
      </w:r>
      <w:r w:rsidR="00E45888" w:rsidRPr="008E3F16">
        <w:rPr>
          <w:rFonts w:ascii="Book Antiqua" w:hAnsi="Book Antiqua" w:cs="Times New Roman"/>
          <w:color w:val="000000" w:themeColor="text1"/>
          <w:lang w:val="en-US"/>
        </w:rPr>
        <w:t xml:space="preserve">NR: </w:t>
      </w:r>
      <w:r w:rsidRPr="008E3F16">
        <w:rPr>
          <w:rFonts w:ascii="Book Antiqua" w:hAnsi="Book Antiqua" w:cs="Times New Roman"/>
          <w:color w:val="000000" w:themeColor="text1"/>
          <w:lang w:val="en-US"/>
        </w:rPr>
        <w:t>N</w:t>
      </w:r>
      <w:r w:rsidR="00E45888" w:rsidRPr="008E3F16">
        <w:rPr>
          <w:rFonts w:ascii="Book Antiqua" w:hAnsi="Book Antiqua" w:cs="Times New Roman"/>
          <w:color w:val="000000" w:themeColor="text1"/>
          <w:lang w:val="en-US"/>
        </w:rPr>
        <w:t xml:space="preserve">ot reported; OGD: </w:t>
      </w:r>
      <w:r w:rsidRPr="008E3F16">
        <w:rPr>
          <w:rFonts w:ascii="Book Antiqua" w:hAnsi="Book Antiqua" w:cs="Times New Roman"/>
          <w:color w:val="000000" w:themeColor="text1"/>
          <w:lang w:val="en-US"/>
        </w:rPr>
        <w:t>O</w:t>
      </w:r>
      <w:r w:rsidR="00E45888" w:rsidRPr="008E3F16">
        <w:rPr>
          <w:rFonts w:ascii="Book Antiqua" w:hAnsi="Book Antiqua" w:cs="Times New Roman"/>
          <w:color w:val="000000" w:themeColor="text1"/>
          <w:lang w:val="en-US"/>
        </w:rPr>
        <w:t xml:space="preserve">ther gastrointestinal disease; OPC: Other </w:t>
      </w:r>
      <w:r w:rsidRPr="008E3F16">
        <w:rPr>
          <w:rFonts w:ascii="Book Antiqua" w:hAnsi="Book Antiqua" w:cs="Times New Roman"/>
          <w:color w:val="000000" w:themeColor="text1"/>
          <w:lang w:val="en-US"/>
        </w:rPr>
        <w:t>pathological c</w:t>
      </w:r>
      <w:r w:rsidR="00E45888" w:rsidRPr="008E3F16">
        <w:rPr>
          <w:rFonts w:ascii="Book Antiqua" w:hAnsi="Book Antiqua" w:cs="Times New Roman"/>
          <w:color w:val="000000" w:themeColor="text1"/>
          <w:lang w:val="en-US"/>
        </w:rPr>
        <w:t xml:space="preserve">onditions; RCD: Refractory Crohn’s </w:t>
      </w:r>
      <w:r w:rsidRPr="008E3F16">
        <w:rPr>
          <w:rFonts w:ascii="Book Antiqua" w:hAnsi="Book Antiqua" w:cs="Times New Roman"/>
          <w:color w:val="000000" w:themeColor="text1"/>
          <w:lang w:val="en-US"/>
        </w:rPr>
        <w:t>d</w:t>
      </w:r>
      <w:r w:rsidR="00E45888" w:rsidRPr="008E3F16">
        <w:rPr>
          <w:rFonts w:ascii="Book Antiqua" w:hAnsi="Book Antiqua" w:cs="Times New Roman"/>
          <w:color w:val="000000" w:themeColor="text1"/>
          <w:lang w:val="en-US"/>
        </w:rPr>
        <w:t>isease; UC: Ulcerative Colitis;</w:t>
      </w:r>
      <w:r w:rsidR="00E45888" w:rsidRPr="008E3F16">
        <w:rPr>
          <w:rFonts w:ascii="Book Antiqua" w:hAnsi="Book Antiqua"/>
          <w:color w:val="000000" w:themeColor="text1"/>
          <w:lang w:val="en-US"/>
        </w:rPr>
        <w:t xml:space="preserve"> UCL: University College London; UoA: University of Athens.</w:t>
      </w:r>
    </w:p>
    <w:p w14:paraId="07190213" w14:textId="6810AD24" w:rsidR="002B46E0" w:rsidRPr="008E3F16" w:rsidRDefault="002B46E0" w:rsidP="00C66188">
      <w:pPr>
        <w:adjustRightInd w:val="0"/>
        <w:snapToGrid w:val="0"/>
        <w:spacing w:line="360" w:lineRule="auto"/>
        <w:rPr>
          <w:rFonts w:ascii="Book Antiqua" w:hAnsi="Book Antiqua" w:cs="Times New Roman"/>
          <w:color w:val="000000" w:themeColor="text1"/>
          <w:lang w:val="en-US"/>
        </w:rPr>
      </w:pPr>
      <w:r w:rsidRPr="008E3F16">
        <w:rPr>
          <w:rFonts w:ascii="Book Antiqua" w:hAnsi="Book Antiqua" w:cs="Times New Roman"/>
          <w:color w:val="000000" w:themeColor="text1"/>
          <w:lang w:val="en-US"/>
        </w:rPr>
        <w:br w:type="page"/>
      </w:r>
    </w:p>
    <w:p w14:paraId="408A72C1" w14:textId="0A1ED8C2" w:rsidR="00C222AC" w:rsidRPr="008E3F16" w:rsidRDefault="00C222AC" w:rsidP="00C66188">
      <w:pPr>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b/>
          <w:color w:val="000000" w:themeColor="text1"/>
          <w:lang w:val="en-US"/>
        </w:rPr>
        <w:lastRenderedPageBreak/>
        <w:t xml:space="preserve">Table </w:t>
      </w:r>
      <w:r w:rsidR="00E6147D" w:rsidRPr="008E3F16">
        <w:rPr>
          <w:rFonts w:ascii="Book Antiqua" w:hAnsi="Book Antiqua" w:cs="Times New Roman"/>
          <w:b/>
          <w:color w:val="000000" w:themeColor="text1"/>
          <w:lang w:val="en-US"/>
        </w:rPr>
        <w:t>3</w:t>
      </w:r>
      <w:r w:rsidRPr="008E3F16">
        <w:rPr>
          <w:rFonts w:ascii="Book Antiqua" w:hAnsi="Book Antiqua" w:cs="Times New Roman"/>
          <w:b/>
          <w:bCs/>
          <w:color w:val="000000" w:themeColor="text1"/>
          <w:lang w:val="en-US"/>
        </w:rPr>
        <w:t xml:space="preserve"> Investigation of heterogeneity (meta-regression)</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5333"/>
        <w:gridCol w:w="1430"/>
        <w:gridCol w:w="1007"/>
        <w:gridCol w:w="2042"/>
        <w:gridCol w:w="2128"/>
      </w:tblGrid>
      <w:tr w:rsidR="008E3F16" w:rsidRPr="008E3F16" w14:paraId="12E455F6" w14:textId="77777777" w:rsidTr="000E3C3A">
        <w:tc>
          <w:tcPr>
            <w:tcW w:w="0" w:type="auto"/>
            <w:tcBorders>
              <w:top w:val="single" w:sz="4" w:space="0" w:color="auto"/>
              <w:bottom w:val="single" w:sz="4" w:space="0" w:color="auto"/>
            </w:tcBorders>
            <w:vAlign w:val="center"/>
          </w:tcPr>
          <w:p w14:paraId="1A612C82" w14:textId="77777777" w:rsidR="00A04F38" w:rsidRPr="008E3F16" w:rsidRDefault="00A04F38" w:rsidP="00C66188">
            <w:pPr>
              <w:adjustRightInd w:val="0"/>
              <w:snapToGrid w:val="0"/>
              <w:spacing w:line="360" w:lineRule="auto"/>
              <w:jc w:val="both"/>
              <w:rPr>
                <w:rFonts w:ascii="Book Antiqua" w:hAnsi="Book Antiqua" w:cs="Arial"/>
                <w:b/>
                <w:bCs/>
                <w:color w:val="000000" w:themeColor="text1"/>
                <w:lang w:val="en-US"/>
              </w:rPr>
            </w:pPr>
            <w:r w:rsidRPr="008E3F16">
              <w:rPr>
                <w:rFonts w:ascii="Book Antiqua" w:hAnsi="Book Antiqua" w:cs="Arial"/>
                <w:b/>
                <w:bCs/>
                <w:color w:val="000000" w:themeColor="text1"/>
                <w:lang w:val="en-US"/>
              </w:rPr>
              <w:t>Covariate</w:t>
            </w:r>
          </w:p>
        </w:tc>
        <w:tc>
          <w:tcPr>
            <w:tcW w:w="0" w:type="auto"/>
            <w:tcBorders>
              <w:top w:val="single" w:sz="4" w:space="0" w:color="auto"/>
              <w:bottom w:val="single" w:sz="4" w:space="0" w:color="auto"/>
            </w:tcBorders>
            <w:vAlign w:val="center"/>
          </w:tcPr>
          <w:p w14:paraId="1CF53B44" w14:textId="77777777" w:rsidR="00A04F38" w:rsidRPr="008E3F16" w:rsidRDefault="00A04F38" w:rsidP="00C66188">
            <w:pPr>
              <w:adjustRightInd w:val="0"/>
              <w:snapToGrid w:val="0"/>
              <w:spacing w:line="360" w:lineRule="auto"/>
              <w:jc w:val="both"/>
              <w:rPr>
                <w:rFonts w:ascii="Book Antiqua" w:hAnsi="Book Antiqua" w:cs="Arial"/>
                <w:b/>
                <w:bCs/>
                <w:color w:val="000000" w:themeColor="text1"/>
                <w:lang w:val="en-US"/>
              </w:rPr>
            </w:pPr>
          </w:p>
        </w:tc>
        <w:tc>
          <w:tcPr>
            <w:tcW w:w="0" w:type="auto"/>
            <w:tcBorders>
              <w:top w:val="single" w:sz="4" w:space="0" w:color="auto"/>
              <w:bottom w:val="single" w:sz="4" w:space="0" w:color="auto"/>
            </w:tcBorders>
            <w:vAlign w:val="center"/>
          </w:tcPr>
          <w:p w14:paraId="06EF507C" w14:textId="77777777" w:rsidR="00A04F38" w:rsidRPr="008E3F16" w:rsidRDefault="00A04F38" w:rsidP="00C66188">
            <w:pPr>
              <w:adjustRightInd w:val="0"/>
              <w:snapToGrid w:val="0"/>
              <w:spacing w:line="360" w:lineRule="auto"/>
              <w:jc w:val="center"/>
              <w:rPr>
                <w:rFonts w:ascii="Book Antiqua" w:hAnsi="Book Antiqua" w:cs="Arial"/>
                <w:b/>
                <w:bCs/>
                <w:color w:val="000000" w:themeColor="text1"/>
                <w:lang w:val="en-US"/>
              </w:rPr>
            </w:pPr>
            <w:r w:rsidRPr="008E3F16">
              <w:rPr>
                <w:rFonts w:ascii="Book Antiqua" w:hAnsi="Book Antiqua" w:cs="Arial"/>
                <w:b/>
                <w:bCs/>
                <w:color w:val="000000" w:themeColor="text1"/>
                <w:lang w:val="en-US"/>
              </w:rPr>
              <w:t>Population</w:t>
            </w:r>
          </w:p>
        </w:tc>
        <w:tc>
          <w:tcPr>
            <w:tcW w:w="0" w:type="auto"/>
            <w:tcBorders>
              <w:top w:val="single" w:sz="4" w:space="0" w:color="auto"/>
              <w:bottom w:val="single" w:sz="4" w:space="0" w:color="auto"/>
            </w:tcBorders>
            <w:vAlign w:val="center"/>
          </w:tcPr>
          <w:p w14:paraId="25EF620A" w14:textId="77777777" w:rsidR="00A04F38" w:rsidRPr="008E3F16" w:rsidRDefault="00A04F38" w:rsidP="00C66188">
            <w:pPr>
              <w:adjustRightInd w:val="0"/>
              <w:snapToGrid w:val="0"/>
              <w:spacing w:line="360" w:lineRule="auto"/>
              <w:jc w:val="center"/>
              <w:rPr>
                <w:rFonts w:ascii="Book Antiqua" w:hAnsi="Book Antiqua" w:cs="Arial"/>
                <w:b/>
                <w:bCs/>
                <w:color w:val="000000" w:themeColor="text1"/>
                <w:lang w:val="en-US"/>
              </w:rPr>
            </w:pPr>
            <w:r w:rsidRPr="008E3F16">
              <w:rPr>
                <w:rFonts w:ascii="Book Antiqua" w:hAnsi="Book Antiqua" w:cs="Arial"/>
                <w:b/>
                <w:bCs/>
                <w:color w:val="000000" w:themeColor="text1"/>
                <w:lang w:val="en-US"/>
              </w:rPr>
              <w:t>Ig Type</w:t>
            </w:r>
          </w:p>
        </w:tc>
        <w:tc>
          <w:tcPr>
            <w:tcW w:w="0" w:type="auto"/>
            <w:tcBorders>
              <w:top w:val="single" w:sz="4" w:space="0" w:color="auto"/>
              <w:bottom w:val="single" w:sz="4" w:space="0" w:color="auto"/>
            </w:tcBorders>
            <w:vAlign w:val="center"/>
          </w:tcPr>
          <w:p w14:paraId="6B90EDED" w14:textId="1B5A709A" w:rsidR="00A04F38" w:rsidRPr="008E3F16" w:rsidRDefault="00A04F38" w:rsidP="00C66188">
            <w:pPr>
              <w:adjustRightInd w:val="0"/>
              <w:snapToGrid w:val="0"/>
              <w:spacing w:line="360" w:lineRule="auto"/>
              <w:jc w:val="center"/>
              <w:rPr>
                <w:rFonts w:ascii="Book Antiqua" w:hAnsi="Book Antiqua" w:cs="Arial"/>
                <w:b/>
                <w:bCs/>
                <w:color w:val="000000" w:themeColor="text1"/>
                <w:lang w:val="en-US"/>
              </w:rPr>
            </w:pPr>
            <w:r w:rsidRPr="008E3F16">
              <w:rPr>
                <w:rFonts w:ascii="Book Antiqua" w:hAnsi="Book Antiqua" w:cs="Arial"/>
                <w:b/>
                <w:bCs/>
                <w:color w:val="000000" w:themeColor="text1"/>
                <w:lang w:val="en-US"/>
              </w:rPr>
              <w:t>N</w:t>
            </w:r>
            <w:r w:rsidR="000E3C3A" w:rsidRPr="008E3F16">
              <w:rPr>
                <w:rFonts w:ascii="Book Antiqua" w:hAnsi="Book Antiqua" w:cs="Arial"/>
                <w:b/>
                <w:bCs/>
                <w:color w:val="000000" w:themeColor="text1"/>
                <w:lang w:val="en-US"/>
              </w:rPr>
              <w:t>umber</w:t>
            </w:r>
            <w:r w:rsidRPr="008E3F16">
              <w:rPr>
                <w:rFonts w:ascii="Book Antiqua" w:hAnsi="Book Antiqua" w:cs="Arial"/>
                <w:b/>
                <w:bCs/>
                <w:color w:val="000000" w:themeColor="text1"/>
                <w:lang w:val="en-US"/>
              </w:rPr>
              <w:t xml:space="preserve"> of studies</w:t>
            </w:r>
          </w:p>
        </w:tc>
        <w:tc>
          <w:tcPr>
            <w:tcW w:w="0" w:type="auto"/>
            <w:tcBorders>
              <w:top w:val="single" w:sz="4" w:space="0" w:color="auto"/>
              <w:bottom w:val="single" w:sz="4" w:space="0" w:color="auto"/>
            </w:tcBorders>
            <w:vAlign w:val="center"/>
          </w:tcPr>
          <w:p w14:paraId="32048433" w14:textId="2FFCDD60" w:rsidR="00A04F38" w:rsidRPr="008E3F16" w:rsidRDefault="00A04F38" w:rsidP="00C66188">
            <w:pPr>
              <w:adjustRightInd w:val="0"/>
              <w:snapToGrid w:val="0"/>
              <w:spacing w:line="360" w:lineRule="auto"/>
              <w:jc w:val="center"/>
              <w:rPr>
                <w:rFonts w:ascii="Book Antiqua" w:hAnsi="Book Antiqua" w:cs="Arial"/>
                <w:b/>
                <w:bCs/>
                <w:color w:val="000000" w:themeColor="text1"/>
                <w:lang w:val="en-US"/>
              </w:rPr>
            </w:pPr>
            <w:r w:rsidRPr="008E3F16">
              <w:rPr>
                <w:rFonts w:ascii="Book Antiqua" w:hAnsi="Book Antiqua" w:cs="Arial"/>
                <w:b/>
                <w:bCs/>
                <w:color w:val="000000" w:themeColor="text1"/>
                <w:lang w:val="en-US"/>
              </w:rPr>
              <w:t xml:space="preserve">Relative </w:t>
            </w:r>
            <w:r w:rsidR="000E3C3A" w:rsidRPr="008E3F16">
              <w:rPr>
                <w:rFonts w:ascii="Book Antiqua" w:hAnsi="Book Antiqua" w:cs="Arial"/>
                <w:b/>
                <w:bCs/>
                <w:color w:val="000000" w:themeColor="text1"/>
                <w:lang w:val="en-US"/>
              </w:rPr>
              <w:t>d</w:t>
            </w:r>
            <w:r w:rsidRPr="008E3F16">
              <w:rPr>
                <w:rFonts w:ascii="Book Antiqua" w:hAnsi="Book Antiqua" w:cs="Arial"/>
                <w:b/>
                <w:bCs/>
                <w:color w:val="000000" w:themeColor="text1"/>
                <w:lang w:val="en-US"/>
              </w:rPr>
              <w:t>iagnostic</w:t>
            </w:r>
          </w:p>
          <w:p w14:paraId="72506FF7" w14:textId="3CF2A2CF" w:rsidR="00A04F38" w:rsidRPr="008E3F16" w:rsidRDefault="00A04F38" w:rsidP="00C66188">
            <w:pPr>
              <w:adjustRightInd w:val="0"/>
              <w:snapToGrid w:val="0"/>
              <w:spacing w:line="360" w:lineRule="auto"/>
              <w:jc w:val="center"/>
              <w:rPr>
                <w:rFonts w:ascii="Book Antiqua" w:hAnsi="Book Antiqua" w:cs="Arial"/>
                <w:b/>
                <w:bCs/>
                <w:color w:val="000000" w:themeColor="text1"/>
                <w:lang w:val="en-US"/>
              </w:rPr>
            </w:pPr>
            <w:r w:rsidRPr="008E3F16">
              <w:rPr>
                <w:rFonts w:ascii="Book Antiqua" w:hAnsi="Book Antiqua" w:cs="Arial"/>
                <w:b/>
                <w:bCs/>
                <w:color w:val="000000" w:themeColor="text1"/>
                <w:lang w:val="en-US"/>
              </w:rPr>
              <w:t xml:space="preserve">Odds </w:t>
            </w:r>
            <w:r w:rsidR="000E3C3A" w:rsidRPr="008E3F16">
              <w:rPr>
                <w:rFonts w:ascii="Book Antiqua" w:hAnsi="Book Antiqua" w:cs="Arial"/>
                <w:b/>
                <w:bCs/>
                <w:color w:val="000000" w:themeColor="text1"/>
                <w:lang w:val="en-US"/>
              </w:rPr>
              <w:t>r</w:t>
            </w:r>
            <w:r w:rsidRPr="008E3F16">
              <w:rPr>
                <w:rFonts w:ascii="Book Antiqua" w:hAnsi="Book Antiqua" w:cs="Arial"/>
                <w:b/>
                <w:bCs/>
                <w:color w:val="000000" w:themeColor="text1"/>
                <w:lang w:val="en-US"/>
              </w:rPr>
              <w:t>atio (95%CI)</w:t>
            </w:r>
          </w:p>
        </w:tc>
      </w:tr>
      <w:tr w:rsidR="008E3F16" w:rsidRPr="008E3F16" w14:paraId="425CC852" w14:textId="77777777" w:rsidTr="000E3C3A">
        <w:tc>
          <w:tcPr>
            <w:tcW w:w="0" w:type="auto"/>
            <w:tcBorders>
              <w:top w:val="single" w:sz="4" w:space="0" w:color="auto"/>
            </w:tcBorders>
            <w:vAlign w:val="center"/>
          </w:tcPr>
          <w:p w14:paraId="5CC28253"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Funding type</w:t>
            </w:r>
          </w:p>
        </w:tc>
        <w:tc>
          <w:tcPr>
            <w:tcW w:w="0" w:type="auto"/>
            <w:tcBorders>
              <w:top w:val="single" w:sz="4" w:space="0" w:color="auto"/>
            </w:tcBorders>
            <w:vAlign w:val="center"/>
          </w:tcPr>
          <w:p w14:paraId="2D0EA0B1" w14:textId="6A09D193"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State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Other</w:t>
            </w:r>
          </w:p>
        </w:tc>
        <w:tc>
          <w:tcPr>
            <w:tcW w:w="0" w:type="auto"/>
            <w:tcBorders>
              <w:top w:val="single" w:sz="4" w:space="0" w:color="auto"/>
            </w:tcBorders>
            <w:vAlign w:val="center"/>
          </w:tcPr>
          <w:p w14:paraId="2537676A" w14:textId="17F5867C"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All</w:t>
            </w:r>
          </w:p>
        </w:tc>
        <w:tc>
          <w:tcPr>
            <w:tcW w:w="0" w:type="auto"/>
            <w:tcBorders>
              <w:top w:val="single" w:sz="4" w:space="0" w:color="auto"/>
            </w:tcBorders>
            <w:vAlign w:val="center"/>
          </w:tcPr>
          <w:p w14:paraId="5987216D"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IgG</w:t>
            </w:r>
          </w:p>
        </w:tc>
        <w:tc>
          <w:tcPr>
            <w:tcW w:w="0" w:type="auto"/>
            <w:tcBorders>
              <w:top w:val="single" w:sz="4" w:space="0" w:color="auto"/>
            </w:tcBorders>
            <w:vAlign w:val="center"/>
          </w:tcPr>
          <w:p w14:paraId="301A3D39" w14:textId="2BCA9759"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6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9</w:t>
            </w:r>
          </w:p>
        </w:tc>
        <w:tc>
          <w:tcPr>
            <w:tcW w:w="0" w:type="auto"/>
            <w:tcBorders>
              <w:top w:val="single" w:sz="4" w:space="0" w:color="auto"/>
            </w:tcBorders>
            <w:vAlign w:val="center"/>
          </w:tcPr>
          <w:p w14:paraId="79AB7963"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1.91 (0.87–4.21)</w:t>
            </w:r>
          </w:p>
        </w:tc>
      </w:tr>
      <w:tr w:rsidR="008E3F16" w:rsidRPr="008E3F16" w14:paraId="64872BCD" w14:textId="77777777" w:rsidTr="000E3C3A">
        <w:tc>
          <w:tcPr>
            <w:tcW w:w="0" w:type="auto"/>
            <w:vAlign w:val="center"/>
          </w:tcPr>
          <w:p w14:paraId="7C7DC747"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0052F8AA"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0A1A4DA1"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2E20D1FD"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IgA</w:t>
            </w:r>
          </w:p>
        </w:tc>
        <w:tc>
          <w:tcPr>
            <w:tcW w:w="0" w:type="auto"/>
            <w:vAlign w:val="center"/>
          </w:tcPr>
          <w:p w14:paraId="3C24971D" w14:textId="70FDC2C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 xml:space="preserve">5 </w:t>
            </w:r>
            <w:r w:rsidR="00324F8A" w:rsidRPr="008E3F16">
              <w:rPr>
                <w:rFonts w:ascii="Book Antiqua" w:hAnsi="Book Antiqua"/>
                <w:i/>
                <w:iCs/>
                <w:color w:val="000000" w:themeColor="text1"/>
                <w:lang w:val="en-US"/>
              </w:rPr>
              <w:t>vs</w:t>
            </w:r>
            <w:r w:rsidRPr="008E3F16">
              <w:rPr>
                <w:rFonts w:ascii="Book Antiqua" w:hAnsi="Book Antiqua"/>
                <w:color w:val="000000" w:themeColor="text1"/>
                <w:lang w:val="en-US"/>
              </w:rPr>
              <w:t xml:space="preserve"> 9</w:t>
            </w:r>
          </w:p>
        </w:tc>
        <w:tc>
          <w:tcPr>
            <w:tcW w:w="0" w:type="auto"/>
            <w:vAlign w:val="center"/>
          </w:tcPr>
          <w:p w14:paraId="62C617AD" w14:textId="7777777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1.08 (0.38–3.06)</w:t>
            </w:r>
          </w:p>
        </w:tc>
      </w:tr>
      <w:tr w:rsidR="008E3F16" w:rsidRPr="008E3F16" w14:paraId="69AF7176" w14:textId="77777777" w:rsidTr="000E3C3A">
        <w:tc>
          <w:tcPr>
            <w:tcW w:w="0" w:type="auto"/>
            <w:vAlign w:val="center"/>
          </w:tcPr>
          <w:p w14:paraId="30A83D27"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413EC74D"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2070AF6A" w14:textId="20858A94"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UC</w:t>
            </w:r>
          </w:p>
        </w:tc>
        <w:tc>
          <w:tcPr>
            <w:tcW w:w="0" w:type="auto"/>
            <w:vAlign w:val="center"/>
          </w:tcPr>
          <w:p w14:paraId="1E063234"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IgG</w:t>
            </w:r>
          </w:p>
        </w:tc>
        <w:tc>
          <w:tcPr>
            <w:tcW w:w="0" w:type="auto"/>
            <w:vAlign w:val="center"/>
          </w:tcPr>
          <w:p w14:paraId="6EC0AD4F" w14:textId="3BF13B8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5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8</w:t>
            </w:r>
          </w:p>
        </w:tc>
        <w:tc>
          <w:tcPr>
            <w:tcW w:w="0" w:type="auto"/>
            <w:vAlign w:val="center"/>
          </w:tcPr>
          <w:p w14:paraId="70C5A748"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1.21 (0.81–1.80)</w:t>
            </w:r>
          </w:p>
        </w:tc>
      </w:tr>
      <w:tr w:rsidR="008E3F16" w:rsidRPr="008E3F16" w14:paraId="5071D21B" w14:textId="77777777" w:rsidTr="000E3C3A">
        <w:tc>
          <w:tcPr>
            <w:tcW w:w="0" w:type="auto"/>
            <w:vAlign w:val="center"/>
          </w:tcPr>
          <w:p w14:paraId="0AA0A2E6" w14:textId="77777777" w:rsidR="00AA649D" w:rsidRPr="008E3F16" w:rsidRDefault="00AA649D"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COI</w:t>
            </w:r>
          </w:p>
        </w:tc>
        <w:tc>
          <w:tcPr>
            <w:tcW w:w="0" w:type="auto"/>
            <w:vMerge w:val="restart"/>
            <w:vAlign w:val="center"/>
          </w:tcPr>
          <w:p w14:paraId="4F95FBAA" w14:textId="0F0710EC" w:rsidR="00AA649D" w:rsidRPr="008E3F16" w:rsidRDefault="00AA649D" w:rsidP="00C66188">
            <w:pPr>
              <w:adjustRightInd w:val="0"/>
              <w:snapToGrid w:val="0"/>
              <w:spacing w:line="360" w:lineRule="auto"/>
              <w:jc w:val="both"/>
              <w:rPr>
                <w:rFonts w:ascii="Book Antiqua" w:hAnsi="Book Antiqua" w:cs="Arial"/>
                <w:b/>
                <w:color w:val="000000" w:themeColor="text1"/>
                <w:lang w:val="en-US"/>
              </w:rPr>
            </w:pPr>
            <w:r w:rsidRPr="008E3F16">
              <w:rPr>
                <w:rFonts w:ascii="Book Antiqua" w:hAnsi="Book Antiqua" w:cs="Arial"/>
                <w:color w:val="000000" w:themeColor="text1"/>
                <w:lang w:val="en-US"/>
              </w:rPr>
              <w:t xml:space="preserve">Industry-related COI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no apparent industry-related COI</w:t>
            </w:r>
          </w:p>
        </w:tc>
        <w:tc>
          <w:tcPr>
            <w:tcW w:w="0" w:type="auto"/>
            <w:vAlign w:val="center"/>
          </w:tcPr>
          <w:p w14:paraId="47E485BE" w14:textId="10785149" w:rsidR="00AA649D" w:rsidRPr="008E3F16" w:rsidRDefault="00AA649D"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All</w:t>
            </w:r>
          </w:p>
        </w:tc>
        <w:tc>
          <w:tcPr>
            <w:tcW w:w="0" w:type="auto"/>
            <w:vAlign w:val="center"/>
          </w:tcPr>
          <w:p w14:paraId="24EBB3D3" w14:textId="77777777" w:rsidR="00AA649D" w:rsidRPr="008E3F16" w:rsidRDefault="00AA649D"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IgG</w:t>
            </w:r>
          </w:p>
        </w:tc>
        <w:tc>
          <w:tcPr>
            <w:tcW w:w="0" w:type="auto"/>
            <w:vAlign w:val="center"/>
          </w:tcPr>
          <w:p w14:paraId="015E6B6A" w14:textId="26EF306C" w:rsidR="00AA649D" w:rsidRPr="008E3F16" w:rsidRDefault="00AA649D"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7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8</w:t>
            </w:r>
          </w:p>
        </w:tc>
        <w:tc>
          <w:tcPr>
            <w:tcW w:w="0" w:type="auto"/>
            <w:vAlign w:val="center"/>
          </w:tcPr>
          <w:p w14:paraId="1E4B791B" w14:textId="77777777" w:rsidR="00AA649D" w:rsidRPr="008E3F16" w:rsidRDefault="00AA649D"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0.73 (0.32–1.66)</w:t>
            </w:r>
          </w:p>
        </w:tc>
      </w:tr>
      <w:tr w:rsidR="008E3F16" w:rsidRPr="008E3F16" w14:paraId="3C3B3842" w14:textId="77777777" w:rsidTr="000E3C3A">
        <w:tc>
          <w:tcPr>
            <w:tcW w:w="0" w:type="auto"/>
            <w:vAlign w:val="center"/>
          </w:tcPr>
          <w:p w14:paraId="39963E39" w14:textId="77777777" w:rsidR="00AA649D" w:rsidRPr="008E3F16" w:rsidRDefault="00AA649D" w:rsidP="00C66188">
            <w:pPr>
              <w:adjustRightInd w:val="0"/>
              <w:snapToGrid w:val="0"/>
              <w:spacing w:line="360" w:lineRule="auto"/>
              <w:jc w:val="both"/>
              <w:rPr>
                <w:rFonts w:ascii="Book Antiqua" w:hAnsi="Book Antiqua" w:cs="Arial"/>
                <w:color w:val="000000" w:themeColor="text1"/>
                <w:lang w:val="en-US"/>
              </w:rPr>
            </w:pPr>
          </w:p>
        </w:tc>
        <w:tc>
          <w:tcPr>
            <w:tcW w:w="0" w:type="auto"/>
            <w:vMerge/>
            <w:vAlign w:val="center"/>
          </w:tcPr>
          <w:p w14:paraId="53DDDBC9" w14:textId="77777777" w:rsidR="00AA649D" w:rsidRPr="008E3F16" w:rsidRDefault="00AA649D"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01458803" w14:textId="77777777" w:rsidR="00AA649D" w:rsidRPr="008E3F16" w:rsidRDefault="00AA649D"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637F9455" w14:textId="77777777" w:rsidR="00AA649D" w:rsidRPr="008E3F16" w:rsidRDefault="00AA649D"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IgA</w:t>
            </w:r>
          </w:p>
        </w:tc>
        <w:tc>
          <w:tcPr>
            <w:tcW w:w="0" w:type="auto"/>
            <w:vAlign w:val="center"/>
          </w:tcPr>
          <w:p w14:paraId="306A7864" w14:textId="38F2C4D2" w:rsidR="00AA649D" w:rsidRPr="008E3F16" w:rsidRDefault="00AA649D"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6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8</w:t>
            </w:r>
          </w:p>
        </w:tc>
        <w:tc>
          <w:tcPr>
            <w:tcW w:w="0" w:type="auto"/>
            <w:vAlign w:val="center"/>
          </w:tcPr>
          <w:p w14:paraId="7F996EC3" w14:textId="77777777" w:rsidR="00AA649D" w:rsidRPr="008E3F16" w:rsidRDefault="00AA649D"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0.53 (0.21–1.30)</w:t>
            </w:r>
          </w:p>
        </w:tc>
      </w:tr>
      <w:tr w:rsidR="008E3F16" w:rsidRPr="008E3F16" w14:paraId="5D810428" w14:textId="77777777" w:rsidTr="000E3C3A">
        <w:tc>
          <w:tcPr>
            <w:tcW w:w="0" w:type="auto"/>
            <w:vAlign w:val="center"/>
          </w:tcPr>
          <w:p w14:paraId="46EA1AE9"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1E173BCE"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7C5E1B89" w14:textId="3B3A3693"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UC</w:t>
            </w:r>
          </w:p>
        </w:tc>
        <w:tc>
          <w:tcPr>
            <w:tcW w:w="0" w:type="auto"/>
            <w:vAlign w:val="center"/>
          </w:tcPr>
          <w:p w14:paraId="41533E78"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IgG</w:t>
            </w:r>
          </w:p>
        </w:tc>
        <w:tc>
          <w:tcPr>
            <w:tcW w:w="0" w:type="auto"/>
            <w:vAlign w:val="center"/>
          </w:tcPr>
          <w:p w14:paraId="31906A6B" w14:textId="6921BA8A"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9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4</w:t>
            </w:r>
          </w:p>
        </w:tc>
        <w:tc>
          <w:tcPr>
            <w:tcW w:w="0" w:type="auto"/>
            <w:vAlign w:val="center"/>
          </w:tcPr>
          <w:p w14:paraId="0C4F6922" w14:textId="7777777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0.48 (0.19–1.20)</w:t>
            </w:r>
          </w:p>
        </w:tc>
      </w:tr>
      <w:tr w:rsidR="008E3F16" w:rsidRPr="008E3F16" w14:paraId="53A1A0F5" w14:textId="77777777" w:rsidTr="000E3C3A">
        <w:tc>
          <w:tcPr>
            <w:tcW w:w="0" w:type="auto"/>
            <w:vAlign w:val="center"/>
          </w:tcPr>
          <w:p w14:paraId="39896552"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Method</w:t>
            </w:r>
          </w:p>
        </w:tc>
        <w:tc>
          <w:tcPr>
            <w:tcW w:w="0" w:type="auto"/>
            <w:vAlign w:val="center"/>
          </w:tcPr>
          <w:p w14:paraId="6700DF1E" w14:textId="28E96F1D"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ELISA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IFF</w:t>
            </w:r>
          </w:p>
        </w:tc>
        <w:tc>
          <w:tcPr>
            <w:tcW w:w="0" w:type="auto"/>
            <w:vAlign w:val="center"/>
          </w:tcPr>
          <w:p w14:paraId="277C640E" w14:textId="4124B209"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All</w:t>
            </w:r>
          </w:p>
        </w:tc>
        <w:tc>
          <w:tcPr>
            <w:tcW w:w="0" w:type="auto"/>
            <w:vAlign w:val="center"/>
          </w:tcPr>
          <w:p w14:paraId="6A1744F9"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IgG</w:t>
            </w:r>
          </w:p>
        </w:tc>
        <w:tc>
          <w:tcPr>
            <w:tcW w:w="0" w:type="auto"/>
            <w:vAlign w:val="center"/>
          </w:tcPr>
          <w:p w14:paraId="19BE0722" w14:textId="15AF10BA"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13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2</w:t>
            </w:r>
          </w:p>
        </w:tc>
        <w:tc>
          <w:tcPr>
            <w:tcW w:w="0" w:type="auto"/>
            <w:vAlign w:val="center"/>
          </w:tcPr>
          <w:p w14:paraId="2A2474CD" w14:textId="7777777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0.84 (0.38–1.85)</w:t>
            </w:r>
          </w:p>
        </w:tc>
      </w:tr>
      <w:tr w:rsidR="008E3F16" w:rsidRPr="008E3F16" w14:paraId="05034EE3" w14:textId="77777777" w:rsidTr="000E3C3A">
        <w:tc>
          <w:tcPr>
            <w:tcW w:w="0" w:type="auto"/>
            <w:vAlign w:val="center"/>
          </w:tcPr>
          <w:p w14:paraId="7AA8B197"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34B1DED9"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26BF0160"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08A491DA"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IgA</w:t>
            </w:r>
          </w:p>
        </w:tc>
        <w:tc>
          <w:tcPr>
            <w:tcW w:w="0" w:type="auto"/>
            <w:vAlign w:val="center"/>
          </w:tcPr>
          <w:p w14:paraId="2C7C00BC" w14:textId="35180711"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 xml:space="preserve">12 </w:t>
            </w:r>
            <w:r w:rsidR="00324F8A" w:rsidRPr="008E3F16">
              <w:rPr>
                <w:rFonts w:ascii="Book Antiqua" w:hAnsi="Book Antiqua"/>
                <w:i/>
                <w:iCs/>
                <w:color w:val="000000" w:themeColor="text1"/>
                <w:lang w:val="en-US"/>
              </w:rPr>
              <w:t>vs</w:t>
            </w:r>
            <w:r w:rsidRPr="008E3F16">
              <w:rPr>
                <w:rFonts w:ascii="Book Antiqua" w:hAnsi="Book Antiqua"/>
                <w:color w:val="000000" w:themeColor="text1"/>
                <w:lang w:val="en-US"/>
              </w:rPr>
              <w:t xml:space="preserve"> 2</w:t>
            </w:r>
          </w:p>
        </w:tc>
        <w:tc>
          <w:tcPr>
            <w:tcW w:w="0" w:type="auto"/>
            <w:vAlign w:val="center"/>
          </w:tcPr>
          <w:p w14:paraId="2C34EA0A" w14:textId="7777777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4.25 (1.26–14.37)</w:t>
            </w:r>
          </w:p>
        </w:tc>
      </w:tr>
      <w:tr w:rsidR="008E3F16" w:rsidRPr="008E3F16" w14:paraId="1FDB1BB7" w14:textId="77777777" w:rsidTr="000E3C3A">
        <w:tc>
          <w:tcPr>
            <w:tcW w:w="0" w:type="auto"/>
            <w:vAlign w:val="center"/>
          </w:tcPr>
          <w:p w14:paraId="6AF6185A"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7E11363E"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755AEAF8" w14:textId="5B512079"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UC</w:t>
            </w:r>
          </w:p>
        </w:tc>
        <w:tc>
          <w:tcPr>
            <w:tcW w:w="0" w:type="auto"/>
            <w:vAlign w:val="center"/>
          </w:tcPr>
          <w:p w14:paraId="3BF53570"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IgG</w:t>
            </w:r>
          </w:p>
        </w:tc>
        <w:tc>
          <w:tcPr>
            <w:tcW w:w="0" w:type="auto"/>
            <w:vAlign w:val="center"/>
          </w:tcPr>
          <w:p w14:paraId="490FE194" w14:textId="08EC1129"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 xml:space="preserve">12 </w:t>
            </w:r>
            <w:r w:rsidR="00324F8A" w:rsidRPr="008E3F16">
              <w:rPr>
                <w:rFonts w:ascii="Book Antiqua" w:hAnsi="Book Antiqua"/>
                <w:i/>
                <w:iCs/>
                <w:color w:val="000000" w:themeColor="text1"/>
                <w:lang w:val="en-US"/>
              </w:rPr>
              <w:t>vs</w:t>
            </w:r>
            <w:r w:rsidRPr="008E3F16">
              <w:rPr>
                <w:rFonts w:ascii="Book Antiqua" w:hAnsi="Book Antiqua"/>
                <w:color w:val="000000" w:themeColor="text1"/>
                <w:lang w:val="en-US"/>
              </w:rPr>
              <w:t xml:space="preserve"> 2</w:t>
            </w:r>
          </w:p>
        </w:tc>
        <w:tc>
          <w:tcPr>
            <w:tcW w:w="0" w:type="auto"/>
            <w:vAlign w:val="center"/>
          </w:tcPr>
          <w:p w14:paraId="014DC715" w14:textId="7777777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1.60 (0.40–6.54)</w:t>
            </w:r>
          </w:p>
        </w:tc>
      </w:tr>
      <w:tr w:rsidR="008E3F16" w:rsidRPr="008E3F16" w14:paraId="485DC745" w14:textId="77777777" w:rsidTr="000E3C3A">
        <w:tc>
          <w:tcPr>
            <w:tcW w:w="0" w:type="auto"/>
            <w:vAlign w:val="center"/>
          </w:tcPr>
          <w:p w14:paraId="33C2FFF8" w14:textId="291569A5"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Blind </w:t>
            </w:r>
            <w:r w:rsidR="000E3C3A" w:rsidRPr="008E3F16">
              <w:rPr>
                <w:rFonts w:ascii="Book Antiqua" w:hAnsi="Book Antiqua" w:cs="Arial"/>
                <w:color w:val="000000" w:themeColor="text1"/>
                <w:lang w:val="en-US"/>
              </w:rPr>
              <w:t>a</w:t>
            </w:r>
            <w:r w:rsidRPr="008E3F16">
              <w:rPr>
                <w:rFonts w:ascii="Book Antiqua" w:hAnsi="Book Antiqua" w:cs="Arial"/>
                <w:color w:val="000000" w:themeColor="text1"/>
                <w:lang w:val="en-US"/>
              </w:rPr>
              <w:t>ssay</w:t>
            </w:r>
          </w:p>
        </w:tc>
        <w:tc>
          <w:tcPr>
            <w:tcW w:w="0" w:type="auto"/>
            <w:vAlign w:val="center"/>
          </w:tcPr>
          <w:p w14:paraId="5AE28CD2" w14:textId="36401B4E"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No/not stated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Yes</w:t>
            </w:r>
          </w:p>
        </w:tc>
        <w:tc>
          <w:tcPr>
            <w:tcW w:w="0" w:type="auto"/>
            <w:vAlign w:val="center"/>
          </w:tcPr>
          <w:p w14:paraId="40412D91" w14:textId="2764F48A"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All</w:t>
            </w:r>
          </w:p>
        </w:tc>
        <w:tc>
          <w:tcPr>
            <w:tcW w:w="0" w:type="auto"/>
            <w:vAlign w:val="center"/>
          </w:tcPr>
          <w:p w14:paraId="1F7DEA98"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IgG</w:t>
            </w:r>
          </w:p>
        </w:tc>
        <w:tc>
          <w:tcPr>
            <w:tcW w:w="0" w:type="auto"/>
            <w:vAlign w:val="center"/>
          </w:tcPr>
          <w:p w14:paraId="3C9D97AB" w14:textId="721F8925"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 xml:space="preserve">12 </w:t>
            </w:r>
            <w:r w:rsidR="00324F8A" w:rsidRPr="008E3F16">
              <w:rPr>
                <w:rFonts w:ascii="Book Antiqua" w:hAnsi="Book Antiqua"/>
                <w:i/>
                <w:iCs/>
                <w:color w:val="000000" w:themeColor="text1"/>
                <w:lang w:val="en-US"/>
              </w:rPr>
              <w:t>vs</w:t>
            </w:r>
            <w:r w:rsidRPr="008E3F16">
              <w:rPr>
                <w:rFonts w:ascii="Book Antiqua" w:hAnsi="Book Antiqua"/>
                <w:color w:val="000000" w:themeColor="text1"/>
                <w:lang w:val="en-US"/>
              </w:rPr>
              <w:t xml:space="preserve"> 3</w:t>
            </w:r>
          </w:p>
        </w:tc>
        <w:tc>
          <w:tcPr>
            <w:tcW w:w="0" w:type="auto"/>
            <w:vAlign w:val="center"/>
          </w:tcPr>
          <w:p w14:paraId="04D05BC8" w14:textId="7777777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3.28 (1.33–8.09)</w:t>
            </w:r>
          </w:p>
        </w:tc>
      </w:tr>
      <w:tr w:rsidR="008E3F16" w:rsidRPr="008E3F16" w14:paraId="3FE41325" w14:textId="77777777" w:rsidTr="000E3C3A">
        <w:tc>
          <w:tcPr>
            <w:tcW w:w="0" w:type="auto"/>
            <w:vAlign w:val="center"/>
          </w:tcPr>
          <w:p w14:paraId="50B28412"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6B8196DB"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6585341C"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422D0D62"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IgA</w:t>
            </w:r>
          </w:p>
        </w:tc>
        <w:tc>
          <w:tcPr>
            <w:tcW w:w="0" w:type="auto"/>
            <w:vAlign w:val="center"/>
          </w:tcPr>
          <w:p w14:paraId="55674211" w14:textId="496632F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 xml:space="preserve">11 </w:t>
            </w:r>
            <w:r w:rsidR="00324F8A" w:rsidRPr="008E3F16">
              <w:rPr>
                <w:rFonts w:ascii="Book Antiqua" w:hAnsi="Book Antiqua"/>
                <w:i/>
                <w:iCs/>
                <w:color w:val="000000" w:themeColor="text1"/>
                <w:lang w:val="en-US"/>
              </w:rPr>
              <w:t>vs</w:t>
            </w:r>
            <w:r w:rsidRPr="008E3F16">
              <w:rPr>
                <w:rFonts w:ascii="Book Antiqua" w:hAnsi="Book Antiqua"/>
                <w:color w:val="000000" w:themeColor="text1"/>
                <w:lang w:val="en-US"/>
              </w:rPr>
              <w:t xml:space="preserve"> 3</w:t>
            </w:r>
          </w:p>
        </w:tc>
        <w:tc>
          <w:tcPr>
            <w:tcW w:w="0" w:type="auto"/>
            <w:vAlign w:val="center"/>
          </w:tcPr>
          <w:p w14:paraId="755E5B5E" w14:textId="7777777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1.77 (0.63–5.00)</w:t>
            </w:r>
          </w:p>
        </w:tc>
      </w:tr>
      <w:tr w:rsidR="008E3F16" w:rsidRPr="008E3F16" w14:paraId="564CDF79" w14:textId="77777777" w:rsidTr="000E3C3A">
        <w:tc>
          <w:tcPr>
            <w:tcW w:w="0" w:type="auto"/>
            <w:vAlign w:val="center"/>
          </w:tcPr>
          <w:p w14:paraId="2BBF3ECB"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62D8CF1B"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328E2516" w14:textId="481DBC3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UC</w:t>
            </w:r>
          </w:p>
        </w:tc>
        <w:tc>
          <w:tcPr>
            <w:tcW w:w="0" w:type="auto"/>
            <w:vAlign w:val="center"/>
          </w:tcPr>
          <w:p w14:paraId="12319483"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IgG</w:t>
            </w:r>
          </w:p>
        </w:tc>
        <w:tc>
          <w:tcPr>
            <w:tcW w:w="0" w:type="auto"/>
            <w:vAlign w:val="center"/>
          </w:tcPr>
          <w:p w14:paraId="131B1F10" w14:textId="6B5B75D6"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 xml:space="preserve">10 </w:t>
            </w:r>
            <w:r w:rsidR="00324F8A" w:rsidRPr="008E3F16">
              <w:rPr>
                <w:rFonts w:ascii="Book Antiqua" w:hAnsi="Book Antiqua"/>
                <w:i/>
                <w:iCs/>
                <w:color w:val="000000" w:themeColor="text1"/>
                <w:lang w:val="en-US"/>
              </w:rPr>
              <w:t>vs</w:t>
            </w:r>
            <w:r w:rsidRPr="008E3F16">
              <w:rPr>
                <w:rFonts w:ascii="Book Antiqua" w:hAnsi="Book Antiqua"/>
                <w:color w:val="000000" w:themeColor="text1"/>
                <w:lang w:val="en-US"/>
              </w:rPr>
              <w:t xml:space="preserve"> 3</w:t>
            </w:r>
          </w:p>
        </w:tc>
        <w:tc>
          <w:tcPr>
            <w:tcW w:w="0" w:type="auto"/>
            <w:vAlign w:val="center"/>
          </w:tcPr>
          <w:p w14:paraId="12836881" w14:textId="7777777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1.15 (0.32–4.15)</w:t>
            </w:r>
          </w:p>
        </w:tc>
      </w:tr>
      <w:tr w:rsidR="008E3F16" w:rsidRPr="008E3F16" w14:paraId="6C459A74" w14:textId="77777777" w:rsidTr="000E3C3A">
        <w:tc>
          <w:tcPr>
            <w:tcW w:w="0" w:type="auto"/>
            <w:vAlign w:val="center"/>
          </w:tcPr>
          <w:p w14:paraId="5E261127"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Consecutive sampling</w:t>
            </w:r>
          </w:p>
        </w:tc>
        <w:tc>
          <w:tcPr>
            <w:tcW w:w="0" w:type="auto"/>
            <w:vAlign w:val="center"/>
          </w:tcPr>
          <w:p w14:paraId="756CEA18" w14:textId="44D6303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No/not stated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Yes</w:t>
            </w:r>
          </w:p>
        </w:tc>
        <w:tc>
          <w:tcPr>
            <w:tcW w:w="0" w:type="auto"/>
            <w:vAlign w:val="center"/>
          </w:tcPr>
          <w:p w14:paraId="6E5D8E41" w14:textId="10657A44"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All</w:t>
            </w:r>
          </w:p>
        </w:tc>
        <w:tc>
          <w:tcPr>
            <w:tcW w:w="0" w:type="auto"/>
            <w:vAlign w:val="center"/>
          </w:tcPr>
          <w:p w14:paraId="1627576A"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IgG</w:t>
            </w:r>
          </w:p>
        </w:tc>
        <w:tc>
          <w:tcPr>
            <w:tcW w:w="0" w:type="auto"/>
            <w:vAlign w:val="center"/>
          </w:tcPr>
          <w:p w14:paraId="7E514476" w14:textId="2B3D1A64"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 xml:space="preserve">11 </w:t>
            </w:r>
            <w:r w:rsidR="00324F8A" w:rsidRPr="008E3F16">
              <w:rPr>
                <w:rFonts w:ascii="Book Antiqua" w:hAnsi="Book Antiqua"/>
                <w:i/>
                <w:iCs/>
                <w:color w:val="000000" w:themeColor="text1"/>
                <w:lang w:val="en-US"/>
              </w:rPr>
              <w:t>vs</w:t>
            </w:r>
            <w:r w:rsidRPr="008E3F16">
              <w:rPr>
                <w:rFonts w:ascii="Book Antiqua" w:hAnsi="Book Antiqua"/>
                <w:color w:val="000000" w:themeColor="text1"/>
                <w:lang w:val="en-US"/>
              </w:rPr>
              <w:t xml:space="preserve"> 4</w:t>
            </w:r>
          </w:p>
        </w:tc>
        <w:tc>
          <w:tcPr>
            <w:tcW w:w="0" w:type="auto"/>
            <w:vAlign w:val="center"/>
          </w:tcPr>
          <w:p w14:paraId="0EBC6399" w14:textId="7777777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1.47 (0.65–3.32)</w:t>
            </w:r>
          </w:p>
        </w:tc>
      </w:tr>
      <w:tr w:rsidR="008E3F16" w:rsidRPr="008E3F16" w14:paraId="16D46B11" w14:textId="77777777" w:rsidTr="000E3C3A">
        <w:tc>
          <w:tcPr>
            <w:tcW w:w="0" w:type="auto"/>
            <w:vAlign w:val="center"/>
          </w:tcPr>
          <w:p w14:paraId="454344FC"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40BA404D"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4441B21F"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275B3B89"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IgA</w:t>
            </w:r>
          </w:p>
        </w:tc>
        <w:tc>
          <w:tcPr>
            <w:tcW w:w="0" w:type="auto"/>
            <w:vAlign w:val="center"/>
          </w:tcPr>
          <w:p w14:paraId="7207BC4D" w14:textId="07A73342"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 xml:space="preserve">10 </w:t>
            </w:r>
            <w:r w:rsidR="00324F8A" w:rsidRPr="008E3F16">
              <w:rPr>
                <w:rFonts w:ascii="Book Antiqua" w:hAnsi="Book Antiqua"/>
                <w:i/>
                <w:iCs/>
                <w:color w:val="000000" w:themeColor="text1"/>
                <w:lang w:val="en-US"/>
              </w:rPr>
              <w:t>vs</w:t>
            </w:r>
            <w:r w:rsidRPr="008E3F16">
              <w:rPr>
                <w:rFonts w:ascii="Book Antiqua" w:hAnsi="Book Antiqua"/>
                <w:color w:val="000000" w:themeColor="text1"/>
                <w:lang w:val="en-US"/>
              </w:rPr>
              <w:t xml:space="preserve"> 4</w:t>
            </w:r>
          </w:p>
        </w:tc>
        <w:tc>
          <w:tcPr>
            <w:tcW w:w="0" w:type="auto"/>
            <w:vAlign w:val="center"/>
          </w:tcPr>
          <w:p w14:paraId="2DCFC564" w14:textId="7777777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1.31 (0.53–3.21)</w:t>
            </w:r>
          </w:p>
        </w:tc>
      </w:tr>
      <w:tr w:rsidR="008E3F16" w:rsidRPr="008E3F16" w14:paraId="0382E04F" w14:textId="77777777" w:rsidTr="000E3C3A">
        <w:tc>
          <w:tcPr>
            <w:tcW w:w="0" w:type="auto"/>
            <w:vAlign w:val="center"/>
          </w:tcPr>
          <w:p w14:paraId="6E1C2791"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4926CEF3"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70DE220E" w14:textId="4DB66DC9"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UC</w:t>
            </w:r>
          </w:p>
        </w:tc>
        <w:tc>
          <w:tcPr>
            <w:tcW w:w="0" w:type="auto"/>
            <w:vAlign w:val="center"/>
          </w:tcPr>
          <w:p w14:paraId="14CD74DD"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IgG</w:t>
            </w:r>
          </w:p>
        </w:tc>
        <w:tc>
          <w:tcPr>
            <w:tcW w:w="0" w:type="auto"/>
            <w:vAlign w:val="center"/>
          </w:tcPr>
          <w:p w14:paraId="29090CD7" w14:textId="604B96B9"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 xml:space="preserve">9 </w:t>
            </w:r>
            <w:r w:rsidR="00324F8A" w:rsidRPr="008E3F16">
              <w:rPr>
                <w:rFonts w:ascii="Book Antiqua" w:hAnsi="Book Antiqua"/>
                <w:i/>
                <w:iCs/>
                <w:color w:val="000000" w:themeColor="text1"/>
                <w:lang w:val="en-US"/>
              </w:rPr>
              <w:t>vs</w:t>
            </w:r>
            <w:r w:rsidRPr="008E3F16">
              <w:rPr>
                <w:rFonts w:ascii="Book Antiqua" w:hAnsi="Book Antiqua"/>
                <w:color w:val="000000" w:themeColor="text1"/>
                <w:lang w:val="en-US"/>
              </w:rPr>
              <w:t xml:space="preserve"> 4</w:t>
            </w:r>
          </w:p>
        </w:tc>
        <w:tc>
          <w:tcPr>
            <w:tcW w:w="0" w:type="auto"/>
            <w:vAlign w:val="center"/>
          </w:tcPr>
          <w:p w14:paraId="5B3E63AE" w14:textId="7777777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1.88 (0.65–5.38)</w:t>
            </w:r>
          </w:p>
        </w:tc>
      </w:tr>
      <w:tr w:rsidR="008E3F16" w:rsidRPr="008E3F16" w14:paraId="7A7D1F50" w14:textId="77777777" w:rsidTr="000E3C3A">
        <w:tc>
          <w:tcPr>
            <w:tcW w:w="0" w:type="auto"/>
            <w:vAlign w:val="center"/>
          </w:tcPr>
          <w:p w14:paraId="4EE3DEDC"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Kit manufacturer</w:t>
            </w:r>
          </w:p>
        </w:tc>
        <w:tc>
          <w:tcPr>
            <w:tcW w:w="0" w:type="auto"/>
            <w:vAlign w:val="center"/>
          </w:tcPr>
          <w:p w14:paraId="16E9858D" w14:textId="5241A4B2"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GA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All other</w:t>
            </w:r>
          </w:p>
        </w:tc>
        <w:tc>
          <w:tcPr>
            <w:tcW w:w="0" w:type="auto"/>
            <w:vAlign w:val="center"/>
          </w:tcPr>
          <w:p w14:paraId="17B52DB8" w14:textId="3C684AC5"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All</w:t>
            </w:r>
          </w:p>
        </w:tc>
        <w:tc>
          <w:tcPr>
            <w:tcW w:w="0" w:type="auto"/>
            <w:vAlign w:val="center"/>
          </w:tcPr>
          <w:p w14:paraId="1CA7A7DD"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IgG</w:t>
            </w:r>
          </w:p>
        </w:tc>
        <w:tc>
          <w:tcPr>
            <w:tcW w:w="0" w:type="auto"/>
            <w:vAlign w:val="center"/>
          </w:tcPr>
          <w:p w14:paraId="66DF8FB7" w14:textId="66E55B8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 xml:space="preserve">12 </w:t>
            </w:r>
            <w:r w:rsidR="00324F8A" w:rsidRPr="008E3F16">
              <w:rPr>
                <w:rFonts w:ascii="Book Antiqua" w:hAnsi="Book Antiqua"/>
                <w:i/>
                <w:iCs/>
                <w:color w:val="000000" w:themeColor="text1"/>
                <w:lang w:val="en-US"/>
              </w:rPr>
              <w:t>vs</w:t>
            </w:r>
            <w:r w:rsidRPr="008E3F16">
              <w:rPr>
                <w:rFonts w:ascii="Book Antiqua" w:hAnsi="Book Antiqua"/>
                <w:color w:val="000000" w:themeColor="text1"/>
                <w:lang w:val="en-US"/>
              </w:rPr>
              <w:t xml:space="preserve"> 3</w:t>
            </w:r>
          </w:p>
        </w:tc>
        <w:tc>
          <w:tcPr>
            <w:tcW w:w="0" w:type="auto"/>
            <w:vAlign w:val="center"/>
          </w:tcPr>
          <w:p w14:paraId="299955CB" w14:textId="7777777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1.04 (0.51–2.11)</w:t>
            </w:r>
          </w:p>
        </w:tc>
      </w:tr>
      <w:tr w:rsidR="008E3F16" w:rsidRPr="008E3F16" w14:paraId="2D925F14" w14:textId="77777777" w:rsidTr="000E3C3A">
        <w:tc>
          <w:tcPr>
            <w:tcW w:w="0" w:type="auto"/>
            <w:vAlign w:val="center"/>
          </w:tcPr>
          <w:p w14:paraId="2D2746B6"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56D07754"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167EA8BC"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141BF843"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IgA</w:t>
            </w:r>
          </w:p>
        </w:tc>
        <w:tc>
          <w:tcPr>
            <w:tcW w:w="0" w:type="auto"/>
            <w:vAlign w:val="center"/>
          </w:tcPr>
          <w:p w14:paraId="100FCC27" w14:textId="65BE609F"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 xml:space="preserve">11 </w:t>
            </w:r>
            <w:r w:rsidR="00324F8A" w:rsidRPr="008E3F16">
              <w:rPr>
                <w:rFonts w:ascii="Book Antiqua" w:hAnsi="Book Antiqua"/>
                <w:i/>
                <w:iCs/>
                <w:color w:val="000000" w:themeColor="text1"/>
                <w:lang w:val="en-US"/>
              </w:rPr>
              <w:t>vs</w:t>
            </w:r>
            <w:r w:rsidRPr="008E3F16">
              <w:rPr>
                <w:rFonts w:ascii="Book Antiqua" w:hAnsi="Book Antiqua"/>
                <w:color w:val="000000" w:themeColor="text1"/>
                <w:lang w:val="en-US"/>
              </w:rPr>
              <w:t xml:space="preserve"> 3</w:t>
            </w:r>
          </w:p>
        </w:tc>
        <w:tc>
          <w:tcPr>
            <w:tcW w:w="0" w:type="auto"/>
            <w:vAlign w:val="center"/>
          </w:tcPr>
          <w:p w14:paraId="4917B548" w14:textId="7777777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1.28 (0.80–2.03)</w:t>
            </w:r>
          </w:p>
        </w:tc>
      </w:tr>
      <w:tr w:rsidR="008E3F16" w:rsidRPr="008E3F16" w14:paraId="74131A99" w14:textId="77777777" w:rsidTr="000E3C3A">
        <w:tc>
          <w:tcPr>
            <w:tcW w:w="0" w:type="auto"/>
            <w:vAlign w:val="center"/>
          </w:tcPr>
          <w:p w14:paraId="63564686"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7FDC6EB9"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4690AC90" w14:textId="7A35EAD4"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UC</w:t>
            </w:r>
          </w:p>
        </w:tc>
        <w:tc>
          <w:tcPr>
            <w:tcW w:w="0" w:type="auto"/>
            <w:vAlign w:val="center"/>
          </w:tcPr>
          <w:p w14:paraId="3738E5CE"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IgG</w:t>
            </w:r>
          </w:p>
        </w:tc>
        <w:tc>
          <w:tcPr>
            <w:tcW w:w="0" w:type="auto"/>
            <w:vAlign w:val="center"/>
          </w:tcPr>
          <w:p w14:paraId="1CD4F358" w14:textId="751B3EC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 xml:space="preserve">10 </w:t>
            </w:r>
            <w:r w:rsidR="00324F8A" w:rsidRPr="008E3F16">
              <w:rPr>
                <w:rFonts w:ascii="Book Antiqua" w:hAnsi="Book Antiqua"/>
                <w:i/>
                <w:iCs/>
                <w:color w:val="000000" w:themeColor="text1"/>
                <w:lang w:val="en-US"/>
              </w:rPr>
              <w:t>vs</w:t>
            </w:r>
            <w:r w:rsidRPr="008E3F16">
              <w:rPr>
                <w:rFonts w:ascii="Book Antiqua" w:hAnsi="Book Antiqua"/>
                <w:color w:val="000000" w:themeColor="text1"/>
                <w:lang w:val="en-US"/>
              </w:rPr>
              <w:t xml:space="preserve"> 3</w:t>
            </w:r>
          </w:p>
        </w:tc>
        <w:tc>
          <w:tcPr>
            <w:tcW w:w="0" w:type="auto"/>
            <w:vAlign w:val="center"/>
          </w:tcPr>
          <w:p w14:paraId="308832D6" w14:textId="7777777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1.47 (0.48–4.48)</w:t>
            </w:r>
          </w:p>
        </w:tc>
      </w:tr>
      <w:tr w:rsidR="008E3F16" w:rsidRPr="008E3F16" w14:paraId="582A7262" w14:textId="77777777" w:rsidTr="000E3C3A">
        <w:tc>
          <w:tcPr>
            <w:tcW w:w="0" w:type="auto"/>
            <w:vAlign w:val="center"/>
          </w:tcPr>
          <w:p w14:paraId="1BF05E23" w14:textId="29D22F99" w:rsidR="00A04F38" w:rsidRPr="008E3F16" w:rsidRDefault="00DE31C0"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F</w:t>
            </w:r>
            <w:r w:rsidR="00A04F38" w:rsidRPr="008E3F16">
              <w:rPr>
                <w:rFonts w:ascii="Book Antiqua" w:hAnsi="Book Antiqua" w:cs="Arial"/>
                <w:color w:val="000000" w:themeColor="text1"/>
                <w:lang w:val="en-US"/>
              </w:rPr>
              <w:t>emale participants</w:t>
            </w:r>
          </w:p>
        </w:tc>
        <w:tc>
          <w:tcPr>
            <w:tcW w:w="0" w:type="auto"/>
            <w:vAlign w:val="center"/>
          </w:tcPr>
          <w:p w14:paraId="6F58369C" w14:textId="7198F21A"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w:t>
            </w:r>
            <w:r w:rsidR="000E3C3A" w:rsidRPr="008E3F16">
              <w:rPr>
                <w:rFonts w:ascii="Book Antiqua" w:hAnsi="Book Antiqua" w:cs="Arial"/>
                <w:color w:val="000000" w:themeColor="text1"/>
                <w:lang w:val="en-US"/>
              </w:rPr>
              <w:t xml:space="preserve"> </w:t>
            </w:r>
            <w:r w:rsidRPr="008E3F16">
              <w:rPr>
                <w:rFonts w:ascii="Book Antiqua" w:hAnsi="Book Antiqua" w:cs="Arial"/>
                <w:color w:val="000000" w:themeColor="text1"/>
                <w:lang w:val="en-US"/>
              </w:rPr>
              <w:t xml:space="preserve">50%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&lt;</w:t>
            </w:r>
            <w:r w:rsidR="000E3C3A" w:rsidRPr="008E3F16">
              <w:rPr>
                <w:rFonts w:ascii="Book Antiqua" w:hAnsi="Book Antiqua" w:cs="Arial"/>
                <w:color w:val="000000" w:themeColor="text1"/>
                <w:lang w:val="en-US"/>
              </w:rPr>
              <w:t xml:space="preserve"> </w:t>
            </w:r>
            <w:r w:rsidRPr="008E3F16">
              <w:rPr>
                <w:rFonts w:ascii="Book Antiqua" w:hAnsi="Book Antiqua" w:cs="Arial"/>
                <w:color w:val="000000" w:themeColor="text1"/>
                <w:lang w:val="en-US"/>
              </w:rPr>
              <w:t>50%</w:t>
            </w:r>
          </w:p>
        </w:tc>
        <w:tc>
          <w:tcPr>
            <w:tcW w:w="0" w:type="auto"/>
            <w:vAlign w:val="center"/>
          </w:tcPr>
          <w:p w14:paraId="2633ECF8" w14:textId="1A3B0C2D"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All</w:t>
            </w:r>
          </w:p>
        </w:tc>
        <w:tc>
          <w:tcPr>
            <w:tcW w:w="0" w:type="auto"/>
            <w:vAlign w:val="center"/>
          </w:tcPr>
          <w:p w14:paraId="3116A7F5"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IgG</w:t>
            </w:r>
          </w:p>
        </w:tc>
        <w:tc>
          <w:tcPr>
            <w:tcW w:w="0" w:type="auto"/>
            <w:vAlign w:val="center"/>
          </w:tcPr>
          <w:p w14:paraId="4D362EE1" w14:textId="7AB62CBD"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11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4</w:t>
            </w:r>
          </w:p>
        </w:tc>
        <w:tc>
          <w:tcPr>
            <w:tcW w:w="0" w:type="auto"/>
            <w:vAlign w:val="center"/>
          </w:tcPr>
          <w:p w14:paraId="32B15584" w14:textId="7777777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1.24 (0.79–1.94)</w:t>
            </w:r>
          </w:p>
        </w:tc>
      </w:tr>
      <w:tr w:rsidR="008E3F16" w:rsidRPr="008E3F16" w14:paraId="73224DA2" w14:textId="77777777" w:rsidTr="000E3C3A">
        <w:tc>
          <w:tcPr>
            <w:tcW w:w="0" w:type="auto"/>
            <w:vAlign w:val="center"/>
          </w:tcPr>
          <w:p w14:paraId="6F72F3BD"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27FD8735"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4438C54F"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50F6455C"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IgA</w:t>
            </w:r>
          </w:p>
        </w:tc>
        <w:tc>
          <w:tcPr>
            <w:tcW w:w="0" w:type="auto"/>
            <w:vAlign w:val="center"/>
          </w:tcPr>
          <w:p w14:paraId="12CFB636" w14:textId="484E55AF"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10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4</w:t>
            </w:r>
          </w:p>
        </w:tc>
        <w:tc>
          <w:tcPr>
            <w:tcW w:w="0" w:type="auto"/>
            <w:vAlign w:val="center"/>
          </w:tcPr>
          <w:p w14:paraId="458DFCA6" w14:textId="77777777" w:rsidR="00A04F38" w:rsidRPr="008E3F16" w:rsidRDefault="00A04F38" w:rsidP="00C66188">
            <w:pPr>
              <w:adjustRightInd w:val="0"/>
              <w:snapToGrid w:val="0"/>
              <w:spacing w:line="360" w:lineRule="auto"/>
              <w:jc w:val="center"/>
              <w:rPr>
                <w:rFonts w:ascii="Book Antiqua" w:hAnsi="Book Antiqua"/>
                <w:color w:val="000000" w:themeColor="text1"/>
                <w:lang w:val="en-US"/>
              </w:rPr>
            </w:pPr>
            <w:r w:rsidRPr="008E3F16">
              <w:rPr>
                <w:rFonts w:ascii="Book Antiqua" w:hAnsi="Book Antiqua"/>
                <w:color w:val="000000" w:themeColor="text1"/>
                <w:lang w:val="en-US"/>
              </w:rPr>
              <w:t>0.75 (0.30–1.93)</w:t>
            </w:r>
          </w:p>
        </w:tc>
      </w:tr>
      <w:tr w:rsidR="008E3F16" w:rsidRPr="008E3F16" w14:paraId="41D16B91" w14:textId="77777777" w:rsidTr="000E3C3A">
        <w:tc>
          <w:tcPr>
            <w:tcW w:w="0" w:type="auto"/>
            <w:vAlign w:val="center"/>
          </w:tcPr>
          <w:p w14:paraId="06093E2F"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2BA34E24" w14:textId="77777777" w:rsidR="00A04F38" w:rsidRPr="008E3F16"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32F99658" w14:textId="48B60B73"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UC</w:t>
            </w:r>
          </w:p>
        </w:tc>
        <w:tc>
          <w:tcPr>
            <w:tcW w:w="0" w:type="auto"/>
            <w:vAlign w:val="center"/>
          </w:tcPr>
          <w:p w14:paraId="2C096A96"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IgG</w:t>
            </w:r>
          </w:p>
        </w:tc>
        <w:tc>
          <w:tcPr>
            <w:tcW w:w="0" w:type="auto"/>
            <w:vAlign w:val="center"/>
          </w:tcPr>
          <w:p w14:paraId="004AD450" w14:textId="1E3531D9"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 xml:space="preserve">10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3</w:t>
            </w:r>
          </w:p>
        </w:tc>
        <w:tc>
          <w:tcPr>
            <w:tcW w:w="0" w:type="auto"/>
            <w:vAlign w:val="center"/>
          </w:tcPr>
          <w:p w14:paraId="51BFB00B" w14:textId="77777777" w:rsidR="00A04F38" w:rsidRPr="008E3F16" w:rsidRDefault="00A04F38"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1.15 (0.54–2.45)</w:t>
            </w:r>
          </w:p>
        </w:tc>
      </w:tr>
    </w:tbl>
    <w:p w14:paraId="690927A4" w14:textId="01359CB7" w:rsidR="000E3C3A" w:rsidRPr="008E3F16" w:rsidRDefault="000E3C3A"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CD: Crohn’s disease; CI: Confidence interval; COI: Conflict of interest; GA: Generic assays; ELISA: Enzyme</w:t>
      </w:r>
      <w:r w:rsidRPr="008E3F16">
        <w:rPr>
          <w:rFonts w:ascii="Book Antiqua" w:eastAsia="宋体" w:hAnsi="Book Antiqua" w:cs="宋体"/>
          <w:color w:val="000000" w:themeColor="text1"/>
          <w:lang w:val="en-US" w:eastAsia="zh-CN"/>
        </w:rPr>
        <w:t>-</w:t>
      </w:r>
      <w:r w:rsidRPr="008E3F16">
        <w:rPr>
          <w:rFonts w:ascii="Book Antiqua" w:hAnsi="Book Antiqua" w:cs="Arial"/>
          <w:color w:val="000000" w:themeColor="text1"/>
          <w:lang w:val="en-US"/>
        </w:rPr>
        <w:t>linked immunosorbent assay; IFF: Indirect immune-fluorescence; Ig: Immunoglobulin; UC: Ulcerative Colitis</w:t>
      </w:r>
      <w:r w:rsidR="00FE1982" w:rsidRPr="008E3F16">
        <w:rPr>
          <w:rFonts w:ascii="Book Antiqua" w:hAnsi="Book Antiqua" w:cs="Arial"/>
          <w:color w:val="000000" w:themeColor="text1"/>
          <w:lang w:val="en-US"/>
        </w:rPr>
        <w:t>.</w:t>
      </w:r>
    </w:p>
    <w:p w14:paraId="6CD72A3A" w14:textId="3192D52F" w:rsidR="00C222AC" w:rsidRPr="008E3F16" w:rsidRDefault="00C222AC" w:rsidP="00C66188">
      <w:pPr>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cs="Times New Roman"/>
          <w:color w:val="000000" w:themeColor="text1"/>
          <w:lang w:val="en-US"/>
        </w:rPr>
        <w:br w:type="page"/>
      </w:r>
    </w:p>
    <w:p w14:paraId="157BE94F" w14:textId="56CB71B4" w:rsidR="00852839" w:rsidRPr="008E3F16" w:rsidRDefault="00852839" w:rsidP="00C66188">
      <w:pPr>
        <w:adjustRightInd w:val="0"/>
        <w:snapToGrid w:val="0"/>
        <w:spacing w:line="360" w:lineRule="auto"/>
        <w:jc w:val="both"/>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lastRenderedPageBreak/>
        <w:t xml:space="preserve">Table </w:t>
      </w:r>
      <w:r w:rsidR="00E6147D" w:rsidRPr="008E3F16">
        <w:rPr>
          <w:rFonts w:ascii="Book Antiqua" w:hAnsi="Book Antiqua" w:cs="Times New Roman"/>
          <w:b/>
          <w:bCs/>
          <w:color w:val="000000" w:themeColor="text1"/>
          <w:lang w:val="en-US"/>
        </w:rPr>
        <w:t>4</w:t>
      </w:r>
      <w:r w:rsidRPr="008E3F16">
        <w:rPr>
          <w:rFonts w:ascii="Book Antiqua" w:hAnsi="Book Antiqua" w:cs="Times New Roman"/>
          <w:b/>
          <w:bCs/>
          <w:color w:val="000000" w:themeColor="text1"/>
          <w:lang w:val="en-US"/>
        </w:rPr>
        <w:t xml:space="preserve"> Summary of finding table based on a hypothetical scenario</w:t>
      </w:r>
      <w:r w:rsidRPr="008E3F16">
        <w:rPr>
          <w:rFonts w:ascii="Book Antiqua" w:hAnsi="Book Antiqua" w:cs="Times New Roman"/>
          <w:b/>
          <w:bCs/>
          <w:color w:val="000000" w:themeColor="text1"/>
          <w:lang w:val="en-US"/>
        </w:rPr>
        <w:fldChar w:fldCharType="begin" w:fldLock="1"/>
      </w:r>
      <w:r w:rsidRPr="008E3F16">
        <w:rPr>
          <w:rFonts w:ascii="Book Antiqua" w:hAnsi="Book Antiqua" w:cs="Times New Roman"/>
          <w:b/>
          <w:bCs/>
          <w:color w:val="000000" w:themeColor="text1"/>
          <w:lang w:val="en-US"/>
        </w:rPr>
        <w:instrText>ADDIN CSL_CITATION {"citationItems":[{"id":"ITEM-1","itemData":{"DOI":"10.1016/S0140-6736(17)32448-0","ISSN":"1474-547X","PMID":"29050646","abstract":"BACKGROUND Inflammatory bowel disease is a global disease in the 21st century. We aimed to assess the changing incidence and prevalence of inflammatory bowel disease around the world. METHODS 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 FINDINGS We identified 147 studies that were eligible for final inclusion in the systematic review, including 119 studies of incidence and 69 studies of prevalence. The highest reported prevalence values were in Europe (ulcerative colitis 505 per 100</w:instrText>
      </w:r>
      <w:r w:rsidRPr="008E3F16">
        <w:rPr>
          <w:rFonts w:ascii="MS Gothic" w:eastAsia="MS Gothic" w:hAnsi="MS Gothic" w:cs="MS Gothic" w:hint="eastAsia"/>
          <w:b/>
          <w:bCs/>
          <w:color w:val="000000" w:themeColor="text1"/>
          <w:lang w:val="en-US"/>
        </w:rPr>
        <w:instrText> </w:instrText>
      </w:r>
      <w:r w:rsidRPr="008E3F16">
        <w:rPr>
          <w:rFonts w:ascii="Book Antiqua" w:hAnsi="Book Antiqua" w:cs="Times New Roman"/>
          <w:b/>
          <w:bCs/>
          <w:color w:val="000000" w:themeColor="text1"/>
          <w:lang w:val="en-US"/>
        </w:rPr>
        <w:instrText>000 in Norway; Crohn's disease 322 per 100</w:instrText>
      </w:r>
      <w:r w:rsidRPr="008E3F16">
        <w:rPr>
          <w:rFonts w:ascii="MS Gothic" w:eastAsia="MS Gothic" w:hAnsi="MS Gothic" w:cs="MS Gothic" w:hint="eastAsia"/>
          <w:b/>
          <w:bCs/>
          <w:color w:val="000000" w:themeColor="text1"/>
          <w:lang w:val="en-US"/>
        </w:rPr>
        <w:instrText> </w:instrText>
      </w:r>
      <w:r w:rsidRPr="008E3F16">
        <w:rPr>
          <w:rFonts w:ascii="Book Antiqua" w:hAnsi="Book Antiqua" w:cs="Times New Roman"/>
          <w:b/>
          <w:bCs/>
          <w:color w:val="000000" w:themeColor="text1"/>
          <w:lang w:val="en-US"/>
        </w:rPr>
        <w:instrText>000 in Germany) and North America (ulcerative colitis 286 per 100</w:instrText>
      </w:r>
      <w:r w:rsidRPr="008E3F16">
        <w:rPr>
          <w:rFonts w:ascii="MS Gothic" w:eastAsia="MS Gothic" w:hAnsi="MS Gothic" w:cs="MS Gothic" w:hint="eastAsia"/>
          <w:b/>
          <w:bCs/>
          <w:color w:val="000000" w:themeColor="text1"/>
          <w:lang w:val="en-US"/>
        </w:rPr>
        <w:instrText> </w:instrText>
      </w:r>
      <w:r w:rsidRPr="008E3F16">
        <w:rPr>
          <w:rFonts w:ascii="Book Antiqua" w:hAnsi="Book Antiqua" w:cs="Times New Roman"/>
          <w:b/>
          <w:bCs/>
          <w:color w:val="000000" w:themeColor="text1"/>
          <w:lang w:val="en-US"/>
        </w:rPr>
        <w:instrText>000 in the USA; Crohn's disease 319 per 100</w:instrText>
      </w:r>
      <w:r w:rsidRPr="008E3F16">
        <w:rPr>
          <w:rFonts w:ascii="MS Gothic" w:eastAsia="MS Gothic" w:hAnsi="MS Gothic" w:cs="MS Gothic" w:hint="eastAsia"/>
          <w:b/>
          <w:bCs/>
          <w:color w:val="000000" w:themeColor="text1"/>
          <w:lang w:val="en-US"/>
        </w:rPr>
        <w:instrText> </w:instrText>
      </w:r>
      <w:r w:rsidRPr="008E3F16">
        <w:rPr>
          <w:rFonts w:ascii="Book Antiqua" w:hAnsi="Book Antiqua" w:cs="Times New Roman"/>
          <w:b/>
          <w:bCs/>
          <w:color w:val="000000" w:themeColor="text1"/>
          <w:lang w:val="en-US"/>
        </w:rPr>
        <w:instrText>000 in Canada). The prevalence of inflammatory bowel disease exceeded 0·3% in North America, Oceania, and many countries in Europe. Overall, 16 (72·7%) of 22 studies on Crohn's disease and 15 (83·3%)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+11·1% [95% CI 4·8-17·8] and APC for ulcerative colitis +14·9% [10·4-19·6]) and Taiwan (APC for Crohn's disease +4·0% [1·0-7·1] and APC for ulcerative colitis +4·8% [1·8-8·0]). INTERPRETATION 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0·3%. These data highlight the n…","author":[{"dropping-particle":"","family":"Ng","given":"Siew C","non-dropping-particle":"","parse-names":false,"suffix":""},{"dropping-particle":"","family":"Shi","given":"Hai Yun","non-dropping-particle":"","parse-names":false,"suffix":""},{"dropping-particle":"","family":"Hamidi","given":"Nima","non-dropping-particle":"","parse-names":false,"suffix":""},{"dropping-particle":"","family":"Underwood","given":"Fox E","non-dropping-particle":"","parse-names":false,"suffix":""},{"dropping-particle":"","family":"Tang","given":"Whitney","non-dropping-particle":"","parse-names":false,"suffix":""},{"dropping-particle":"","family":"Benchimol","given":"Eric I","non-dropping-particle":"","parse-names":false,"suffix":""},{"dropping-particle":"","family":"Panaccione","given":"Remo","non-dropping-particle":"","parse-names":false,"suffix":""},{"dropping-particle":"","family":"Ghosh","given":"Subrata","non-dropping-particle":"","parse-names":false,"suffix":""},{"dropping-particle":"","family":"Wu","given":"Justin C Y","non-dropping-particle":"","parse-names":false,"suffix":""},{"dropping-particle":"","family":"Chan","given":"Francis K L","non-dropping-particle":"","parse-names":false,"suffix":""},{"dropping-particle":"","family":"Sung","given":"Joseph J Y","non-dropping-particle":"","parse-names":false,"suffix":""},{"dropping-particle":"","family":"Kaplan","given":"Gilaad G","non-dropping-particle":"","parse-names":false,"suffix":""}],"container-title":"Lancet (London, England)","id":"ITEM-1","issue":"10114","issued":{"date-parts":[["2018","12","23"]]},"page":"2769-2778","publisher":"Elsevier","title":"Worldwide incidence and prevalence of inflammatory bowel disease in the 21st century: a systematic review of population-based studies.","type":"article-journal","volume":"390"},"uris":["http://www.mendeley.com/documents/?uuid=a31ddbd6-2b56-3150-857b-071b78e71957"]}],"mendeley":{"formattedCitation":"&lt;sup&gt;[38]&lt;/sup&gt;","plainTextFormattedCitation":"[38]","previouslyFormattedCitation":"&lt;sup&gt;[38]&lt;/sup&gt;"},"properties":{"noteIndex":0},"schema":"https://github.com/citation-style-language/schema/raw/master/csl-citation.json"}</w:instrText>
      </w:r>
      <w:r w:rsidRPr="008E3F16">
        <w:rPr>
          <w:rFonts w:ascii="Book Antiqua" w:hAnsi="Book Antiqua" w:cs="Times New Roman"/>
          <w:b/>
          <w:bCs/>
          <w:color w:val="000000" w:themeColor="text1"/>
          <w:lang w:val="en-US"/>
        </w:rPr>
        <w:fldChar w:fldCharType="separate"/>
      </w:r>
      <w:r w:rsidRPr="008E3F16">
        <w:rPr>
          <w:rFonts w:ascii="Book Antiqua" w:hAnsi="Book Antiqua" w:cs="Times New Roman"/>
          <w:b/>
          <w:bCs/>
          <w:noProof/>
          <w:color w:val="000000" w:themeColor="text1"/>
          <w:vertAlign w:val="superscript"/>
          <w:lang w:val="en-US"/>
        </w:rPr>
        <w:t>[38]</w:t>
      </w:r>
      <w:r w:rsidRPr="008E3F16">
        <w:rPr>
          <w:rFonts w:ascii="Book Antiqua" w:hAnsi="Book Antiqua" w:cs="Times New Roman"/>
          <w:b/>
          <w:bCs/>
          <w:color w:val="000000" w:themeColor="text1"/>
          <w:lang w:val="en-US"/>
        </w:rPr>
        <w:fldChar w:fldCharType="end"/>
      </w:r>
      <w:r w:rsidRPr="008E3F16">
        <w:rPr>
          <w:rFonts w:ascii="Book Antiqua" w:hAnsi="Book Antiqua" w:cs="Times New Roman"/>
          <w:b/>
          <w:bCs/>
          <w:color w:val="000000" w:themeColor="text1"/>
          <w:lang w:val="en-US"/>
        </w:rPr>
        <w:t xml:space="preserve"> of applying </w:t>
      </w:r>
      <w:r w:rsidR="00277845" w:rsidRPr="008E3F16">
        <w:rPr>
          <w:rFonts w:ascii="Book Antiqua" w:hAnsi="Book Antiqua" w:cs="Times New Roman"/>
          <w:b/>
          <w:bCs/>
          <w:color w:val="000000" w:themeColor="text1"/>
          <w:lang w:val="en-US"/>
        </w:rPr>
        <w:t>glycoprotein 2 antibodies</w:t>
      </w:r>
      <w:r w:rsidRPr="008E3F16">
        <w:rPr>
          <w:rFonts w:ascii="Book Antiqua" w:hAnsi="Book Antiqua" w:cs="Times New Roman"/>
          <w:b/>
          <w:bCs/>
          <w:color w:val="000000" w:themeColor="text1"/>
          <w:lang w:val="en-US"/>
        </w:rPr>
        <w:t xml:space="preserve"> tests on a cohort of 10000 patients</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5"/>
        <w:gridCol w:w="1702"/>
        <w:gridCol w:w="523"/>
        <w:gridCol w:w="1070"/>
        <w:gridCol w:w="576"/>
        <w:gridCol w:w="1377"/>
        <w:gridCol w:w="756"/>
        <w:gridCol w:w="1434"/>
        <w:gridCol w:w="550"/>
        <w:gridCol w:w="1070"/>
      </w:tblGrid>
      <w:tr w:rsidR="008E3F16" w:rsidRPr="008E3F16" w14:paraId="1636E2DE" w14:textId="77777777" w:rsidTr="000E3C3A">
        <w:trPr>
          <w:trHeight w:val="720"/>
        </w:trPr>
        <w:tc>
          <w:tcPr>
            <w:tcW w:w="0" w:type="auto"/>
            <w:tcBorders>
              <w:top w:val="single" w:sz="4" w:space="0" w:color="auto"/>
              <w:bottom w:val="single" w:sz="4" w:space="0" w:color="auto"/>
            </w:tcBorders>
            <w:vAlign w:val="center"/>
          </w:tcPr>
          <w:p w14:paraId="4DB24774" w14:textId="77777777" w:rsidR="008B5FC5" w:rsidRPr="008E3F16" w:rsidRDefault="008B5FC5" w:rsidP="00C66188">
            <w:pPr>
              <w:adjustRightInd w:val="0"/>
              <w:snapToGrid w:val="0"/>
              <w:spacing w:line="360" w:lineRule="auto"/>
              <w:jc w:val="both"/>
              <w:rPr>
                <w:rFonts w:ascii="Book Antiqua" w:hAnsi="Book Antiqua" w:cs="Arial"/>
                <w:b/>
                <w:bCs/>
                <w:color w:val="000000" w:themeColor="text1"/>
                <w:lang w:val="en-US"/>
              </w:rPr>
            </w:pPr>
            <w:r w:rsidRPr="008E3F16">
              <w:rPr>
                <w:rFonts w:ascii="Book Antiqua" w:hAnsi="Book Antiqua" w:cs="Arial"/>
                <w:b/>
                <w:bCs/>
                <w:color w:val="000000" w:themeColor="text1"/>
                <w:lang w:val="en-US"/>
              </w:rPr>
              <w:t>Analysis</w:t>
            </w:r>
          </w:p>
        </w:tc>
        <w:tc>
          <w:tcPr>
            <w:tcW w:w="0" w:type="auto"/>
            <w:tcBorders>
              <w:top w:val="single" w:sz="4" w:space="0" w:color="auto"/>
              <w:bottom w:val="single" w:sz="4" w:space="0" w:color="auto"/>
            </w:tcBorders>
            <w:vAlign w:val="center"/>
          </w:tcPr>
          <w:p w14:paraId="4B6BF91E" w14:textId="5733AD09" w:rsidR="008B5FC5" w:rsidRPr="008E3F16" w:rsidRDefault="008B5FC5" w:rsidP="00C66188">
            <w:pPr>
              <w:adjustRightInd w:val="0"/>
              <w:snapToGrid w:val="0"/>
              <w:spacing w:line="360" w:lineRule="auto"/>
              <w:jc w:val="center"/>
              <w:rPr>
                <w:rFonts w:ascii="Book Antiqua" w:hAnsi="Book Antiqua" w:cs="Arial"/>
                <w:b/>
                <w:bCs/>
                <w:color w:val="000000" w:themeColor="text1"/>
                <w:lang w:val="en-US"/>
              </w:rPr>
            </w:pPr>
            <w:r w:rsidRPr="008E3F16">
              <w:rPr>
                <w:rFonts w:ascii="Book Antiqua" w:hAnsi="Book Antiqua" w:cs="Arial"/>
                <w:b/>
                <w:bCs/>
                <w:color w:val="000000" w:themeColor="text1"/>
                <w:lang w:val="en-US"/>
              </w:rPr>
              <w:t>Diagnostic</w:t>
            </w:r>
          </w:p>
          <w:p w14:paraId="0840D4C9" w14:textId="77777777" w:rsidR="008B5FC5" w:rsidRPr="008E3F16" w:rsidRDefault="008B5FC5" w:rsidP="00C66188">
            <w:pPr>
              <w:adjustRightInd w:val="0"/>
              <w:snapToGrid w:val="0"/>
              <w:spacing w:line="360" w:lineRule="auto"/>
              <w:jc w:val="center"/>
              <w:rPr>
                <w:rFonts w:ascii="Book Antiqua" w:hAnsi="Book Antiqua" w:cs="Arial"/>
                <w:b/>
                <w:bCs/>
                <w:color w:val="000000" w:themeColor="text1"/>
                <w:lang w:val="en-US"/>
              </w:rPr>
            </w:pPr>
            <w:r w:rsidRPr="008E3F16">
              <w:rPr>
                <w:rFonts w:ascii="Book Antiqua" w:hAnsi="Book Antiqua" w:cs="Arial"/>
                <w:b/>
                <w:bCs/>
                <w:color w:val="000000" w:themeColor="text1"/>
                <w:lang w:val="en-US"/>
              </w:rPr>
              <w:t>cut-off (U/dL)</w:t>
            </w:r>
          </w:p>
        </w:tc>
        <w:tc>
          <w:tcPr>
            <w:tcW w:w="0" w:type="auto"/>
            <w:tcBorders>
              <w:top w:val="single" w:sz="4" w:space="0" w:color="auto"/>
              <w:bottom w:val="single" w:sz="4" w:space="0" w:color="auto"/>
            </w:tcBorders>
            <w:vAlign w:val="center"/>
          </w:tcPr>
          <w:p w14:paraId="3A2FD12D" w14:textId="77777777" w:rsidR="008B5FC5" w:rsidRPr="008E3F16" w:rsidRDefault="008B5FC5" w:rsidP="00C66188">
            <w:pPr>
              <w:adjustRightInd w:val="0"/>
              <w:snapToGrid w:val="0"/>
              <w:spacing w:line="360" w:lineRule="auto"/>
              <w:jc w:val="center"/>
              <w:rPr>
                <w:rFonts w:ascii="Book Antiqua" w:hAnsi="Book Antiqua" w:cs="Arial"/>
                <w:b/>
                <w:bCs/>
                <w:color w:val="000000" w:themeColor="text1"/>
                <w:lang w:val="en-US"/>
              </w:rPr>
            </w:pPr>
            <w:r w:rsidRPr="008E3F16">
              <w:rPr>
                <w:rFonts w:ascii="Book Antiqua" w:hAnsi="Book Antiqua" w:cs="Arial"/>
                <w:b/>
                <w:bCs/>
                <w:color w:val="000000" w:themeColor="text1"/>
                <w:lang w:val="en-US"/>
              </w:rPr>
              <w:t>TP</w:t>
            </w:r>
          </w:p>
        </w:tc>
        <w:tc>
          <w:tcPr>
            <w:tcW w:w="0" w:type="auto"/>
            <w:tcBorders>
              <w:top w:val="single" w:sz="4" w:space="0" w:color="auto"/>
              <w:bottom w:val="single" w:sz="4" w:space="0" w:color="auto"/>
            </w:tcBorders>
            <w:vAlign w:val="center"/>
          </w:tcPr>
          <w:p w14:paraId="577880FD" w14:textId="77777777" w:rsidR="008B5FC5" w:rsidRPr="008E3F16" w:rsidRDefault="008B5FC5" w:rsidP="00C66188">
            <w:pPr>
              <w:adjustRightInd w:val="0"/>
              <w:snapToGrid w:val="0"/>
              <w:spacing w:line="360" w:lineRule="auto"/>
              <w:jc w:val="center"/>
              <w:rPr>
                <w:rFonts w:ascii="Book Antiqua" w:hAnsi="Book Antiqua" w:cs="Arial"/>
                <w:b/>
                <w:bCs/>
                <w:color w:val="000000" w:themeColor="text1"/>
                <w:lang w:val="en-US"/>
              </w:rPr>
            </w:pPr>
            <w:r w:rsidRPr="008E3F16">
              <w:rPr>
                <w:rFonts w:ascii="Book Antiqua" w:hAnsi="Book Antiqua" w:cs="Arial"/>
                <w:b/>
                <w:bCs/>
                <w:color w:val="000000" w:themeColor="text1"/>
                <w:lang w:val="en-US"/>
              </w:rPr>
              <w:t>(Range)</w:t>
            </w:r>
          </w:p>
        </w:tc>
        <w:tc>
          <w:tcPr>
            <w:tcW w:w="0" w:type="auto"/>
            <w:tcBorders>
              <w:top w:val="single" w:sz="4" w:space="0" w:color="auto"/>
              <w:bottom w:val="single" w:sz="4" w:space="0" w:color="auto"/>
            </w:tcBorders>
            <w:vAlign w:val="center"/>
          </w:tcPr>
          <w:p w14:paraId="44F95B5A" w14:textId="77777777" w:rsidR="008B5FC5" w:rsidRPr="008E3F16" w:rsidRDefault="008B5FC5" w:rsidP="00C66188">
            <w:pPr>
              <w:adjustRightInd w:val="0"/>
              <w:snapToGrid w:val="0"/>
              <w:spacing w:line="360" w:lineRule="auto"/>
              <w:jc w:val="center"/>
              <w:rPr>
                <w:rFonts w:ascii="Book Antiqua" w:hAnsi="Book Antiqua" w:cs="Arial"/>
                <w:b/>
                <w:bCs/>
                <w:color w:val="000000" w:themeColor="text1"/>
                <w:lang w:val="en-US"/>
              </w:rPr>
            </w:pPr>
            <w:r w:rsidRPr="008E3F16">
              <w:rPr>
                <w:rFonts w:ascii="Book Antiqua" w:hAnsi="Book Antiqua" w:cs="Arial"/>
                <w:b/>
                <w:bCs/>
                <w:color w:val="000000" w:themeColor="text1"/>
                <w:lang w:val="en-US"/>
              </w:rPr>
              <w:t>FP</w:t>
            </w:r>
          </w:p>
        </w:tc>
        <w:tc>
          <w:tcPr>
            <w:tcW w:w="0" w:type="auto"/>
            <w:tcBorders>
              <w:top w:val="single" w:sz="4" w:space="0" w:color="auto"/>
              <w:bottom w:val="single" w:sz="4" w:space="0" w:color="auto"/>
            </w:tcBorders>
            <w:vAlign w:val="center"/>
          </w:tcPr>
          <w:p w14:paraId="2D3265B0" w14:textId="77777777" w:rsidR="008B5FC5" w:rsidRPr="008E3F16" w:rsidRDefault="008B5FC5" w:rsidP="00C66188">
            <w:pPr>
              <w:adjustRightInd w:val="0"/>
              <w:snapToGrid w:val="0"/>
              <w:spacing w:line="360" w:lineRule="auto"/>
              <w:jc w:val="center"/>
              <w:rPr>
                <w:rFonts w:ascii="Book Antiqua" w:hAnsi="Book Antiqua" w:cs="Arial"/>
                <w:b/>
                <w:bCs/>
                <w:color w:val="000000" w:themeColor="text1"/>
                <w:lang w:val="en-US"/>
              </w:rPr>
            </w:pPr>
            <w:r w:rsidRPr="008E3F16">
              <w:rPr>
                <w:rFonts w:ascii="Book Antiqua" w:hAnsi="Book Antiqua" w:cs="Arial"/>
                <w:b/>
                <w:bCs/>
                <w:color w:val="000000" w:themeColor="text1"/>
                <w:lang w:val="en-US"/>
              </w:rPr>
              <w:t>(Range)</w:t>
            </w:r>
          </w:p>
        </w:tc>
        <w:tc>
          <w:tcPr>
            <w:tcW w:w="0" w:type="auto"/>
            <w:tcBorders>
              <w:top w:val="single" w:sz="4" w:space="0" w:color="auto"/>
              <w:bottom w:val="single" w:sz="4" w:space="0" w:color="auto"/>
            </w:tcBorders>
            <w:vAlign w:val="center"/>
          </w:tcPr>
          <w:p w14:paraId="0173CA30" w14:textId="77777777" w:rsidR="008B5FC5" w:rsidRPr="008E3F16" w:rsidRDefault="008B5FC5" w:rsidP="00C66188">
            <w:pPr>
              <w:adjustRightInd w:val="0"/>
              <w:snapToGrid w:val="0"/>
              <w:spacing w:line="360" w:lineRule="auto"/>
              <w:jc w:val="center"/>
              <w:rPr>
                <w:rFonts w:ascii="Book Antiqua" w:hAnsi="Book Antiqua" w:cs="Arial"/>
                <w:b/>
                <w:bCs/>
                <w:color w:val="000000" w:themeColor="text1"/>
                <w:lang w:val="en-US"/>
              </w:rPr>
            </w:pPr>
            <w:r w:rsidRPr="008E3F16">
              <w:rPr>
                <w:rFonts w:ascii="Book Antiqua" w:hAnsi="Book Antiqua" w:cs="Arial"/>
                <w:b/>
                <w:bCs/>
                <w:color w:val="000000" w:themeColor="text1"/>
                <w:lang w:val="en-US"/>
              </w:rPr>
              <w:t>TN</w:t>
            </w:r>
          </w:p>
        </w:tc>
        <w:tc>
          <w:tcPr>
            <w:tcW w:w="0" w:type="auto"/>
            <w:tcBorders>
              <w:top w:val="single" w:sz="4" w:space="0" w:color="auto"/>
              <w:bottom w:val="single" w:sz="4" w:space="0" w:color="auto"/>
            </w:tcBorders>
            <w:vAlign w:val="center"/>
          </w:tcPr>
          <w:p w14:paraId="52203E39" w14:textId="77777777" w:rsidR="008B5FC5" w:rsidRPr="008E3F16" w:rsidRDefault="008B5FC5" w:rsidP="00C66188">
            <w:pPr>
              <w:adjustRightInd w:val="0"/>
              <w:snapToGrid w:val="0"/>
              <w:spacing w:line="360" w:lineRule="auto"/>
              <w:jc w:val="center"/>
              <w:rPr>
                <w:rFonts w:ascii="Book Antiqua" w:hAnsi="Book Antiqua" w:cs="Arial"/>
                <w:b/>
                <w:bCs/>
                <w:color w:val="000000" w:themeColor="text1"/>
                <w:lang w:val="en-US"/>
              </w:rPr>
            </w:pPr>
            <w:r w:rsidRPr="008E3F16">
              <w:rPr>
                <w:rFonts w:ascii="Book Antiqua" w:hAnsi="Book Antiqua" w:cs="Arial"/>
                <w:b/>
                <w:bCs/>
                <w:color w:val="000000" w:themeColor="text1"/>
                <w:lang w:val="en-US"/>
              </w:rPr>
              <w:t>(Range)</w:t>
            </w:r>
          </w:p>
        </w:tc>
        <w:tc>
          <w:tcPr>
            <w:tcW w:w="0" w:type="auto"/>
            <w:tcBorders>
              <w:top w:val="single" w:sz="4" w:space="0" w:color="auto"/>
              <w:bottom w:val="single" w:sz="4" w:space="0" w:color="auto"/>
            </w:tcBorders>
            <w:vAlign w:val="center"/>
          </w:tcPr>
          <w:p w14:paraId="39FFDFAF" w14:textId="77777777" w:rsidR="008B5FC5" w:rsidRPr="008E3F16" w:rsidRDefault="008B5FC5" w:rsidP="00C66188">
            <w:pPr>
              <w:adjustRightInd w:val="0"/>
              <w:snapToGrid w:val="0"/>
              <w:spacing w:line="360" w:lineRule="auto"/>
              <w:jc w:val="center"/>
              <w:rPr>
                <w:rFonts w:ascii="Book Antiqua" w:hAnsi="Book Antiqua" w:cs="Arial"/>
                <w:b/>
                <w:bCs/>
                <w:color w:val="000000" w:themeColor="text1"/>
                <w:lang w:val="en-US"/>
              </w:rPr>
            </w:pPr>
            <w:r w:rsidRPr="008E3F16">
              <w:rPr>
                <w:rFonts w:ascii="Book Antiqua" w:hAnsi="Book Antiqua" w:cs="Arial"/>
                <w:b/>
                <w:bCs/>
                <w:color w:val="000000" w:themeColor="text1"/>
                <w:lang w:val="en-US"/>
              </w:rPr>
              <w:t>FN</w:t>
            </w:r>
          </w:p>
        </w:tc>
        <w:tc>
          <w:tcPr>
            <w:tcW w:w="0" w:type="auto"/>
            <w:tcBorders>
              <w:top w:val="single" w:sz="4" w:space="0" w:color="auto"/>
              <w:bottom w:val="single" w:sz="4" w:space="0" w:color="auto"/>
            </w:tcBorders>
            <w:vAlign w:val="center"/>
          </w:tcPr>
          <w:p w14:paraId="28350CC0" w14:textId="77777777" w:rsidR="008B5FC5" w:rsidRPr="008E3F16" w:rsidRDefault="008B5FC5" w:rsidP="00C66188">
            <w:pPr>
              <w:adjustRightInd w:val="0"/>
              <w:snapToGrid w:val="0"/>
              <w:spacing w:line="360" w:lineRule="auto"/>
              <w:jc w:val="center"/>
              <w:rPr>
                <w:rFonts w:ascii="Book Antiqua" w:hAnsi="Book Antiqua" w:cs="Arial"/>
                <w:b/>
                <w:bCs/>
                <w:color w:val="000000" w:themeColor="text1"/>
                <w:lang w:val="en-US"/>
              </w:rPr>
            </w:pPr>
            <w:r w:rsidRPr="008E3F16">
              <w:rPr>
                <w:rFonts w:ascii="Book Antiqua" w:hAnsi="Book Antiqua" w:cs="Arial"/>
                <w:b/>
                <w:bCs/>
                <w:color w:val="000000" w:themeColor="text1"/>
                <w:lang w:val="en-US"/>
              </w:rPr>
              <w:t>(Range)</w:t>
            </w:r>
          </w:p>
        </w:tc>
      </w:tr>
      <w:tr w:rsidR="008E3F16" w:rsidRPr="008E3F16" w14:paraId="38D562A2" w14:textId="77777777" w:rsidTr="000E3C3A">
        <w:trPr>
          <w:trHeight w:val="288"/>
        </w:trPr>
        <w:tc>
          <w:tcPr>
            <w:tcW w:w="0" w:type="auto"/>
            <w:vMerge w:val="restart"/>
            <w:tcBorders>
              <w:top w:val="single" w:sz="4" w:space="0" w:color="auto"/>
            </w:tcBorders>
          </w:tcPr>
          <w:p w14:paraId="52AA0C34" w14:textId="3DD78D16" w:rsidR="008B5FC5" w:rsidRPr="008E3F16" w:rsidRDefault="008B5FC5"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All symptomatic patients (IgG)</w:t>
            </w:r>
          </w:p>
        </w:tc>
        <w:tc>
          <w:tcPr>
            <w:tcW w:w="0" w:type="auto"/>
            <w:tcBorders>
              <w:top w:val="single" w:sz="4" w:space="0" w:color="auto"/>
            </w:tcBorders>
            <w:vAlign w:val="center"/>
          </w:tcPr>
          <w:p w14:paraId="60A31183"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Mixed</w:t>
            </w:r>
          </w:p>
        </w:tc>
        <w:tc>
          <w:tcPr>
            <w:tcW w:w="0" w:type="auto"/>
            <w:tcBorders>
              <w:top w:val="single" w:sz="4" w:space="0" w:color="auto"/>
            </w:tcBorders>
            <w:vAlign w:val="center"/>
          </w:tcPr>
          <w:p w14:paraId="6AE3BAA2"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w:t>
            </w:r>
          </w:p>
        </w:tc>
        <w:tc>
          <w:tcPr>
            <w:tcW w:w="0" w:type="auto"/>
            <w:tcBorders>
              <w:top w:val="single" w:sz="4" w:space="0" w:color="auto"/>
            </w:tcBorders>
            <w:vAlign w:val="center"/>
          </w:tcPr>
          <w:p w14:paraId="3D7BD635"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(6–21)</w:t>
            </w:r>
          </w:p>
        </w:tc>
        <w:tc>
          <w:tcPr>
            <w:tcW w:w="0" w:type="auto"/>
            <w:tcBorders>
              <w:top w:val="single" w:sz="4" w:space="0" w:color="auto"/>
            </w:tcBorders>
            <w:vAlign w:val="center"/>
          </w:tcPr>
          <w:p w14:paraId="52D584BF"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698</w:t>
            </w:r>
          </w:p>
        </w:tc>
        <w:tc>
          <w:tcPr>
            <w:tcW w:w="0" w:type="auto"/>
            <w:tcBorders>
              <w:top w:val="single" w:sz="4" w:space="0" w:color="auto"/>
            </w:tcBorders>
            <w:vAlign w:val="center"/>
          </w:tcPr>
          <w:p w14:paraId="645276E4"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tcBorders>
              <w:top w:val="single" w:sz="4" w:space="0" w:color="auto"/>
            </w:tcBorders>
            <w:vAlign w:val="center"/>
          </w:tcPr>
          <w:p w14:paraId="4AA7EB0F"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9270</w:t>
            </w:r>
          </w:p>
        </w:tc>
        <w:tc>
          <w:tcPr>
            <w:tcW w:w="0" w:type="auto"/>
            <w:tcBorders>
              <w:top w:val="single" w:sz="4" w:space="0" w:color="auto"/>
            </w:tcBorders>
            <w:vAlign w:val="center"/>
          </w:tcPr>
          <w:p w14:paraId="26F17D4F"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tcBorders>
              <w:top w:val="single" w:sz="4" w:space="0" w:color="auto"/>
            </w:tcBorders>
            <w:vAlign w:val="center"/>
          </w:tcPr>
          <w:p w14:paraId="196117E4"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w:t>
            </w:r>
            <w:r w:rsidR="004D1427" w:rsidRPr="008E3F16">
              <w:rPr>
                <w:rFonts w:ascii="Book Antiqua" w:hAnsi="Book Antiqua" w:cs="Arial"/>
                <w:color w:val="000000" w:themeColor="text1"/>
                <w:lang w:val="en-US"/>
              </w:rPr>
              <w:t>3</w:t>
            </w:r>
          </w:p>
        </w:tc>
        <w:tc>
          <w:tcPr>
            <w:tcW w:w="0" w:type="auto"/>
            <w:tcBorders>
              <w:top w:val="single" w:sz="4" w:space="0" w:color="auto"/>
            </w:tcBorders>
            <w:vAlign w:val="center"/>
          </w:tcPr>
          <w:p w14:paraId="3CDE57A6"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(21–26)</w:t>
            </w:r>
          </w:p>
        </w:tc>
      </w:tr>
      <w:tr w:rsidR="008E3F16" w:rsidRPr="008E3F16" w14:paraId="0C30A39C" w14:textId="77777777" w:rsidTr="000E3C3A">
        <w:trPr>
          <w:trHeight w:val="288"/>
        </w:trPr>
        <w:tc>
          <w:tcPr>
            <w:tcW w:w="0" w:type="auto"/>
            <w:vMerge/>
          </w:tcPr>
          <w:p w14:paraId="6D35A6D5" w14:textId="77777777" w:rsidR="008B5FC5" w:rsidRPr="008E3F16" w:rsidRDefault="008B5FC5"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3E4E2C3F"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20</w:t>
            </w:r>
          </w:p>
        </w:tc>
        <w:tc>
          <w:tcPr>
            <w:tcW w:w="0" w:type="auto"/>
            <w:vAlign w:val="center"/>
          </w:tcPr>
          <w:p w14:paraId="580431E5"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7</w:t>
            </w:r>
          </w:p>
        </w:tc>
        <w:tc>
          <w:tcPr>
            <w:tcW w:w="0" w:type="auto"/>
            <w:vAlign w:val="center"/>
          </w:tcPr>
          <w:p w14:paraId="33FB0332"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(5–10)</w:t>
            </w:r>
          </w:p>
        </w:tc>
        <w:tc>
          <w:tcPr>
            <w:tcW w:w="0" w:type="auto"/>
            <w:vAlign w:val="center"/>
          </w:tcPr>
          <w:p w14:paraId="3FB6694F"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698</w:t>
            </w:r>
          </w:p>
        </w:tc>
        <w:tc>
          <w:tcPr>
            <w:tcW w:w="0" w:type="auto"/>
            <w:vAlign w:val="center"/>
          </w:tcPr>
          <w:p w14:paraId="53F2D4DD"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(498–897)</w:t>
            </w:r>
          </w:p>
        </w:tc>
        <w:tc>
          <w:tcPr>
            <w:tcW w:w="0" w:type="auto"/>
            <w:vAlign w:val="center"/>
          </w:tcPr>
          <w:p w14:paraId="25DD01F8"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9270</w:t>
            </w:r>
          </w:p>
        </w:tc>
        <w:tc>
          <w:tcPr>
            <w:tcW w:w="0" w:type="auto"/>
            <w:vAlign w:val="center"/>
          </w:tcPr>
          <w:p w14:paraId="2AA15F36"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(9071–9470)</w:t>
            </w:r>
          </w:p>
        </w:tc>
        <w:tc>
          <w:tcPr>
            <w:tcW w:w="0" w:type="auto"/>
            <w:vAlign w:val="center"/>
          </w:tcPr>
          <w:p w14:paraId="0BCE6579"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25</w:t>
            </w:r>
          </w:p>
        </w:tc>
        <w:tc>
          <w:tcPr>
            <w:tcW w:w="0" w:type="auto"/>
            <w:vAlign w:val="center"/>
          </w:tcPr>
          <w:p w14:paraId="0817980B"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(22–27)</w:t>
            </w:r>
          </w:p>
        </w:tc>
      </w:tr>
      <w:tr w:rsidR="008E3F16" w:rsidRPr="008E3F16" w14:paraId="79C9A39D" w14:textId="77777777" w:rsidTr="000E3C3A">
        <w:trPr>
          <w:trHeight w:val="288"/>
        </w:trPr>
        <w:tc>
          <w:tcPr>
            <w:tcW w:w="0" w:type="auto"/>
            <w:vMerge/>
          </w:tcPr>
          <w:p w14:paraId="41014155" w14:textId="77777777" w:rsidR="008B5FC5" w:rsidRPr="008E3F16" w:rsidRDefault="008B5FC5"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6834336B"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15</w:t>
            </w:r>
          </w:p>
        </w:tc>
        <w:tc>
          <w:tcPr>
            <w:tcW w:w="0" w:type="auto"/>
            <w:vAlign w:val="center"/>
          </w:tcPr>
          <w:p w14:paraId="35A56C09"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w:t>
            </w:r>
          </w:p>
        </w:tc>
        <w:tc>
          <w:tcPr>
            <w:tcW w:w="0" w:type="auto"/>
            <w:vAlign w:val="center"/>
          </w:tcPr>
          <w:p w14:paraId="262E58C8"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(5–14)</w:t>
            </w:r>
          </w:p>
        </w:tc>
        <w:tc>
          <w:tcPr>
            <w:tcW w:w="0" w:type="auto"/>
            <w:vAlign w:val="center"/>
          </w:tcPr>
          <w:p w14:paraId="5B10BD62"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797</w:t>
            </w:r>
          </w:p>
        </w:tc>
        <w:tc>
          <w:tcPr>
            <w:tcW w:w="0" w:type="auto"/>
            <w:vAlign w:val="center"/>
          </w:tcPr>
          <w:p w14:paraId="2C3E3271"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(399–1,595)</w:t>
            </w:r>
          </w:p>
        </w:tc>
        <w:tc>
          <w:tcPr>
            <w:tcW w:w="0" w:type="auto"/>
            <w:vAlign w:val="center"/>
          </w:tcPr>
          <w:p w14:paraId="6921EAB8"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9171</w:t>
            </w:r>
          </w:p>
        </w:tc>
        <w:tc>
          <w:tcPr>
            <w:tcW w:w="0" w:type="auto"/>
            <w:vAlign w:val="center"/>
          </w:tcPr>
          <w:p w14:paraId="55369498"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(8373–9569)</w:t>
            </w:r>
          </w:p>
        </w:tc>
        <w:tc>
          <w:tcPr>
            <w:tcW w:w="0" w:type="auto"/>
            <w:vAlign w:val="center"/>
          </w:tcPr>
          <w:p w14:paraId="29EF7FCF"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23</w:t>
            </w:r>
          </w:p>
        </w:tc>
        <w:tc>
          <w:tcPr>
            <w:tcW w:w="0" w:type="auto"/>
            <w:vAlign w:val="center"/>
          </w:tcPr>
          <w:p w14:paraId="6406F3F3"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w:t>
            </w:r>
            <w:r w:rsidR="004D1427" w:rsidRPr="008E3F16">
              <w:rPr>
                <w:rFonts w:ascii="Book Antiqua" w:hAnsi="Book Antiqua" w:cs="Arial"/>
                <w:color w:val="000000" w:themeColor="text1"/>
                <w:lang w:val="en-US"/>
              </w:rPr>
              <w:t>18</w:t>
            </w:r>
            <w:r w:rsidRPr="008E3F16">
              <w:rPr>
                <w:rFonts w:ascii="Book Antiqua" w:hAnsi="Book Antiqua" w:cs="Arial"/>
                <w:color w:val="000000" w:themeColor="text1"/>
                <w:lang w:val="en-US"/>
              </w:rPr>
              <w:t>–27)</w:t>
            </w:r>
          </w:p>
        </w:tc>
      </w:tr>
      <w:tr w:rsidR="008E3F16" w:rsidRPr="008E3F16" w14:paraId="630E7436" w14:textId="77777777" w:rsidTr="000E3C3A">
        <w:trPr>
          <w:trHeight w:val="288"/>
        </w:trPr>
        <w:tc>
          <w:tcPr>
            <w:tcW w:w="0" w:type="auto"/>
            <w:vMerge w:val="restart"/>
          </w:tcPr>
          <w:p w14:paraId="4796C548" w14:textId="38A2B147" w:rsidR="008B5FC5" w:rsidRPr="008E3F16" w:rsidRDefault="008B5FC5"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UC (IgG)</w:t>
            </w:r>
          </w:p>
        </w:tc>
        <w:tc>
          <w:tcPr>
            <w:tcW w:w="0" w:type="auto"/>
            <w:vAlign w:val="center"/>
          </w:tcPr>
          <w:p w14:paraId="7E1B2FBF"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Mixed</w:t>
            </w:r>
          </w:p>
        </w:tc>
        <w:tc>
          <w:tcPr>
            <w:tcW w:w="0" w:type="auto"/>
            <w:vAlign w:val="center"/>
          </w:tcPr>
          <w:p w14:paraId="7403B55C"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10</w:t>
            </w:r>
          </w:p>
        </w:tc>
        <w:tc>
          <w:tcPr>
            <w:tcW w:w="0" w:type="auto"/>
            <w:vAlign w:val="center"/>
          </w:tcPr>
          <w:p w14:paraId="4D5177BE"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(8–12)</w:t>
            </w:r>
          </w:p>
        </w:tc>
        <w:tc>
          <w:tcPr>
            <w:tcW w:w="0" w:type="auto"/>
            <w:vAlign w:val="center"/>
          </w:tcPr>
          <w:p w14:paraId="496B8E76"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698</w:t>
            </w:r>
          </w:p>
        </w:tc>
        <w:tc>
          <w:tcPr>
            <w:tcW w:w="0" w:type="auto"/>
            <w:vAlign w:val="center"/>
          </w:tcPr>
          <w:p w14:paraId="3E4527EC"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7E196784"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9270</w:t>
            </w:r>
          </w:p>
        </w:tc>
        <w:tc>
          <w:tcPr>
            <w:tcW w:w="0" w:type="auto"/>
            <w:vAlign w:val="center"/>
          </w:tcPr>
          <w:p w14:paraId="2FA52A8A"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6E5DC613"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22</w:t>
            </w:r>
          </w:p>
        </w:tc>
        <w:tc>
          <w:tcPr>
            <w:tcW w:w="0" w:type="auto"/>
            <w:vAlign w:val="center"/>
          </w:tcPr>
          <w:p w14:paraId="1E84ADDB"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(20–24)</w:t>
            </w:r>
          </w:p>
        </w:tc>
      </w:tr>
      <w:tr w:rsidR="008E3F16" w:rsidRPr="008E3F16" w14:paraId="541A8B90" w14:textId="77777777" w:rsidTr="000E3C3A">
        <w:trPr>
          <w:trHeight w:val="288"/>
        </w:trPr>
        <w:tc>
          <w:tcPr>
            <w:tcW w:w="0" w:type="auto"/>
            <w:vMerge/>
          </w:tcPr>
          <w:p w14:paraId="3C8D2AA9" w14:textId="77777777" w:rsidR="008B5FC5" w:rsidRPr="008E3F16" w:rsidRDefault="008B5FC5"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0EAA7694"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20</w:t>
            </w:r>
          </w:p>
        </w:tc>
        <w:tc>
          <w:tcPr>
            <w:tcW w:w="0" w:type="auto"/>
            <w:vAlign w:val="center"/>
          </w:tcPr>
          <w:p w14:paraId="3C93D5CC"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8</w:t>
            </w:r>
          </w:p>
        </w:tc>
        <w:tc>
          <w:tcPr>
            <w:tcW w:w="0" w:type="auto"/>
            <w:vAlign w:val="center"/>
          </w:tcPr>
          <w:p w14:paraId="0E7DB846"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(5–11)</w:t>
            </w:r>
          </w:p>
        </w:tc>
        <w:tc>
          <w:tcPr>
            <w:tcW w:w="0" w:type="auto"/>
            <w:vAlign w:val="center"/>
          </w:tcPr>
          <w:p w14:paraId="0812FBA6"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698</w:t>
            </w:r>
          </w:p>
        </w:tc>
        <w:tc>
          <w:tcPr>
            <w:tcW w:w="0" w:type="auto"/>
            <w:vAlign w:val="center"/>
          </w:tcPr>
          <w:p w14:paraId="5B4CB4D8"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(399–997)</w:t>
            </w:r>
          </w:p>
        </w:tc>
        <w:tc>
          <w:tcPr>
            <w:tcW w:w="0" w:type="auto"/>
            <w:vAlign w:val="center"/>
          </w:tcPr>
          <w:p w14:paraId="28C29C62"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9270</w:t>
            </w:r>
          </w:p>
        </w:tc>
        <w:tc>
          <w:tcPr>
            <w:tcW w:w="0" w:type="auto"/>
            <w:vAlign w:val="center"/>
          </w:tcPr>
          <w:p w14:paraId="4CF6343E"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(8971–9569)</w:t>
            </w:r>
          </w:p>
        </w:tc>
        <w:tc>
          <w:tcPr>
            <w:tcW w:w="0" w:type="auto"/>
            <w:vAlign w:val="center"/>
          </w:tcPr>
          <w:p w14:paraId="1C3F03CB"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24</w:t>
            </w:r>
          </w:p>
        </w:tc>
        <w:tc>
          <w:tcPr>
            <w:tcW w:w="0" w:type="auto"/>
            <w:vAlign w:val="center"/>
          </w:tcPr>
          <w:p w14:paraId="38815159"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(21–27)</w:t>
            </w:r>
          </w:p>
        </w:tc>
      </w:tr>
      <w:tr w:rsidR="008E3F16" w:rsidRPr="008E3F16" w14:paraId="085EA928" w14:textId="77777777" w:rsidTr="000E3C3A">
        <w:trPr>
          <w:trHeight w:val="288"/>
        </w:trPr>
        <w:tc>
          <w:tcPr>
            <w:tcW w:w="0" w:type="auto"/>
            <w:vMerge/>
          </w:tcPr>
          <w:p w14:paraId="1968F10D" w14:textId="77777777" w:rsidR="008B5FC5" w:rsidRPr="008E3F16" w:rsidRDefault="008B5FC5"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69F43C1D"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15</w:t>
            </w:r>
          </w:p>
        </w:tc>
        <w:tc>
          <w:tcPr>
            <w:tcW w:w="0" w:type="auto"/>
            <w:vAlign w:val="center"/>
          </w:tcPr>
          <w:p w14:paraId="59B30DCF"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w:t>
            </w:r>
          </w:p>
        </w:tc>
        <w:tc>
          <w:tcPr>
            <w:tcW w:w="0" w:type="auto"/>
            <w:vAlign w:val="center"/>
          </w:tcPr>
          <w:p w14:paraId="45259FE8"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(5–14)</w:t>
            </w:r>
          </w:p>
        </w:tc>
        <w:tc>
          <w:tcPr>
            <w:tcW w:w="0" w:type="auto"/>
            <w:vAlign w:val="center"/>
          </w:tcPr>
          <w:p w14:paraId="4F745BBA"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997</w:t>
            </w:r>
          </w:p>
        </w:tc>
        <w:tc>
          <w:tcPr>
            <w:tcW w:w="0" w:type="auto"/>
            <w:vAlign w:val="center"/>
          </w:tcPr>
          <w:p w14:paraId="3DEFBD3F"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(598–1595)</w:t>
            </w:r>
          </w:p>
        </w:tc>
        <w:tc>
          <w:tcPr>
            <w:tcW w:w="0" w:type="auto"/>
            <w:vAlign w:val="center"/>
          </w:tcPr>
          <w:p w14:paraId="313BE916"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8971</w:t>
            </w:r>
          </w:p>
        </w:tc>
        <w:tc>
          <w:tcPr>
            <w:tcW w:w="0" w:type="auto"/>
            <w:vAlign w:val="center"/>
          </w:tcPr>
          <w:p w14:paraId="6269CA9B"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(8373–9370)</w:t>
            </w:r>
          </w:p>
        </w:tc>
        <w:tc>
          <w:tcPr>
            <w:tcW w:w="0" w:type="auto"/>
            <w:vAlign w:val="center"/>
          </w:tcPr>
          <w:p w14:paraId="0F8E7F71"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23</w:t>
            </w:r>
          </w:p>
        </w:tc>
        <w:tc>
          <w:tcPr>
            <w:tcW w:w="0" w:type="auto"/>
            <w:vAlign w:val="center"/>
          </w:tcPr>
          <w:p w14:paraId="68BBD170"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(18–27)</w:t>
            </w:r>
          </w:p>
        </w:tc>
      </w:tr>
      <w:tr w:rsidR="008E3F16" w:rsidRPr="008E3F16" w14:paraId="76B2495D" w14:textId="77777777" w:rsidTr="000E3C3A">
        <w:trPr>
          <w:trHeight w:val="288"/>
        </w:trPr>
        <w:tc>
          <w:tcPr>
            <w:tcW w:w="0" w:type="auto"/>
            <w:vMerge w:val="restart"/>
          </w:tcPr>
          <w:p w14:paraId="328C137D" w14:textId="11860776" w:rsidR="008B5FC5" w:rsidRPr="008E3F16" w:rsidRDefault="008B5FC5"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All symptomatic patients (IgA)</w:t>
            </w:r>
          </w:p>
        </w:tc>
        <w:tc>
          <w:tcPr>
            <w:tcW w:w="0" w:type="auto"/>
            <w:vAlign w:val="center"/>
          </w:tcPr>
          <w:p w14:paraId="42D45F7A"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Mixed</w:t>
            </w:r>
          </w:p>
        </w:tc>
        <w:tc>
          <w:tcPr>
            <w:tcW w:w="0" w:type="auto"/>
            <w:vAlign w:val="center"/>
          </w:tcPr>
          <w:p w14:paraId="685FA695"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5</w:t>
            </w:r>
          </w:p>
        </w:tc>
        <w:tc>
          <w:tcPr>
            <w:tcW w:w="0" w:type="auto"/>
            <w:vAlign w:val="center"/>
          </w:tcPr>
          <w:p w14:paraId="3886851C"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(4–6)</w:t>
            </w:r>
          </w:p>
        </w:tc>
        <w:tc>
          <w:tcPr>
            <w:tcW w:w="0" w:type="auto"/>
            <w:vAlign w:val="center"/>
          </w:tcPr>
          <w:p w14:paraId="1BAD5AFE"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299</w:t>
            </w:r>
          </w:p>
        </w:tc>
        <w:tc>
          <w:tcPr>
            <w:tcW w:w="0" w:type="auto"/>
            <w:vAlign w:val="center"/>
          </w:tcPr>
          <w:p w14:paraId="64887140"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616DA02E"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9,669</w:t>
            </w:r>
          </w:p>
        </w:tc>
        <w:tc>
          <w:tcPr>
            <w:tcW w:w="0" w:type="auto"/>
            <w:vAlign w:val="center"/>
          </w:tcPr>
          <w:p w14:paraId="45A6EF2F"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3032BC2F"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27</w:t>
            </w:r>
          </w:p>
        </w:tc>
        <w:tc>
          <w:tcPr>
            <w:tcW w:w="0" w:type="auto"/>
            <w:vAlign w:val="center"/>
          </w:tcPr>
          <w:p w14:paraId="256A364F"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(26–28)</w:t>
            </w:r>
          </w:p>
        </w:tc>
      </w:tr>
      <w:tr w:rsidR="008E3F16" w:rsidRPr="008E3F16" w14:paraId="030FF2B2" w14:textId="77777777" w:rsidTr="000E3C3A">
        <w:trPr>
          <w:trHeight w:val="288"/>
        </w:trPr>
        <w:tc>
          <w:tcPr>
            <w:tcW w:w="0" w:type="auto"/>
            <w:vMerge/>
          </w:tcPr>
          <w:p w14:paraId="30B57EBB" w14:textId="77777777" w:rsidR="008B5FC5" w:rsidRPr="008E3F16" w:rsidRDefault="008B5FC5"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3DCB8ED8"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20</w:t>
            </w:r>
          </w:p>
        </w:tc>
        <w:tc>
          <w:tcPr>
            <w:tcW w:w="0" w:type="auto"/>
            <w:vAlign w:val="center"/>
          </w:tcPr>
          <w:p w14:paraId="4533D62D"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5</w:t>
            </w:r>
          </w:p>
        </w:tc>
        <w:tc>
          <w:tcPr>
            <w:tcW w:w="0" w:type="auto"/>
            <w:vAlign w:val="center"/>
          </w:tcPr>
          <w:p w14:paraId="70AC50CA"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(3–8)</w:t>
            </w:r>
          </w:p>
        </w:tc>
        <w:tc>
          <w:tcPr>
            <w:tcW w:w="0" w:type="auto"/>
            <w:vAlign w:val="center"/>
          </w:tcPr>
          <w:p w14:paraId="1DA44A6C"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399</w:t>
            </w:r>
          </w:p>
        </w:tc>
        <w:tc>
          <w:tcPr>
            <w:tcW w:w="0" w:type="auto"/>
            <w:vAlign w:val="center"/>
          </w:tcPr>
          <w:p w14:paraId="42C7E095"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(100–1396)</w:t>
            </w:r>
          </w:p>
        </w:tc>
        <w:tc>
          <w:tcPr>
            <w:tcW w:w="0" w:type="auto"/>
            <w:vAlign w:val="center"/>
          </w:tcPr>
          <w:p w14:paraId="08FF9BAF"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9,569</w:t>
            </w:r>
          </w:p>
        </w:tc>
        <w:tc>
          <w:tcPr>
            <w:tcW w:w="0" w:type="auto"/>
            <w:vAlign w:val="center"/>
          </w:tcPr>
          <w:p w14:paraId="51043D19"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(8572–9868)</w:t>
            </w:r>
          </w:p>
        </w:tc>
        <w:tc>
          <w:tcPr>
            <w:tcW w:w="0" w:type="auto"/>
            <w:vAlign w:val="center"/>
          </w:tcPr>
          <w:p w14:paraId="2AA8CE96"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27</w:t>
            </w:r>
          </w:p>
        </w:tc>
        <w:tc>
          <w:tcPr>
            <w:tcW w:w="0" w:type="auto"/>
            <w:vAlign w:val="center"/>
          </w:tcPr>
          <w:p w14:paraId="290A168D"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(24–29)</w:t>
            </w:r>
          </w:p>
        </w:tc>
      </w:tr>
      <w:tr w:rsidR="008E3F16" w:rsidRPr="008E3F16" w14:paraId="164C2E00" w14:textId="77777777" w:rsidTr="000E3C3A">
        <w:trPr>
          <w:trHeight w:val="288"/>
        </w:trPr>
        <w:tc>
          <w:tcPr>
            <w:tcW w:w="0" w:type="auto"/>
            <w:vMerge w:val="restart"/>
          </w:tcPr>
          <w:p w14:paraId="15DE577B" w14:textId="64896C7C" w:rsidR="008B5FC5" w:rsidRPr="008E3F16" w:rsidRDefault="008B5FC5"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UC (IgA)</w:t>
            </w:r>
          </w:p>
        </w:tc>
        <w:tc>
          <w:tcPr>
            <w:tcW w:w="0" w:type="auto"/>
            <w:vAlign w:val="center"/>
          </w:tcPr>
          <w:p w14:paraId="0DCEC1BC"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Mixed</w:t>
            </w:r>
          </w:p>
        </w:tc>
        <w:tc>
          <w:tcPr>
            <w:tcW w:w="0" w:type="auto"/>
            <w:vAlign w:val="center"/>
          </w:tcPr>
          <w:p w14:paraId="4FEB0EAE"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4</w:t>
            </w:r>
          </w:p>
        </w:tc>
        <w:tc>
          <w:tcPr>
            <w:tcW w:w="0" w:type="auto"/>
            <w:vAlign w:val="center"/>
          </w:tcPr>
          <w:p w14:paraId="079F0AB2"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(1–6)</w:t>
            </w:r>
          </w:p>
        </w:tc>
        <w:tc>
          <w:tcPr>
            <w:tcW w:w="0" w:type="auto"/>
            <w:vAlign w:val="center"/>
          </w:tcPr>
          <w:p w14:paraId="7B6A0E33"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199</w:t>
            </w:r>
          </w:p>
        </w:tc>
        <w:tc>
          <w:tcPr>
            <w:tcW w:w="0" w:type="auto"/>
            <w:vAlign w:val="center"/>
          </w:tcPr>
          <w:p w14:paraId="2EAFBBEE"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26C9679D"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9,769</w:t>
            </w:r>
          </w:p>
        </w:tc>
        <w:tc>
          <w:tcPr>
            <w:tcW w:w="0" w:type="auto"/>
            <w:vAlign w:val="center"/>
          </w:tcPr>
          <w:p w14:paraId="1798B6D2"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58AA6663"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28</w:t>
            </w:r>
          </w:p>
        </w:tc>
        <w:tc>
          <w:tcPr>
            <w:tcW w:w="0" w:type="auto"/>
            <w:vAlign w:val="center"/>
          </w:tcPr>
          <w:p w14:paraId="1C26C47A"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(26–31)</w:t>
            </w:r>
          </w:p>
        </w:tc>
      </w:tr>
      <w:tr w:rsidR="008E3F16" w:rsidRPr="008E3F16" w14:paraId="7475EF1C" w14:textId="77777777" w:rsidTr="000E3C3A">
        <w:trPr>
          <w:trHeight w:val="288"/>
        </w:trPr>
        <w:tc>
          <w:tcPr>
            <w:tcW w:w="0" w:type="auto"/>
            <w:vMerge/>
          </w:tcPr>
          <w:p w14:paraId="038D79E4" w14:textId="77777777" w:rsidR="008B5FC5" w:rsidRPr="008E3F16" w:rsidRDefault="008B5FC5"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6589C2AB"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20</w:t>
            </w:r>
          </w:p>
        </w:tc>
        <w:tc>
          <w:tcPr>
            <w:tcW w:w="0" w:type="auto"/>
            <w:vAlign w:val="center"/>
          </w:tcPr>
          <w:p w14:paraId="70FE05B7"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5</w:t>
            </w:r>
          </w:p>
        </w:tc>
        <w:tc>
          <w:tcPr>
            <w:tcW w:w="0" w:type="auto"/>
            <w:vAlign w:val="center"/>
          </w:tcPr>
          <w:p w14:paraId="5C2E3763"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(3–7)</w:t>
            </w:r>
          </w:p>
        </w:tc>
        <w:tc>
          <w:tcPr>
            <w:tcW w:w="0" w:type="auto"/>
            <w:vAlign w:val="center"/>
          </w:tcPr>
          <w:p w14:paraId="740FBF2E"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199</w:t>
            </w:r>
          </w:p>
        </w:tc>
        <w:tc>
          <w:tcPr>
            <w:tcW w:w="0" w:type="auto"/>
            <w:vAlign w:val="center"/>
          </w:tcPr>
          <w:p w14:paraId="1B264F55"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(100–399)</w:t>
            </w:r>
          </w:p>
        </w:tc>
        <w:tc>
          <w:tcPr>
            <w:tcW w:w="0" w:type="auto"/>
            <w:vAlign w:val="center"/>
          </w:tcPr>
          <w:p w14:paraId="27BE4107"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9,769</w:t>
            </w:r>
          </w:p>
        </w:tc>
        <w:tc>
          <w:tcPr>
            <w:tcW w:w="0" w:type="auto"/>
            <w:vAlign w:val="center"/>
          </w:tcPr>
          <w:p w14:paraId="48D17884"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(9569–9868)</w:t>
            </w:r>
          </w:p>
        </w:tc>
        <w:tc>
          <w:tcPr>
            <w:tcW w:w="0" w:type="auto"/>
            <w:vAlign w:val="center"/>
          </w:tcPr>
          <w:p w14:paraId="27094B07"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27</w:t>
            </w:r>
          </w:p>
        </w:tc>
        <w:tc>
          <w:tcPr>
            <w:tcW w:w="0" w:type="auto"/>
            <w:vAlign w:val="center"/>
          </w:tcPr>
          <w:p w14:paraId="2A9014AD"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(25–27)</w:t>
            </w:r>
          </w:p>
        </w:tc>
      </w:tr>
      <w:tr w:rsidR="008E3F16" w:rsidRPr="008E3F16" w14:paraId="269E08C9" w14:textId="77777777" w:rsidTr="000E3C3A">
        <w:trPr>
          <w:trHeight w:val="288"/>
        </w:trPr>
        <w:tc>
          <w:tcPr>
            <w:tcW w:w="0" w:type="auto"/>
            <w:vMerge w:val="restart"/>
          </w:tcPr>
          <w:p w14:paraId="6B630333" w14:textId="1D3B6257" w:rsidR="008B5FC5" w:rsidRPr="008E3F16" w:rsidRDefault="008B5FC5"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lastRenderedPageBreak/>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All symptomatic patients (IgA and/or IgG)</w:t>
            </w:r>
          </w:p>
        </w:tc>
        <w:tc>
          <w:tcPr>
            <w:tcW w:w="0" w:type="auto"/>
            <w:vAlign w:val="center"/>
          </w:tcPr>
          <w:p w14:paraId="507EA972"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Mixed</w:t>
            </w:r>
          </w:p>
        </w:tc>
        <w:tc>
          <w:tcPr>
            <w:tcW w:w="0" w:type="auto"/>
            <w:vAlign w:val="center"/>
          </w:tcPr>
          <w:p w14:paraId="2637663D"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6</w:t>
            </w:r>
          </w:p>
        </w:tc>
        <w:tc>
          <w:tcPr>
            <w:tcW w:w="0" w:type="auto"/>
            <w:vAlign w:val="center"/>
          </w:tcPr>
          <w:p w14:paraId="3659F43F"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(3–9)</w:t>
            </w:r>
          </w:p>
        </w:tc>
        <w:tc>
          <w:tcPr>
            <w:tcW w:w="0" w:type="auto"/>
            <w:vAlign w:val="center"/>
          </w:tcPr>
          <w:p w14:paraId="33FBF6AB"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299</w:t>
            </w:r>
          </w:p>
        </w:tc>
        <w:tc>
          <w:tcPr>
            <w:tcW w:w="0" w:type="auto"/>
            <w:vAlign w:val="center"/>
          </w:tcPr>
          <w:p w14:paraId="6432D988"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0DD02754"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9,669</w:t>
            </w:r>
          </w:p>
        </w:tc>
        <w:tc>
          <w:tcPr>
            <w:tcW w:w="0" w:type="auto"/>
            <w:vAlign w:val="center"/>
          </w:tcPr>
          <w:p w14:paraId="05816ABB"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50E837AA"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26</w:t>
            </w:r>
          </w:p>
        </w:tc>
        <w:tc>
          <w:tcPr>
            <w:tcW w:w="0" w:type="auto"/>
            <w:vAlign w:val="center"/>
          </w:tcPr>
          <w:p w14:paraId="77AC4348"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(20–23)</w:t>
            </w:r>
          </w:p>
        </w:tc>
      </w:tr>
      <w:tr w:rsidR="008E3F16" w:rsidRPr="008E3F16" w14:paraId="7405C275" w14:textId="77777777" w:rsidTr="000E3C3A">
        <w:trPr>
          <w:trHeight w:val="288"/>
        </w:trPr>
        <w:tc>
          <w:tcPr>
            <w:tcW w:w="0" w:type="auto"/>
            <w:vMerge/>
          </w:tcPr>
          <w:p w14:paraId="17C3C297" w14:textId="77777777" w:rsidR="008B5FC5" w:rsidRPr="008E3F16" w:rsidRDefault="008B5FC5"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4C0CDDD7"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20</w:t>
            </w:r>
          </w:p>
        </w:tc>
        <w:tc>
          <w:tcPr>
            <w:tcW w:w="0" w:type="auto"/>
            <w:vAlign w:val="center"/>
          </w:tcPr>
          <w:p w14:paraId="24A769C8"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7</w:t>
            </w:r>
          </w:p>
        </w:tc>
        <w:tc>
          <w:tcPr>
            <w:tcW w:w="0" w:type="auto"/>
            <w:vAlign w:val="center"/>
          </w:tcPr>
          <w:p w14:paraId="4591EDFB"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(4–12)</w:t>
            </w:r>
          </w:p>
        </w:tc>
        <w:tc>
          <w:tcPr>
            <w:tcW w:w="0" w:type="auto"/>
            <w:vAlign w:val="center"/>
          </w:tcPr>
          <w:p w14:paraId="0A63853D"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698</w:t>
            </w:r>
          </w:p>
        </w:tc>
        <w:tc>
          <w:tcPr>
            <w:tcW w:w="0" w:type="auto"/>
            <w:vAlign w:val="center"/>
          </w:tcPr>
          <w:p w14:paraId="26FB1A7A"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(199–1994)</w:t>
            </w:r>
          </w:p>
        </w:tc>
        <w:tc>
          <w:tcPr>
            <w:tcW w:w="0" w:type="auto"/>
            <w:vAlign w:val="center"/>
          </w:tcPr>
          <w:p w14:paraId="0A337F55"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9,270</w:t>
            </w:r>
          </w:p>
        </w:tc>
        <w:tc>
          <w:tcPr>
            <w:tcW w:w="0" w:type="auto"/>
            <w:vAlign w:val="center"/>
          </w:tcPr>
          <w:p w14:paraId="74A89E84"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(7974–9769)</w:t>
            </w:r>
          </w:p>
        </w:tc>
        <w:tc>
          <w:tcPr>
            <w:tcW w:w="0" w:type="auto"/>
            <w:vAlign w:val="center"/>
          </w:tcPr>
          <w:p w14:paraId="03D62877"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25</w:t>
            </w:r>
          </w:p>
        </w:tc>
        <w:tc>
          <w:tcPr>
            <w:tcW w:w="0" w:type="auto"/>
            <w:vAlign w:val="center"/>
          </w:tcPr>
          <w:p w14:paraId="49DB101B"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(20–28)</w:t>
            </w:r>
          </w:p>
        </w:tc>
      </w:tr>
      <w:tr w:rsidR="008E3F16" w:rsidRPr="008E3F16" w14:paraId="7957BB70" w14:textId="77777777" w:rsidTr="000E3C3A">
        <w:trPr>
          <w:trHeight w:val="288"/>
        </w:trPr>
        <w:tc>
          <w:tcPr>
            <w:tcW w:w="0" w:type="auto"/>
            <w:vMerge w:val="restart"/>
          </w:tcPr>
          <w:p w14:paraId="1C01FCDD" w14:textId="302C3E63" w:rsidR="008B5FC5" w:rsidRPr="008E3F16" w:rsidRDefault="008B5FC5"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 xml:space="preserve">CD </w:t>
            </w:r>
            <w:r w:rsidR="00324F8A" w:rsidRPr="008E3F16">
              <w:rPr>
                <w:rFonts w:ascii="Book Antiqua" w:hAnsi="Book Antiqua" w:cs="Arial"/>
                <w:i/>
                <w:iCs/>
                <w:color w:val="000000" w:themeColor="text1"/>
                <w:lang w:val="en-US"/>
              </w:rPr>
              <w:t>vs</w:t>
            </w:r>
            <w:r w:rsidRPr="008E3F16">
              <w:rPr>
                <w:rFonts w:ascii="Book Antiqua" w:hAnsi="Book Antiqua" w:cs="Arial"/>
                <w:color w:val="000000" w:themeColor="text1"/>
                <w:lang w:val="en-US"/>
              </w:rPr>
              <w:t xml:space="preserve"> UC (IgA and/or IgG)</w:t>
            </w:r>
          </w:p>
        </w:tc>
        <w:tc>
          <w:tcPr>
            <w:tcW w:w="0" w:type="auto"/>
            <w:vAlign w:val="center"/>
          </w:tcPr>
          <w:p w14:paraId="134E7597"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Mixed</w:t>
            </w:r>
          </w:p>
        </w:tc>
        <w:tc>
          <w:tcPr>
            <w:tcW w:w="0" w:type="auto"/>
            <w:vAlign w:val="center"/>
          </w:tcPr>
          <w:p w14:paraId="4401EA63"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6</w:t>
            </w:r>
          </w:p>
        </w:tc>
        <w:tc>
          <w:tcPr>
            <w:tcW w:w="0" w:type="auto"/>
            <w:vAlign w:val="center"/>
          </w:tcPr>
          <w:p w14:paraId="1889AB37"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(1–11)</w:t>
            </w:r>
          </w:p>
        </w:tc>
        <w:tc>
          <w:tcPr>
            <w:tcW w:w="0" w:type="auto"/>
            <w:vAlign w:val="center"/>
          </w:tcPr>
          <w:p w14:paraId="747A08E3"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299</w:t>
            </w:r>
          </w:p>
        </w:tc>
        <w:tc>
          <w:tcPr>
            <w:tcW w:w="0" w:type="auto"/>
            <w:vAlign w:val="center"/>
          </w:tcPr>
          <w:p w14:paraId="08B3D73E"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765512DA"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9669</w:t>
            </w:r>
          </w:p>
        </w:tc>
        <w:tc>
          <w:tcPr>
            <w:tcW w:w="0" w:type="auto"/>
            <w:vAlign w:val="center"/>
          </w:tcPr>
          <w:p w14:paraId="38C13147"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668C42D6"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26</w:t>
            </w:r>
          </w:p>
        </w:tc>
        <w:tc>
          <w:tcPr>
            <w:tcW w:w="0" w:type="auto"/>
            <w:vAlign w:val="center"/>
          </w:tcPr>
          <w:p w14:paraId="2DED07FA"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(21–31)</w:t>
            </w:r>
          </w:p>
        </w:tc>
      </w:tr>
      <w:tr w:rsidR="008E3F16" w:rsidRPr="008E3F16" w14:paraId="3C37D133" w14:textId="77777777" w:rsidTr="000E3C3A">
        <w:trPr>
          <w:trHeight w:val="288"/>
        </w:trPr>
        <w:tc>
          <w:tcPr>
            <w:tcW w:w="0" w:type="auto"/>
            <w:vMerge/>
          </w:tcPr>
          <w:p w14:paraId="35BEABAD" w14:textId="77777777" w:rsidR="008B5FC5" w:rsidRPr="008E3F16" w:rsidRDefault="008B5FC5"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6ECCEC94"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20</w:t>
            </w:r>
          </w:p>
        </w:tc>
        <w:tc>
          <w:tcPr>
            <w:tcW w:w="0" w:type="auto"/>
            <w:vAlign w:val="center"/>
          </w:tcPr>
          <w:p w14:paraId="469CD6B6"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7</w:t>
            </w:r>
          </w:p>
        </w:tc>
        <w:tc>
          <w:tcPr>
            <w:tcW w:w="0" w:type="auto"/>
            <w:vAlign w:val="center"/>
          </w:tcPr>
          <w:p w14:paraId="09E5E228"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(4–10)</w:t>
            </w:r>
          </w:p>
        </w:tc>
        <w:tc>
          <w:tcPr>
            <w:tcW w:w="0" w:type="auto"/>
            <w:vAlign w:val="center"/>
          </w:tcPr>
          <w:p w14:paraId="5321CA6F"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399</w:t>
            </w:r>
          </w:p>
        </w:tc>
        <w:tc>
          <w:tcPr>
            <w:tcW w:w="0" w:type="auto"/>
            <w:vAlign w:val="center"/>
          </w:tcPr>
          <w:p w14:paraId="525FDD1D"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(199–698)</w:t>
            </w:r>
          </w:p>
        </w:tc>
        <w:tc>
          <w:tcPr>
            <w:tcW w:w="0" w:type="auto"/>
            <w:vAlign w:val="center"/>
          </w:tcPr>
          <w:p w14:paraId="42B284BE"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9,569</w:t>
            </w:r>
          </w:p>
        </w:tc>
        <w:tc>
          <w:tcPr>
            <w:tcW w:w="0" w:type="auto"/>
            <w:vAlign w:val="center"/>
          </w:tcPr>
          <w:p w14:paraId="559B3361"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(9270–9769)</w:t>
            </w:r>
          </w:p>
        </w:tc>
        <w:tc>
          <w:tcPr>
            <w:tcW w:w="0" w:type="auto"/>
            <w:vAlign w:val="center"/>
          </w:tcPr>
          <w:p w14:paraId="3E0EFF95"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25</w:t>
            </w:r>
          </w:p>
        </w:tc>
        <w:tc>
          <w:tcPr>
            <w:tcW w:w="0" w:type="auto"/>
            <w:vAlign w:val="center"/>
          </w:tcPr>
          <w:p w14:paraId="606FCDD2" w14:textId="77777777" w:rsidR="008B5FC5" w:rsidRPr="008E3F16" w:rsidRDefault="008B5FC5" w:rsidP="00C66188">
            <w:pPr>
              <w:adjustRightInd w:val="0"/>
              <w:snapToGrid w:val="0"/>
              <w:spacing w:line="360" w:lineRule="auto"/>
              <w:jc w:val="center"/>
              <w:rPr>
                <w:rFonts w:ascii="Book Antiqua" w:hAnsi="Book Antiqua" w:cs="Arial"/>
                <w:color w:val="000000" w:themeColor="text1"/>
                <w:lang w:val="en-US"/>
              </w:rPr>
            </w:pPr>
            <w:r w:rsidRPr="008E3F16">
              <w:rPr>
                <w:rFonts w:ascii="Book Antiqua" w:hAnsi="Book Antiqua" w:cs="Arial"/>
                <w:color w:val="000000" w:themeColor="text1"/>
                <w:lang w:val="en-US"/>
              </w:rPr>
              <w:t>(22–28)</w:t>
            </w:r>
          </w:p>
        </w:tc>
      </w:tr>
    </w:tbl>
    <w:p w14:paraId="6E0C9604" w14:textId="574A66BD" w:rsidR="000E3C3A" w:rsidRPr="008E3F16" w:rsidRDefault="000E3C3A" w:rsidP="00C66188">
      <w:pPr>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color w:val="000000" w:themeColor="text1"/>
          <w:lang w:val="en-US"/>
        </w:rPr>
        <w:t>Mixed diagnostic cut-off includes all cut-offs used as well as studies with unreported cut-offs. A prevalence of 322 per 100000 results in 32 patients with Crohn’s disease in this cohort. FN: False negatives; FP: False positives; TN: True negatives; TP: True positives; UC: Ulcerative colitis</w:t>
      </w:r>
      <w:r w:rsidR="00280826" w:rsidRPr="008E3F16">
        <w:rPr>
          <w:rFonts w:ascii="Book Antiqua" w:hAnsi="Book Antiqua" w:cs="Arial"/>
          <w:color w:val="000000" w:themeColor="text1"/>
          <w:lang w:val="en-US"/>
        </w:rPr>
        <w:t>; Ig: Immunoglobulin.</w:t>
      </w:r>
    </w:p>
    <w:p w14:paraId="621F9087" w14:textId="3A9883D8" w:rsidR="004E33F1" w:rsidRPr="008E3F16" w:rsidRDefault="00C222AC" w:rsidP="00C66188">
      <w:pPr>
        <w:adjustRightInd w:val="0"/>
        <w:snapToGrid w:val="0"/>
        <w:spacing w:line="360" w:lineRule="auto"/>
        <w:jc w:val="both"/>
        <w:rPr>
          <w:rFonts w:ascii="Book Antiqua" w:hAnsi="Book Antiqua" w:cs="Times New Roman"/>
          <w:color w:val="000000" w:themeColor="text1"/>
          <w:lang w:val="en-US"/>
        </w:rPr>
        <w:sectPr w:rsidR="004E33F1" w:rsidRPr="008E3F16" w:rsidSect="00C222AC">
          <w:pgSz w:w="16820" w:h="11900" w:orient="landscape"/>
          <w:pgMar w:top="1311" w:right="1355" w:bottom="1233" w:left="1132" w:header="708" w:footer="708" w:gutter="0"/>
          <w:cols w:space="708"/>
          <w:docGrid w:linePitch="360"/>
        </w:sectPr>
      </w:pPr>
      <w:r w:rsidRPr="008E3F16">
        <w:rPr>
          <w:rFonts w:ascii="Book Antiqua" w:hAnsi="Book Antiqua" w:cs="Times New Roman"/>
          <w:color w:val="000000" w:themeColor="text1"/>
          <w:lang w:val="en-US"/>
        </w:rPr>
        <w:br w:type="page"/>
      </w:r>
    </w:p>
    <w:p w14:paraId="28067AFB" w14:textId="0DBA32AF" w:rsidR="004C7958" w:rsidRPr="008E3F16" w:rsidRDefault="000E3C3A"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E3F16">
        <w:rPr>
          <w:rFonts w:ascii="Book Antiqua" w:hAnsi="Book Antiqua"/>
          <w:noProof/>
          <w:color w:val="000000" w:themeColor="text1"/>
          <w:lang w:val="en-US" w:eastAsia="zh-CN"/>
        </w:rPr>
        <w:lastRenderedPageBreak/>
        <w:drawing>
          <wp:inline distT="0" distB="0" distL="0" distR="0" wp14:anchorId="3B37206B" wp14:editId="25D1ABE6">
            <wp:extent cx="5941060" cy="367347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3673475"/>
                    </a:xfrm>
                    <a:prstGeom prst="rect">
                      <a:avLst/>
                    </a:prstGeom>
                  </pic:spPr>
                </pic:pic>
              </a:graphicData>
            </a:graphic>
          </wp:inline>
        </w:drawing>
      </w:r>
    </w:p>
    <w:p w14:paraId="1BA8BD09" w14:textId="7860D2BE" w:rsidR="004E33F1" w:rsidRPr="008E3F16" w:rsidRDefault="00C222AC" w:rsidP="00C66188">
      <w:pPr>
        <w:widowControl w:val="0"/>
        <w:autoSpaceDE w:val="0"/>
        <w:autoSpaceDN w:val="0"/>
        <w:adjustRightInd w:val="0"/>
        <w:snapToGrid w:val="0"/>
        <w:spacing w:line="360" w:lineRule="auto"/>
        <w:jc w:val="both"/>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t xml:space="preserve">Figure 1 </w:t>
      </w:r>
      <w:r w:rsidR="00AA649D" w:rsidRPr="008E3F16">
        <w:rPr>
          <w:rFonts w:ascii="Book Antiqua" w:hAnsi="Book Antiqua" w:cs="Times New Roman"/>
          <w:b/>
          <w:bCs/>
          <w:color w:val="000000" w:themeColor="text1"/>
          <w:lang w:val="en-US"/>
        </w:rPr>
        <w:t>F</w:t>
      </w:r>
      <w:r w:rsidRPr="008E3F16">
        <w:rPr>
          <w:rFonts w:ascii="Book Antiqua" w:hAnsi="Book Antiqua" w:cs="Times New Roman"/>
          <w:b/>
          <w:bCs/>
          <w:color w:val="000000" w:themeColor="text1"/>
          <w:lang w:val="en-US"/>
        </w:rPr>
        <w:t>lowchart of the diagnostic test accuracy studies selection.</w:t>
      </w:r>
    </w:p>
    <w:p w14:paraId="3368D18B" w14:textId="77777777" w:rsidR="000463A2" w:rsidRPr="008E3F16" w:rsidRDefault="000463A2" w:rsidP="00C66188">
      <w:pPr>
        <w:adjustRightInd w:val="0"/>
        <w:snapToGrid w:val="0"/>
        <w:spacing w:line="360" w:lineRule="auto"/>
        <w:jc w:val="both"/>
        <w:rPr>
          <w:rFonts w:ascii="Book Antiqua" w:hAnsi="Book Antiqua" w:cs="Times New Roman"/>
          <w:b/>
          <w:bCs/>
          <w:color w:val="000000" w:themeColor="text1"/>
          <w:lang w:val="en-US"/>
        </w:rPr>
      </w:pPr>
      <w:r w:rsidRPr="008E3F16">
        <w:rPr>
          <w:rFonts w:ascii="Book Antiqua" w:hAnsi="Book Antiqua" w:cs="Times New Roman"/>
          <w:b/>
          <w:bCs/>
          <w:color w:val="000000" w:themeColor="text1"/>
          <w:lang w:val="en-US"/>
        </w:rPr>
        <w:br w:type="page"/>
      </w:r>
    </w:p>
    <w:p w14:paraId="573BA214" w14:textId="17A489EF" w:rsidR="000463A2" w:rsidRPr="008E3F16" w:rsidRDefault="00797608" w:rsidP="00C66188">
      <w:pPr>
        <w:adjustRightInd w:val="0"/>
        <w:snapToGrid w:val="0"/>
        <w:spacing w:line="360" w:lineRule="auto"/>
        <w:jc w:val="both"/>
        <w:rPr>
          <w:rFonts w:ascii="Book Antiqua" w:hAnsi="Book Antiqua" w:cs="Arial"/>
          <w:b/>
          <w:color w:val="000000" w:themeColor="text1"/>
          <w:lang w:val="en-US"/>
        </w:rPr>
      </w:pPr>
      <w:r w:rsidRPr="008E3F16">
        <w:rPr>
          <w:rFonts w:ascii="Book Antiqua" w:hAnsi="Book Antiqua" w:cs="Arial"/>
          <w:b/>
          <w:noProof/>
          <w:color w:val="000000" w:themeColor="text1"/>
          <w:lang w:val="en-US" w:eastAsia="zh-CN"/>
        </w:rPr>
        <w:lastRenderedPageBreak/>
        <w:drawing>
          <wp:inline distT="0" distB="0" distL="0" distR="0" wp14:anchorId="1E4C4568" wp14:editId="12A5D250">
            <wp:extent cx="3662687" cy="5184251"/>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6409" cy="5203673"/>
                    </a:xfrm>
                    <a:prstGeom prst="rect">
                      <a:avLst/>
                    </a:prstGeom>
                  </pic:spPr>
                </pic:pic>
              </a:graphicData>
            </a:graphic>
          </wp:inline>
        </w:drawing>
      </w:r>
    </w:p>
    <w:p w14:paraId="2D3B3B8F" w14:textId="38908ACC" w:rsidR="000463A2" w:rsidRPr="008E3F16" w:rsidRDefault="000463A2" w:rsidP="00C66188">
      <w:pPr>
        <w:adjustRightInd w:val="0"/>
        <w:snapToGrid w:val="0"/>
        <w:spacing w:line="360" w:lineRule="auto"/>
        <w:jc w:val="both"/>
        <w:rPr>
          <w:rFonts w:ascii="Book Antiqua" w:hAnsi="Book Antiqua" w:cs="Arial"/>
          <w:color w:val="000000" w:themeColor="text1"/>
          <w:lang w:val="en-US"/>
        </w:rPr>
        <w:sectPr w:rsidR="000463A2" w:rsidRPr="008E3F16" w:rsidSect="004E33F1">
          <w:pgSz w:w="11900" w:h="16820"/>
          <w:pgMar w:top="1132" w:right="1311" w:bottom="1355" w:left="1233" w:header="708" w:footer="708" w:gutter="0"/>
          <w:cols w:space="708"/>
          <w:docGrid w:linePitch="360"/>
        </w:sectPr>
      </w:pPr>
      <w:r w:rsidRPr="008E3F16">
        <w:rPr>
          <w:rFonts w:ascii="Book Antiqua" w:hAnsi="Book Antiqua" w:cs="Arial"/>
          <w:b/>
          <w:color w:val="000000" w:themeColor="text1"/>
          <w:lang w:val="en-US"/>
        </w:rPr>
        <w:t>Figure 2</w:t>
      </w:r>
      <w:r w:rsidRPr="008E3F16">
        <w:rPr>
          <w:rFonts w:ascii="Book Antiqua" w:hAnsi="Book Antiqua" w:cs="Arial"/>
          <w:b/>
          <w:bCs/>
          <w:color w:val="000000" w:themeColor="text1"/>
          <w:lang w:val="en-US"/>
        </w:rPr>
        <w:t xml:space="preserve"> Quality assessment of the included studies based on the </w:t>
      </w:r>
      <w:r w:rsidR="00F82BB0" w:rsidRPr="008E3F16">
        <w:rPr>
          <w:rFonts w:ascii="Book Antiqua" w:hAnsi="Book Antiqua" w:cs="Arial"/>
          <w:b/>
          <w:bCs/>
          <w:color w:val="000000" w:themeColor="text1"/>
          <w:lang w:val="en-US"/>
        </w:rPr>
        <w:t>quality assessment of diagnostic accuracy s</w:t>
      </w:r>
      <w:r w:rsidR="00BB6AD9" w:rsidRPr="008E3F16">
        <w:rPr>
          <w:rFonts w:ascii="Book Antiqua" w:hAnsi="Book Antiqua" w:cs="Arial"/>
          <w:b/>
          <w:bCs/>
          <w:color w:val="000000" w:themeColor="text1"/>
          <w:lang w:val="en-US"/>
        </w:rPr>
        <w:t>tudies-2 tool</w:t>
      </w:r>
      <w:r w:rsidR="00BB6AD9" w:rsidRPr="008E3F16">
        <w:rPr>
          <w:rFonts w:ascii="Book Antiqua" w:hAnsi="Book Antiqua" w:cs="Arial"/>
          <w:b/>
          <w:bCs/>
          <w:color w:val="000000" w:themeColor="text1"/>
          <w:lang w:val="en-US"/>
        </w:rPr>
        <w:fldChar w:fldCharType="begin" w:fldLock="1"/>
      </w:r>
      <w:r w:rsidR="00FD4A65" w:rsidRPr="008E3F16">
        <w:rPr>
          <w:rFonts w:ascii="Book Antiqua" w:hAnsi="Book Antiqua" w:cs="Arial"/>
          <w:b/>
          <w:bCs/>
          <w:color w:val="000000" w:themeColor="text1"/>
          <w:lang w:val="en-US"/>
        </w:rPr>
        <w:instrText>ADDIN CSL_CITATION {"citationItems":[{"id":"ITEM-1","itemData":{"DOI":"10.7326/0003-4819-155-8-201110180-00009","ISSN":"0003-4819","PMID":"22007046","abstract":"In 2003, the QUADAS tool for systematic reviews of diagnostic accuracy studies was developed. Experience, anecdotal reports, and feedback suggested areas for improvement; therefore, QUADAS-2 was developed. This tool comprises 4 domains: patient selection, index test, reference standard, and flow and timing. Each domain is assessed in terms of risk of bias, and the first 3 domains are also assessed in terms of concerns regarding applicability. Signalling questions are included to help judge risk of bias. The QUADAS-2 tool is applied in 4 phases: summarize the review question, tailor the tool and produce review-specific guidance, construct a flow diagram for the primary study, and judge bias and applicability. This tool will allow for more transparent rating of bias and applicability of primary diagnostic accuracy studies.","author":[{"dropping-particle":"","family":"Whiting","given":"Penny F.","non-dropping-particle":"","parse-names":false,"suffix":""},{"dropping-particle":"","family":"Rutjes","given":"Anne W S","non-dropping-particle":"","parse-names":false,"suffix":""},{"dropping-particle":"","family":"Westwood","given":"Marie E","non-dropping-particle":"","parse-names":false,"suffix":""},{"dropping-particle":"","family":"Mallett","given":"Susan","non-dropping-particle":"","parse-names":false,"suffix":""},{"dropping-particle":"","family":"Deeks","given":"Jonathan J","non-dropping-particle":"","parse-names":false,"suffix":""},{"dropping-particle":"","family":"Reitsma","given":"Johannes B","non-dropping-particle":"","parse-names":false,"suffix":""},{"dropping-particle":"","family":"Leeflang","given":"Mariska M G","non-dropping-particle":"","parse-names":false,"suffix":""},{"dropping-particle":"","family":"Sterne","given":"Jonathan A C","non-dropping-particle":"","parse-names":false,"suffix":""},{"dropping-particle":"","family":"Bossuyt","given":"Patrick M M","non-dropping-particle":"","parse-names":false,"suffix":""},{"dropping-particle":"","family":"QUADAS-2 Group","given":"","non-dropping-particle":"","parse-names":false,"suffix":""}],"container-title":"Annals of Internal Medicine","id":"ITEM-1","issue":"8","issued":{"date-parts":[["2011","10","18"]]},"page":"529","title":"QUADAS-2: A Revised Tool for the Quality Assessment of Diagnostic Accuracy Studies","type":"article-journal","volume":"155"},"uris":["http://www.mendeley.com/documents/?uuid=51c7a18e-ddd1-3d96-bc51-97ba1e05e496"]}],"mendeley":{"formattedCitation":"&lt;sup&gt;[31]&lt;/sup&gt;","plainTextFormattedCitation":"[31]","previouslyFormattedCitation":"&lt;sup&gt;[31]&lt;/sup&gt;"},"properties":{"noteIndex":0},"schema":"https://github.com/citation-style-language/schema/raw/master/csl-citation.json"}</w:instrText>
      </w:r>
      <w:r w:rsidR="00BB6AD9" w:rsidRPr="008E3F16">
        <w:rPr>
          <w:rFonts w:ascii="Book Antiqua" w:hAnsi="Book Antiqua" w:cs="Arial"/>
          <w:b/>
          <w:bCs/>
          <w:color w:val="000000" w:themeColor="text1"/>
          <w:lang w:val="en-US"/>
        </w:rPr>
        <w:fldChar w:fldCharType="separate"/>
      </w:r>
      <w:r w:rsidR="00BB6AD9" w:rsidRPr="008E3F16">
        <w:rPr>
          <w:rFonts w:ascii="Book Antiqua" w:hAnsi="Book Antiqua" w:cs="Arial"/>
          <w:b/>
          <w:bCs/>
          <w:noProof/>
          <w:color w:val="000000" w:themeColor="text1"/>
          <w:vertAlign w:val="superscript"/>
          <w:lang w:val="en-US"/>
        </w:rPr>
        <w:t>[31]</w:t>
      </w:r>
      <w:r w:rsidR="00BB6AD9" w:rsidRPr="008E3F16">
        <w:rPr>
          <w:rFonts w:ascii="Book Antiqua" w:hAnsi="Book Antiqua" w:cs="Arial"/>
          <w:b/>
          <w:bCs/>
          <w:color w:val="000000" w:themeColor="text1"/>
          <w:lang w:val="en-US"/>
        </w:rPr>
        <w:fldChar w:fldCharType="end"/>
      </w:r>
      <w:r w:rsidR="00BB6AD9" w:rsidRPr="008E3F16">
        <w:rPr>
          <w:rFonts w:ascii="Book Antiqua" w:hAnsi="Book Antiqua" w:cs="Arial"/>
          <w:b/>
          <w:bCs/>
          <w:color w:val="000000" w:themeColor="text1"/>
          <w:lang w:val="en-US"/>
        </w:rPr>
        <w:t>.</w:t>
      </w:r>
    </w:p>
    <w:p w14:paraId="5468A687" w14:textId="7F49D2B9" w:rsidR="000463A2" w:rsidRPr="008E3F16" w:rsidRDefault="003141F2" w:rsidP="00C66188">
      <w:pPr>
        <w:widowControl w:val="0"/>
        <w:autoSpaceDE w:val="0"/>
        <w:autoSpaceDN w:val="0"/>
        <w:adjustRightInd w:val="0"/>
        <w:snapToGrid w:val="0"/>
        <w:spacing w:line="360" w:lineRule="auto"/>
        <w:jc w:val="both"/>
        <w:rPr>
          <w:rFonts w:ascii="Book Antiqua" w:hAnsi="Book Antiqua" w:cs="Arial"/>
          <w:b/>
          <w:bCs/>
          <w:color w:val="000000" w:themeColor="text1"/>
          <w:lang w:val="en-US"/>
        </w:rPr>
      </w:pPr>
      <w:r w:rsidRPr="008E3F16">
        <w:rPr>
          <w:rFonts w:ascii="Book Antiqua" w:hAnsi="Book Antiqua"/>
          <w:noProof/>
          <w:color w:val="000000" w:themeColor="text1"/>
          <w:lang w:val="en-US" w:eastAsia="zh-CN"/>
        </w:rPr>
        <w:lastRenderedPageBreak/>
        <w:drawing>
          <wp:inline distT="0" distB="0" distL="0" distR="0" wp14:anchorId="4E260907" wp14:editId="495CF50C">
            <wp:extent cx="7061200" cy="3875704"/>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75904" cy="3883775"/>
                    </a:xfrm>
                    <a:prstGeom prst="rect">
                      <a:avLst/>
                    </a:prstGeom>
                  </pic:spPr>
                </pic:pic>
              </a:graphicData>
            </a:graphic>
          </wp:inline>
        </w:drawing>
      </w:r>
    </w:p>
    <w:p w14:paraId="44057134" w14:textId="2A8E9148" w:rsidR="000463A2" w:rsidRPr="008E3F16" w:rsidRDefault="000463A2" w:rsidP="00C66188">
      <w:pPr>
        <w:widowControl w:val="0"/>
        <w:autoSpaceDE w:val="0"/>
        <w:autoSpaceDN w:val="0"/>
        <w:adjustRightInd w:val="0"/>
        <w:snapToGrid w:val="0"/>
        <w:spacing w:line="360" w:lineRule="auto"/>
        <w:jc w:val="both"/>
        <w:rPr>
          <w:rFonts w:ascii="Book Antiqua" w:hAnsi="Book Antiqua" w:cs="Arial"/>
          <w:color w:val="000000" w:themeColor="text1"/>
          <w:lang w:val="en-US"/>
        </w:rPr>
        <w:sectPr w:rsidR="000463A2" w:rsidRPr="008E3F16" w:rsidSect="008B5FC5">
          <w:pgSz w:w="16820" w:h="11900" w:orient="landscape"/>
          <w:pgMar w:top="933" w:right="1355" w:bottom="1233" w:left="1132" w:header="708" w:footer="708" w:gutter="0"/>
          <w:cols w:space="708"/>
          <w:docGrid w:linePitch="360"/>
        </w:sectPr>
      </w:pPr>
      <w:r w:rsidRPr="008E3F16">
        <w:rPr>
          <w:rFonts w:ascii="Book Antiqua" w:hAnsi="Book Antiqua" w:cs="Arial"/>
          <w:b/>
          <w:bCs/>
          <w:color w:val="000000" w:themeColor="text1"/>
          <w:lang w:val="en-US"/>
        </w:rPr>
        <w:t>Figure 3</w:t>
      </w:r>
      <w:r w:rsidRPr="008E3F16">
        <w:rPr>
          <w:rFonts w:ascii="Book Antiqua" w:hAnsi="Book Antiqua" w:cs="Arial"/>
          <w:color w:val="000000" w:themeColor="text1"/>
          <w:lang w:val="en-US"/>
        </w:rPr>
        <w:t xml:space="preserve"> </w:t>
      </w:r>
      <w:r w:rsidRPr="008E3F16">
        <w:rPr>
          <w:rFonts w:ascii="Book Antiqua" w:hAnsi="Book Antiqua" w:cs="Arial"/>
          <w:b/>
          <w:bCs/>
          <w:color w:val="000000" w:themeColor="text1"/>
          <w:lang w:val="en-US"/>
        </w:rPr>
        <w:t>Pooled forest plots</w:t>
      </w:r>
      <w:r w:rsidR="005263B7" w:rsidRPr="008E3F16">
        <w:rPr>
          <w:rFonts w:ascii="Book Antiqua" w:hAnsi="Book Antiqua" w:cs="Arial"/>
          <w:b/>
          <w:bCs/>
          <w:color w:val="000000" w:themeColor="text1"/>
          <w:lang w:val="en-US"/>
        </w:rPr>
        <w:t>.</w:t>
      </w:r>
      <w:r w:rsidRPr="008E3F16">
        <w:rPr>
          <w:rFonts w:ascii="Book Antiqua" w:hAnsi="Book Antiqua" w:cs="Arial"/>
          <w:b/>
          <w:bCs/>
          <w:color w:val="000000" w:themeColor="text1"/>
          <w:lang w:val="en-US"/>
        </w:rPr>
        <w:t xml:space="preserve"> </w:t>
      </w:r>
      <w:r w:rsidR="005263B7" w:rsidRPr="008E3F16">
        <w:rPr>
          <w:rFonts w:ascii="Book Antiqua" w:hAnsi="Book Antiqua" w:cs="Arial"/>
          <w:color w:val="000000" w:themeColor="text1"/>
          <w:lang w:val="en-US"/>
        </w:rPr>
        <w:t xml:space="preserve">A-C: Pooled forest plots </w:t>
      </w:r>
      <w:r w:rsidRPr="008E3F16">
        <w:rPr>
          <w:rFonts w:ascii="Book Antiqua" w:hAnsi="Book Antiqua" w:cs="Arial"/>
          <w:color w:val="000000" w:themeColor="text1"/>
          <w:lang w:val="en-US"/>
        </w:rPr>
        <w:t xml:space="preserve">for sensitivity and specificity, and the </w:t>
      </w:r>
      <w:r w:rsidR="00FE1982" w:rsidRPr="008E3F16">
        <w:rPr>
          <w:rFonts w:ascii="Book Antiqua" w:hAnsi="Book Antiqua" w:cs="Arial"/>
          <w:color w:val="000000" w:themeColor="text1"/>
          <w:lang w:val="en-US"/>
        </w:rPr>
        <w:t>summary receiver operating characteristic</w:t>
      </w:r>
      <w:r w:rsidRPr="008E3F16">
        <w:rPr>
          <w:rFonts w:ascii="Book Antiqua" w:hAnsi="Book Antiqua" w:cs="Arial"/>
          <w:color w:val="000000" w:themeColor="text1"/>
          <w:lang w:val="en-US"/>
        </w:rPr>
        <w:t xml:space="preserve"> curve of anti-GP2 antibody (IgG positive) for Crohn’s Disease against all patients with relevant symptoms. </w:t>
      </w:r>
      <w:r w:rsidR="005263B7" w:rsidRPr="008E3F16">
        <w:rPr>
          <w:rFonts w:ascii="Book Antiqua" w:hAnsi="Book Antiqua" w:cs="Arial"/>
          <w:color w:val="000000" w:themeColor="text1"/>
          <w:lang w:val="en-US"/>
        </w:rPr>
        <w:t xml:space="preserve">D-F: </w:t>
      </w:r>
      <w:r w:rsidRPr="008E3F16">
        <w:rPr>
          <w:rFonts w:ascii="Book Antiqua" w:hAnsi="Book Antiqua" w:cs="Arial"/>
          <w:color w:val="000000" w:themeColor="text1"/>
          <w:lang w:val="en-US"/>
        </w:rPr>
        <w:t>Pooled forest plots for sensitivity and specificity, and the</w:t>
      </w:r>
      <w:r w:rsidR="00FE1982" w:rsidRPr="008E3F16">
        <w:rPr>
          <w:rFonts w:ascii="Book Antiqua" w:hAnsi="Book Antiqua" w:cs="Arial"/>
          <w:color w:val="000000" w:themeColor="text1"/>
          <w:lang w:val="en-US"/>
        </w:rPr>
        <w:t xml:space="preserve"> summary receiver operating characteristic</w:t>
      </w:r>
      <w:r w:rsidRPr="008E3F16">
        <w:rPr>
          <w:rFonts w:ascii="Book Antiqua" w:hAnsi="Book Antiqua" w:cs="Arial"/>
          <w:color w:val="000000" w:themeColor="text1"/>
          <w:lang w:val="en-US"/>
        </w:rPr>
        <w:t xml:space="preserve"> curve of anti-GP2 antibody (IgG positive) for patients with Crohn’s Disease against patients with ulcerative colitis.</w:t>
      </w:r>
      <w:r w:rsidR="005263B7" w:rsidRPr="008E3F16">
        <w:rPr>
          <w:rFonts w:ascii="Book Antiqua" w:hAnsi="Book Antiqua" w:cs="Arial"/>
          <w:color w:val="000000" w:themeColor="text1"/>
          <w:lang w:val="en-US" w:eastAsia="zh-CN"/>
        </w:rPr>
        <w:t xml:space="preserve"> </w:t>
      </w:r>
      <w:r w:rsidRPr="008E3F16">
        <w:rPr>
          <w:rFonts w:ascii="Book Antiqua" w:hAnsi="Book Antiqua" w:cs="Arial"/>
          <w:color w:val="000000" w:themeColor="text1"/>
          <w:lang w:val="en-US"/>
        </w:rPr>
        <w:t xml:space="preserve">FN: False negative; FP: False positive; ROC: </w:t>
      </w:r>
      <w:r w:rsidR="00FE1982" w:rsidRPr="008E3F16">
        <w:rPr>
          <w:rFonts w:ascii="Book Antiqua" w:hAnsi="Book Antiqua" w:cs="Arial"/>
          <w:color w:val="000000" w:themeColor="text1"/>
          <w:lang w:val="en-US"/>
        </w:rPr>
        <w:t>R</w:t>
      </w:r>
      <w:r w:rsidRPr="008E3F16">
        <w:rPr>
          <w:rFonts w:ascii="Book Antiqua" w:hAnsi="Book Antiqua" w:cs="Arial"/>
          <w:color w:val="000000" w:themeColor="text1"/>
          <w:lang w:val="en-US"/>
        </w:rPr>
        <w:t>eceiver operating characteristic; TN: True negative; TP: True positive</w:t>
      </w:r>
      <w:r w:rsidR="00232120" w:rsidRPr="008E3F16">
        <w:rPr>
          <w:rFonts w:ascii="Book Antiqua" w:hAnsi="Book Antiqua" w:cs="Arial"/>
          <w:color w:val="000000" w:themeColor="text1"/>
          <w:lang w:val="en-US"/>
        </w:rPr>
        <w:t>; CI: Confidence interval.</w:t>
      </w:r>
    </w:p>
    <w:p w14:paraId="1FD4A18C" w14:textId="190EA7AE" w:rsidR="000463A2" w:rsidRPr="008E3F16" w:rsidRDefault="003141F2" w:rsidP="00C66188">
      <w:pPr>
        <w:widowControl w:val="0"/>
        <w:autoSpaceDE w:val="0"/>
        <w:autoSpaceDN w:val="0"/>
        <w:adjustRightInd w:val="0"/>
        <w:snapToGrid w:val="0"/>
        <w:spacing w:line="360" w:lineRule="auto"/>
        <w:jc w:val="both"/>
        <w:rPr>
          <w:rFonts w:ascii="Book Antiqua" w:hAnsi="Book Antiqua" w:cs="Arial"/>
          <w:b/>
          <w:bCs/>
          <w:color w:val="000000" w:themeColor="text1"/>
          <w:lang w:val="en-US"/>
        </w:rPr>
      </w:pPr>
      <w:r w:rsidRPr="008E3F16">
        <w:rPr>
          <w:rFonts w:ascii="Book Antiqua" w:hAnsi="Book Antiqua"/>
          <w:noProof/>
          <w:color w:val="000000" w:themeColor="text1"/>
          <w:lang w:val="en-US" w:eastAsia="zh-CN"/>
        </w:rPr>
        <w:lastRenderedPageBreak/>
        <w:drawing>
          <wp:inline distT="0" distB="0" distL="0" distR="0" wp14:anchorId="624378E1" wp14:editId="62726FED">
            <wp:extent cx="6691558" cy="36322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97323" cy="3635330"/>
                    </a:xfrm>
                    <a:prstGeom prst="rect">
                      <a:avLst/>
                    </a:prstGeom>
                  </pic:spPr>
                </pic:pic>
              </a:graphicData>
            </a:graphic>
          </wp:inline>
        </w:drawing>
      </w:r>
    </w:p>
    <w:p w14:paraId="1126CF51" w14:textId="7C9F538C" w:rsidR="005A0B4F" w:rsidRPr="008E3F16" w:rsidRDefault="000463A2" w:rsidP="00C66188">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b/>
          <w:bCs/>
          <w:color w:val="000000" w:themeColor="text1"/>
          <w:lang w:val="en-US"/>
        </w:rPr>
        <w:t>Figure 4</w:t>
      </w:r>
      <w:r w:rsidR="005A0B4F" w:rsidRPr="008E3F16">
        <w:rPr>
          <w:rFonts w:ascii="Book Antiqua" w:hAnsi="Book Antiqua" w:cs="Arial"/>
          <w:b/>
          <w:bCs/>
          <w:color w:val="000000" w:themeColor="text1"/>
          <w:lang w:val="en-US"/>
        </w:rPr>
        <w:t xml:space="preserve"> Pooled forest plots.</w:t>
      </w:r>
      <w:r w:rsidR="005A0B4F" w:rsidRPr="008E3F16">
        <w:rPr>
          <w:rFonts w:ascii="Book Antiqua" w:hAnsi="Book Antiqua" w:cs="Arial"/>
          <w:color w:val="000000" w:themeColor="text1"/>
          <w:lang w:val="en-US" w:eastAsia="zh-CN"/>
        </w:rPr>
        <w:t xml:space="preserve"> A-C: </w:t>
      </w:r>
      <w:r w:rsidRPr="008E3F16">
        <w:rPr>
          <w:rFonts w:ascii="Book Antiqua" w:hAnsi="Book Antiqua" w:cs="Arial"/>
          <w:color w:val="000000" w:themeColor="text1"/>
          <w:lang w:val="en-US"/>
        </w:rPr>
        <w:t xml:space="preserve">Pooled forest plots for sensitivity and specificity, and the </w:t>
      </w:r>
      <w:r w:rsidR="00FE1982" w:rsidRPr="008E3F16">
        <w:rPr>
          <w:rFonts w:ascii="Book Antiqua" w:hAnsi="Book Antiqua" w:cs="Arial"/>
          <w:color w:val="000000" w:themeColor="text1"/>
          <w:lang w:val="en-US"/>
        </w:rPr>
        <w:t>summary receiver operating characteristic</w:t>
      </w:r>
      <w:r w:rsidRPr="008E3F16">
        <w:rPr>
          <w:rFonts w:ascii="Book Antiqua" w:hAnsi="Book Antiqua" w:cs="Arial"/>
          <w:color w:val="000000" w:themeColor="text1"/>
          <w:lang w:val="en-US"/>
        </w:rPr>
        <w:t xml:space="preserve"> curves of anti-GP2 antibody (IgA positive) for Crohn’s Disease against all patients with relevant symptoms</w:t>
      </w:r>
      <w:r w:rsidR="005A0B4F" w:rsidRPr="008E3F16">
        <w:rPr>
          <w:rFonts w:ascii="Book Antiqua" w:hAnsi="Book Antiqua" w:cs="Arial"/>
          <w:color w:val="000000" w:themeColor="text1"/>
          <w:lang w:val="en-US"/>
        </w:rPr>
        <w:t>;</w:t>
      </w:r>
      <w:r w:rsidRPr="008E3F16">
        <w:rPr>
          <w:rFonts w:ascii="Book Antiqua" w:hAnsi="Book Antiqua" w:cs="Arial"/>
          <w:color w:val="000000" w:themeColor="text1"/>
          <w:lang w:val="en-US"/>
        </w:rPr>
        <w:t xml:space="preserve"> </w:t>
      </w:r>
      <w:r w:rsidR="005A0B4F" w:rsidRPr="008E3F16">
        <w:rPr>
          <w:rFonts w:ascii="Book Antiqua" w:hAnsi="Book Antiqua" w:cs="Arial"/>
          <w:color w:val="000000" w:themeColor="text1"/>
          <w:lang w:val="en-US"/>
        </w:rPr>
        <w:t xml:space="preserve">D-F: </w:t>
      </w:r>
      <w:r w:rsidRPr="008E3F16">
        <w:rPr>
          <w:rFonts w:ascii="Book Antiqua" w:hAnsi="Book Antiqua" w:cs="Arial"/>
          <w:color w:val="000000" w:themeColor="text1"/>
          <w:lang w:val="en-US"/>
        </w:rPr>
        <w:t xml:space="preserve">Pooled forest plots for sensitivity and specificity, and the </w:t>
      </w:r>
      <w:r w:rsidR="00FE1982" w:rsidRPr="008E3F16">
        <w:rPr>
          <w:rFonts w:ascii="Book Antiqua" w:hAnsi="Book Antiqua" w:cs="Arial"/>
          <w:color w:val="000000" w:themeColor="text1"/>
          <w:lang w:val="en-US"/>
        </w:rPr>
        <w:t>summary receiver operating characteristic</w:t>
      </w:r>
      <w:r w:rsidRPr="008E3F16">
        <w:rPr>
          <w:rFonts w:ascii="Book Antiqua" w:hAnsi="Book Antiqua" w:cs="Arial"/>
          <w:color w:val="000000" w:themeColor="text1"/>
          <w:lang w:val="en-US"/>
        </w:rPr>
        <w:t xml:space="preserve"> curves of anti-GP2 antibody (IgA positive) for patients with Crohn’s Disease against patients with Ulcerative colitis.</w:t>
      </w:r>
      <w:r w:rsidR="005A0B4F" w:rsidRPr="008E3F16">
        <w:rPr>
          <w:rFonts w:ascii="Book Antiqua" w:hAnsi="Book Antiqua" w:cs="Arial"/>
          <w:color w:val="000000" w:themeColor="text1"/>
          <w:lang w:val="en-US" w:eastAsia="zh-CN"/>
        </w:rPr>
        <w:t xml:space="preserve"> </w:t>
      </w:r>
      <w:r w:rsidRPr="008E3F16">
        <w:rPr>
          <w:rFonts w:ascii="Book Antiqua" w:hAnsi="Book Antiqua" w:cs="Arial"/>
          <w:color w:val="000000" w:themeColor="text1"/>
          <w:lang w:val="en-US"/>
        </w:rPr>
        <w:t>FN: False negative; FP: False positive; ROC:</w:t>
      </w:r>
      <w:r w:rsidR="00FE1982" w:rsidRPr="008E3F16">
        <w:rPr>
          <w:rFonts w:ascii="Book Antiqua" w:hAnsi="Book Antiqua" w:cs="Arial"/>
          <w:color w:val="000000" w:themeColor="text1"/>
          <w:lang w:val="en-US"/>
        </w:rPr>
        <w:t xml:space="preserve"> R</w:t>
      </w:r>
      <w:r w:rsidRPr="008E3F16">
        <w:rPr>
          <w:rFonts w:ascii="Book Antiqua" w:hAnsi="Book Antiqua" w:cs="Arial"/>
          <w:color w:val="000000" w:themeColor="text1"/>
          <w:lang w:val="en-US"/>
        </w:rPr>
        <w:t>eceiver operating characteristic; TN: True negative; TP: True positive</w:t>
      </w:r>
      <w:r w:rsidR="00232120" w:rsidRPr="008E3F16">
        <w:rPr>
          <w:rFonts w:ascii="Book Antiqua" w:hAnsi="Book Antiqua" w:cs="Arial"/>
          <w:color w:val="000000" w:themeColor="text1"/>
          <w:lang w:val="en-US"/>
        </w:rPr>
        <w:t>; CI: Confidence interval.</w:t>
      </w:r>
    </w:p>
    <w:p w14:paraId="7CE046F3" w14:textId="77777777" w:rsidR="005A0B4F" w:rsidRPr="008E3F16" w:rsidRDefault="005A0B4F" w:rsidP="00C66188">
      <w:pPr>
        <w:adjustRightInd w:val="0"/>
        <w:snapToGrid w:val="0"/>
        <w:spacing w:line="360" w:lineRule="auto"/>
        <w:rPr>
          <w:rFonts w:ascii="Book Antiqua" w:hAnsi="Book Antiqua" w:cs="Arial"/>
          <w:color w:val="000000" w:themeColor="text1"/>
          <w:lang w:val="en-US"/>
        </w:rPr>
      </w:pPr>
      <w:r w:rsidRPr="008E3F16">
        <w:rPr>
          <w:rFonts w:ascii="Book Antiqua" w:hAnsi="Book Antiqua" w:cs="Arial"/>
          <w:color w:val="000000" w:themeColor="text1"/>
          <w:lang w:val="en-US"/>
        </w:rPr>
        <w:br w:type="page"/>
      </w:r>
    </w:p>
    <w:p w14:paraId="35A5EDAA" w14:textId="057AC5AB" w:rsidR="000463A2" w:rsidRPr="008E3F16" w:rsidRDefault="0077544B" w:rsidP="00C66188">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8E3F16">
        <w:rPr>
          <w:rFonts w:ascii="Book Antiqua" w:hAnsi="Book Antiqua"/>
          <w:noProof/>
          <w:color w:val="000000" w:themeColor="text1"/>
          <w:lang w:val="en-US" w:eastAsia="zh-CN"/>
        </w:rPr>
        <w:lastRenderedPageBreak/>
        <w:drawing>
          <wp:inline distT="0" distB="0" distL="0" distR="0" wp14:anchorId="4B3BB4AC" wp14:editId="11A86D6E">
            <wp:extent cx="9101455" cy="3516630"/>
            <wp:effectExtent l="0" t="0" r="444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01455" cy="3516630"/>
                    </a:xfrm>
                    <a:prstGeom prst="rect">
                      <a:avLst/>
                    </a:prstGeom>
                  </pic:spPr>
                </pic:pic>
              </a:graphicData>
            </a:graphic>
          </wp:inline>
        </w:drawing>
      </w:r>
    </w:p>
    <w:p w14:paraId="18A53226" w14:textId="70F5256C" w:rsidR="000463A2" w:rsidRPr="008E3F16" w:rsidRDefault="000463A2" w:rsidP="00C66188">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8E3F16">
        <w:rPr>
          <w:rFonts w:ascii="Book Antiqua" w:hAnsi="Book Antiqua" w:cs="Arial"/>
          <w:b/>
          <w:bCs/>
          <w:color w:val="000000" w:themeColor="text1"/>
          <w:lang w:val="en-US"/>
        </w:rPr>
        <w:t>Figure 5</w:t>
      </w:r>
      <w:r w:rsidRPr="008E3F16">
        <w:rPr>
          <w:rFonts w:ascii="Book Antiqua" w:hAnsi="Book Antiqua" w:cs="Arial"/>
          <w:color w:val="000000" w:themeColor="text1"/>
          <w:lang w:val="en-US"/>
        </w:rPr>
        <w:t xml:space="preserve"> </w:t>
      </w:r>
      <w:r w:rsidRPr="008E3F16">
        <w:rPr>
          <w:rFonts w:ascii="Book Antiqua" w:hAnsi="Book Antiqua" w:cs="Arial"/>
          <w:b/>
          <w:bCs/>
          <w:color w:val="000000" w:themeColor="text1"/>
          <w:lang w:val="en-US"/>
        </w:rPr>
        <w:t>Pooled forest plots</w:t>
      </w:r>
      <w:r w:rsidR="0077544B" w:rsidRPr="008E3F16">
        <w:rPr>
          <w:rFonts w:ascii="Book Antiqua" w:hAnsi="Book Antiqua" w:cs="Arial"/>
          <w:b/>
          <w:bCs/>
          <w:color w:val="000000" w:themeColor="text1"/>
          <w:lang w:val="en-US"/>
        </w:rPr>
        <w:t>.</w:t>
      </w:r>
      <w:r w:rsidR="0077544B" w:rsidRPr="008E3F16">
        <w:rPr>
          <w:rFonts w:ascii="Book Antiqua" w:hAnsi="Book Antiqua" w:cs="Arial"/>
          <w:color w:val="000000" w:themeColor="text1"/>
          <w:lang w:val="en-US" w:eastAsia="zh-CN"/>
        </w:rPr>
        <w:t xml:space="preserve"> </w:t>
      </w:r>
      <w:r w:rsidR="0077544B" w:rsidRPr="008E3F16">
        <w:rPr>
          <w:rFonts w:ascii="Book Antiqua" w:hAnsi="Book Antiqua" w:cs="Arial"/>
          <w:color w:val="000000" w:themeColor="text1"/>
          <w:lang w:val="en-US"/>
        </w:rPr>
        <w:t xml:space="preserve">A-C: Pooled forest plots </w:t>
      </w:r>
      <w:r w:rsidRPr="008E3F16">
        <w:rPr>
          <w:rFonts w:ascii="Book Antiqua" w:hAnsi="Book Antiqua" w:cs="Arial"/>
          <w:color w:val="000000" w:themeColor="text1"/>
          <w:lang w:val="en-US"/>
        </w:rPr>
        <w:t xml:space="preserve">for sensitivity and specificity, and the </w:t>
      </w:r>
      <w:r w:rsidR="00FE1982" w:rsidRPr="008E3F16">
        <w:rPr>
          <w:rFonts w:ascii="Book Antiqua" w:hAnsi="Book Antiqua" w:cs="Arial"/>
          <w:color w:val="000000" w:themeColor="text1"/>
          <w:lang w:val="en-US"/>
        </w:rPr>
        <w:t>summary receiver operating characteristic</w:t>
      </w:r>
      <w:r w:rsidRPr="008E3F16">
        <w:rPr>
          <w:rFonts w:ascii="Book Antiqua" w:hAnsi="Book Antiqua" w:cs="Arial"/>
          <w:color w:val="000000" w:themeColor="text1"/>
          <w:lang w:val="en-US"/>
        </w:rPr>
        <w:t xml:space="preserve"> curves of anti-GP2 antibody (IgA and/or IgG positive) for Crohn’s Disease against all patients with relevant symptoms</w:t>
      </w:r>
      <w:r w:rsidR="0077544B" w:rsidRPr="008E3F16">
        <w:rPr>
          <w:rFonts w:ascii="Book Antiqua" w:hAnsi="Book Antiqua" w:cs="Arial"/>
          <w:color w:val="000000" w:themeColor="text1"/>
          <w:lang w:val="en-US"/>
        </w:rPr>
        <w:t>; D-F:</w:t>
      </w:r>
      <w:r w:rsidRPr="008E3F16">
        <w:rPr>
          <w:rFonts w:ascii="Book Antiqua" w:hAnsi="Book Antiqua" w:cs="Arial"/>
          <w:color w:val="000000" w:themeColor="text1"/>
          <w:lang w:val="en-US"/>
        </w:rPr>
        <w:t xml:space="preserve"> Pooled forest plots for sensitivity and specificity, and the </w:t>
      </w:r>
      <w:r w:rsidR="00FE1982" w:rsidRPr="008E3F16">
        <w:rPr>
          <w:rFonts w:ascii="Book Antiqua" w:hAnsi="Book Antiqua" w:cs="Arial"/>
          <w:color w:val="000000" w:themeColor="text1"/>
          <w:lang w:val="en-US"/>
        </w:rPr>
        <w:t>summary receiver operating characteristic</w:t>
      </w:r>
      <w:r w:rsidRPr="008E3F16">
        <w:rPr>
          <w:rFonts w:ascii="Book Antiqua" w:hAnsi="Book Antiqua" w:cs="Arial"/>
          <w:color w:val="000000" w:themeColor="text1"/>
          <w:lang w:val="en-US"/>
        </w:rPr>
        <w:t xml:space="preserve"> curves of anti-GP2 antibody (IgA and/or IgG positive) for patients with Crohn’s Disease against patients with Ulcerative colitis.</w:t>
      </w:r>
      <w:r w:rsidR="0077544B" w:rsidRPr="008E3F16">
        <w:rPr>
          <w:rFonts w:ascii="Book Antiqua" w:hAnsi="Book Antiqua" w:cs="Arial"/>
          <w:color w:val="000000" w:themeColor="text1"/>
          <w:lang w:val="en-US" w:eastAsia="zh-CN"/>
        </w:rPr>
        <w:t xml:space="preserve"> </w:t>
      </w:r>
      <w:r w:rsidRPr="008E3F16">
        <w:rPr>
          <w:rFonts w:ascii="Book Antiqua" w:hAnsi="Book Antiqua" w:cs="Arial"/>
          <w:color w:val="000000" w:themeColor="text1"/>
          <w:lang w:val="en-US"/>
        </w:rPr>
        <w:t xml:space="preserve">FN: False negative; FP: False positive; ROC: </w:t>
      </w:r>
      <w:r w:rsidR="00FE1982" w:rsidRPr="008E3F16">
        <w:rPr>
          <w:rFonts w:ascii="Book Antiqua" w:hAnsi="Book Antiqua" w:cs="Arial"/>
          <w:color w:val="000000" w:themeColor="text1"/>
          <w:lang w:val="en-US"/>
        </w:rPr>
        <w:t>R</w:t>
      </w:r>
      <w:r w:rsidRPr="008E3F16">
        <w:rPr>
          <w:rFonts w:ascii="Book Antiqua" w:hAnsi="Book Antiqua" w:cs="Arial"/>
          <w:color w:val="000000" w:themeColor="text1"/>
          <w:lang w:val="en-US"/>
        </w:rPr>
        <w:t>eceiver operating characteristic; TN: True negative; TP: True positive</w:t>
      </w:r>
      <w:r w:rsidR="00232120" w:rsidRPr="008E3F16">
        <w:rPr>
          <w:rFonts w:ascii="Book Antiqua" w:hAnsi="Book Antiqua" w:cs="Arial"/>
          <w:color w:val="000000" w:themeColor="text1"/>
          <w:lang w:val="en-US"/>
        </w:rPr>
        <w:t>; CI: Confidence interval.</w:t>
      </w:r>
    </w:p>
    <w:p w14:paraId="53549E4B" w14:textId="77777777" w:rsidR="00C222AC" w:rsidRPr="008E3F16" w:rsidRDefault="00C222AC" w:rsidP="00C66188">
      <w:pPr>
        <w:adjustRightInd w:val="0"/>
        <w:snapToGrid w:val="0"/>
        <w:spacing w:line="360" w:lineRule="auto"/>
        <w:jc w:val="both"/>
        <w:rPr>
          <w:rFonts w:ascii="Book Antiqua" w:hAnsi="Book Antiqua" w:cs="Times New Roman"/>
          <w:color w:val="000000" w:themeColor="text1"/>
          <w:lang w:val="en-US"/>
        </w:rPr>
      </w:pPr>
    </w:p>
    <w:sectPr w:rsidR="00C222AC" w:rsidRPr="008E3F16" w:rsidSect="000463A2">
      <w:pgSz w:w="16820" w:h="11900" w:orient="landscape"/>
      <w:pgMar w:top="1311" w:right="1355" w:bottom="1233" w:left="113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7412F" w14:textId="77777777" w:rsidR="000A35D1" w:rsidRDefault="000A35D1" w:rsidP="00C91F32">
      <w:r>
        <w:separator/>
      </w:r>
    </w:p>
  </w:endnote>
  <w:endnote w:type="continuationSeparator" w:id="0">
    <w:p w14:paraId="0A176DC8" w14:textId="77777777" w:rsidR="000A35D1" w:rsidRDefault="000A35D1" w:rsidP="00C91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BoldItalicMT">
    <w:charset w:val="00"/>
    <w:family w:val="auto"/>
    <w:pitch w:val="variable"/>
    <w:sig w:usb0="E0000AFF" w:usb1="00007843" w:usb2="00000001"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1937399747"/>
      <w:docPartObj>
        <w:docPartGallery w:val="Page Numbers (Bottom of Page)"/>
        <w:docPartUnique/>
      </w:docPartObj>
    </w:sdtPr>
    <w:sdtEndPr>
      <w:rPr>
        <w:rStyle w:val="a5"/>
      </w:rPr>
    </w:sdtEndPr>
    <w:sdtContent>
      <w:p w14:paraId="72617EBC" w14:textId="77777777" w:rsidR="00FE1982" w:rsidRDefault="00FE1982" w:rsidP="000D491E">
        <w:pPr>
          <w:pStyle w:val="a3"/>
          <w:framePr w:wrap="none" w:vAnchor="text" w:hAnchor="margin" w:xAlign="center" w:y="1"/>
          <w:rPr>
            <w:rStyle w:val="a5"/>
          </w:rPr>
        </w:pPr>
        <w:r>
          <w:rPr>
            <w:rStyle w:val="a5"/>
          </w:rPr>
          <w:fldChar w:fldCharType="begin"/>
        </w:r>
        <w:r>
          <w:rPr>
            <w:rStyle w:val="a5"/>
          </w:rPr>
          <w:instrText xml:space="preserve"> PAGE </w:instrText>
        </w:r>
        <w:r>
          <w:rPr>
            <w:rStyle w:val="a5"/>
          </w:rPr>
          <w:fldChar w:fldCharType="end"/>
        </w:r>
      </w:p>
    </w:sdtContent>
  </w:sdt>
  <w:p w14:paraId="2147ECCF" w14:textId="77777777" w:rsidR="00FE1982" w:rsidRDefault="00FE1982">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423C9" w14:textId="77777777" w:rsidR="000A35D1" w:rsidRDefault="000A35D1" w:rsidP="00C91F32">
      <w:r>
        <w:separator/>
      </w:r>
    </w:p>
  </w:footnote>
  <w:footnote w:type="continuationSeparator" w:id="0">
    <w:p w14:paraId="23797896" w14:textId="77777777" w:rsidR="000A35D1" w:rsidRDefault="000A35D1" w:rsidP="00C91F3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D06B59"/>
    <w:multiLevelType w:val="hybridMultilevel"/>
    <w:tmpl w:val="BA584D3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7D476AC9"/>
    <w:multiLevelType w:val="hybridMultilevel"/>
    <w:tmpl w:val="C80CF2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FF4"/>
    <w:rsid w:val="00021E79"/>
    <w:rsid w:val="00027CA7"/>
    <w:rsid w:val="00031072"/>
    <w:rsid w:val="00035DFD"/>
    <w:rsid w:val="00041145"/>
    <w:rsid w:val="0004316F"/>
    <w:rsid w:val="000463A2"/>
    <w:rsid w:val="000505D4"/>
    <w:rsid w:val="0006426A"/>
    <w:rsid w:val="00072E0E"/>
    <w:rsid w:val="00076E58"/>
    <w:rsid w:val="00083CC9"/>
    <w:rsid w:val="00085C1A"/>
    <w:rsid w:val="000869F8"/>
    <w:rsid w:val="0009695E"/>
    <w:rsid w:val="000A35D1"/>
    <w:rsid w:val="000C1233"/>
    <w:rsid w:val="000C12E0"/>
    <w:rsid w:val="000C4C95"/>
    <w:rsid w:val="000D2E01"/>
    <w:rsid w:val="000D491E"/>
    <w:rsid w:val="000E3C3A"/>
    <w:rsid w:val="000F6FA8"/>
    <w:rsid w:val="001041F5"/>
    <w:rsid w:val="00104C1B"/>
    <w:rsid w:val="0011156C"/>
    <w:rsid w:val="0011471A"/>
    <w:rsid w:val="001366E6"/>
    <w:rsid w:val="00143AE5"/>
    <w:rsid w:val="00145A58"/>
    <w:rsid w:val="0014658B"/>
    <w:rsid w:val="00146CEB"/>
    <w:rsid w:val="00151E42"/>
    <w:rsid w:val="00151E8E"/>
    <w:rsid w:val="00176450"/>
    <w:rsid w:val="00180F1A"/>
    <w:rsid w:val="001A17C0"/>
    <w:rsid w:val="001A1AF5"/>
    <w:rsid w:val="001A6B8B"/>
    <w:rsid w:val="001A7F4C"/>
    <w:rsid w:val="001D0D1B"/>
    <w:rsid w:val="001F7126"/>
    <w:rsid w:val="001F7FE2"/>
    <w:rsid w:val="00211BB2"/>
    <w:rsid w:val="00212D1B"/>
    <w:rsid w:val="00214447"/>
    <w:rsid w:val="00224962"/>
    <w:rsid w:val="00232120"/>
    <w:rsid w:val="0023338E"/>
    <w:rsid w:val="0023420C"/>
    <w:rsid w:val="0023749A"/>
    <w:rsid w:val="002428FC"/>
    <w:rsid w:val="00244D55"/>
    <w:rsid w:val="0024557D"/>
    <w:rsid w:val="00275EA9"/>
    <w:rsid w:val="00277845"/>
    <w:rsid w:val="00280826"/>
    <w:rsid w:val="0028429C"/>
    <w:rsid w:val="002852A6"/>
    <w:rsid w:val="002A0DC7"/>
    <w:rsid w:val="002A5048"/>
    <w:rsid w:val="002B1323"/>
    <w:rsid w:val="002B46E0"/>
    <w:rsid w:val="002C1AD9"/>
    <w:rsid w:val="002C46F1"/>
    <w:rsid w:val="002C532C"/>
    <w:rsid w:val="00305001"/>
    <w:rsid w:val="00311A7E"/>
    <w:rsid w:val="003141F2"/>
    <w:rsid w:val="00324F8A"/>
    <w:rsid w:val="0033451B"/>
    <w:rsid w:val="00336512"/>
    <w:rsid w:val="003403F5"/>
    <w:rsid w:val="00362FA3"/>
    <w:rsid w:val="00372AC8"/>
    <w:rsid w:val="00381E1B"/>
    <w:rsid w:val="00385275"/>
    <w:rsid w:val="003879B6"/>
    <w:rsid w:val="00393B4C"/>
    <w:rsid w:val="003C054C"/>
    <w:rsid w:val="003C4C41"/>
    <w:rsid w:val="003D5BCD"/>
    <w:rsid w:val="003E3786"/>
    <w:rsid w:val="003E438B"/>
    <w:rsid w:val="003E62EA"/>
    <w:rsid w:val="003E6BBC"/>
    <w:rsid w:val="003F025D"/>
    <w:rsid w:val="003F6BFB"/>
    <w:rsid w:val="00407D9C"/>
    <w:rsid w:val="0041105A"/>
    <w:rsid w:val="00411149"/>
    <w:rsid w:val="004208F1"/>
    <w:rsid w:val="00440403"/>
    <w:rsid w:val="004520E4"/>
    <w:rsid w:val="00452C09"/>
    <w:rsid w:val="004923B1"/>
    <w:rsid w:val="00494A70"/>
    <w:rsid w:val="00495E76"/>
    <w:rsid w:val="004A2A53"/>
    <w:rsid w:val="004A654A"/>
    <w:rsid w:val="004B0BB0"/>
    <w:rsid w:val="004B5C43"/>
    <w:rsid w:val="004C792D"/>
    <w:rsid w:val="004C7958"/>
    <w:rsid w:val="004D1427"/>
    <w:rsid w:val="004E33F1"/>
    <w:rsid w:val="004F2FF4"/>
    <w:rsid w:val="004F54FF"/>
    <w:rsid w:val="004F76CE"/>
    <w:rsid w:val="00522A2F"/>
    <w:rsid w:val="005263B7"/>
    <w:rsid w:val="005269F0"/>
    <w:rsid w:val="00537DAA"/>
    <w:rsid w:val="00542004"/>
    <w:rsid w:val="00553D92"/>
    <w:rsid w:val="005550F1"/>
    <w:rsid w:val="00561B6F"/>
    <w:rsid w:val="005673EC"/>
    <w:rsid w:val="00581A88"/>
    <w:rsid w:val="00592EFF"/>
    <w:rsid w:val="005968F6"/>
    <w:rsid w:val="005A0B4F"/>
    <w:rsid w:val="005B5846"/>
    <w:rsid w:val="005C4AE6"/>
    <w:rsid w:val="005C5286"/>
    <w:rsid w:val="005D17F1"/>
    <w:rsid w:val="00610B01"/>
    <w:rsid w:val="00613C11"/>
    <w:rsid w:val="00614B67"/>
    <w:rsid w:val="00617C8B"/>
    <w:rsid w:val="00641D17"/>
    <w:rsid w:val="0064648E"/>
    <w:rsid w:val="00646982"/>
    <w:rsid w:val="0066688C"/>
    <w:rsid w:val="00671122"/>
    <w:rsid w:val="0069286C"/>
    <w:rsid w:val="006A1275"/>
    <w:rsid w:val="006C2C6D"/>
    <w:rsid w:val="006C3E63"/>
    <w:rsid w:val="006D73F0"/>
    <w:rsid w:val="006E49AF"/>
    <w:rsid w:val="006F1E40"/>
    <w:rsid w:val="006F2825"/>
    <w:rsid w:val="006F5EC4"/>
    <w:rsid w:val="006F7318"/>
    <w:rsid w:val="00704CC7"/>
    <w:rsid w:val="007136CA"/>
    <w:rsid w:val="00713F5F"/>
    <w:rsid w:val="00721162"/>
    <w:rsid w:val="00752A05"/>
    <w:rsid w:val="00757AD4"/>
    <w:rsid w:val="00764040"/>
    <w:rsid w:val="0077544B"/>
    <w:rsid w:val="00777245"/>
    <w:rsid w:val="00780180"/>
    <w:rsid w:val="00781C54"/>
    <w:rsid w:val="00782E89"/>
    <w:rsid w:val="007875A6"/>
    <w:rsid w:val="00790E7C"/>
    <w:rsid w:val="00792469"/>
    <w:rsid w:val="00793628"/>
    <w:rsid w:val="0079422A"/>
    <w:rsid w:val="00796A99"/>
    <w:rsid w:val="00797608"/>
    <w:rsid w:val="007A02C8"/>
    <w:rsid w:val="007A38A4"/>
    <w:rsid w:val="007E0A61"/>
    <w:rsid w:val="00810390"/>
    <w:rsid w:val="008138FF"/>
    <w:rsid w:val="00813E43"/>
    <w:rsid w:val="0083418B"/>
    <w:rsid w:val="00842031"/>
    <w:rsid w:val="00852839"/>
    <w:rsid w:val="00855640"/>
    <w:rsid w:val="008641DB"/>
    <w:rsid w:val="008702A6"/>
    <w:rsid w:val="00872DBE"/>
    <w:rsid w:val="00876E54"/>
    <w:rsid w:val="0088043C"/>
    <w:rsid w:val="00880ED1"/>
    <w:rsid w:val="00884E6F"/>
    <w:rsid w:val="008A407E"/>
    <w:rsid w:val="008B1981"/>
    <w:rsid w:val="008B1D0F"/>
    <w:rsid w:val="008B5FC5"/>
    <w:rsid w:val="008B7004"/>
    <w:rsid w:val="008C1BD1"/>
    <w:rsid w:val="008D448B"/>
    <w:rsid w:val="008D7103"/>
    <w:rsid w:val="008E3016"/>
    <w:rsid w:val="008E3F16"/>
    <w:rsid w:val="008E662F"/>
    <w:rsid w:val="008E70EE"/>
    <w:rsid w:val="009073D5"/>
    <w:rsid w:val="00910283"/>
    <w:rsid w:val="00910A12"/>
    <w:rsid w:val="00915C4B"/>
    <w:rsid w:val="00921D60"/>
    <w:rsid w:val="00955B63"/>
    <w:rsid w:val="00960297"/>
    <w:rsid w:val="00974031"/>
    <w:rsid w:val="00986229"/>
    <w:rsid w:val="00990E97"/>
    <w:rsid w:val="00990EFE"/>
    <w:rsid w:val="0099578C"/>
    <w:rsid w:val="009B45DD"/>
    <w:rsid w:val="009D0FA7"/>
    <w:rsid w:val="009F168F"/>
    <w:rsid w:val="009F2F7F"/>
    <w:rsid w:val="00A02597"/>
    <w:rsid w:val="00A032D5"/>
    <w:rsid w:val="00A04F38"/>
    <w:rsid w:val="00A104AB"/>
    <w:rsid w:val="00A138D2"/>
    <w:rsid w:val="00A14A98"/>
    <w:rsid w:val="00A23AC9"/>
    <w:rsid w:val="00A436E0"/>
    <w:rsid w:val="00A43E8A"/>
    <w:rsid w:val="00A73EC7"/>
    <w:rsid w:val="00A83066"/>
    <w:rsid w:val="00AA2CB1"/>
    <w:rsid w:val="00AA649D"/>
    <w:rsid w:val="00AD1370"/>
    <w:rsid w:val="00AD7D88"/>
    <w:rsid w:val="00B001EF"/>
    <w:rsid w:val="00B111E7"/>
    <w:rsid w:val="00B26157"/>
    <w:rsid w:val="00B375A0"/>
    <w:rsid w:val="00B52B0B"/>
    <w:rsid w:val="00B57DA4"/>
    <w:rsid w:val="00B60EF7"/>
    <w:rsid w:val="00B94459"/>
    <w:rsid w:val="00B94EC9"/>
    <w:rsid w:val="00B96CAC"/>
    <w:rsid w:val="00BA1B1A"/>
    <w:rsid w:val="00BA27D6"/>
    <w:rsid w:val="00BA76F7"/>
    <w:rsid w:val="00BB6498"/>
    <w:rsid w:val="00BB6AD9"/>
    <w:rsid w:val="00BC477F"/>
    <w:rsid w:val="00BC7908"/>
    <w:rsid w:val="00BD3688"/>
    <w:rsid w:val="00BD7883"/>
    <w:rsid w:val="00BE4DD0"/>
    <w:rsid w:val="00C07843"/>
    <w:rsid w:val="00C20188"/>
    <w:rsid w:val="00C222AC"/>
    <w:rsid w:val="00C24939"/>
    <w:rsid w:val="00C42CAF"/>
    <w:rsid w:val="00C61E64"/>
    <w:rsid w:val="00C62794"/>
    <w:rsid w:val="00C66188"/>
    <w:rsid w:val="00C73C19"/>
    <w:rsid w:val="00C77D28"/>
    <w:rsid w:val="00C810BC"/>
    <w:rsid w:val="00C91F32"/>
    <w:rsid w:val="00CB434A"/>
    <w:rsid w:val="00CB6C44"/>
    <w:rsid w:val="00CD536E"/>
    <w:rsid w:val="00CD65ED"/>
    <w:rsid w:val="00CD743D"/>
    <w:rsid w:val="00CF6418"/>
    <w:rsid w:val="00D05D07"/>
    <w:rsid w:val="00D25876"/>
    <w:rsid w:val="00D25A2A"/>
    <w:rsid w:val="00D41C76"/>
    <w:rsid w:val="00D434F5"/>
    <w:rsid w:val="00D501BB"/>
    <w:rsid w:val="00D5396B"/>
    <w:rsid w:val="00D635AD"/>
    <w:rsid w:val="00D7639F"/>
    <w:rsid w:val="00D9358A"/>
    <w:rsid w:val="00DB1510"/>
    <w:rsid w:val="00DB53CC"/>
    <w:rsid w:val="00DB6CA3"/>
    <w:rsid w:val="00DB7E5E"/>
    <w:rsid w:val="00DC5337"/>
    <w:rsid w:val="00DD4DA7"/>
    <w:rsid w:val="00DE2F0F"/>
    <w:rsid w:val="00DE31C0"/>
    <w:rsid w:val="00DE4176"/>
    <w:rsid w:val="00DE7D6C"/>
    <w:rsid w:val="00DF717E"/>
    <w:rsid w:val="00DF7E09"/>
    <w:rsid w:val="00E11273"/>
    <w:rsid w:val="00E245F6"/>
    <w:rsid w:val="00E25D89"/>
    <w:rsid w:val="00E32CD0"/>
    <w:rsid w:val="00E41727"/>
    <w:rsid w:val="00E45888"/>
    <w:rsid w:val="00E472EE"/>
    <w:rsid w:val="00E50336"/>
    <w:rsid w:val="00E60474"/>
    <w:rsid w:val="00E6147D"/>
    <w:rsid w:val="00E754D8"/>
    <w:rsid w:val="00E82B0E"/>
    <w:rsid w:val="00E84DD0"/>
    <w:rsid w:val="00E97D95"/>
    <w:rsid w:val="00EA4E33"/>
    <w:rsid w:val="00EB268A"/>
    <w:rsid w:val="00EB41E5"/>
    <w:rsid w:val="00EC2C03"/>
    <w:rsid w:val="00EC6083"/>
    <w:rsid w:val="00ED3543"/>
    <w:rsid w:val="00EE1046"/>
    <w:rsid w:val="00EE1BEF"/>
    <w:rsid w:val="00EE1DB2"/>
    <w:rsid w:val="00EE6872"/>
    <w:rsid w:val="00EF5562"/>
    <w:rsid w:val="00F03B5B"/>
    <w:rsid w:val="00F318D0"/>
    <w:rsid w:val="00F468D0"/>
    <w:rsid w:val="00F46CC6"/>
    <w:rsid w:val="00F46E1D"/>
    <w:rsid w:val="00F47BEE"/>
    <w:rsid w:val="00F5450F"/>
    <w:rsid w:val="00F546BE"/>
    <w:rsid w:val="00F75782"/>
    <w:rsid w:val="00F807E4"/>
    <w:rsid w:val="00F82BB0"/>
    <w:rsid w:val="00F83333"/>
    <w:rsid w:val="00F8406E"/>
    <w:rsid w:val="00F858A8"/>
    <w:rsid w:val="00FB5D62"/>
    <w:rsid w:val="00FC7FB5"/>
    <w:rsid w:val="00FD4A65"/>
    <w:rsid w:val="00FE1982"/>
    <w:rsid w:val="00FE5000"/>
    <w:rsid w:val="00FF242A"/>
    <w:rsid w:val="00FF40DE"/>
    <w:rsid w:val="00FF4805"/>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FBE8"/>
  <w15:docId w15:val="{123E3696-4594-4303-B71B-9B47C5524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l-G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2FF4"/>
  </w:style>
  <w:style w:type="paragraph" w:styleId="1">
    <w:name w:val="heading 1"/>
    <w:basedOn w:val="a"/>
    <w:next w:val="a"/>
    <w:link w:val="10"/>
    <w:uiPriority w:val="9"/>
    <w:qFormat/>
    <w:rsid w:val="004F2FF4"/>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F2FF4"/>
    <w:rPr>
      <w:rFonts w:asciiTheme="majorHAnsi" w:eastAsiaTheme="majorEastAsia" w:hAnsiTheme="majorHAnsi" w:cstheme="majorBidi"/>
      <w:color w:val="2F5496" w:themeColor="accent1" w:themeShade="BF"/>
      <w:sz w:val="32"/>
      <w:szCs w:val="32"/>
      <w:lang w:val="en-US"/>
    </w:rPr>
  </w:style>
  <w:style w:type="paragraph" w:styleId="a3">
    <w:name w:val="footer"/>
    <w:basedOn w:val="a"/>
    <w:link w:val="a4"/>
    <w:uiPriority w:val="99"/>
    <w:unhideWhenUsed/>
    <w:rsid w:val="00C91F32"/>
    <w:pPr>
      <w:tabs>
        <w:tab w:val="center" w:pos="4153"/>
        <w:tab w:val="right" w:pos="8306"/>
      </w:tabs>
    </w:pPr>
  </w:style>
  <w:style w:type="character" w:customStyle="1" w:styleId="a4">
    <w:name w:val="页脚 字符"/>
    <w:basedOn w:val="a0"/>
    <w:link w:val="a3"/>
    <w:uiPriority w:val="99"/>
    <w:rsid w:val="00C91F32"/>
  </w:style>
  <w:style w:type="character" w:styleId="a5">
    <w:name w:val="page number"/>
    <w:basedOn w:val="a0"/>
    <w:uiPriority w:val="99"/>
    <w:semiHidden/>
    <w:unhideWhenUsed/>
    <w:rsid w:val="00C91F32"/>
  </w:style>
  <w:style w:type="paragraph" w:customStyle="1" w:styleId="Default">
    <w:name w:val="Default"/>
    <w:rsid w:val="00C91F32"/>
    <w:pPr>
      <w:autoSpaceDE w:val="0"/>
      <w:autoSpaceDN w:val="0"/>
      <w:adjustRightInd w:val="0"/>
    </w:pPr>
    <w:rPr>
      <w:rFonts w:ascii="Book Antiqua" w:hAnsi="Book Antiqua" w:cs="Book Antiqua"/>
      <w:color w:val="000000"/>
    </w:rPr>
  </w:style>
  <w:style w:type="table" w:styleId="a6">
    <w:name w:val="Table Grid"/>
    <w:basedOn w:val="a1"/>
    <w:uiPriority w:val="39"/>
    <w:rsid w:val="00C22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C222AC"/>
    <w:pPr>
      <w:ind w:left="720"/>
      <w:contextualSpacing/>
    </w:pPr>
  </w:style>
  <w:style w:type="character" w:customStyle="1" w:styleId="a8">
    <w:name w:val="批注框文本 字符"/>
    <w:basedOn w:val="a0"/>
    <w:link w:val="a9"/>
    <w:uiPriority w:val="99"/>
    <w:semiHidden/>
    <w:rsid w:val="00C222AC"/>
    <w:rPr>
      <w:rFonts w:ascii="Segoe UI" w:hAnsi="Segoe UI" w:cs="Segoe UI"/>
      <w:sz w:val="18"/>
      <w:szCs w:val="18"/>
    </w:rPr>
  </w:style>
  <w:style w:type="paragraph" w:styleId="a9">
    <w:name w:val="Balloon Text"/>
    <w:basedOn w:val="a"/>
    <w:link w:val="a8"/>
    <w:uiPriority w:val="99"/>
    <w:semiHidden/>
    <w:unhideWhenUsed/>
    <w:rsid w:val="00C222AC"/>
    <w:rPr>
      <w:rFonts w:ascii="Segoe UI" w:hAnsi="Segoe UI" w:cs="Segoe UI"/>
      <w:sz w:val="18"/>
      <w:szCs w:val="18"/>
    </w:rPr>
  </w:style>
  <w:style w:type="character" w:customStyle="1" w:styleId="aa">
    <w:name w:val="批注文字 字符"/>
    <w:basedOn w:val="a0"/>
    <w:link w:val="ab"/>
    <w:uiPriority w:val="99"/>
    <w:rsid w:val="00C222AC"/>
  </w:style>
  <w:style w:type="paragraph" w:styleId="ab">
    <w:name w:val="annotation text"/>
    <w:basedOn w:val="a"/>
    <w:link w:val="aa"/>
    <w:uiPriority w:val="99"/>
    <w:unhideWhenUsed/>
    <w:rsid w:val="00C222AC"/>
  </w:style>
  <w:style w:type="character" w:customStyle="1" w:styleId="ac">
    <w:name w:val="批注主题 字符"/>
    <w:basedOn w:val="aa"/>
    <w:link w:val="ad"/>
    <w:uiPriority w:val="99"/>
    <w:semiHidden/>
    <w:rsid w:val="00C222AC"/>
    <w:rPr>
      <w:b/>
      <w:bCs/>
      <w:sz w:val="20"/>
      <w:szCs w:val="20"/>
    </w:rPr>
  </w:style>
  <w:style w:type="paragraph" w:styleId="ad">
    <w:name w:val="annotation subject"/>
    <w:basedOn w:val="ab"/>
    <w:next w:val="ab"/>
    <w:link w:val="ac"/>
    <w:uiPriority w:val="99"/>
    <w:semiHidden/>
    <w:unhideWhenUsed/>
    <w:rsid w:val="00C222AC"/>
    <w:rPr>
      <w:b/>
      <w:bCs/>
      <w:sz w:val="20"/>
      <w:szCs w:val="20"/>
    </w:rPr>
  </w:style>
  <w:style w:type="character" w:styleId="ae">
    <w:name w:val="Hyperlink"/>
    <w:basedOn w:val="a0"/>
    <w:uiPriority w:val="99"/>
    <w:unhideWhenUsed/>
    <w:rsid w:val="00C222AC"/>
    <w:rPr>
      <w:color w:val="0563C1" w:themeColor="hyperlink"/>
      <w:u w:val="single"/>
    </w:rPr>
  </w:style>
  <w:style w:type="paragraph" w:styleId="af">
    <w:name w:val="header"/>
    <w:basedOn w:val="a"/>
    <w:link w:val="af0"/>
    <w:uiPriority w:val="99"/>
    <w:unhideWhenUsed/>
    <w:rsid w:val="00C222AC"/>
    <w:pPr>
      <w:tabs>
        <w:tab w:val="center" w:pos="4153"/>
        <w:tab w:val="right" w:pos="8306"/>
      </w:tabs>
    </w:pPr>
  </w:style>
  <w:style w:type="character" w:customStyle="1" w:styleId="af0">
    <w:name w:val="页眉 字符"/>
    <w:basedOn w:val="a0"/>
    <w:link w:val="af"/>
    <w:uiPriority w:val="99"/>
    <w:rsid w:val="00C222AC"/>
  </w:style>
  <w:style w:type="character" w:styleId="af1">
    <w:name w:val="annotation reference"/>
    <w:uiPriority w:val="99"/>
    <w:semiHidden/>
    <w:unhideWhenUsed/>
    <w:rsid w:val="00F75782"/>
    <w:rPr>
      <w:sz w:val="21"/>
      <w:szCs w:val="21"/>
    </w:rPr>
  </w:style>
  <w:style w:type="paragraph" w:customStyle="1" w:styleId="p1">
    <w:name w:val="p1"/>
    <w:basedOn w:val="a"/>
    <w:rsid w:val="00F75782"/>
    <w:rPr>
      <w:rFonts w:ascii="Helvetica" w:hAnsi="Helvetica" w:cs="Times New Roman"/>
      <w:sz w:val="18"/>
      <w:szCs w:val="18"/>
      <w:lang w:val="en-US" w:eastAsia="zh-CN"/>
    </w:rPr>
  </w:style>
  <w:style w:type="paragraph" w:customStyle="1" w:styleId="11">
    <w:name w:val="正文1"/>
    <w:uiPriority w:val="99"/>
    <w:rsid w:val="00F75782"/>
    <w:pPr>
      <w:spacing w:line="276" w:lineRule="auto"/>
    </w:pPr>
    <w:rPr>
      <w:rFonts w:ascii="Arial" w:eastAsia="宋体" w:hAnsi="Arial" w:cs="Arial"/>
      <w:color w:val="000000"/>
      <w:sz w:val="22"/>
      <w:szCs w:val="20"/>
      <w:lang w:val="pl-PL" w:eastAsia="pl-PL"/>
    </w:rPr>
  </w:style>
  <w:style w:type="character" w:customStyle="1" w:styleId="UnresolvedMention">
    <w:name w:val="Unresolved Mention"/>
    <w:basedOn w:val="a0"/>
    <w:uiPriority w:val="99"/>
    <w:semiHidden/>
    <w:unhideWhenUsed/>
    <w:rsid w:val="00143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394028">
      <w:bodyDiv w:val="1"/>
      <w:marLeft w:val="0"/>
      <w:marRight w:val="0"/>
      <w:marTop w:val="0"/>
      <w:marBottom w:val="0"/>
      <w:divBdr>
        <w:top w:val="none" w:sz="0" w:space="0" w:color="auto"/>
        <w:left w:val="none" w:sz="0" w:space="0" w:color="auto"/>
        <w:bottom w:val="none" w:sz="0" w:space="0" w:color="auto"/>
        <w:right w:val="none" w:sz="0" w:space="0" w:color="auto"/>
      </w:divBdr>
    </w:div>
    <w:div w:id="1454712501">
      <w:bodyDiv w:val="1"/>
      <w:marLeft w:val="0"/>
      <w:marRight w:val="0"/>
      <w:marTop w:val="0"/>
      <w:marBottom w:val="0"/>
      <w:divBdr>
        <w:top w:val="none" w:sz="0" w:space="0" w:color="auto"/>
        <w:left w:val="none" w:sz="0" w:space="0" w:color="auto"/>
        <w:bottom w:val="none" w:sz="0" w:space="0" w:color="auto"/>
        <w:right w:val="none" w:sz="0" w:space="0" w:color="auto"/>
      </w:divBdr>
      <w:divsChild>
        <w:div w:id="388193636">
          <w:marLeft w:val="0"/>
          <w:marRight w:val="0"/>
          <w:marTop w:val="0"/>
          <w:marBottom w:val="0"/>
          <w:divBdr>
            <w:top w:val="none" w:sz="0" w:space="0" w:color="auto"/>
            <w:left w:val="none" w:sz="0" w:space="0" w:color="auto"/>
            <w:bottom w:val="none" w:sz="0" w:space="0" w:color="auto"/>
            <w:right w:val="none" w:sz="0" w:space="0" w:color="auto"/>
          </w:divBdr>
          <w:divsChild>
            <w:div w:id="1258905073">
              <w:marLeft w:val="0"/>
              <w:marRight w:val="0"/>
              <w:marTop w:val="0"/>
              <w:marBottom w:val="0"/>
              <w:divBdr>
                <w:top w:val="none" w:sz="0" w:space="0" w:color="auto"/>
                <w:left w:val="none" w:sz="0" w:space="0" w:color="auto"/>
                <w:bottom w:val="none" w:sz="0" w:space="0" w:color="auto"/>
                <w:right w:val="none" w:sz="0" w:space="0" w:color="auto"/>
              </w:divBdr>
              <w:divsChild>
                <w:div w:id="2116054462">
                  <w:marLeft w:val="0"/>
                  <w:marRight w:val="0"/>
                  <w:marTop w:val="0"/>
                  <w:marBottom w:val="0"/>
                  <w:divBdr>
                    <w:top w:val="none" w:sz="0" w:space="0" w:color="auto"/>
                    <w:left w:val="none" w:sz="0" w:space="0" w:color="auto"/>
                    <w:bottom w:val="none" w:sz="0" w:space="0" w:color="auto"/>
                    <w:right w:val="none" w:sz="0" w:space="0" w:color="auto"/>
                  </w:divBdr>
                  <w:divsChild>
                    <w:div w:id="719477353">
                      <w:marLeft w:val="0"/>
                      <w:marRight w:val="0"/>
                      <w:marTop w:val="0"/>
                      <w:marBottom w:val="0"/>
                      <w:divBdr>
                        <w:top w:val="none" w:sz="0" w:space="0" w:color="auto"/>
                        <w:left w:val="none" w:sz="0" w:space="0" w:color="auto"/>
                        <w:bottom w:val="none" w:sz="0" w:space="0" w:color="auto"/>
                        <w:right w:val="none" w:sz="0" w:space="0" w:color="auto"/>
                      </w:divBdr>
                      <w:divsChild>
                        <w:div w:id="123096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465460">
      <w:bodyDiv w:val="1"/>
      <w:marLeft w:val="0"/>
      <w:marRight w:val="0"/>
      <w:marTop w:val="0"/>
      <w:marBottom w:val="0"/>
      <w:divBdr>
        <w:top w:val="none" w:sz="0" w:space="0" w:color="auto"/>
        <w:left w:val="none" w:sz="0" w:space="0" w:color="auto"/>
        <w:bottom w:val="none" w:sz="0" w:space="0" w:color="auto"/>
        <w:right w:val="none" w:sz="0" w:space="0" w:color="auto"/>
      </w:divBdr>
      <w:divsChild>
        <w:div w:id="981155780">
          <w:marLeft w:val="0"/>
          <w:marRight w:val="0"/>
          <w:marTop w:val="0"/>
          <w:marBottom w:val="0"/>
          <w:divBdr>
            <w:top w:val="none" w:sz="0" w:space="0" w:color="auto"/>
            <w:left w:val="none" w:sz="0" w:space="0" w:color="auto"/>
            <w:bottom w:val="none" w:sz="0" w:space="0" w:color="auto"/>
            <w:right w:val="none" w:sz="0" w:space="0" w:color="auto"/>
          </w:divBdr>
          <w:divsChild>
            <w:div w:id="1122531441">
              <w:marLeft w:val="0"/>
              <w:marRight w:val="0"/>
              <w:marTop w:val="0"/>
              <w:marBottom w:val="0"/>
              <w:divBdr>
                <w:top w:val="none" w:sz="0" w:space="0" w:color="auto"/>
                <w:left w:val="none" w:sz="0" w:space="0" w:color="auto"/>
                <w:bottom w:val="none" w:sz="0" w:space="0" w:color="auto"/>
                <w:right w:val="none" w:sz="0" w:space="0" w:color="auto"/>
              </w:divBdr>
              <w:divsChild>
                <w:div w:id="261187840">
                  <w:marLeft w:val="0"/>
                  <w:marRight w:val="0"/>
                  <w:marTop w:val="0"/>
                  <w:marBottom w:val="0"/>
                  <w:divBdr>
                    <w:top w:val="none" w:sz="0" w:space="0" w:color="auto"/>
                    <w:left w:val="none" w:sz="0" w:space="0" w:color="auto"/>
                    <w:bottom w:val="none" w:sz="0" w:space="0" w:color="auto"/>
                    <w:right w:val="none" w:sz="0" w:space="0" w:color="auto"/>
                  </w:divBdr>
                  <w:divsChild>
                    <w:div w:id="728724228">
                      <w:marLeft w:val="0"/>
                      <w:marRight w:val="0"/>
                      <w:marTop w:val="0"/>
                      <w:marBottom w:val="0"/>
                      <w:divBdr>
                        <w:top w:val="none" w:sz="0" w:space="0" w:color="auto"/>
                        <w:left w:val="none" w:sz="0" w:space="0" w:color="auto"/>
                        <w:bottom w:val="none" w:sz="0" w:space="0" w:color="auto"/>
                        <w:right w:val="none" w:sz="0" w:space="0" w:color="auto"/>
                      </w:divBdr>
                      <w:divsChild>
                        <w:div w:id="213709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734901">
      <w:bodyDiv w:val="1"/>
      <w:marLeft w:val="0"/>
      <w:marRight w:val="0"/>
      <w:marTop w:val="0"/>
      <w:marBottom w:val="0"/>
      <w:divBdr>
        <w:top w:val="none" w:sz="0" w:space="0" w:color="auto"/>
        <w:left w:val="none" w:sz="0" w:space="0" w:color="auto"/>
        <w:bottom w:val="none" w:sz="0" w:space="0" w:color="auto"/>
        <w:right w:val="none" w:sz="0" w:space="0" w:color="auto"/>
      </w:divBdr>
    </w:div>
    <w:div w:id="169063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90678-7B76-4E90-B218-8EAB7D9B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103531</Words>
  <Characters>590130</Characters>
  <Application>Microsoft Office Word</Application>
  <DocSecurity>0</DocSecurity>
  <Lines>4917</Lines>
  <Paragraphs>1384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Maria Grammatikopoulou</Company>
  <LinksUpToDate>false</LinksUpToDate>
  <CharactersWithSpaces>692277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HP</cp:lastModifiedBy>
  <cp:revision>2</cp:revision>
  <dcterms:created xsi:type="dcterms:W3CDTF">2020-01-01T22:13:00Z</dcterms:created>
  <dcterms:modified xsi:type="dcterms:W3CDTF">2020-01-01T22:13:00Z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http://www.zotero.org/styles/advances-in-nutrition</vt:lpwstr>
  </property>
  <property fmtid="{D5CDD505-2E9C-101B-9397-08002B2CF9AE}" pid="3" name="Mendeley Recent Style Name 0_1">
    <vt:lpwstr>Advances in Nutrition</vt:lpwstr>
  </property>
  <property fmtid="{D5CDD505-2E9C-101B-9397-08002B2CF9AE}" pid="4" name="Mendeley Recent Style Id 1_1">
    <vt:lpwstr>http://www.zotero.org/styles/brain</vt:lpwstr>
  </property>
  <property fmtid="{D5CDD505-2E9C-101B-9397-08002B2CF9AE}" pid="5" name="Mendeley Recent Style Name 1_1">
    <vt:lpwstr>Brain</vt:lpwstr>
  </property>
  <property fmtid="{D5CDD505-2E9C-101B-9397-08002B2CF9AE}" pid="6" name="Mendeley Recent Style Id 2_1">
    <vt:lpwstr>http://www.zotero.org/styles/frontiers</vt:lpwstr>
  </property>
  <property fmtid="{D5CDD505-2E9C-101B-9397-08002B2CF9AE}" pid="7" name="Mendeley Recent Style Name 2_1">
    <vt:lpwstr>Frontiers journals</vt:lpwstr>
  </property>
  <property fmtid="{D5CDD505-2E9C-101B-9397-08002B2CF9AE}" pid="8" name="Mendeley Recent Style Id 3_1">
    <vt:lpwstr>http://www.zotero.org/styles/journal-of-steroid-biochemistry-and-molecular-biology</vt:lpwstr>
  </property>
  <property fmtid="{D5CDD505-2E9C-101B-9397-08002B2CF9AE}" pid="9" name="Mendeley Recent Style Name 3_1">
    <vt:lpwstr>Journal of Steroid Biochemistry and Molecular Biology</vt:lpwstr>
  </property>
  <property fmtid="{D5CDD505-2E9C-101B-9397-08002B2CF9AE}" pid="10" name="Mendeley Recent Style Id 4_1">
    <vt:lpwstr>http://www.zotero.org/styles/maturitas</vt:lpwstr>
  </property>
  <property fmtid="{D5CDD505-2E9C-101B-9397-08002B2CF9AE}" pid="11" name="Mendeley Recent Style Name 4_1">
    <vt:lpwstr>Maturitas</vt:lpwstr>
  </property>
  <property fmtid="{D5CDD505-2E9C-101B-9397-08002B2CF9AE}" pid="12" name="Mendeley Recent Style Id 5_1">
    <vt:lpwstr>http://www.zotero.org/styles/nutrients</vt:lpwstr>
  </property>
  <property fmtid="{D5CDD505-2E9C-101B-9397-08002B2CF9AE}" pid="13" name="Mendeley Recent Style Name 5_1">
    <vt:lpwstr>Nutrients</vt:lpwstr>
  </property>
  <property fmtid="{D5CDD505-2E9C-101B-9397-08002B2CF9AE}" pid="14" name="Mendeley Recent Style Id 6_1">
    <vt:lpwstr>http://www.zotero.org/styles/nutrition-research-reviews</vt:lpwstr>
  </property>
  <property fmtid="{D5CDD505-2E9C-101B-9397-08002B2CF9AE}" pid="15" name="Mendeley Recent Style Name 6_1">
    <vt:lpwstr>Nutrition Research Reviews</vt:lpwstr>
  </property>
  <property fmtid="{D5CDD505-2E9C-101B-9397-08002B2CF9AE}" pid="16" name="Mendeley Recent Style Id 7_1">
    <vt:lpwstr>http://www.zotero.org/styles/nutrition-reviews</vt:lpwstr>
  </property>
  <property fmtid="{D5CDD505-2E9C-101B-9397-08002B2CF9AE}" pid="17" name="Mendeley Recent Style Name 7_1">
    <vt:lpwstr>Nutrition Reviews</vt:lpwstr>
  </property>
  <property fmtid="{D5CDD505-2E9C-101B-9397-08002B2CF9AE}" pid="18" name="Mendeley Recent Style Id 8_1">
    <vt:lpwstr>http://www.zotero.org/styles/pharmacological-research</vt:lpwstr>
  </property>
  <property fmtid="{D5CDD505-2E9C-101B-9397-08002B2CF9AE}" pid="19" name="Mendeley Recent Style Name 8_1">
    <vt:lpwstr>Pharmacological Research</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0124f65b-1ee1-3697-8db6-fff8c4ab2dc0</vt:lpwstr>
  </property>
  <property fmtid="{D5CDD505-2E9C-101B-9397-08002B2CF9AE}" pid="24" name="Mendeley Citation Style_1">
    <vt:lpwstr>http://www.zotero.org/styles/world-journal-of-gastroenterology</vt:lpwstr>
  </property>
</Properties>
</file>