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86A42"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778125B3"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52350</w:t>
      </w:r>
    </w:p>
    <w:p w14:paraId="309043AB"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META-ANALYSIS</w:t>
      </w:r>
    </w:p>
    <w:p w14:paraId="2980CE1D" w14:textId="77777777" w:rsidR="00BB2FD5" w:rsidRDefault="00BB2FD5">
      <w:pPr>
        <w:adjustRightInd w:val="0"/>
        <w:snapToGrid w:val="0"/>
        <w:spacing w:line="360" w:lineRule="auto"/>
        <w:jc w:val="both"/>
        <w:rPr>
          <w:rFonts w:ascii="Book Antiqua" w:hAnsi="Book Antiqua"/>
        </w:rPr>
      </w:pPr>
    </w:p>
    <w:p w14:paraId="4D7003F4" w14:textId="77777777" w:rsidR="00BB2FD5" w:rsidRDefault="00112DFD">
      <w:pPr>
        <w:adjustRightInd w:val="0"/>
        <w:snapToGrid w:val="0"/>
        <w:spacing w:line="360" w:lineRule="auto"/>
        <w:jc w:val="both"/>
        <w:rPr>
          <w:rFonts w:ascii="Book Antiqua" w:hAnsi="Book Antiqua"/>
        </w:rPr>
      </w:pPr>
      <w:bookmarkStart w:id="0" w:name="OLE_LINK10"/>
      <w:bookmarkStart w:id="1" w:name="OLE_LINK1"/>
      <w:r>
        <w:rPr>
          <w:rFonts w:ascii="Book Antiqua" w:eastAsia="Book Antiqua" w:hAnsi="Book Antiqua" w:cs="Book Antiqua"/>
          <w:b/>
          <w:color w:val="000000"/>
        </w:rPr>
        <w:t xml:space="preserve">Underwater </w:t>
      </w:r>
      <w:r>
        <w:rPr>
          <w:rFonts w:ascii="Book Antiqua" w:eastAsia="Book Antiqua" w:hAnsi="Book Antiqua" w:cs="Book Antiqua"/>
          <w:b/>
          <w:i/>
          <w:color w:val="000000"/>
        </w:rPr>
        <w:t>vs</w:t>
      </w:r>
      <w:r>
        <w:rPr>
          <w:rFonts w:ascii="Book Antiqua" w:eastAsia="Book Antiqua" w:hAnsi="Book Antiqua" w:cs="Book Antiqua"/>
          <w:b/>
          <w:color w:val="000000"/>
        </w:rPr>
        <w:t xml:space="preserve"> conventional endoscopic mucosal resection in treatment of colorectal polyps: A meta-analysis</w:t>
      </w:r>
      <w:bookmarkEnd w:id="0"/>
      <w:bookmarkEnd w:id="1"/>
    </w:p>
    <w:p w14:paraId="5D54842D" w14:textId="77777777" w:rsidR="00BB2FD5" w:rsidRDefault="00BB2FD5">
      <w:pPr>
        <w:adjustRightInd w:val="0"/>
        <w:snapToGrid w:val="0"/>
        <w:spacing w:line="360" w:lineRule="auto"/>
        <w:jc w:val="both"/>
        <w:rPr>
          <w:rFonts w:ascii="Book Antiqua" w:hAnsi="Book Antiqua"/>
        </w:rPr>
      </w:pPr>
    </w:p>
    <w:p w14:paraId="0E5F98B4"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bCs/>
          <w:color w:val="000000"/>
        </w:rPr>
        <w:t xml:space="preserve">Ni DQ </w:t>
      </w:r>
      <w:r>
        <w:rPr>
          <w:rFonts w:ascii="Book Antiqua" w:eastAsia="Book Antiqua" w:hAnsi="Book Antiqua" w:cs="Book Antiqua"/>
          <w:bCs/>
          <w:i/>
          <w:color w:val="000000"/>
        </w:rPr>
        <w:t>et al</w:t>
      </w:r>
      <w:r>
        <w:rPr>
          <w:rFonts w:ascii="Book Antiqua" w:eastAsia="Book Antiqua" w:hAnsi="Book Antiqua" w:cs="Book Antiqua"/>
          <w:bCs/>
          <w:color w:val="000000"/>
        </w:rPr>
        <w:t xml:space="preserve">. </w:t>
      </w:r>
      <w:bookmarkStart w:id="2" w:name="OLE_LINK2"/>
      <w:bookmarkStart w:id="3" w:name="OLE_LINK11"/>
      <w:bookmarkStart w:id="4" w:name="OLE_LINK3"/>
      <w:r>
        <w:rPr>
          <w:rFonts w:ascii="Book Antiqua" w:eastAsia="Book Antiqua" w:hAnsi="Book Antiqua" w:cs="Book Antiqua"/>
          <w:color w:val="000000"/>
        </w:rPr>
        <w:t>Meta-analysis of UEMR in colorectal polyps</w:t>
      </w:r>
      <w:bookmarkEnd w:id="2"/>
      <w:bookmarkEnd w:id="3"/>
      <w:bookmarkEnd w:id="4"/>
    </w:p>
    <w:p w14:paraId="0471E984" w14:textId="77777777" w:rsidR="00BB2FD5" w:rsidRDefault="00BB2FD5">
      <w:pPr>
        <w:adjustRightInd w:val="0"/>
        <w:snapToGrid w:val="0"/>
        <w:spacing w:line="360" w:lineRule="auto"/>
        <w:jc w:val="both"/>
        <w:rPr>
          <w:rFonts w:ascii="Book Antiqua" w:hAnsi="Book Antiqua"/>
        </w:rPr>
      </w:pPr>
    </w:p>
    <w:p w14:paraId="2118224E"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color w:val="000000"/>
        </w:rPr>
        <w:t>Dong-Qiong Ni, Yu-Ping Lu, Xi-Qiao Liu, Li-Ying Gao, Xuan Huang</w:t>
      </w:r>
    </w:p>
    <w:p w14:paraId="35E8CA67" w14:textId="77777777" w:rsidR="00BB2FD5" w:rsidRDefault="00BB2FD5">
      <w:pPr>
        <w:adjustRightInd w:val="0"/>
        <w:snapToGrid w:val="0"/>
        <w:spacing w:line="360" w:lineRule="auto"/>
        <w:jc w:val="both"/>
        <w:rPr>
          <w:rFonts w:ascii="Book Antiqua" w:hAnsi="Book Antiqua"/>
        </w:rPr>
      </w:pPr>
    </w:p>
    <w:p w14:paraId="3EA99082"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Dong-Qiong Ni, </w:t>
      </w:r>
      <w:r>
        <w:rPr>
          <w:rFonts w:ascii="Book Antiqua" w:eastAsia="Book Antiqua" w:hAnsi="Book Antiqua" w:cs="Book Antiqua"/>
          <w:bCs/>
          <w:color w:val="000000"/>
        </w:rPr>
        <w:t>Department</w:t>
      </w:r>
      <w:r>
        <w:rPr>
          <w:rFonts w:ascii="Book Antiqua" w:eastAsia="Book Antiqua" w:hAnsi="Book Antiqua" w:cs="Book Antiqua"/>
          <w:color w:val="000000"/>
        </w:rPr>
        <w:t xml:space="preserve"> of Gastroenterology, Affiliated Hospital of Shaoxing University, Shaoxing 312000, Zhejiang Province, China</w:t>
      </w:r>
    </w:p>
    <w:p w14:paraId="0A19A2D2" w14:textId="77777777" w:rsidR="00BB2FD5" w:rsidRDefault="00BB2FD5">
      <w:pPr>
        <w:adjustRightInd w:val="0"/>
        <w:snapToGrid w:val="0"/>
        <w:spacing w:line="360" w:lineRule="auto"/>
        <w:jc w:val="both"/>
        <w:rPr>
          <w:rFonts w:ascii="Book Antiqua" w:hAnsi="Book Antiqua"/>
        </w:rPr>
      </w:pPr>
    </w:p>
    <w:p w14:paraId="148812BB"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Yu-Ping Lu, Xi-Qiao Liu, Li-Ying Gao, Xuan Huang, </w:t>
      </w:r>
      <w:r>
        <w:rPr>
          <w:rFonts w:ascii="Book Antiqua" w:eastAsia="Book Antiqua" w:hAnsi="Book Antiqua" w:cs="Book Antiqua"/>
          <w:bCs/>
          <w:color w:val="000000"/>
        </w:rPr>
        <w:t>Department</w:t>
      </w:r>
      <w:r>
        <w:rPr>
          <w:rFonts w:ascii="Book Antiqua" w:eastAsia="Book Antiqua" w:hAnsi="Book Antiqua" w:cs="Book Antiqua"/>
          <w:color w:val="000000"/>
        </w:rPr>
        <w:t xml:space="preserve"> of Gastroenterology, </w:t>
      </w:r>
      <w:r>
        <w:rPr>
          <w:rFonts w:ascii="Book Antiqua" w:eastAsia="Book Antiqua" w:hAnsi="Book Antiqua" w:cs="Book Antiqua"/>
          <w:caps/>
          <w:color w:val="000000"/>
        </w:rPr>
        <w:t>t</w:t>
      </w:r>
      <w:r>
        <w:rPr>
          <w:rFonts w:ascii="Book Antiqua" w:eastAsia="Book Antiqua" w:hAnsi="Book Antiqua" w:cs="Book Antiqua"/>
          <w:color w:val="000000"/>
        </w:rPr>
        <w:t>he First Affiliated Hospital, Zhejiang Chinese Medical University, Hangzhou 310006, Zhejiang Province, China</w:t>
      </w:r>
    </w:p>
    <w:p w14:paraId="43434B80" w14:textId="77777777" w:rsidR="00BB2FD5" w:rsidRDefault="00BB2FD5">
      <w:pPr>
        <w:adjustRightInd w:val="0"/>
        <w:snapToGrid w:val="0"/>
        <w:spacing w:line="360" w:lineRule="auto"/>
        <w:jc w:val="both"/>
        <w:rPr>
          <w:rFonts w:ascii="Book Antiqua" w:hAnsi="Book Antiqua"/>
        </w:rPr>
      </w:pPr>
    </w:p>
    <w:p w14:paraId="07B456DA"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Author contributions: </w:t>
      </w:r>
      <w:bookmarkStart w:id="5" w:name="OLE_LINK9"/>
      <w:bookmarkStart w:id="6" w:name="OLE_LINK8"/>
      <w:r>
        <w:rPr>
          <w:rFonts w:ascii="Book Antiqua" w:eastAsia="Book Antiqua" w:hAnsi="Book Antiqua" w:cs="Book Antiqua"/>
          <w:bCs/>
          <w:color w:val="000000"/>
        </w:rPr>
        <w:t>Ni DQ</w:t>
      </w:r>
      <w:r>
        <w:rPr>
          <w:rFonts w:ascii="Book Antiqua" w:eastAsia="Book Antiqua" w:hAnsi="Book Antiqua" w:cs="Book Antiqua"/>
          <w:color w:val="000000"/>
        </w:rPr>
        <w:t xml:space="preserve"> proposed the research concept, analyzed the data, and wrote the manuscript; </w:t>
      </w:r>
      <w:r>
        <w:rPr>
          <w:rFonts w:ascii="Book Antiqua" w:eastAsia="Book Antiqua" w:hAnsi="Book Antiqua" w:cs="Book Antiqua"/>
          <w:bCs/>
          <w:color w:val="000000"/>
        </w:rPr>
        <w:t>Lu YP</w:t>
      </w:r>
      <w:r>
        <w:rPr>
          <w:rFonts w:ascii="Book Antiqua" w:eastAsia="Book Antiqua" w:hAnsi="Book Antiqua" w:cs="Book Antiqua"/>
          <w:color w:val="000000"/>
        </w:rPr>
        <w:t xml:space="preserve">, </w:t>
      </w:r>
      <w:r>
        <w:rPr>
          <w:rFonts w:ascii="Book Antiqua" w:eastAsia="Book Antiqua" w:hAnsi="Book Antiqua" w:cs="Book Antiqua"/>
          <w:bCs/>
          <w:color w:val="000000"/>
        </w:rPr>
        <w:t>Liu XQ,</w:t>
      </w:r>
      <w:r>
        <w:rPr>
          <w:rFonts w:ascii="Book Antiqua" w:eastAsia="Book Antiqua" w:hAnsi="Book Antiqua" w:cs="Book Antiqua"/>
          <w:color w:val="000000"/>
        </w:rPr>
        <w:t xml:space="preserve"> and Gao LY collected the data and assessed the quality score; Huang X critically revised the manuscript; all authors have read and approved the final manuscript.</w:t>
      </w:r>
      <w:bookmarkEnd w:id="5"/>
      <w:bookmarkEnd w:id="6"/>
    </w:p>
    <w:p w14:paraId="2C74AB82" w14:textId="77777777" w:rsidR="00BB2FD5" w:rsidRDefault="00BB2FD5">
      <w:pPr>
        <w:adjustRightInd w:val="0"/>
        <w:snapToGrid w:val="0"/>
        <w:spacing w:line="360" w:lineRule="auto"/>
        <w:jc w:val="both"/>
        <w:rPr>
          <w:rFonts w:ascii="Book Antiqua" w:hAnsi="Book Antiqua"/>
        </w:rPr>
      </w:pPr>
    </w:p>
    <w:p w14:paraId="12E46A8E"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b/>
          <w:bCs/>
          <w:color w:val="000000"/>
        </w:rPr>
        <w:t>Supported by</w:t>
      </w:r>
      <w:bookmarkStart w:id="7" w:name="OLE_LINK13"/>
      <w:bookmarkStart w:id="8" w:name="OLE_LINK12"/>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Traditional Chinese Medicine Science and Technology Program of Zhejiang Province of China, No. 2016ZA089; and Zhejiang </w:t>
      </w:r>
      <w:r>
        <w:rPr>
          <w:rFonts w:ascii="Book Antiqua" w:eastAsia="Book Antiqua" w:hAnsi="Book Antiqua" w:cs="Book Antiqua"/>
          <w:caps/>
          <w:color w:val="000000"/>
        </w:rPr>
        <w:t>m</w:t>
      </w:r>
      <w:r>
        <w:rPr>
          <w:rFonts w:ascii="Book Antiqua" w:eastAsia="Book Antiqua" w:hAnsi="Book Antiqua" w:cs="Book Antiqua"/>
          <w:color w:val="000000"/>
        </w:rPr>
        <w:t xml:space="preserve">edical and </w:t>
      </w:r>
      <w:r>
        <w:rPr>
          <w:rFonts w:ascii="Book Antiqua" w:eastAsia="Book Antiqua" w:hAnsi="Book Antiqua" w:cs="Book Antiqua"/>
          <w:caps/>
          <w:color w:val="000000"/>
        </w:rPr>
        <w:t>h</w:t>
      </w:r>
      <w:r>
        <w:rPr>
          <w:rFonts w:ascii="Book Antiqua" w:eastAsia="Book Antiqua" w:hAnsi="Book Antiqua" w:cs="Book Antiqua"/>
          <w:color w:val="000000"/>
        </w:rPr>
        <w:t xml:space="preserve">ealth </w:t>
      </w:r>
      <w:r>
        <w:rPr>
          <w:rFonts w:ascii="Book Antiqua" w:eastAsia="Book Antiqua" w:hAnsi="Book Antiqua" w:cs="Book Antiqua"/>
          <w:caps/>
          <w:color w:val="000000"/>
        </w:rPr>
        <w:t>s</w:t>
      </w:r>
      <w:r>
        <w:rPr>
          <w:rFonts w:ascii="Book Antiqua" w:eastAsia="Book Antiqua" w:hAnsi="Book Antiqua" w:cs="Book Antiqua"/>
          <w:color w:val="000000"/>
        </w:rPr>
        <w:t xml:space="preserve">cience and </w:t>
      </w:r>
      <w:r>
        <w:rPr>
          <w:rFonts w:ascii="Book Antiqua" w:eastAsia="Book Antiqua" w:hAnsi="Book Antiqua" w:cs="Book Antiqua"/>
          <w:caps/>
          <w:color w:val="000000"/>
        </w:rPr>
        <w:t>t</w:t>
      </w:r>
      <w:r>
        <w:rPr>
          <w:rFonts w:ascii="Book Antiqua" w:eastAsia="Book Antiqua" w:hAnsi="Book Antiqua" w:cs="Book Antiqua"/>
          <w:color w:val="000000"/>
        </w:rPr>
        <w:t>echnology</w:t>
      </w:r>
      <w:r>
        <w:rPr>
          <w:rFonts w:ascii="Book Antiqua" w:eastAsia="Book Antiqua" w:hAnsi="Book Antiqua" w:cs="Book Antiqua"/>
          <w:caps/>
          <w:color w:val="000000"/>
        </w:rPr>
        <w:t xml:space="preserve"> p</w:t>
      </w:r>
      <w:r>
        <w:rPr>
          <w:rFonts w:ascii="Book Antiqua" w:eastAsia="Book Antiqua" w:hAnsi="Book Antiqua" w:cs="Book Antiqua"/>
          <w:color w:val="000000"/>
        </w:rPr>
        <w:t>roject, No. 2020</w:t>
      </w:r>
      <w:r>
        <w:rPr>
          <w:rFonts w:ascii="Book Antiqua" w:eastAsia="Book Antiqua" w:hAnsi="Book Antiqua" w:cs="Book Antiqua"/>
          <w:color w:val="000000"/>
          <w:lang w:eastAsia="zh-Hans"/>
        </w:rPr>
        <w:t>RC025</w:t>
      </w:r>
      <w:r>
        <w:rPr>
          <w:rFonts w:ascii="Book Antiqua" w:eastAsia="Book Antiqua" w:hAnsi="Book Antiqua" w:cs="Book Antiqua"/>
          <w:color w:val="000000"/>
        </w:rPr>
        <w:t>.</w:t>
      </w:r>
      <w:bookmarkEnd w:id="7"/>
      <w:bookmarkEnd w:id="8"/>
    </w:p>
    <w:p w14:paraId="5FD87245" w14:textId="77777777" w:rsidR="00BB2FD5" w:rsidRDefault="00BB2FD5">
      <w:pPr>
        <w:adjustRightInd w:val="0"/>
        <w:snapToGrid w:val="0"/>
        <w:spacing w:line="360" w:lineRule="auto"/>
        <w:jc w:val="both"/>
        <w:rPr>
          <w:rFonts w:ascii="Book Antiqua" w:hAnsi="Book Antiqua"/>
        </w:rPr>
      </w:pPr>
    </w:p>
    <w:p w14:paraId="0DA4B31C" w14:textId="789ABCA3"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Corresponding author: Xuan Huang, PhD, Doctor, Professor, </w:t>
      </w:r>
      <w:r>
        <w:rPr>
          <w:rFonts w:ascii="Book Antiqua" w:eastAsia="Book Antiqua" w:hAnsi="Book Antiqua" w:cs="Book Antiqua"/>
          <w:bCs/>
          <w:color w:val="000000"/>
        </w:rPr>
        <w:t>Department</w:t>
      </w:r>
      <w:r>
        <w:rPr>
          <w:rFonts w:ascii="Book Antiqua" w:eastAsia="Book Antiqua" w:hAnsi="Book Antiqua" w:cs="Book Antiqua"/>
          <w:color w:val="000000"/>
        </w:rPr>
        <w:t xml:space="preserve"> of Gastroenterology, The First Affiliated Hospital, Zhejiang Chinese Medical </w:t>
      </w:r>
      <w:r>
        <w:rPr>
          <w:rFonts w:ascii="Book Antiqua" w:eastAsia="Book Antiqua" w:hAnsi="Book Antiqua" w:cs="Book Antiqua"/>
          <w:color w:val="000000"/>
        </w:rPr>
        <w:lastRenderedPageBreak/>
        <w:t xml:space="preserve">University, No. 54 Youdian Road, Hangzhou 310006, Zhejiang Province, China. </w:t>
      </w:r>
      <w:r>
        <w:rPr>
          <w:rFonts w:ascii="Book Antiqua" w:eastAsia="Book Antiqua" w:hAnsi="Book Antiqua" w:cs="Book Antiqua"/>
          <w:color w:val="000000"/>
          <w:u w:val="single"/>
        </w:rPr>
        <w:t>huangxuan1976@163.com</w:t>
      </w:r>
    </w:p>
    <w:p w14:paraId="0277FE2F" w14:textId="77777777" w:rsidR="00BB2FD5" w:rsidRDefault="00BB2FD5">
      <w:pPr>
        <w:adjustRightInd w:val="0"/>
        <w:snapToGrid w:val="0"/>
        <w:spacing w:line="360" w:lineRule="auto"/>
        <w:jc w:val="both"/>
        <w:rPr>
          <w:rFonts w:ascii="Book Antiqua" w:hAnsi="Book Antiqua"/>
        </w:rPr>
      </w:pPr>
    </w:p>
    <w:p w14:paraId="505F0FB7"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16, 2020</w:t>
      </w:r>
    </w:p>
    <w:p w14:paraId="69EAB3A0"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bCs/>
          <w:color w:val="000000"/>
        </w:rPr>
        <w:t>August 9</w:t>
      </w:r>
      <w:r>
        <w:rPr>
          <w:rFonts w:ascii="Book Antiqua" w:eastAsia="Book Antiqua" w:hAnsi="Book Antiqua" w:cs="Book Antiqua"/>
          <w:color w:val="000000"/>
        </w:rPr>
        <w:t>, 2020</w:t>
      </w:r>
    </w:p>
    <w:p w14:paraId="6BF9F14A" w14:textId="77777777" w:rsidR="00BB2FD5" w:rsidRDefault="00112DFD">
      <w:pPr>
        <w:snapToGrid w:val="0"/>
        <w:spacing w:line="360" w:lineRule="auto"/>
        <w:rPr>
          <w:rFonts w:ascii="Book Antiqua" w:hAnsi="Book Antiqua" w:cs="Arial"/>
          <w:color w:val="000000" w:themeColor="text1"/>
          <w:shd w:val="clear" w:color="auto" w:fill="FFFFFF"/>
        </w:rPr>
      </w:pPr>
      <w:r>
        <w:rPr>
          <w:rFonts w:ascii="Book Antiqua" w:eastAsia="Book Antiqua" w:hAnsi="Book Antiqua" w:cs="Book Antiqua"/>
          <w:b/>
          <w:bCs/>
          <w:color w:val="000000"/>
        </w:rPr>
        <w:t xml:space="preserve">Accepted: </w:t>
      </w:r>
      <w:bookmarkStart w:id="9" w:name="OLE_LINK106"/>
      <w:bookmarkStart w:id="10" w:name="OLE_LINK107"/>
      <w:r>
        <w:rPr>
          <w:rFonts w:ascii="Book Antiqua" w:hAnsi="Book Antiqua" w:cs="Arial"/>
          <w:color w:val="000000" w:themeColor="text1"/>
          <w:shd w:val="clear" w:color="auto" w:fill="FFFFFF"/>
        </w:rPr>
        <w:t>September 3, 2020</w:t>
      </w:r>
      <w:bookmarkEnd w:id="9"/>
      <w:bookmarkEnd w:id="10"/>
    </w:p>
    <w:p w14:paraId="6EAAA0DC" w14:textId="597C185A" w:rsidR="00BB2FD5" w:rsidRDefault="00112DFD">
      <w:pPr>
        <w:adjustRightInd w:val="0"/>
        <w:snapToGrid w:val="0"/>
        <w:spacing w:line="360" w:lineRule="auto"/>
        <w:jc w:val="both"/>
        <w:rPr>
          <w:rFonts w:ascii="Book Antiqua" w:eastAsia="宋体" w:hAnsi="Book Antiqua" w:cs="Book Antiqua"/>
          <w:bCs/>
          <w:color w:val="000000"/>
          <w:lang w:eastAsia="zh-CN"/>
        </w:rPr>
      </w:pPr>
      <w:r>
        <w:rPr>
          <w:rFonts w:ascii="Book Antiqua" w:eastAsia="Book Antiqua" w:hAnsi="Book Antiqua" w:cs="Book Antiqua"/>
          <w:b/>
          <w:bCs/>
          <w:color w:val="000000"/>
        </w:rPr>
        <w:t xml:space="preserve">Published online: </w:t>
      </w:r>
      <w:r w:rsidR="00AF20CB" w:rsidRPr="00AF20CB">
        <w:rPr>
          <w:rFonts w:ascii="Book Antiqua" w:eastAsia="Book Antiqua" w:hAnsi="Book Antiqua" w:cs="Book Antiqua"/>
          <w:bCs/>
          <w:color w:val="000000"/>
        </w:rPr>
        <w:t>October 26</w:t>
      </w:r>
      <w:r w:rsidR="00AF20CB" w:rsidRPr="00AF20CB">
        <w:rPr>
          <w:rFonts w:ascii="Book Antiqua" w:eastAsia="宋体" w:hAnsi="Book Antiqua" w:cs="Book Antiqua" w:hint="eastAsia"/>
          <w:bCs/>
          <w:color w:val="000000"/>
          <w:lang w:eastAsia="zh-CN"/>
        </w:rPr>
        <w:t>, 2020</w:t>
      </w:r>
    </w:p>
    <w:p w14:paraId="08BF2385" w14:textId="77777777" w:rsidR="00AF20CB" w:rsidRDefault="00AF20CB">
      <w:pPr>
        <w:adjustRightInd w:val="0"/>
        <w:snapToGrid w:val="0"/>
        <w:spacing w:line="360" w:lineRule="auto"/>
        <w:jc w:val="both"/>
        <w:rPr>
          <w:rFonts w:ascii="Book Antiqua" w:hAnsi="Book Antiqua"/>
        </w:rPr>
      </w:pPr>
    </w:p>
    <w:p w14:paraId="22EA173A" w14:textId="77777777" w:rsidR="00BB2FD5" w:rsidRDefault="00BB2FD5">
      <w:pPr>
        <w:adjustRightInd w:val="0"/>
        <w:snapToGrid w:val="0"/>
        <w:spacing w:line="360" w:lineRule="auto"/>
        <w:jc w:val="both"/>
        <w:rPr>
          <w:rFonts w:ascii="Book Antiqua" w:hAnsi="Book Antiqua"/>
        </w:rPr>
        <w:sectPr w:rsidR="00BB2FD5">
          <w:footerReference w:type="default" r:id="rId8"/>
          <w:type w:val="continuous"/>
          <w:pgSz w:w="12240" w:h="15840"/>
          <w:pgMar w:top="1440" w:right="1800" w:bottom="1440" w:left="1800" w:header="720" w:footer="720" w:gutter="0"/>
          <w:cols w:space="720"/>
          <w:docGrid w:linePitch="360"/>
        </w:sectPr>
      </w:pPr>
    </w:p>
    <w:p w14:paraId="0989D6ED"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b/>
          <w:color w:val="000000"/>
        </w:rPr>
        <w:br w:type="page"/>
        <w:t>Abstract</w:t>
      </w:r>
    </w:p>
    <w:p w14:paraId="0807072F"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color w:val="000000"/>
        </w:rPr>
        <w:t>BACKGROUND</w:t>
      </w:r>
    </w:p>
    <w:p w14:paraId="10AB5BB0" w14:textId="77777777" w:rsidR="00BB2FD5" w:rsidRDefault="00112DFD">
      <w:pPr>
        <w:adjustRightInd w:val="0"/>
        <w:snapToGrid w:val="0"/>
        <w:spacing w:line="360" w:lineRule="auto"/>
        <w:jc w:val="both"/>
        <w:rPr>
          <w:rFonts w:ascii="Book Antiqua" w:hAnsi="Book Antiqua"/>
        </w:rPr>
      </w:pPr>
      <w:bookmarkStart w:id="11" w:name="OLE_LINK18"/>
      <w:bookmarkStart w:id="12" w:name="OLE_LINK62"/>
      <w:bookmarkStart w:id="13" w:name="OLE_LINK19"/>
      <w:r>
        <w:rPr>
          <w:rFonts w:ascii="Book Antiqua" w:eastAsia="Book Antiqua" w:hAnsi="Book Antiqua" w:cs="Book Antiqua"/>
          <w:color w:val="000000"/>
        </w:rPr>
        <w:t>Underwater endoscopic mucosal resection (UEMR) of colorectal lesions is emerging as an alternative method to conventional endoscopic mucosal resection (EMR); however, it is still controversial whether there is a difference in the effectiveness between UEMR and EMR.</w:t>
      </w:r>
      <w:bookmarkEnd w:id="11"/>
      <w:bookmarkEnd w:id="12"/>
      <w:bookmarkEnd w:id="13"/>
    </w:p>
    <w:p w14:paraId="18E9189A" w14:textId="77777777" w:rsidR="00BB2FD5" w:rsidRDefault="00BB2FD5">
      <w:pPr>
        <w:adjustRightInd w:val="0"/>
        <w:snapToGrid w:val="0"/>
        <w:spacing w:line="360" w:lineRule="auto"/>
        <w:jc w:val="both"/>
        <w:rPr>
          <w:rFonts w:ascii="Book Antiqua" w:hAnsi="Book Antiqua"/>
        </w:rPr>
      </w:pPr>
    </w:p>
    <w:p w14:paraId="41617F1F"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color w:val="000000"/>
        </w:rPr>
        <w:t>AIM</w:t>
      </w:r>
    </w:p>
    <w:p w14:paraId="5456A46C" w14:textId="77777777" w:rsidR="00BB2FD5" w:rsidRDefault="00112DFD">
      <w:pPr>
        <w:adjustRightInd w:val="0"/>
        <w:snapToGrid w:val="0"/>
        <w:spacing w:line="360" w:lineRule="auto"/>
        <w:jc w:val="both"/>
        <w:rPr>
          <w:rFonts w:ascii="Book Antiqua" w:hAnsi="Book Antiqua"/>
        </w:rPr>
      </w:pPr>
      <w:bookmarkStart w:id="14" w:name="OLE_LINK61"/>
      <w:bookmarkStart w:id="15" w:name="OLE_LINK20"/>
      <w:bookmarkStart w:id="16" w:name="OLE_LINK21"/>
      <w:r>
        <w:rPr>
          <w:rFonts w:ascii="Book Antiqua" w:eastAsia="Book Antiqua" w:hAnsi="Book Antiqua" w:cs="Book Antiqua"/>
          <w:color w:val="000000"/>
        </w:rPr>
        <w:t>To evaluate the effectiveness and safety of UEMR in the treatment of colorectal polyps.</w:t>
      </w:r>
      <w:bookmarkEnd w:id="14"/>
      <w:bookmarkEnd w:id="15"/>
      <w:bookmarkEnd w:id="16"/>
    </w:p>
    <w:p w14:paraId="1AEEAD1C" w14:textId="77777777" w:rsidR="00BB2FD5" w:rsidRDefault="00BB2FD5">
      <w:pPr>
        <w:adjustRightInd w:val="0"/>
        <w:snapToGrid w:val="0"/>
        <w:spacing w:line="360" w:lineRule="auto"/>
        <w:jc w:val="both"/>
        <w:rPr>
          <w:rFonts w:ascii="Book Antiqua" w:hAnsi="Book Antiqua"/>
        </w:rPr>
      </w:pPr>
    </w:p>
    <w:p w14:paraId="5173D7E6"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color w:val="000000"/>
        </w:rPr>
        <w:t>METHODS</w:t>
      </w:r>
    </w:p>
    <w:p w14:paraId="642E6C64" w14:textId="77777777" w:rsidR="00BB2FD5" w:rsidRDefault="00112DFD">
      <w:pPr>
        <w:adjustRightInd w:val="0"/>
        <w:snapToGrid w:val="0"/>
        <w:spacing w:line="360" w:lineRule="auto"/>
        <w:jc w:val="both"/>
        <w:rPr>
          <w:rFonts w:ascii="Book Antiqua" w:hAnsi="Book Antiqua"/>
        </w:rPr>
      </w:pPr>
      <w:bookmarkStart w:id="17" w:name="OLE_LINK60"/>
      <w:bookmarkStart w:id="18" w:name="OLE_LINK22"/>
      <w:r>
        <w:rPr>
          <w:rFonts w:ascii="Book Antiqua" w:eastAsia="Book Antiqua" w:hAnsi="Book Antiqua" w:cs="Book Antiqua"/>
          <w:color w:val="000000"/>
        </w:rPr>
        <w:t>Clinical studies comparing the effectiveness or safety of UEMR in the treatment of colorectal polyps were searched in medical databases, including PubMed, Embase, Cochrane Library, CNKI, and Wanfang Data, monographs, theses, and papers presented at conferences. Statistical analyses were performed using Revman 5.3 software.</w:t>
      </w:r>
      <w:bookmarkEnd w:id="17"/>
      <w:bookmarkEnd w:id="18"/>
    </w:p>
    <w:p w14:paraId="6401305D" w14:textId="77777777" w:rsidR="00BB2FD5" w:rsidRDefault="00BB2FD5">
      <w:pPr>
        <w:adjustRightInd w:val="0"/>
        <w:snapToGrid w:val="0"/>
        <w:spacing w:line="360" w:lineRule="auto"/>
        <w:jc w:val="both"/>
        <w:rPr>
          <w:rFonts w:ascii="Book Antiqua" w:hAnsi="Book Antiqua"/>
        </w:rPr>
      </w:pPr>
    </w:p>
    <w:p w14:paraId="1CA9392D"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color w:val="000000"/>
        </w:rPr>
        <w:t>RESULTS</w:t>
      </w:r>
    </w:p>
    <w:p w14:paraId="23034193" w14:textId="77777777" w:rsidR="00BB2FD5" w:rsidRDefault="00112DFD">
      <w:pPr>
        <w:adjustRightInd w:val="0"/>
        <w:snapToGrid w:val="0"/>
        <w:spacing w:line="360" w:lineRule="auto"/>
        <w:jc w:val="both"/>
        <w:rPr>
          <w:rFonts w:ascii="Book Antiqua" w:hAnsi="Book Antiqua"/>
        </w:rPr>
      </w:pPr>
      <w:bookmarkStart w:id="19" w:name="OLE_LINK59"/>
      <w:bookmarkStart w:id="20" w:name="OLE_LINK58"/>
      <w:bookmarkStart w:id="21" w:name="OLE_LINK24"/>
      <w:bookmarkStart w:id="22" w:name="OLE_LINK23"/>
      <w:r>
        <w:rPr>
          <w:rFonts w:ascii="Book Antiqua" w:eastAsia="Book Antiqua" w:hAnsi="Book Antiqua" w:cs="Book Antiqua"/>
          <w:color w:val="000000"/>
        </w:rPr>
        <w:t>Seven non-randomized controlled trials and one randomized controlled trial met the inclusion criteria. In total, 1382 patients (1511 polyps) were included in the study, including 722 who received UEMR and 789 who received EMR.</w:t>
      </w:r>
      <w:r>
        <w:rPr>
          <w:rFonts w:ascii="Book Antiqua" w:eastAsia="Book Antiqua" w:hAnsi="Book Antiqua" w:cs="Book Antiqua"/>
        </w:rPr>
        <w:t xml:space="preserve"> In the UEMR and EMR groups, the </w:t>
      </w:r>
      <w:r>
        <w:rPr>
          <w:rFonts w:ascii="Book Antiqua" w:eastAsia="Book Antiqua" w:hAnsi="Book Antiqua" w:cs="Book Antiqua"/>
          <w:i/>
        </w:rPr>
        <w:t>en bloc</w:t>
      </w:r>
      <w:r>
        <w:rPr>
          <w:rFonts w:ascii="Book Antiqua" w:eastAsia="Book Antiqua" w:hAnsi="Book Antiqua" w:cs="Book Antiqua"/>
        </w:rPr>
        <w:t xml:space="preserve"> resection rates were 85.87% and 73.89%, respectively, with a relative risk (RR) value of 1.14 (95% confidence interval [CI]: 1.01-1.30; </w:t>
      </w:r>
      <w:r>
        <w:rPr>
          <w:rFonts w:ascii="Book Antiqua" w:eastAsia="Book Antiqua" w:hAnsi="Book Antiqua" w:cs="Book Antiqua"/>
          <w:i/>
        </w:rPr>
        <w:t xml:space="preserve">P </w:t>
      </w:r>
      <w:r>
        <w:rPr>
          <w:rFonts w:ascii="Book Antiqua" w:eastAsia="Book Antiqua" w:hAnsi="Book Antiqua" w:cs="Book Antiqua"/>
        </w:rPr>
        <w:t xml:space="preserve">&lt; 0.05). In the sub-group analysis, the </w:t>
      </w:r>
      <w:r>
        <w:rPr>
          <w:rFonts w:ascii="Book Antiqua" w:eastAsia="Book Antiqua" w:hAnsi="Book Antiqua" w:cs="Book Antiqua"/>
          <w:i/>
        </w:rPr>
        <w:t>en bloc</w:t>
      </w:r>
      <w:r>
        <w:rPr>
          <w:rFonts w:ascii="Book Antiqua" w:eastAsia="Book Antiqua" w:hAnsi="Book Antiqua" w:cs="Book Antiqua"/>
        </w:rPr>
        <w:t xml:space="preserve"> resection rate showed no statistically significant difference between the EMR and UEMR groups for polyps less than 20 mm in diameter. However, a statistically significant difference was found between the EMR and UEMR groups for polyps equal to or greater than 20 mm in diameter. The post-endoscopic resection recurrence rates at 3-6 mo of the UEMR and EMR groups were 3.26% and 15.17%, respectively, with an RR value of 0.27 (95%CI: 0.09-0.83; </w:t>
      </w:r>
      <w:r>
        <w:rPr>
          <w:rFonts w:ascii="Book Antiqua" w:eastAsia="Book Antiqua" w:hAnsi="Book Antiqua" w:cs="Book Antiqua"/>
          <w:i/>
        </w:rPr>
        <w:t>P</w:t>
      </w:r>
      <w:r>
        <w:rPr>
          <w:rFonts w:ascii="Book Antiqua" w:eastAsia="Book Antiqua" w:hAnsi="Book Antiqua" w:cs="Book Antiqua"/>
        </w:rPr>
        <w:t xml:space="preserve"> &lt; 0.05). The post-endoscopic resection recurrence rates of UEMR and EMR at 12 mo were 6.25% and 14.40%, respectively, with an RR value of 0.43 (95%CI: 0.20-0.92; </w:t>
      </w:r>
      <w:r>
        <w:rPr>
          <w:rFonts w:ascii="Book Antiqua" w:eastAsia="Book Antiqua" w:hAnsi="Book Antiqua" w:cs="Book Antiqua"/>
          <w:i/>
        </w:rPr>
        <w:t>P</w:t>
      </w:r>
      <w:r>
        <w:rPr>
          <w:rFonts w:ascii="Book Antiqua" w:eastAsia="Book Antiqua" w:hAnsi="Book Antiqua" w:cs="Book Antiqua"/>
        </w:rPr>
        <w:t xml:space="preserve"> &lt; 0.05). Additionally, the incidence of adverse events was 8.17% and 6.21%, respectively, with an RR value of 1.07 (95%CI: 0.50-2.30; </w:t>
      </w:r>
      <w:r>
        <w:rPr>
          <w:rFonts w:ascii="Book Antiqua" w:eastAsia="Book Antiqua" w:hAnsi="Book Antiqua" w:cs="Book Antiqua"/>
          <w:i/>
        </w:rPr>
        <w:t>P</w:t>
      </w:r>
      <w:r>
        <w:rPr>
          <w:rFonts w:ascii="Book Antiqua" w:eastAsia="Book Antiqua" w:hAnsi="Book Antiqua" w:cs="Book Antiqua"/>
        </w:rPr>
        <w:t xml:space="preserve"> &gt; 0.05).</w:t>
      </w:r>
      <w:bookmarkEnd w:id="19"/>
      <w:bookmarkEnd w:id="20"/>
      <w:bookmarkEnd w:id="21"/>
      <w:bookmarkEnd w:id="22"/>
    </w:p>
    <w:p w14:paraId="4EF77027" w14:textId="77777777" w:rsidR="00BB2FD5" w:rsidRDefault="00BB2FD5">
      <w:pPr>
        <w:adjustRightInd w:val="0"/>
        <w:snapToGrid w:val="0"/>
        <w:spacing w:line="360" w:lineRule="auto"/>
        <w:jc w:val="both"/>
        <w:rPr>
          <w:rFonts w:ascii="Book Antiqua" w:hAnsi="Book Antiqua"/>
        </w:rPr>
      </w:pPr>
    </w:p>
    <w:p w14:paraId="05967A83"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color w:val="000000"/>
        </w:rPr>
        <w:t>CONCLUSION</w:t>
      </w:r>
    </w:p>
    <w:p w14:paraId="78E6AE1B" w14:textId="77777777" w:rsidR="00BB2FD5" w:rsidRDefault="00112DFD">
      <w:pPr>
        <w:adjustRightInd w:val="0"/>
        <w:snapToGrid w:val="0"/>
        <w:spacing w:line="360" w:lineRule="auto"/>
        <w:jc w:val="both"/>
        <w:rPr>
          <w:rFonts w:ascii="Book Antiqua" w:hAnsi="Book Antiqua"/>
        </w:rPr>
      </w:pPr>
      <w:bookmarkStart w:id="23" w:name="OLE_LINK26"/>
      <w:bookmarkStart w:id="24" w:name="OLE_LINK57"/>
      <w:bookmarkStart w:id="25" w:name="OLE_LINK25"/>
      <w:r>
        <w:rPr>
          <w:rFonts w:ascii="Book Antiqua" w:eastAsia="Book Antiqua" w:hAnsi="Book Antiqua" w:cs="Book Antiqua"/>
          <w:color w:val="000000"/>
        </w:rPr>
        <w:t>UEMR is an effective technique for colorectal polyps and appears to have some advantages over EMR, particularly with regard to some treatment outcomes.</w:t>
      </w:r>
      <w:bookmarkEnd w:id="23"/>
      <w:bookmarkEnd w:id="24"/>
      <w:bookmarkEnd w:id="25"/>
    </w:p>
    <w:p w14:paraId="44B23CB1" w14:textId="77777777" w:rsidR="00BB2FD5" w:rsidRDefault="00BB2FD5">
      <w:pPr>
        <w:adjustRightInd w:val="0"/>
        <w:snapToGrid w:val="0"/>
        <w:spacing w:line="360" w:lineRule="auto"/>
        <w:jc w:val="both"/>
        <w:rPr>
          <w:rFonts w:ascii="Book Antiqua" w:hAnsi="Book Antiqua"/>
        </w:rPr>
      </w:pPr>
    </w:p>
    <w:p w14:paraId="04CF27F3" w14:textId="0CAA6820"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Key </w:t>
      </w:r>
      <w:r w:rsidR="00CE0872">
        <w:rPr>
          <w:rFonts w:ascii="Book Antiqua" w:eastAsia="Book Antiqua" w:hAnsi="Book Antiqua" w:cs="Book Antiqua"/>
          <w:b/>
          <w:bCs/>
          <w:color w:val="000000"/>
        </w:rPr>
        <w:t>W</w:t>
      </w:r>
      <w:r>
        <w:rPr>
          <w:rFonts w:ascii="Book Antiqua" w:eastAsia="Book Antiqua" w:hAnsi="Book Antiqua" w:cs="Book Antiqua"/>
          <w:b/>
          <w:bCs/>
          <w:color w:val="000000"/>
        </w:rPr>
        <w:t xml:space="preserve">ords: </w:t>
      </w:r>
      <w:bookmarkStart w:id="26" w:name="OLE_LINK15"/>
      <w:bookmarkStart w:id="27" w:name="OLE_LINK14"/>
      <w:r>
        <w:rPr>
          <w:rFonts w:ascii="Book Antiqua" w:eastAsia="Book Antiqua" w:hAnsi="Book Antiqua" w:cs="Book Antiqua"/>
          <w:color w:val="000000"/>
        </w:rPr>
        <w:t>Underwater endoscopic mucosal resection; Conventional endoscopic mucosal resection; Colorectal polyps; Meta-analysis; Endoscopic mucosal resection</w:t>
      </w:r>
      <w:bookmarkEnd w:id="26"/>
      <w:bookmarkEnd w:id="27"/>
    </w:p>
    <w:p w14:paraId="1A3C39FF" w14:textId="77777777" w:rsidR="00BB2FD5" w:rsidRDefault="00BB2FD5">
      <w:pPr>
        <w:adjustRightInd w:val="0"/>
        <w:snapToGrid w:val="0"/>
        <w:spacing w:line="360" w:lineRule="auto"/>
        <w:jc w:val="both"/>
        <w:rPr>
          <w:rFonts w:ascii="Book Antiqua" w:hAnsi="Book Antiqua"/>
        </w:rPr>
      </w:pPr>
    </w:p>
    <w:p w14:paraId="3FCEE6FE" w14:textId="7C3EC39D" w:rsidR="00D723D1" w:rsidRDefault="0000237F">
      <w:pPr>
        <w:adjustRightInd w:val="0"/>
        <w:snapToGrid w:val="0"/>
        <w:spacing w:line="360" w:lineRule="auto"/>
        <w:jc w:val="both"/>
        <w:rPr>
          <w:rFonts w:ascii="Book Antiqua" w:hAnsi="Book Antiqua" w:cs="Book Antiqua" w:hint="eastAsia"/>
          <w:color w:val="000000"/>
          <w:lang w:eastAsia="zh-CN"/>
        </w:rPr>
      </w:pPr>
      <w:bookmarkStart w:id="28" w:name="OLE_LINK5"/>
      <w:bookmarkStart w:id="29" w:name="OLE_LINK4"/>
      <w:r w:rsidRPr="0000237F">
        <w:rPr>
          <w:rFonts w:ascii="Book Antiqua" w:hAnsi="Book Antiqua" w:cs="Book Antiqua" w:hint="eastAsia"/>
          <w:b/>
          <w:color w:val="000000"/>
          <w:lang w:eastAsia="zh-CN"/>
        </w:rPr>
        <w:t xml:space="preserve">Citation: </w:t>
      </w:r>
      <w:r w:rsidR="00112DFD">
        <w:rPr>
          <w:rFonts w:ascii="Book Antiqua" w:eastAsia="Book Antiqua" w:hAnsi="Book Antiqua" w:cs="Book Antiqua"/>
          <w:color w:val="000000"/>
        </w:rPr>
        <w:t xml:space="preserve">Ni DQ, Lu YP, Liu XQ, Gao LY, Huang X. Underwater </w:t>
      </w:r>
      <w:r w:rsidR="00112DFD">
        <w:rPr>
          <w:rFonts w:ascii="Book Antiqua" w:eastAsia="Book Antiqua" w:hAnsi="Book Antiqua" w:cs="Book Antiqua"/>
          <w:i/>
          <w:color w:val="000000"/>
        </w:rPr>
        <w:t>vs</w:t>
      </w:r>
      <w:r w:rsidR="00112DFD">
        <w:rPr>
          <w:rFonts w:ascii="Book Antiqua" w:eastAsia="Book Antiqua" w:hAnsi="Book Antiqua" w:cs="Book Antiqua"/>
          <w:color w:val="000000"/>
        </w:rPr>
        <w:t xml:space="preserve"> conventional endoscopic mucosal resection in treatment of colorectal polyps: A meta-analysis. </w:t>
      </w:r>
      <w:r w:rsidR="00112DFD">
        <w:rPr>
          <w:rFonts w:ascii="Book Antiqua" w:eastAsia="Book Antiqua" w:hAnsi="Book Antiqua" w:cs="Book Antiqua"/>
          <w:i/>
          <w:iCs/>
          <w:color w:val="000000"/>
        </w:rPr>
        <w:t>World J Clin Cases</w:t>
      </w:r>
      <w:r w:rsidR="00112DFD">
        <w:rPr>
          <w:rFonts w:ascii="Book Antiqua" w:eastAsia="Book Antiqua" w:hAnsi="Book Antiqua" w:cs="Book Antiqua"/>
          <w:color w:val="000000"/>
        </w:rPr>
        <w:t xml:space="preserve"> </w:t>
      </w:r>
      <w:bookmarkStart w:id="30" w:name="OLE_LINK79"/>
      <w:bookmarkStart w:id="31" w:name="OLE_LINK80"/>
      <w:r w:rsidR="00112DFD">
        <w:rPr>
          <w:rFonts w:ascii="Book Antiqua" w:eastAsia="Book Antiqua" w:hAnsi="Book Antiqua" w:cs="Book Antiqua"/>
          <w:color w:val="000000"/>
        </w:rPr>
        <w:t xml:space="preserve">2020; </w:t>
      </w:r>
      <w:bookmarkEnd w:id="28"/>
      <w:bookmarkEnd w:id="29"/>
      <w:r w:rsidR="00AF20CB" w:rsidRPr="00AF20CB">
        <w:rPr>
          <w:rFonts w:ascii="Book Antiqua" w:eastAsia="Book Antiqua" w:hAnsi="Book Antiqua" w:cs="Book Antiqua"/>
          <w:color w:val="000000"/>
        </w:rPr>
        <w:t>8(</w:t>
      </w:r>
      <w:r w:rsidR="00AF20CB" w:rsidRPr="00AF20CB">
        <w:rPr>
          <w:rFonts w:ascii="Book Antiqua" w:eastAsia="Book Antiqua" w:hAnsi="Book Antiqua" w:cs="Book Antiqua" w:hint="eastAsia"/>
          <w:color w:val="000000"/>
        </w:rPr>
        <w:t>20</w:t>
      </w:r>
      <w:r w:rsidR="00AF20CB" w:rsidRPr="00AF20CB">
        <w:rPr>
          <w:rFonts w:ascii="Book Antiqua" w:eastAsia="Book Antiqua" w:hAnsi="Book Antiqua" w:cs="Book Antiqua"/>
          <w:color w:val="000000"/>
        </w:rPr>
        <w:t xml:space="preserve">): </w:t>
      </w:r>
      <w:r w:rsidR="007A23AB" w:rsidRPr="007A23AB">
        <w:rPr>
          <w:rFonts w:ascii="Book Antiqua" w:eastAsia="Book Antiqua" w:hAnsi="Book Antiqua" w:cs="Book Antiqua"/>
          <w:color w:val="000000"/>
        </w:rPr>
        <w:t>4826-4837</w:t>
      </w:r>
      <w:bookmarkEnd w:id="30"/>
      <w:bookmarkEnd w:id="31"/>
      <w:r w:rsidR="00AF20CB" w:rsidRPr="00AF20CB">
        <w:rPr>
          <w:rFonts w:ascii="Book Antiqua" w:eastAsia="Book Antiqua" w:hAnsi="Book Antiqua" w:cs="Book Antiqua"/>
          <w:color w:val="000000"/>
        </w:rPr>
        <w:t xml:space="preserve">  </w:t>
      </w:r>
    </w:p>
    <w:p w14:paraId="7D6D4F23" w14:textId="77777777" w:rsidR="00D723D1" w:rsidRDefault="00AF20CB">
      <w:pPr>
        <w:adjustRightInd w:val="0"/>
        <w:snapToGrid w:val="0"/>
        <w:spacing w:line="360" w:lineRule="auto"/>
        <w:jc w:val="both"/>
        <w:rPr>
          <w:rFonts w:ascii="Book Antiqua" w:hAnsi="Book Antiqua" w:cs="Book Antiqua" w:hint="eastAsia"/>
          <w:color w:val="000000"/>
          <w:lang w:eastAsia="zh-CN"/>
        </w:rPr>
      </w:pPr>
      <w:r w:rsidRPr="0000237F">
        <w:rPr>
          <w:rFonts w:ascii="Book Antiqua" w:eastAsia="Book Antiqua" w:hAnsi="Book Antiqua" w:cs="Book Antiqua"/>
          <w:b/>
          <w:color w:val="000000"/>
        </w:rPr>
        <w:t xml:space="preserve">URL: </w:t>
      </w:r>
      <w:r w:rsidRPr="00AF20CB">
        <w:rPr>
          <w:rFonts w:ascii="Book Antiqua" w:eastAsia="Book Antiqua" w:hAnsi="Book Antiqua" w:cs="Book Antiqua"/>
          <w:color w:val="000000"/>
        </w:rPr>
        <w:t>https://www.wjgnet.com/2307-8960/full/v8/i</w:t>
      </w:r>
      <w:r w:rsidRPr="00AF20CB">
        <w:rPr>
          <w:rFonts w:ascii="Book Antiqua" w:eastAsia="Book Antiqua" w:hAnsi="Book Antiqua" w:cs="Book Antiqua" w:hint="eastAsia"/>
          <w:color w:val="000000"/>
        </w:rPr>
        <w:t>20</w:t>
      </w:r>
      <w:r w:rsidRPr="00AF20CB">
        <w:rPr>
          <w:rFonts w:ascii="Book Antiqua" w:eastAsia="Book Antiqua" w:hAnsi="Book Antiqua" w:cs="Book Antiqua"/>
          <w:color w:val="000000"/>
        </w:rPr>
        <w:t>/</w:t>
      </w:r>
      <w:r w:rsidR="007A23AB">
        <w:rPr>
          <w:rFonts w:ascii="Book Antiqua" w:hAnsi="Book Antiqua" w:cs="Book Antiqua" w:hint="eastAsia"/>
          <w:color w:val="000000"/>
          <w:lang w:eastAsia="zh-CN"/>
        </w:rPr>
        <w:t>4826</w:t>
      </w:r>
      <w:r w:rsidRPr="00AF20CB">
        <w:rPr>
          <w:rFonts w:ascii="Book Antiqua" w:eastAsia="Book Antiqua" w:hAnsi="Book Antiqua" w:cs="Book Antiqua"/>
          <w:color w:val="000000"/>
        </w:rPr>
        <w:t xml:space="preserve">.htm  </w:t>
      </w:r>
    </w:p>
    <w:p w14:paraId="13899F44" w14:textId="6581E793" w:rsidR="00BB2FD5" w:rsidRPr="00D95E82" w:rsidRDefault="00AF20CB">
      <w:pPr>
        <w:adjustRightInd w:val="0"/>
        <w:snapToGrid w:val="0"/>
        <w:spacing w:line="360" w:lineRule="auto"/>
        <w:jc w:val="both"/>
        <w:rPr>
          <w:rFonts w:ascii="Book Antiqua" w:hAnsi="Book Antiqua" w:hint="eastAsia"/>
          <w:lang w:eastAsia="zh-CN"/>
        </w:rPr>
      </w:pPr>
      <w:r w:rsidRPr="0000237F">
        <w:rPr>
          <w:rFonts w:ascii="Book Antiqua" w:eastAsia="Book Antiqua" w:hAnsi="Book Antiqua" w:cs="Book Antiqua"/>
          <w:b/>
          <w:color w:val="000000"/>
        </w:rPr>
        <w:t>DOI:</w:t>
      </w:r>
      <w:r w:rsidRPr="00AF20CB">
        <w:rPr>
          <w:rFonts w:ascii="Book Antiqua" w:eastAsia="Book Antiqua" w:hAnsi="Book Antiqua" w:cs="Book Antiqua"/>
          <w:color w:val="000000"/>
        </w:rPr>
        <w:t xml:space="preserve"> </w:t>
      </w:r>
      <w:bookmarkStart w:id="32" w:name="OLE_LINK81"/>
      <w:bookmarkStart w:id="33" w:name="OLE_LINK82"/>
      <w:bookmarkStart w:id="34" w:name="_GoBack"/>
      <w:r w:rsidRPr="00AF20CB">
        <w:rPr>
          <w:rFonts w:ascii="Book Antiqua" w:eastAsia="Book Antiqua" w:hAnsi="Book Antiqua" w:cs="Book Antiqua"/>
          <w:color w:val="000000"/>
        </w:rPr>
        <w:t>https://dx.doi.org/10.12998/wjcc.v8.i</w:t>
      </w:r>
      <w:r w:rsidRPr="00AF20CB">
        <w:rPr>
          <w:rFonts w:ascii="Book Antiqua" w:eastAsia="Book Antiqua" w:hAnsi="Book Antiqua" w:cs="Book Antiqua" w:hint="eastAsia"/>
          <w:color w:val="000000"/>
        </w:rPr>
        <w:t>20</w:t>
      </w:r>
      <w:r w:rsidRPr="00AF20CB">
        <w:rPr>
          <w:rFonts w:ascii="Book Antiqua" w:eastAsia="Book Antiqua" w:hAnsi="Book Antiqua" w:cs="Book Antiqua"/>
          <w:color w:val="000000"/>
        </w:rPr>
        <w:t>.</w:t>
      </w:r>
      <w:r w:rsidR="00D95E82">
        <w:rPr>
          <w:rFonts w:ascii="Book Antiqua" w:hAnsi="Book Antiqua" w:cs="Book Antiqua" w:hint="eastAsia"/>
          <w:color w:val="000000"/>
          <w:lang w:eastAsia="zh-CN"/>
        </w:rPr>
        <w:t>4826</w:t>
      </w:r>
      <w:bookmarkEnd w:id="32"/>
      <w:bookmarkEnd w:id="33"/>
      <w:bookmarkEnd w:id="34"/>
    </w:p>
    <w:p w14:paraId="21AFACF3" w14:textId="77777777" w:rsidR="00BB2FD5" w:rsidRDefault="00BB2FD5">
      <w:pPr>
        <w:adjustRightInd w:val="0"/>
        <w:snapToGrid w:val="0"/>
        <w:spacing w:line="360" w:lineRule="auto"/>
        <w:jc w:val="both"/>
        <w:rPr>
          <w:rFonts w:ascii="Book Antiqua" w:hAnsi="Book Antiqua"/>
        </w:rPr>
      </w:pPr>
    </w:p>
    <w:p w14:paraId="6B8AB76C" w14:textId="63800F1B"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Core </w:t>
      </w:r>
      <w:r w:rsidR="00CE0872">
        <w:rPr>
          <w:rFonts w:ascii="Book Antiqua" w:eastAsia="Book Antiqua" w:hAnsi="Book Antiqua" w:cs="Book Antiqua"/>
          <w:b/>
          <w:bCs/>
          <w:color w:val="000000"/>
        </w:rPr>
        <w:t>T</w:t>
      </w:r>
      <w:r>
        <w:rPr>
          <w:rFonts w:ascii="Book Antiqua" w:eastAsia="Book Antiqua" w:hAnsi="Book Antiqua" w:cs="Book Antiqua"/>
          <w:b/>
          <w:bCs/>
          <w:color w:val="000000"/>
        </w:rPr>
        <w:t xml:space="preserve">ip: </w:t>
      </w:r>
      <w:bookmarkStart w:id="35" w:name="OLE_LINK17"/>
      <w:bookmarkStart w:id="36" w:name="OLE_LINK16"/>
      <w:bookmarkStart w:id="37" w:name="OLE_LINK6"/>
      <w:bookmarkStart w:id="38" w:name="OLE_LINK7"/>
      <w:r>
        <w:rPr>
          <w:rFonts w:ascii="Book Antiqua" w:eastAsia="Book Antiqua" w:hAnsi="Book Antiqua" w:cs="Book Antiqua"/>
          <w:color w:val="000000"/>
        </w:rPr>
        <w:t>In this work, we aimed to evaluate the effectiveness and safety of underwater endoscopic mucosal resection in the treatment of colorectal polyps. This is the first meta-analysis comparing the effectiveness and safety of underwater vs conventional endoscopic mucosal resection for colorectal polyps.</w:t>
      </w:r>
      <w:bookmarkEnd w:id="35"/>
      <w:bookmarkEnd w:id="36"/>
    </w:p>
    <w:p w14:paraId="43AB9F92" w14:textId="77777777" w:rsidR="00BB2FD5" w:rsidRDefault="00112DFD">
      <w:pPr>
        <w:adjustRightInd w:val="0"/>
        <w:snapToGrid w:val="0"/>
        <w:spacing w:line="360" w:lineRule="auto"/>
        <w:jc w:val="both"/>
        <w:rPr>
          <w:rFonts w:ascii="Book Antiqua" w:hAnsi="Book Antiqua"/>
        </w:rPr>
      </w:pPr>
      <w:r>
        <w:rPr>
          <w:rFonts w:ascii="Book Antiqua" w:hAnsi="Book Antiqua"/>
        </w:rPr>
        <w:br w:type="page"/>
      </w:r>
      <w:bookmarkEnd w:id="37"/>
      <w:bookmarkEnd w:id="38"/>
      <w:r>
        <w:rPr>
          <w:rFonts w:ascii="Book Antiqua" w:eastAsia="Book Antiqua" w:hAnsi="Book Antiqua" w:cs="Book Antiqua"/>
          <w:b/>
          <w:color w:val="000000"/>
          <w:u w:val="single"/>
        </w:rPr>
        <w:t>INTRODUCTION</w:t>
      </w:r>
    </w:p>
    <w:p w14:paraId="2A158F43" w14:textId="77777777" w:rsidR="00BB2FD5" w:rsidRDefault="00112DFD">
      <w:pPr>
        <w:adjustRightInd w:val="0"/>
        <w:snapToGrid w:val="0"/>
        <w:spacing w:line="360" w:lineRule="auto"/>
        <w:jc w:val="both"/>
        <w:rPr>
          <w:rFonts w:ascii="Book Antiqua" w:hAnsi="Book Antiqua"/>
        </w:rPr>
      </w:pPr>
      <w:bookmarkStart w:id="39" w:name="OLE_LINK56"/>
      <w:bookmarkStart w:id="40" w:name="OLE_LINK27"/>
      <w:bookmarkStart w:id="41" w:name="OLE_LINK28"/>
      <w:r>
        <w:rPr>
          <w:rFonts w:ascii="Book Antiqua" w:eastAsia="Book Antiqua" w:hAnsi="Book Antiqua" w:cs="Book Antiqua"/>
          <w:color w:val="000000"/>
        </w:rPr>
        <w:t>Colorectal cancer (CRC) is a common tumour type worldwide, ranking fifth in incidence among malignant tumours and with an increasing mortality rate</w:t>
      </w:r>
      <w:r>
        <w:rPr>
          <w:rFonts w:ascii="Book Antiqua" w:eastAsia="Book Antiqua" w:hAnsi="Book Antiqua" w:cs="Book Antiqua"/>
          <w:color w:val="000000"/>
          <w:vertAlign w:val="superscript"/>
        </w:rPr>
        <w:t>[1]</w:t>
      </w:r>
      <w:r>
        <w:rPr>
          <w:rFonts w:ascii="Book Antiqua" w:eastAsia="Book Antiqua" w:hAnsi="Book Antiqua" w:cs="Book Antiqua"/>
          <w:color w:val="000000"/>
        </w:rPr>
        <w:t>. Colorectal polyps, a family history of cancer, and smoking are risk factors for the development of CRC, and approximately 75% of CRC tumours develop through the "adenoma–carcinoma" pathway</w:t>
      </w:r>
      <w:r>
        <w:rPr>
          <w:rFonts w:ascii="Book Antiqua" w:eastAsia="Book Antiqua" w:hAnsi="Book Antiqua" w:cs="Book Antiqua"/>
          <w:color w:val="000000"/>
          <w:vertAlign w:val="superscript"/>
        </w:rPr>
        <w:t>[2]</w:t>
      </w:r>
      <w:r>
        <w:rPr>
          <w:rFonts w:ascii="Book Antiqua" w:eastAsia="Book Antiqua" w:hAnsi="Book Antiqua" w:cs="Book Antiqua"/>
          <w:color w:val="000000"/>
        </w:rPr>
        <w:t>. If not resected in time, the tumours are highly prone to becoming cancerous. Thus, early detection and treatment are important for preventing CRC. Previously, surgery was regarded as the preferred method to treat colorectal polyps, but it has disadvantages such as significant trauma and a long duration of recovery. Presently, endoscopic techniques are often used instead of surgery</w:t>
      </w:r>
      <w:r>
        <w:rPr>
          <w:rFonts w:ascii="Book Antiqua" w:eastAsia="Book Antiqua" w:hAnsi="Book Antiqua" w:cs="Book Antiqua"/>
          <w:color w:val="000000"/>
          <w:vertAlign w:val="superscript"/>
        </w:rPr>
        <w:t>[3]</w:t>
      </w:r>
      <w:r>
        <w:rPr>
          <w:rFonts w:ascii="Book Antiqua" w:eastAsia="Book Antiqua" w:hAnsi="Book Antiqua" w:cs="Book Antiqua"/>
          <w:color w:val="000000"/>
        </w:rPr>
        <w:t>. Endoscopic high-frequency electrocoagulation knife resection, endoscopic mucosal resection (EMR), and endoscopic submucosal dissection</w:t>
      </w:r>
      <w:r>
        <w:rPr>
          <w:rFonts w:ascii="Book Antiqua" w:eastAsia="Book Antiqua" w:hAnsi="Book Antiqua" w:cs="Book Antiqua"/>
          <w:color w:val="000000"/>
          <w:vertAlign w:val="superscript"/>
        </w:rPr>
        <w:t>[4,5]</w:t>
      </w:r>
      <w:r>
        <w:rPr>
          <w:rFonts w:ascii="Book Antiqua" w:eastAsia="Book Antiqua" w:hAnsi="Book Antiqua" w:cs="Book Antiqua"/>
          <w:color w:val="000000"/>
        </w:rPr>
        <w:t> are common endoscopic treatments that are widely used in clinical practice. EMR applies to colorectal polyps less than 20 mm in diameter</w:t>
      </w:r>
      <w:r>
        <w:rPr>
          <w:rFonts w:ascii="Book Antiqua" w:eastAsia="Book Antiqua" w:hAnsi="Book Antiqua" w:cs="Book Antiqua"/>
          <w:color w:val="000000"/>
          <w:vertAlign w:val="superscript"/>
        </w:rPr>
        <w:t>[6]</w:t>
      </w:r>
      <w:r>
        <w:rPr>
          <w:rFonts w:ascii="Book Antiqua" w:eastAsia="Book Antiqua" w:hAnsi="Book Antiqua" w:cs="Book Antiqua"/>
          <w:color w:val="000000"/>
        </w:rPr>
        <w:t>. The </w:t>
      </w:r>
      <w:r>
        <w:rPr>
          <w:rFonts w:ascii="Book Antiqua" w:eastAsia="Book Antiqua" w:hAnsi="Book Antiqua" w:cs="Book Antiqua"/>
          <w:i/>
          <w:color w:val="000000"/>
        </w:rPr>
        <w:t>en bloc</w:t>
      </w:r>
      <w:r>
        <w:rPr>
          <w:rFonts w:ascii="Book Antiqua" w:eastAsia="Book Antiqua" w:hAnsi="Book Antiqua" w:cs="Book Antiqua"/>
          <w:color w:val="000000"/>
        </w:rPr>
        <w:t xml:space="preserve"> resection rate and recurrence rate after EMR were 70% and 17%, respectively</w:t>
      </w:r>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In 2012, Binmoeller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[9] </w:t>
      </w:r>
      <w:r>
        <w:rPr>
          <w:rFonts w:ascii="Book Antiqua" w:eastAsia="Book Antiqua" w:hAnsi="Book Antiqua" w:cs="Book Antiqua"/>
          <w:color w:val="000000"/>
        </w:rPr>
        <w:t xml:space="preserve">first proposed underwater endoscopic mucosal resection (UEMR), in which water was injected into the intestine instead of gas, thereby avoiding submucosal injection. Recent studies have compared the efficacy and safety of conventional EMR and UEMR in the treatment of colorectal polyps. Cadoni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concluded that UEMR showed better efficacy through controlled studies, and Rodríguez Sánchez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[11] </w:t>
      </w:r>
      <w:r>
        <w:rPr>
          <w:rFonts w:ascii="Book Antiqua" w:eastAsia="Book Antiqua" w:hAnsi="Book Antiqua" w:cs="Book Antiqua"/>
          <w:color w:val="000000"/>
        </w:rPr>
        <w:t>found no significant difference between EMR and UEMR in terms of effectiveness and safety. In the present study, we collected all clinical trials related to the treatment of colorectal polyps by UEMR to objectively and impartially evaluate the efficacy and safety of UEMR in treating colorectal polyps.</w:t>
      </w:r>
      <w:bookmarkEnd w:id="39"/>
      <w:bookmarkEnd w:id="40"/>
      <w:bookmarkEnd w:id="41"/>
    </w:p>
    <w:p w14:paraId="1825D469" w14:textId="77777777" w:rsidR="00BB2FD5" w:rsidRDefault="00BB2FD5">
      <w:pPr>
        <w:adjustRightInd w:val="0"/>
        <w:snapToGrid w:val="0"/>
        <w:spacing w:line="360" w:lineRule="auto"/>
        <w:ind w:firstLine="480"/>
        <w:jc w:val="both"/>
        <w:rPr>
          <w:rFonts w:ascii="Book Antiqua" w:hAnsi="Book Antiqua"/>
        </w:rPr>
      </w:pPr>
    </w:p>
    <w:p w14:paraId="7E52762A"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b/>
          <w:color w:val="000000"/>
          <w:u w:val="single"/>
        </w:rPr>
        <w:t>MATERIALS AND METHODS</w:t>
      </w:r>
    </w:p>
    <w:p w14:paraId="3C8C2809" w14:textId="77777777" w:rsidR="00BB2FD5" w:rsidRDefault="00112DFD">
      <w:pPr>
        <w:adjustRightInd w:val="0"/>
        <w:snapToGrid w:val="0"/>
        <w:spacing w:line="360" w:lineRule="auto"/>
        <w:jc w:val="both"/>
        <w:rPr>
          <w:rFonts w:ascii="Book Antiqua" w:hAnsi="Book Antiqua"/>
          <w:i/>
        </w:rPr>
      </w:pPr>
      <w:bookmarkStart w:id="42" w:name="OLE_LINK29"/>
      <w:bookmarkStart w:id="43" w:name="OLE_LINK55"/>
      <w:bookmarkStart w:id="44" w:name="OLE_LINK30"/>
      <w:r>
        <w:rPr>
          <w:rFonts w:ascii="Book Antiqua" w:eastAsia="Book Antiqua" w:hAnsi="Book Antiqua" w:cs="Book Antiqua"/>
          <w:b/>
          <w:bCs/>
          <w:i/>
          <w:color w:val="000000"/>
        </w:rPr>
        <w:t>Inclusion and exclusion criteria </w:t>
      </w:r>
    </w:p>
    <w:p w14:paraId="67E8C7FE" w14:textId="35AC6938"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The inclusion criteria were as follows: (1) Study design: Case-controlled trials or randomized controlled trial (RCTs); (2) </w:t>
      </w:r>
      <w:r w:rsidR="0072650E">
        <w:rPr>
          <w:rFonts w:ascii="Book Antiqua" w:hAnsi="Book Antiqua" w:cs="Book Antiqua" w:hint="eastAsia"/>
          <w:color w:val="000000"/>
          <w:lang w:eastAsia="zh-CN"/>
        </w:rPr>
        <w:t>S</w:t>
      </w:r>
      <w:r>
        <w:rPr>
          <w:rFonts w:ascii="Book Antiqua" w:eastAsia="Book Antiqua" w:hAnsi="Book Antiqua" w:cs="Book Antiqua"/>
          <w:color w:val="000000"/>
        </w:rPr>
        <w:t xml:space="preserve">ubjects: Male or female patients of any age; (3) </w:t>
      </w:r>
      <w:r w:rsidR="0072650E">
        <w:rPr>
          <w:rFonts w:ascii="Book Antiqua" w:hAnsi="Book Antiqua" w:cs="Book Antiqua" w:hint="eastAsia"/>
          <w:color w:val="000000"/>
          <w:lang w:eastAsia="zh-CN"/>
        </w:rPr>
        <w:t>I</w:t>
      </w:r>
      <w:r>
        <w:rPr>
          <w:rFonts w:ascii="Book Antiqua" w:eastAsia="Book Antiqua" w:hAnsi="Book Antiqua" w:cs="Book Antiqua"/>
          <w:color w:val="000000"/>
        </w:rPr>
        <w:t xml:space="preserve">nterventions: Patients in the trial group had undergone UEMR to resect colorectal polyps, while those in the control group had undergone EMR; and (4) </w:t>
      </w:r>
      <w:r w:rsidR="0072650E">
        <w:rPr>
          <w:rFonts w:ascii="Book Antiqua" w:hAnsi="Book Antiqua" w:cs="Book Antiqua" w:hint="eastAsia"/>
          <w:color w:val="000000"/>
          <w:lang w:eastAsia="zh-CN"/>
        </w:rPr>
        <w:t>O</w:t>
      </w:r>
      <w:r>
        <w:rPr>
          <w:rFonts w:ascii="Book Antiqua" w:eastAsia="Book Antiqua" w:hAnsi="Book Antiqua" w:cs="Book Antiqua"/>
          <w:color w:val="000000"/>
        </w:rPr>
        <w:t xml:space="preserve">utcome indexes: Patients with one or more of the following indexes: </w:t>
      </w:r>
      <w:r>
        <w:rPr>
          <w:rFonts w:ascii="Book Antiqua" w:eastAsia="Book Antiqua" w:hAnsi="Book Antiqua" w:cs="Book Antiqua"/>
          <w:i/>
          <w:color w:val="000000"/>
        </w:rPr>
        <w:t>En bloc</w:t>
      </w:r>
      <w:r>
        <w:rPr>
          <w:rFonts w:ascii="Book Antiqua" w:eastAsia="Book Antiqua" w:hAnsi="Book Antiqua" w:cs="Book Antiqua"/>
          <w:color w:val="000000"/>
        </w:rPr>
        <w:t xml:space="preserve"> resection rate, incidence of adverse events, and post-endoscopic resection recurrence rate at 3</w:t>
      </w:r>
      <w:r>
        <w:rPr>
          <w:rFonts w:ascii="Book Antiqua" w:hAnsi="Book Antiqua" w:cs="Book Antiqua"/>
          <w:color w:val="000000"/>
          <w:lang w:eastAsia="zh-CN"/>
        </w:rPr>
        <w:t>-</w:t>
      </w:r>
      <w:r>
        <w:rPr>
          <w:rFonts w:ascii="Book Antiqua" w:eastAsia="Book Antiqua" w:hAnsi="Book Antiqua" w:cs="Book Antiqua"/>
          <w:color w:val="000000"/>
        </w:rPr>
        <w:t xml:space="preserve">6 mo and at 12 mo. The </w:t>
      </w:r>
      <w:r>
        <w:rPr>
          <w:rFonts w:ascii="Book Antiqua" w:eastAsia="Book Antiqua" w:hAnsi="Book Antiqua" w:cs="Book Antiqua"/>
          <w:i/>
          <w:color w:val="000000"/>
        </w:rPr>
        <w:t>en bloc</w:t>
      </w:r>
      <w:r>
        <w:rPr>
          <w:rFonts w:ascii="Book Antiqua" w:eastAsia="Book Antiqua" w:hAnsi="Book Antiqua" w:cs="Book Antiqua"/>
          <w:color w:val="000000"/>
        </w:rPr>
        <w:t xml:space="preserve"> resection rate was defined as resection in one piece without fragmentation, along with or extrinsic to the diathermic markings placed around the perimeter of the lesion before resection without a remnant lesion</w:t>
      </w:r>
      <w:r>
        <w:rPr>
          <w:rFonts w:ascii="Book Antiqua" w:eastAsia="Book Antiqua" w:hAnsi="Book Antiqua" w:cs="Book Antiqua"/>
          <w:color w:val="000000"/>
          <w:vertAlign w:val="superscript"/>
        </w:rPr>
        <w:t>[12]</w:t>
      </w:r>
      <w:r>
        <w:rPr>
          <w:rFonts w:ascii="Book Antiqua" w:eastAsia="Book Antiqua" w:hAnsi="Book Antiqua" w:cs="Book Antiqua"/>
          <w:color w:val="000000"/>
        </w:rPr>
        <w:t>.</w:t>
      </w:r>
    </w:p>
    <w:p w14:paraId="684D5C99" w14:textId="18F180BA" w:rsidR="00BB2FD5" w:rsidRDefault="00112DFD">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exclusion criteria were as follows: (1) Animal experiments; (2) </w:t>
      </w:r>
      <w:r w:rsidR="0072650E">
        <w:rPr>
          <w:rFonts w:ascii="Book Antiqua" w:hAnsi="Book Antiqua" w:cs="Book Antiqua" w:hint="eastAsia"/>
          <w:color w:val="000000"/>
          <w:lang w:eastAsia="zh-CN"/>
        </w:rPr>
        <w:t>D</w:t>
      </w:r>
      <w:r>
        <w:rPr>
          <w:rFonts w:ascii="Book Antiqua" w:eastAsia="Book Antiqua" w:hAnsi="Book Antiqua" w:cs="Book Antiqua"/>
          <w:color w:val="000000"/>
        </w:rPr>
        <w:t xml:space="preserve">uplicate articles; (3) </w:t>
      </w:r>
      <w:r w:rsidR="0072650E">
        <w:rPr>
          <w:rFonts w:ascii="Book Antiqua" w:hAnsi="Book Antiqua" w:cs="Book Antiqua" w:hint="eastAsia"/>
          <w:color w:val="000000"/>
          <w:lang w:eastAsia="zh-CN"/>
        </w:rPr>
        <w:t>A</w:t>
      </w:r>
      <w:r>
        <w:rPr>
          <w:rFonts w:ascii="Book Antiqua" w:eastAsia="Book Antiqua" w:hAnsi="Book Antiqua" w:cs="Book Antiqua"/>
          <w:color w:val="000000"/>
        </w:rPr>
        <w:t xml:space="preserve">rticles with incomplete data; and (4) </w:t>
      </w:r>
      <w:r w:rsidR="0072650E">
        <w:rPr>
          <w:rFonts w:ascii="Book Antiqua" w:hAnsi="Book Antiqua" w:cs="Book Antiqua" w:hint="eastAsia"/>
          <w:color w:val="000000"/>
          <w:lang w:eastAsia="zh-CN"/>
        </w:rPr>
        <w:t>A</w:t>
      </w:r>
      <w:r>
        <w:rPr>
          <w:rFonts w:ascii="Book Antiqua" w:eastAsia="Book Antiqua" w:hAnsi="Book Antiqua" w:cs="Book Antiqua"/>
          <w:color w:val="000000"/>
        </w:rPr>
        <w:t>rticles with ambiguous outcome indexes. </w:t>
      </w:r>
    </w:p>
    <w:p w14:paraId="7AE6470D" w14:textId="77777777" w:rsidR="00BB2FD5" w:rsidRDefault="00BB2FD5">
      <w:pPr>
        <w:adjustRightInd w:val="0"/>
        <w:snapToGrid w:val="0"/>
        <w:spacing w:line="360" w:lineRule="auto"/>
        <w:jc w:val="both"/>
        <w:rPr>
          <w:rFonts w:ascii="Book Antiqua" w:eastAsia="Book Antiqua" w:hAnsi="Book Antiqua" w:cs="Book Antiqua"/>
          <w:b/>
          <w:bCs/>
          <w:i/>
          <w:color w:val="000000"/>
        </w:rPr>
      </w:pPr>
    </w:p>
    <w:p w14:paraId="6F40A605" w14:textId="77777777" w:rsidR="00BB2FD5" w:rsidRDefault="00112DFD">
      <w:pPr>
        <w:adjustRightInd w:val="0"/>
        <w:snapToGrid w:val="0"/>
        <w:spacing w:line="360" w:lineRule="auto"/>
        <w:jc w:val="both"/>
        <w:rPr>
          <w:rFonts w:ascii="Book Antiqua" w:hAnsi="Book Antiqua"/>
          <w:i/>
        </w:rPr>
      </w:pPr>
      <w:r>
        <w:rPr>
          <w:rFonts w:ascii="Book Antiqua" w:eastAsia="Book Antiqua" w:hAnsi="Book Antiqua" w:cs="Book Antiqua"/>
          <w:b/>
          <w:bCs/>
          <w:i/>
          <w:color w:val="000000"/>
        </w:rPr>
        <w:t>Search strategy </w:t>
      </w:r>
    </w:p>
    <w:p w14:paraId="1E2E0807"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color w:val="000000"/>
        </w:rPr>
        <w:t>An in-depth literature search was performed using the English keywords “endoscopic mucosal resection, EMR, and UEMR”, as well as using the Chinese keywords “underwater endoscopic mucosal resection”. The computerized databases PubMed, Embase, Cochrane Library, CNKI, and Wanfang Data, monographs, theses, and papers presented at conferences were searched to identify all eligible studies published before September 2019. We also searched the related references in the retrieved studies to avoid missing trials. Articles were independently assessed by two investigators according to the inclusion and exclusion criteria. The articles were initially screened according to the title and abstract to exclude irrelevant studies. Subsequently, the full content of each article was read to identify potentially eligible articles for inclusion in the review. Controversial papers were discussed by all authors, and a consensus was reached. </w:t>
      </w:r>
    </w:p>
    <w:p w14:paraId="66F6B1E8" w14:textId="77777777" w:rsidR="00BB2FD5" w:rsidRDefault="00BB2FD5">
      <w:pPr>
        <w:adjustRightInd w:val="0"/>
        <w:snapToGrid w:val="0"/>
        <w:spacing w:line="360" w:lineRule="auto"/>
        <w:jc w:val="both"/>
        <w:rPr>
          <w:rFonts w:ascii="Book Antiqua" w:eastAsia="Book Antiqua" w:hAnsi="Book Antiqua" w:cs="Book Antiqua"/>
          <w:b/>
          <w:bCs/>
          <w:i/>
          <w:color w:val="000000"/>
        </w:rPr>
      </w:pPr>
    </w:p>
    <w:p w14:paraId="2114086B" w14:textId="77777777" w:rsidR="00BB2FD5" w:rsidRDefault="00112DFD">
      <w:pPr>
        <w:adjustRightInd w:val="0"/>
        <w:snapToGrid w:val="0"/>
        <w:spacing w:line="360" w:lineRule="auto"/>
        <w:jc w:val="both"/>
        <w:rPr>
          <w:rFonts w:ascii="Book Antiqua" w:hAnsi="Book Antiqua"/>
          <w:i/>
        </w:rPr>
      </w:pPr>
      <w:r>
        <w:rPr>
          <w:rFonts w:ascii="Book Antiqua" w:eastAsia="Book Antiqua" w:hAnsi="Book Antiqua" w:cs="Book Antiqua"/>
          <w:b/>
          <w:bCs/>
          <w:i/>
          <w:color w:val="000000"/>
        </w:rPr>
        <w:t>Quality assessment</w:t>
      </w:r>
    </w:p>
    <w:p w14:paraId="1893C35F"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color w:val="000000"/>
        </w:rPr>
        <w:t>Methodological index for non-randomized studies</w:t>
      </w:r>
      <w:r>
        <w:rPr>
          <w:rFonts w:ascii="Book Antiqua" w:eastAsia="Book Antiqua" w:hAnsi="Book Antiqua" w:cs="Book Antiqua"/>
          <w:color w:val="000000"/>
          <w:vertAlign w:val="superscript"/>
        </w:rPr>
        <w:t>[13]</w:t>
      </w:r>
      <w:r>
        <w:rPr>
          <w:rFonts w:ascii="Book Antiqua" w:eastAsia="Book Antiqua" w:hAnsi="Book Antiqua" w:cs="Book Antiqua"/>
          <w:color w:val="000000"/>
        </w:rPr>
        <w:t> was used to assess the quality of the seven included non-randomized controlled trials. The assessment criteria included the following: A clearly stated aim, inclusion of consecutive patients, prospective collection of data, endpoints appropriate to the aim of the study, unbiased assessment of the study endpoint, follow-up period appropriate to the aim of the study, loss to follow-up rate less than 5%, prospective calculation of the study size, an adequate control group, contemporary groups, baseline equivalence of groups, and adequate statistical analyses. The items were scored as 0 (not reported), 1 (reported but inadequate), or 2 (reported and adequate). According to the score, the quality assessment was divided into three grades: 0–8 indicated low quality, 9–16 indicated middle quality, and 17–24 indicated high quality. </w:t>
      </w:r>
    </w:p>
    <w:p w14:paraId="77BAC676" w14:textId="43DBE25C" w:rsidR="00BB2FD5" w:rsidRDefault="00112DFD">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Criteria recommended in the Cochrane system review manual (5.1.0 version)</w:t>
      </w:r>
      <w:r>
        <w:rPr>
          <w:rFonts w:ascii="Book Antiqua" w:eastAsia="Book Antiqua" w:hAnsi="Book Antiqua" w:cs="Book Antiqua"/>
          <w:color w:val="000000"/>
          <w:vertAlign w:val="superscript"/>
        </w:rPr>
        <w:t>[14] </w:t>
      </w:r>
      <w:r>
        <w:rPr>
          <w:rFonts w:ascii="Book Antiqua" w:eastAsia="Book Antiqua" w:hAnsi="Book Antiqua" w:cs="Book Antiqua"/>
          <w:color w:val="000000"/>
        </w:rPr>
        <w:t xml:space="preserve">were used to assess the quality of the remaining RCT articles. The assessment criteria included the following: (1) Whether the randomized method was correct; (2) </w:t>
      </w:r>
      <w:r w:rsidR="0072650E">
        <w:rPr>
          <w:rFonts w:ascii="Book Antiqua" w:hAnsi="Book Antiqua" w:cs="Book Antiqua" w:hint="eastAsia"/>
          <w:color w:val="000000"/>
          <w:lang w:eastAsia="zh-CN"/>
        </w:rPr>
        <w:t>W</w:t>
      </w:r>
      <w:r>
        <w:rPr>
          <w:rFonts w:ascii="Book Antiqua" w:eastAsia="Book Antiqua" w:hAnsi="Book Antiqua" w:cs="Book Antiqua"/>
          <w:color w:val="000000"/>
        </w:rPr>
        <w:t xml:space="preserve">hether allocation concealment was adopted; (3) </w:t>
      </w:r>
      <w:r w:rsidR="0072650E">
        <w:rPr>
          <w:rFonts w:ascii="Book Antiqua" w:hAnsi="Book Antiqua" w:cs="Book Antiqua" w:hint="eastAsia"/>
          <w:color w:val="000000"/>
          <w:lang w:eastAsia="zh-CN"/>
        </w:rPr>
        <w:t>W</w:t>
      </w:r>
      <w:r>
        <w:rPr>
          <w:rFonts w:ascii="Book Antiqua" w:eastAsia="Book Antiqua" w:hAnsi="Book Antiqua" w:cs="Book Antiqua"/>
          <w:color w:val="000000"/>
        </w:rPr>
        <w:t xml:space="preserve">hether a blinded method was applied; (4) </w:t>
      </w:r>
      <w:r w:rsidR="0072650E">
        <w:rPr>
          <w:rFonts w:ascii="Book Antiqua" w:hAnsi="Book Antiqua" w:cs="Book Antiqua" w:hint="eastAsia"/>
          <w:color w:val="000000"/>
          <w:lang w:eastAsia="zh-CN"/>
        </w:rPr>
        <w:t>W</w:t>
      </w:r>
      <w:r>
        <w:rPr>
          <w:rFonts w:ascii="Book Antiqua" w:eastAsia="Book Antiqua" w:hAnsi="Book Antiqua" w:cs="Book Antiqua"/>
          <w:color w:val="000000"/>
        </w:rPr>
        <w:t xml:space="preserve">hether the data were complete; (5) </w:t>
      </w:r>
      <w:r w:rsidR="0072650E">
        <w:rPr>
          <w:rFonts w:ascii="Book Antiqua" w:hAnsi="Book Antiqua" w:cs="Book Antiqua" w:hint="eastAsia"/>
          <w:color w:val="000000"/>
          <w:lang w:eastAsia="zh-CN"/>
        </w:rPr>
        <w:t>W</w:t>
      </w:r>
      <w:r>
        <w:rPr>
          <w:rFonts w:ascii="Book Antiqua" w:eastAsia="Book Antiqua" w:hAnsi="Book Antiqua" w:cs="Book Antiqua"/>
          <w:color w:val="000000"/>
        </w:rPr>
        <w:t xml:space="preserve">hether the results were selectively reported; and (6) </w:t>
      </w:r>
      <w:r w:rsidR="0072650E">
        <w:rPr>
          <w:rFonts w:ascii="Book Antiqua" w:hAnsi="Book Antiqua" w:cs="Book Antiqua" w:hint="eastAsia"/>
          <w:color w:val="000000"/>
          <w:lang w:eastAsia="zh-CN"/>
        </w:rPr>
        <w:t>W</w:t>
      </w:r>
      <w:r>
        <w:rPr>
          <w:rFonts w:ascii="Book Antiqua" w:eastAsia="Book Antiqua" w:hAnsi="Book Antiqua" w:cs="Book Antiqua"/>
          <w:color w:val="000000"/>
        </w:rPr>
        <w:t>hether other factors were affecting the truism. Based on these criteria, the quality was categorized into levels A, B, and C. Level A referred to a low bias, indicating that the article completely accorded with the above criteria and had a minimum possibility of bias. Level B referred to an intermediate bias, indicating that the article partially accorded with one or more of the above criteria and had an intermediate possibility of bias. Level C referred to a serious bias, indicating that the article did not comply with one or more of the above criteria and had a high possibility of bias. </w:t>
      </w:r>
    </w:p>
    <w:p w14:paraId="535C8A7D" w14:textId="77777777" w:rsidR="00BB2FD5" w:rsidRDefault="00112DFD">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The evaluation of the quality of the studies was made by two independent reviewers. If there was any difference in score, it was resolved by consensus.</w:t>
      </w:r>
    </w:p>
    <w:p w14:paraId="2039AD5C" w14:textId="77777777" w:rsidR="00BB2FD5" w:rsidRDefault="00BB2FD5">
      <w:pPr>
        <w:adjustRightInd w:val="0"/>
        <w:snapToGrid w:val="0"/>
        <w:spacing w:line="360" w:lineRule="auto"/>
        <w:jc w:val="both"/>
        <w:rPr>
          <w:rFonts w:ascii="Book Antiqua" w:eastAsia="Book Antiqua" w:hAnsi="Book Antiqua" w:cs="Book Antiqua"/>
          <w:b/>
          <w:bCs/>
          <w:color w:val="000000"/>
        </w:rPr>
      </w:pPr>
    </w:p>
    <w:p w14:paraId="5FBC74FE" w14:textId="77777777" w:rsidR="00BB2FD5" w:rsidRDefault="00112DFD">
      <w:pPr>
        <w:adjustRightInd w:val="0"/>
        <w:snapToGrid w:val="0"/>
        <w:spacing w:line="360" w:lineRule="auto"/>
        <w:jc w:val="both"/>
        <w:rPr>
          <w:rFonts w:ascii="Book Antiqua" w:hAnsi="Book Antiqua"/>
          <w:i/>
        </w:rPr>
      </w:pPr>
      <w:r>
        <w:rPr>
          <w:rFonts w:ascii="Book Antiqua" w:eastAsia="Book Antiqua" w:hAnsi="Book Antiqua" w:cs="Book Antiqua"/>
          <w:b/>
          <w:bCs/>
          <w:i/>
          <w:color w:val="000000"/>
        </w:rPr>
        <w:t>Sensitivity analysis</w:t>
      </w:r>
    </w:p>
    <w:p w14:paraId="5BE1148E"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color w:val="000000"/>
        </w:rPr>
        <w:t>After the ineligible studies were excluded, a meta-analysis was performed to evaluate the sensitivity and specificity, where good stability implied insignificant changes and poor stability implied significant changes in the results. </w:t>
      </w:r>
    </w:p>
    <w:p w14:paraId="64DE7515" w14:textId="77777777" w:rsidR="00BB2FD5" w:rsidRDefault="00BB2FD5">
      <w:pPr>
        <w:adjustRightInd w:val="0"/>
        <w:snapToGrid w:val="0"/>
        <w:spacing w:line="360" w:lineRule="auto"/>
        <w:jc w:val="both"/>
        <w:rPr>
          <w:rFonts w:ascii="Book Antiqua" w:eastAsia="Book Antiqua" w:hAnsi="Book Antiqua" w:cs="Book Antiqua"/>
          <w:b/>
          <w:bCs/>
          <w:i/>
          <w:color w:val="000000"/>
        </w:rPr>
      </w:pPr>
    </w:p>
    <w:p w14:paraId="453E9D3E" w14:textId="77777777" w:rsidR="00BB2FD5" w:rsidRDefault="00112DFD">
      <w:pPr>
        <w:adjustRightInd w:val="0"/>
        <w:snapToGrid w:val="0"/>
        <w:spacing w:line="360" w:lineRule="auto"/>
        <w:jc w:val="both"/>
        <w:rPr>
          <w:rFonts w:ascii="Book Antiqua" w:hAnsi="Book Antiqua"/>
          <w:i/>
        </w:rPr>
      </w:pPr>
      <w:r>
        <w:rPr>
          <w:rFonts w:ascii="Book Antiqua" w:eastAsia="Book Antiqua" w:hAnsi="Book Antiqua" w:cs="Book Antiqua"/>
          <w:b/>
          <w:bCs/>
          <w:i/>
          <w:color w:val="000000"/>
        </w:rPr>
        <w:t>Data analysis </w:t>
      </w:r>
    </w:p>
    <w:p w14:paraId="0E231B9C"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The meta-analysis was performed using Revman5.3 software. The data with </w:t>
      </w:r>
      <w:r>
        <w:rPr>
          <w:rFonts w:ascii="Book Antiqua" w:eastAsia="Book Antiqua" w:hAnsi="Book Antiqua" w:cs="Book Antiqua"/>
          <w:i/>
          <w:color w:val="000000"/>
        </w:rPr>
        <w:t>I</w:t>
      </w:r>
      <w:r>
        <w:rPr>
          <w:rFonts w:ascii="Book Antiqua" w:eastAsia="Book Antiqua" w:hAnsi="Book Antiqua" w:cs="Book Antiqua"/>
          <w:color w:val="000000"/>
          <w:vertAlign w:val="superscript"/>
        </w:rPr>
        <w:t xml:space="preserve">2 </w:t>
      </w:r>
      <w:r>
        <w:rPr>
          <w:rFonts w:ascii="Book Antiqua" w:eastAsia="Book Antiqua" w:hAnsi="Book Antiqua" w:cs="Book Antiqua"/>
          <w:color w:val="000000"/>
        </w:rPr>
        <w:t xml:space="preserve">≥ 50% were considered heterogeneous and were analysed using the random-effects model; those with </w:t>
      </w:r>
      <w:r>
        <w:rPr>
          <w:rFonts w:ascii="Book Antiqua" w:eastAsia="Book Antiqua" w:hAnsi="Book Antiqua" w:cs="Book Antiqua"/>
          <w:i/>
          <w:color w:val="000000"/>
        </w:rPr>
        <w:t>I</w:t>
      </w:r>
      <w:r>
        <w:rPr>
          <w:rFonts w:ascii="Book Antiqua" w:eastAsia="Book Antiqua" w:hAnsi="Book Antiqua" w:cs="Book Antiqua"/>
          <w:color w:val="000000"/>
          <w:vertAlign w:val="superscript"/>
        </w:rPr>
        <w:t xml:space="preserve">2 </w:t>
      </w:r>
      <w:r>
        <w:rPr>
          <w:rFonts w:ascii="Book Antiqua" w:eastAsia="Book Antiqua" w:hAnsi="Book Antiqua" w:cs="Book Antiqua"/>
          <w:color w:val="000000"/>
        </w:rPr>
        <w:t xml:space="preserve">&lt; 50% were considered homogeneous and were analysed using the fixed-effects model. Additionally, the relative risk (RR) and 95% confidence interval (CI) were calculated in the meta-analyses of the </w:t>
      </w:r>
      <w:r>
        <w:rPr>
          <w:rFonts w:ascii="Book Antiqua" w:eastAsia="Book Antiqua" w:hAnsi="Book Antiqua" w:cs="Book Antiqua"/>
          <w:i/>
          <w:color w:val="000000"/>
        </w:rPr>
        <w:t>en bloc</w:t>
      </w:r>
      <w:r>
        <w:rPr>
          <w:rFonts w:ascii="Book Antiqua" w:eastAsia="Book Antiqua" w:hAnsi="Book Antiqua" w:cs="Book Antiqua"/>
          <w:color w:val="000000"/>
        </w:rPr>
        <w:t xml:space="preserve"> resection rate, incidence of adverse events, post-endoscopic resection recurrence rate at 3-6 mo, and post-endoscopic resection recurrence rate at 12 mo.</w:t>
      </w:r>
    </w:p>
    <w:p w14:paraId="73E6D91B" w14:textId="77777777" w:rsidR="00BB2FD5" w:rsidRDefault="00BB2FD5">
      <w:pPr>
        <w:adjustRightInd w:val="0"/>
        <w:snapToGrid w:val="0"/>
        <w:spacing w:line="360" w:lineRule="auto"/>
        <w:jc w:val="both"/>
        <w:rPr>
          <w:rFonts w:ascii="Book Antiqua" w:eastAsia="Book Antiqua" w:hAnsi="Book Antiqua" w:cs="Book Antiqua"/>
          <w:b/>
          <w:bCs/>
          <w:i/>
          <w:color w:val="000000"/>
        </w:rPr>
      </w:pPr>
    </w:p>
    <w:p w14:paraId="7A23CBCE" w14:textId="77777777" w:rsidR="00BB2FD5" w:rsidRDefault="00112DFD">
      <w:pPr>
        <w:adjustRightInd w:val="0"/>
        <w:snapToGrid w:val="0"/>
        <w:spacing w:line="360" w:lineRule="auto"/>
        <w:jc w:val="both"/>
        <w:rPr>
          <w:rFonts w:ascii="Book Antiqua" w:hAnsi="Book Antiqua"/>
          <w:i/>
        </w:rPr>
      </w:pPr>
      <w:r>
        <w:rPr>
          <w:rFonts w:ascii="Book Antiqua" w:eastAsia="Book Antiqua" w:hAnsi="Book Antiqua" w:cs="Book Antiqua"/>
          <w:b/>
          <w:bCs/>
          <w:i/>
          <w:color w:val="000000"/>
        </w:rPr>
        <w:t>Bias analysis</w:t>
      </w:r>
    </w:p>
    <w:p w14:paraId="4A4E865C"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Funnel plots were constructed using the RR values of the </w:t>
      </w:r>
      <w:r>
        <w:rPr>
          <w:rFonts w:ascii="Book Antiqua" w:eastAsia="Book Antiqua" w:hAnsi="Book Antiqua" w:cs="Book Antiqua"/>
          <w:i/>
          <w:color w:val="000000"/>
        </w:rPr>
        <w:t>en bloc</w:t>
      </w:r>
      <w:r>
        <w:rPr>
          <w:rFonts w:ascii="Book Antiqua" w:eastAsia="Book Antiqua" w:hAnsi="Book Antiqua" w:cs="Book Antiqua"/>
          <w:color w:val="000000"/>
        </w:rPr>
        <w:t xml:space="preserve"> resection rate, incidence of adverse events, post-endoscopic resection recurrence rate at 3-6 mo, and post-endoscopic resection recurrence rate at 12 mo enrolled in the meta-analysis as the abscissa and the SE [log(RR)] as the longitudinal coordinate. Their symmetry was observed to evaluate the impact of publication bias. </w:t>
      </w:r>
      <w:bookmarkEnd w:id="42"/>
      <w:bookmarkEnd w:id="43"/>
      <w:bookmarkEnd w:id="44"/>
    </w:p>
    <w:p w14:paraId="4185603F" w14:textId="77777777" w:rsidR="00BB2FD5" w:rsidRDefault="00BB2FD5">
      <w:pPr>
        <w:adjustRightInd w:val="0"/>
        <w:snapToGrid w:val="0"/>
        <w:spacing w:line="360" w:lineRule="auto"/>
        <w:ind w:firstLine="480"/>
        <w:jc w:val="both"/>
        <w:rPr>
          <w:rFonts w:ascii="Book Antiqua" w:hAnsi="Book Antiqua"/>
        </w:rPr>
      </w:pPr>
    </w:p>
    <w:p w14:paraId="34CA2F26"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b/>
          <w:color w:val="000000"/>
          <w:u w:val="single"/>
        </w:rPr>
        <w:t>RESULTS</w:t>
      </w:r>
    </w:p>
    <w:p w14:paraId="4B7F8B9D" w14:textId="77777777" w:rsidR="00BB2FD5" w:rsidRDefault="00112DFD">
      <w:pPr>
        <w:adjustRightInd w:val="0"/>
        <w:snapToGrid w:val="0"/>
        <w:spacing w:line="360" w:lineRule="auto"/>
        <w:jc w:val="both"/>
        <w:rPr>
          <w:rFonts w:ascii="Book Antiqua" w:hAnsi="Book Antiqua"/>
          <w:i/>
        </w:rPr>
      </w:pPr>
      <w:bookmarkStart w:id="45" w:name="OLE_LINK54"/>
      <w:bookmarkStart w:id="46" w:name="OLE_LINK32"/>
      <w:bookmarkStart w:id="47" w:name="OLE_LINK31"/>
      <w:r>
        <w:rPr>
          <w:rFonts w:ascii="Book Antiqua" w:eastAsia="Book Antiqua" w:hAnsi="Book Antiqua" w:cs="Book Antiqua"/>
          <w:b/>
          <w:bCs/>
          <w:i/>
          <w:color w:val="000000"/>
        </w:rPr>
        <w:t>Search results and characteristics of enrolled studies</w:t>
      </w:r>
    </w:p>
    <w:p w14:paraId="771BD275"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color w:val="000000"/>
        </w:rPr>
        <w:t>Sixty-three articles were initially collected. After reading the titles and abstracts, 54 articles were excluded due to ineligibility, and one article was excluded due to duplicate experimentation. Finally, seven non-randomized controlled trials and one RCT were included in the analysis</w:t>
      </w:r>
      <w:r>
        <w:rPr>
          <w:rFonts w:ascii="Book Antiqua" w:eastAsia="Book Antiqua" w:hAnsi="Book Antiqua" w:cs="Book Antiqua"/>
          <w:color w:val="000000"/>
          <w:vertAlign w:val="superscript"/>
        </w:rPr>
        <w:t>[10-11,15-20]</w:t>
      </w:r>
      <w:r>
        <w:rPr>
          <w:rFonts w:ascii="Book Antiqua" w:eastAsia="Book Antiqua" w:hAnsi="Book Antiqua" w:cs="Book Antiqua"/>
          <w:color w:val="000000"/>
        </w:rPr>
        <w:t>. The specific retrieval process is shown in Figure 1, and the characteristics of the enrolled articles are listed in Table 1. There were a total of 1382 patients with 1511 polyps, including 22 patients who received UEMR and 789 who received EMR.</w:t>
      </w:r>
    </w:p>
    <w:p w14:paraId="0165DD33" w14:textId="77777777" w:rsidR="00BB2FD5" w:rsidRDefault="00BB2FD5">
      <w:pPr>
        <w:adjustRightInd w:val="0"/>
        <w:snapToGrid w:val="0"/>
        <w:spacing w:line="360" w:lineRule="auto"/>
        <w:jc w:val="both"/>
        <w:rPr>
          <w:rFonts w:ascii="Book Antiqua" w:eastAsia="Book Antiqua" w:hAnsi="Book Antiqua" w:cs="Book Antiqua"/>
          <w:b/>
          <w:bCs/>
          <w:i/>
          <w:color w:val="000000"/>
        </w:rPr>
      </w:pPr>
    </w:p>
    <w:p w14:paraId="3BE3A965" w14:textId="77777777" w:rsidR="00BB2FD5" w:rsidRDefault="00112DFD">
      <w:pPr>
        <w:adjustRightInd w:val="0"/>
        <w:snapToGrid w:val="0"/>
        <w:spacing w:line="360" w:lineRule="auto"/>
        <w:jc w:val="both"/>
        <w:rPr>
          <w:rFonts w:ascii="Book Antiqua" w:hAnsi="Book Antiqua"/>
          <w:i/>
        </w:rPr>
      </w:pPr>
      <w:r>
        <w:rPr>
          <w:rFonts w:ascii="Book Antiqua" w:eastAsia="Book Antiqua" w:hAnsi="Book Antiqua" w:cs="Book Antiqua"/>
          <w:b/>
          <w:bCs/>
          <w:i/>
          <w:color w:val="000000"/>
        </w:rPr>
        <w:t>Quality assessment</w:t>
      </w:r>
    </w:p>
    <w:p w14:paraId="27E6668E"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color w:val="000000"/>
        </w:rPr>
        <w:t>The enrolled RCT study adopted a random method with complete data. Blindness, allocation concealment, selective reporting bias, and factors affecting the truism were not reported. According to the Cochrane system review manual (5.1.0 version), the RCT was assessed as level B study.</w:t>
      </w:r>
    </w:p>
    <w:p w14:paraId="4CF912E0" w14:textId="77777777" w:rsidR="00BB2FD5" w:rsidRDefault="00112DFD">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Seven non-randomized controlled trials had a clearly stated aim, an adequate control group, prospective collection of data, and a follow-up period appropriate to the aim of the study. The endpoints appropriately reflected the aim of the study. The above five items were scored at 2 points each. No blinding was used, and no sample size was estimated. Therefore, those two items for all the studies were scored at 0 points. Loss of the follow-up rate was more than 5%, and this item was scored at 0 points. Some studies could not be assessed in terms of the continuity of the included patients or in terms of whether the two groups were contemporary, whether they had baseline equivalence, or whether adequate statistical analyses were reported; thus, these items were all scored at 1 point. According to the non-randomized controlled trial methodological index for non-randomized studies evaluation, the average score of the seven non-randomized trials was 15.4. </w:t>
      </w:r>
    </w:p>
    <w:p w14:paraId="0A560B8C" w14:textId="77777777" w:rsidR="00BB2FD5" w:rsidRDefault="00112DFD">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Therefore, the comprehensive quality assessment of the eight clinical trials included showed that they were of “moderate quality”.</w:t>
      </w:r>
    </w:p>
    <w:p w14:paraId="2205AA1E" w14:textId="77777777" w:rsidR="00BB2FD5" w:rsidRDefault="00BB2FD5">
      <w:pPr>
        <w:adjustRightInd w:val="0"/>
        <w:snapToGrid w:val="0"/>
        <w:spacing w:line="360" w:lineRule="auto"/>
        <w:jc w:val="both"/>
        <w:rPr>
          <w:rFonts w:ascii="Book Antiqua" w:eastAsia="Book Antiqua" w:hAnsi="Book Antiqua" w:cs="Book Antiqua"/>
          <w:b/>
          <w:bCs/>
          <w:i/>
          <w:color w:val="000000"/>
        </w:rPr>
      </w:pPr>
    </w:p>
    <w:p w14:paraId="4E5BF379" w14:textId="77777777" w:rsidR="00BB2FD5" w:rsidRDefault="00112DFD">
      <w:pPr>
        <w:adjustRightInd w:val="0"/>
        <w:snapToGrid w:val="0"/>
        <w:spacing w:line="360" w:lineRule="auto"/>
        <w:jc w:val="both"/>
        <w:rPr>
          <w:rFonts w:ascii="Book Antiqua" w:hAnsi="Book Antiqua"/>
          <w:i/>
        </w:rPr>
      </w:pPr>
      <w:r>
        <w:rPr>
          <w:rFonts w:ascii="Book Antiqua" w:eastAsia="Book Antiqua" w:hAnsi="Book Antiqua" w:cs="Book Antiqua"/>
          <w:b/>
          <w:bCs/>
          <w:i/>
          <w:color w:val="000000"/>
        </w:rPr>
        <w:t>Efficacy indexes and outcome analysis</w:t>
      </w:r>
    </w:p>
    <w:p w14:paraId="38985A19" w14:textId="77777777" w:rsidR="00BB2FD5" w:rsidRDefault="00112DFD">
      <w:pPr>
        <w:adjustRightInd w:val="0"/>
        <w:snapToGrid w:val="0"/>
        <w:spacing w:line="360" w:lineRule="auto"/>
        <w:jc w:val="both"/>
        <w:rPr>
          <w:rFonts w:ascii="Book Antiqua" w:hAnsi="Book Antiqua"/>
          <w:b/>
        </w:rPr>
      </w:pPr>
      <w:r>
        <w:rPr>
          <w:rFonts w:ascii="Book Antiqua" w:eastAsia="Book Antiqua" w:hAnsi="Book Antiqua" w:cs="Book Antiqua"/>
          <w:b/>
          <w:i/>
          <w:color w:val="000000"/>
        </w:rPr>
        <w:t>En bloc</w:t>
      </w:r>
      <w:r>
        <w:rPr>
          <w:rFonts w:ascii="Book Antiqua" w:eastAsia="Book Antiqua" w:hAnsi="Book Antiqua" w:cs="Book Antiqua"/>
          <w:b/>
          <w:color w:val="000000"/>
        </w:rPr>
        <w:t xml:space="preserve"> resection rate:</w:t>
      </w:r>
      <w:r>
        <w:rPr>
          <w:rFonts w:ascii="Book Antiqua" w:hAnsi="Book Antiqua"/>
          <w:b/>
          <w:lang w:eastAsia="zh-CN"/>
        </w:rPr>
        <w:t xml:space="preserve"> </w:t>
      </w:r>
      <w:r>
        <w:rPr>
          <w:rFonts w:ascii="Book Antiqua" w:eastAsia="Book Antiqua" w:hAnsi="Book Antiqua" w:cs="Book Antiqua"/>
          <w:color w:val="000000"/>
        </w:rPr>
        <w:t xml:space="preserve">The </w:t>
      </w:r>
      <w:r>
        <w:rPr>
          <w:rFonts w:ascii="Book Antiqua" w:eastAsia="Book Antiqua" w:hAnsi="Book Antiqua" w:cs="Book Antiqua"/>
          <w:i/>
          <w:color w:val="000000"/>
        </w:rPr>
        <w:t>en bloc</w:t>
      </w:r>
      <w:r>
        <w:rPr>
          <w:rFonts w:ascii="Book Antiqua" w:eastAsia="Book Antiqua" w:hAnsi="Book Antiqua" w:cs="Book Antiqua"/>
          <w:color w:val="000000"/>
        </w:rPr>
        <w:t xml:space="preserve"> resection rate was reported in all the eight articles. In the UEMR and EMR groups, the </w:t>
      </w:r>
      <w:r>
        <w:rPr>
          <w:rFonts w:ascii="Book Antiqua" w:eastAsia="Book Antiqua" w:hAnsi="Book Antiqua" w:cs="Book Antiqua"/>
          <w:i/>
          <w:color w:val="000000"/>
        </w:rPr>
        <w:t>en bloc</w:t>
      </w:r>
      <w:r>
        <w:rPr>
          <w:rFonts w:ascii="Book Antiqua" w:eastAsia="Book Antiqua" w:hAnsi="Book Antiqua" w:cs="Book Antiqua"/>
          <w:color w:val="000000"/>
        </w:rPr>
        <w:t xml:space="preserve"> resection rates were 85.87% and 73.89%, respectively. The meta-analysis revealed heterogeneity between the two groups in terms of the </w:t>
      </w:r>
      <w:r>
        <w:rPr>
          <w:rFonts w:ascii="Book Antiqua" w:eastAsia="Book Antiqua" w:hAnsi="Book Antiqua" w:cs="Book Antiqua"/>
          <w:i/>
          <w:color w:val="000000"/>
        </w:rPr>
        <w:t>en bloc</w:t>
      </w:r>
      <w:r>
        <w:rPr>
          <w:rFonts w:ascii="Book Antiqua" w:eastAsia="Book Antiqua" w:hAnsi="Book Antiqua" w:cs="Book Antiqua"/>
          <w:color w:val="000000"/>
        </w:rPr>
        <w:t xml:space="preserve"> resection rate. Therefore, a combination analysis was performed using the random-effects model. The RR value was 1.14 (95%CI: 1.01-1.30; </w:t>
      </w:r>
      <w:r>
        <w:rPr>
          <w:rFonts w:ascii="Book Antiqua" w:eastAsia="Book Antiqua" w:hAnsi="Book Antiqua" w:cs="Book Antiqua"/>
          <w:i/>
          <w:color w:val="000000"/>
        </w:rPr>
        <w:t>P</w:t>
      </w:r>
      <w:r>
        <w:rPr>
          <w:rFonts w:ascii="Book Antiqua" w:eastAsia="Book Antiqua" w:hAnsi="Book Antiqua" w:cs="Book Antiqua"/>
          <w:color w:val="000000"/>
        </w:rPr>
        <w:t xml:space="preserve"> = 0.04; Figure 2). </w:t>
      </w:r>
    </w:p>
    <w:p w14:paraId="47C55590" w14:textId="77777777" w:rsidR="00BB2FD5" w:rsidRDefault="00112DFD">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Considering the size of the polyps, we performed a sub-group analysis of the studies conducted by Chien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Rodríguez Sánchez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and Cadoni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The meta-analysis revealed that the </w:t>
      </w:r>
      <w:r>
        <w:rPr>
          <w:rFonts w:ascii="Book Antiqua" w:eastAsia="Book Antiqua" w:hAnsi="Book Antiqua" w:cs="Book Antiqua"/>
          <w:i/>
          <w:color w:val="000000"/>
        </w:rPr>
        <w:t>en bloc</w:t>
      </w:r>
      <w:r>
        <w:rPr>
          <w:rFonts w:ascii="Book Antiqua" w:eastAsia="Book Antiqua" w:hAnsi="Book Antiqua" w:cs="Book Antiqua"/>
          <w:color w:val="000000"/>
        </w:rPr>
        <w:t xml:space="preserve"> resection rates were 92.25% and 90.37% in the UEMR and EMR groups, respectively, for polyps with a diameter less than 20 mm. The RR was 1.02 (95%CI: 0.96-1.07; </w:t>
      </w:r>
      <w:r>
        <w:rPr>
          <w:rFonts w:ascii="Book Antiqua" w:eastAsia="Book Antiqua" w:hAnsi="Book Antiqua" w:cs="Book Antiqua"/>
          <w:i/>
          <w:color w:val="000000"/>
        </w:rPr>
        <w:t>P</w:t>
      </w:r>
      <w:r>
        <w:rPr>
          <w:rFonts w:ascii="Book Antiqua" w:eastAsia="Book Antiqua" w:hAnsi="Book Antiqua" w:cs="Book Antiqua"/>
          <w:color w:val="000000"/>
        </w:rPr>
        <w:t xml:space="preserve"> = 0.55), with no statistical significance. However, the </w:t>
      </w:r>
      <w:r>
        <w:rPr>
          <w:rFonts w:ascii="Book Antiqua" w:eastAsia="Book Antiqua" w:hAnsi="Book Antiqua" w:cs="Book Antiqua"/>
          <w:i/>
          <w:color w:val="000000"/>
        </w:rPr>
        <w:t>en bloc</w:t>
      </w:r>
      <w:r>
        <w:rPr>
          <w:rFonts w:ascii="Book Antiqua" w:eastAsia="Book Antiqua" w:hAnsi="Book Antiqua" w:cs="Book Antiqua"/>
          <w:color w:val="000000"/>
        </w:rPr>
        <w:t xml:space="preserve"> resection rates were 67.02% and 44.78% in the UEMR and EMR groups, respectively, for polyps with a diameter equal to or greater than 20 mm. The RR was 1.31 (95%CI: 1.03-1.68; </w:t>
      </w:r>
      <w:r>
        <w:rPr>
          <w:rFonts w:ascii="Book Antiqua" w:eastAsia="Book Antiqua" w:hAnsi="Book Antiqua" w:cs="Book Antiqua"/>
          <w:i/>
          <w:color w:val="000000"/>
        </w:rPr>
        <w:t>P</w:t>
      </w:r>
      <w:r>
        <w:rPr>
          <w:rFonts w:ascii="Book Antiqua" w:eastAsia="Book Antiqua" w:hAnsi="Book Antiqua" w:cs="Book Antiqua"/>
          <w:color w:val="000000"/>
        </w:rPr>
        <w:t xml:space="preserve"> = 0.03), which was statistically significant (Figure 3).</w:t>
      </w:r>
    </w:p>
    <w:p w14:paraId="78703F0A" w14:textId="77777777" w:rsidR="00BB2FD5" w:rsidRDefault="00BB2FD5">
      <w:pPr>
        <w:adjustRightInd w:val="0"/>
        <w:snapToGrid w:val="0"/>
        <w:spacing w:line="360" w:lineRule="auto"/>
        <w:jc w:val="both"/>
        <w:rPr>
          <w:rFonts w:ascii="Book Antiqua" w:eastAsia="Book Antiqua" w:hAnsi="Book Antiqua" w:cs="Book Antiqua"/>
          <w:i/>
          <w:color w:val="000000"/>
        </w:rPr>
      </w:pPr>
    </w:p>
    <w:p w14:paraId="052F58A6" w14:textId="77777777" w:rsidR="00BB2FD5" w:rsidRDefault="00112DFD">
      <w:pPr>
        <w:adjustRightInd w:val="0"/>
        <w:snapToGrid w:val="0"/>
        <w:spacing w:line="360" w:lineRule="auto"/>
        <w:jc w:val="both"/>
        <w:rPr>
          <w:rFonts w:ascii="Book Antiqua" w:hAnsi="Book Antiqua"/>
          <w:b/>
        </w:rPr>
      </w:pPr>
      <w:r>
        <w:rPr>
          <w:rFonts w:ascii="Book Antiqua" w:eastAsia="Book Antiqua" w:hAnsi="Book Antiqua" w:cs="Book Antiqua"/>
          <w:b/>
          <w:color w:val="000000"/>
        </w:rPr>
        <w:t>Incidence of adverse events:</w:t>
      </w:r>
      <w:r>
        <w:rPr>
          <w:rFonts w:ascii="Book Antiqua" w:hAnsi="Book Antiqua"/>
          <w:b/>
          <w:lang w:eastAsia="zh-CN"/>
        </w:rPr>
        <w:t xml:space="preserve"> </w:t>
      </w:r>
      <w:r>
        <w:rPr>
          <w:rFonts w:ascii="Book Antiqua" w:eastAsia="Book Antiqua" w:hAnsi="Book Antiqua" w:cs="Book Antiqua"/>
          <w:color w:val="000000"/>
        </w:rPr>
        <w:t xml:space="preserve">All the eight articles reported the incidence of adverse events, which was 8.17% and 6.21% in the UEMR and control groups, respectively. The meta-analysis showed heterogeneity between the study groups. Hence, the random-effects model was used for the combination analysis, which showed an RR value of 1.07 (95%CI: 0.50-2.30; </w:t>
      </w:r>
      <w:r>
        <w:rPr>
          <w:rFonts w:ascii="Book Antiqua" w:eastAsia="Book Antiqua" w:hAnsi="Book Antiqua" w:cs="Book Antiqua"/>
          <w:i/>
          <w:color w:val="000000"/>
        </w:rPr>
        <w:t>P</w:t>
      </w:r>
      <w:r>
        <w:rPr>
          <w:rFonts w:ascii="Book Antiqua" w:eastAsia="Book Antiqua" w:hAnsi="Book Antiqua" w:cs="Book Antiqua"/>
          <w:color w:val="000000"/>
        </w:rPr>
        <w:t xml:space="preserve"> = 0.86; Figure 4).</w:t>
      </w:r>
    </w:p>
    <w:p w14:paraId="04688F15" w14:textId="77777777" w:rsidR="00BB2FD5" w:rsidRDefault="00BB2FD5">
      <w:pPr>
        <w:adjustRightInd w:val="0"/>
        <w:snapToGrid w:val="0"/>
        <w:spacing w:line="360" w:lineRule="auto"/>
        <w:jc w:val="both"/>
        <w:rPr>
          <w:rFonts w:ascii="Book Antiqua" w:eastAsia="Book Antiqua" w:hAnsi="Book Antiqua" w:cs="Book Antiqua"/>
          <w:color w:val="000000"/>
        </w:rPr>
      </w:pPr>
    </w:p>
    <w:p w14:paraId="3A45C3A3" w14:textId="77777777" w:rsidR="00BB2FD5" w:rsidRDefault="00112DFD">
      <w:pPr>
        <w:adjustRightInd w:val="0"/>
        <w:snapToGrid w:val="0"/>
        <w:spacing w:line="360" w:lineRule="auto"/>
        <w:jc w:val="both"/>
        <w:rPr>
          <w:rFonts w:ascii="Book Antiqua" w:hAnsi="Book Antiqua"/>
          <w:b/>
        </w:rPr>
      </w:pPr>
      <w:r>
        <w:rPr>
          <w:rFonts w:ascii="Book Antiqua" w:eastAsia="Book Antiqua" w:hAnsi="Book Antiqua" w:cs="Book Antiqua"/>
          <w:b/>
          <w:color w:val="000000"/>
        </w:rPr>
        <w:t>Post-endoscopic resection recurrence rate at 3-6 mo:</w:t>
      </w:r>
      <w:r>
        <w:rPr>
          <w:rFonts w:ascii="Book Antiqua" w:hAnsi="Book Antiqua"/>
          <w:b/>
          <w:lang w:eastAsia="zh-CN"/>
        </w:rPr>
        <w:t xml:space="preserve"> </w:t>
      </w:r>
      <w:r>
        <w:rPr>
          <w:rFonts w:ascii="Book Antiqua" w:eastAsia="Book Antiqua" w:hAnsi="Book Antiqua" w:cs="Book Antiqua"/>
          <w:color w:val="000000"/>
        </w:rPr>
        <w:t xml:space="preserve">Among the eight articles, the post-endoscopic resection recurrence rate at 3-6 mo was reported in three articles, which was 3.26% and 15.17% in the UEMR and control groups, respectively. The meta-analysis revealed no heterogeneity between the study groups. Hence, the fixed-effects model was used for the combination analysis. The RR value was 0.27 (95%CI: 0.09-0.83, </w:t>
      </w:r>
      <w:r>
        <w:rPr>
          <w:rFonts w:ascii="Book Antiqua" w:eastAsia="Book Antiqua" w:hAnsi="Book Antiqua" w:cs="Book Antiqua"/>
          <w:i/>
          <w:color w:val="000000"/>
        </w:rPr>
        <w:t>P</w:t>
      </w:r>
      <w:r>
        <w:rPr>
          <w:rFonts w:ascii="Book Antiqua" w:eastAsia="Book Antiqua" w:hAnsi="Book Antiqua" w:cs="Book Antiqua"/>
          <w:color w:val="000000"/>
        </w:rPr>
        <w:t xml:space="preserve"> = 0.02; Figure 5). </w:t>
      </w:r>
    </w:p>
    <w:p w14:paraId="216F2819" w14:textId="77777777" w:rsidR="00BB2FD5" w:rsidRDefault="00BB2FD5">
      <w:pPr>
        <w:adjustRightInd w:val="0"/>
        <w:snapToGrid w:val="0"/>
        <w:spacing w:line="360" w:lineRule="auto"/>
        <w:jc w:val="both"/>
        <w:rPr>
          <w:rFonts w:ascii="Book Antiqua" w:eastAsia="Book Antiqua" w:hAnsi="Book Antiqua" w:cs="Book Antiqua"/>
          <w:color w:val="000000"/>
        </w:rPr>
      </w:pPr>
    </w:p>
    <w:p w14:paraId="4061FF6E" w14:textId="77777777" w:rsidR="00BB2FD5" w:rsidRDefault="00112DFD">
      <w:pPr>
        <w:adjustRightInd w:val="0"/>
        <w:snapToGrid w:val="0"/>
        <w:spacing w:line="360" w:lineRule="auto"/>
        <w:jc w:val="both"/>
        <w:rPr>
          <w:rFonts w:ascii="Book Antiqua" w:hAnsi="Book Antiqua"/>
          <w:b/>
        </w:rPr>
      </w:pPr>
      <w:r>
        <w:rPr>
          <w:rFonts w:ascii="Book Antiqua" w:eastAsia="Book Antiqua" w:hAnsi="Book Antiqua" w:cs="Book Antiqua"/>
          <w:b/>
          <w:color w:val="000000"/>
        </w:rPr>
        <w:t>Post-endoscopic resection recurrence rate at 12 mo:</w:t>
      </w:r>
      <w:r>
        <w:rPr>
          <w:rFonts w:ascii="Book Antiqua" w:hAnsi="Book Antiqua"/>
          <w:b/>
          <w:lang w:eastAsia="zh-CN"/>
        </w:rPr>
        <w:t xml:space="preserve"> </w:t>
      </w:r>
      <w:r>
        <w:rPr>
          <w:rFonts w:ascii="Book Antiqua" w:eastAsia="Book Antiqua" w:hAnsi="Book Antiqua" w:cs="Book Antiqua"/>
          <w:color w:val="000000"/>
        </w:rPr>
        <w:t xml:space="preserve">Among the eight articles, the post-endoscopic resection recurrence rate at 12 mo was reported in four articles — 6.25% and 14.40% in the UEMR and control groups, respectively. The meta-analysis revealed no heterogeneity between the study groups. Therefore, a combination analysis was performed using the fixed-effects model. The RR value was 0.43 (95%CI: 0.20-0.92; </w:t>
      </w:r>
      <w:r>
        <w:rPr>
          <w:rFonts w:ascii="Book Antiqua" w:eastAsia="Book Antiqua" w:hAnsi="Book Antiqua" w:cs="Book Antiqua"/>
          <w:i/>
          <w:color w:val="000000"/>
        </w:rPr>
        <w:t>P</w:t>
      </w:r>
      <w:r>
        <w:rPr>
          <w:rFonts w:ascii="Book Antiqua" w:eastAsia="Book Antiqua" w:hAnsi="Book Antiqua" w:cs="Book Antiqua"/>
          <w:color w:val="000000"/>
        </w:rPr>
        <w:t xml:space="preserve"> = 0.03; Figure 6).</w:t>
      </w:r>
    </w:p>
    <w:p w14:paraId="0A90E938" w14:textId="77777777" w:rsidR="00BB2FD5" w:rsidRDefault="00BB2FD5">
      <w:pPr>
        <w:adjustRightInd w:val="0"/>
        <w:snapToGrid w:val="0"/>
        <w:spacing w:line="360" w:lineRule="auto"/>
        <w:jc w:val="both"/>
        <w:rPr>
          <w:rFonts w:ascii="Book Antiqua" w:eastAsia="Book Antiqua" w:hAnsi="Book Antiqua" w:cs="Book Antiqua"/>
          <w:b/>
          <w:bCs/>
          <w:color w:val="000000"/>
        </w:rPr>
      </w:pPr>
    </w:p>
    <w:p w14:paraId="744FBD0B" w14:textId="77777777" w:rsidR="00BB2FD5" w:rsidRDefault="00112DFD">
      <w:pPr>
        <w:adjustRightInd w:val="0"/>
        <w:snapToGrid w:val="0"/>
        <w:spacing w:line="360" w:lineRule="auto"/>
        <w:jc w:val="both"/>
        <w:rPr>
          <w:rFonts w:ascii="Book Antiqua" w:hAnsi="Book Antiqua"/>
          <w:i/>
        </w:rPr>
      </w:pPr>
      <w:r>
        <w:rPr>
          <w:rFonts w:ascii="Book Antiqua" w:eastAsia="Book Antiqua" w:hAnsi="Book Antiqua" w:cs="Book Antiqua"/>
          <w:b/>
          <w:bCs/>
          <w:i/>
          <w:color w:val="000000"/>
        </w:rPr>
        <w:t>Sensitivity analysis</w:t>
      </w:r>
    </w:p>
    <w:p w14:paraId="32143593"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color w:val="000000"/>
        </w:rPr>
        <w:t>The meta-analysis after excluding the articles one by one showed no significant changes in the sensitivity and specificity, indicating good stability of the enrolled studies. </w:t>
      </w:r>
    </w:p>
    <w:p w14:paraId="4C581581" w14:textId="77777777" w:rsidR="00BB2FD5" w:rsidRDefault="00BB2FD5">
      <w:pPr>
        <w:adjustRightInd w:val="0"/>
        <w:snapToGrid w:val="0"/>
        <w:spacing w:line="360" w:lineRule="auto"/>
        <w:jc w:val="both"/>
        <w:rPr>
          <w:rFonts w:ascii="Book Antiqua" w:eastAsia="Book Antiqua" w:hAnsi="Book Antiqua" w:cs="Book Antiqua"/>
          <w:b/>
          <w:bCs/>
          <w:i/>
          <w:color w:val="000000"/>
        </w:rPr>
      </w:pPr>
    </w:p>
    <w:p w14:paraId="6A3DCC2E" w14:textId="77777777" w:rsidR="00BB2FD5" w:rsidRDefault="00112DFD">
      <w:pPr>
        <w:adjustRightInd w:val="0"/>
        <w:snapToGrid w:val="0"/>
        <w:spacing w:line="360" w:lineRule="auto"/>
        <w:jc w:val="both"/>
        <w:rPr>
          <w:rFonts w:ascii="Book Antiqua" w:hAnsi="Book Antiqua"/>
          <w:i/>
        </w:rPr>
      </w:pPr>
      <w:r>
        <w:rPr>
          <w:rFonts w:ascii="Book Antiqua" w:eastAsia="Book Antiqua" w:hAnsi="Book Antiqua" w:cs="Book Antiqua"/>
          <w:b/>
          <w:bCs/>
          <w:i/>
          <w:color w:val="000000"/>
        </w:rPr>
        <w:t xml:space="preserve"> Publication bias analysis</w:t>
      </w:r>
    </w:p>
    <w:p w14:paraId="5FCEE424"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The funnel plots of the incidence of adverse events, post-endoscopic resection recurrence rate at 3-6 mo, and post-endoscopic resection recurrence rate at 12 mo were symmetrical, suggesting no publication bias. The funnel plot of the </w:t>
      </w:r>
      <w:r>
        <w:rPr>
          <w:rFonts w:ascii="Book Antiqua" w:eastAsia="Book Antiqua" w:hAnsi="Book Antiqua" w:cs="Book Antiqua"/>
          <w:i/>
          <w:color w:val="000000"/>
        </w:rPr>
        <w:t>en bloc</w:t>
      </w:r>
      <w:r>
        <w:rPr>
          <w:rFonts w:ascii="Book Antiqua" w:eastAsia="Book Antiqua" w:hAnsi="Book Antiqua" w:cs="Book Antiqua"/>
          <w:color w:val="000000"/>
        </w:rPr>
        <w:t xml:space="preserve"> resection rate was asymmetrical, suggesting possible publication bias (Figures 7 and 8).</w:t>
      </w:r>
      <w:bookmarkEnd w:id="45"/>
      <w:bookmarkEnd w:id="46"/>
      <w:bookmarkEnd w:id="47"/>
    </w:p>
    <w:p w14:paraId="1F131458" w14:textId="77777777" w:rsidR="00BB2FD5" w:rsidRDefault="00BB2FD5">
      <w:pPr>
        <w:adjustRightInd w:val="0"/>
        <w:snapToGrid w:val="0"/>
        <w:spacing w:line="360" w:lineRule="auto"/>
        <w:ind w:firstLine="480"/>
        <w:jc w:val="both"/>
        <w:rPr>
          <w:rFonts w:ascii="Book Antiqua" w:hAnsi="Book Antiqua"/>
        </w:rPr>
      </w:pPr>
    </w:p>
    <w:p w14:paraId="3A003096"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b/>
          <w:color w:val="000000"/>
          <w:u w:val="single"/>
        </w:rPr>
        <w:t>DISCUSSION</w:t>
      </w:r>
    </w:p>
    <w:p w14:paraId="3454C24F" w14:textId="77777777" w:rsidR="00BB2FD5" w:rsidRDefault="00112DFD">
      <w:pPr>
        <w:adjustRightInd w:val="0"/>
        <w:snapToGrid w:val="0"/>
        <w:spacing w:line="360" w:lineRule="auto"/>
        <w:jc w:val="both"/>
        <w:rPr>
          <w:rFonts w:ascii="Book Antiqua" w:hAnsi="Book Antiqua"/>
        </w:rPr>
      </w:pPr>
      <w:bookmarkStart w:id="48" w:name="OLE_LINK52"/>
      <w:bookmarkStart w:id="49" w:name="OLE_LINK53"/>
      <w:bookmarkStart w:id="50" w:name="OLE_LINK33"/>
      <w:bookmarkStart w:id="51" w:name="OLE_LINK34"/>
      <w:r>
        <w:rPr>
          <w:rFonts w:ascii="Book Antiqua" w:eastAsia="Book Antiqua" w:hAnsi="Book Antiqua" w:cs="Book Antiqua"/>
          <w:color w:val="000000"/>
        </w:rPr>
        <w:t>EMR has been an efficient treatment for colorectal polyps for several decades</w:t>
      </w:r>
      <w:r>
        <w:rPr>
          <w:rFonts w:ascii="Book Antiqua" w:eastAsia="Book Antiqua" w:hAnsi="Book Antiqua" w:cs="Book Antiqua"/>
          <w:color w:val="000000"/>
          <w:vertAlign w:val="superscript"/>
        </w:rPr>
        <w:t>[21,22]</w:t>
      </w:r>
      <w:r>
        <w:rPr>
          <w:rFonts w:ascii="Book Antiqua" w:eastAsia="Book Antiqua" w:hAnsi="Book Antiqua" w:cs="Book Antiqua"/>
          <w:color w:val="000000"/>
        </w:rPr>
        <w:t>. Conventional EMR is applicable for polyps less than 20 mm in diameter</w:t>
      </w:r>
      <w:r>
        <w:rPr>
          <w:rFonts w:ascii="Book Antiqua" w:eastAsia="Book Antiqua" w:hAnsi="Book Antiqua" w:cs="Book Antiqua"/>
          <w:color w:val="000000"/>
          <w:vertAlign w:val="superscript"/>
        </w:rPr>
        <w:t>[6] </w:t>
      </w:r>
      <w:r>
        <w:rPr>
          <w:rFonts w:ascii="Book Antiqua" w:eastAsia="Book Antiqua" w:hAnsi="Book Antiqua" w:cs="Book Antiqua"/>
          <w:color w:val="000000"/>
        </w:rPr>
        <w:t>and improves the resection rate through injecting fluid to the mucosa and elevating the polyps. However, local lesion residues and polyp recurrence might still occur, as well as adverse events such as bleeding and perforation</w:t>
      </w:r>
      <w:r>
        <w:rPr>
          <w:rFonts w:ascii="Book Antiqua" w:eastAsia="Book Antiqua" w:hAnsi="Book Antiqua" w:cs="Book Antiqua"/>
          <w:color w:val="000000"/>
          <w:vertAlign w:val="superscript"/>
        </w:rPr>
        <w:t>[23]</w:t>
      </w:r>
      <w:r>
        <w:rPr>
          <w:rFonts w:ascii="Book Antiqua" w:eastAsia="Book Antiqua" w:hAnsi="Book Antiqua" w:cs="Book Antiqua"/>
          <w:color w:val="000000"/>
        </w:rPr>
        <w:t>. The rates of delayed bleeding and perforation post-endoscopic resection</w:t>
      </w:r>
      <w:r w:rsidR="0005100C">
        <w:rPr>
          <w:rFonts w:ascii="Book Antiqua" w:eastAsia="Book Antiqua" w:hAnsi="Book Antiqua" w:cs="Book Antiqua"/>
          <w:color w:val="000000"/>
        </w:rPr>
        <w:t xml:space="preserve"> </w:t>
      </w:r>
      <w:r>
        <w:rPr>
          <w:rFonts w:ascii="Book Antiqua" w:eastAsia="Book Antiqua" w:hAnsi="Book Antiqua" w:cs="Book Antiqua"/>
          <w:color w:val="000000"/>
        </w:rPr>
        <w:t>are 1.15%-1.7% and 0.58%-0.8%, respectively</w:t>
      </w:r>
      <w:r>
        <w:rPr>
          <w:rFonts w:ascii="Book Antiqua" w:eastAsia="Book Antiqua" w:hAnsi="Book Antiqua" w:cs="Book Antiqua"/>
          <w:color w:val="000000"/>
          <w:vertAlign w:val="superscript"/>
        </w:rPr>
        <w:t>[24-26]</w:t>
      </w:r>
      <w:r>
        <w:rPr>
          <w:rFonts w:ascii="Book Antiqua" w:eastAsia="Book Antiqua" w:hAnsi="Book Antiqua" w:cs="Book Antiqua"/>
          <w:color w:val="000000"/>
        </w:rPr>
        <w:t>. Conventional EMR, due to the infusion of gas into the intestinal lumen, could flatten the polyps and cause thinning of the intestinal wall, leading to iatrogenic damage such as perforation. Additionally, liquid injection under the mucosa increases the tissue tension and flattens the originally flat polyps relative to the surrounding tissue. Submucosal injection might also have a risk of extraintestinal injection, which could lead to complications such as abdominal infection</w:t>
      </w:r>
      <w:r>
        <w:rPr>
          <w:rFonts w:ascii="Book Antiqua" w:eastAsia="Book Antiqua" w:hAnsi="Book Antiqua" w:cs="Book Antiqua"/>
          <w:color w:val="000000"/>
          <w:vertAlign w:val="superscript"/>
        </w:rPr>
        <w:t>[27]</w:t>
      </w:r>
      <w:r>
        <w:rPr>
          <w:rFonts w:ascii="Book Antiqua" w:eastAsia="Book Antiqua" w:hAnsi="Book Antiqua" w:cs="Book Antiqua"/>
          <w:color w:val="000000"/>
        </w:rPr>
        <w:t>. Moreover, EMR requires experienced skill to carry out steep mucosal elevation quickly without dispersing the solution. Therefore, identifying a more effective method to resect colorectal polyps and reduce its recurrence is crucial.</w:t>
      </w:r>
    </w:p>
    <w:p w14:paraId="32AF260B" w14:textId="77777777" w:rsidR="00BB2FD5" w:rsidRDefault="00112DFD">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In 2012, Binmoeller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[9]</w:t>
      </w:r>
      <w:r>
        <w:rPr>
          <w:rFonts w:ascii="Book Antiqua" w:eastAsia="Book Antiqua" w:hAnsi="Book Antiqua" w:cs="Book Antiqua"/>
          <w:color w:val="000000"/>
        </w:rPr>
        <w:t>, inspired by EUS, proposed UEMR that avoided submucosal injection of the intestine. Polyps could be identified through the colonoscope by rinsing the surface of the polyps and their surroundings. After exhausting the gas in the intestinal lumen, water was injected into the intestinal lumen so that the polyps were floating and then excised. Since then, some clinical studies have reported cases of successful treatment of colorectal polyps using UEMR</w:t>
      </w:r>
      <w:r>
        <w:rPr>
          <w:rFonts w:ascii="Book Antiqua" w:eastAsia="Book Antiqua" w:hAnsi="Book Antiqua" w:cs="Book Antiqua"/>
          <w:color w:val="000000"/>
          <w:vertAlign w:val="superscript"/>
        </w:rPr>
        <w:t>[28-32]</w:t>
      </w:r>
      <w:r>
        <w:rPr>
          <w:rFonts w:ascii="Book Antiqua" w:eastAsia="Book Antiqua" w:hAnsi="Book Antiqua" w:cs="Book Antiqua"/>
          <w:color w:val="000000"/>
        </w:rPr>
        <w:t>. Based on the domestic and international literature, we believed that polyps suitable for EMR are also suitable for UEMR. For flat polyps with a diameter of 20 mm or more, segmentation can be performed</w:t>
      </w:r>
      <w:r>
        <w:rPr>
          <w:rFonts w:ascii="Book Antiqua" w:eastAsia="Book Antiqua" w:hAnsi="Book Antiqua" w:cs="Book Antiqua"/>
          <w:color w:val="000000"/>
          <w:vertAlign w:val="superscript"/>
        </w:rPr>
        <w:t>[33,34]</w:t>
      </w:r>
      <w:r>
        <w:rPr>
          <w:rFonts w:ascii="Book Antiqua" w:eastAsia="Book Antiqua" w:hAnsi="Book Antiqua" w:cs="Book Antiqua"/>
          <w:color w:val="000000"/>
        </w:rPr>
        <w:t xml:space="preserve">. Some studies have suggested that UEMR is indicated for duodenal polyps and recurrent and residual lesions of colorectal polyps. The </w:t>
      </w:r>
      <w:r>
        <w:rPr>
          <w:rFonts w:ascii="Book Antiqua" w:eastAsia="Book Antiqua" w:hAnsi="Book Antiqua" w:cs="Book Antiqua"/>
          <w:i/>
          <w:color w:val="000000"/>
        </w:rPr>
        <w:t>en bloc</w:t>
      </w:r>
      <w:r>
        <w:rPr>
          <w:rFonts w:ascii="Book Antiqua" w:eastAsia="Book Antiqua" w:hAnsi="Book Antiqua" w:cs="Book Antiqua"/>
          <w:color w:val="000000"/>
        </w:rPr>
        <w:t xml:space="preserve"> resection rate and endoscopic complete resection rate are higher for UEMR than for conventional EMR</w:t>
      </w:r>
      <w:r>
        <w:rPr>
          <w:rFonts w:ascii="Book Antiqua" w:eastAsia="Book Antiqua" w:hAnsi="Book Antiqua" w:cs="Book Antiqua"/>
          <w:color w:val="000000"/>
          <w:vertAlign w:val="superscript"/>
        </w:rPr>
        <w:t>[35]</w:t>
      </w:r>
      <w:r>
        <w:rPr>
          <w:rFonts w:ascii="Book Antiqua" w:eastAsia="Book Antiqua" w:hAnsi="Book Antiqua" w:cs="Book Antiqua"/>
          <w:color w:val="000000"/>
        </w:rPr>
        <w:t>. The major risk of EMR is bleeding</w:t>
      </w:r>
      <w:r>
        <w:rPr>
          <w:rFonts w:ascii="Book Antiqua" w:eastAsia="Book Antiqua" w:hAnsi="Book Antiqua" w:cs="Book Antiqua"/>
          <w:color w:val="000000"/>
          <w:vertAlign w:val="superscript"/>
        </w:rPr>
        <w:t>[36]</w:t>
      </w:r>
      <w:r>
        <w:rPr>
          <w:rFonts w:ascii="Book Antiqua" w:eastAsia="Book Antiqua" w:hAnsi="Book Antiqua" w:cs="Book Antiqua"/>
          <w:color w:val="000000"/>
        </w:rPr>
        <w:t>, while only one case of perforation with UEMR has been reported</w:t>
      </w:r>
      <w:r>
        <w:rPr>
          <w:rFonts w:ascii="Book Antiqua" w:eastAsia="Book Antiqua" w:hAnsi="Book Antiqua" w:cs="Book Antiqua"/>
          <w:color w:val="000000"/>
          <w:vertAlign w:val="superscript"/>
        </w:rPr>
        <w:t>[37]</w:t>
      </w:r>
      <w:r>
        <w:rPr>
          <w:rFonts w:ascii="Book Antiqua" w:eastAsia="Book Antiqua" w:hAnsi="Book Antiqua" w:cs="Book Antiqua"/>
          <w:color w:val="000000"/>
        </w:rPr>
        <w:t>. In recent years, this technology has been extended to underwater endoscopic submucosal dissection</w:t>
      </w:r>
      <w:r>
        <w:rPr>
          <w:rFonts w:ascii="Book Antiqua" w:eastAsia="Book Antiqua" w:hAnsi="Book Antiqua" w:cs="Book Antiqua"/>
          <w:color w:val="000000"/>
          <w:vertAlign w:val="superscript"/>
        </w:rPr>
        <w:t>[38,39]</w:t>
      </w:r>
      <w:r>
        <w:rPr>
          <w:rFonts w:ascii="Book Antiqua" w:eastAsia="Book Antiqua" w:hAnsi="Book Antiqua" w:cs="Book Antiqua"/>
          <w:color w:val="000000"/>
        </w:rPr>
        <w:t xml:space="preserve"> and underwater peroral endoscopic myotomy</w:t>
      </w:r>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A multi-centre prospective study by Rodríguez Sánchez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found that the </w:t>
      </w:r>
      <w:r>
        <w:rPr>
          <w:rFonts w:ascii="Book Antiqua" w:eastAsia="Book Antiqua" w:hAnsi="Book Antiqua" w:cs="Book Antiqua"/>
          <w:i/>
          <w:color w:val="000000"/>
        </w:rPr>
        <w:t>en bloc</w:t>
      </w:r>
      <w:r>
        <w:rPr>
          <w:rFonts w:ascii="Book Antiqua" w:eastAsia="Book Antiqua" w:hAnsi="Book Antiqua" w:cs="Book Antiqua"/>
          <w:color w:val="000000"/>
        </w:rPr>
        <w:t xml:space="preserve"> resection rates in the UEMR and EMR groups were 62% and 49% (</w:t>
      </w:r>
      <w:r>
        <w:rPr>
          <w:rFonts w:ascii="Book Antiqua" w:eastAsia="Book Antiqua" w:hAnsi="Book Antiqua" w:cs="Book Antiqua"/>
          <w:i/>
          <w:color w:val="000000"/>
        </w:rPr>
        <w:t>P</w:t>
      </w:r>
      <w:r>
        <w:rPr>
          <w:rFonts w:ascii="Book Antiqua" w:eastAsia="Book Antiqua" w:hAnsi="Book Antiqua" w:cs="Book Antiqua"/>
          <w:color w:val="000000"/>
        </w:rPr>
        <w:t xml:space="preserve"> &lt; 0.05), respectively, and a multi-centre randomized controlled trial by Yamashina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found that the </w:t>
      </w:r>
      <w:r>
        <w:rPr>
          <w:rFonts w:ascii="Book Antiqua" w:eastAsia="Book Antiqua" w:hAnsi="Book Antiqua" w:cs="Book Antiqua"/>
          <w:i/>
          <w:color w:val="000000"/>
        </w:rPr>
        <w:t>en bloc</w:t>
      </w:r>
      <w:r>
        <w:rPr>
          <w:rFonts w:ascii="Book Antiqua" w:eastAsia="Book Antiqua" w:hAnsi="Book Antiqua" w:cs="Book Antiqua"/>
          <w:color w:val="000000"/>
        </w:rPr>
        <w:t xml:space="preserve"> resection rates of UEMR and EMR were 89% and 75% (</w:t>
      </w:r>
      <w:r>
        <w:rPr>
          <w:rFonts w:ascii="Book Antiqua" w:eastAsia="Book Antiqua" w:hAnsi="Book Antiqua" w:cs="Book Antiqua"/>
          <w:i/>
          <w:color w:val="000000"/>
        </w:rPr>
        <w:t>P</w:t>
      </w:r>
      <w:r>
        <w:rPr>
          <w:rFonts w:ascii="Book Antiqua" w:eastAsia="Book Antiqua" w:hAnsi="Book Antiqua" w:cs="Book Antiqua"/>
          <w:color w:val="000000"/>
        </w:rPr>
        <w:t xml:space="preserve"> &lt; 0.05), respectively. The efficacy of UEMR and EMR remains controversial and might be related to the size, shape, and pedicle of the polyps. Therefore, we conducted this meta-analysis to compare the efficacy and safety of UEMR and EMR in the treatment of colorectal polyps.</w:t>
      </w:r>
    </w:p>
    <w:p w14:paraId="04534991" w14:textId="77777777" w:rsidR="00BB2FD5" w:rsidRDefault="00112DFD">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Presently, few clinical studies are available on the treatment of colorectal polyps by UEMR, and to the best of our knowledge, there are no on-going RCTs. Eight clinical studies were included in our study, and one was a RCT. The meta-analysis revealed that compared with the EMR group, the </w:t>
      </w:r>
      <w:r>
        <w:rPr>
          <w:rFonts w:ascii="Book Antiqua" w:eastAsia="Book Antiqua" w:hAnsi="Book Antiqua" w:cs="Book Antiqua"/>
          <w:i/>
          <w:color w:val="000000"/>
        </w:rPr>
        <w:t>en bloc</w:t>
      </w:r>
      <w:r>
        <w:rPr>
          <w:rFonts w:ascii="Book Antiqua" w:eastAsia="Book Antiqua" w:hAnsi="Book Antiqua" w:cs="Book Antiqua"/>
          <w:color w:val="000000"/>
        </w:rPr>
        <w:t xml:space="preserve"> resection rate was improved and the procedure time was shortened in the UEMR group, while the incidence of adverse events was not significantly different. Additionally, sub-group analysis showed that the </w:t>
      </w:r>
      <w:r>
        <w:rPr>
          <w:rFonts w:ascii="Book Antiqua" w:eastAsia="Book Antiqua" w:hAnsi="Book Antiqua" w:cs="Book Antiqua"/>
          <w:i/>
          <w:color w:val="000000"/>
        </w:rPr>
        <w:t>en bloc</w:t>
      </w:r>
      <w:r>
        <w:rPr>
          <w:rFonts w:ascii="Book Antiqua" w:eastAsia="Book Antiqua" w:hAnsi="Book Antiqua" w:cs="Book Antiqua"/>
          <w:color w:val="000000"/>
        </w:rPr>
        <w:t xml:space="preserve"> resection rate of UEMR was higher than that of EMR for polyps with a diameter less than 20 mm, though there was no significant difference. However, for polyps with a diameter equal to or greater than 20 mm, the </w:t>
      </w:r>
      <w:r>
        <w:rPr>
          <w:rFonts w:ascii="Book Antiqua" w:eastAsia="Book Antiqua" w:hAnsi="Book Antiqua" w:cs="Book Antiqua"/>
          <w:i/>
          <w:color w:val="000000"/>
        </w:rPr>
        <w:t>en bloc</w:t>
      </w:r>
      <w:r>
        <w:rPr>
          <w:rFonts w:ascii="Book Antiqua" w:eastAsia="Book Antiqua" w:hAnsi="Book Antiqua" w:cs="Book Antiqua"/>
          <w:color w:val="000000"/>
        </w:rPr>
        <w:t xml:space="preserve"> resection rate of UEMR was significantly higher than that of EMR. According to our results, we believe that UEMR is preferred for polyps, especially for those equal to or larger than 20 mm. This could be because the water has a floating effect on the mucous membrane with polyps, and the polyps are then elevated from the muscularis propria, thereby avoiding submucosal injection</w:t>
      </w:r>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Polyps soaked in water could amplify the mucosal structure due to optical effects. The meta-analysis showed that the post-endoscopic resection recurrence rate decreased at 3-6 mo and at 12 mo. This is because UEMR increased the </w:t>
      </w:r>
      <w:r>
        <w:rPr>
          <w:rFonts w:ascii="Book Antiqua" w:eastAsia="Book Antiqua" w:hAnsi="Book Antiqua" w:cs="Book Antiqua"/>
          <w:i/>
          <w:color w:val="000000"/>
        </w:rPr>
        <w:t>en bloc</w:t>
      </w:r>
      <w:r>
        <w:rPr>
          <w:rFonts w:ascii="Book Antiqua" w:eastAsia="Book Antiqua" w:hAnsi="Book Antiqua" w:cs="Book Antiqua"/>
          <w:color w:val="000000"/>
        </w:rPr>
        <w:t xml:space="preserve"> resection rate. The </w:t>
      </w:r>
      <w:r>
        <w:rPr>
          <w:rFonts w:ascii="Book Antiqua" w:eastAsia="Book Antiqua" w:hAnsi="Book Antiqua" w:cs="Book Antiqua"/>
          <w:i/>
          <w:color w:val="000000"/>
        </w:rPr>
        <w:t>en bloc</w:t>
      </w:r>
      <w:r>
        <w:rPr>
          <w:rFonts w:ascii="Book Antiqua" w:eastAsia="Book Antiqua" w:hAnsi="Book Antiqua" w:cs="Book Antiqua"/>
          <w:color w:val="000000"/>
        </w:rPr>
        <w:t xml:space="preserve"> resection is an effective technique to evaluate the margins of the resected lesion. Furthermore, </w:t>
      </w:r>
      <w:r>
        <w:rPr>
          <w:rFonts w:ascii="Book Antiqua" w:eastAsia="Book Antiqua" w:hAnsi="Book Antiqua" w:cs="Book Antiqua"/>
          <w:i/>
          <w:color w:val="000000"/>
        </w:rPr>
        <w:t>en bloc</w:t>
      </w:r>
      <w:r>
        <w:rPr>
          <w:rFonts w:ascii="Book Antiqua" w:eastAsia="Book Antiqua" w:hAnsi="Book Antiqua" w:cs="Book Antiqua"/>
          <w:color w:val="000000"/>
        </w:rPr>
        <w:t xml:space="preserve"> resection has been shown to decrease the risk of post-endoscopic resection recurrence related to incomplete removal</w:t>
      </w:r>
      <w:r>
        <w:rPr>
          <w:rFonts w:ascii="Book Antiqua" w:eastAsia="Book Antiqua" w:hAnsi="Book Antiqua" w:cs="Book Antiqua"/>
          <w:color w:val="000000"/>
          <w:vertAlign w:val="superscript"/>
        </w:rPr>
        <w:t>[42]</w:t>
      </w:r>
      <w:r>
        <w:rPr>
          <w:rFonts w:ascii="Book Antiqua" w:eastAsia="Book Antiqua" w:hAnsi="Book Antiqua" w:cs="Book Antiqua"/>
          <w:color w:val="000000"/>
        </w:rPr>
        <w:t>. Therefore, based on this study, there appears to be some advantages with UEMR compared to EMR, particularly with regard to some treatment outcomes. </w:t>
      </w:r>
    </w:p>
    <w:p w14:paraId="0A3A03CA" w14:textId="0AAC9A9E" w:rsidR="00BB2FD5" w:rsidRDefault="00112DFD">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This study has some limitations that should be mentioned: (1) Only a limited number of studies were included, and only one study was a RCT. Some studies were of questionable quality, and study heterogeneity was noted. In non-randomized controlled trials, endoscopic physicians chose different treatments according to different conditions, and there was obvious selection bias. Therefore, the effectiveness and safety of UEMR need to be further confirmed by additional RCTs; (2) </w:t>
      </w:r>
      <w:r w:rsidR="00AC7CAC">
        <w:rPr>
          <w:rFonts w:ascii="Book Antiqua" w:hAnsi="Book Antiqua" w:cs="Book Antiqua" w:hint="eastAsia"/>
          <w:color w:val="000000"/>
          <w:lang w:eastAsia="zh-CN"/>
        </w:rPr>
        <w:t>S</w:t>
      </w:r>
      <w:r>
        <w:rPr>
          <w:rFonts w:ascii="Book Antiqua" w:eastAsia="Book Antiqua" w:hAnsi="Book Antiqua" w:cs="Book Antiqua"/>
          <w:color w:val="000000"/>
        </w:rPr>
        <w:t xml:space="preserve">ub-group analyses of different types of colorectal polyps and those based on histology were not performed. Therefore, the effectiveness and safety of UEMR and EMR for different sizes and types of colorectal polyps could not be compared; and (3) </w:t>
      </w:r>
      <w:r w:rsidR="00AC7CAC">
        <w:rPr>
          <w:rFonts w:ascii="Book Antiqua" w:hAnsi="Book Antiqua" w:cs="Book Antiqua" w:hint="eastAsia"/>
          <w:color w:val="000000"/>
          <w:lang w:eastAsia="zh-CN"/>
        </w:rPr>
        <w:t>A</w:t>
      </w:r>
      <w:r>
        <w:rPr>
          <w:rFonts w:ascii="Book Antiqua" w:eastAsia="Book Antiqua" w:hAnsi="Book Antiqua" w:cs="Book Antiqua"/>
          <w:color w:val="000000"/>
        </w:rPr>
        <w:t>ll measurements in this study were subject to the clinical experience of the endoscopists.</w:t>
      </w:r>
      <w:bookmarkEnd w:id="48"/>
      <w:bookmarkEnd w:id="49"/>
      <w:bookmarkEnd w:id="50"/>
      <w:bookmarkEnd w:id="51"/>
    </w:p>
    <w:p w14:paraId="6EB01420" w14:textId="77777777" w:rsidR="00BB2FD5" w:rsidRDefault="00BB2FD5">
      <w:pPr>
        <w:adjustRightInd w:val="0"/>
        <w:snapToGrid w:val="0"/>
        <w:spacing w:line="360" w:lineRule="auto"/>
        <w:jc w:val="both"/>
        <w:rPr>
          <w:rFonts w:ascii="Book Antiqua" w:eastAsia="Book Antiqua" w:hAnsi="Book Antiqua" w:cs="Book Antiqua"/>
          <w:color w:val="000000"/>
        </w:rPr>
      </w:pPr>
    </w:p>
    <w:p w14:paraId="74011538" w14:textId="77777777" w:rsidR="00BB2FD5" w:rsidRDefault="00112DFD">
      <w:pPr>
        <w:adjustRightInd w:val="0"/>
        <w:snapToGrid w:val="0"/>
        <w:spacing w:line="360" w:lineRule="auto"/>
        <w:jc w:val="both"/>
        <w:rPr>
          <w:rFonts w:ascii="Book Antiqua" w:hAnsi="Book Antiqua" w:cs="Book Antiqua"/>
          <w:b/>
          <w:caps/>
          <w:color w:val="000000"/>
          <w:u w:val="single"/>
          <w:lang w:eastAsia="zh-CN"/>
        </w:rPr>
      </w:pPr>
      <w:r>
        <w:rPr>
          <w:rFonts w:ascii="Book Antiqua" w:hAnsi="Book Antiqua" w:cs="Book Antiqua"/>
          <w:b/>
          <w:caps/>
          <w:color w:val="000000"/>
          <w:u w:val="single"/>
          <w:lang w:eastAsia="zh-CN"/>
        </w:rPr>
        <w:t>conclusion</w:t>
      </w:r>
    </w:p>
    <w:p w14:paraId="68980073"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color w:val="000000"/>
        </w:rPr>
        <w:t>In summary, UEMR appears to be an effective technique for colorectal polyps. In addition, the adverse event and post-endoscopic resection recurrence rates are acceptable. Based on these results, this technique can be regarded as a therapeutic option for the resection of colorectal polyps.</w:t>
      </w:r>
    </w:p>
    <w:p w14:paraId="2A562667" w14:textId="77777777" w:rsidR="00BB2FD5" w:rsidRDefault="00BB2FD5">
      <w:pPr>
        <w:adjustRightInd w:val="0"/>
        <w:snapToGrid w:val="0"/>
        <w:spacing w:line="360" w:lineRule="auto"/>
        <w:ind w:firstLine="480"/>
        <w:jc w:val="both"/>
        <w:rPr>
          <w:rFonts w:ascii="Book Antiqua" w:hAnsi="Book Antiqua"/>
        </w:rPr>
      </w:pPr>
    </w:p>
    <w:p w14:paraId="460C031A"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b/>
          <w:color w:val="000000"/>
          <w:u w:val="single"/>
        </w:rPr>
        <w:t>ARTICLE HIGHLIGHTS</w:t>
      </w:r>
    </w:p>
    <w:p w14:paraId="55DFD370"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background</w:t>
      </w:r>
    </w:p>
    <w:p w14:paraId="06BF451C" w14:textId="77777777" w:rsidR="00BB2FD5" w:rsidRDefault="00112DFD">
      <w:pPr>
        <w:adjustRightInd w:val="0"/>
        <w:snapToGrid w:val="0"/>
        <w:spacing w:line="360" w:lineRule="auto"/>
        <w:jc w:val="both"/>
        <w:rPr>
          <w:rFonts w:ascii="Book Antiqua" w:hAnsi="Book Antiqua"/>
        </w:rPr>
      </w:pPr>
      <w:bookmarkStart w:id="52" w:name="OLE_LINK35"/>
      <w:bookmarkStart w:id="53" w:name="OLE_LINK36"/>
      <w:bookmarkStart w:id="54" w:name="OLE_LINK51"/>
      <w:r>
        <w:rPr>
          <w:rFonts w:ascii="Book Antiqua" w:eastAsia="Book Antiqua" w:hAnsi="Book Antiqua" w:cs="Book Antiqua"/>
          <w:color w:val="000000"/>
        </w:rPr>
        <w:t>It remains a matter of debate whether there is a difference in the effectiveness and safety between underwater endoscopic mucosal resection (UEMR) and endoscopic mucosal resection (EMR).</w:t>
      </w:r>
      <w:bookmarkEnd w:id="52"/>
      <w:bookmarkEnd w:id="53"/>
      <w:bookmarkEnd w:id="54"/>
    </w:p>
    <w:p w14:paraId="72CAF958" w14:textId="77777777" w:rsidR="00BB2FD5" w:rsidRDefault="00BB2FD5">
      <w:pPr>
        <w:adjustRightInd w:val="0"/>
        <w:snapToGrid w:val="0"/>
        <w:spacing w:line="360" w:lineRule="auto"/>
        <w:jc w:val="both"/>
        <w:rPr>
          <w:rFonts w:ascii="Book Antiqua" w:hAnsi="Book Antiqua"/>
        </w:rPr>
      </w:pPr>
    </w:p>
    <w:p w14:paraId="6FCC8B51"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motivation</w:t>
      </w:r>
    </w:p>
    <w:p w14:paraId="1509A76D" w14:textId="77777777" w:rsidR="00BB2FD5" w:rsidRDefault="00112DFD">
      <w:pPr>
        <w:adjustRightInd w:val="0"/>
        <w:snapToGrid w:val="0"/>
        <w:spacing w:line="360" w:lineRule="auto"/>
        <w:jc w:val="both"/>
        <w:rPr>
          <w:rFonts w:ascii="Book Antiqua" w:hAnsi="Book Antiqua"/>
        </w:rPr>
      </w:pPr>
      <w:bookmarkStart w:id="55" w:name="OLE_LINK37"/>
      <w:bookmarkStart w:id="56" w:name="OLE_LINK50"/>
      <w:bookmarkStart w:id="57" w:name="OLE_LINK38"/>
      <w:r>
        <w:rPr>
          <w:rFonts w:ascii="Book Antiqua" w:eastAsia="Book Antiqua" w:hAnsi="Book Antiqua" w:cs="Book Antiqua"/>
          <w:color w:val="000000"/>
        </w:rPr>
        <w:t>By comparing the effectiveness and safety between UEMR and EMR, we wanted to search a more effective treatment for colorectal polys. </w:t>
      </w:r>
      <w:bookmarkEnd w:id="55"/>
      <w:bookmarkEnd w:id="56"/>
      <w:bookmarkEnd w:id="57"/>
    </w:p>
    <w:p w14:paraId="2E68C3F6" w14:textId="77777777" w:rsidR="00BB2FD5" w:rsidRDefault="00BB2FD5">
      <w:pPr>
        <w:adjustRightInd w:val="0"/>
        <w:snapToGrid w:val="0"/>
        <w:spacing w:line="360" w:lineRule="auto"/>
        <w:jc w:val="both"/>
        <w:rPr>
          <w:rFonts w:ascii="Book Antiqua" w:hAnsi="Book Antiqua"/>
        </w:rPr>
      </w:pPr>
    </w:p>
    <w:p w14:paraId="04327329"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objectives</w:t>
      </w:r>
    </w:p>
    <w:p w14:paraId="1E78A79D" w14:textId="77777777" w:rsidR="00BB2FD5" w:rsidRDefault="00112DFD">
      <w:pPr>
        <w:adjustRightInd w:val="0"/>
        <w:snapToGrid w:val="0"/>
        <w:spacing w:line="360" w:lineRule="auto"/>
        <w:jc w:val="both"/>
        <w:rPr>
          <w:rFonts w:ascii="Book Antiqua" w:hAnsi="Book Antiqua"/>
        </w:rPr>
      </w:pPr>
      <w:bookmarkStart w:id="58" w:name="OLE_LINK49"/>
      <w:bookmarkStart w:id="59" w:name="OLE_LINK40"/>
      <w:bookmarkStart w:id="60" w:name="OLE_LINK39"/>
      <w:r>
        <w:rPr>
          <w:rFonts w:ascii="Book Antiqua" w:eastAsia="Book Antiqua" w:hAnsi="Book Antiqua" w:cs="Book Antiqua"/>
          <w:color w:val="000000"/>
        </w:rPr>
        <w:t>Through this meta-analysis, we evaluated the effectiveness and safety of UEMR in the treatment of colorectal polyps.</w:t>
      </w:r>
      <w:bookmarkEnd w:id="58"/>
      <w:bookmarkEnd w:id="59"/>
      <w:bookmarkEnd w:id="60"/>
    </w:p>
    <w:p w14:paraId="15C302F6" w14:textId="77777777" w:rsidR="00BB2FD5" w:rsidRDefault="00BB2FD5">
      <w:pPr>
        <w:adjustRightInd w:val="0"/>
        <w:snapToGrid w:val="0"/>
        <w:spacing w:line="360" w:lineRule="auto"/>
        <w:jc w:val="both"/>
        <w:rPr>
          <w:rFonts w:ascii="Book Antiqua" w:hAnsi="Book Antiqua"/>
        </w:rPr>
      </w:pPr>
    </w:p>
    <w:p w14:paraId="7555516F"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methods</w:t>
      </w:r>
    </w:p>
    <w:p w14:paraId="652206C2" w14:textId="77777777" w:rsidR="00BB2FD5" w:rsidRDefault="00112DFD">
      <w:pPr>
        <w:adjustRightInd w:val="0"/>
        <w:snapToGrid w:val="0"/>
        <w:spacing w:line="360" w:lineRule="auto"/>
        <w:jc w:val="both"/>
        <w:rPr>
          <w:rFonts w:ascii="Book Antiqua" w:hAnsi="Book Antiqua"/>
        </w:rPr>
      </w:pPr>
      <w:bookmarkStart w:id="61" w:name="OLE_LINK42"/>
      <w:bookmarkStart w:id="62" w:name="OLE_LINK41"/>
      <w:r>
        <w:rPr>
          <w:rFonts w:ascii="Book Antiqua" w:eastAsia="Book Antiqua" w:hAnsi="Book Antiqua" w:cs="Book Antiqua"/>
          <w:color w:val="000000"/>
        </w:rPr>
        <w:t>The clinical studies that compared the effectiveness or safety of UMER in the treatment of colorectal polyps were searched in databases. </w:t>
      </w:r>
      <w:bookmarkEnd w:id="61"/>
      <w:bookmarkEnd w:id="62"/>
    </w:p>
    <w:p w14:paraId="656A2EFE" w14:textId="77777777" w:rsidR="00BB2FD5" w:rsidRDefault="00BB2FD5">
      <w:pPr>
        <w:adjustRightInd w:val="0"/>
        <w:snapToGrid w:val="0"/>
        <w:spacing w:line="360" w:lineRule="auto"/>
        <w:jc w:val="both"/>
        <w:rPr>
          <w:rFonts w:ascii="Book Antiqua" w:hAnsi="Book Antiqua"/>
        </w:rPr>
      </w:pPr>
    </w:p>
    <w:p w14:paraId="3599C368"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results</w:t>
      </w:r>
    </w:p>
    <w:p w14:paraId="66EA2D4B" w14:textId="77777777" w:rsidR="00BB2FD5" w:rsidRDefault="00112DFD">
      <w:pPr>
        <w:adjustRightInd w:val="0"/>
        <w:snapToGrid w:val="0"/>
        <w:spacing w:line="360" w:lineRule="auto"/>
        <w:jc w:val="both"/>
        <w:rPr>
          <w:rFonts w:ascii="Book Antiqua" w:hAnsi="Book Antiqua"/>
        </w:rPr>
      </w:pPr>
      <w:bookmarkStart w:id="63" w:name="OLE_LINK43"/>
      <w:bookmarkStart w:id="64" w:name="OLE_LINK44"/>
      <w:r>
        <w:rPr>
          <w:rFonts w:ascii="Book Antiqua" w:eastAsia="Book Antiqua" w:hAnsi="Book Antiqua" w:cs="Book Antiqua"/>
          <w:color w:val="000000"/>
        </w:rPr>
        <w:t xml:space="preserve">Compared with the EMR group, the </w:t>
      </w:r>
      <w:r>
        <w:rPr>
          <w:rFonts w:ascii="Book Antiqua" w:eastAsia="Book Antiqua" w:hAnsi="Book Antiqua" w:cs="Book Antiqua"/>
          <w:i/>
          <w:color w:val="000000"/>
        </w:rPr>
        <w:t>en bloc</w:t>
      </w:r>
      <w:r>
        <w:rPr>
          <w:rFonts w:ascii="Book Antiqua" w:eastAsia="Book Antiqua" w:hAnsi="Book Antiqua" w:cs="Book Antiqua"/>
          <w:color w:val="000000"/>
        </w:rPr>
        <w:t xml:space="preserve"> resection rate was improved and the procedure time was shortened in the UEMR group, while the incidence of adverse events was not significantly different. What's more, for polyps with a diameter equal to or greater than 20 mm, the </w:t>
      </w:r>
      <w:r>
        <w:rPr>
          <w:rFonts w:ascii="Book Antiqua" w:eastAsia="Book Antiqua" w:hAnsi="Book Antiqua" w:cs="Book Antiqua"/>
          <w:i/>
          <w:color w:val="000000"/>
        </w:rPr>
        <w:t>en bloc</w:t>
      </w:r>
      <w:r>
        <w:rPr>
          <w:rFonts w:ascii="Book Antiqua" w:eastAsia="Book Antiqua" w:hAnsi="Book Antiqua" w:cs="Book Antiqua"/>
          <w:color w:val="000000"/>
        </w:rPr>
        <w:t xml:space="preserve"> resection rate of UEMR was higher than that of EMR.</w:t>
      </w:r>
      <w:bookmarkEnd w:id="63"/>
      <w:bookmarkEnd w:id="64"/>
    </w:p>
    <w:p w14:paraId="40D87F25" w14:textId="77777777" w:rsidR="00BB2FD5" w:rsidRDefault="00BB2FD5">
      <w:pPr>
        <w:adjustRightInd w:val="0"/>
        <w:snapToGrid w:val="0"/>
        <w:spacing w:line="360" w:lineRule="auto"/>
        <w:jc w:val="both"/>
        <w:rPr>
          <w:rFonts w:ascii="Book Antiqua" w:hAnsi="Book Antiqua"/>
        </w:rPr>
      </w:pPr>
    </w:p>
    <w:p w14:paraId="4C9293AB"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conclusions</w:t>
      </w:r>
    </w:p>
    <w:p w14:paraId="2E37F02C" w14:textId="77777777" w:rsidR="00BB2FD5" w:rsidRDefault="00112DFD">
      <w:pPr>
        <w:adjustRightInd w:val="0"/>
        <w:snapToGrid w:val="0"/>
        <w:spacing w:line="360" w:lineRule="auto"/>
        <w:jc w:val="both"/>
        <w:rPr>
          <w:rFonts w:ascii="Book Antiqua" w:hAnsi="Book Antiqua"/>
        </w:rPr>
      </w:pPr>
      <w:bookmarkStart w:id="65" w:name="OLE_LINK45"/>
      <w:bookmarkStart w:id="66" w:name="OLE_LINK46"/>
      <w:r>
        <w:rPr>
          <w:rFonts w:ascii="Book Antiqua" w:eastAsia="Book Antiqua" w:hAnsi="Book Antiqua" w:cs="Book Antiqua"/>
          <w:color w:val="000000"/>
        </w:rPr>
        <w:t>UEMR is an effective techn</w:t>
      </w:r>
      <w:r w:rsidR="0005100C">
        <w:rPr>
          <w:rFonts w:ascii="Book Antiqua" w:eastAsia="Book Antiqua" w:hAnsi="Book Antiqua" w:cs="Book Antiqua"/>
          <w:color w:val="000000"/>
        </w:rPr>
        <w:t>ique for colorectal polyps and </w:t>
      </w:r>
      <w:r>
        <w:rPr>
          <w:rFonts w:ascii="Book Antiqua" w:eastAsia="Book Antiqua" w:hAnsi="Book Antiqua" w:cs="Book Antiqua"/>
          <w:color w:val="000000"/>
        </w:rPr>
        <w:t>appears to have some advantages over EMR, particularly with regard to some treatment outcomes.</w:t>
      </w:r>
      <w:bookmarkEnd w:id="65"/>
      <w:bookmarkEnd w:id="66"/>
    </w:p>
    <w:p w14:paraId="330594C9" w14:textId="77777777" w:rsidR="00BB2FD5" w:rsidRDefault="00BB2FD5">
      <w:pPr>
        <w:adjustRightInd w:val="0"/>
        <w:snapToGrid w:val="0"/>
        <w:spacing w:line="360" w:lineRule="auto"/>
        <w:jc w:val="both"/>
        <w:rPr>
          <w:rFonts w:ascii="Book Antiqua" w:hAnsi="Book Antiqua"/>
        </w:rPr>
      </w:pPr>
    </w:p>
    <w:p w14:paraId="7829C3D3"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perspectives</w:t>
      </w:r>
    </w:p>
    <w:p w14:paraId="754A6990" w14:textId="77777777" w:rsidR="00BB2FD5" w:rsidRDefault="00112DFD">
      <w:pPr>
        <w:adjustRightInd w:val="0"/>
        <w:snapToGrid w:val="0"/>
        <w:spacing w:line="360" w:lineRule="auto"/>
        <w:jc w:val="both"/>
        <w:rPr>
          <w:rFonts w:ascii="Book Antiqua" w:hAnsi="Book Antiqua"/>
        </w:rPr>
      </w:pPr>
      <w:bookmarkStart w:id="67" w:name="OLE_LINK48"/>
      <w:bookmarkStart w:id="68" w:name="OLE_LINK47"/>
      <w:r>
        <w:rPr>
          <w:rFonts w:ascii="Book Antiqua" w:eastAsia="Book Antiqua" w:hAnsi="Book Antiqua" w:cs="Book Antiqua"/>
          <w:color w:val="000000"/>
        </w:rPr>
        <w:t>We will carry out more studies on the safety and efficacy of UEMR in treatment of colorectal polys to confirm the findings of the present study. And through these studies, we hope that the technique of UMER could be widely used in clinical practice. </w:t>
      </w:r>
      <w:bookmarkEnd w:id="67"/>
      <w:bookmarkEnd w:id="68"/>
    </w:p>
    <w:p w14:paraId="42C0B984" w14:textId="77777777" w:rsidR="00BB2FD5" w:rsidRDefault="00BB2FD5">
      <w:pPr>
        <w:adjustRightInd w:val="0"/>
        <w:snapToGrid w:val="0"/>
        <w:spacing w:line="360" w:lineRule="auto"/>
        <w:jc w:val="both"/>
        <w:rPr>
          <w:rFonts w:ascii="Book Antiqua" w:hAnsi="Book Antiqua"/>
        </w:rPr>
      </w:pPr>
    </w:p>
    <w:p w14:paraId="7699CEB2"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b/>
          <w:color w:val="000000"/>
        </w:rPr>
        <w:t>REFERENCES</w:t>
      </w:r>
    </w:p>
    <w:p w14:paraId="059B8964" w14:textId="77777777" w:rsidR="00BB2FD5" w:rsidRDefault="00112DFD">
      <w:pPr>
        <w:adjustRightInd w:val="0"/>
        <w:snapToGrid w:val="0"/>
        <w:spacing w:line="360" w:lineRule="auto"/>
        <w:jc w:val="both"/>
        <w:rPr>
          <w:rFonts w:ascii="Book Antiqua" w:eastAsia="Book Antiqua" w:hAnsi="Book Antiqua" w:cs="Book Antiqua"/>
          <w:color w:val="000000"/>
        </w:rPr>
      </w:pPr>
      <w:bookmarkStart w:id="69" w:name="OLE_LINK64"/>
      <w:bookmarkStart w:id="70" w:name="OLE_LINK63"/>
      <w:r>
        <w:rPr>
          <w:rFonts w:ascii="Book Antiqua" w:eastAsia="Book Antiqua" w:hAnsi="Book Antiqua" w:cs="Book Antiqua"/>
          <w:color w:val="000000"/>
        </w:rPr>
        <w:t xml:space="preserve">1 </w:t>
      </w:r>
      <w:r>
        <w:rPr>
          <w:rFonts w:ascii="Book Antiqua" w:eastAsia="Book Antiqua" w:hAnsi="Book Antiqua" w:cs="Book Antiqua"/>
          <w:b/>
          <w:color w:val="000000"/>
        </w:rPr>
        <w:t>Chen W</w:t>
      </w:r>
      <w:r>
        <w:rPr>
          <w:rFonts w:ascii="Book Antiqua" w:eastAsia="Book Antiqua" w:hAnsi="Book Antiqua" w:cs="Book Antiqua"/>
          <w:color w:val="000000"/>
        </w:rPr>
        <w:t xml:space="preserve">, Zheng R, Baade PD, Zhang S, Zeng H, Bray F, Jemal A, Yu XQ, He J. Cancer statistics in China, 2015. </w:t>
      </w:r>
      <w:r>
        <w:rPr>
          <w:rFonts w:ascii="Book Antiqua" w:eastAsia="Book Antiqua" w:hAnsi="Book Antiqua" w:cs="Book Antiqua"/>
          <w:i/>
          <w:color w:val="000000"/>
        </w:rPr>
        <w:t>CA Cancer J Clin</w:t>
      </w:r>
      <w:r>
        <w:rPr>
          <w:rFonts w:ascii="Book Antiqua" w:eastAsia="Book Antiqua" w:hAnsi="Book Antiqua" w:cs="Book Antiqua"/>
          <w:color w:val="000000"/>
        </w:rPr>
        <w:t xml:space="preserve"> 2016; </w:t>
      </w:r>
      <w:r>
        <w:rPr>
          <w:rFonts w:ascii="Book Antiqua" w:eastAsia="Book Antiqua" w:hAnsi="Book Antiqua" w:cs="Book Antiqua"/>
          <w:b/>
          <w:color w:val="000000"/>
        </w:rPr>
        <w:t>66</w:t>
      </w:r>
      <w:r>
        <w:rPr>
          <w:rFonts w:ascii="Book Antiqua" w:eastAsia="Book Antiqua" w:hAnsi="Book Antiqua" w:cs="Book Antiqua"/>
          <w:color w:val="000000"/>
        </w:rPr>
        <w:t>: 115-132 [PMID: 26808342 DOI: 10.3322/caac.21338]</w:t>
      </w:r>
    </w:p>
    <w:p w14:paraId="3AF26538" w14:textId="77777777" w:rsidR="00BB2FD5" w:rsidRDefault="00112DF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 </w:t>
      </w:r>
      <w:r>
        <w:rPr>
          <w:rFonts w:ascii="Book Antiqua" w:eastAsia="Book Antiqua" w:hAnsi="Book Antiqua" w:cs="Book Antiqua"/>
          <w:b/>
          <w:color w:val="000000"/>
        </w:rPr>
        <w:t>Burnett-Hartman AN</w:t>
      </w:r>
      <w:r>
        <w:rPr>
          <w:rFonts w:ascii="Book Antiqua" w:eastAsia="Book Antiqua" w:hAnsi="Book Antiqua" w:cs="Book Antiqua"/>
          <w:color w:val="000000"/>
        </w:rPr>
        <w:t xml:space="preserve">, Passarelli MN, Adams SV, Upton MP, Zhu LC, Potter JD, Newcomb PA. Differences in epidemiologic risk factors for colorectal adenomas and serrated polyps by lesion severity and anatomical site. </w:t>
      </w:r>
      <w:r>
        <w:rPr>
          <w:rFonts w:ascii="Book Antiqua" w:eastAsia="Book Antiqua" w:hAnsi="Book Antiqua" w:cs="Book Antiqua"/>
          <w:i/>
          <w:color w:val="000000"/>
        </w:rPr>
        <w:t>Am J Epidemiol</w:t>
      </w:r>
      <w:r>
        <w:rPr>
          <w:rFonts w:ascii="Book Antiqua" w:eastAsia="Book Antiqua" w:hAnsi="Book Antiqua" w:cs="Book Antiqua"/>
          <w:color w:val="000000"/>
        </w:rPr>
        <w:t xml:space="preserve"> 2013; </w:t>
      </w:r>
      <w:r>
        <w:rPr>
          <w:rFonts w:ascii="Book Antiqua" w:eastAsia="Book Antiqua" w:hAnsi="Book Antiqua" w:cs="Book Antiqua"/>
          <w:b/>
          <w:color w:val="000000"/>
        </w:rPr>
        <w:t>177</w:t>
      </w:r>
      <w:r>
        <w:rPr>
          <w:rFonts w:ascii="Book Antiqua" w:eastAsia="Book Antiqua" w:hAnsi="Book Antiqua" w:cs="Book Antiqua"/>
          <w:color w:val="000000"/>
        </w:rPr>
        <w:t>: 625-637 [PMID: 23459948 DOI: 10.1093/aje/kws282]</w:t>
      </w:r>
    </w:p>
    <w:p w14:paraId="0021EF69" w14:textId="77777777" w:rsidR="00BB2FD5" w:rsidRDefault="00112DF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 </w:t>
      </w:r>
      <w:r>
        <w:rPr>
          <w:rFonts w:ascii="Book Antiqua" w:eastAsia="Book Antiqua" w:hAnsi="Book Antiqua" w:cs="Book Antiqua"/>
          <w:b/>
          <w:color w:val="000000"/>
        </w:rPr>
        <w:t>Church JM</w:t>
      </w:r>
      <w:r>
        <w:rPr>
          <w:rFonts w:ascii="Book Antiqua" w:eastAsia="Book Antiqua" w:hAnsi="Book Antiqua" w:cs="Book Antiqua"/>
          <w:color w:val="000000"/>
        </w:rPr>
        <w:t xml:space="preserve">. Experience in the endoscopic management of large colonic polyps. </w:t>
      </w:r>
      <w:r>
        <w:rPr>
          <w:rFonts w:ascii="Book Antiqua" w:eastAsia="Book Antiqua" w:hAnsi="Book Antiqua" w:cs="Book Antiqua"/>
          <w:i/>
          <w:color w:val="000000"/>
        </w:rPr>
        <w:t>ANZ J Surg</w:t>
      </w:r>
      <w:r>
        <w:rPr>
          <w:rFonts w:ascii="Book Antiqua" w:eastAsia="Book Antiqua" w:hAnsi="Book Antiqua" w:cs="Book Antiqua"/>
          <w:color w:val="000000"/>
        </w:rPr>
        <w:t xml:space="preserve"> 2003; </w:t>
      </w:r>
      <w:r>
        <w:rPr>
          <w:rFonts w:ascii="Book Antiqua" w:eastAsia="Book Antiqua" w:hAnsi="Book Antiqua" w:cs="Book Antiqua"/>
          <w:b/>
          <w:color w:val="000000"/>
        </w:rPr>
        <w:t>73</w:t>
      </w:r>
      <w:r>
        <w:rPr>
          <w:rFonts w:ascii="Book Antiqua" w:eastAsia="Book Antiqua" w:hAnsi="Book Antiqua" w:cs="Book Antiqua"/>
          <w:color w:val="000000"/>
        </w:rPr>
        <w:t>: 988-995 [PMID: 14632888 DOI: 10.1046/j.1445-2197.2003.t01-23-.x]</w:t>
      </w:r>
    </w:p>
    <w:p w14:paraId="30EA4F5C" w14:textId="77777777" w:rsidR="00BB2FD5" w:rsidRDefault="00112DF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 </w:t>
      </w:r>
      <w:r>
        <w:rPr>
          <w:rFonts w:ascii="Book Antiqua" w:eastAsia="Book Antiqua" w:hAnsi="Book Antiqua" w:cs="Book Antiqua"/>
          <w:b/>
          <w:color w:val="000000"/>
        </w:rPr>
        <w:t>Nishizawa T</w:t>
      </w:r>
      <w:r>
        <w:rPr>
          <w:rFonts w:ascii="Book Antiqua" w:eastAsia="Book Antiqua" w:hAnsi="Book Antiqua" w:cs="Book Antiqua"/>
          <w:color w:val="000000"/>
        </w:rPr>
        <w:t xml:space="preserve">, Yahagi N. Endoscopic mucosal resection and endoscopic submucosal dissection: technique and new directions. </w:t>
      </w:r>
      <w:r>
        <w:rPr>
          <w:rFonts w:ascii="Book Antiqua" w:eastAsia="Book Antiqua" w:hAnsi="Book Antiqua" w:cs="Book Antiqua"/>
          <w:i/>
          <w:color w:val="000000"/>
        </w:rPr>
        <w:t>Curr Opin Gastroenterol</w:t>
      </w:r>
      <w:r>
        <w:rPr>
          <w:rFonts w:ascii="Book Antiqua" w:eastAsia="Book Antiqua" w:hAnsi="Book Antiqua" w:cs="Book Antiqua"/>
          <w:color w:val="000000"/>
        </w:rPr>
        <w:t xml:space="preserve"> 2017; </w:t>
      </w:r>
      <w:r>
        <w:rPr>
          <w:rFonts w:ascii="Book Antiqua" w:eastAsia="Book Antiqua" w:hAnsi="Book Antiqua" w:cs="Book Antiqua"/>
          <w:b/>
          <w:color w:val="000000"/>
        </w:rPr>
        <w:t>33</w:t>
      </w:r>
      <w:r>
        <w:rPr>
          <w:rFonts w:ascii="Book Antiqua" w:eastAsia="Book Antiqua" w:hAnsi="Book Antiqua" w:cs="Book Antiqua"/>
          <w:color w:val="000000"/>
        </w:rPr>
        <w:t>: 315-319 [PMID: 28704212 DOI: 10.1097/MOG.0000000000000388]</w:t>
      </w:r>
    </w:p>
    <w:p w14:paraId="27F34974" w14:textId="77777777" w:rsidR="00BB2FD5" w:rsidRDefault="00112DF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 </w:t>
      </w:r>
      <w:r>
        <w:rPr>
          <w:rFonts w:ascii="Book Antiqua" w:eastAsia="Book Antiqua" w:hAnsi="Book Antiqua" w:cs="Book Antiqua"/>
          <w:b/>
          <w:color w:val="000000"/>
        </w:rPr>
        <w:t>Ferlitsch M</w:t>
      </w:r>
      <w:r>
        <w:rPr>
          <w:rFonts w:ascii="Book Antiqua" w:eastAsia="Book Antiqua" w:hAnsi="Book Antiqua" w:cs="Book Antiqua"/>
          <w:color w:val="000000"/>
        </w:rPr>
        <w:t xml:space="preserve">, Moss A, Hassan C, Bhandari P, Dumonceau JM, Paspatis G, Jover R, Langner C, Bronzwaer M, Nalankilli K, Fockens P, Hazzan R, Gralnek IM, Gschwantler M, Waldmann E, Jeschek P, Penz D, Heresbach D, Moons L, Lemmers A, Paraskeva K, Pohl J, Ponchon T, Regula J, Repici A, Rutter MD, Burgess NG, Bourke MJ. Colorectal polypectomy and endoscopic mucosal resection (EMR): European Society of Gastrointestinal Endoscopy (ESGE) Clinical Guideline. </w:t>
      </w:r>
      <w:r>
        <w:rPr>
          <w:rFonts w:ascii="Book Antiqua" w:eastAsia="Book Antiqua" w:hAnsi="Book Antiqua" w:cs="Book Antiqua"/>
          <w:i/>
          <w:color w:val="000000"/>
        </w:rPr>
        <w:t>Endoscopy</w:t>
      </w:r>
      <w:r>
        <w:rPr>
          <w:rFonts w:ascii="Book Antiqua" w:eastAsia="Book Antiqua" w:hAnsi="Book Antiqua" w:cs="Book Antiqua"/>
          <w:color w:val="000000"/>
        </w:rPr>
        <w:t xml:space="preserve"> 2017; </w:t>
      </w:r>
      <w:r>
        <w:rPr>
          <w:rFonts w:ascii="Book Antiqua" w:eastAsia="Book Antiqua" w:hAnsi="Book Antiqua" w:cs="Book Antiqua"/>
          <w:b/>
          <w:color w:val="000000"/>
        </w:rPr>
        <w:t>49</w:t>
      </w:r>
      <w:r>
        <w:rPr>
          <w:rFonts w:ascii="Book Antiqua" w:eastAsia="Book Antiqua" w:hAnsi="Book Antiqua" w:cs="Book Antiqua"/>
          <w:color w:val="000000"/>
        </w:rPr>
        <w:t>: 270-297 [PMID: 28212588 DOI: 10.1055/s-0043-102569]</w:t>
      </w:r>
    </w:p>
    <w:p w14:paraId="3B559E83" w14:textId="77777777" w:rsidR="00BB2FD5" w:rsidRDefault="00112DF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 </w:t>
      </w:r>
      <w:r>
        <w:rPr>
          <w:rFonts w:ascii="Book Antiqua" w:eastAsia="Book Antiqua" w:hAnsi="Book Antiqua" w:cs="Book Antiqua"/>
          <w:b/>
          <w:color w:val="000000"/>
        </w:rPr>
        <w:t>Yokota T</w:t>
      </w:r>
      <w:r>
        <w:rPr>
          <w:rFonts w:ascii="Book Antiqua" w:eastAsia="Book Antiqua" w:hAnsi="Book Antiqua" w:cs="Book Antiqua"/>
          <w:color w:val="000000"/>
        </w:rPr>
        <w:t xml:space="preserve">, Sugihara K, Yoshida S. Endoscopic mucosal resection for colorectal neoplastic lesions. </w:t>
      </w:r>
      <w:r>
        <w:rPr>
          <w:rFonts w:ascii="Book Antiqua" w:eastAsia="Book Antiqua" w:hAnsi="Book Antiqua" w:cs="Book Antiqua"/>
          <w:i/>
          <w:color w:val="000000"/>
        </w:rPr>
        <w:t>Dis Colon Rectum</w:t>
      </w:r>
      <w:r>
        <w:rPr>
          <w:rFonts w:ascii="Book Antiqua" w:eastAsia="Book Antiqua" w:hAnsi="Book Antiqua" w:cs="Book Antiqua"/>
          <w:color w:val="000000"/>
        </w:rPr>
        <w:t xml:space="preserve"> 1994; </w:t>
      </w:r>
      <w:r>
        <w:rPr>
          <w:rFonts w:ascii="Book Antiqua" w:eastAsia="Book Antiqua" w:hAnsi="Book Antiqua" w:cs="Book Antiqua"/>
          <w:b/>
          <w:color w:val="000000"/>
        </w:rPr>
        <w:t>37</w:t>
      </w:r>
      <w:r>
        <w:rPr>
          <w:rFonts w:ascii="Book Antiqua" w:eastAsia="Book Antiqua" w:hAnsi="Book Antiqua" w:cs="Book Antiqua"/>
          <w:color w:val="000000"/>
        </w:rPr>
        <w:t>: 1108-1111 [PMID: 7956578 DOI: 10.1007/bf02049812]</w:t>
      </w:r>
    </w:p>
    <w:p w14:paraId="5EAEEA58" w14:textId="77777777" w:rsidR="00BB2FD5" w:rsidRDefault="00112DF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 </w:t>
      </w:r>
      <w:r>
        <w:rPr>
          <w:rFonts w:ascii="Book Antiqua" w:eastAsia="Book Antiqua" w:hAnsi="Book Antiqua" w:cs="Book Antiqua"/>
          <w:b/>
          <w:color w:val="000000"/>
        </w:rPr>
        <w:t>Hurlstone DP</w:t>
      </w:r>
      <w:r>
        <w:rPr>
          <w:rFonts w:ascii="Book Antiqua" w:eastAsia="Book Antiqua" w:hAnsi="Book Antiqua" w:cs="Book Antiqua"/>
          <w:color w:val="000000"/>
        </w:rPr>
        <w:t xml:space="preserve">, Sanders DS, Cross SS, Adam I, Shorthouse AJ, Brown S, Drew K, Lobo AJ. Colonoscopic resection of lateral spreading tumours: a prospective analysis of endoscopic mucosal resection. </w:t>
      </w:r>
      <w:r>
        <w:rPr>
          <w:rFonts w:ascii="Book Antiqua" w:eastAsia="Book Antiqua" w:hAnsi="Book Antiqua" w:cs="Book Antiqua"/>
          <w:i/>
          <w:color w:val="000000"/>
        </w:rPr>
        <w:t>Gut</w:t>
      </w:r>
      <w:r>
        <w:rPr>
          <w:rFonts w:ascii="Book Antiqua" w:eastAsia="Book Antiqua" w:hAnsi="Book Antiqua" w:cs="Book Antiqua"/>
          <w:color w:val="000000"/>
        </w:rPr>
        <w:t xml:space="preserve"> 2004; </w:t>
      </w:r>
      <w:r>
        <w:rPr>
          <w:rFonts w:ascii="Book Antiqua" w:eastAsia="Book Antiqua" w:hAnsi="Book Antiqua" w:cs="Book Antiqua"/>
          <w:b/>
          <w:color w:val="000000"/>
        </w:rPr>
        <w:t>53</w:t>
      </w:r>
      <w:r>
        <w:rPr>
          <w:rFonts w:ascii="Book Antiqua" w:eastAsia="Book Antiqua" w:hAnsi="Book Antiqua" w:cs="Book Antiqua"/>
          <w:color w:val="000000"/>
        </w:rPr>
        <w:t>: 1334-1339 [PMID: 15306595 DOI: 10.1136/gut.2003.036913]</w:t>
      </w:r>
    </w:p>
    <w:p w14:paraId="77611B3D" w14:textId="77777777" w:rsidR="00BB2FD5" w:rsidRDefault="00112DF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8 </w:t>
      </w:r>
      <w:r>
        <w:rPr>
          <w:rFonts w:ascii="Book Antiqua" w:eastAsia="Book Antiqua" w:hAnsi="Book Antiqua" w:cs="Book Antiqua"/>
          <w:b/>
          <w:color w:val="000000"/>
        </w:rPr>
        <w:t>Khashab M</w:t>
      </w:r>
      <w:r>
        <w:rPr>
          <w:rFonts w:ascii="Book Antiqua" w:eastAsia="Book Antiqua" w:hAnsi="Book Antiqua" w:cs="Book Antiqua"/>
          <w:color w:val="000000"/>
        </w:rPr>
        <w:t xml:space="preserve">, Eid E, Rusche M, Rex DK. Incidence and predictors of "late" recurrences after endoscopic piecemeal resection of large sessile adenomas. </w:t>
      </w:r>
      <w:r>
        <w:rPr>
          <w:rFonts w:ascii="Book Antiqua" w:eastAsia="Book Antiqua" w:hAnsi="Book Antiqua" w:cs="Book Antiqua"/>
          <w:i/>
          <w:color w:val="000000"/>
        </w:rPr>
        <w:t>Gastrointest Endosc</w:t>
      </w:r>
      <w:r>
        <w:rPr>
          <w:rFonts w:ascii="Book Antiqua" w:eastAsia="Book Antiqua" w:hAnsi="Book Antiqua" w:cs="Book Antiqua"/>
          <w:color w:val="000000"/>
        </w:rPr>
        <w:t xml:space="preserve"> 2009; </w:t>
      </w:r>
      <w:r>
        <w:rPr>
          <w:rFonts w:ascii="Book Antiqua" w:eastAsia="Book Antiqua" w:hAnsi="Book Antiqua" w:cs="Book Antiqua"/>
          <w:b/>
          <w:color w:val="000000"/>
        </w:rPr>
        <w:t>70</w:t>
      </w:r>
      <w:r>
        <w:rPr>
          <w:rFonts w:ascii="Book Antiqua" w:eastAsia="Book Antiqua" w:hAnsi="Book Antiqua" w:cs="Book Antiqua"/>
          <w:color w:val="000000"/>
        </w:rPr>
        <w:t>: 344-349 [PMID: 19249767 DOI: 10.1016/j.gie.2008.10.037]</w:t>
      </w:r>
    </w:p>
    <w:p w14:paraId="635EFB3A" w14:textId="77777777" w:rsidR="00BB2FD5" w:rsidRDefault="00112DF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9 </w:t>
      </w:r>
      <w:r>
        <w:rPr>
          <w:rFonts w:ascii="Book Antiqua" w:eastAsia="Book Antiqua" w:hAnsi="Book Antiqua" w:cs="Book Antiqua"/>
          <w:b/>
          <w:color w:val="000000"/>
        </w:rPr>
        <w:t>Binmoeller KF</w:t>
      </w:r>
      <w:r>
        <w:rPr>
          <w:rFonts w:ascii="Book Antiqua" w:eastAsia="Book Antiqua" w:hAnsi="Book Antiqua" w:cs="Book Antiqua"/>
          <w:color w:val="000000"/>
        </w:rPr>
        <w:t xml:space="preserve">, Weilert F, Shah J, Bhat Y, Kane S. "Underwater" EMR without submucosal injection for large sessile colorectal polyps (with video). </w:t>
      </w:r>
      <w:r>
        <w:rPr>
          <w:rFonts w:ascii="Book Antiqua" w:eastAsia="Book Antiqua" w:hAnsi="Book Antiqua" w:cs="Book Antiqua"/>
          <w:i/>
          <w:color w:val="000000"/>
        </w:rPr>
        <w:t>Gastrointest Endosc</w:t>
      </w:r>
      <w:r>
        <w:rPr>
          <w:rFonts w:ascii="Book Antiqua" w:eastAsia="Book Antiqua" w:hAnsi="Book Antiqua" w:cs="Book Antiqua"/>
          <w:color w:val="000000"/>
        </w:rPr>
        <w:t xml:space="preserve"> 2012; </w:t>
      </w:r>
      <w:r>
        <w:rPr>
          <w:rFonts w:ascii="Book Antiqua" w:eastAsia="Book Antiqua" w:hAnsi="Book Antiqua" w:cs="Book Antiqua"/>
          <w:b/>
          <w:color w:val="000000"/>
        </w:rPr>
        <w:t>75</w:t>
      </w:r>
      <w:r>
        <w:rPr>
          <w:rFonts w:ascii="Book Antiqua" w:eastAsia="Book Antiqua" w:hAnsi="Book Antiqua" w:cs="Book Antiqua"/>
          <w:color w:val="000000"/>
        </w:rPr>
        <w:t>: 1086-1091 [PMID: 22365184 DOI: 10.1016/j.gie.2011.12.022]</w:t>
      </w:r>
    </w:p>
    <w:p w14:paraId="4DD8DAE1" w14:textId="77777777" w:rsidR="00BB2FD5" w:rsidRDefault="00112DF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10 </w:t>
      </w:r>
      <w:r>
        <w:rPr>
          <w:rFonts w:ascii="Book Antiqua" w:eastAsia="Book Antiqua" w:hAnsi="Book Antiqua" w:cs="Book Antiqua"/>
          <w:b/>
          <w:color w:val="000000"/>
        </w:rPr>
        <w:t>Cadoni S</w:t>
      </w:r>
      <w:r>
        <w:rPr>
          <w:rFonts w:ascii="Book Antiqua" w:eastAsia="Book Antiqua" w:hAnsi="Book Antiqua" w:cs="Book Antiqua"/>
          <w:color w:val="000000"/>
        </w:rPr>
        <w:t xml:space="preserve">, Liggi M, Gallittu P, Mura D, Fuccio L, Koo M, Ishaq S. Underwater endoscopic colorectal polyp resection: Feasibility in everyday clinical practice. </w:t>
      </w:r>
      <w:r>
        <w:rPr>
          <w:rFonts w:ascii="Book Antiqua" w:eastAsia="Book Antiqua" w:hAnsi="Book Antiqua" w:cs="Book Antiqua"/>
          <w:i/>
          <w:color w:val="000000"/>
        </w:rPr>
        <w:t>United European Gastroenterol J</w:t>
      </w:r>
      <w:r>
        <w:rPr>
          <w:rFonts w:ascii="Book Antiqua" w:eastAsia="Book Antiqua" w:hAnsi="Book Antiqua" w:cs="Book Antiqua"/>
          <w:color w:val="000000"/>
        </w:rPr>
        <w:t xml:space="preserve"> 2018; </w:t>
      </w:r>
      <w:r>
        <w:rPr>
          <w:rFonts w:ascii="Book Antiqua" w:eastAsia="Book Antiqua" w:hAnsi="Book Antiqua" w:cs="Book Antiqua"/>
          <w:b/>
          <w:color w:val="000000"/>
        </w:rPr>
        <w:t>6</w:t>
      </w:r>
      <w:r>
        <w:rPr>
          <w:rFonts w:ascii="Book Antiqua" w:eastAsia="Book Antiqua" w:hAnsi="Book Antiqua" w:cs="Book Antiqua"/>
          <w:color w:val="000000"/>
        </w:rPr>
        <w:t>: 454-462 [PMID: 29774160 DOI: 10.1177/2050640617733923]</w:t>
      </w:r>
    </w:p>
    <w:p w14:paraId="1351B86B" w14:textId="77777777" w:rsidR="00BB2FD5" w:rsidRDefault="00112DF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11 </w:t>
      </w:r>
      <w:r>
        <w:rPr>
          <w:rFonts w:ascii="Book Antiqua" w:eastAsia="Book Antiqua" w:hAnsi="Book Antiqua" w:cs="Book Antiqua"/>
          <w:b/>
          <w:color w:val="000000"/>
        </w:rPr>
        <w:t>Rodríguez Sánchez J</w:t>
      </w:r>
      <w:r>
        <w:rPr>
          <w:rFonts w:ascii="Book Antiqua" w:eastAsia="Book Antiqua" w:hAnsi="Book Antiqua" w:cs="Book Antiqua"/>
          <w:color w:val="000000"/>
        </w:rPr>
        <w:t xml:space="preserve">, Uchima Koecklin H, González López L, Cuatrecasas M, de la Santa Belda E, Olivencia Palomar P, Sánchez García C, Sánchez Alonso M, Muñoz Rodríguez JR, Gómez Romero FJ, López Viedma B, Agarrabeitia AB, Olmedo Camacho J, Albéniz Arbizu E. Short and long-term outcomes of underwater EMR compared to the traditional procedure in the real clinical practice. </w:t>
      </w:r>
      <w:r>
        <w:rPr>
          <w:rFonts w:ascii="Book Antiqua" w:eastAsia="Book Antiqua" w:hAnsi="Book Antiqua" w:cs="Book Antiqua"/>
          <w:i/>
          <w:color w:val="000000"/>
        </w:rPr>
        <w:t>Rev Esp Enferm Dig</w:t>
      </w:r>
      <w:r>
        <w:rPr>
          <w:rFonts w:ascii="Book Antiqua" w:eastAsia="Book Antiqua" w:hAnsi="Book Antiqua" w:cs="Book Antiqua"/>
          <w:color w:val="000000"/>
        </w:rPr>
        <w:t xml:space="preserve"> 2019; </w:t>
      </w:r>
      <w:r>
        <w:rPr>
          <w:rFonts w:ascii="Book Antiqua" w:eastAsia="Book Antiqua" w:hAnsi="Book Antiqua" w:cs="Book Antiqua"/>
          <w:b/>
          <w:color w:val="000000"/>
        </w:rPr>
        <w:t>111</w:t>
      </w:r>
      <w:r>
        <w:rPr>
          <w:rFonts w:ascii="Book Antiqua" w:eastAsia="Book Antiqua" w:hAnsi="Book Antiqua" w:cs="Book Antiqua"/>
          <w:color w:val="000000"/>
        </w:rPr>
        <w:t>: 543-549 [PMID: 31184199 DOI: 10.17235/reed.2019.6009/2018]</w:t>
      </w:r>
    </w:p>
    <w:p w14:paraId="411C89B5" w14:textId="77777777" w:rsidR="00BB2FD5" w:rsidRDefault="00112DF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12 </w:t>
      </w:r>
      <w:r>
        <w:rPr>
          <w:rFonts w:ascii="Book Antiqua" w:eastAsia="Book Antiqua" w:hAnsi="Book Antiqua" w:cs="Book Antiqua"/>
          <w:b/>
          <w:color w:val="000000"/>
        </w:rPr>
        <w:t>Binmoeller KF</w:t>
      </w:r>
      <w:r>
        <w:rPr>
          <w:rFonts w:ascii="Book Antiqua" w:eastAsia="Book Antiqua" w:hAnsi="Book Antiqua" w:cs="Book Antiqua"/>
          <w:color w:val="000000"/>
        </w:rPr>
        <w:t xml:space="preserve">, Hamerski CM, Shah JN, Bhat YM, Kane SD, Garcia-Kennedy R. Attempted underwater en bloc resection for large (2-4 cm) colorectal laterally spreading tumors (with video). </w:t>
      </w:r>
      <w:r>
        <w:rPr>
          <w:rFonts w:ascii="Book Antiqua" w:eastAsia="Book Antiqua" w:hAnsi="Book Antiqua" w:cs="Book Antiqua"/>
          <w:i/>
          <w:color w:val="000000"/>
        </w:rPr>
        <w:t>Gastrointest Endosc</w:t>
      </w:r>
      <w:r>
        <w:rPr>
          <w:rFonts w:ascii="Book Antiqua" w:eastAsia="Book Antiqua" w:hAnsi="Book Antiqua" w:cs="Book Antiqua"/>
          <w:color w:val="000000"/>
        </w:rPr>
        <w:t xml:space="preserve"> 2015; </w:t>
      </w:r>
      <w:r>
        <w:rPr>
          <w:rFonts w:ascii="Book Antiqua" w:eastAsia="Book Antiqua" w:hAnsi="Book Antiqua" w:cs="Book Antiqua"/>
          <w:b/>
          <w:color w:val="000000"/>
        </w:rPr>
        <w:t>81</w:t>
      </w:r>
      <w:r>
        <w:rPr>
          <w:rFonts w:ascii="Book Antiqua" w:eastAsia="Book Antiqua" w:hAnsi="Book Antiqua" w:cs="Book Antiqua"/>
          <w:color w:val="000000"/>
        </w:rPr>
        <w:t>: 713-718 [PMID: 25708759 DOI: 10.1016/j.gie.2014.10.044]</w:t>
      </w:r>
    </w:p>
    <w:p w14:paraId="7EDBBE5D" w14:textId="77777777" w:rsidR="00BB2FD5" w:rsidRDefault="00112DF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13 </w:t>
      </w:r>
      <w:r>
        <w:rPr>
          <w:rFonts w:ascii="Book Antiqua" w:eastAsia="Book Antiqua" w:hAnsi="Book Antiqua" w:cs="Book Antiqua"/>
          <w:b/>
          <w:color w:val="000000"/>
        </w:rPr>
        <w:t>Slim K</w:t>
      </w:r>
      <w:r>
        <w:rPr>
          <w:rFonts w:ascii="Book Antiqua" w:eastAsia="Book Antiqua" w:hAnsi="Book Antiqua" w:cs="Book Antiqua"/>
          <w:color w:val="000000"/>
        </w:rPr>
        <w:t xml:space="preserve">, Nini E, Forestier D, Kwiatkowski F, Panis Y, Chipponi J. Methodological index for non-randomized studies (minors): development and validation of a new instrument. </w:t>
      </w:r>
      <w:r>
        <w:rPr>
          <w:rFonts w:ascii="Book Antiqua" w:eastAsia="Book Antiqua" w:hAnsi="Book Antiqua" w:cs="Book Antiqua"/>
          <w:i/>
          <w:color w:val="000000"/>
        </w:rPr>
        <w:t>ANZ J Surg</w:t>
      </w:r>
      <w:r>
        <w:rPr>
          <w:rFonts w:ascii="Book Antiqua" w:eastAsia="Book Antiqua" w:hAnsi="Book Antiqua" w:cs="Book Antiqua"/>
          <w:color w:val="000000"/>
        </w:rPr>
        <w:t xml:space="preserve"> 2003; </w:t>
      </w:r>
      <w:r>
        <w:rPr>
          <w:rFonts w:ascii="Book Antiqua" w:eastAsia="Book Antiqua" w:hAnsi="Book Antiqua" w:cs="Book Antiqua"/>
          <w:b/>
          <w:color w:val="000000"/>
        </w:rPr>
        <w:t>73</w:t>
      </w:r>
      <w:r>
        <w:rPr>
          <w:rFonts w:ascii="Book Antiqua" w:eastAsia="Book Antiqua" w:hAnsi="Book Antiqua" w:cs="Book Antiqua"/>
          <w:color w:val="000000"/>
        </w:rPr>
        <w:t>: 712-716 [PMID: 12956787 DOI: 10.1046/j.1445-2197.2003.02748.x]</w:t>
      </w:r>
    </w:p>
    <w:p w14:paraId="4F22FF47" w14:textId="040F40DC" w:rsidR="00BB2FD5" w:rsidRDefault="00112DF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14 </w:t>
      </w:r>
      <w:r>
        <w:rPr>
          <w:rFonts w:ascii="Book Antiqua" w:eastAsia="Book Antiqua" w:hAnsi="Book Antiqua" w:cs="Book Antiqua"/>
          <w:b/>
          <w:color w:val="000000"/>
        </w:rPr>
        <w:t>Higgins Jp T,</w:t>
      </w:r>
      <w:r>
        <w:rPr>
          <w:rFonts w:ascii="Book Antiqua" w:eastAsia="Book Antiqua" w:hAnsi="Book Antiqua" w:cs="Book Antiqua"/>
          <w:color w:val="000000"/>
        </w:rPr>
        <w:t xml:space="preserve"> Green S. Cochrane Handbook for Systematic Reviews of Interventions. Version 5.1.0. Cochrane Database of Systematic Reviews, 2008; </w:t>
      </w:r>
      <w:r>
        <w:rPr>
          <w:rFonts w:ascii="Book Antiqua" w:eastAsia="Book Antiqua" w:hAnsi="Book Antiqua" w:cs="Book Antiqua"/>
          <w:b/>
          <w:color w:val="000000"/>
        </w:rPr>
        <w:t>5</w:t>
      </w:r>
      <w:r>
        <w:rPr>
          <w:rFonts w:ascii="Book Antiqua" w:eastAsia="Book Antiqua" w:hAnsi="Book Antiqua" w:cs="Book Antiqua"/>
          <w:color w:val="000000"/>
        </w:rPr>
        <w:t xml:space="preserve">: S38 [DOI: </w:t>
      </w:r>
      <w:r w:rsidR="00D94F97" w:rsidRPr="00D94F97">
        <w:rPr>
          <w:rFonts w:ascii="Book Antiqua" w:eastAsia="Book Antiqua" w:hAnsi="Book Antiqua" w:cs="Book Antiqua"/>
          <w:color w:val="000000"/>
        </w:rPr>
        <w:t>10.1002/9780470712184.ch1</w:t>
      </w:r>
      <w:r>
        <w:rPr>
          <w:rFonts w:ascii="Book Antiqua" w:eastAsia="Book Antiqua" w:hAnsi="Book Antiqua" w:cs="Book Antiqua"/>
          <w:color w:val="000000"/>
        </w:rPr>
        <w:t>]</w:t>
      </w:r>
    </w:p>
    <w:p w14:paraId="0CA82CA0" w14:textId="77777777" w:rsidR="00BB2FD5" w:rsidRDefault="00112DF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15 </w:t>
      </w:r>
      <w:r>
        <w:rPr>
          <w:rFonts w:ascii="Book Antiqua" w:eastAsia="Book Antiqua" w:hAnsi="Book Antiqua" w:cs="Book Antiqua"/>
          <w:b/>
          <w:color w:val="000000"/>
        </w:rPr>
        <w:t>Schenck RJ</w:t>
      </w:r>
      <w:r>
        <w:rPr>
          <w:rFonts w:ascii="Book Antiqua" w:eastAsia="Book Antiqua" w:hAnsi="Book Antiqua" w:cs="Book Antiqua"/>
          <w:color w:val="000000"/>
        </w:rPr>
        <w:t xml:space="preserve">, Jahann DA, Patrie JT, Stelow EB, Cox DG, Uppal DS, Sauer BG, Shami VM, Strand DS, Wang AY. Underwater endoscopic mucosal resection is associated with fewer recurrences and earlier curative resections compared to conventional endoscopic mucosal resection for large colorectal polyps. </w:t>
      </w:r>
      <w:r>
        <w:rPr>
          <w:rFonts w:ascii="Book Antiqua" w:eastAsia="Book Antiqua" w:hAnsi="Book Antiqua" w:cs="Book Antiqua"/>
          <w:i/>
          <w:color w:val="000000"/>
        </w:rPr>
        <w:t>Surg Endosc</w:t>
      </w:r>
      <w:r>
        <w:rPr>
          <w:rFonts w:ascii="Book Antiqua" w:eastAsia="Book Antiqua" w:hAnsi="Book Antiqua" w:cs="Book Antiqua"/>
          <w:color w:val="000000"/>
        </w:rPr>
        <w:t xml:space="preserve"> 2017; </w:t>
      </w:r>
      <w:r>
        <w:rPr>
          <w:rFonts w:ascii="Book Antiqua" w:eastAsia="Book Antiqua" w:hAnsi="Book Antiqua" w:cs="Book Antiqua"/>
          <w:b/>
          <w:color w:val="000000"/>
        </w:rPr>
        <w:t>31</w:t>
      </w:r>
      <w:r>
        <w:rPr>
          <w:rFonts w:ascii="Book Antiqua" w:eastAsia="Book Antiqua" w:hAnsi="Book Antiqua" w:cs="Book Antiqua"/>
          <w:color w:val="000000"/>
        </w:rPr>
        <w:t>: 4174-4183 [PMID: 28342125 DOI: 10.1007/s00464-017-5474-4]</w:t>
      </w:r>
    </w:p>
    <w:p w14:paraId="2AC4A3D5" w14:textId="77777777" w:rsidR="00BB2FD5" w:rsidRDefault="00112DF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16 </w:t>
      </w:r>
      <w:r>
        <w:rPr>
          <w:rFonts w:ascii="Book Antiqua" w:eastAsia="Book Antiqua" w:hAnsi="Book Antiqua" w:cs="Book Antiqua"/>
          <w:b/>
          <w:color w:val="000000"/>
        </w:rPr>
        <w:t>Yamashina T</w:t>
      </w:r>
      <w:r>
        <w:rPr>
          <w:rFonts w:ascii="Book Antiqua" w:eastAsia="Book Antiqua" w:hAnsi="Book Antiqua" w:cs="Book Antiqua"/>
          <w:color w:val="000000"/>
        </w:rPr>
        <w:t xml:space="preserve">, Uedo N, Akasaka T, Iwatsubo T, Nakatani Y, Akamatsu T, Kawamura T, Takeuchi Y, Fujii S, Kusaka T, Shimokawa T. Comparison of Underwater vs Conventional Endoscopic Mucosal Resection of Intermediate-Size Colorectal Polyps. </w:t>
      </w:r>
      <w:r>
        <w:rPr>
          <w:rFonts w:ascii="Book Antiqua" w:eastAsia="Book Antiqua" w:hAnsi="Book Antiqua" w:cs="Book Antiqua"/>
          <w:i/>
          <w:color w:val="000000"/>
        </w:rPr>
        <w:t>Gastroenterology</w:t>
      </w:r>
      <w:r>
        <w:rPr>
          <w:rFonts w:ascii="Book Antiqua" w:eastAsia="Book Antiqua" w:hAnsi="Book Antiqua" w:cs="Book Antiqua"/>
          <w:color w:val="000000"/>
        </w:rPr>
        <w:t xml:space="preserve"> 2019; </w:t>
      </w:r>
      <w:r>
        <w:rPr>
          <w:rFonts w:ascii="Book Antiqua" w:eastAsia="Book Antiqua" w:hAnsi="Book Antiqua" w:cs="Book Antiqua"/>
          <w:b/>
          <w:color w:val="000000"/>
        </w:rPr>
        <w:t>157</w:t>
      </w:r>
      <w:r>
        <w:rPr>
          <w:rFonts w:ascii="Book Antiqua" w:eastAsia="Book Antiqua" w:hAnsi="Book Antiqua" w:cs="Book Antiqua"/>
          <w:color w:val="000000"/>
        </w:rPr>
        <w:t>: 451-461.e2 [PMID: 30981791 DOI: 10.1053/j.gastro.2019.04.005]</w:t>
      </w:r>
    </w:p>
    <w:p w14:paraId="54CDF493" w14:textId="77777777" w:rsidR="00BB2FD5" w:rsidRDefault="00112DF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17 </w:t>
      </w:r>
      <w:r>
        <w:rPr>
          <w:rFonts w:ascii="Book Antiqua" w:eastAsia="Book Antiqua" w:hAnsi="Book Antiqua" w:cs="Book Antiqua"/>
          <w:b/>
          <w:color w:val="000000"/>
        </w:rPr>
        <w:t>Kim HG</w:t>
      </w:r>
      <w:r>
        <w:rPr>
          <w:rFonts w:ascii="Book Antiqua" w:eastAsia="Book Antiqua" w:hAnsi="Book Antiqua" w:cs="Book Antiqua"/>
          <w:color w:val="000000"/>
        </w:rPr>
        <w:t xml:space="preserve">, Thosani N, Banerjee S, Chen A, Friedland S. Underwater endoscopic mucosal resection for recurrences after previous piecemeal resection of colorectal polyps (with video). </w:t>
      </w:r>
      <w:r>
        <w:rPr>
          <w:rFonts w:ascii="Book Antiqua" w:eastAsia="Book Antiqua" w:hAnsi="Book Antiqua" w:cs="Book Antiqua"/>
          <w:i/>
          <w:color w:val="000000"/>
        </w:rPr>
        <w:t>Gastrointest Endosc</w:t>
      </w:r>
      <w:r>
        <w:rPr>
          <w:rFonts w:ascii="Book Antiqua" w:eastAsia="Book Antiqua" w:hAnsi="Book Antiqua" w:cs="Book Antiqua"/>
          <w:color w:val="000000"/>
        </w:rPr>
        <w:t xml:space="preserve"> 2014; </w:t>
      </w:r>
      <w:r>
        <w:rPr>
          <w:rFonts w:ascii="Book Antiqua" w:eastAsia="Book Antiqua" w:hAnsi="Book Antiqua" w:cs="Book Antiqua"/>
          <w:b/>
          <w:color w:val="000000"/>
        </w:rPr>
        <w:t>80</w:t>
      </w:r>
      <w:r>
        <w:rPr>
          <w:rFonts w:ascii="Book Antiqua" w:eastAsia="Book Antiqua" w:hAnsi="Book Antiqua" w:cs="Book Antiqua"/>
          <w:color w:val="000000"/>
        </w:rPr>
        <w:t>: 1094-1102 [PMID: 25012560 DOI: 10.1016/j.gie.2014.05.318]</w:t>
      </w:r>
    </w:p>
    <w:p w14:paraId="7C2C8F34" w14:textId="77777777" w:rsidR="00BB2FD5" w:rsidRDefault="00112DF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18 </w:t>
      </w:r>
      <w:r>
        <w:rPr>
          <w:rFonts w:ascii="Book Antiqua" w:eastAsia="Book Antiqua" w:hAnsi="Book Antiqua" w:cs="Book Antiqua"/>
          <w:b/>
          <w:color w:val="000000"/>
        </w:rPr>
        <w:t>Cai Y,</w:t>
      </w:r>
      <w:r>
        <w:rPr>
          <w:rFonts w:ascii="Book Antiqua" w:eastAsia="Book Antiqua" w:hAnsi="Book Antiqua" w:cs="Book Antiqua"/>
          <w:color w:val="000000"/>
        </w:rPr>
        <w:t xml:space="preserve"> Wang H, Bai QX, Yu JF. Water immersion-assisted endoscopic en bloc resection for colorectal sessile tumors. </w:t>
      </w:r>
      <w:r>
        <w:rPr>
          <w:rFonts w:ascii="Book Antiqua" w:eastAsia="Book Antiqua" w:hAnsi="Book Antiqua" w:cs="Book Antiqua"/>
          <w:i/>
          <w:color w:val="000000"/>
        </w:rPr>
        <w:t xml:space="preserve">Zhonghua Xiaohua Neijing Zazhi </w:t>
      </w:r>
      <w:r>
        <w:rPr>
          <w:rFonts w:ascii="Book Antiqua" w:eastAsia="Book Antiqua" w:hAnsi="Book Antiqua" w:cs="Book Antiqua"/>
          <w:color w:val="000000"/>
        </w:rPr>
        <w:t xml:space="preserve">2018; </w:t>
      </w:r>
      <w:r>
        <w:rPr>
          <w:rFonts w:ascii="Book Antiqua" w:eastAsia="Book Antiqua" w:hAnsi="Book Antiqua" w:cs="Book Antiqua"/>
          <w:b/>
          <w:color w:val="000000"/>
        </w:rPr>
        <w:t>35</w:t>
      </w:r>
      <w:r>
        <w:rPr>
          <w:rFonts w:ascii="Book Antiqua" w:eastAsia="Book Antiqua" w:hAnsi="Book Antiqua" w:cs="Book Antiqua"/>
          <w:color w:val="000000"/>
        </w:rPr>
        <w:t>: 482-485 [</w:t>
      </w:r>
      <w:r>
        <w:rPr>
          <w:rFonts w:ascii="Book Antiqua" w:eastAsia="Book Antiqua" w:hAnsi="Book Antiqua" w:cs="Book Antiqua"/>
          <w:caps/>
          <w:color w:val="000000"/>
        </w:rPr>
        <w:t>doi</w:t>
      </w:r>
      <w:r>
        <w:rPr>
          <w:rFonts w:ascii="Book Antiqua" w:eastAsia="Book Antiqua" w:hAnsi="Book Antiqua" w:cs="Book Antiqua"/>
          <w:color w:val="000000"/>
        </w:rPr>
        <w:t>: 10.3760/cma.j.issn.1007-5232.2018.07.006]</w:t>
      </w:r>
    </w:p>
    <w:p w14:paraId="547EBBFE" w14:textId="77777777" w:rsidR="00BB2FD5" w:rsidRDefault="00112DF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19 </w:t>
      </w:r>
      <w:r>
        <w:rPr>
          <w:rFonts w:ascii="Book Antiqua" w:eastAsia="Book Antiqua" w:hAnsi="Book Antiqua" w:cs="Book Antiqua"/>
          <w:b/>
          <w:color w:val="000000"/>
        </w:rPr>
        <w:t>Chien HC</w:t>
      </w:r>
      <w:r>
        <w:rPr>
          <w:rFonts w:ascii="Book Antiqua" w:eastAsia="Book Antiqua" w:hAnsi="Book Antiqua" w:cs="Book Antiqua"/>
          <w:color w:val="000000"/>
        </w:rPr>
        <w:t xml:space="preserve">, Uedo N, Hsieh PH. Comparison of underwater and conventional endoscopic mucosal resection for removing sessile colorectal polyps: a propensity-score matched cohort study. </w:t>
      </w:r>
      <w:r>
        <w:rPr>
          <w:rFonts w:ascii="Book Antiqua" w:eastAsia="Book Antiqua" w:hAnsi="Book Antiqua" w:cs="Book Antiqua"/>
          <w:i/>
          <w:color w:val="000000"/>
        </w:rPr>
        <w:t>Endosc Int Open</w:t>
      </w:r>
      <w:r>
        <w:rPr>
          <w:rFonts w:ascii="Book Antiqua" w:eastAsia="Book Antiqua" w:hAnsi="Book Antiqua" w:cs="Book Antiqua"/>
          <w:color w:val="000000"/>
        </w:rPr>
        <w:t xml:space="preserve"> 2019; </w:t>
      </w:r>
      <w:r>
        <w:rPr>
          <w:rFonts w:ascii="Book Antiqua" w:eastAsia="Book Antiqua" w:hAnsi="Book Antiqua" w:cs="Book Antiqua"/>
          <w:b/>
          <w:color w:val="000000"/>
        </w:rPr>
        <w:t>7</w:t>
      </w:r>
      <w:r>
        <w:rPr>
          <w:rFonts w:ascii="Book Antiqua" w:eastAsia="Book Antiqua" w:hAnsi="Book Antiqua" w:cs="Book Antiqua"/>
          <w:color w:val="000000"/>
        </w:rPr>
        <w:t>: E1528-E1536 [PMID: 31681832 DOI: 10.1055/a-1007-1578]</w:t>
      </w:r>
    </w:p>
    <w:p w14:paraId="1CFEF417" w14:textId="77777777" w:rsidR="00BB2FD5" w:rsidRDefault="00112DF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20 </w:t>
      </w:r>
      <w:r>
        <w:rPr>
          <w:rFonts w:ascii="Book Antiqua" w:eastAsia="Book Antiqua" w:hAnsi="Book Antiqua" w:cs="Book Antiqua"/>
          <w:b/>
          <w:color w:val="000000"/>
        </w:rPr>
        <w:t>Huang R,</w:t>
      </w:r>
      <w:r>
        <w:rPr>
          <w:rFonts w:ascii="Book Antiqua" w:eastAsia="Book Antiqua" w:hAnsi="Book Antiqua" w:cs="Book Antiqua"/>
          <w:color w:val="000000"/>
        </w:rPr>
        <w:t xml:space="preserve"> Li F, Ji D, Xiao Z, Zhou J, Sun T, Xiang P, Bao Z. Comparative Analysis of Curative Effect of Conventional Endoscopic Mucosal Resection, Underwater Endoscopic Mucosal Resection and Endoscopic Submucosal Dissection in Treatment of Colorectal Lesion: A Retrospective Case-control Study. </w:t>
      </w:r>
      <w:r>
        <w:rPr>
          <w:rFonts w:ascii="Book Antiqua" w:eastAsia="Book Antiqua" w:hAnsi="Book Antiqua" w:cs="Book Antiqua"/>
          <w:i/>
          <w:color w:val="000000"/>
        </w:rPr>
        <w:t xml:space="preserve">Wei </w:t>
      </w:r>
      <w:r>
        <w:rPr>
          <w:rFonts w:ascii="Book Antiqua" w:eastAsia="Book Antiqua" w:hAnsi="Book Antiqua" w:cs="Book Antiqua"/>
          <w:i/>
          <w:caps/>
          <w:color w:val="000000"/>
        </w:rPr>
        <w:t>c</w:t>
      </w:r>
      <w:r>
        <w:rPr>
          <w:rFonts w:ascii="Book Antiqua" w:eastAsia="Book Antiqua" w:hAnsi="Book Antiqua" w:cs="Book Antiqua"/>
          <w:i/>
          <w:color w:val="000000"/>
        </w:rPr>
        <w:t>hang Bing Xue Zazhi</w:t>
      </w:r>
      <w:r>
        <w:rPr>
          <w:rFonts w:ascii="Book Antiqua" w:eastAsia="Book Antiqua" w:hAnsi="Book Antiqua" w:cs="Book Antiqua"/>
          <w:color w:val="000000"/>
        </w:rPr>
        <w:t xml:space="preserve"> 2018; </w:t>
      </w:r>
      <w:r>
        <w:rPr>
          <w:rFonts w:ascii="Book Antiqua" w:eastAsia="Book Antiqua" w:hAnsi="Book Antiqua" w:cs="Book Antiqua"/>
          <w:b/>
          <w:color w:val="000000"/>
        </w:rPr>
        <w:t>23</w:t>
      </w:r>
      <w:r>
        <w:rPr>
          <w:rFonts w:ascii="Book Antiqua" w:eastAsia="Book Antiqua" w:hAnsi="Book Antiqua" w:cs="Book Antiqua"/>
          <w:color w:val="000000"/>
        </w:rPr>
        <w:t>: 23-27 [</w:t>
      </w:r>
      <w:r>
        <w:rPr>
          <w:rFonts w:ascii="Book Antiqua" w:eastAsia="Book Antiqua" w:hAnsi="Book Antiqua" w:cs="Book Antiqua"/>
          <w:caps/>
          <w:color w:val="000000"/>
        </w:rPr>
        <w:t>doi:</w:t>
      </w:r>
      <w:r>
        <w:rPr>
          <w:rFonts w:ascii="Book Antiqua" w:eastAsia="Book Antiqua" w:hAnsi="Book Antiqua" w:cs="Book Antiqua"/>
          <w:color w:val="000000"/>
        </w:rPr>
        <w:t xml:space="preserve"> 10.3969/j.issn.1008-7125.2018.09.005]</w:t>
      </w:r>
    </w:p>
    <w:p w14:paraId="7BE6D0A5" w14:textId="77777777" w:rsidR="00BB2FD5" w:rsidRDefault="00112DF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21 </w:t>
      </w:r>
      <w:r>
        <w:rPr>
          <w:rFonts w:ascii="Book Antiqua" w:eastAsia="Book Antiqua" w:hAnsi="Book Antiqua" w:cs="Book Antiqua"/>
          <w:b/>
          <w:color w:val="000000"/>
        </w:rPr>
        <w:t>Deyhle P,</w:t>
      </w:r>
      <w:r>
        <w:rPr>
          <w:rFonts w:ascii="Book Antiqua" w:eastAsia="Book Antiqua" w:hAnsi="Book Antiqua" w:cs="Book Antiqua"/>
          <w:color w:val="000000"/>
        </w:rPr>
        <w:t xml:space="preserve"> Largiadèr F, Jenny S, Fumagalli I. A Method for Endoscopic Electroresection of Sessile Colonic Polyps. </w:t>
      </w:r>
      <w:r>
        <w:rPr>
          <w:rFonts w:ascii="Book Antiqua" w:eastAsia="Book Antiqua" w:hAnsi="Book Antiqua" w:cs="Book Antiqua"/>
          <w:i/>
          <w:color w:val="000000"/>
        </w:rPr>
        <w:t>Endoscopy</w:t>
      </w:r>
      <w:r>
        <w:rPr>
          <w:rFonts w:ascii="Book Antiqua" w:eastAsia="Book Antiqua" w:hAnsi="Book Antiqua" w:cs="Book Antiqua"/>
          <w:color w:val="000000"/>
        </w:rPr>
        <w:t xml:space="preserve"> 1973; </w:t>
      </w:r>
      <w:r>
        <w:rPr>
          <w:rFonts w:ascii="Book Antiqua" w:eastAsia="Book Antiqua" w:hAnsi="Book Antiqua" w:cs="Book Antiqua"/>
          <w:b/>
          <w:color w:val="000000"/>
        </w:rPr>
        <w:t>5</w:t>
      </w:r>
      <w:r>
        <w:rPr>
          <w:rFonts w:ascii="Book Antiqua" w:eastAsia="Book Antiqua" w:hAnsi="Book Antiqua" w:cs="Book Antiqua"/>
          <w:color w:val="000000"/>
        </w:rPr>
        <w:t>: 38-40 [DOI: 10.1055/s-0028-1098209]</w:t>
      </w:r>
    </w:p>
    <w:p w14:paraId="60DF5648" w14:textId="77777777" w:rsidR="00BB2FD5" w:rsidRDefault="00112DF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22 </w:t>
      </w:r>
      <w:r>
        <w:rPr>
          <w:rFonts w:ascii="Book Antiqua" w:eastAsia="Book Antiqua" w:hAnsi="Book Antiqua" w:cs="Book Antiqua"/>
          <w:b/>
          <w:color w:val="000000"/>
        </w:rPr>
        <w:t>Yamashina T</w:t>
      </w:r>
      <w:r>
        <w:rPr>
          <w:rFonts w:ascii="Book Antiqua" w:eastAsia="Book Antiqua" w:hAnsi="Book Antiqua" w:cs="Book Antiqua"/>
          <w:color w:val="000000"/>
        </w:rPr>
        <w:t>, Tumura T, Maruo T, Matsumae T, Yoshida H, Tanke G, Taki M, Fukuhara M, Kimura Y, Sakamoto A, Henmi S, Sawai Y, Saito S, Nishijima N, Nasu A, Komekado H, Asada M, Kita R, Kimura T, Osaki Y. Underwater endoscopic mucosal resection: a new endoscopic method for resection of rectal neuroendocrine tumor grade 1 (carcinoid) ≤</w:t>
      </w:r>
      <w:r>
        <w:rPr>
          <w:rFonts w:ascii="MS Gothic" w:eastAsia="Book Antiqua" w:hAnsi="MS Gothic" w:cs="MS Gothic"/>
          <w:color w:val="000000"/>
        </w:rPr>
        <w:t> </w:t>
      </w:r>
      <w:r>
        <w:rPr>
          <w:rFonts w:ascii="Book Antiqua" w:eastAsia="Book Antiqua" w:hAnsi="Book Antiqua" w:cs="Book Antiqua"/>
          <w:color w:val="000000"/>
        </w:rPr>
        <w:t>10</w:t>
      </w:r>
      <w:r>
        <w:rPr>
          <w:rFonts w:ascii="MS Gothic" w:eastAsia="Book Antiqua" w:hAnsi="MS Gothic" w:cs="MS Gothic"/>
          <w:color w:val="000000"/>
        </w:rPr>
        <w:t> </w:t>
      </w:r>
      <w:r>
        <w:rPr>
          <w:rFonts w:ascii="Book Antiqua" w:eastAsia="Book Antiqua" w:hAnsi="Book Antiqua" w:cs="Book Antiqua"/>
          <w:color w:val="000000"/>
        </w:rPr>
        <w:t xml:space="preserve">mm in diameter. </w:t>
      </w:r>
      <w:r>
        <w:rPr>
          <w:rFonts w:ascii="Book Antiqua" w:eastAsia="Book Antiqua" w:hAnsi="Book Antiqua" w:cs="Book Antiqua"/>
          <w:i/>
          <w:color w:val="000000"/>
        </w:rPr>
        <w:t>Endosc Int Open</w:t>
      </w:r>
      <w:r>
        <w:rPr>
          <w:rFonts w:ascii="Book Antiqua" w:eastAsia="Book Antiqua" w:hAnsi="Book Antiqua" w:cs="Book Antiqua"/>
          <w:color w:val="000000"/>
        </w:rPr>
        <w:t xml:space="preserve"> 2018; </w:t>
      </w:r>
      <w:r>
        <w:rPr>
          <w:rFonts w:ascii="Book Antiqua" w:eastAsia="Book Antiqua" w:hAnsi="Book Antiqua" w:cs="Book Antiqua"/>
          <w:b/>
          <w:color w:val="000000"/>
        </w:rPr>
        <w:t>6</w:t>
      </w:r>
      <w:r>
        <w:rPr>
          <w:rFonts w:ascii="Book Antiqua" w:eastAsia="Book Antiqua" w:hAnsi="Book Antiqua" w:cs="Book Antiqua"/>
          <w:color w:val="000000"/>
        </w:rPr>
        <w:t>: E111-E114 [PMID: 29344571 DOI: 10.1055/s-0043-123467]</w:t>
      </w:r>
    </w:p>
    <w:p w14:paraId="72FDEA3C" w14:textId="77777777" w:rsidR="00BB2FD5" w:rsidRDefault="00112DF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23 </w:t>
      </w:r>
      <w:r>
        <w:rPr>
          <w:rFonts w:ascii="Book Antiqua" w:eastAsia="Book Antiqua" w:hAnsi="Book Antiqua" w:cs="Book Antiqua"/>
          <w:b/>
          <w:color w:val="000000"/>
        </w:rPr>
        <w:t>Tadepalli US</w:t>
      </w:r>
      <w:r>
        <w:rPr>
          <w:rFonts w:ascii="Book Antiqua" w:eastAsia="Book Antiqua" w:hAnsi="Book Antiqua" w:cs="Book Antiqua"/>
          <w:color w:val="000000"/>
        </w:rPr>
        <w:t xml:space="preserve">, Feihel D, Miller KM, Itzkowitz SH, Freedman JS, Kornacki S, Cohen LB, Bamji ND, Bodian CA, Aisenberg J. A morphologic analysis of sessile serrated polyps observed during routine colonoscopy (with video). </w:t>
      </w:r>
      <w:r>
        <w:rPr>
          <w:rFonts w:ascii="Book Antiqua" w:eastAsia="Book Antiqua" w:hAnsi="Book Antiqua" w:cs="Book Antiqua"/>
          <w:i/>
          <w:color w:val="000000"/>
        </w:rPr>
        <w:t>Gastrointest Endosc</w:t>
      </w:r>
      <w:r>
        <w:rPr>
          <w:rFonts w:ascii="Book Antiqua" w:eastAsia="Book Antiqua" w:hAnsi="Book Antiqua" w:cs="Book Antiqua"/>
          <w:color w:val="000000"/>
        </w:rPr>
        <w:t xml:space="preserve"> 2011; </w:t>
      </w:r>
      <w:r>
        <w:rPr>
          <w:rFonts w:ascii="Book Antiqua" w:eastAsia="Book Antiqua" w:hAnsi="Book Antiqua" w:cs="Book Antiqua"/>
          <w:b/>
          <w:color w:val="000000"/>
        </w:rPr>
        <w:t>74</w:t>
      </w:r>
      <w:r>
        <w:rPr>
          <w:rFonts w:ascii="Book Antiqua" w:eastAsia="Book Antiqua" w:hAnsi="Book Antiqua" w:cs="Book Antiqua"/>
          <w:color w:val="000000"/>
        </w:rPr>
        <w:t>: 1360-1368 [PMID: 22018553 DOI: 10.1016/j.gie.2011.08.008]</w:t>
      </w:r>
    </w:p>
    <w:p w14:paraId="120FF716" w14:textId="77777777" w:rsidR="00BB2FD5" w:rsidRDefault="00112DF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24 </w:t>
      </w:r>
      <w:r>
        <w:rPr>
          <w:rFonts w:ascii="Book Antiqua" w:eastAsia="Book Antiqua" w:hAnsi="Book Antiqua" w:cs="Book Antiqua"/>
          <w:b/>
          <w:color w:val="000000"/>
        </w:rPr>
        <w:t>Watabe H</w:t>
      </w:r>
      <w:r>
        <w:rPr>
          <w:rFonts w:ascii="Book Antiqua" w:eastAsia="Book Antiqua" w:hAnsi="Book Antiqua" w:cs="Book Antiqua"/>
          <w:color w:val="000000"/>
        </w:rPr>
        <w:t xml:space="preserve">, Yamaji Y, Okamoto M, Kondo S, Ohta M, Ikenoue T, Kato J, Togo G, Matsumura M, Yoshida H, Kawabe T, Omata M. Risk assessment for delayed hemorrhagic complication of colonic polypectomy: polyp-related factors and patient-related factors. </w:t>
      </w:r>
      <w:r>
        <w:rPr>
          <w:rFonts w:ascii="Book Antiqua" w:eastAsia="Book Antiqua" w:hAnsi="Book Antiqua" w:cs="Book Antiqua"/>
          <w:i/>
          <w:color w:val="000000"/>
        </w:rPr>
        <w:t>Gastrointest Endosc</w:t>
      </w:r>
      <w:r>
        <w:rPr>
          <w:rFonts w:ascii="Book Antiqua" w:eastAsia="Book Antiqua" w:hAnsi="Book Antiqua" w:cs="Book Antiqua"/>
          <w:color w:val="000000"/>
        </w:rPr>
        <w:t xml:space="preserve"> 2006; </w:t>
      </w:r>
      <w:r>
        <w:rPr>
          <w:rFonts w:ascii="Book Antiqua" w:eastAsia="Book Antiqua" w:hAnsi="Book Antiqua" w:cs="Book Antiqua"/>
          <w:b/>
          <w:color w:val="000000"/>
        </w:rPr>
        <w:t>64</w:t>
      </w:r>
      <w:r>
        <w:rPr>
          <w:rFonts w:ascii="Book Antiqua" w:eastAsia="Book Antiqua" w:hAnsi="Book Antiqua" w:cs="Book Antiqua"/>
          <w:color w:val="000000"/>
        </w:rPr>
        <w:t>: 73-78 [PMID: 16813806 DOI: 10.1016/j.gie.2006.02.054]</w:t>
      </w:r>
    </w:p>
    <w:p w14:paraId="0986C111" w14:textId="77777777" w:rsidR="00BB2FD5" w:rsidRDefault="00112DF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25 </w:t>
      </w:r>
      <w:r>
        <w:rPr>
          <w:rFonts w:ascii="Book Antiqua" w:eastAsia="Book Antiqua" w:hAnsi="Book Antiqua" w:cs="Book Antiqua"/>
          <w:b/>
          <w:color w:val="000000"/>
        </w:rPr>
        <w:t>Buchner AM</w:t>
      </w:r>
      <w:r>
        <w:rPr>
          <w:rFonts w:ascii="Book Antiqua" w:eastAsia="Book Antiqua" w:hAnsi="Book Antiqua" w:cs="Book Antiqua"/>
          <w:color w:val="000000"/>
        </w:rPr>
        <w:t xml:space="preserve">, Guarner-Argente C, Ginsberg GG. Outcomes of EMR of defiant colorectal lesions directed to an endoscopy referral center. </w:t>
      </w:r>
      <w:r>
        <w:rPr>
          <w:rFonts w:ascii="Book Antiqua" w:eastAsia="Book Antiqua" w:hAnsi="Book Antiqua" w:cs="Book Antiqua"/>
          <w:i/>
          <w:color w:val="000000"/>
        </w:rPr>
        <w:t>Gastrointest Endosc</w:t>
      </w:r>
      <w:r>
        <w:rPr>
          <w:rFonts w:ascii="Book Antiqua" w:eastAsia="Book Antiqua" w:hAnsi="Book Antiqua" w:cs="Book Antiqua"/>
          <w:color w:val="000000"/>
        </w:rPr>
        <w:t xml:space="preserve"> 2012; </w:t>
      </w:r>
      <w:r>
        <w:rPr>
          <w:rFonts w:ascii="Book Antiqua" w:eastAsia="Book Antiqua" w:hAnsi="Book Antiqua" w:cs="Book Antiqua"/>
          <w:b/>
          <w:color w:val="000000"/>
        </w:rPr>
        <w:t>76</w:t>
      </w:r>
      <w:r>
        <w:rPr>
          <w:rFonts w:ascii="Book Antiqua" w:eastAsia="Book Antiqua" w:hAnsi="Book Antiqua" w:cs="Book Antiqua"/>
          <w:color w:val="000000"/>
        </w:rPr>
        <w:t>: 255-263 [PMID: 22657404 DOI: 10.1016/j.gie.2012.02.060]</w:t>
      </w:r>
    </w:p>
    <w:p w14:paraId="11A953E3" w14:textId="77777777" w:rsidR="00BB2FD5" w:rsidRDefault="00112DF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26 </w:t>
      </w:r>
      <w:r>
        <w:rPr>
          <w:rFonts w:ascii="Book Antiqua" w:eastAsia="Book Antiqua" w:hAnsi="Book Antiqua" w:cs="Book Antiqua"/>
          <w:b/>
          <w:color w:val="000000"/>
        </w:rPr>
        <w:t>Nakajima T</w:t>
      </w:r>
      <w:r>
        <w:rPr>
          <w:rFonts w:ascii="Book Antiqua" w:eastAsia="Book Antiqua" w:hAnsi="Book Antiqua" w:cs="Book Antiqua"/>
          <w:color w:val="000000"/>
        </w:rPr>
        <w:t xml:space="preserve">, Saito Y, Tanaka S, Iishi H, Kudo SE, Ikematsu H, Igarashi M, Saitoh Y, Inoue Y, Kobayashi K, Hisasbe T, Matsuda T, Ishikawa H, Sugihara K. Current status of endoscopic resection strategy for large, early colorectal neoplasia in Japan. </w:t>
      </w:r>
      <w:r>
        <w:rPr>
          <w:rFonts w:ascii="Book Antiqua" w:eastAsia="Book Antiqua" w:hAnsi="Book Antiqua" w:cs="Book Antiqua"/>
          <w:i/>
          <w:color w:val="000000"/>
        </w:rPr>
        <w:t>Surg Endosc</w:t>
      </w:r>
      <w:r>
        <w:rPr>
          <w:rFonts w:ascii="Book Antiqua" w:eastAsia="Book Antiqua" w:hAnsi="Book Antiqua" w:cs="Book Antiqua"/>
          <w:color w:val="000000"/>
        </w:rPr>
        <w:t xml:space="preserve"> 2013; </w:t>
      </w:r>
      <w:r>
        <w:rPr>
          <w:rFonts w:ascii="Book Antiqua" w:eastAsia="Book Antiqua" w:hAnsi="Book Antiqua" w:cs="Book Antiqua"/>
          <w:b/>
          <w:color w:val="000000"/>
        </w:rPr>
        <w:t>27</w:t>
      </w:r>
      <w:r>
        <w:rPr>
          <w:rFonts w:ascii="Book Antiqua" w:eastAsia="Book Antiqua" w:hAnsi="Book Antiqua" w:cs="Book Antiqua"/>
          <w:color w:val="000000"/>
        </w:rPr>
        <w:t>: 3262-3270 [PMID: 23508817 DOI: 10.1007/s00464-013-2903-x]</w:t>
      </w:r>
    </w:p>
    <w:p w14:paraId="2803F379" w14:textId="77777777" w:rsidR="00BB2FD5" w:rsidRDefault="00112DF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27 </w:t>
      </w:r>
      <w:r>
        <w:rPr>
          <w:rFonts w:ascii="Book Antiqua" w:eastAsia="Book Antiqua" w:hAnsi="Book Antiqua" w:cs="Book Antiqua"/>
          <w:b/>
          <w:color w:val="000000"/>
        </w:rPr>
        <w:t>Watanabe T</w:t>
      </w:r>
      <w:r>
        <w:rPr>
          <w:rFonts w:ascii="Book Antiqua" w:eastAsia="Book Antiqua" w:hAnsi="Book Antiqua" w:cs="Book Antiqua"/>
          <w:color w:val="000000"/>
        </w:rPr>
        <w:t xml:space="preserve">, Itabashi M, Shimada Y, Tanaka S, Ito Y, Ajioka Y, Hamaguchi T, Hyodo I, Igarashi M, Ishida H, Ishihara S, Ishiguro M, Kanemitsu Y, Kokudo N, Muro K, Ochiai A, Oguchi M, Ohkura Y, Saito Y, Sakai Y, Ueno H, Yoshino T, Boku N, Fujimori T, Koinuma N, Morita T, Nishimura G, Sakata Y, Takahashi K, Tsuruta O, Yamaguchi T, Yoshida M, Yamaguchi N, Kotake K, Sugihara K; Japanese Society for Cancer of the Colon and Rectum. Japanese Society for Cancer of the Colon and Rectum (JSCCR) Guidelines 2014 for treatment of colorectal cancer. </w:t>
      </w:r>
      <w:r>
        <w:rPr>
          <w:rFonts w:ascii="Book Antiqua" w:eastAsia="Book Antiqua" w:hAnsi="Book Antiqua" w:cs="Book Antiqua"/>
          <w:i/>
          <w:color w:val="000000"/>
        </w:rPr>
        <w:t>Int J Clin Oncol</w:t>
      </w:r>
      <w:r>
        <w:rPr>
          <w:rFonts w:ascii="Book Antiqua" w:eastAsia="Book Antiqua" w:hAnsi="Book Antiqua" w:cs="Book Antiqua"/>
          <w:color w:val="000000"/>
        </w:rPr>
        <w:t xml:space="preserve"> 2015; </w:t>
      </w:r>
      <w:r>
        <w:rPr>
          <w:rFonts w:ascii="Book Antiqua" w:eastAsia="Book Antiqua" w:hAnsi="Book Antiqua" w:cs="Book Antiqua"/>
          <w:b/>
          <w:color w:val="000000"/>
        </w:rPr>
        <w:t>20</w:t>
      </w:r>
      <w:r>
        <w:rPr>
          <w:rFonts w:ascii="Book Antiqua" w:eastAsia="Book Antiqua" w:hAnsi="Book Antiqua" w:cs="Book Antiqua"/>
          <w:color w:val="000000"/>
        </w:rPr>
        <w:t>: 207-239 [PMID: 25782566 DOI: 10.1007/s10147-015-0801-z]</w:t>
      </w:r>
    </w:p>
    <w:p w14:paraId="3AA031CA" w14:textId="77777777" w:rsidR="00BB2FD5" w:rsidRDefault="00112DF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28 </w:t>
      </w:r>
      <w:r>
        <w:rPr>
          <w:rFonts w:ascii="Book Antiqua" w:eastAsia="Book Antiqua" w:hAnsi="Book Antiqua" w:cs="Book Antiqua"/>
          <w:b/>
          <w:color w:val="000000"/>
        </w:rPr>
        <w:t>Rodrigues JP</w:t>
      </w:r>
      <w:r>
        <w:rPr>
          <w:rFonts w:ascii="Book Antiqua" w:eastAsia="Book Antiqua" w:hAnsi="Book Antiqua" w:cs="Book Antiqua"/>
          <w:color w:val="000000"/>
        </w:rPr>
        <w:t xml:space="preserve">, Pinho R, Sousa M, Silva JC, Gomes C, Carvalho J. Underwater endoscopic mucosal resection of a laterally spreading tumor overlying a previous endoscopic carbon tattoo. </w:t>
      </w:r>
      <w:r>
        <w:rPr>
          <w:rFonts w:ascii="Book Antiqua" w:eastAsia="Book Antiqua" w:hAnsi="Book Antiqua" w:cs="Book Antiqua"/>
          <w:i/>
          <w:color w:val="000000"/>
        </w:rPr>
        <w:t>Endoscopy</w:t>
      </w:r>
      <w:r>
        <w:rPr>
          <w:rFonts w:ascii="Book Antiqua" w:eastAsia="Book Antiqua" w:hAnsi="Book Antiqua" w:cs="Book Antiqua"/>
          <w:color w:val="000000"/>
        </w:rPr>
        <w:t xml:space="preserve"> 2018; </w:t>
      </w:r>
      <w:r>
        <w:rPr>
          <w:rFonts w:ascii="Book Antiqua" w:eastAsia="Book Antiqua" w:hAnsi="Book Antiqua" w:cs="Book Antiqua"/>
          <w:b/>
          <w:color w:val="000000"/>
        </w:rPr>
        <w:t>50</w:t>
      </w:r>
      <w:r>
        <w:rPr>
          <w:rFonts w:ascii="Book Antiqua" w:eastAsia="Book Antiqua" w:hAnsi="Book Antiqua" w:cs="Book Antiqua"/>
          <w:color w:val="000000"/>
        </w:rPr>
        <w:t>: E231-E232 [PMID: 29920618 DOI: 10.1055/a-0624-1362]</w:t>
      </w:r>
    </w:p>
    <w:p w14:paraId="2EA2DB24" w14:textId="77777777" w:rsidR="00BB2FD5" w:rsidRDefault="00112DF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29 </w:t>
      </w:r>
      <w:r>
        <w:rPr>
          <w:rFonts w:ascii="Book Antiqua" w:eastAsia="Book Antiqua" w:hAnsi="Book Antiqua" w:cs="Book Antiqua"/>
          <w:b/>
          <w:color w:val="000000"/>
        </w:rPr>
        <w:t>Takeuchi Y</w:t>
      </w:r>
      <w:r>
        <w:rPr>
          <w:rFonts w:ascii="Book Antiqua" w:eastAsia="Book Antiqua" w:hAnsi="Book Antiqua" w:cs="Book Antiqua"/>
          <w:color w:val="000000"/>
        </w:rPr>
        <w:t xml:space="preserve">, Tonai Y, Ikeda K. Underwater endoscopic mucosal resection for a superficial polyp located at the anastomosis after surgical colectomy. </w:t>
      </w:r>
      <w:r>
        <w:rPr>
          <w:rFonts w:ascii="Book Antiqua" w:eastAsia="Book Antiqua" w:hAnsi="Book Antiqua" w:cs="Book Antiqua"/>
          <w:i/>
          <w:color w:val="000000"/>
        </w:rPr>
        <w:t>Dig Endosc</w:t>
      </w:r>
      <w:r>
        <w:rPr>
          <w:rFonts w:ascii="Book Antiqua" w:eastAsia="Book Antiqua" w:hAnsi="Book Antiqua" w:cs="Book Antiqua"/>
          <w:color w:val="000000"/>
        </w:rPr>
        <w:t xml:space="preserve"> 2017; </w:t>
      </w:r>
      <w:r>
        <w:rPr>
          <w:rFonts w:ascii="Book Antiqua" w:eastAsia="Book Antiqua" w:hAnsi="Book Antiqua" w:cs="Book Antiqua"/>
          <w:b/>
          <w:color w:val="000000"/>
        </w:rPr>
        <w:t>29 Suppl 2</w:t>
      </w:r>
      <w:r>
        <w:rPr>
          <w:rFonts w:ascii="Book Antiqua" w:eastAsia="Book Antiqua" w:hAnsi="Book Antiqua" w:cs="Book Antiqua"/>
          <w:color w:val="000000"/>
        </w:rPr>
        <w:t>: 67-68 [PMID: 28425651 DOI: 10.1111/den.12856]</w:t>
      </w:r>
    </w:p>
    <w:p w14:paraId="38BDB5DE" w14:textId="77777777" w:rsidR="00BB2FD5" w:rsidRDefault="00112DF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30 </w:t>
      </w:r>
      <w:r>
        <w:rPr>
          <w:rFonts w:ascii="Book Antiqua" w:eastAsia="Book Antiqua" w:hAnsi="Book Antiqua" w:cs="Book Antiqua"/>
          <w:b/>
          <w:color w:val="000000"/>
        </w:rPr>
        <w:t>Siau K</w:t>
      </w:r>
      <w:r>
        <w:rPr>
          <w:rFonts w:ascii="Book Antiqua" w:eastAsia="Book Antiqua" w:hAnsi="Book Antiqua" w:cs="Book Antiqua"/>
          <w:color w:val="000000"/>
        </w:rPr>
        <w:t>, Ishaq S, Cadoni S, Kuwai T, Yusuf A, Suzuki N. Feasibility and outcomes of underwater endoscopic mucosal resection for ≥</w:t>
      </w:r>
      <w:r>
        <w:rPr>
          <w:rFonts w:ascii="MS Gothic" w:eastAsia="Book Antiqua" w:hAnsi="MS Gothic" w:cs="MS Gothic"/>
          <w:color w:val="000000"/>
        </w:rPr>
        <w:t> </w:t>
      </w:r>
      <w:r>
        <w:rPr>
          <w:rFonts w:ascii="Book Antiqua" w:eastAsia="Book Antiqua" w:hAnsi="Book Antiqua" w:cs="Book Antiqua"/>
          <w:color w:val="000000"/>
        </w:rPr>
        <w:t xml:space="preserve">10 mm colorectal polyps. </w:t>
      </w:r>
      <w:r>
        <w:rPr>
          <w:rFonts w:ascii="Book Antiqua" w:eastAsia="Book Antiqua" w:hAnsi="Book Antiqua" w:cs="Book Antiqua"/>
          <w:i/>
          <w:color w:val="000000"/>
        </w:rPr>
        <w:t>Surg Endosc</w:t>
      </w:r>
      <w:r>
        <w:rPr>
          <w:rFonts w:ascii="Book Antiqua" w:eastAsia="Book Antiqua" w:hAnsi="Book Antiqua" w:cs="Book Antiqua"/>
          <w:color w:val="000000"/>
        </w:rPr>
        <w:t xml:space="preserve"> 2018; </w:t>
      </w:r>
      <w:r>
        <w:rPr>
          <w:rFonts w:ascii="Book Antiqua" w:eastAsia="Book Antiqua" w:hAnsi="Book Antiqua" w:cs="Book Antiqua"/>
          <w:b/>
          <w:color w:val="000000"/>
        </w:rPr>
        <w:t>32</w:t>
      </w:r>
      <w:r>
        <w:rPr>
          <w:rFonts w:ascii="Book Antiqua" w:eastAsia="Book Antiqua" w:hAnsi="Book Antiqua" w:cs="Book Antiqua"/>
          <w:color w:val="000000"/>
        </w:rPr>
        <w:t>: 2656-2663 [PMID: 29101560 DOI: 10.1007/s00464-017-5960-8]</w:t>
      </w:r>
    </w:p>
    <w:p w14:paraId="60F6CB8E" w14:textId="77777777" w:rsidR="00BB2FD5" w:rsidRDefault="00112DF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31 </w:t>
      </w:r>
      <w:r>
        <w:rPr>
          <w:rFonts w:ascii="Book Antiqua" w:eastAsia="Book Antiqua" w:hAnsi="Book Antiqua" w:cs="Book Antiqua"/>
          <w:b/>
          <w:color w:val="000000"/>
        </w:rPr>
        <w:t>Kono M</w:t>
      </w:r>
      <w:r>
        <w:rPr>
          <w:rFonts w:ascii="Book Antiqua" w:eastAsia="Book Antiqua" w:hAnsi="Book Antiqua" w:cs="Book Antiqua"/>
          <w:color w:val="000000"/>
        </w:rPr>
        <w:t xml:space="preserve">, Takeuchi Y, Higashino K, Uedo N, Ishihara R. Circumferential ileocecal valve removal for a colonic polyp using underwater endoscopic mucosal resection. </w:t>
      </w:r>
      <w:r>
        <w:rPr>
          <w:rFonts w:ascii="Book Antiqua" w:eastAsia="Book Antiqua" w:hAnsi="Book Antiqua" w:cs="Book Antiqua"/>
          <w:i/>
          <w:color w:val="000000"/>
        </w:rPr>
        <w:t>Endoscopy</w:t>
      </w:r>
      <w:r>
        <w:rPr>
          <w:rFonts w:ascii="Book Antiqua" w:eastAsia="Book Antiqua" w:hAnsi="Book Antiqua" w:cs="Book Antiqua"/>
          <w:color w:val="000000"/>
        </w:rPr>
        <w:t xml:space="preserve"> 2020; </w:t>
      </w:r>
      <w:r>
        <w:rPr>
          <w:rFonts w:ascii="Book Antiqua" w:eastAsia="Book Antiqua" w:hAnsi="Book Antiqua" w:cs="Book Antiqua"/>
          <w:b/>
          <w:color w:val="000000"/>
        </w:rPr>
        <w:t>52</w:t>
      </w:r>
      <w:r>
        <w:rPr>
          <w:rFonts w:ascii="Book Antiqua" w:eastAsia="Book Antiqua" w:hAnsi="Book Antiqua" w:cs="Book Antiqua"/>
          <w:color w:val="000000"/>
        </w:rPr>
        <w:t>: E7-E8 [PMID: 31398739 DOI: 10.1055/a-0977-2516]</w:t>
      </w:r>
    </w:p>
    <w:p w14:paraId="76EBF27B" w14:textId="77777777" w:rsidR="00BB2FD5" w:rsidRDefault="00112DF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32 </w:t>
      </w:r>
      <w:r>
        <w:rPr>
          <w:rFonts w:ascii="Book Antiqua" w:eastAsia="Book Antiqua" w:hAnsi="Book Antiqua" w:cs="Book Antiqua"/>
          <w:b/>
          <w:color w:val="000000"/>
        </w:rPr>
        <w:t>Rodríguez Sánchez J</w:t>
      </w:r>
      <w:r>
        <w:rPr>
          <w:rFonts w:ascii="Book Antiqua" w:eastAsia="Book Antiqua" w:hAnsi="Book Antiqua" w:cs="Book Antiqua"/>
          <w:color w:val="000000"/>
        </w:rPr>
        <w:t xml:space="preserve">, Úbeda Muñoz M, de la Santa Belda E, Olivencia Palomar P, Olmedo Camacho J. Underwater hybrid endoscopic submucosal dissection in a rectal polyp: a case report of a new application of "underwater endoscopy". </w:t>
      </w:r>
      <w:r>
        <w:rPr>
          <w:rFonts w:ascii="Book Antiqua" w:eastAsia="Book Antiqua" w:hAnsi="Book Antiqua" w:cs="Book Antiqua"/>
          <w:i/>
          <w:color w:val="000000"/>
        </w:rPr>
        <w:t>Rev Esp Enferm Dig</w:t>
      </w:r>
      <w:r>
        <w:rPr>
          <w:rFonts w:ascii="Book Antiqua" w:eastAsia="Book Antiqua" w:hAnsi="Book Antiqua" w:cs="Book Antiqua"/>
          <w:color w:val="000000"/>
        </w:rPr>
        <w:t xml:space="preserve"> 2018; </w:t>
      </w:r>
      <w:r>
        <w:rPr>
          <w:rFonts w:ascii="Book Antiqua" w:eastAsia="Book Antiqua" w:hAnsi="Book Antiqua" w:cs="Book Antiqua"/>
          <w:b/>
          <w:color w:val="000000"/>
        </w:rPr>
        <w:t>110</w:t>
      </w:r>
      <w:r>
        <w:rPr>
          <w:rFonts w:ascii="Book Antiqua" w:eastAsia="Book Antiqua" w:hAnsi="Book Antiqua" w:cs="Book Antiqua"/>
          <w:color w:val="000000"/>
        </w:rPr>
        <w:t>: 62-64 [PMID: 29168640 DOI: 10.17235/reed.2017.5181/2017]</w:t>
      </w:r>
    </w:p>
    <w:p w14:paraId="54C2481A" w14:textId="77777777" w:rsidR="00BB2FD5" w:rsidRDefault="00112DF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33 </w:t>
      </w:r>
      <w:r>
        <w:rPr>
          <w:rFonts w:ascii="Book Antiqua" w:eastAsia="Book Antiqua" w:hAnsi="Book Antiqua" w:cs="Book Antiqua"/>
          <w:b/>
          <w:color w:val="000000"/>
        </w:rPr>
        <w:t>Wang AY</w:t>
      </w:r>
      <w:r>
        <w:rPr>
          <w:rFonts w:ascii="Book Antiqua" w:eastAsia="Book Antiqua" w:hAnsi="Book Antiqua" w:cs="Book Antiqua"/>
          <w:color w:val="000000"/>
        </w:rPr>
        <w:t xml:space="preserve">, Flynn MM, Patrie JT, Cox DG, Bleibel W, Mann JA, Sauer BG, Shami VM. Underwater endoscopic mucosal resection of colorectal neoplasia is easily learned, efficacious, and safe. </w:t>
      </w:r>
      <w:r>
        <w:rPr>
          <w:rFonts w:ascii="Book Antiqua" w:eastAsia="Book Antiqua" w:hAnsi="Book Antiqua" w:cs="Book Antiqua"/>
          <w:i/>
          <w:color w:val="000000"/>
        </w:rPr>
        <w:t>Surg Endosc</w:t>
      </w:r>
      <w:r>
        <w:rPr>
          <w:rFonts w:ascii="Book Antiqua" w:eastAsia="Book Antiqua" w:hAnsi="Book Antiqua" w:cs="Book Antiqua"/>
          <w:color w:val="000000"/>
        </w:rPr>
        <w:t xml:space="preserve"> 2014; </w:t>
      </w:r>
      <w:r>
        <w:rPr>
          <w:rFonts w:ascii="Book Antiqua" w:eastAsia="Book Antiqua" w:hAnsi="Book Antiqua" w:cs="Book Antiqua"/>
          <w:b/>
          <w:color w:val="000000"/>
        </w:rPr>
        <w:t>28</w:t>
      </w:r>
      <w:r>
        <w:rPr>
          <w:rFonts w:ascii="Book Antiqua" w:eastAsia="Book Antiqua" w:hAnsi="Book Antiqua" w:cs="Book Antiqua"/>
          <w:color w:val="000000"/>
        </w:rPr>
        <w:t>: 1348-1354 [PMID: 24232051 DOI: 10.1007/s00464-013-3297-5]</w:t>
      </w:r>
    </w:p>
    <w:p w14:paraId="3C54EB2E" w14:textId="77777777" w:rsidR="00BB2FD5" w:rsidRDefault="00112DF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34 </w:t>
      </w:r>
      <w:r>
        <w:rPr>
          <w:rFonts w:ascii="Book Antiqua" w:eastAsia="Book Antiqua" w:hAnsi="Book Antiqua" w:cs="Book Antiqua"/>
          <w:b/>
          <w:color w:val="000000"/>
        </w:rPr>
        <w:t>Uedo N</w:t>
      </w:r>
      <w:r>
        <w:rPr>
          <w:rFonts w:ascii="Book Antiqua" w:eastAsia="Book Antiqua" w:hAnsi="Book Antiqua" w:cs="Book Antiqua"/>
          <w:color w:val="000000"/>
        </w:rPr>
        <w:t xml:space="preserve">, Nemeth A, Johansson GW, Toth E, Thorlacius H. Underwater endoscopic mucosal resection of large colorectal lesions. </w:t>
      </w:r>
      <w:r>
        <w:rPr>
          <w:rFonts w:ascii="Book Antiqua" w:eastAsia="Book Antiqua" w:hAnsi="Book Antiqua" w:cs="Book Antiqua"/>
          <w:i/>
          <w:color w:val="000000"/>
        </w:rPr>
        <w:t>Endoscopy</w:t>
      </w:r>
      <w:r>
        <w:rPr>
          <w:rFonts w:ascii="Book Antiqua" w:eastAsia="Book Antiqua" w:hAnsi="Book Antiqua" w:cs="Book Antiqua"/>
          <w:color w:val="000000"/>
        </w:rPr>
        <w:t xml:space="preserve"> 2015; </w:t>
      </w:r>
      <w:r>
        <w:rPr>
          <w:rFonts w:ascii="Book Antiqua" w:eastAsia="Book Antiqua" w:hAnsi="Book Antiqua" w:cs="Book Antiqua"/>
          <w:b/>
          <w:color w:val="000000"/>
        </w:rPr>
        <w:t>47</w:t>
      </w:r>
      <w:r>
        <w:rPr>
          <w:rFonts w:ascii="Book Antiqua" w:eastAsia="Book Antiqua" w:hAnsi="Book Antiqua" w:cs="Book Antiqua"/>
          <w:color w:val="000000"/>
        </w:rPr>
        <w:t>: 172-174 [PMID: 25314326 DOI: 10.1055/s-0034-1390749]</w:t>
      </w:r>
    </w:p>
    <w:p w14:paraId="20CF2678" w14:textId="77777777" w:rsidR="00BB2FD5" w:rsidRDefault="00112DF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35 </w:t>
      </w:r>
      <w:r>
        <w:rPr>
          <w:rFonts w:ascii="Book Antiqua" w:eastAsia="Book Antiqua" w:hAnsi="Book Antiqua" w:cs="Book Antiqua"/>
          <w:b/>
          <w:color w:val="000000"/>
        </w:rPr>
        <w:t>Shichijo S</w:t>
      </w:r>
      <w:r>
        <w:rPr>
          <w:rFonts w:ascii="Book Antiqua" w:eastAsia="Book Antiqua" w:hAnsi="Book Antiqua" w:cs="Book Antiqua"/>
          <w:color w:val="000000"/>
        </w:rPr>
        <w:t xml:space="preserve">, Takeuchi Y, Uedo N, Ishihara R. Management of local recurrence after endoscopic resection of neoplastic colonic polyps. </w:t>
      </w:r>
      <w:r>
        <w:rPr>
          <w:rFonts w:ascii="Book Antiqua" w:eastAsia="Book Antiqua" w:hAnsi="Book Antiqua" w:cs="Book Antiqua"/>
          <w:i/>
          <w:color w:val="000000"/>
        </w:rPr>
        <w:t>World J Gastrointest Endosc</w:t>
      </w:r>
      <w:r>
        <w:rPr>
          <w:rFonts w:ascii="Book Antiqua" w:eastAsia="Book Antiqua" w:hAnsi="Book Antiqua" w:cs="Book Antiqua"/>
          <w:color w:val="000000"/>
        </w:rPr>
        <w:t xml:space="preserve"> 2018; </w:t>
      </w:r>
      <w:r>
        <w:rPr>
          <w:rFonts w:ascii="Book Antiqua" w:eastAsia="Book Antiqua" w:hAnsi="Book Antiqua" w:cs="Book Antiqua"/>
          <w:b/>
          <w:color w:val="000000"/>
        </w:rPr>
        <w:t>10</w:t>
      </w:r>
      <w:r>
        <w:rPr>
          <w:rFonts w:ascii="Book Antiqua" w:eastAsia="Book Antiqua" w:hAnsi="Book Antiqua" w:cs="Book Antiqua"/>
          <w:color w:val="000000"/>
        </w:rPr>
        <w:t>: 378-382 [PMID: 30631401 DOI: 10.4253/wjge.v10.i12.378]</w:t>
      </w:r>
    </w:p>
    <w:p w14:paraId="46038C81" w14:textId="77777777" w:rsidR="00BB2FD5" w:rsidRDefault="00112DF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36 </w:t>
      </w:r>
      <w:r>
        <w:rPr>
          <w:rFonts w:ascii="Book Antiqua" w:eastAsia="Book Antiqua" w:hAnsi="Book Antiqua" w:cs="Book Antiqua"/>
          <w:b/>
          <w:color w:val="000000"/>
        </w:rPr>
        <w:t>Hassan C</w:t>
      </w:r>
      <w:r>
        <w:rPr>
          <w:rFonts w:ascii="Book Antiqua" w:eastAsia="Book Antiqua" w:hAnsi="Book Antiqua" w:cs="Book Antiqua"/>
          <w:color w:val="000000"/>
        </w:rPr>
        <w:t xml:space="preserve">, Repici A, Sharma P, Correale L, Zullo A, Bretthauer M, Senore C, Spada C, Bellisario C, Bhandari P, Rex DK. Efficacy and safety of endoscopic resection of large colorectal polyps: a systematic review and meta-analysis. </w:t>
      </w:r>
      <w:r>
        <w:rPr>
          <w:rFonts w:ascii="Book Antiqua" w:eastAsia="Book Antiqua" w:hAnsi="Book Antiqua" w:cs="Book Antiqua"/>
          <w:i/>
          <w:color w:val="000000"/>
        </w:rPr>
        <w:t>Gut</w:t>
      </w:r>
      <w:r>
        <w:rPr>
          <w:rFonts w:ascii="Book Antiqua" w:eastAsia="Book Antiqua" w:hAnsi="Book Antiqua" w:cs="Book Antiqua"/>
          <w:color w:val="000000"/>
        </w:rPr>
        <w:t xml:space="preserve"> 2016; </w:t>
      </w:r>
      <w:r>
        <w:rPr>
          <w:rFonts w:ascii="Book Antiqua" w:eastAsia="Book Antiqua" w:hAnsi="Book Antiqua" w:cs="Book Antiqua"/>
          <w:b/>
          <w:color w:val="000000"/>
        </w:rPr>
        <w:t>65</w:t>
      </w:r>
      <w:r>
        <w:rPr>
          <w:rFonts w:ascii="Book Antiqua" w:eastAsia="Book Antiqua" w:hAnsi="Book Antiqua" w:cs="Book Antiqua"/>
          <w:color w:val="000000"/>
        </w:rPr>
        <w:t>: 806-820 [PMID: 25681402 DOI: 10.1136/gutjnl-2014-308481]</w:t>
      </w:r>
    </w:p>
    <w:p w14:paraId="11321293" w14:textId="77777777" w:rsidR="00BB2FD5" w:rsidRDefault="00112DF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37 </w:t>
      </w:r>
      <w:r>
        <w:rPr>
          <w:rFonts w:ascii="Book Antiqua" w:eastAsia="Book Antiqua" w:hAnsi="Book Antiqua" w:cs="Book Antiqua"/>
          <w:b/>
          <w:color w:val="000000"/>
        </w:rPr>
        <w:t>Ponugoti PL</w:t>
      </w:r>
      <w:r>
        <w:rPr>
          <w:rFonts w:ascii="Book Antiqua" w:eastAsia="Book Antiqua" w:hAnsi="Book Antiqua" w:cs="Book Antiqua"/>
          <w:color w:val="000000"/>
        </w:rPr>
        <w:t xml:space="preserve">, Rex DK. Perforation during underwater EMR. </w:t>
      </w:r>
      <w:r>
        <w:rPr>
          <w:rFonts w:ascii="Book Antiqua" w:eastAsia="Book Antiqua" w:hAnsi="Book Antiqua" w:cs="Book Antiqua"/>
          <w:i/>
          <w:color w:val="000000"/>
        </w:rPr>
        <w:t>Gastrointest Endosc</w:t>
      </w:r>
      <w:r>
        <w:rPr>
          <w:rFonts w:ascii="Book Antiqua" w:eastAsia="Book Antiqua" w:hAnsi="Book Antiqua" w:cs="Book Antiqua"/>
          <w:color w:val="000000"/>
        </w:rPr>
        <w:t xml:space="preserve"> 2016; </w:t>
      </w:r>
      <w:r>
        <w:rPr>
          <w:rFonts w:ascii="Book Antiqua" w:eastAsia="Book Antiqua" w:hAnsi="Book Antiqua" w:cs="Book Antiqua"/>
          <w:b/>
          <w:color w:val="000000"/>
        </w:rPr>
        <w:t>84</w:t>
      </w:r>
      <w:r>
        <w:rPr>
          <w:rFonts w:ascii="Book Antiqua" w:eastAsia="Book Antiqua" w:hAnsi="Book Antiqua" w:cs="Book Antiqua"/>
          <w:color w:val="000000"/>
        </w:rPr>
        <w:t>: 543-544 [PMID: 26802197 DOI: 10.1016/j.gie.2016.01.021]</w:t>
      </w:r>
    </w:p>
    <w:p w14:paraId="48FF3F7C" w14:textId="77777777" w:rsidR="00BB2FD5" w:rsidRDefault="00112DF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38 </w:t>
      </w:r>
      <w:r>
        <w:rPr>
          <w:rFonts w:ascii="Book Antiqua" w:eastAsia="Book Antiqua" w:hAnsi="Book Antiqua" w:cs="Book Antiqua"/>
          <w:b/>
          <w:color w:val="000000"/>
        </w:rPr>
        <w:t>Yoshii S</w:t>
      </w:r>
      <w:r>
        <w:rPr>
          <w:rFonts w:ascii="Book Antiqua" w:eastAsia="Book Antiqua" w:hAnsi="Book Antiqua" w:cs="Book Antiqua"/>
          <w:color w:val="000000"/>
        </w:rPr>
        <w:t xml:space="preserve">, Hayashi Y, Matsui T, Aoi K, Tsujii Y, Iijima H, Takehara T. "Underwater" endoscopic submucosal dissection: a novel technique for complete resection of a rectal neuroendocrine tumor. </w:t>
      </w:r>
      <w:r>
        <w:rPr>
          <w:rFonts w:ascii="Book Antiqua" w:eastAsia="Book Antiqua" w:hAnsi="Book Antiqua" w:cs="Book Antiqua"/>
          <w:i/>
          <w:color w:val="000000"/>
        </w:rPr>
        <w:t>Endoscopy</w:t>
      </w:r>
      <w:r>
        <w:rPr>
          <w:rFonts w:ascii="Book Antiqua" w:eastAsia="Book Antiqua" w:hAnsi="Book Antiqua" w:cs="Book Antiqua"/>
          <w:color w:val="000000"/>
        </w:rPr>
        <w:t xml:space="preserve"> 2016; </w:t>
      </w:r>
      <w:r>
        <w:rPr>
          <w:rFonts w:ascii="Book Antiqua" w:eastAsia="Book Antiqua" w:hAnsi="Book Antiqua" w:cs="Book Antiqua"/>
          <w:b/>
          <w:color w:val="000000"/>
        </w:rPr>
        <w:t>48 Suppl 1 UCTN</w:t>
      </w:r>
      <w:r>
        <w:rPr>
          <w:rFonts w:ascii="Book Antiqua" w:eastAsia="Book Antiqua" w:hAnsi="Book Antiqua" w:cs="Book Antiqua"/>
          <w:color w:val="000000"/>
        </w:rPr>
        <w:t>: E67-E68 [PMID: 26890547 DOI: 10.1055/s-0042-101855]</w:t>
      </w:r>
    </w:p>
    <w:p w14:paraId="033346BA" w14:textId="77777777" w:rsidR="00BB2FD5" w:rsidRDefault="00112DF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39 </w:t>
      </w:r>
      <w:r>
        <w:rPr>
          <w:rFonts w:ascii="Book Antiqua" w:eastAsia="Book Antiqua" w:hAnsi="Book Antiqua" w:cs="Book Antiqua"/>
          <w:b/>
          <w:color w:val="000000"/>
        </w:rPr>
        <w:t>Akasaka T</w:t>
      </w:r>
      <w:r>
        <w:rPr>
          <w:rFonts w:ascii="Book Antiqua" w:eastAsia="Book Antiqua" w:hAnsi="Book Antiqua" w:cs="Book Antiqua"/>
          <w:color w:val="000000"/>
        </w:rPr>
        <w:t xml:space="preserve">, Takeuchi Y, Uedo N, Ishihara R, Iishi H. "Underwater" endoscopic submucosal dissection for superficial esophageal neoplasms. </w:t>
      </w:r>
      <w:r>
        <w:rPr>
          <w:rFonts w:ascii="Book Antiqua" w:eastAsia="Book Antiqua" w:hAnsi="Book Antiqua" w:cs="Book Antiqua"/>
          <w:i/>
          <w:color w:val="000000"/>
        </w:rPr>
        <w:t>Gastrointest Endosc</w:t>
      </w:r>
      <w:r>
        <w:rPr>
          <w:rFonts w:ascii="Book Antiqua" w:eastAsia="Book Antiqua" w:hAnsi="Book Antiqua" w:cs="Book Antiqua"/>
          <w:color w:val="000000"/>
        </w:rPr>
        <w:t xml:space="preserve"> 2017; </w:t>
      </w:r>
      <w:r>
        <w:rPr>
          <w:rFonts w:ascii="Book Antiqua" w:eastAsia="Book Antiqua" w:hAnsi="Book Antiqua" w:cs="Book Antiqua"/>
          <w:b/>
          <w:color w:val="000000"/>
        </w:rPr>
        <w:t>85</w:t>
      </w:r>
      <w:r>
        <w:rPr>
          <w:rFonts w:ascii="Book Antiqua" w:eastAsia="Book Antiqua" w:hAnsi="Book Antiqua" w:cs="Book Antiqua"/>
          <w:color w:val="000000"/>
        </w:rPr>
        <w:t>: 251-252 [PMID: 27449194 DOI: 10.1016/j.gie.2016.07.018]</w:t>
      </w:r>
    </w:p>
    <w:p w14:paraId="612CF668" w14:textId="77777777" w:rsidR="00BB2FD5" w:rsidRDefault="00112DF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40 </w:t>
      </w:r>
      <w:r>
        <w:rPr>
          <w:rFonts w:ascii="Book Antiqua" w:eastAsia="Book Antiqua" w:hAnsi="Book Antiqua" w:cs="Book Antiqua"/>
          <w:b/>
          <w:color w:val="000000"/>
        </w:rPr>
        <w:t>Binmoeller KF</w:t>
      </w:r>
      <w:r>
        <w:rPr>
          <w:rFonts w:ascii="Book Antiqua" w:eastAsia="Book Antiqua" w:hAnsi="Book Antiqua" w:cs="Book Antiqua"/>
          <w:color w:val="000000"/>
        </w:rPr>
        <w:t xml:space="preserve">, Bhat YM. Underwater peroral endoscopic myotomy. </w:t>
      </w:r>
      <w:r>
        <w:rPr>
          <w:rFonts w:ascii="Book Antiqua" w:eastAsia="Book Antiqua" w:hAnsi="Book Antiqua" w:cs="Book Antiqua"/>
          <w:i/>
          <w:color w:val="000000"/>
        </w:rPr>
        <w:t>Gastrointest Endosc</w:t>
      </w:r>
      <w:r>
        <w:rPr>
          <w:rFonts w:ascii="Book Antiqua" w:eastAsia="Book Antiqua" w:hAnsi="Book Antiqua" w:cs="Book Antiqua"/>
          <w:color w:val="000000"/>
        </w:rPr>
        <w:t xml:space="preserve"> 2016; </w:t>
      </w:r>
      <w:r>
        <w:rPr>
          <w:rFonts w:ascii="Book Antiqua" w:eastAsia="Book Antiqua" w:hAnsi="Book Antiqua" w:cs="Book Antiqua"/>
          <w:b/>
          <w:color w:val="000000"/>
        </w:rPr>
        <w:t>83</w:t>
      </w:r>
      <w:r>
        <w:rPr>
          <w:rFonts w:ascii="Book Antiqua" w:eastAsia="Book Antiqua" w:hAnsi="Book Antiqua" w:cs="Book Antiqua"/>
          <w:color w:val="000000"/>
        </w:rPr>
        <w:t>: 454 [PMID: 26358328 DOI: 10.1016/j.gie.2015.08.066]</w:t>
      </w:r>
    </w:p>
    <w:p w14:paraId="14F5CD67" w14:textId="77777777" w:rsidR="00BB2FD5" w:rsidRDefault="00112DF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41 </w:t>
      </w:r>
      <w:r>
        <w:rPr>
          <w:rFonts w:ascii="Book Antiqua" w:eastAsia="Book Antiqua" w:hAnsi="Book Antiqua" w:cs="Book Antiqua"/>
          <w:b/>
          <w:color w:val="000000"/>
        </w:rPr>
        <w:t>Cammarota G</w:t>
      </w:r>
      <w:r>
        <w:rPr>
          <w:rFonts w:ascii="Book Antiqua" w:eastAsia="Book Antiqua" w:hAnsi="Book Antiqua" w:cs="Book Antiqua"/>
          <w:color w:val="000000"/>
        </w:rPr>
        <w:t xml:space="preserve">, Cesaro P, Cazzato A, Cianci R, Fedeli P, Ojetti V, Certo M, Sparano L, Giovannini S, Larocca LM, Vecchio FM, Gasbarrini G. The water immersion technique is easy to learn for routine use during EGD for duodenal villous evaluation: a single-center 2-year experience. </w:t>
      </w:r>
      <w:r>
        <w:rPr>
          <w:rFonts w:ascii="Book Antiqua" w:eastAsia="Book Antiqua" w:hAnsi="Book Antiqua" w:cs="Book Antiqua"/>
          <w:i/>
          <w:color w:val="000000"/>
        </w:rPr>
        <w:t>J Clin Gastroenterol</w:t>
      </w:r>
      <w:r>
        <w:rPr>
          <w:rFonts w:ascii="Book Antiqua" w:eastAsia="Book Antiqua" w:hAnsi="Book Antiqua" w:cs="Book Antiqua"/>
          <w:color w:val="000000"/>
        </w:rPr>
        <w:t xml:space="preserve"> 2009; </w:t>
      </w:r>
      <w:r>
        <w:rPr>
          <w:rFonts w:ascii="Book Antiqua" w:eastAsia="Book Antiqua" w:hAnsi="Book Antiqua" w:cs="Book Antiqua"/>
          <w:b/>
          <w:color w:val="000000"/>
        </w:rPr>
        <w:t>43</w:t>
      </w:r>
      <w:r>
        <w:rPr>
          <w:rFonts w:ascii="Book Antiqua" w:eastAsia="Book Antiqua" w:hAnsi="Book Antiqua" w:cs="Book Antiqua"/>
          <w:color w:val="000000"/>
        </w:rPr>
        <w:t>: 244-248 [PMID: 18813029 DOI: 10.1097/MCG.0b013e318159c654]</w:t>
      </w:r>
    </w:p>
    <w:p w14:paraId="34D595D3" w14:textId="77777777" w:rsidR="00BB2FD5" w:rsidRDefault="00112DF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42 </w:t>
      </w:r>
      <w:r>
        <w:rPr>
          <w:rFonts w:ascii="Book Antiqua" w:eastAsia="Book Antiqua" w:hAnsi="Book Antiqua" w:cs="Book Antiqua"/>
          <w:b/>
          <w:color w:val="000000"/>
        </w:rPr>
        <w:t>Asge Technology Committee</w:t>
      </w:r>
      <w:r>
        <w:rPr>
          <w:rFonts w:ascii="Book Antiqua" w:eastAsia="Book Antiqua" w:hAnsi="Book Antiqua" w:cs="Book Antiqua"/>
          <w:color w:val="000000"/>
        </w:rPr>
        <w:t xml:space="preserve">, Kantsevoy SV, Adler DG, Conway JD, Diehl DL, Farraye FA, Kwon R, Mamula P, Rodriguez S, Shah RJ, Wong Kee Song LM, Tierney WM. Endoscopic mucosal resection and endoscopic submucosal dissection. </w:t>
      </w:r>
      <w:r>
        <w:rPr>
          <w:rFonts w:ascii="Book Antiqua" w:eastAsia="Book Antiqua" w:hAnsi="Book Antiqua" w:cs="Book Antiqua"/>
          <w:i/>
          <w:color w:val="000000"/>
        </w:rPr>
        <w:t>Gastrointest Endosc</w:t>
      </w:r>
      <w:r>
        <w:rPr>
          <w:rFonts w:ascii="Book Antiqua" w:eastAsia="Book Antiqua" w:hAnsi="Book Antiqua" w:cs="Book Antiqua"/>
          <w:color w:val="000000"/>
        </w:rPr>
        <w:t xml:space="preserve"> 2008; </w:t>
      </w:r>
      <w:r>
        <w:rPr>
          <w:rFonts w:ascii="Book Antiqua" w:eastAsia="Book Antiqua" w:hAnsi="Book Antiqua" w:cs="Book Antiqua"/>
          <w:b/>
          <w:color w:val="000000"/>
        </w:rPr>
        <w:t>68</w:t>
      </w:r>
      <w:r>
        <w:rPr>
          <w:rFonts w:ascii="Book Antiqua" w:eastAsia="Book Antiqua" w:hAnsi="Book Antiqua" w:cs="Book Antiqua"/>
          <w:color w:val="000000"/>
        </w:rPr>
        <w:t>: 11-18 [PMID: 18577472 DOI: 10.1016/j.gie.2008.01.037]</w:t>
      </w:r>
      <w:bookmarkEnd w:id="69"/>
      <w:bookmarkEnd w:id="70"/>
    </w:p>
    <w:p w14:paraId="00E19C58" w14:textId="77777777" w:rsidR="00BB2FD5" w:rsidRDefault="00112DFD">
      <w:pPr>
        <w:adjustRightInd w:val="0"/>
        <w:snapToGrid w:val="0"/>
        <w:spacing w:line="360" w:lineRule="auto"/>
        <w:jc w:val="both"/>
        <w:rPr>
          <w:rFonts w:ascii="Book Antiqua" w:hAnsi="Book Antiqua"/>
        </w:rPr>
        <w:sectPr w:rsidR="00BB2FD5">
          <w:type w:val="continuous"/>
          <w:pgSz w:w="12240" w:h="15840"/>
          <w:pgMar w:top="1440" w:right="1800" w:bottom="1440" w:left="1800" w:header="720" w:footer="720" w:gutter="0"/>
          <w:cols w:space="720"/>
          <w:docGrid w:linePitch="360"/>
        </w:sectPr>
      </w:pPr>
      <w:r>
        <w:rPr>
          <w:rFonts w:ascii="Book Antiqua" w:hAnsi="Book Antiqua"/>
        </w:rPr>
        <w:br w:type="page"/>
      </w:r>
    </w:p>
    <w:p w14:paraId="6A378387"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b/>
          <w:color w:val="000000"/>
        </w:rPr>
        <w:t>Footnotes</w:t>
      </w:r>
    </w:p>
    <w:p w14:paraId="6EBDCEA6"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Xuan Huang has received research funding from Traditional Chinese Medicine Science and Technology Program of Zhejiang Province of China </w:t>
      </w:r>
      <w:r>
        <w:rPr>
          <w:rFonts w:ascii="Book Antiqua" w:eastAsia="宋体" w:hAnsi="Book Antiqua" w:cs="宋体"/>
          <w:color w:val="000000"/>
          <w:lang w:eastAsia="zh-CN"/>
        </w:rPr>
        <w:t>(</w:t>
      </w:r>
      <w:r>
        <w:rPr>
          <w:rFonts w:ascii="Book Antiqua" w:eastAsia="Book Antiqua" w:hAnsi="Book Antiqua" w:cs="Book Antiqua"/>
          <w:color w:val="000000"/>
        </w:rPr>
        <w:t>2016ZA089</w:t>
      </w:r>
      <w:r>
        <w:rPr>
          <w:rFonts w:ascii="Book Antiqua" w:eastAsia="宋体" w:hAnsi="Book Antiqua" w:cs="宋体"/>
          <w:color w:val="000000"/>
          <w:lang w:eastAsia="zh-CN"/>
        </w:rPr>
        <w:t>)</w:t>
      </w:r>
      <w:r>
        <w:rPr>
          <w:rFonts w:ascii="Book Antiqua" w:eastAsia="Book Antiqua" w:hAnsi="Book Antiqua" w:cs="Book Antiqua"/>
          <w:color w:val="000000"/>
        </w:rPr>
        <w:t xml:space="preserve"> and Zhejiang Medical and Health Science and Technology Project </w:t>
      </w:r>
      <w:r>
        <w:rPr>
          <w:rFonts w:ascii="Book Antiqua" w:eastAsia="Book Antiqua" w:hAnsi="Book Antiqua" w:cs="Book Antiqua"/>
          <w:color w:val="000000"/>
          <w:lang w:eastAsia="zh-CN"/>
        </w:rPr>
        <w:t>(</w:t>
      </w:r>
      <w:r>
        <w:rPr>
          <w:rFonts w:ascii="Book Antiqua" w:eastAsia="Book Antiqua" w:hAnsi="Book Antiqua" w:cs="Book Antiqua"/>
        </w:rPr>
        <w:t>2020</w:t>
      </w:r>
      <w:r>
        <w:rPr>
          <w:rFonts w:ascii="Book Antiqua" w:eastAsia="Book Antiqua" w:hAnsi="Book Antiqua" w:cs="Book Antiqua"/>
          <w:lang w:eastAsia="zh-Hans"/>
        </w:rPr>
        <w:t>RC025</w:t>
      </w:r>
      <w:r>
        <w:rPr>
          <w:rFonts w:ascii="Book Antiqua" w:eastAsia="Book Antiqua" w:hAnsi="Book Antiqua" w:cs="Book Antiqua"/>
          <w:lang w:eastAsia="zh-CN"/>
        </w:rPr>
        <w:t>)</w:t>
      </w:r>
      <w:r>
        <w:rPr>
          <w:rFonts w:ascii="Book Antiqua" w:eastAsia="Book Antiqua" w:hAnsi="Book Antiqua" w:cs="Book Antiqua"/>
          <w:color w:val="000000"/>
        </w:rPr>
        <w:t>.</w:t>
      </w:r>
    </w:p>
    <w:p w14:paraId="02AD9E3C" w14:textId="77777777" w:rsidR="00BB2FD5" w:rsidRDefault="00BB2FD5">
      <w:pPr>
        <w:adjustRightInd w:val="0"/>
        <w:snapToGrid w:val="0"/>
        <w:spacing w:line="360" w:lineRule="auto"/>
        <w:jc w:val="both"/>
        <w:rPr>
          <w:rFonts w:ascii="Book Antiqua" w:hAnsi="Book Antiqua"/>
        </w:rPr>
      </w:pPr>
    </w:p>
    <w:p w14:paraId="599C14E0"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PRISMA 2009 Checklist statement: </w:t>
      </w:r>
      <w:r>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53D9AE3E" w14:textId="77777777" w:rsidR="00BB2FD5" w:rsidRDefault="00BB2FD5">
      <w:pPr>
        <w:adjustRightInd w:val="0"/>
        <w:snapToGrid w:val="0"/>
        <w:spacing w:line="360" w:lineRule="auto"/>
        <w:jc w:val="both"/>
        <w:rPr>
          <w:rFonts w:ascii="Book Antiqua" w:hAnsi="Book Antiqua"/>
        </w:rPr>
      </w:pPr>
    </w:p>
    <w:p w14:paraId="60FE5B56"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902D1C7" w14:textId="77777777" w:rsidR="00BB2FD5" w:rsidRDefault="00BB2FD5">
      <w:pPr>
        <w:adjustRightInd w:val="0"/>
        <w:snapToGrid w:val="0"/>
        <w:spacing w:line="360" w:lineRule="auto"/>
        <w:jc w:val="both"/>
        <w:rPr>
          <w:rFonts w:ascii="Book Antiqua" w:hAnsi="Book Antiqua"/>
        </w:rPr>
      </w:pPr>
    </w:p>
    <w:p w14:paraId="1C368979"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7344BA0D" w14:textId="77777777" w:rsidR="00BB2FD5" w:rsidRDefault="00BB2FD5">
      <w:pPr>
        <w:adjustRightInd w:val="0"/>
        <w:snapToGrid w:val="0"/>
        <w:spacing w:line="360" w:lineRule="auto"/>
        <w:jc w:val="both"/>
        <w:rPr>
          <w:rFonts w:ascii="Book Antiqua" w:hAnsi="Book Antiqua"/>
        </w:rPr>
      </w:pPr>
    </w:p>
    <w:p w14:paraId="2EA26F6C"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16, 2020</w:t>
      </w:r>
    </w:p>
    <w:p w14:paraId="28994EE3"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29, 2020</w:t>
      </w:r>
    </w:p>
    <w:p w14:paraId="1C742D57" w14:textId="2BC8D8AE"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Article in press: </w:t>
      </w:r>
      <w:r w:rsidR="00AF20CB">
        <w:rPr>
          <w:rFonts w:ascii="Book Antiqua" w:hAnsi="Book Antiqua" w:cs="Arial"/>
          <w:color w:val="000000" w:themeColor="text1"/>
          <w:shd w:val="clear" w:color="auto" w:fill="FFFFFF"/>
        </w:rPr>
        <w:t>September 3, 2020</w:t>
      </w:r>
    </w:p>
    <w:p w14:paraId="2FFC1209" w14:textId="77777777" w:rsidR="00BB2FD5" w:rsidRDefault="00BB2FD5">
      <w:pPr>
        <w:adjustRightInd w:val="0"/>
        <w:snapToGrid w:val="0"/>
        <w:spacing w:line="360" w:lineRule="auto"/>
        <w:jc w:val="both"/>
        <w:rPr>
          <w:rFonts w:ascii="Book Antiqua" w:hAnsi="Book Antiqua"/>
        </w:rPr>
      </w:pPr>
    </w:p>
    <w:p w14:paraId="744CBC48"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微软雅黑" w:hAnsi="Book Antiqua" w:cs="宋体"/>
        </w:rPr>
        <w:t>Medicine, research and experimental</w:t>
      </w:r>
    </w:p>
    <w:p w14:paraId="3EE00E44"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4902723"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193A3ACA"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color w:val="000000"/>
        </w:rPr>
        <w:t>Grade A (Excellent): 0</w:t>
      </w:r>
    </w:p>
    <w:p w14:paraId="69EE1F63"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color w:val="000000"/>
        </w:rPr>
        <w:t>Grade B (Very good): B</w:t>
      </w:r>
    </w:p>
    <w:p w14:paraId="6F370828"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color w:val="000000"/>
        </w:rPr>
        <w:t>Grade C (Good): C, C</w:t>
      </w:r>
    </w:p>
    <w:p w14:paraId="2D40D5A7"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color w:val="000000"/>
        </w:rPr>
        <w:t>Grade D (Fair): 0</w:t>
      </w:r>
    </w:p>
    <w:p w14:paraId="2B512988"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color w:val="000000"/>
        </w:rPr>
        <w:t>Grade E (Poor): 0</w:t>
      </w:r>
    </w:p>
    <w:p w14:paraId="63B31348" w14:textId="77777777" w:rsidR="00BB2FD5" w:rsidRDefault="00BB2FD5">
      <w:pPr>
        <w:adjustRightInd w:val="0"/>
        <w:snapToGrid w:val="0"/>
        <w:spacing w:line="360" w:lineRule="auto"/>
        <w:jc w:val="both"/>
        <w:rPr>
          <w:rFonts w:ascii="Book Antiqua" w:hAnsi="Book Antiqua"/>
        </w:rPr>
      </w:pPr>
    </w:p>
    <w:p w14:paraId="67F798EE" w14:textId="77050115" w:rsidR="00BB2FD5" w:rsidRPr="00AC7CAC" w:rsidRDefault="00112DFD">
      <w:pPr>
        <w:adjustRightInd w:val="0"/>
        <w:snapToGrid w:val="0"/>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de-León-Rendón J, Schietroma M, Wijaya R</w:t>
      </w:r>
      <w:r>
        <w:rPr>
          <w:rFonts w:ascii="Book Antiqua" w:eastAsia="Book Antiqua" w:hAnsi="Book Antiqua" w:cs="Book Antiqua"/>
          <w:b/>
          <w:color w:val="000000"/>
        </w:rPr>
        <w:t xml:space="preserve"> S-Editor: </w:t>
      </w:r>
      <w:r>
        <w:rPr>
          <w:rFonts w:ascii="Book Antiqua" w:hAnsi="Book Antiqua" w:cs="Book Antiqua"/>
          <w:color w:val="000000"/>
          <w:lang w:eastAsia="zh-CN"/>
        </w:rPr>
        <w:t>Zhang</w:t>
      </w:r>
      <w:r>
        <w:rPr>
          <w:rFonts w:ascii="Book Antiqua" w:eastAsia="Book Antiqua" w:hAnsi="Book Antiqua" w:cs="Book Antiqua"/>
          <w:color w:val="000000"/>
        </w:rPr>
        <w:t xml:space="preserve"> </w:t>
      </w:r>
      <w:r>
        <w:rPr>
          <w:rFonts w:ascii="Book Antiqua" w:hAnsi="Book Antiqua" w:cs="Book Antiqua"/>
          <w:color w:val="000000"/>
          <w:lang w:eastAsia="zh-CN"/>
        </w:rPr>
        <w:t>L</w:t>
      </w:r>
      <w:r>
        <w:rPr>
          <w:rFonts w:ascii="Book Antiqua" w:eastAsia="Book Antiqua" w:hAnsi="Book Antiqua" w:cs="Book Antiqua"/>
          <w:b/>
          <w:color w:val="000000"/>
        </w:rPr>
        <w:t xml:space="preserve"> L-Editor: </w:t>
      </w:r>
      <w:r>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r w:rsidR="00AC7CAC" w:rsidRPr="00AC7CAC">
        <w:rPr>
          <w:rFonts w:ascii="Book Antiqua" w:hAnsi="Book Antiqua" w:cs="Book Antiqua" w:hint="eastAsia"/>
          <w:color w:val="000000"/>
          <w:lang w:eastAsia="zh-CN"/>
        </w:rPr>
        <w:t>W</w:t>
      </w:r>
      <w:r w:rsidR="00AC7CAC" w:rsidRPr="00AC7CAC">
        <w:rPr>
          <w:rFonts w:ascii="Book Antiqua" w:hAnsi="Book Antiqua" w:cs="Book Antiqua"/>
          <w:color w:val="000000"/>
          <w:lang w:eastAsia="zh-CN"/>
        </w:rPr>
        <w:t>a</w:t>
      </w:r>
      <w:r w:rsidR="00AC7CAC" w:rsidRPr="00AC7CAC">
        <w:rPr>
          <w:rFonts w:ascii="Book Antiqua" w:hAnsi="Book Antiqua" w:cs="Book Antiqua" w:hint="eastAsia"/>
          <w:color w:val="000000"/>
          <w:lang w:eastAsia="zh-CN"/>
        </w:rPr>
        <w:t>ng LL</w:t>
      </w:r>
    </w:p>
    <w:p w14:paraId="20B2D242" w14:textId="77777777" w:rsidR="00BB2FD5" w:rsidRDefault="00BB2FD5">
      <w:pPr>
        <w:adjustRightInd w:val="0"/>
        <w:snapToGrid w:val="0"/>
        <w:spacing w:line="360" w:lineRule="auto"/>
        <w:jc w:val="both"/>
        <w:rPr>
          <w:rFonts w:ascii="Book Antiqua" w:hAnsi="Book Antiqua"/>
        </w:rPr>
        <w:sectPr w:rsidR="00BB2FD5">
          <w:type w:val="continuous"/>
          <w:pgSz w:w="12240" w:h="15840"/>
          <w:pgMar w:top="1440" w:right="1800" w:bottom="1440" w:left="1800" w:header="720" w:footer="720" w:gutter="0"/>
          <w:cols w:space="720"/>
          <w:docGrid w:linePitch="360"/>
        </w:sectPr>
      </w:pPr>
    </w:p>
    <w:p w14:paraId="0738E1C1"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b/>
          <w:color w:val="000000"/>
        </w:rPr>
        <w:br w:type="page"/>
        <w:t>Figure Legends</w:t>
      </w:r>
    </w:p>
    <w:p w14:paraId="2C39704C" w14:textId="77777777" w:rsidR="00BB2FD5" w:rsidRDefault="00112DFD">
      <w:pPr>
        <w:adjustRightInd w:val="0"/>
        <w:snapToGrid w:val="0"/>
        <w:spacing w:line="360" w:lineRule="auto"/>
        <w:jc w:val="both"/>
        <w:rPr>
          <w:rFonts w:ascii="Book Antiqua" w:hAnsi="Book Antiqua"/>
        </w:rPr>
      </w:pPr>
      <w:r>
        <w:rPr>
          <w:rFonts w:ascii="Book Antiqua" w:hAnsi="Book Antiqua"/>
          <w:noProof/>
          <w:lang w:eastAsia="zh-CN"/>
        </w:rPr>
        <w:drawing>
          <wp:inline distT="0" distB="0" distL="0" distR="0" wp14:anchorId="02D733DF" wp14:editId="14EDA1D2">
            <wp:extent cx="6488430" cy="36499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501722" cy="3657219"/>
                    </a:xfrm>
                    <a:prstGeom prst="rect">
                      <a:avLst/>
                    </a:prstGeom>
                  </pic:spPr>
                </pic:pic>
              </a:graphicData>
            </a:graphic>
          </wp:inline>
        </w:drawing>
      </w:r>
    </w:p>
    <w:p w14:paraId="3295DC84" w14:textId="77777777" w:rsidR="00BB2FD5" w:rsidRDefault="00112DFD">
      <w:pPr>
        <w:adjustRightInd w:val="0"/>
        <w:snapToGrid w:val="0"/>
        <w:spacing w:line="360" w:lineRule="auto"/>
        <w:jc w:val="both"/>
        <w:rPr>
          <w:rFonts w:ascii="Book Antiqua" w:hAnsi="Book Antiqua"/>
          <w:b/>
        </w:rPr>
      </w:pPr>
      <w:r>
        <w:rPr>
          <w:rFonts w:ascii="Book Antiqua" w:eastAsia="Book Antiqua" w:hAnsi="Book Antiqua" w:cs="Book Antiqua"/>
          <w:b/>
          <w:color w:val="000000"/>
        </w:rPr>
        <w:t>Figure 1 Retrieval flowchart of the articles.</w:t>
      </w:r>
    </w:p>
    <w:p w14:paraId="3A3983AD" w14:textId="77777777" w:rsidR="00BB2FD5" w:rsidRDefault="00112DF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Pr>
          <w:rFonts w:ascii="Book Antiqua" w:hAnsi="Book Antiqua"/>
          <w:noProof/>
          <w:lang w:eastAsia="zh-CN"/>
        </w:rPr>
        <w:drawing>
          <wp:inline distT="0" distB="0" distL="114300" distR="114300" wp14:anchorId="7B65A46B" wp14:editId="05619762">
            <wp:extent cx="5774690" cy="18313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5801616" cy="1840252"/>
                    </a:xfrm>
                    <a:prstGeom prst="rect">
                      <a:avLst/>
                    </a:prstGeom>
                    <a:noFill/>
                    <a:ln>
                      <a:noFill/>
                    </a:ln>
                  </pic:spPr>
                </pic:pic>
              </a:graphicData>
            </a:graphic>
          </wp:inline>
        </w:drawing>
      </w:r>
    </w:p>
    <w:p w14:paraId="4B7D67E0"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Figure 2 Meta-analysis of the </w:t>
      </w:r>
      <w:r>
        <w:rPr>
          <w:rFonts w:ascii="Book Antiqua" w:eastAsia="Book Antiqua" w:hAnsi="Book Antiqua" w:cs="Book Antiqua"/>
          <w:b/>
          <w:i/>
          <w:color w:val="000000"/>
        </w:rPr>
        <w:t>en bloc</w:t>
      </w:r>
      <w:r>
        <w:rPr>
          <w:rFonts w:ascii="Book Antiqua" w:eastAsia="Book Antiqua" w:hAnsi="Book Antiqua" w:cs="Book Antiqua"/>
          <w:b/>
          <w:color w:val="000000"/>
        </w:rPr>
        <w:t xml:space="preserve"> resections rate between underwater endoscopic mucosal resection group and endoscopic mucosal resection group</w:t>
      </w:r>
      <w:r>
        <w:rPr>
          <w:rFonts w:ascii="Book Antiqua" w:eastAsia="Book Antiqua" w:hAnsi="Book Antiqua" w:cs="Book Antiqua"/>
          <w:color w:val="000000"/>
        </w:rPr>
        <w:t>.</w:t>
      </w:r>
      <w:r>
        <w:rPr>
          <w:rFonts w:ascii="Book Antiqua" w:eastAsia="Book Antiqua" w:hAnsi="Book Antiqua" w:cs="Book Antiqua"/>
          <w:b/>
          <w:color w:val="000000"/>
        </w:rPr>
        <w:t xml:space="preserve"> </w:t>
      </w:r>
      <w:r>
        <w:rPr>
          <w:rFonts w:ascii="Book Antiqua" w:hAnsi="Book Antiqua" w:cs="Book Antiqua"/>
          <w:color w:val="000000"/>
          <w:lang w:eastAsia="zh-CN"/>
        </w:rPr>
        <w:t>UEMR:</w:t>
      </w:r>
      <w:r>
        <w:rPr>
          <w:rFonts w:ascii="Book Antiqua" w:eastAsia="Book Antiqua" w:hAnsi="Book Antiqua" w:cs="Book Antiqua"/>
          <w:color w:val="000000"/>
        </w:rPr>
        <w:t xml:space="preserve"> Underwater endoscopic mucosal resection; EMR: Endoscopic mucosal resection.</w:t>
      </w:r>
    </w:p>
    <w:p w14:paraId="2506E906" w14:textId="77777777" w:rsidR="00BB2FD5" w:rsidRDefault="00112DFD">
      <w:pPr>
        <w:adjustRightInd w:val="0"/>
        <w:snapToGrid w:val="0"/>
        <w:spacing w:line="360" w:lineRule="auto"/>
        <w:jc w:val="both"/>
        <w:rPr>
          <w:rFonts w:ascii="Book Antiqua" w:eastAsia="Book Antiqua" w:hAnsi="Book Antiqua" w:cs="Book Antiqua"/>
          <w:color w:val="000000"/>
        </w:rPr>
      </w:pPr>
      <w:r>
        <w:rPr>
          <w:rFonts w:ascii="Book Antiqua" w:hAnsi="Book Antiqua" w:cs="Book Antiqua"/>
          <w:color w:val="000000"/>
          <w:lang w:eastAsia="zh-CN"/>
        </w:rPr>
        <w:t xml:space="preserve"> </w:t>
      </w:r>
      <w:r>
        <w:rPr>
          <w:rFonts w:ascii="Book Antiqua" w:eastAsia="Book Antiqua" w:hAnsi="Book Antiqua" w:cs="Book Antiqua"/>
          <w:color w:val="000000"/>
        </w:rPr>
        <w:br w:type="page"/>
      </w:r>
      <w:r>
        <w:rPr>
          <w:rFonts w:ascii="Book Antiqua" w:hAnsi="Book Antiqua"/>
          <w:noProof/>
          <w:lang w:eastAsia="zh-CN"/>
        </w:rPr>
        <w:drawing>
          <wp:inline distT="0" distB="0" distL="114300" distR="114300" wp14:anchorId="0BF93D7B" wp14:editId="73B857F8">
            <wp:extent cx="5862955" cy="3010535"/>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1"/>
                    <a:stretch>
                      <a:fillRect/>
                    </a:stretch>
                  </pic:blipFill>
                  <pic:spPr>
                    <a:xfrm>
                      <a:off x="0" y="0"/>
                      <a:ext cx="5875813" cy="3017233"/>
                    </a:xfrm>
                    <a:prstGeom prst="rect">
                      <a:avLst/>
                    </a:prstGeom>
                    <a:noFill/>
                    <a:ln>
                      <a:noFill/>
                    </a:ln>
                  </pic:spPr>
                </pic:pic>
              </a:graphicData>
            </a:graphic>
          </wp:inline>
        </w:drawing>
      </w:r>
    </w:p>
    <w:p w14:paraId="15264D32"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Figure 3 Sub-group analysis of the </w:t>
      </w:r>
      <w:r>
        <w:rPr>
          <w:rFonts w:ascii="Book Antiqua" w:eastAsia="Book Antiqua" w:hAnsi="Book Antiqua" w:cs="Book Antiqua"/>
          <w:b/>
          <w:i/>
          <w:color w:val="000000"/>
        </w:rPr>
        <w:t>en bloc</w:t>
      </w:r>
      <w:r>
        <w:rPr>
          <w:rFonts w:ascii="Book Antiqua" w:eastAsia="Book Antiqua" w:hAnsi="Book Antiqua" w:cs="Book Antiqua"/>
          <w:b/>
          <w:color w:val="000000"/>
        </w:rPr>
        <w:t xml:space="preserve"> resections rate between underwater endoscopic mucosal resection group and endoscopic mucosal resection group</w:t>
      </w:r>
      <w:r>
        <w:rPr>
          <w:rFonts w:ascii="Book Antiqua" w:eastAsia="Book Antiqua" w:hAnsi="Book Antiqua" w:cs="Book Antiqua"/>
          <w:color w:val="000000"/>
        </w:rPr>
        <w:t>.</w:t>
      </w:r>
      <w:r>
        <w:rPr>
          <w:rFonts w:ascii="Book Antiqua" w:hAnsi="Book Antiqua" w:cs="Book Antiqua"/>
          <w:color w:val="000000"/>
          <w:lang w:eastAsia="zh-CN"/>
        </w:rPr>
        <w:t xml:space="preserve"> UEMR:</w:t>
      </w:r>
      <w:r>
        <w:rPr>
          <w:rFonts w:ascii="Book Antiqua" w:eastAsia="Book Antiqua" w:hAnsi="Book Antiqua" w:cs="Book Antiqua"/>
          <w:color w:val="000000"/>
        </w:rPr>
        <w:t xml:space="preserve"> Underwater endoscopic mucosal resection; EMR: Endoscopic mucosal resection.</w:t>
      </w:r>
    </w:p>
    <w:p w14:paraId="796C2B9C" w14:textId="77777777" w:rsidR="00BB2FD5" w:rsidRDefault="00BB2FD5">
      <w:pPr>
        <w:adjustRightInd w:val="0"/>
        <w:snapToGrid w:val="0"/>
        <w:spacing w:line="360" w:lineRule="auto"/>
        <w:jc w:val="both"/>
        <w:rPr>
          <w:rFonts w:ascii="Book Antiqua" w:hAnsi="Book Antiqua"/>
          <w:b/>
        </w:rPr>
      </w:pPr>
    </w:p>
    <w:p w14:paraId="45D20592" w14:textId="77777777" w:rsidR="00BB2FD5" w:rsidRDefault="00112DF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Pr>
          <w:rFonts w:ascii="Book Antiqua" w:hAnsi="Book Antiqua"/>
          <w:noProof/>
          <w:lang w:eastAsia="zh-CN"/>
        </w:rPr>
        <w:drawing>
          <wp:inline distT="0" distB="0" distL="114300" distR="114300" wp14:anchorId="0213BF75" wp14:editId="4AA49071">
            <wp:extent cx="5927090" cy="1906270"/>
            <wp:effectExtent l="0" t="0" r="0" b="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2"/>
                    <a:stretch>
                      <a:fillRect/>
                    </a:stretch>
                  </pic:blipFill>
                  <pic:spPr>
                    <a:xfrm>
                      <a:off x="0" y="0"/>
                      <a:ext cx="5937975" cy="1909913"/>
                    </a:xfrm>
                    <a:prstGeom prst="rect">
                      <a:avLst/>
                    </a:prstGeom>
                    <a:noFill/>
                    <a:ln>
                      <a:noFill/>
                    </a:ln>
                  </pic:spPr>
                </pic:pic>
              </a:graphicData>
            </a:graphic>
          </wp:inline>
        </w:drawing>
      </w:r>
    </w:p>
    <w:p w14:paraId="252C7C4C"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b/>
          <w:color w:val="000000"/>
        </w:rPr>
        <w:t>Figure 4 Meta-analysis of the incidence of adverse events between underwater endoscopic mucosal resection group and endoscopic mucosal resection group</w:t>
      </w:r>
      <w:r>
        <w:rPr>
          <w:rFonts w:ascii="Book Antiqua" w:eastAsia="Book Antiqua" w:hAnsi="Book Antiqua" w:cs="Book Antiqua"/>
          <w:color w:val="000000"/>
        </w:rPr>
        <w:t>.</w:t>
      </w:r>
      <w:r>
        <w:rPr>
          <w:rFonts w:ascii="Book Antiqua" w:hAnsi="Book Antiqua" w:cs="Book Antiqua"/>
          <w:color w:val="000000"/>
          <w:lang w:eastAsia="zh-CN"/>
        </w:rPr>
        <w:t xml:space="preserve"> UEMR:</w:t>
      </w:r>
      <w:r>
        <w:rPr>
          <w:rFonts w:ascii="Book Antiqua" w:eastAsia="Book Antiqua" w:hAnsi="Book Antiqua" w:cs="Book Antiqua"/>
          <w:color w:val="000000"/>
        </w:rPr>
        <w:t xml:space="preserve"> Underwater endoscopic mucosal resection; EMR: Endoscopic mucosal resection.</w:t>
      </w:r>
    </w:p>
    <w:p w14:paraId="36A92350" w14:textId="77777777" w:rsidR="00BB2FD5" w:rsidRDefault="00BB2FD5">
      <w:pPr>
        <w:adjustRightInd w:val="0"/>
        <w:snapToGrid w:val="0"/>
        <w:spacing w:line="360" w:lineRule="auto"/>
        <w:jc w:val="both"/>
        <w:rPr>
          <w:rFonts w:ascii="Book Antiqua" w:hAnsi="Book Antiqua"/>
        </w:rPr>
      </w:pPr>
    </w:p>
    <w:p w14:paraId="11BC7447" w14:textId="77777777" w:rsidR="00BB2FD5" w:rsidRDefault="00112DF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Pr>
          <w:rFonts w:ascii="Book Antiqua" w:hAnsi="Book Antiqua"/>
          <w:noProof/>
          <w:lang w:eastAsia="zh-CN"/>
        </w:rPr>
        <w:drawing>
          <wp:inline distT="0" distB="0" distL="114300" distR="114300" wp14:anchorId="26462DF3" wp14:editId="6D5D8729">
            <wp:extent cx="5855335" cy="1322070"/>
            <wp:effectExtent l="0" t="0" r="0" b="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13"/>
                    <a:stretch>
                      <a:fillRect/>
                    </a:stretch>
                  </pic:blipFill>
                  <pic:spPr>
                    <a:xfrm>
                      <a:off x="0" y="0"/>
                      <a:ext cx="5905158" cy="1333928"/>
                    </a:xfrm>
                    <a:prstGeom prst="rect">
                      <a:avLst/>
                    </a:prstGeom>
                    <a:noFill/>
                    <a:ln>
                      <a:noFill/>
                    </a:ln>
                  </pic:spPr>
                </pic:pic>
              </a:graphicData>
            </a:graphic>
          </wp:inline>
        </w:drawing>
      </w:r>
    </w:p>
    <w:p w14:paraId="05C594D3"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b/>
          <w:color w:val="000000"/>
        </w:rPr>
        <w:t>Figure 5 Meta-analysis of the postoperative recurrence rate at 3-6 mo between underwater endoscopic mucosal resection group and endoscopic mucosal resection group</w:t>
      </w:r>
      <w:r>
        <w:rPr>
          <w:rFonts w:ascii="Book Antiqua" w:eastAsia="Book Antiqua" w:hAnsi="Book Antiqua" w:cs="Book Antiqua"/>
          <w:color w:val="000000"/>
        </w:rPr>
        <w:t>. </w:t>
      </w:r>
      <w:r>
        <w:rPr>
          <w:rFonts w:ascii="Book Antiqua" w:hAnsi="Book Antiqua" w:cs="Book Antiqua"/>
          <w:color w:val="000000"/>
          <w:lang w:eastAsia="zh-CN"/>
        </w:rPr>
        <w:t>UEMR:</w:t>
      </w:r>
      <w:r>
        <w:rPr>
          <w:rFonts w:ascii="Book Antiqua" w:eastAsia="Book Antiqua" w:hAnsi="Book Antiqua" w:cs="Book Antiqua"/>
          <w:color w:val="000000"/>
        </w:rPr>
        <w:t xml:space="preserve"> Underwater endoscopic mucosal resection; EMR: Endoscopic mucosal resection.</w:t>
      </w:r>
    </w:p>
    <w:p w14:paraId="07EB0BA4" w14:textId="77777777" w:rsidR="00BB2FD5" w:rsidRDefault="00112DFD">
      <w:pPr>
        <w:adjustRightInd w:val="0"/>
        <w:snapToGrid w:val="0"/>
        <w:spacing w:line="360" w:lineRule="auto"/>
        <w:jc w:val="both"/>
        <w:rPr>
          <w:rFonts w:ascii="Book Antiqua" w:hAnsi="Book Antiqua"/>
        </w:rPr>
      </w:pPr>
      <w:r>
        <w:rPr>
          <w:rFonts w:ascii="Book Antiqua" w:hAnsi="Book Antiqua"/>
        </w:rPr>
        <w:br w:type="page"/>
      </w:r>
      <w:r>
        <w:rPr>
          <w:rFonts w:ascii="Book Antiqua" w:hAnsi="Book Antiqua"/>
          <w:noProof/>
          <w:lang w:eastAsia="zh-CN"/>
        </w:rPr>
        <w:drawing>
          <wp:inline distT="0" distB="0" distL="114300" distR="114300" wp14:anchorId="38171F77" wp14:editId="6A1EDD89">
            <wp:extent cx="5835650" cy="1438275"/>
            <wp:effectExtent l="0" t="0" r="6350" b="9525"/>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14"/>
                    <a:stretch>
                      <a:fillRect/>
                    </a:stretch>
                  </pic:blipFill>
                  <pic:spPr>
                    <a:xfrm>
                      <a:off x="0" y="0"/>
                      <a:ext cx="5835650" cy="1438275"/>
                    </a:xfrm>
                    <a:prstGeom prst="rect">
                      <a:avLst/>
                    </a:prstGeom>
                    <a:noFill/>
                    <a:ln w="9525">
                      <a:noFill/>
                    </a:ln>
                  </pic:spPr>
                </pic:pic>
              </a:graphicData>
            </a:graphic>
          </wp:inline>
        </w:drawing>
      </w:r>
    </w:p>
    <w:p w14:paraId="5F2A53C4" w14:textId="77777777" w:rsidR="00BB2FD5" w:rsidRDefault="00112DFD">
      <w:pPr>
        <w:adjustRightInd w:val="0"/>
        <w:snapToGrid w:val="0"/>
        <w:spacing w:line="360" w:lineRule="auto"/>
        <w:jc w:val="both"/>
        <w:rPr>
          <w:rFonts w:ascii="Book Antiqua" w:hAnsi="Book Antiqua"/>
        </w:rPr>
      </w:pPr>
      <w:r>
        <w:rPr>
          <w:rFonts w:ascii="Book Antiqua" w:eastAsia="Book Antiqua" w:hAnsi="Book Antiqua" w:cs="Book Antiqua"/>
          <w:b/>
          <w:color w:val="000000"/>
        </w:rPr>
        <w:t>Figure 6 Meta-analysis of the postoperative recurrence rate at 12 mo between underwater endoscopic mucosal resection group and endoscopic mucosal resection group</w:t>
      </w:r>
      <w:r>
        <w:rPr>
          <w:rFonts w:ascii="Book Antiqua" w:eastAsia="Book Antiqua" w:hAnsi="Book Antiqua" w:cs="Book Antiqua"/>
          <w:color w:val="000000"/>
        </w:rPr>
        <w:t>. </w:t>
      </w:r>
      <w:r>
        <w:rPr>
          <w:rFonts w:ascii="Book Antiqua" w:hAnsi="Book Antiqua" w:cs="Book Antiqua"/>
          <w:color w:val="000000"/>
          <w:lang w:eastAsia="zh-CN"/>
        </w:rPr>
        <w:t>UEMR:</w:t>
      </w:r>
      <w:r>
        <w:rPr>
          <w:rFonts w:ascii="Book Antiqua" w:eastAsia="Book Antiqua" w:hAnsi="Book Antiqua" w:cs="Book Antiqua"/>
          <w:color w:val="000000"/>
        </w:rPr>
        <w:t xml:space="preserve"> Underwater endoscopic mucosal resection; EMR: Endoscopic mucosal resection.</w:t>
      </w:r>
    </w:p>
    <w:p w14:paraId="75DC6117" w14:textId="77777777" w:rsidR="00BB2FD5" w:rsidRDefault="00112DFD">
      <w:pPr>
        <w:adjustRightInd w:val="0"/>
        <w:snapToGrid w:val="0"/>
        <w:spacing w:line="360" w:lineRule="auto"/>
        <w:jc w:val="both"/>
        <w:rPr>
          <w:rFonts w:ascii="Book Antiqua" w:hAnsi="Book Antiqua"/>
        </w:rPr>
      </w:pPr>
      <w:r>
        <w:rPr>
          <w:rFonts w:ascii="Book Antiqua" w:hAnsi="Book Antiqua"/>
        </w:rPr>
        <w:br w:type="page"/>
      </w:r>
      <w:r>
        <w:rPr>
          <w:rFonts w:ascii="Book Antiqua" w:hAnsi="Book Antiqua"/>
          <w:noProof/>
          <w:lang w:eastAsia="zh-CN"/>
        </w:rPr>
        <w:drawing>
          <wp:inline distT="0" distB="0" distL="114300" distR="114300" wp14:anchorId="3D25D1A6" wp14:editId="6EE890F6">
            <wp:extent cx="5269230" cy="3512820"/>
            <wp:effectExtent l="0" t="0" r="7620" b="190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5"/>
                    <a:stretch>
                      <a:fillRect/>
                    </a:stretch>
                  </pic:blipFill>
                  <pic:spPr>
                    <a:xfrm>
                      <a:off x="0" y="0"/>
                      <a:ext cx="5269230" cy="3512820"/>
                    </a:xfrm>
                    <a:prstGeom prst="rect">
                      <a:avLst/>
                    </a:prstGeom>
                    <a:noFill/>
                    <a:ln>
                      <a:noFill/>
                    </a:ln>
                  </pic:spPr>
                </pic:pic>
              </a:graphicData>
            </a:graphic>
          </wp:inline>
        </w:drawing>
      </w:r>
    </w:p>
    <w:p w14:paraId="228595DC" w14:textId="77777777" w:rsidR="00BB2FD5" w:rsidRDefault="00112DFD">
      <w:pPr>
        <w:adjustRightInd w:val="0"/>
        <w:snapToGrid w:val="0"/>
        <w:spacing w:line="360" w:lineRule="auto"/>
        <w:jc w:val="both"/>
        <w:rPr>
          <w:rFonts w:ascii="Book Antiqua" w:hAnsi="Book Antiqua"/>
          <w:b/>
        </w:rPr>
      </w:pPr>
      <w:r>
        <w:rPr>
          <w:rFonts w:ascii="Book Antiqua" w:eastAsia="Book Antiqua" w:hAnsi="Book Antiqua" w:cs="Book Antiqua"/>
          <w:b/>
          <w:color w:val="000000"/>
        </w:rPr>
        <w:t xml:space="preserve">Figure 7 Funnel plot for </w:t>
      </w:r>
      <w:r>
        <w:rPr>
          <w:rFonts w:ascii="Book Antiqua" w:eastAsia="Book Antiqua" w:hAnsi="Book Antiqua" w:cs="Book Antiqua"/>
          <w:b/>
          <w:i/>
          <w:color w:val="000000"/>
        </w:rPr>
        <w:t>en bloc</w:t>
      </w:r>
      <w:r>
        <w:rPr>
          <w:rFonts w:ascii="Book Antiqua" w:eastAsia="Book Antiqua" w:hAnsi="Book Antiqua" w:cs="Book Antiqua"/>
          <w:b/>
          <w:color w:val="000000"/>
        </w:rPr>
        <w:t xml:space="preserve"> resections rate.</w:t>
      </w:r>
    </w:p>
    <w:p w14:paraId="79D2DEFA" w14:textId="77777777" w:rsidR="00BB2FD5" w:rsidRDefault="00112DF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Pr>
          <w:rFonts w:ascii="Book Antiqua" w:hAnsi="Book Antiqua"/>
          <w:noProof/>
          <w:lang w:eastAsia="zh-CN"/>
        </w:rPr>
        <w:drawing>
          <wp:inline distT="0" distB="0" distL="114300" distR="114300" wp14:anchorId="6B0E2E64" wp14:editId="1A16AA71">
            <wp:extent cx="5269230" cy="3512820"/>
            <wp:effectExtent l="0" t="0" r="7620" b="1905"/>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pic:cNvPicPr>
                  </pic:nvPicPr>
                  <pic:blipFill>
                    <a:blip r:embed="rId16"/>
                    <a:stretch>
                      <a:fillRect/>
                    </a:stretch>
                  </pic:blipFill>
                  <pic:spPr>
                    <a:xfrm>
                      <a:off x="0" y="0"/>
                      <a:ext cx="5269230" cy="3512820"/>
                    </a:xfrm>
                    <a:prstGeom prst="rect">
                      <a:avLst/>
                    </a:prstGeom>
                    <a:noFill/>
                    <a:ln>
                      <a:noFill/>
                    </a:ln>
                  </pic:spPr>
                </pic:pic>
              </a:graphicData>
            </a:graphic>
          </wp:inline>
        </w:drawing>
      </w:r>
    </w:p>
    <w:p w14:paraId="29C116A8" w14:textId="77777777" w:rsidR="00BB2FD5" w:rsidRDefault="00112DFD">
      <w:pPr>
        <w:adjustRightInd w:val="0"/>
        <w:snapToGrid w:val="0"/>
        <w:spacing w:line="360" w:lineRule="auto"/>
        <w:jc w:val="both"/>
        <w:rPr>
          <w:rFonts w:ascii="Book Antiqua" w:eastAsia="Book Antiqua" w:hAnsi="Book Antiqua" w:cs="Book Antiqua"/>
          <w:b/>
          <w:color w:val="000000"/>
        </w:rPr>
        <w:sectPr w:rsidR="00BB2FD5">
          <w:type w:val="continuous"/>
          <w:pgSz w:w="12240" w:h="15840"/>
          <w:pgMar w:top="1440" w:right="1800" w:bottom="1440" w:left="1800" w:header="720" w:footer="720" w:gutter="0"/>
          <w:cols w:space="720"/>
          <w:docGrid w:linePitch="360"/>
        </w:sectPr>
      </w:pPr>
      <w:r>
        <w:rPr>
          <w:rFonts w:ascii="Book Antiqua" w:eastAsia="Book Antiqua" w:hAnsi="Book Antiqua" w:cs="Book Antiqua"/>
          <w:b/>
          <w:color w:val="000000"/>
        </w:rPr>
        <w:t>Figure 8 Funnel plot for incidence of adverse events.</w:t>
      </w:r>
    </w:p>
    <w:p w14:paraId="6F8EEBFE" w14:textId="77777777" w:rsidR="00BB2FD5" w:rsidRDefault="00112DFD">
      <w:pPr>
        <w:adjustRightInd w:val="0"/>
        <w:snapToGrid w:val="0"/>
        <w:spacing w:line="360" w:lineRule="auto"/>
        <w:ind w:firstLineChars="200" w:firstLine="482"/>
        <w:jc w:val="both"/>
        <w:rPr>
          <w:rFonts w:ascii="Book Antiqua" w:eastAsia="宋体" w:hAnsi="Book Antiqua"/>
          <w:b/>
        </w:rPr>
      </w:pPr>
      <w:r>
        <w:rPr>
          <w:rFonts w:ascii="Book Antiqua" w:eastAsia="宋体" w:hAnsi="Book Antiqua"/>
          <w:b/>
        </w:rPr>
        <w:t>Table 1 Basic characteristics of the enrolled studies</w:t>
      </w:r>
    </w:p>
    <w:tbl>
      <w:tblPr>
        <w:tblStyle w:val="a6"/>
        <w:tblW w:w="13714"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179"/>
        <w:gridCol w:w="953"/>
        <w:gridCol w:w="1226"/>
        <w:gridCol w:w="1258"/>
        <w:gridCol w:w="935"/>
        <w:gridCol w:w="1145"/>
        <w:gridCol w:w="968"/>
        <w:gridCol w:w="1862"/>
        <w:gridCol w:w="1843"/>
        <w:gridCol w:w="989"/>
        <w:gridCol w:w="1356"/>
      </w:tblGrid>
      <w:tr w:rsidR="00767EF5" w14:paraId="23E32BCC" w14:textId="77777777" w:rsidTr="00767EF5">
        <w:trPr>
          <w:trHeight w:val="279"/>
          <w:jc w:val="center"/>
        </w:trPr>
        <w:tc>
          <w:tcPr>
            <w:tcW w:w="1179" w:type="dxa"/>
            <w:vMerge w:val="restart"/>
            <w:tcBorders>
              <w:tl2br w:val="nil"/>
              <w:tr2bl w:val="nil"/>
            </w:tcBorders>
            <w:shd w:val="clear" w:color="auto" w:fill="auto"/>
          </w:tcPr>
          <w:p w14:paraId="59005B9E" w14:textId="77777777" w:rsidR="00767EF5" w:rsidRDefault="00767EF5">
            <w:pPr>
              <w:widowControl/>
              <w:adjustRightInd w:val="0"/>
              <w:snapToGrid w:val="0"/>
              <w:spacing w:line="360" w:lineRule="auto"/>
              <w:textAlignment w:val="center"/>
              <w:rPr>
                <w:rFonts w:ascii="Book Antiqua" w:eastAsia="宋体" w:hAnsi="Book Antiqua"/>
                <w:b/>
                <w:lang w:eastAsia="zh-CN"/>
              </w:rPr>
            </w:pPr>
            <w:r>
              <w:rPr>
                <w:rFonts w:ascii="Book Antiqua" w:eastAsia="宋体" w:hAnsi="Book Antiqua"/>
                <w:b/>
                <w:lang w:eastAsia="zh-CN"/>
              </w:rPr>
              <w:t>Ref.</w:t>
            </w:r>
          </w:p>
        </w:tc>
        <w:tc>
          <w:tcPr>
            <w:tcW w:w="953" w:type="dxa"/>
            <w:tcBorders>
              <w:tl2br w:val="nil"/>
              <w:tr2bl w:val="nil"/>
            </w:tcBorders>
            <w:shd w:val="clear" w:color="auto" w:fill="auto"/>
          </w:tcPr>
          <w:p w14:paraId="7DC7AF69" w14:textId="77777777" w:rsidR="00767EF5" w:rsidRDefault="00767EF5">
            <w:pPr>
              <w:adjustRightInd w:val="0"/>
              <w:snapToGrid w:val="0"/>
              <w:spacing w:line="360" w:lineRule="auto"/>
              <w:rPr>
                <w:rFonts w:ascii="Book Antiqua" w:eastAsia="宋体" w:hAnsi="Book Antiqua"/>
                <w:b/>
                <w:lang w:eastAsia="zh-CN"/>
              </w:rPr>
            </w:pPr>
            <w:r>
              <w:rPr>
                <w:rFonts w:ascii="Book Antiqua" w:eastAsia="宋体" w:hAnsi="Book Antiqua"/>
                <w:b/>
                <w:lang w:eastAsia="zh-CN"/>
              </w:rPr>
              <w:t>No. Case</w:t>
            </w:r>
          </w:p>
        </w:tc>
        <w:tc>
          <w:tcPr>
            <w:tcW w:w="1226" w:type="dxa"/>
            <w:tcBorders>
              <w:tl2br w:val="nil"/>
              <w:tr2bl w:val="nil"/>
            </w:tcBorders>
            <w:shd w:val="clear" w:color="auto" w:fill="auto"/>
          </w:tcPr>
          <w:p w14:paraId="70A14860" w14:textId="77777777" w:rsidR="00767EF5" w:rsidRDefault="00767EF5">
            <w:pPr>
              <w:adjustRightInd w:val="0"/>
              <w:snapToGrid w:val="0"/>
              <w:spacing w:line="360" w:lineRule="auto"/>
              <w:rPr>
                <w:rFonts w:ascii="Book Antiqua" w:eastAsia="宋体" w:hAnsi="Book Antiqua"/>
                <w:b/>
                <w:lang w:eastAsia="zh-CN"/>
              </w:rPr>
            </w:pPr>
            <w:r>
              <w:rPr>
                <w:rFonts w:ascii="Book Antiqua" w:eastAsia="宋体" w:hAnsi="Book Antiqua"/>
                <w:b/>
                <w:lang w:eastAsia="zh-CN"/>
              </w:rPr>
              <w:t>Age</w:t>
            </w:r>
          </w:p>
        </w:tc>
        <w:tc>
          <w:tcPr>
            <w:tcW w:w="1258" w:type="dxa"/>
            <w:tcBorders>
              <w:tl2br w:val="nil"/>
              <w:tr2bl w:val="nil"/>
            </w:tcBorders>
            <w:shd w:val="clear" w:color="auto" w:fill="auto"/>
          </w:tcPr>
          <w:p w14:paraId="7662872E" w14:textId="77777777" w:rsidR="00767EF5" w:rsidRDefault="00767EF5">
            <w:pPr>
              <w:widowControl/>
              <w:adjustRightInd w:val="0"/>
              <w:snapToGrid w:val="0"/>
              <w:spacing w:line="360" w:lineRule="auto"/>
              <w:textAlignment w:val="center"/>
              <w:rPr>
                <w:rFonts w:ascii="Book Antiqua" w:eastAsia="宋体" w:hAnsi="Book Antiqua"/>
                <w:b/>
                <w:lang w:eastAsia="zh-CN"/>
              </w:rPr>
            </w:pPr>
            <w:r>
              <w:rPr>
                <w:rFonts w:ascii="Book Antiqua" w:eastAsia="宋体" w:hAnsi="Book Antiqua"/>
                <w:b/>
                <w:lang w:eastAsia="zh-CN"/>
              </w:rPr>
              <w:t>Mean size (mm)</w:t>
            </w:r>
          </w:p>
        </w:tc>
        <w:tc>
          <w:tcPr>
            <w:tcW w:w="935" w:type="dxa"/>
            <w:tcBorders>
              <w:tl2br w:val="nil"/>
              <w:tr2bl w:val="nil"/>
            </w:tcBorders>
            <w:shd w:val="clear" w:color="auto" w:fill="auto"/>
          </w:tcPr>
          <w:p w14:paraId="3CE8D6BD" w14:textId="77777777" w:rsidR="00767EF5" w:rsidRDefault="00767EF5">
            <w:pPr>
              <w:widowControl/>
              <w:adjustRightInd w:val="0"/>
              <w:snapToGrid w:val="0"/>
              <w:spacing w:line="360" w:lineRule="auto"/>
              <w:textAlignment w:val="center"/>
              <w:rPr>
                <w:rFonts w:ascii="Book Antiqua" w:eastAsia="宋体" w:hAnsi="Book Antiqua"/>
                <w:b/>
                <w:i/>
                <w:lang w:eastAsia="zh-CN"/>
              </w:rPr>
            </w:pPr>
            <w:r>
              <w:rPr>
                <w:rFonts w:ascii="Book Antiqua" w:eastAsia="宋体" w:hAnsi="Book Antiqua"/>
                <w:b/>
                <w:i/>
                <w:lang w:eastAsia="zh-CN"/>
              </w:rPr>
              <w:t>En bloc</w:t>
            </w:r>
          </w:p>
        </w:tc>
        <w:tc>
          <w:tcPr>
            <w:tcW w:w="1145" w:type="dxa"/>
            <w:tcBorders>
              <w:tl2br w:val="nil"/>
              <w:tr2bl w:val="nil"/>
            </w:tcBorders>
            <w:shd w:val="clear" w:color="auto" w:fill="auto"/>
          </w:tcPr>
          <w:p w14:paraId="4B82E135" w14:textId="77777777" w:rsidR="00767EF5" w:rsidRDefault="00767EF5">
            <w:pPr>
              <w:widowControl/>
              <w:adjustRightInd w:val="0"/>
              <w:snapToGrid w:val="0"/>
              <w:spacing w:line="360" w:lineRule="auto"/>
              <w:textAlignment w:val="center"/>
              <w:rPr>
                <w:rFonts w:ascii="Book Antiqua" w:eastAsia="宋体" w:hAnsi="Book Antiqua"/>
                <w:b/>
                <w:lang w:eastAsia="zh-CN"/>
              </w:rPr>
            </w:pPr>
            <w:r>
              <w:rPr>
                <w:rFonts w:ascii="Book Antiqua" w:eastAsia="宋体" w:hAnsi="Book Antiqua"/>
                <w:b/>
                <w:lang w:eastAsia="zh-CN"/>
              </w:rPr>
              <w:t>Procedure time (min)</w:t>
            </w:r>
          </w:p>
        </w:tc>
        <w:tc>
          <w:tcPr>
            <w:tcW w:w="968" w:type="dxa"/>
            <w:tcBorders>
              <w:tl2br w:val="nil"/>
              <w:tr2bl w:val="nil"/>
            </w:tcBorders>
            <w:shd w:val="clear" w:color="auto" w:fill="auto"/>
          </w:tcPr>
          <w:p w14:paraId="77069235" w14:textId="77777777" w:rsidR="00767EF5" w:rsidRDefault="00767EF5">
            <w:pPr>
              <w:widowControl/>
              <w:adjustRightInd w:val="0"/>
              <w:snapToGrid w:val="0"/>
              <w:spacing w:line="360" w:lineRule="auto"/>
              <w:textAlignment w:val="center"/>
              <w:rPr>
                <w:rFonts w:ascii="Book Antiqua" w:eastAsia="宋体" w:hAnsi="Book Antiqua"/>
                <w:b/>
                <w:lang w:eastAsia="zh-CN"/>
              </w:rPr>
            </w:pPr>
            <w:r>
              <w:rPr>
                <w:rFonts w:ascii="Book Antiqua" w:eastAsia="宋体" w:hAnsi="Book Antiqua"/>
                <w:b/>
                <w:lang w:eastAsia="zh-CN"/>
              </w:rPr>
              <w:t>Adverse events</w:t>
            </w:r>
          </w:p>
        </w:tc>
        <w:tc>
          <w:tcPr>
            <w:tcW w:w="1862" w:type="dxa"/>
            <w:tcBorders>
              <w:tl2br w:val="nil"/>
              <w:tr2bl w:val="nil"/>
            </w:tcBorders>
            <w:shd w:val="clear" w:color="auto" w:fill="auto"/>
          </w:tcPr>
          <w:p w14:paraId="5223E0EE" w14:textId="77777777" w:rsidR="00767EF5" w:rsidRDefault="00767EF5">
            <w:pPr>
              <w:widowControl/>
              <w:adjustRightInd w:val="0"/>
              <w:snapToGrid w:val="0"/>
              <w:spacing w:line="360" w:lineRule="auto"/>
              <w:textAlignment w:val="center"/>
              <w:rPr>
                <w:rFonts w:ascii="Book Antiqua" w:eastAsia="宋体" w:hAnsi="Book Antiqua"/>
                <w:b/>
                <w:lang w:eastAsia="zh-CN"/>
              </w:rPr>
            </w:pPr>
            <w:r>
              <w:rPr>
                <w:rFonts w:ascii="Book Antiqua" w:eastAsia="宋体" w:hAnsi="Book Antiqua"/>
                <w:b/>
                <w:lang w:eastAsia="zh-CN" w:bidi="ar"/>
              </w:rPr>
              <w:t>Recurrence rate in 3-6 mo</w:t>
            </w:r>
          </w:p>
        </w:tc>
        <w:tc>
          <w:tcPr>
            <w:tcW w:w="1843" w:type="dxa"/>
            <w:tcBorders>
              <w:tl2br w:val="nil"/>
              <w:tr2bl w:val="nil"/>
            </w:tcBorders>
            <w:shd w:val="clear" w:color="auto" w:fill="auto"/>
          </w:tcPr>
          <w:p w14:paraId="4578F708" w14:textId="77777777" w:rsidR="00767EF5" w:rsidRDefault="00767EF5">
            <w:pPr>
              <w:widowControl/>
              <w:adjustRightInd w:val="0"/>
              <w:snapToGrid w:val="0"/>
              <w:spacing w:line="360" w:lineRule="auto"/>
              <w:textAlignment w:val="center"/>
              <w:rPr>
                <w:rFonts w:ascii="Book Antiqua" w:eastAsia="宋体" w:hAnsi="Book Antiqua"/>
                <w:b/>
                <w:lang w:eastAsia="zh-CN" w:bidi="ar"/>
              </w:rPr>
            </w:pPr>
            <w:r>
              <w:rPr>
                <w:rFonts w:ascii="Book Antiqua" w:eastAsia="宋体" w:hAnsi="Book Antiqua"/>
                <w:b/>
                <w:lang w:eastAsia="zh-CN" w:bidi="ar"/>
              </w:rPr>
              <w:t>Recurrence rate in 12 mo</w:t>
            </w:r>
          </w:p>
        </w:tc>
        <w:tc>
          <w:tcPr>
            <w:tcW w:w="989" w:type="dxa"/>
            <w:tcBorders>
              <w:tl2br w:val="nil"/>
              <w:tr2bl w:val="nil"/>
            </w:tcBorders>
            <w:shd w:val="clear" w:color="auto" w:fill="auto"/>
          </w:tcPr>
          <w:p w14:paraId="4CA9CF50" w14:textId="77777777" w:rsidR="00767EF5" w:rsidRDefault="00767EF5">
            <w:pPr>
              <w:widowControl/>
              <w:adjustRightInd w:val="0"/>
              <w:snapToGrid w:val="0"/>
              <w:spacing w:line="360" w:lineRule="auto"/>
              <w:textAlignment w:val="center"/>
              <w:rPr>
                <w:rFonts w:ascii="Book Antiqua" w:eastAsia="宋体" w:hAnsi="Book Antiqua"/>
                <w:b/>
                <w:lang w:eastAsia="zh-CN"/>
              </w:rPr>
            </w:pPr>
            <w:r>
              <w:rPr>
                <w:rFonts w:ascii="Book Antiqua" w:eastAsia="宋体" w:hAnsi="Book Antiqua"/>
                <w:b/>
                <w:lang w:eastAsia="zh-CN" w:bidi="ar"/>
              </w:rPr>
              <w:t>Score/Quality assessment</w:t>
            </w:r>
          </w:p>
        </w:tc>
        <w:tc>
          <w:tcPr>
            <w:tcW w:w="1356" w:type="dxa"/>
            <w:tcBorders>
              <w:tl2br w:val="nil"/>
              <w:tr2bl w:val="nil"/>
            </w:tcBorders>
            <w:shd w:val="clear" w:color="auto" w:fill="auto"/>
          </w:tcPr>
          <w:p w14:paraId="29830F00" w14:textId="77777777" w:rsidR="00767EF5" w:rsidRDefault="00767EF5">
            <w:pPr>
              <w:widowControl/>
              <w:adjustRightInd w:val="0"/>
              <w:snapToGrid w:val="0"/>
              <w:spacing w:line="360" w:lineRule="auto"/>
              <w:textAlignment w:val="center"/>
              <w:rPr>
                <w:rFonts w:ascii="Book Antiqua" w:eastAsia="宋体" w:hAnsi="Book Antiqua"/>
                <w:b/>
                <w:lang w:eastAsia="zh-CN" w:bidi="ar"/>
              </w:rPr>
            </w:pPr>
            <w:r>
              <w:rPr>
                <w:rFonts w:ascii="Book Antiqua" w:eastAsia="宋体" w:hAnsi="Book Antiqua"/>
                <w:b/>
                <w:lang w:eastAsia="zh-CN" w:bidi="ar"/>
              </w:rPr>
              <w:t>Paper type</w:t>
            </w:r>
          </w:p>
        </w:tc>
      </w:tr>
      <w:tr w:rsidR="00767EF5" w14:paraId="58648A61" w14:textId="77777777">
        <w:trPr>
          <w:trHeight w:val="427"/>
          <w:jc w:val="center"/>
        </w:trPr>
        <w:tc>
          <w:tcPr>
            <w:tcW w:w="1179" w:type="dxa"/>
            <w:vMerge/>
            <w:tcBorders>
              <w:bottom w:val="single" w:sz="4" w:space="0" w:color="auto"/>
              <w:tl2br w:val="nil"/>
              <w:tr2bl w:val="nil"/>
            </w:tcBorders>
            <w:shd w:val="clear" w:color="auto" w:fill="auto"/>
          </w:tcPr>
          <w:p w14:paraId="5D13FECF" w14:textId="5B7DBE89" w:rsidR="00767EF5" w:rsidRDefault="00767EF5">
            <w:pPr>
              <w:adjustRightInd w:val="0"/>
              <w:snapToGrid w:val="0"/>
              <w:spacing w:line="360" w:lineRule="auto"/>
              <w:rPr>
                <w:rFonts w:ascii="Book Antiqua" w:eastAsia="宋体" w:hAnsi="Book Antiqua"/>
                <w:lang w:eastAsia="zh-CN"/>
              </w:rPr>
            </w:pPr>
          </w:p>
        </w:tc>
        <w:tc>
          <w:tcPr>
            <w:tcW w:w="12535" w:type="dxa"/>
            <w:gridSpan w:val="10"/>
            <w:tcBorders>
              <w:bottom w:val="single" w:sz="4" w:space="0" w:color="auto"/>
              <w:tl2br w:val="nil"/>
              <w:tr2bl w:val="nil"/>
            </w:tcBorders>
            <w:shd w:val="clear" w:color="auto" w:fill="auto"/>
          </w:tcPr>
          <w:p w14:paraId="632332E6" w14:textId="77777777" w:rsidR="00767EF5" w:rsidRDefault="00767EF5">
            <w:pPr>
              <w:widowControl/>
              <w:adjustRightInd w:val="0"/>
              <w:snapToGrid w:val="0"/>
              <w:spacing w:line="360" w:lineRule="auto"/>
              <w:textAlignment w:val="center"/>
              <w:rPr>
                <w:rFonts w:ascii="Book Antiqua" w:eastAsia="宋体" w:hAnsi="Book Antiqua"/>
                <w:b/>
                <w:lang w:eastAsia="zh-CN" w:bidi="ar"/>
              </w:rPr>
            </w:pPr>
            <w:r>
              <w:rPr>
                <w:rFonts w:ascii="Book Antiqua" w:eastAsia="宋体" w:hAnsi="Book Antiqua"/>
                <w:b/>
                <w:lang w:eastAsia="zh-CN"/>
              </w:rPr>
              <w:t>Underwater endoscopic mucosal resection/conventional endoscopic mucosal resection</w:t>
            </w:r>
          </w:p>
        </w:tc>
      </w:tr>
      <w:tr w:rsidR="00BB2FD5" w14:paraId="6D704944" w14:textId="77777777" w:rsidTr="00767EF5">
        <w:trPr>
          <w:trHeight w:val="845"/>
          <w:jc w:val="center"/>
        </w:trPr>
        <w:tc>
          <w:tcPr>
            <w:tcW w:w="1179" w:type="dxa"/>
            <w:tcBorders>
              <w:bottom w:val="nil"/>
              <w:tl2br w:val="nil"/>
              <w:tr2bl w:val="nil"/>
            </w:tcBorders>
            <w:shd w:val="clear" w:color="auto" w:fill="auto"/>
          </w:tcPr>
          <w:p w14:paraId="241D8980"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 xml:space="preserve">Rodríguez Sánchez </w:t>
            </w:r>
            <w:r>
              <w:rPr>
                <w:rFonts w:ascii="Book Antiqua" w:eastAsia="宋体" w:hAnsi="Book Antiqua"/>
                <w:i/>
                <w:lang w:eastAsia="zh-CN"/>
              </w:rPr>
              <w:t>et al</w:t>
            </w:r>
            <w:r>
              <w:rPr>
                <w:rFonts w:ascii="Book Antiqua" w:eastAsia="宋体" w:hAnsi="Book Antiqua"/>
                <w:vertAlign w:val="superscript"/>
                <w:lang w:eastAsia="zh-CN"/>
              </w:rPr>
              <w:t>[11]</w:t>
            </w:r>
          </w:p>
        </w:tc>
        <w:tc>
          <w:tcPr>
            <w:tcW w:w="953" w:type="dxa"/>
            <w:tcBorders>
              <w:bottom w:val="nil"/>
              <w:tl2br w:val="nil"/>
              <w:tr2bl w:val="nil"/>
            </w:tcBorders>
            <w:shd w:val="clear" w:color="auto" w:fill="auto"/>
          </w:tcPr>
          <w:p w14:paraId="1C30BA4F"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50/112</w:t>
            </w:r>
          </w:p>
        </w:tc>
        <w:tc>
          <w:tcPr>
            <w:tcW w:w="1226" w:type="dxa"/>
            <w:tcBorders>
              <w:bottom w:val="nil"/>
              <w:tl2br w:val="nil"/>
              <w:tr2bl w:val="nil"/>
            </w:tcBorders>
            <w:shd w:val="clear" w:color="auto" w:fill="auto"/>
          </w:tcPr>
          <w:p w14:paraId="14683521"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66.25 ± 10.53</w:t>
            </w:r>
          </w:p>
        </w:tc>
        <w:tc>
          <w:tcPr>
            <w:tcW w:w="1258" w:type="dxa"/>
            <w:tcBorders>
              <w:bottom w:val="nil"/>
              <w:tl2br w:val="nil"/>
              <w:tr2bl w:val="nil"/>
            </w:tcBorders>
            <w:shd w:val="clear" w:color="auto" w:fill="auto"/>
          </w:tcPr>
          <w:p w14:paraId="7CCAF0F3"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20.78/30.38</w:t>
            </w:r>
          </w:p>
        </w:tc>
        <w:tc>
          <w:tcPr>
            <w:tcW w:w="935" w:type="dxa"/>
            <w:tcBorders>
              <w:bottom w:val="nil"/>
              <w:tl2br w:val="nil"/>
              <w:tr2bl w:val="nil"/>
            </w:tcBorders>
            <w:shd w:val="clear" w:color="auto" w:fill="auto"/>
          </w:tcPr>
          <w:p w14:paraId="108AA2CD"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31/55</w:t>
            </w:r>
          </w:p>
        </w:tc>
        <w:tc>
          <w:tcPr>
            <w:tcW w:w="1145" w:type="dxa"/>
            <w:tcBorders>
              <w:bottom w:val="nil"/>
              <w:tl2br w:val="nil"/>
              <w:tr2bl w:val="nil"/>
            </w:tcBorders>
            <w:shd w:val="clear" w:color="auto" w:fill="auto"/>
          </w:tcPr>
          <w:p w14:paraId="31944427"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26.14/9.82</w:t>
            </w:r>
          </w:p>
        </w:tc>
        <w:tc>
          <w:tcPr>
            <w:tcW w:w="968" w:type="dxa"/>
            <w:tcBorders>
              <w:bottom w:val="nil"/>
              <w:tl2br w:val="nil"/>
              <w:tr2bl w:val="nil"/>
            </w:tcBorders>
            <w:shd w:val="clear" w:color="auto" w:fill="auto"/>
          </w:tcPr>
          <w:p w14:paraId="2007500E"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1/6</w:t>
            </w:r>
          </w:p>
        </w:tc>
        <w:tc>
          <w:tcPr>
            <w:tcW w:w="1862" w:type="dxa"/>
            <w:tcBorders>
              <w:bottom w:val="nil"/>
              <w:tl2br w:val="nil"/>
              <w:tr2bl w:val="nil"/>
            </w:tcBorders>
            <w:shd w:val="clear" w:color="auto" w:fill="auto"/>
          </w:tcPr>
          <w:p w14:paraId="5396F24A"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(1/19)/(14/78)</w:t>
            </w:r>
          </w:p>
        </w:tc>
        <w:tc>
          <w:tcPr>
            <w:tcW w:w="1843" w:type="dxa"/>
            <w:tcBorders>
              <w:bottom w:val="nil"/>
              <w:tl2br w:val="nil"/>
              <w:tr2bl w:val="nil"/>
            </w:tcBorders>
            <w:shd w:val="clear" w:color="auto" w:fill="auto"/>
          </w:tcPr>
          <w:p w14:paraId="60D9EC7A"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(0/6)/(2/33)</w:t>
            </w:r>
          </w:p>
        </w:tc>
        <w:tc>
          <w:tcPr>
            <w:tcW w:w="989" w:type="dxa"/>
            <w:tcBorders>
              <w:bottom w:val="nil"/>
              <w:tl2br w:val="nil"/>
              <w:tr2bl w:val="nil"/>
            </w:tcBorders>
            <w:shd w:val="clear" w:color="auto" w:fill="auto"/>
          </w:tcPr>
          <w:p w14:paraId="2351FE3B" w14:textId="47A8A1D6"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17</w:t>
            </w:r>
          </w:p>
        </w:tc>
        <w:tc>
          <w:tcPr>
            <w:tcW w:w="1356" w:type="dxa"/>
            <w:tcBorders>
              <w:bottom w:val="nil"/>
              <w:tl2br w:val="nil"/>
              <w:tr2bl w:val="nil"/>
            </w:tcBorders>
            <w:shd w:val="clear" w:color="auto" w:fill="auto"/>
          </w:tcPr>
          <w:p w14:paraId="1B92E538"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Case-control trial</w:t>
            </w:r>
          </w:p>
        </w:tc>
      </w:tr>
      <w:tr w:rsidR="00BB2FD5" w14:paraId="7FEA5921" w14:textId="77777777" w:rsidTr="00767EF5">
        <w:trPr>
          <w:trHeight w:val="626"/>
          <w:jc w:val="center"/>
        </w:trPr>
        <w:tc>
          <w:tcPr>
            <w:tcW w:w="1179" w:type="dxa"/>
            <w:tcBorders>
              <w:top w:val="nil"/>
              <w:bottom w:val="nil"/>
              <w:tl2br w:val="nil"/>
              <w:tr2bl w:val="nil"/>
            </w:tcBorders>
            <w:shd w:val="clear" w:color="auto" w:fill="auto"/>
          </w:tcPr>
          <w:p w14:paraId="07B7B130"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 xml:space="preserve">Cadoni </w:t>
            </w:r>
            <w:r>
              <w:rPr>
                <w:rFonts w:ascii="Book Antiqua" w:eastAsia="宋体" w:hAnsi="Book Antiqua"/>
                <w:i/>
                <w:lang w:eastAsia="zh-CN"/>
              </w:rPr>
              <w:t>et al</w:t>
            </w:r>
            <w:r>
              <w:rPr>
                <w:rFonts w:ascii="Book Antiqua" w:eastAsia="宋体" w:hAnsi="Book Antiqua"/>
                <w:vertAlign w:val="superscript"/>
                <w:lang w:eastAsia="zh-CN"/>
              </w:rPr>
              <w:t>[10]</w:t>
            </w:r>
          </w:p>
        </w:tc>
        <w:tc>
          <w:tcPr>
            <w:tcW w:w="953" w:type="dxa"/>
            <w:tcBorders>
              <w:top w:val="nil"/>
              <w:bottom w:val="nil"/>
              <w:tl2br w:val="nil"/>
              <w:tr2bl w:val="nil"/>
            </w:tcBorders>
            <w:shd w:val="clear" w:color="auto" w:fill="auto"/>
          </w:tcPr>
          <w:p w14:paraId="2D153F1A"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195/186</w:t>
            </w:r>
          </w:p>
        </w:tc>
        <w:tc>
          <w:tcPr>
            <w:tcW w:w="1226" w:type="dxa"/>
            <w:tcBorders>
              <w:top w:val="nil"/>
              <w:bottom w:val="nil"/>
              <w:tl2br w:val="nil"/>
              <w:tr2bl w:val="nil"/>
            </w:tcBorders>
            <w:shd w:val="clear" w:color="auto" w:fill="auto"/>
          </w:tcPr>
          <w:p w14:paraId="232298EC"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64.7/65.2</w:t>
            </w:r>
          </w:p>
        </w:tc>
        <w:tc>
          <w:tcPr>
            <w:tcW w:w="1258" w:type="dxa"/>
            <w:tcBorders>
              <w:top w:val="nil"/>
              <w:bottom w:val="nil"/>
              <w:tl2br w:val="nil"/>
              <w:tr2bl w:val="nil"/>
            </w:tcBorders>
            <w:shd w:val="clear" w:color="auto" w:fill="auto"/>
          </w:tcPr>
          <w:p w14:paraId="01514C5C"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Not reported</w:t>
            </w:r>
          </w:p>
        </w:tc>
        <w:tc>
          <w:tcPr>
            <w:tcW w:w="935" w:type="dxa"/>
            <w:tcBorders>
              <w:top w:val="nil"/>
              <w:bottom w:val="nil"/>
              <w:tl2br w:val="nil"/>
              <w:tr2bl w:val="nil"/>
            </w:tcBorders>
            <w:shd w:val="clear" w:color="auto" w:fill="auto"/>
          </w:tcPr>
          <w:p w14:paraId="26EB28DC"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171/157</w:t>
            </w:r>
          </w:p>
        </w:tc>
        <w:tc>
          <w:tcPr>
            <w:tcW w:w="1145" w:type="dxa"/>
            <w:tcBorders>
              <w:top w:val="nil"/>
              <w:bottom w:val="nil"/>
              <w:tl2br w:val="nil"/>
              <w:tr2bl w:val="nil"/>
            </w:tcBorders>
            <w:shd w:val="clear" w:color="auto" w:fill="auto"/>
          </w:tcPr>
          <w:p w14:paraId="268B45AF"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No reported</w:t>
            </w:r>
          </w:p>
        </w:tc>
        <w:tc>
          <w:tcPr>
            <w:tcW w:w="968" w:type="dxa"/>
            <w:tcBorders>
              <w:top w:val="nil"/>
              <w:bottom w:val="nil"/>
              <w:tl2br w:val="nil"/>
              <w:tr2bl w:val="nil"/>
            </w:tcBorders>
            <w:shd w:val="clear" w:color="auto" w:fill="auto"/>
          </w:tcPr>
          <w:p w14:paraId="47FD0DAC"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16/23</w:t>
            </w:r>
          </w:p>
        </w:tc>
        <w:tc>
          <w:tcPr>
            <w:tcW w:w="1862" w:type="dxa"/>
            <w:tcBorders>
              <w:top w:val="nil"/>
              <w:bottom w:val="nil"/>
              <w:tl2br w:val="nil"/>
              <w:tr2bl w:val="nil"/>
            </w:tcBorders>
            <w:shd w:val="clear" w:color="auto" w:fill="auto"/>
          </w:tcPr>
          <w:p w14:paraId="52025F6E"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Not reported</w:t>
            </w:r>
          </w:p>
        </w:tc>
        <w:tc>
          <w:tcPr>
            <w:tcW w:w="1843" w:type="dxa"/>
            <w:tcBorders>
              <w:top w:val="nil"/>
              <w:bottom w:val="nil"/>
              <w:tl2br w:val="nil"/>
              <w:tr2bl w:val="nil"/>
            </w:tcBorders>
            <w:shd w:val="clear" w:color="auto" w:fill="auto"/>
          </w:tcPr>
          <w:p w14:paraId="4013DC52"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(0/18)/(3/22)</w:t>
            </w:r>
          </w:p>
        </w:tc>
        <w:tc>
          <w:tcPr>
            <w:tcW w:w="989" w:type="dxa"/>
            <w:tcBorders>
              <w:top w:val="nil"/>
              <w:bottom w:val="nil"/>
              <w:tl2br w:val="nil"/>
              <w:tr2bl w:val="nil"/>
            </w:tcBorders>
            <w:shd w:val="clear" w:color="auto" w:fill="auto"/>
          </w:tcPr>
          <w:p w14:paraId="54F81C11" w14:textId="2B556A3B"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15</w:t>
            </w:r>
          </w:p>
        </w:tc>
        <w:tc>
          <w:tcPr>
            <w:tcW w:w="1356" w:type="dxa"/>
            <w:tcBorders>
              <w:top w:val="nil"/>
              <w:bottom w:val="nil"/>
              <w:tl2br w:val="nil"/>
              <w:tr2bl w:val="nil"/>
            </w:tcBorders>
            <w:shd w:val="clear" w:color="auto" w:fill="auto"/>
          </w:tcPr>
          <w:p w14:paraId="4D598FB1"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Case-control trial</w:t>
            </w:r>
          </w:p>
        </w:tc>
      </w:tr>
      <w:tr w:rsidR="00BB2FD5" w14:paraId="1C7F888A" w14:textId="77777777" w:rsidTr="00767EF5">
        <w:trPr>
          <w:trHeight w:val="554"/>
          <w:jc w:val="center"/>
        </w:trPr>
        <w:tc>
          <w:tcPr>
            <w:tcW w:w="1179" w:type="dxa"/>
            <w:tcBorders>
              <w:top w:val="nil"/>
              <w:bottom w:val="nil"/>
              <w:tl2br w:val="nil"/>
              <w:tr2bl w:val="nil"/>
            </w:tcBorders>
            <w:shd w:val="clear" w:color="auto" w:fill="auto"/>
          </w:tcPr>
          <w:p w14:paraId="5C6A5367"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 xml:space="preserve">Schenck </w:t>
            </w:r>
            <w:r>
              <w:rPr>
                <w:rFonts w:ascii="Book Antiqua" w:eastAsia="宋体" w:hAnsi="Book Antiqua"/>
                <w:i/>
                <w:lang w:eastAsia="zh-CN"/>
              </w:rPr>
              <w:t>et al</w:t>
            </w:r>
            <w:r>
              <w:rPr>
                <w:rFonts w:ascii="Book Antiqua" w:eastAsia="宋体" w:hAnsi="Book Antiqua"/>
                <w:vertAlign w:val="superscript"/>
                <w:lang w:eastAsia="zh-CN"/>
              </w:rPr>
              <w:t>[15]</w:t>
            </w:r>
          </w:p>
        </w:tc>
        <w:tc>
          <w:tcPr>
            <w:tcW w:w="953" w:type="dxa"/>
            <w:tcBorders>
              <w:top w:val="nil"/>
              <w:bottom w:val="nil"/>
              <w:tl2br w:val="nil"/>
              <w:tr2bl w:val="nil"/>
            </w:tcBorders>
            <w:shd w:val="clear" w:color="auto" w:fill="auto"/>
          </w:tcPr>
          <w:p w14:paraId="760E7F8A"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73/62</w:t>
            </w:r>
          </w:p>
        </w:tc>
        <w:tc>
          <w:tcPr>
            <w:tcW w:w="1226" w:type="dxa"/>
            <w:tcBorders>
              <w:top w:val="nil"/>
              <w:bottom w:val="nil"/>
              <w:tl2br w:val="nil"/>
              <w:tr2bl w:val="nil"/>
            </w:tcBorders>
            <w:shd w:val="clear" w:color="auto" w:fill="auto"/>
          </w:tcPr>
          <w:p w14:paraId="253FCB45"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62.8/62.3</w:t>
            </w:r>
          </w:p>
        </w:tc>
        <w:tc>
          <w:tcPr>
            <w:tcW w:w="1258" w:type="dxa"/>
            <w:tcBorders>
              <w:top w:val="nil"/>
              <w:bottom w:val="nil"/>
              <w:tl2br w:val="nil"/>
              <w:tr2bl w:val="nil"/>
            </w:tcBorders>
            <w:shd w:val="clear" w:color="auto" w:fill="auto"/>
          </w:tcPr>
          <w:p w14:paraId="1B65CC8B"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25.4/21.9</w:t>
            </w:r>
          </w:p>
        </w:tc>
        <w:tc>
          <w:tcPr>
            <w:tcW w:w="935" w:type="dxa"/>
            <w:tcBorders>
              <w:top w:val="nil"/>
              <w:bottom w:val="nil"/>
              <w:tl2br w:val="nil"/>
              <w:tr2bl w:val="nil"/>
            </w:tcBorders>
            <w:shd w:val="clear" w:color="auto" w:fill="auto"/>
          </w:tcPr>
          <w:p w14:paraId="2B64A5FF"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72/54</w:t>
            </w:r>
          </w:p>
        </w:tc>
        <w:tc>
          <w:tcPr>
            <w:tcW w:w="1145" w:type="dxa"/>
            <w:tcBorders>
              <w:top w:val="nil"/>
              <w:bottom w:val="nil"/>
              <w:tl2br w:val="nil"/>
              <w:tr2bl w:val="nil"/>
            </w:tcBorders>
            <w:shd w:val="clear" w:color="auto" w:fill="auto"/>
          </w:tcPr>
          <w:p w14:paraId="4F40F5A3"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Not reported</w:t>
            </w:r>
          </w:p>
        </w:tc>
        <w:tc>
          <w:tcPr>
            <w:tcW w:w="968" w:type="dxa"/>
            <w:tcBorders>
              <w:top w:val="nil"/>
              <w:bottom w:val="nil"/>
              <w:tl2br w:val="nil"/>
              <w:tr2bl w:val="nil"/>
            </w:tcBorders>
            <w:shd w:val="clear" w:color="auto" w:fill="auto"/>
          </w:tcPr>
          <w:p w14:paraId="0A1C4B6E"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3/0</w:t>
            </w:r>
          </w:p>
        </w:tc>
        <w:tc>
          <w:tcPr>
            <w:tcW w:w="1862" w:type="dxa"/>
            <w:tcBorders>
              <w:top w:val="nil"/>
              <w:bottom w:val="nil"/>
              <w:tl2br w:val="nil"/>
              <w:tr2bl w:val="nil"/>
            </w:tcBorders>
            <w:shd w:val="clear" w:color="auto" w:fill="auto"/>
          </w:tcPr>
          <w:p w14:paraId="7A866CEF"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Not reported</w:t>
            </w:r>
          </w:p>
        </w:tc>
        <w:tc>
          <w:tcPr>
            <w:tcW w:w="1843" w:type="dxa"/>
            <w:tcBorders>
              <w:top w:val="nil"/>
              <w:bottom w:val="nil"/>
              <w:tl2br w:val="nil"/>
              <w:tr2bl w:val="nil"/>
            </w:tcBorders>
            <w:shd w:val="clear" w:color="auto" w:fill="auto"/>
          </w:tcPr>
          <w:p w14:paraId="120E12F3"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(4/55)/(13/46)</w:t>
            </w:r>
          </w:p>
        </w:tc>
        <w:tc>
          <w:tcPr>
            <w:tcW w:w="989" w:type="dxa"/>
            <w:tcBorders>
              <w:top w:val="nil"/>
              <w:bottom w:val="nil"/>
              <w:tl2br w:val="nil"/>
              <w:tr2bl w:val="nil"/>
            </w:tcBorders>
            <w:shd w:val="clear" w:color="auto" w:fill="auto"/>
          </w:tcPr>
          <w:p w14:paraId="40F9AD26" w14:textId="06D92AF6"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15</w:t>
            </w:r>
          </w:p>
        </w:tc>
        <w:tc>
          <w:tcPr>
            <w:tcW w:w="1356" w:type="dxa"/>
            <w:tcBorders>
              <w:top w:val="nil"/>
              <w:bottom w:val="nil"/>
              <w:tl2br w:val="nil"/>
              <w:tr2bl w:val="nil"/>
            </w:tcBorders>
            <w:shd w:val="clear" w:color="auto" w:fill="auto"/>
          </w:tcPr>
          <w:p w14:paraId="45745F79"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Case-control trial</w:t>
            </w:r>
          </w:p>
        </w:tc>
      </w:tr>
      <w:tr w:rsidR="00BB2FD5" w14:paraId="329674D8" w14:textId="77777777" w:rsidTr="00767EF5">
        <w:trPr>
          <w:trHeight w:val="567"/>
          <w:jc w:val="center"/>
        </w:trPr>
        <w:tc>
          <w:tcPr>
            <w:tcW w:w="1179" w:type="dxa"/>
            <w:tcBorders>
              <w:top w:val="nil"/>
              <w:bottom w:val="nil"/>
              <w:tl2br w:val="nil"/>
              <w:tr2bl w:val="nil"/>
            </w:tcBorders>
            <w:shd w:val="clear" w:color="auto" w:fill="auto"/>
          </w:tcPr>
          <w:p w14:paraId="63A5D8F8"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 xml:space="preserve">Yamashina </w:t>
            </w:r>
            <w:r>
              <w:rPr>
                <w:rFonts w:ascii="Book Antiqua" w:eastAsia="宋体" w:hAnsi="Book Antiqua"/>
                <w:i/>
                <w:lang w:eastAsia="zh-CN"/>
              </w:rPr>
              <w:t>et al</w:t>
            </w:r>
            <w:r>
              <w:rPr>
                <w:rFonts w:ascii="Book Antiqua" w:eastAsia="宋体" w:hAnsi="Book Antiqua"/>
                <w:vertAlign w:val="superscript"/>
                <w:lang w:eastAsia="zh-CN"/>
              </w:rPr>
              <w:t>[16]</w:t>
            </w:r>
          </w:p>
        </w:tc>
        <w:tc>
          <w:tcPr>
            <w:tcW w:w="953" w:type="dxa"/>
            <w:tcBorders>
              <w:top w:val="nil"/>
              <w:bottom w:val="nil"/>
              <w:tl2br w:val="nil"/>
              <w:tr2bl w:val="nil"/>
            </w:tcBorders>
            <w:shd w:val="clear" w:color="auto" w:fill="auto"/>
          </w:tcPr>
          <w:p w14:paraId="6C817CD4"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104/100</w:t>
            </w:r>
          </w:p>
        </w:tc>
        <w:tc>
          <w:tcPr>
            <w:tcW w:w="1226" w:type="dxa"/>
            <w:tcBorders>
              <w:top w:val="nil"/>
              <w:bottom w:val="nil"/>
              <w:tl2br w:val="nil"/>
              <w:tr2bl w:val="nil"/>
            </w:tcBorders>
            <w:shd w:val="clear" w:color="auto" w:fill="auto"/>
          </w:tcPr>
          <w:p w14:paraId="3E9ECFF2"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70/68</w:t>
            </w:r>
          </w:p>
        </w:tc>
        <w:tc>
          <w:tcPr>
            <w:tcW w:w="1258" w:type="dxa"/>
            <w:tcBorders>
              <w:top w:val="nil"/>
              <w:bottom w:val="nil"/>
              <w:tl2br w:val="nil"/>
              <w:tr2bl w:val="nil"/>
            </w:tcBorders>
            <w:shd w:val="clear" w:color="auto" w:fill="auto"/>
          </w:tcPr>
          <w:p w14:paraId="6D9C455D"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14/13.5</w:t>
            </w:r>
          </w:p>
        </w:tc>
        <w:tc>
          <w:tcPr>
            <w:tcW w:w="935" w:type="dxa"/>
            <w:tcBorders>
              <w:top w:val="nil"/>
              <w:bottom w:val="nil"/>
              <w:tl2br w:val="nil"/>
              <w:tr2bl w:val="nil"/>
            </w:tcBorders>
            <w:shd w:val="clear" w:color="auto" w:fill="auto"/>
          </w:tcPr>
          <w:p w14:paraId="1F1DE172"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96/76</w:t>
            </w:r>
          </w:p>
        </w:tc>
        <w:tc>
          <w:tcPr>
            <w:tcW w:w="1145" w:type="dxa"/>
            <w:tcBorders>
              <w:top w:val="nil"/>
              <w:bottom w:val="nil"/>
              <w:tl2br w:val="nil"/>
              <w:tr2bl w:val="nil"/>
            </w:tcBorders>
            <w:shd w:val="clear" w:color="auto" w:fill="auto"/>
          </w:tcPr>
          <w:p w14:paraId="585E922D"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2.75/2.92</w:t>
            </w:r>
          </w:p>
        </w:tc>
        <w:tc>
          <w:tcPr>
            <w:tcW w:w="968" w:type="dxa"/>
            <w:tcBorders>
              <w:top w:val="nil"/>
              <w:bottom w:val="nil"/>
              <w:tl2br w:val="nil"/>
              <w:tr2bl w:val="nil"/>
            </w:tcBorders>
            <w:shd w:val="clear" w:color="auto" w:fill="auto"/>
          </w:tcPr>
          <w:p w14:paraId="3F1AB84A" w14:textId="77777777" w:rsidR="00BB2FD5" w:rsidRDefault="00112DFD">
            <w:pPr>
              <w:adjustRightInd w:val="0"/>
              <w:snapToGrid w:val="0"/>
              <w:spacing w:line="360" w:lineRule="auto"/>
              <w:rPr>
                <w:rFonts w:ascii="Book Antiqua" w:eastAsia="宋体" w:hAnsi="Book Antiqua"/>
                <w:lang w:eastAsia="zh-CN"/>
              </w:rPr>
            </w:pPr>
            <w:r>
              <w:rPr>
                <w:rFonts w:ascii="Book Antiqua" w:eastAsia="宋体" w:hAnsi="Book Antiqua"/>
                <w:lang w:eastAsia="zh-CN"/>
              </w:rPr>
              <w:t>3/2</w:t>
            </w:r>
          </w:p>
        </w:tc>
        <w:tc>
          <w:tcPr>
            <w:tcW w:w="1862" w:type="dxa"/>
            <w:tcBorders>
              <w:top w:val="nil"/>
              <w:bottom w:val="nil"/>
              <w:tl2br w:val="nil"/>
              <w:tr2bl w:val="nil"/>
            </w:tcBorders>
            <w:shd w:val="clear" w:color="auto" w:fill="auto"/>
          </w:tcPr>
          <w:p w14:paraId="7F1CD6F4" w14:textId="7154D231" w:rsidR="00BB2FD5" w:rsidRDefault="00112DFD" w:rsidP="00767EF5">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Not reported</w:t>
            </w:r>
          </w:p>
        </w:tc>
        <w:tc>
          <w:tcPr>
            <w:tcW w:w="1843" w:type="dxa"/>
            <w:tcBorders>
              <w:top w:val="nil"/>
              <w:bottom w:val="nil"/>
              <w:tl2br w:val="nil"/>
              <w:tr2bl w:val="nil"/>
            </w:tcBorders>
            <w:shd w:val="clear" w:color="auto" w:fill="auto"/>
          </w:tcPr>
          <w:p w14:paraId="106F5A4F" w14:textId="45152576" w:rsidR="00BB2FD5" w:rsidRDefault="00112DFD" w:rsidP="00767EF5">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Not reported</w:t>
            </w:r>
          </w:p>
        </w:tc>
        <w:tc>
          <w:tcPr>
            <w:tcW w:w="989" w:type="dxa"/>
            <w:tcBorders>
              <w:top w:val="nil"/>
              <w:bottom w:val="nil"/>
              <w:tl2br w:val="nil"/>
              <w:tr2bl w:val="nil"/>
            </w:tcBorders>
            <w:shd w:val="clear" w:color="auto" w:fill="auto"/>
          </w:tcPr>
          <w:p w14:paraId="1AE8525B" w14:textId="5451C475"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B</w:t>
            </w:r>
          </w:p>
        </w:tc>
        <w:tc>
          <w:tcPr>
            <w:tcW w:w="1356" w:type="dxa"/>
            <w:tcBorders>
              <w:top w:val="nil"/>
              <w:bottom w:val="nil"/>
              <w:tl2br w:val="nil"/>
              <w:tr2bl w:val="nil"/>
            </w:tcBorders>
            <w:shd w:val="clear" w:color="auto" w:fill="auto"/>
          </w:tcPr>
          <w:p w14:paraId="5DAC35BD"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RCT</w:t>
            </w:r>
          </w:p>
        </w:tc>
      </w:tr>
      <w:tr w:rsidR="00BB2FD5" w14:paraId="7CCD51F9" w14:textId="77777777" w:rsidTr="00767EF5">
        <w:trPr>
          <w:trHeight w:val="551"/>
          <w:jc w:val="center"/>
        </w:trPr>
        <w:tc>
          <w:tcPr>
            <w:tcW w:w="1179" w:type="dxa"/>
            <w:tcBorders>
              <w:top w:val="nil"/>
              <w:bottom w:val="nil"/>
              <w:tl2br w:val="nil"/>
              <w:tr2bl w:val="nil"/>
            </w:tcBorders>
            <w:shd w:val="clear" w:color="auto" w:fill="auto"/>
          </w:tcPr>
          <w:p w14:paraId="510D4C7F"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 xml:space="preserve">Kim </w:t>
            </w:r>
            <w:r>
              <w:rPr>
                <w:rFonts w:ascii="Book Antiqua" w:eastAsia="宋体" w:hAnsi="Book Antiqua"/>
                <w:i/>
                <w:lang w:eastAsia="zh-CN"/>
              </w:rPr>
              <w:t>et al</w:t>
            </w:r>
            <w:r>
              <w:rPr>
                <w:rFonts w:ascii="Book Antiqua" w:eastAsia="宋体" w:hAnsi="Book Antiqua"/>
                <w:vertAlign w:val="superscript"/>
                <w:lang w:eastAsia="zh-CN"/>
              </w:rPr>
              <w:t>[17]</w:t>
            </w:r>
          </w:p>
        </w:tc>
        <w:tc>
          <w:tcPr>
            <w:tcW w:w="953" w:type="dxa"/>
            <w:tcBorders>
              <w:top w:val="nil"/>
              <w:bottom w:val="nil"/>
              <w:tl2br w:val="nil"/>
              <w:tr2bl w:val="nil"/>
            </w:tcBorders>
            <w:shd w:val="clear" w:color="auto" w:fill="auto"/>
          </w:tcPr>
          <w:p w14:paraId="063C8FAA"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36/44</w:t>
            </w:r>
          </w:p>
        </w:tc>
        <w:tc>
          <w:tcPr>
            <w:tcW w:w="1226" w:type="dxa"/>
            <w:tcBorders>
              <w:top w:val="nil"/>
              <w:bottom w:val="nil"/>
              <w:tl2br w:val="nil"/>
              <w:tr2bl w:val="nil"/>
            </w:tcBorders>
            <w:shd w:val="clear" w:color="auto" w:fill="auto"/>
          </w:tcPr>
          <w:p w14:paraId="5C6012F8"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68.3/69.2</w:t>
            </w:r>
          </w:p>
        </w:tc>
        <w:tc>
          <w:tcPr>
            <w:tcW w:w="1258" w:type="dxa"/>
            <w:tcBorders>
              <w:top w:val="nil"/>
              <w:bottom w:val="nil"/>
              <w:tl2br w:val="nil"/>
              <w:tr2bl w:val="nil"/>
            </w:tcBorders>
            <w:shd w:val="clear" w:color="auto" w:fill="auto"/>
          </w:tcPr>
          <w:p w14:paraId="6CC4A65B"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18.5/16.9</w:t>
            </w:r>
          </w:p>
        </w:tc>
        <w:tc>
          <w:tcPr>
            <w:tcW w:w="935" w:type="dxa"/>
            <w:tcBorders>
              <w:top w:val="nil"/>
              <w:bottom w:val="nil"/>
              <w:tl2br w:val="nil"/>
              <w:tr2bl w:val="nil"/>
            </w:tcBorders>
            <w:shd w:val="clear" w:color="auto" w:fill="auto"/>
          </w:tcPr>
          <w:p w14:paraId="4F2EF156"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32/14</w:t>
            </w:r>
          </w:p>
        </w:tc>
        <w:tc>
          <w:tcPr>
            <w:tcW w:w="1145" w:type="dxa"/>
            <w:tcBorders>
              <w:top w:val="nil"/>
              <w:bottom w:val="nil"/>
              <w:tl2br w:val="nil"/>
              <w:tr2bl w:val="nil"/>
            </w:tcBorders>
            <w:shd w:val="clear" w:color="auto" w:fill="auto"/>
          </w:tcPr>
          <w:p w14:paraId="56ED48E2"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Not reported</w:t>
            </w:r>
          </w:p>
        </w:tc>
        <w:tc>
          <w:tcPr>
            <w:tcW w:w="968" w:type="dxa"/>
            <w:tcBorders>
              <w:top w:val="nil"/>
              <w:bottom w:val="nil"/>
              <w:tl2br w:val="nil"/>
              <w:tr2bl w:val="nil"/>
            </w:tcBorders>
            <w:shd w:val="clear" w:color="auto" w:fill="auto"/>
          </w:tcPr>
          <w:p w14:paraId="6811DB5E" w14:textId="77777777" w:rsidR="00BB2FD5" w:rsidRDefault="00112DFD">
            <w:pPr>
              <w:adjustRightInd w:val="0"/>
              <w:snapToGrid w:val="0"/>
              <w:spacing w:line="360" w:lineRule="auto"/>
              <w:rPr>
                <w:rFonts w:ascii="Book Antiqua" w:eastAsia="宋体" w:hAnsi="Book Antiqua"/>
                <w:lang w:eastAsia="zh-CN"/>
              </w:rPr>
            </w:pPr>
            <w:r>
              <w:rPr>
                <w:rFonts w:ascii="Book Antiqua" w:eastAsia="宋体" w:hAnsi="Book Antiqua"/>
                <w:lang w:eastAsia="zh-CN"/>
              </w:rPr>
              <w:t>0/2</w:t>
            </w:r>
          </w:p>
        </w:tc>
        <w:tc>
          <w:tcPr>
            <w:tcW w:w="1862" w:type="dxa"/>
            <w:tcBorders>
              <w:top w:val="nil"/>
              <w:bottom w:val="nil"/>
              <w:tl2br w:val="nil"/>
              <w:tr2bl w:val="nil"/>
            </w:tcBorders>
            <w:shd w:val="clear" w:color="auto" w:fill="auto"/>
          </w:tcPr>
          <w:p w14:paraId="10199A1D"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(2/20)/(13/33)</w:t>
            </w:r>
          </w:p>
        </w:tc>
        <w:tc>
          <w:tcPr>
            <w:tcW w:w="1843" w:type="dxa"/>
            <w:tcBorders>
              <w:top w:val="nil"/>
              <w:bottom w:val="nil"/>
              <w:tl2br w:val="nil"/>
              <w:tr2bl w:val="nil"/>
            </w:tcBorders>
            <w:shd w:val="clear" w:color="auto" w:fill="auto"/>
          </w:tcPr>
          <w:p w14:paraId="413A12C4" w14:textId="3DC801AF" w:rsidR="00BB2FD5" w:rsidRDefault="00112DFD" w:rsidP="00767EF5">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Not reported</w:t>
            </w:r>
          </w:p>
        </w:tc>
        <w:tc>
          <w:tcPr>
            <w:tcW w:w="989" w:type="dxa"/>
            <w:tcBorders>
              <w:top w:val="nil"/>
              <w:bottom w:val="nil"/>
              <w:tl2br w:val="nil"/>
              <w:tr2bl w:val="nil"/>
            </w:tcBorders>
            <w:shd w:val="clear" w:color="auto" w:fill="auto"/>
          </w:tcPr>
          <w:p w14:paraId="6BEEC6F0" w14:textId="3CF56FE4"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13</w:t>
            </w:r>
          </w:p>
        </w:tc>
        <w:tc>
          <w:tcPr>
            <w:tcW w:w="1356" w:type="dxa"/>
            <w:tcBorders>
              <w:top w:val="nil"/>
              <w:bottom w:val="nil"/>
              <w:tl2br w:val="nil"/>
              <w:tr2bl w:val="nil"/>
            </w:tcBorders>
            <w:shd w:val="clear" w:color="auto" w:fill="auto"/>
          </w:tcPr>
          <w:p w14:paraId="4252C7F1"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Case-control trial</w:t>
            </w:r>
          </w:p>
        </w:tc>
      </w:tr>
      <w:tr w:rsidR="00BB2FD5" w14:paraId="5DD66BDA" w14:textId="77777777" w:rsidTr="00767EF5">
        <w:trPr>
          <w:trHeight w:val="551"/>
          <w:jc w:val="center"/>
        </w:trPr>
        <w:tc>
          <w:tcPr>
            <w:tcW w:w="1179" w:type="dxa"/>
            <w:tcBorders>
              <w:top w:val="nil"/>
              <w:bottom w:val="nil"/>
              <w:tl2br w:val="nil"/>
              <w:tr2bl w:val="nil"/>
            </w:tcBorders>
            <w:shd w:val="clear" w:color="auto" w:fill="auto"/>
          </w:tcPr>
          <w:p w14:paraId="6BCEAD19"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 xml:space="preserve">Cai </w:t>
            </w:r>
            <w:r>
              <w:rPr>
                <w:rFonts w:ascii="Book Antiqua" w:eastAsia="宋体" w:hAnsi="Book Antiqua"/>
                <w:i/>
                <w:lang w:eastAsia="zh-CN"/>
              </w:rPr>
              <w:t>et al</w:t>
            </w:r>
            <w:r>
              <w:rPr>
                <w:rFonts w:ascii="Book Antiqua" w:eastAsia="宋体" w:hAnsi="Book Antiqua"/>
                <w:vertAlign w:val="superscript"/>
                <w:lang w:eastAsia="zh-CN"/>
              </w:rPr>
              <w:t>[18]</w:t>
            </w:r>
          </w:p>
        </w:tc>
        <w:tc>
          <w:tcPr>
            <w:tcW w:w="953" w:type="dxa"/>
            <w:tcBorders>
              <w:top w:val="nil"/>
              <w:bottom w:val="nil"/>
              <w:tl2br w:val="nil"/>
              <w:tr2bl w:val="nil"/>
            </w:tcBorders>
            <w:shd w:val="clear" w:color="auto" w:fill="auto"/>
          </w:tcPr>
          <w:p w14:paraId="72D38ACB"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53/67</w:t>
            </w:r>
          </w:p>
        </w:tc>
        <w:tc>
          <w:tcPr>
            <w:tcW w:w="1226" w:type="dxa"/>
            <w:tcBorders>
              <w:top w:val="nil"/>
              <w:bottom w:val="nil"/>
              <w:tl2br w:val="nil"/>
              <w:tr2bl w:val="nil"/>
            </w:tcBorders>
            <w:shd w:val="clear" w:color="auto" w:fill="auto"/>
          </w:tcPr>
          <w:p w14:paraId="3880918C"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Not reported</w:t>
            </w:r>
          </w:p>
        </w:tc>
        <w:tc>
          <w:tcPr>
            <w:tcW w:w="1258" w:type="dxa"/>
            <w:tcBorders>
              <w:top w:val="nil"/>
              <w:bottom w:val="nil"/>
              <w:tl2br w:val="nil"/>
              <w:tr2bl w:val="nil"/>
            </w:tcBorders>
            <w:shd w:val="clear" w:color="auto" w:fill="auto"/>
          </w:tcPr>
          <w:p w14:paraId="375C6ED1"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Not reported</w:t>
            </w:r>
          </w:p>
        </w:tc>
        <w:tc>
          <w:tcPr>
            <w:tcW w:w="935" w:type="dxa"/>
            <w:tcBorders>
              <w:top w:val="nil"/>
              <w:bottom w:val="nil"/>
              <w:tl2br w:val="nil"/>
              <w:tr2bl w:val="nil"/>
            </w:tcBorders>
            <w:shd w:val="clear" w:color="auto" w:fill="auto"/>
          </w:tcPr>
          <w:p w14:paraId="70142249"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43/40</w:t>
            </w:r>
          </w:p>
        </w:tc>
        <w:tc>
          <w:tcPr>
            <w:tcW w:w="1145" w:type="dxa"/>
            <w:tcBorders>
              <w:top w:val="nil"/>
              <w:bottom w:val="nil"/>
              <w:tl2br w:val="nil"/>
              <w:tr2bl w:val="nil"/>
            </w:tcBorders>
            <w:shd w:val="clear" w:color="auto" w:fill="auto"/>
          </w:tcPr>
          <w:p w14:paraId="4F744CF8"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Not reported</w:t>
            </w:r>
          </w:p>
        </w:tc>
        <w:tc>
          <w:tcPr>
            <w:tcW w:w="968" w:type="dxa"/>
            <w:tcBorders>
              <w:top w:val="nil"/>
              <w:bottom w:val="nil"/>
              <w:tl2br w:val="nil"/>
              <w:tr2bl w:val="nil"/>
            </w:tcBorders>
            <w:shd w:val="clear" w:color="auto" w:fill="auto"/>
          </w:tcPr>
          <w:p w14:paraId="3BB9A913" w14:textId="77777777" w:rsidR="00BB2FD5" w:rsidRDefault="00112DFD">
            <w:pPr>
              <w:adjustRightInd w:val="0"/>
              <w:snapToGrid w:val="0"/>
              <w:spacing w:line="360" w:lineRule="auto"/>
              <w:rPr>
                <w:rFonts w:ascii="Book Antiqua" w:eastAsia="宋体" w:hAnsi="Book Antiqua"/>
                <w:lang w:eastAsia="zh-CN"/>
              </w:rPr>
            </w:pPr>
            <w:r>
              <w:rPr>
                <w:rFonts w:ascii="Book Antiqua" w:eastAsia="宋体" w:hAnsi="Book Antiqua"/>
                <w:lang w:eastAsia="zh-CN"/>
              </w:rPr>
              <w:t>0/0</w:t>
            </w:r>
          </w:p>
        </w:tc>
        <w:tc>
          <w:tcPr>
            <w:tcW w:w="1862" w:type="dxa"/>
            <w:tcBorders>
              <w:top w:val="nil"/>
              <w:bottom w:val="nil"/>
              <w:tl2br w:val="nil"/>
              <w:tr2bl w:val="nil"/>
            </w:tcBorders>
            <w:shd w:val="clear" w:color="auto" w:fill="auto"/>
          </w:tcPr>
          <w:p w14:paraId="5C9815B8"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(1/56)/(2/67)</w:t>
            </w:r>
          </w:p>
        </w:tc>
        <w:tc>
          <w:tcPr>
            <w:tcW w:w="1843" w:type="dxa"/>
            <w:tcBorders>
              <w:top w:val="nil"/>
              <w:bottom w:val="nil"/>
              <w:tl2br w:val="nil"/>
              <w:tr2bl w:val="nil"/>
            </w:tcBorders>
            <w:shd w:val="clear" w:color="auto" w:fill="auto"/>
          </w:tcPr>
          <w:p w14:paraId="51860930"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Not reported</w:t>
            </w:r>
          </w:p>
        </w:tc>
        <w:tc>
          <w:tcPr>
            <w:tcW w:w="989" w:type="dxa"/>
            <w:tcBorders>
              <w:top w:val="nil"/>
              <w:bottom w:val="nil"/>
              <w:tl2br w:val="nil"/>
              <w:tr2bl w:val="nil"/>
            </w:tcBorders>
            <w:shd w:val="clear" w:color="auto" w:fill="auto"/>
          </w:tcPr>
          <w:p w14:paraId="1E1B4C02" w14:textId="77777777" w:rsidR="00BB2FD5" w:rsidRDefault="00112DFD" w:rsidP="00767EF5">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17</w:t>
            </w:r>
          </w:p>
        </w:tc>
        <w:tc>
          <w:tcPr>
            <w:tcW w:w="1356" w:type="dxa"/>
            <w:tcBorders>
              <w:top w:val="nil"/>
              <w:bottom w:val="nil"/>
              <w:tl2br w:val="nil"/>
              <w:tr2bl w:val="nil"/>
            </w:tcBorders>
            <w:shd w:val="clear" w:color="auto" w:fill="auto"/>
          </w:tcPr>
          <w:p w14:paraId="183FACD7"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Case-control trial</w:t>
            </w:r>
          </w:p>
        </w:tc>
      </w:tr>
      <w:tr w:rsidR="00BB2FD5" w14:paraId="022D19DE" w14:textId="77777777" w:rsidTr="00767EF5">
        <w:trPr>
          <w:trHeight w:val="551"/>
          <w:jc w:val="center"/>
        </w:trPr>
        <w:tc>
          <w:tcPr>
            <w:tcW w:w="1179" w:type="dxa"/>
            <w:tcBorders>
              <w:top w:val="nil"/>
              <w:bottom w:val="nil"/>
              <w:tl2br w:val="nil"/>
              <w:tr2bl w:val="nil"/>
            </w:tcBorders>
            <w:shd w:val="clear" w:color="auto" w:fill="auto"/>
          </w:tcPr>
          <w:p w14:paraId="05F4696F"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 xml:space="preserve">Chien </w:t>
            </w:r>
            <w:r>
              <w:rPr>
                <w:rFonts w:ascii="Book Antiqua" w:eastAsia="宋体" w:hAnsi="Book Antiqua"/>
                <w:i/>
                <w:lang w:eastAsia="zh-CN"/>
              </w:rPr>
              <w:t>et al</w:t>
            </w:r>
            <w:r>
              <w:rPr>
                <w:rFonts w:ascii="Book Antiqua" w:eastAsia="宋体" w:hAnsi="Book Antiqua"/>
                <w:vertAlign w:val="superscript"/>
                <w:lang w:eastAsia="zh-CN"/>
              </w:rPr>
              <w:t>[19]</w:t>
            </w:r>
          </w:p>
        </w:tc>
        <w:tc>
          <w:tcPr>
            <w:tcW w:w="953" w:type="dxa"/>
            <w:tcBorders>
              <w:top w:val="nil"/>
              <w:bottom w:val="nil"/>
              <w:tl2br w:val="nil"/>
              <w:tr2bl w:val="nil"/>
            </w:tcBorders>
            <w:shd w:val="clear" w:color="auto" w:fill="auto"/>
          </w:tcPr>
          <w:p w14:paraId="0C7D75A2"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179/171</w:t>
            </w:r>
          </w:p>
        </w:tc>
        <w:tc>
          <w:tcPr>
            <w:tcW w:w="1226" w:type="dxa"/>
            <w:tcBorders>
              <w:top w:val="nil"/>
              <w:bottom w:val="nil"/>
              <w:tl2br w:val="nil"/>
              <w:tr2bl w:val="nil"/>
            </w:tcBorders>
            <w:shd w:val="clear" w:color="auto" w:fill="auto"/>
          </w:tcPr>
          <w:p w14:paraId="44168511"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63.4/65.4</w:t>
            </w:r>
          </w:p>
        </w:tc>
        <w:tc>
          <w:tcPr>
            <w:tcW w:w="1258" w:type="dxa"/>
            <w:tcBorders>
              <w:top w:val="nil"/>
              <w:bottom w:val="nil"/>
              <w:tl2br w:val="nil"/>
              <w:tr2bl w:val="nil"/>
            </w:tcBorders>
            <w:shd w:val="clear" w:color="auto" w:fill="auto"/>
          </w:tcPr>
          <w:p w14:paraId="2EFBC660"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15.8/18.0</w:t>
            </w:r>
          </w:p>
        </w:tc>
        <w:tc>
          <w:tcPr>
            <w:tcW w:w="935" w:type="dxa"/>
            <w:tcBorders>
              <w:top w:val="nil"/>
              <w:bottom w:val="nil"/>
              <w:tl2br w:val="nil"/>
              <w:tr2bl w:val="nil"/>
            </w:tcBorders>
            <w:shd w:val="clear" w:color="auto" w:fill="auto"/>
          </w:tcPr>
          <w:p w14:paraId="0BF62B9E"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154/141</w:t>
            </w:r>
          </w:p>
        </w:tc>
        <w:tc>
          <w:tcPr>
            <w:tcW w:w="1145" w:type="dxa"/>
            <w:tcBorders>
              <w:top w:val="nil"/>
              <w:bottom w:val="nil"/>
              <w:tl2br w:val="nil"/>
              <w:tr2bl w:val="nil"/>
            </w:tcBorders>
            <w:shd w:val="clear" w:color="auto" w:fill="auto"/>
          </w:tcPr>
          <w:p w14:paraId="7DF3FE99"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10.2/9.7</w:t>
            </w:r>
          </w:p>
        </w:tc>
        <w:tc>
          <w:tcPr>
            <w:tcW w:w="968" w:type="dxa"/>
            <w:tcBorders>
              <w:top w:val="nil"/>
              <w:bottom w:val="nil"/>
              <w:tl2br w:val="nil"/>
              <w:tr2bl w:val="nil"/>
            </w:tcBorders>
            <w:shd w:val="clear" w:color="auto" w:fill="auto"/>
          </w:tcPr>
          <w:p w14:paraId="147B2840" w14:textId="77777777" w:rsidR="00BB2FD5" w:rsidRDefault="00112DFD">
            <w:pPr>
              <w:adjustRightInd w:val="0"/>
              <w:snapToGrid w:val="0"/>
              <w:spacing w:line="360" w:lineRule="auto"/>
              <w:rPr>
                <w:rFonts w:ascii="Book Antiqua" w:eastAsia="宋体" w:hAnsi="Book Antiqua"/>
                <w:lang w:eastAsia="zh-CN"/>
              </w:rPr>
            </w:pPr>
            <w:r>
              <w:rPr>
                <w:rFonts w:ascii="Book Antiqua" w:eastAsia="宋体" w:hAnsi="Book Antiqua"/>
                <w:lang w:eastAsia="zh-CN"/>
              </w:rPr>
              <w:t>36/15</w:t>
            </w:r>
          </w:p>
        </w:tc>
        <w:tc>
          <w:tcPr>
            <w:tcW w:w="1862" w:type="dxa"/>
            <w:tcBorders>
              <w:top w:val="nil"/>
              <w:bottom w:val="nil"/>
              <w:tl2br w:val="nil"/>
              <w:tr2bl w:val="nil"/>
            </w:tcBorders>
            <w:shd w:val="clear" w:color="auto" w:fill="auto"/>
          </w:tcPr>
          <w:p w14:paraId="53C3CBAE"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Not reported</w:t>
            </w:r>
          </w:p>
        </w:tc>
        <w:tc>
          <w:tcPr>
            <w:tcW w:w="1843" w:type="dxa"/>
            <w:tcBorders>
              <w:top w:val="nil"/>
              <w:bottom w:val="nil"/>
              <w:tl2br w:val="nil"/>
              <w:tr2bl w:val="nil"/>
            </w:tcBorders>
            <w:shd w:val="clear" w:color="auto" w:fill="auto"/>
          </w:tcPr>
          <w:p w14:paraId="1969C767"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Not reported</w:t>
            </w:r>
          </w:p>
        </w:tc>
        <w:tc>
          <w:tcPr>
            <w:tcW w:w="989" w:type="dxa"/>
            <w:tcBorders>
              <w:top w:val="nil"/>
              <w:bottom w:val="nil"/>
              <w:tl2br w:val="nil"/>
              <w:tr2bl w:val="nil"/>
            </w:tcBorders>
            <w:shd w:val="clear" w:color="auto" w:fill="auto"/>
          </w:tcPr>
          <w:p w14:paraId="0A137132" w14:textId="77777777" w:rsidR="00BB2FD5" w:rsidRDefault="00112DFD" w:rsidP="00767EF5">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16</w:t>
            </w:r>
          </w:p>
        </w:tc>
        <w:tc>
          <w:tcPr>
            <w:tcW w:w="1356" w:type="dxa"/>
            <w:tcBorders>
              <w:top w:val="nil"/>
              <w:bottom w:val="nil"/>
              <w:tl2br w:val="nil"/>
              <w:tr2bl w:val="nil"/>
            </w:tcBorders>
            <w:shd w:val="clear" w:color="auto" w:fill="auto"/>
          </w:tcPr>
          <w:p w14:paraId="26EA362D"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Case-control trial</w:t>
            </w:r>
          </w:p>
        </w:tc>
      </w:tr>
      <w:tr w:rsidR="00BB2FD5" w14:paraId="72E3C724" w14:textId="77777777" w:rsidTr="00767EF5">
        <w:trPr>
          <w:trHeight w:val="551"/>
          <w:jc w:val="center"/>
        </w:trPr>
        <w:tc>
          <w:tcPr>
            <w:tcW w:w="1179" w:type="dxa"/>
            <w:tcBorders>
              <w:top w:val="nil"/>
              <w:tl2br w:val="nil"/>
              <w:tr2bl w:val="nil"/>
            </w:tcBorders>
            <w:shd w:val="clear" w:color="auto" w:fill="auto"/>
          </w:tcPr>
          <w:p w14:paraId="174611FF"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 xml:space="preserve">Huang </w:t>
            </w:r>
            <w:r>
              <w:rPr>
                <w:rFonts w:ascii="Book Antiqua" w:eastAsia="宋体" w:hAnsi="Book Antiqua"/>
                <w:i/>
                <w:lang w:eastAsia="zh-CN"/>
              </w:rPr>
              <w:t>et al</w:t>
            </w:r>
            <w:r>
              <w:rPr>
                <w:rFonts w:ascii="Book Antiqua" w:eastAsia="宋体" w:hAnsi="Book Antiqua"/>
                <w:vertAlign w:val="superscript"/>
                <w:lang w:eastAsia="zh-CN"/>
              </w:rPr>
              <w:t>[20]</w:t>
            </w:r>
          </w:p>
        </w:tc>
        <w:tc>
          <w:tcPr>
            <w:tcW w:w="953" w:type="dxa"/>
            <w:tcBorders>
              <w:top w:val="nil"/>
              <w:tl2br w:val="nil"/>
              <w:tr2bl w:val="nil"/>
            </w:tcBorders>
            <w:shd w:val="clear" w:color="auto" w:fill="auto"/>
          </w:tcPr>
          <w:p w14:paraId="762D2DE4"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32/47</w:t>
            </w:r>
          </w:p>
        </w:tc>
        <w:tc>
          <w:tcPr>
            <w:tcW w:w="1226" w:type="dxa"/>
            <w:tcBorders>
              <w:top w:val="nil"/>
              <w:tl2br w:val="nil"/>
              <w:tr2bl w:val="nil"/>
            </w:tcBorders>
            <w:shd w:val="clear" w:color="auto" w:fill="auto"/>
          </w:tcPr>
          <w:p w14:paraId="3E4674E5"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66.54/61.47</w:t>
            </w:r>
          </w:p>
        </w:tc>
        <w:tc>
          <w:tcPr>
            <w:tcW w:w="1258" w:type="dxa"/>
            <w:tcBorders>
              <w:top w:val="nil"/>
              <w:tl2br w:val="nil"/>
              <w:tr2bl w:val="nil"/>
            </w:tcBorders>
            <w:shd w:val="clear" w:color="auto" w:fill="auto"/>
          </w:tcPr>
          <w:p w14:paraId="2FFF52C7"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14.2/16.4</w:t>
            </w:r>
          </w:p>
        </w:tc>
        <w:tc>
          <w:tcPr>
            <w:tcW w:w="935" w:type="dxa"/>
            <w:tcBorders>
              <w:top w:val="nil"/>
              <w:tl2br w:val="nil"/>
              <w:tr2bl w:val="nil"/>
            </w:tcBorders>
            <w:shd w:val="clear" w:color="auto" w:fill="auto"/>
          </w:tcPr>
          <w:p w14:paraId="7117711C"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21/46</w:t>
            </w:r>
          </w:p>
        </w:tc>
        <w:tc>
          <w:tcPr>
            <w:tcW w:w="1145" w:type="dxa"/>
            <w:tcBorders>
              <w:top w:val="nil"/>
              <w:tl2br w:val="nil"/>
              <w:tr2bl w:val="nil"/>
            </w:tcBorders>
            <w:shd w:val="clear" w:color="auto" w:fill="auto"/>
          </w:tcPr>
          <w:p w14:paraId="2B5B30B1"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7.34/17.82</w:t>
            </w:r>
          </w:p>
        </w:tc>
        <w:tc>
          <w:tcPr>
            <w:tcW w:w="968" w:type="dxa"/>
            <w:tcBorders>
              <w:top w:val="nil"/>
              <w:tl2br w:val="nil"/>
              <w:tr2bl w:val="nil"/>
            </w:tcBorders>
            <w:shd w:val="clear" w:color="auto" w:fill="auto"/>
          </w:tcPr>
          <w:p w14:paraId="6467B0F8" w14:textId="77777777" w:rsidR="00BB2FD5" w:rsidRDefault="00112DFD">
            <w:pPr>
              <w:adjustRightInd w:val="0"/>
              <w:snapToGrid w:val="0"/>
              <w:spacing w:line="360" w:lineRule="auto"/>
              <w:rPr>
                <w:rFonts w:ascii="Book Antiqua" w:eastAsia="宋体" w:hAnsi="Book Antiqua"/>
                <w:lang w:eastAsia="zh-CN"/>
              </w:rPr>
            </w:pPr>
            <w:r>
              <w:rPr>
                <w:rFonts w:ascii="Book Antiqua" w:eastAsia="宋体" w:hAnsi="Book Antiqua"/>
                <w:lang w:eastAsia="zh-CN"/>
              </w:rPr>
              <w:t>0/1</w:t>
            </w:r>
          </w:p>
        </w:tc>
        <w:tc>
          <w:tcPr>
            <w:tcW w:w="1862" w:type="dxa"/>
            <w:tcBorders>
              <w:top w:val="nil"/>
              <w:tl2br w:val="nil"/>
              <w:tr2bl w:val="nil"/>
            </w:tcBorders>
            <w:shd w:val="clear" w:color="auto" w:fill="auto"/>
          </w:tcPr>
          <w:p w14:paraId="78FCFC8C"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Not reported</w:t>
            </w:r>
          </w:p>
        </w:tc>
        <w:tc>
          <w:tcPr>
            <w:tcW w:w="1843" w:type="dxa"/>
            <w:tcBorders>
              <w:top w:val="nil"/>
              <w:tl2br w:val="nil"/>
              <w:tr2bl w:val="nil"/>
            </w:tcBorders>
            <w:shd w:val="clear" w:color="auto" w:fill="auto"/>
          </w:tcPr>
          <w:p w14:paraId="1C717AA0"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(2/17)/(0/24)</w:t>
            </w:r>
          </w:p>
        </w:tc>
        <w:tc>
          <w:tcPr>
            <w:tcW w:w="989" w:type="dxa"/>
            <w:tcBorders>
              <w:top w:val="nil"/>
              <w:tl2br w:val="nil"/>
              <w:tr2bl w:val="nil"/>
            </w:tcBorders>
            <w:shd w:val="clear" w:color="auto" w:fill="auto"/>
          </w:tcPr>
          <w:p w14:paraId="487A1807" w14:textId="77777777" w:rsidR="00BB2FD5" w:rsidRDefault="00112DFD" w:rsidP="00767EF5">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15</w:t>
            </w:r>
          </w:p>
        </w:tc>
        <w:tc>
          <w:tcPr>
            <w:tcW w:w="1356" w:type="dxa"/>
            <w:tcBorders>
              <w:top w:val="nil"/>
              <w:tl2br w:val="nil"/>
              <w:tr2bl w:val="nil"/>
            </w:tcBorders>
            <w:shd w:val="clear" w:color="auto" w:fill="auto"/>
          </w:tcPr>
          <w:p w14:paraId="0EF89E76" w14:textId="77777777" w:rsidR="00BB2FD5" w:rsidRDefault="00112DFD">
            <w:pPr>
              <w:widowControl/>
              <w:adjustRightInd w:val="0"/>
              <w:snapToGrid w:val="0"/>
              <w:spacing w:line="360" w:lineRule="auto"/>
              <w:textAlignment w:val="center"/>
              <w:rPr>
                <w:rFonts w:ascii="Book Antiqua" w:eastAsia="宋体" w:hAnsi="Book Antiqua"/>
                <w:lang w:eastAsia="zh-CN"/>
              </w:rPr>
            </w:pPr>
            <w:r>
              <w:rPr>
                <w:rFonts w:ascii="Book Antiqua" w:eastAsia="宋体" w:hAnsi="Book Antiqua"/>
                <w:lang w:eastAsia="zh-CN"/>
              </w:rPr>
              <w:t>Case-control trial</w:t>
            </w:r>
          </w:p>
        </w:tc>
      </w:tr>
    </w:tbl>
    <w:p w14:paraId="275BABB6" w14:textId="77777777" w:rsidR="00BB2FD5" w:rsidRDefault="00112DFD">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color w:val="000000"/>
        </w:rPr>
        <w:t>RCT: Randomized controlled trial.</w:t>
      </w:r>
    </w:p>
    <w:sectPr w:rsidR="00BB2FD5">
      <w:type w:val="continuous"/>
      <w:pgSz w:w="15840" w:h="12240" w:orient="landscape"/>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C4EFA" w14:textId="77777777" w:rsidR="00D84C01" w:rsidRDefault="00D84C01">
      <w:r>
        <w:separator/>
      </w:r>
    </w:p>
  </w:endnote>
  <w:endnote w:type="continuationSeparator" w:id="0">
    <w:p w14:paraId="3C4D5B45" w14:textId="77777777" w:rsidR="00D84C01" w:rsidRDefault="00D84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910843"/>
    </w:sdtPr>
    <w:sdtEndPr/>
    <w:sdtContent>
      <w:sdt>
        <w:sdtPr>
          <w:id w:val="-1507121167"/>
        </w:sdtPr>
        <w:sdtEndPr/>
        <w:sdtContent>
          <w:p w14:paraId="2CD863D9" w14:textId="77777777" w:rsidR="00BB2FD5" w:rsidRDefault="00112DFD">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D84C01">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D84C01">
              <w:rPr>
                <w:b/>
                <w:bCs/>
                <w:noProof/>
              </w:rPr>
              <w:t>1</w:t>
            </w:r>
            <w:r>
              <w:rPr>
                <w:b/>
                <w:bCs/>
                <w:sz w:val="24"/>
                <w:szCs w:val="24"/>
              </w:rPr>
              <w:fldChar w:fldCharType="end"/>
            </w:r>
          </w:p>
        </w:sdtContent>
      </w:sdt>
    </w:sdtContent>
  </w:sdt>
  <w:p w14:paraId="047B3648" w14:textId="77777777" w:rsidR="00BB2FD5" w:rsidRDefault="00BB2FD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ADB25" w14:textId="77777777" w:rsidR="00D84C01" w:rsidRDefault="00D84C01">
      <w:r>
        <w:separator/>
      </w:r>
    </w:p>
  </w:footnote>
  <w:footnote w:type="continuationSeparator" w:id="0">
    <w:p w14:paraId="197309DD" w14:textId="77777777" w:rsidR="00D84C01" w:rsidRDefault="00D84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BBFF1897"/>
    <w:rsid w:val="EDF7A3FE"/>
    <w:rsid w:val="FBF706C2"/>
    <w:rsid w:val="0000237F"/>
    <w:rsid w:val="000375B0"/>
    <w:rsid w:val="0005100C"/>
    <w:rsid w:val="00074621"/>
    <w:rsid w:val="00093C83"/>
    <w:rsid w:val="000D272E"/>
    <w:rsid w:val="00112DFD"/>
    <w:rsid w:val="00122F19"/>
    <w:rsid w:val="00124E0D"/>
    <w:rsid w:val="001628D3"/>
    <w:rsid w:val="001967F6"/>
    <w:rsid w:val="001D6C29"/>
    <w:rsid w:val="001E1FED"/>
    <w:rsid w:val="002061A3"/>
    <w:rsid w:val="002879AC"/>
    <w:rsid w:val="002E0D4B"/>
    <w:rsid w:val="00304F63"/>
    <w:rsid w:val="00314623"/>
    <w:rsid w:val="00314F15"/>
    <w:rsid w:val="0032687A"/>
    <w:rsid w:val="00356102"/>
    <w:rsid w:val="00394216"/>
    <w:rsid w:val="003A01DA"/>
    <w:rsid w:val="003B2A65"/>
    <w:rsid w:val="003E6805"/>
    <w:rsid w:val="00405094"/>
    <w:rsid w:val="004057D2"/>
    <w:rsid w:val="004228CB"/>
    <w:rsid w:val="0042540C"/>
    <w:rsid w:val="0050374B"/>
    <w:rsid w:val="00525FD2"/>
    <w:rsid w:val="005306EA"/>
    <w:rsid w:val="005357FD"/>
    <w:rsid w:val="00535C46"/>
    <w:rsid w:val="0055346D"/>
    <w:rsid w:val="00555A90"/>
    <w:rsid w:val="0057777D"/>
    <w:rsid w:val="00584B7A"/>
    <w:rsid w:val="00587522"/>
    <w:rsid w:val="005F2F8A"/>
    <w:rsid w:val="005F416E"/>
    <w:rsid w:val="00646B16"/>
    <w:rsid w:val="006716BF"/>
    <w:rsid w:val="00724D39"/>
    <w:rsid w:val="0072650E"/>
    <w:rsid w:val="00767EF5"/>
    <w:rsid w:val="00785362"/>
    <w:rsid w:val="007A23AB"/>
    <w:rsid w:val="007B2EE0"/>
    <w:rsid w:val="007D0F0B"/>
    <w:rsid w:val="007E20A8"/>
    <w:rsid w:val="007E4194"/>
    <w:rsid w:val="008061F5"/>
    <w:rsid w:val="008145C6"/>
    <w:rsid w:val="00837FBF"/>
    <w:rsid w:val="00882925"/>
    <w:rsid w:val="008F6A73"/>
    <w:rsid w:val="00901110"/>
    <w:rsid w:val="00906E92"/>
    <w:rsid w:val="00906F9B"/>
    <w:rsid w:val="00930225"/>
    <w:rsid w:val="009C244C"/>
    <w:rsid w:val="00A77B3E"/>
    <w:rsid w:val="00AC7CAC"/>
    <w:rsid w:val="00AE4A52"/>
    <w:rsid w:val="00AF20CB"/>
    <w:rsid w:val="00B33160"/>
    <w:rsid w:val="00B45967"/>
    <w:rsid w:val="00B46EF9"/>
    <w:rsid w:val="00B60C6F"/>
    <w:rsid w:val="00BB2C70"/>
    <w:rsid w:val="00BB2FD5"/>
    <w:rsid w:val="00BB44B7"/>
    <w:rsid w:val="00C8032C"/>
    <w:rsid w:val="00CA2A55"/>
    <w:rsid w:val="00CE0872"/>
    <w:rsid w:val="00CE216F"/>
    <w:rsid w:val="00D0150C"/>
    <w:rsid w:val="00D078F7"/>
    <w:rsid w:val="00D21011"/>
    <w:rsid w:val="00D46792"/>
    <w:rsid w:val="00D723D1"/>
    <w:rsid w:val="00D81CC2"/>
    <w:rsid w:val="00D84C01"/>
    <w:rsid w:val="00D94F97"/>
    <w:rsid w:val="00D95E82"/>
    <w:rsid w:val="00DB5A5C"/>
    <w:rsid w:val="00DD2E86"/>
    <w:rsid w:val="00DE4470"/>
    <w:rsid w:val="00DF17EB"/>
    <w:rsid w:val="00E21D6B"/>
    <w:rsid w:val="00EE540D"/>
    <w:rsid w:val="00F36DCC"/>
    <w:rsid w:val="00FA7770"/>
    <w:rsid w:val="00FC04C7"/>
    <w:rsid w:val="00FC2554"/>
    <w:rsid w:val="00FC73D6"/>
    <w:rsid w:val="00FC7E3C"/>
    <w:rsid w:val="00FF56DA"/>
    <w:rsid w:val="37EDBBAC"/>
    <w:rsid w:val="75FF1860"/>
    <w:rsid w:val="77FFEBCA"/>
    <w:rsid w:val="7B7BFF36"/>
    <w:rsid w:val="7BB63274"/>
    <w:rsid w:val="7BD427D9"/>
    <w:rsid w:val="7DE714CC"/>
    <w:rsid w:val="7F7D63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BCF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qFormat="1"/>
    <w:lsdException w:name="footer" w:semiHidden="0"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semiHidden="0" w:uiPriority="99" w:unhideWhenUsed="0"/>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nhideWhenUsed/>
    <w:qFormat/>
    <w:rPr>
      <w:sz w:val="18"/>
      <w:szCs w:val="18"/>
    </w:rPr>
  </w:style>
  <w:style w:type="paragraph" w:styleId="a4">
    <w:name w:val="footer"/>
    <w:basedOn w:val="a"/>
    <w:link w:val="Char0"/>
    <w:uiPriority w:val="99"/>
    <w:unhideWhenUsed/>
    <w:qFormat/>
    <w:pPr>
      <w:tabs>
        <w:tab w:val="center" w:pos="4153"/>
        <w:tab w:val="right" w:pos="8306"/>
      </w:tabs>
      <w:snapToGrid w:val="0"/>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5"/>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semiHidden/>
    <w:qFormat/>
    <w:rPr>
      <w:rFonts w:eastAsiaTheme="minorEastAsia"/>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qFormat="1"/>
    <w:lsdException w:name="footer" w:semiHidden="0"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semiHidden="0" w:uiPriority="99" w:unhideWhenUsed="0"/>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nhideWhenUsed/>
    <w:qFormat/>
    <w:rPr>
      <w:sz w:val="18"/>
      <w:szCs w:val="18"/>
    </w:rPr>
  </w:style>
  <w:style w:type="paragraph" w:styleId="a4">
    <w:name w:val="footer"/>
    <w:basedOn w:val="a"/>
    <w:link w:val="Char0"/>
    <w:uiPriority w:val="99"/>
    <w:unhideWhenUsed/>
    <w:qFormat/>
    <w:pPr>
      <w:tabs>
        <w:tab w:val="center" w:pos="4153"/>
        <w:tab w:val="right" w:pos="8306"/>
      </w:tabs>
      <w:snapToGrid w:val="0"/>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5"/>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semiHidden/>
    <w:qFormat/>
    <w:rPr>
      <w:rFonts w:eastAsiaTheme="minorEastAsi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33</Pages>
  <Words>5917</Words>
  <Characters>33730</Characters>
  <Application>Microsoft Office Word</Application>
  <DocSecurity>0</DocSecurity>
  <Lines>281</Lines>
  <Paragraphs>79</Paragraphs>
  <ScaleCrop>false</ScaleCrop>
  <Company>微软中国</Company>
  <LinksUpToDate>false</LinksUpToDate>
  <CharactersWithSpaces>39568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dc:creator>
  <cp:lastModifiedBy>liujihong2008@qq.con</cp:lastModifiedBy>
  <cp:revision>16</cp:revision>
  <dcterms:created xsi:type="dcterms:W3CDTF">2020-09-17T01:43:00Z</dcterms:created>
  <dcterms:modified xsi:type="dcterms:W3CDTF">2020-10-22T07:12:00Z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2052-2.6.1.4274</vt:lpwstr>
  </property>
</Properties>
</file>