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651E0" w14:textId="3A7A53A4" w:rsidR="000E0111" w:rsidRPr="001409F0" w:rsidRDefault="000E0111" w:rsidP="001409F0">
      <w:pPr>
        <w:adjustRightInd w:val="0"/>
        <w:snapToGrid w:val="0"/>
        <w:spacing w:line="360" w:lineRule="auto"/>
        <w:rPr>
          <w:rFonts w:ascii="Book Antiqua" w:eastAsia="Times New Roman" w:hAnsi="Book Antiqua" w:cs="宋体"/>
          <w:b/>
          <w:i/>
          <w:kern w:val="2"/>
        </w:rPr>
      </w:pPr>
      <w:bookmarkStart w:id="0" w:name="OLE_LINK16"/>
      <w:bookmarkStart w:id="1" w:name="OLE_LINK17"/>
      <w:r w:rsidRPr="001409F0">
        <w:rPr>
          <w:rFonts w:ascii="Book Antiqua" w:eastAsia="Times New Roman" w:hAnsi="Book Antiqua" w:cs="宋体"/>
          <w:b/>
          <w:kern w:val="2"/>
        </w:rPr>
        <w:t xml:space="preserve">Name of Journal: </w:t>
      </w:r>
      <w:r w:rsidRPr="001409F0">
        <w:rPr>
          <w:rFonts w:ascii="Book Antiqua" w:eastAsia="Times New Roman" w:hAnsi="Book Antiqua" w:cs="宋体"/>
          <w:i/>
          <w:kern w:val="2"/>
        </w:rPr>
        <w:t>World Journal of Gastroenterology</w:t>
      </w:r>
    </w:p>
    <w:p w14:paraId="062FF0CB" w14:textId="1E892B10" w:rsidR="000E0111" w:rsidRPr="001409F0" w:rsidRDefault="000E0111" w:rsidP="001409F0">
      <w:pPr>
        <w:adjustRightInd w:val="0"/>
        <w:snapToGrid w:val="0"/>
        <w:spacing w:line="360" w:lineRule="auto"/>
        <w:rPr>
          <w:rFonts w:ascii="Book Antiqua" w:hAnsi="Book Antiqua" w:cs="Arial"/>
          <w:b/>
          <w:kern w:val="2"/>
        </w:rPr>
      </w:pPr>
      <w:r w:rsidRPr="001409F0">
        <w:rPr>
          <w:rFonts w:ascii="Book Antiqua" w:eastAsia="Times New Roman" w:hAnsi="Book Antiqua"/>
          <w:b/>
          <w:bCs/>
          <w:kern w:val="2"/>
        </w:rPr>
        <w:t>Manuscript NO</w:t>
      </w:r>
      <w:r w:rsidRPr="001409F0">
        <w:rPr>
          <w:rFonts w:ascii="Book Antiqua" w:hAnsi="Book Antiqua" w:cs="Arial"/>
          <w:b/>
          <w:kern w:val="2"/>
        </w:rPr>
        <w:t xml:space="preserve">: </w:t>
      </w:r>
      <w:r w:rsidRPr="001409F0">
        <w:rPr>
          <w:rFonts w:ascii="Book Antiqua" w:hAnsi="Book Antiqua" w:cs="Arial"/>
          <w:bCs/>
          <w:kern w:val="2"/>
        </w:rPr>
        <w:t>52399</w:t>
      </w:r>
    </w:p>
    <w:p w14:paraId="78355D4E" w14:textId="0F45B5D2" w:rsidR="000E0111" w:rsidRPr="001409F0" w:rsidRDefault="000E0111" w:rsidP="001409F0">
      <w:pPr>
        <w:adjustRightInd w:val="0"/>
        <w:snapToGrid w:val="0"/>
        <w:spacing w:line="360" w:lineRule="auto"/>
        <w:rPr>
          <w:rFonts w:ascii="Book Antiqua" w:hAnsi="Book Antiqua"/>
          <w:b/>
          <w:kern w:val="2"/>
        </w:rPr>
      </w:pPr>
      <w:bookmarkStart w:id="2" w:name="OLE_LINK4"/>
      <w:r w:rsidRPr="001409F0">
        <w:rPr>
          <w:rFonts w:ascii="Book Antiqua" w:hAnsi="Book Antiqua"/>
          <w:b/>
          <w:kern w:val="2"/>
        </w:rPr>
        <w:t xml:space="preserve">Manuscript Type: </w:t>
      </w:r>
      <w:bookmarkEnd w:id="2"/>
      <w:r w:rsidRPr="001409F0">
        <w:rPr>
          <w:rFonts w:ascii="Book Antiqua" w:eastAsia="等线" w:hAnsi="Book Antiqua" w:cs="Arial"/>
          <w:kern w:val="2"/>
        </w:rPr>
        <w:t>ORIGINAL ARTICLE</w:t>
      </w:r>
    </w:p>
    <w:bookmarkEnd w:id="0"/>
    <w:bookmarkEnd w:id="1"/>
    <w:p w14:paraId="393DFE9A" w14:textId="4D04E863" w:rsidR="00E05BA3" w:rsidRPr="001409F0" w:rsidRDefault="00E05BA3" w:rsidP="001409F0">
      <w:pPr>
        <w:adjustRightInd w:val="0"/>
        <w:snapToGrid w:val="0"/>
        <w:spacing w:line="360" w:lineRule="auto"/>
        <w:rPr>
          <w:rFonts w:ascii="Book Antiqua" w:eastAsia="HGMaruGothicMPRO" w:hAnsi="Book Antiqua" w:cs="Arial"/>
          <w:bCs/>
        </w:rPr>
      </w:pPr>
    </w:p>
    <w:p w14:paraId="1A5D1F55" w14:textId="005CE4D4" w:rsidR="00E05BA3" w:rsidRPr="00472ED2" w:rsidRDefault="00E05BA3" w:rsidP="001409F0">
      <w:pPr>
        <w:adjustRightInd w:val="0"/>
        <w:snapToGrid w:val="0"/>
        <w:spacing w:line="360" w:lineRule="auto"/>
        <w:rPr>
          <w:rFonts w:ascii="Book Antiqua" w:eastAsia="HGMaruGothicMPRO" w:hAnsi="Book Antiqua" w:cs="Arial"/>
          <w:b/>
          <w:i/>
          <w:iCs/>
        </w:rPr>
      </w:pPr>
      <w:r w:rsidRPr="00472ED2">
        <w:rPr>
          <w:rFonts w:ascii="Book Antiqua" w:eastAsia="HGMaruGothicMPRO" w:hAnsi="Book Antiqua" w:cs="Arial"/>
          <w:b/>
          <w:i/>
          <w:iCs/>
        </w:rPr>
        <w:t>Basic Study</w:t>
      </w:r>
    </w:p>
    <w:p w14:paraId="4F1DAE8A" w14:textId="779ABC39" w:rsidR="00E05BA3" w:rsidRPr="001409F0" w:rsidRDefault="00E05BA3" w:rsidP="001409F0">
      <w:pPr>
        <w:adjustRightInd w:val="0"/>
        <w:snapToGrid w:val="0"/>
        <w:spacing w:line="360" w:lineRule="auto"/>
        <w:rPr>
          <w:rFonts w:ascii="Book Antiqua" w:hAnsi="Book Antiqua" w:cs="Arial"/>
          <w:b/>
          <w:bCs/>
          <w:kern w:val="44"/>
        </w:rPr>
      </w:pPr>
      <w:r w:rsidRPr="001409F0">
        <w:rPr>
          <w:rFonts w:ascii="Book Antiqua" w:hAnsi="Book Antiqua" w:cs="Arial"/>
          <w:b/>
          <w:bCs/>
          <w:i/>
          <w:iCs/>
          <w:kern w:val="44"/>
        </w:rPr>
        <w:t xml:space="preserve">Tamarix </w:t>
      </w:r>
      <w:r w:rsidR="000E0111" w:rsidRPr="001409F0">
        <w:rPr>
          <w:rFonts w:ascii="Book Antiqua" w:hAnsi="Book Antiqua" w:cs="Arial"/>
          <w:b/>
          <w:bCs/>
          <w:i/>
          <w:iCs/>
          <w:kern w:val="44"/>
        </w:rPr>
        <w:t xml:space="preserve">chinensis </w:t>
      </w:r>
      <w:r w:rsidRPr="001409F0">
        <w:rPr>
          <w:rFonts w:ascii="Book Antiqua" w:hAnsi="Book Antiqua" w:cs="Arial"/>
          <w:b/>
          <w:bCs/>
          <w:i/>
          <w:iCs/>
          <w:kern w:val="44"/>
        </w:rPr>
        <w:t>Lour</w:t>
      </w:r>
      <w:r w:rsidRPr="001409F0">
        <w:rPr>
          <w:rFonts w:ascii="Book Antiqua" w:hAnsi="Book Antiqua" w:cs="Arial"/>
          <w:b/>
          <w:bCs/>
          <w:kern w:val="44"/>
        </w:rPr>
        <w:t xml:space="preserve"> </w:t>
      </w:r>
      <w:r w:rsidR="000E0111" w:rsidRPr="001409F0">
        <w:rPr>
          <w:rFonts w:ascii="Book Antiqua" w:hAnsi="Book Antiqua" w:cs="Arial"/>
          <w:b/>
          <w:bCs/>
          <w:kern w:val="44"/>
        </w:rPr>
        <w:t>inhibits chronic ethanol-induced liver injury in mice</w:t>
      </w:r>
    </w:p>
    <w:p w14:paraId="4A5BD486" w14:textId="77777777" w:rsidR="00E05BA3" w:rsidRPr="001409F0" w:rsidRDefault="00E05BA3" w:rsidP="001409F0">
      <w:pPr>
        <w:adjustRightInd w:val="0"/>
        <w:snapToGrid w:val="0"/>
        <w:spacing w:line="360" w:lineRule="auto"/>
        <w:rPr>
          <w:rFonts w:ascii="Book Antiqua" w:eastAsia="MS Mincho" w:hAnsi="Book Antiqua" w:cs="Arial"/>
          <w:bCs/>
          <w:kern w:val="44"/>
          <w:lang w:eastAsia="ja-JP"/>
        </w:rPr>
      </w:pPr>
    </w:p>
    <w:p w14:paraId="3361C5FB" w14:textId="67B335AA" w:rsidR="00E05BA3" w:rsidRPr="001409F0" w:rsidRDefault="00E05BA3" w:rsidP="001409F0">
      <w:pPr>
        <w:adjustRightInd w:val="0"/>
        <w:snapToGrid w:val="0"/>
        <w:spacing w:line="360" w:lineRule="auto"/>
        <w:rPr>
          <w:rFonts w:ascii="Book Antiqua" w:hAnsi="Book Antiqua" w:cs="Arial"/>
          <w:bCs/>
          <w:kern w:val="44"/>
        </w:rPr>
      </w:pPr>
      <w:r w:rsidRPr="001409F0">
        <w:rPr>
          <w:rFonts w:ascii="Book Antiqua" w:eastAsia="MS Mincho" w:hAnsi="Book Antiqua" w:cs="Arial"/>
          <w:bCs/>
          <w:kern w:val="44"/>
          <w:lang w:eastAsia="ja-JP"/>
        </w:rPr>
        <w:t xml:space="preserve">Wang </w:t>
      </w:r>
      <w:r w:rsidR="000E0111" w:rsidRPr="001409F0">
        <w:rPr>
          <w:rFonts w:ascii="Book Antiqua" w:eastAsia="MS Mincho" w:hAnsi="Book Antiqua" w:cs="Arial"/>
          <w:bCs/>
          <w:kern w:val="44"/>
          <w:lang w:eastAsia="ja-JP"/>
        </w:rPr>
        <w:t>ZD</w:t>
      </w:r>
      <w:r w:rsidR="000E0111" w:rsidRPr="001409F0">
        <w:rPr>
          <w:rFonts w:ascii="Book Antiqua" w:eastAsia="MS Mincho" w:hAnsi="Book Antiqua" w:cs="Arial"/>
          <w:bCs/>
          <w:i/>
          <w:iCs/>
          <w:kern w:val="44"/>
          <w:lang w:eastAsia="ja-JP"/>
        </w:rPr>
        <w:t xml:space="preserve"> </w:t>
      </w:r>
      <w:r w:rsidRPr="001409F0">
        <w:rPr>
          <w:rFonts w:ascii="Book Antiqua" w:eastAsia="MS Mincho" w:hAnsi="Book Antiqua" w:cs="Arial"/>
          <w:bCs/>
          <w:i/>
          <w:iCs/>
          <w:kern w:val="44"/>
          <w:lang w:eastAsia="ja-JP"/>
        </w:rPr>
        <w:t>et al.</w:t>
      </w:r>
      <w:r w:rsidRPr="001409F0">
        <w:rPr>
          <w:rFonts w:ascii="Book Antiqua" w:eastAsia="MS Mincho" w:hAnsi="Book Antiqua" w:cs="Arial"/>
          <w:bCs/>
          <w:kern w:val="44"/>
          <w:lang w:eastAsia="ja-JP"/>
        </w:rPr>
        <w:t xml:space="preserve"> </w:t>
      </w:r>
      <w:bookmarkStart w:id="3" w:name="OLE_LINK1"/>
      <w:r w:rsidR="0027079B" w:rsidRPr="001409F0">
        <w:rPr>
          <w:rFonts w:ascii="Book Antiqua" w:hAnsi="Book Antiqua" w:cs="Arial"/>
          <w:bCs/>
          <w:kern w:val="44"/>
        </w:rPr>
        <w:t>TCL</w:t>
      </w:r>
      <w:r w:rsidRPr="001409F0">
        <w:rPr>
          <w:rFonts w:ascii="Book Antiqua" w:hAnsi="Book Antiqua" w:cs="Arial"/>
          <w:bCs/>
          <w:kern w:val="44"/>
        </w:rPr>
        <w:t xml:space="preserve"> inhibits liver injury</w:t>
      </w:r>
      <w:bookmarkEnd w:id="3"/>
    </w:p>
    <w:p w14:paraId="48F4FAE9" w14:textId="77777777" w:rsidR="00E05BA3" w:rsidRPr="001409F0" w:rsidRDefault="00E05BA3" w:rsidP="001409F0">
      <w:pPr>
        <w:adjustRightInd w:val="0"/>
        <w:snapToGrid w:val="0"/>
        <w:spacing w:line="360" w:lineRule="auto"/>
        <w:rPr>
          <w:rFonts w:ascii="Book Antiqua" w:eastAsia="MS Mincho" w:hAnsi="Book Antiqua" w:cs="Arial"/>
          <w:b/>
          <w:bCs/>
          <w:kern w:val="44"/>
          <w:lang w:eastAsia="ja-JP"/>
        </w:rPr>
      </w:pPr>
    </w:p>
    <w:p w14:paraId="3D7BE4B8" w14:textId="51DCB8E4" w:rsidR="00E05BA3" w:rsidRPr="001409F0" w:rsidRDefault="00E05BA3" w:rsidP="001409F0">
      <w:pPr>
        <w:shd w:val="clear" w:color="auto" w:fill="FFFFFF"/>
        <w:adjustRightInd w:val="0"/>
        <w:snapToGrid w:val="0"/>
        <w:spacing w:line="360" w:lineRule="auto"/>
        <w:rPr>
          <w:rStyle w:val="apple-converted-space"/>
          <w:rFonts w:ascii="Book Antiqua" w:hAnsi="Book Antiqua" w:cs="Arial"/>
        </w:rPr>
      </w:pPr>
      <w:r w:rsidRPr="001409F0">
        <w:rPr>
          <w:rStyle w:val="apple-converted-space"/>
          <w:rFonts w:ascii="Book Antiqua" w:hAnsi="Book Antiqua" w:cs="Arial"/>
        </w:rPr>
        <w:t>Zhi-</w:t>
      </w:r>
      <w:r w:rsidR="00C52BAE" w:rsidRPr="001409F0">
        <w:rPr>
          <w:rStyle w:val="apple-converted-space"/>
          <w:rFonts w:ascii="Book Antiqua" w:hAnsi="Book Antiqua" w:cs="Arial"/>
        </w:rPr>
        <w:t>D</w:t>
      </w:r>
      <w:r w:rsidRPr="001409F0">
        <w:rPr>
          <w:rStyle w:val="apple-converted-space"/>
          <w:rFonts w:ascii="Book Antiqua" w:hAnsi="Book Antiqua" w:cs="Arial"/>
        </w:rPr>
        <w:t xml:space="preserve">an Wang, </w:t>
      </w:r>
      <w:bookmarkStart w:id="4" w:name="OLE_LINK5"/>
      <w:bookmarkStart w:id="5" w:name="OLE_LINK7"/>
      <w:r w:rsidRPr="001409F0">
        <w:rPr>
          <w:rStyle w:val="apple-converted-space"/>
          <w:rFonts w:ascii="Book Antiqua" w:hAnsi="Book Antiqua" w:cs="Arial"/>
        </w:rPr>
        <w:t>Yu Zhang</w:t>
      </w:r>
      <w:bookmarkEnd w:id="4"/>
      <w:bookmarkEnd w:id="5"/>
      <w:r w:rsidRPr="001409F0">
        <w:rPr>
          <w:rStyle w:val="apple-converted-space"/>
          <w:rFonts w:ascii="Book Antiqua" w:hAnsi="Book Antiqua" w:cs="Arial"/>
        </w:rPr>
        <w:t>, Yi-</w:t>
      </w:r>
      <w:r w:rsidR="00C52BAE" w:rsidRPr="001409F0">
        <w:rPr>
          <w:rStyle w:val="apple-converted-space"/>
          <w:rFonts w:ascii="Book Antiqua" w:hAnsi="Book Antiqua" w:cs="Arial"/>
        </w:rPr>
        <w:t>D</w:t>
      </w:r>
      <w:r w:rsidRPr="001409F0">
        <w:rPr>
          <w:rStyle w:val="apple-converted-space"/>
          <w:rFonts w:ascii="Book Antiqua" w:hAnsi="Book Antiqua" w:cs="Arial"/>
        </w:rPr>
        <w:t xml:space="preserve">an Dai, Ke Ren, </w:t>
      </w:r>
      <w:bookmarkStart w:id="6" w:name="OLE_LINK8"/>
      <w:r w:rsidRPr="001409F0">
        <w:rPr>
          <w:rStyle w:val="apple-converted-space"/>
          <w:rFonts w:ascii="Book Antiqua" w:hAnsi="Book Antiqua" w:cs="Arial"/>
        </w:rPr>
        <w:t>Chen Han</w:t>
      </w:r>
      <w:bookmarkEnd w:id="6"/>
      <w:r w:rsidRPr="001409F0">
        <w:rPr>
          <w:rStyle w:val="apple-converted-space"/>
          <w:rFonts w:ascii="Book Antiqua" w:hAnsi="Book Antiqua" w:cs="Arial"/>
        </w:rPr>
        <w:t>, Heng-</w:t>
      </w:r>
      <w:r w:rsidR="00C52BAE" w:rsidRPr="001409F0">
        <w:rPr>
          <w:rStyle w:val="apple-converted-space"/>
          <w:rFonts w:ascii="Book Antiqua" w:hAnsi="Book Antiqua" w:cs="Arial"/>
        </w:rPr>
        <w:t>X</w:t>
      </w:r>
      <w:r w:rsidRPr="001409F0">
        <w:rPr>
          <w:rStyle w:val="apple-converted-space"/>
          <w:rFonts w:ascii="Book Antiqua" w:hAnsi="Book Antiqua" w:cs="Arial"/>
        </w:rPr>
        <w:t>iao Wang, Shuang-Qin Yi</w:t>
      </w:r>
    </w:p>
    <w:p w14:paraId="009876D8" w14:textId="77777777" w:rsidR="000E0111" w:rsidRPr="001409F0" w:rsidRDefault="000E0111" w:rsidP="001409F0">
      <w:pPr>
        <w:shd w:val="clear" w:color="auto" w:fill="FFFFFF"/>
        <w:adjustRightInd w:val="0"/>
        <w:snapToGrid w:val="0"/>
        <w:spacing w:line="360" w:lineRule="auto"/>
        <w:rPr>
          <w:rStyle w:val="apple-converted-space"/>
          <w:rFonts w:ascii="Book Antiqua" w:hAnsi="Book Antiqua" w:cs="Arial"/>
          <w:vertAlign w:val="superscript"/>
        </w:rPr>
      </w:pPr>
    </w:p>
    <w:p w14:paraId="32D1E1B7" w14:textId="7911111E" w:rsidR="00E05BA3" w:rsidRPr="001409F0" w:rsidRDefault="00E05BA3" w:rsidP="001409F0">
      <w:pPr>
        <w:pStyle w:val="HTML"/>
        <w:adjustRightInd w:val="0"/>
        <w:snapToGrid w:val="0"/>
        <w:spacing w:line="360" w:lineRule="auto"/>
        <w:jc w:val="both"/>
        <w:rPr>
          <w:rFonts w:ascii="Book Antiqua" w:hAnsi="Book Antiqua" w:cs="Arial"/>
          <w:sz w:val="20"/>
          <w:szCs w:val="20"/>
        </w:rPr>
      </w:pPr>
      <w:r w:rsidRPr="001409F0">
        <w:rPr>
          <w:rStyle w:val="apple-converted-space"/>
          <w:rFonts w:ascii="Book Antiqua" w:hAnsi="Book Antiqua" w:cs="Arial"/>
          <w:b/>
          <w:sz w:val="20"/>
          <w:szCs w:val="20"/>
        </w:rPr>
        <w:t>Zhi-</w:t>
      </w:r>
      <w:r w:rsidRPr="001409F0">
        <w:rPr>
          <w:rStyle w:val="apple-converted-space"/>
          <w:rFonts w:ascii="Book Antiqua" w:eastAsia="宋体" w:hAnsi="Book Antiqua" w:cs="Arial"/>
          <w:b/>
          <w:sz w:val="20"/>
          <w:szCs w:val="20"/>
        </w:rPr>
        <w:t>D</w:t>
      </w:r>
      <w:r w:rsidRPr="001409F0">
        <w:rPr>
          <w:rStyle w:val="apple-converted-space"/>
          <w:rFonts w:ascii="Book Antiqua" w:hAnsi="Book Antiqua" w:cs="Arial"/>
          <w:b/>
          <w:sz w:val="20"/>
          <w:szCs w:val="20"/>
        </w:rPr>
        <w:t>an Wang</w:t>
      </w:r>
      <w:r w:rsidRPr="00472ED2">
        <w:rPr>
          <w:rStyle w:val="apple-converted-space"/>
          <w:rFonts w:ascii="Book Antiqua" w:hAnsi="Book Antiqua" w:cs="Arial"/>
          <w:b/>
          <w:sz w:val="20"/>
          <w:szCs w:val="20"/>
        </w:rPr>
        <w:t xml:space="preserve">, </w:t>
      </w:r>
      <w:r w:rsidRPr="001409F0">
        <w:rPr>
          <w:rStyle w:val="apple-converted-space"/>
          <w:rFonts w:ascii="Book Antiqua" w:hAnsi="Book Antiqua" w:cs="Arial"/>
          <w:b/>
          <w:sz w:val="20"/>
          <w:szCs w:val="20"/>
        </w:rPr>
        <w:t>Yi-</w:t>
      </w:r>
      <w:r w:rsidRPr="001409F0">
        <w:rPr>
          <w:rStyle w:val="apple-converted-space"/>
          <w:rFonts w:ascii="Book Antiqua" w:eastAsia="宋体" w:hAnsi="Book Antiqua" w:cs="Arial"/>
          <w:b/>
          <w:sz w:val="20"/>
          <w:szCs w:val="20"/>
        </w:rPr>
        <w:t>D</w:t>
      </w:r>
      <w:r w:rsidRPr="001409F0">
        <w:rPr>
          <w:rStyle w:val="apple-converted-space"/>
          <w:rFonts w:ascii="Book Antiqua" w:hAnsi="Book Antiqua" w:cs="Arial"/>
          <w:b/>
          <w:sz w:val="20"/>
          <w:szCs w:val="20"/>
        </w:rPr>
        <w:t>an Dai</w:t>
      </w:r>
      <w:r w:rsidRPr="00472ED2">
        <w:rPr>
          <w:rStyle w:val="apple-converted-space"/>
          <w:rFonts w:ascii="Book Antiqua" w:hAnsi="Book Antiqua" w:cs="Arial"/>
          <w:b/>
          <w:sz w:val="20"/>
          <w:szCs w:val="20"/>
        </w:rPr>
        <w:t xml:space="preserve">, </w:t>
      </w:r>
      <w:r w:rsidRPr="001409F0">
        <w:rPr>
          <w:rStyle w:val="apple-converted-space"/>
          <w:rFonts w:ascii="Book Antiqua" w:hAnsi="Book Antiqua" w:cs="Arial"/>
          <w:b/>
          <w:sz w:val="20"/>
          <w:szCs w:val="20"/>
        </w:rPr>
        <w:t>Ke Ren</w:t>
      </w:r>
      <w:r w:rsidRPr="00472ED2">
        <w:rPr>
          <w:rStyle w:val="apple-converted-space"/>
          <w:rFonts w:ascii="Book Antiqua" w:hAnsi="Book Antiqua" w:cs="Arial"/>
          <w:b/>
          <w:sz w:val="20"/>
          <w:szCs w:val="20"/>
        </w:rPr>
        <w:t xml:space="preserve">, </w:t>
      </w:r>
      <w:r w:rsidRPr="001409F0">
        <w:rPr>
          <w:rStyle w:val="apple-converted-space"/>
          <w:rFonts w:ascii="Book Antiqua" w:hAnsi="Book Antiqua" w:cs="Arial"/>
          <w:b/>
          <w:sz w:val="20"/>
          <w:szCs w:val="20"/>
        </w:rPr>
        <w:t>Shuang-Qin Yi</w:t>
      </w:r>
      <w:r w:rsidRPr="00472ED2">
        <w:rPr>
          <w:rStyle w:val="apple-converted-space"/>
          <w:rFonts w:ascii="Book Antiqua" w:hAnsi="Book Antiqua" w:cs="Arial"/>
          <w:b/>
          <w:sz w:val="20"/>
          <w:szCs w:val="20"/>
        </w:rPr>
        <w:t>,</w:t>
      </w:r>
      <w:r w:rsidRPr="00472ED2">
        <w:rPr>
          <w:rFonts w:ascii="Book Antiqua" w:hAnsi="Book Antiqua" w:cs="Arial"/>
          <w:b/>
          <w:sz w:val="20"/>
          <w:szCs w:val="20"/>
        </w:rPr>
        <w:t xml:space="preserve"> </w:t>
      </w:r>
      <w:r w:rsidRPr="001409F0">
        <w:rPr>
          <w:rFonts w:ascii="Book Antiqua" w:hAnsi="Book Antiqua" w:cs="Arial"/>
          <w:sz w:val="20"/>
          <w:szCs w:val="20"/>
        </w:rPr>
        <w:t>Laboratory of Functional Morphology, Graduate School of Human Health Sciences, Tokyo Metropolitan University, Tokyo 116-8551, Japan</w:t>
      </w:r>
    </w:p>
    <w:p w14:paraId="1ECA976C" w14:textId="77777777" w:rsidR="000E0111" w:rsidRPr="001409F0" w:rsidRDefault="000E0111" w:rsidP="001409F0">
      <w:pPr>
        <w:pStyle w:val="HTML"/>
        <w:adjustRightInd w:val="0"/>
        <w:snapToGrid w:val="0"/>
        <w:spacing w:line="360" w:lineRule="auto"/>
        <w:jc w:val="both"/>
        <w:rPr>
          <w:rFonts w:ascii="Book Antiqua" w:hAnsi="Book Antiqua" w:cs="Arial"/>
          <w:sz w:val="20"/>
          <w:szCs w:val="20"/>
        </w:rPr>
      </w:pPr>
    </w:p>
    <w:p w14:paraId="38CCF635" w14:textId="5D1FD6E2" w:rsidR="00E05BA3" w:rsidRPr="001409F0" w:rsidRDefault="00E05BA3" w:rsidP="001409F0">
      <w:pPr>
        <w:shd w:val="clear" w:color="auto" w:fill="FFFFFF"/>
        <w:adjustRightInd w:val="0"/>
        <w:snapToGrid w:val="0"/>
        <w:spacing w:line="360" w:lineRule="auto"/>
        <w:rPr>
          <w:rStyle w:val="apple-converted-space"/>
          <w:rFonts w:ascii="Book Antiqua" w:hAnsi="Book Antiqua" w:cs="Arial"/>
        </w:rPr>
      </w:pPr>
      <w:r w:rsidRPr="001409F0">
        <w:rPr>
          <w:rStyle w:val="apple-converted-space"/>
          <w:rFonts w:ascii="Book Antiqua" w:hAnsi="Book Antiqua" w:cs="Arial"/>
          <w:b/>
        </w:rPr>
        <w:t>Yu Zhang</w:t>
      </w:r>
      <w:r w:rsidRPr="00472ED2">
        <w:rPr>
          <w:rStyle w:val="apple-converted-space"/>
          <w:rFonts w:ascii="Book Antiqua" w:hAnsi="Book Antiqua" w:cs="Arial"/>
          <w:b/>
        </w:rPr>
        <w:t xml:space="preserve">, </w:t>
      </w:r>
      <w:r w:rsidRPr="001409F0">
        <w:rPr>
          <w:rStyle w:val="apple-converted-space"/>
          <w:rFonts w:ascii="Book Antiqua" w:hAnsi="Book Antiqua" w:cs="Arial"/>
          <w:b/>
        </w:rPr>
        <w:t>Chen Han</w:t>
      </w:r>
      <w:r w:rsidRPr="00472ED2">
        <w:rPr>
          <w:rStyle w:val="apple-converted-space"/>
          <w:rFonts w:ascii="Book Antiqua" w:hAnsi="Book Antiqua" w:cs="Arial"/>
          <w:b/>
        </w:rPr>
        <w:t xml:space="preserve">, </w:t>
      </w:r>
      <w:r w:rsidRPr="001409F0">
        <w:rPr>
          <w:rStyle w:val="apple-converted-space"/>
          <w:rFonts w:ascii="Book Antiqua" w:hAnsi="Book Antiqua" w:cs="Arial"/>
          <w:b/>
        </w:rPr>
        <w:t>Heng-Xiao Wang</w:t>
      </w:r>
      <w:r w:rsidRPr="00472ED2">
        <w:rPr>
          <w:rStyle w:val="apple-converted-space"/>
          <w:rFonts w:ascii="Book Antiqua" w:hAnsi="Book Antiqua" w:cs="Arial"/>
          <w:b/>
        </w:rPr>
        <w:t>,</w:t>
      </w:r>
      <w:r w:rsidRPr="001409F0">
        <w:rPr>
          <w:rStyle w:val="apple-converted-space"/>
          <w:rFonts w:ascii="Book Antiqua" w:hAnsi="Book Antiqua" w:cs="Arial"/>
        </w:rPr>
        <w:t xml:space="preserve"> Institute of Basic Medicine, Shandong First Medical University &amp; Shandong Academy of Medical </w:t>
      </w:r>
      <w:r w:rsidRPr="001409F0">
        <w:rPr>
          <w:rStyle w:val="ac"/>
          <w:rFonts w:ascii="Book Antiqua" w:hAnsi="Book Antiqua" w:cs="Arial"/>
          <w:b w:val="0"/>
          <w:bCs/>
        </w:rPr>
        <w:t>Sciences</w:t>
      </w:r>
      <w:r w:rsidRPr="001409F0">
        <w:rPr>
          <w:rStyle w:val="apple-converted-space"/>
          <w:rFonts w:ascii="Book Antiqua" w:hAnsi="Book Antiqua" w:cs="Arial"/>
        </w:rPr>
        <w:t>, Jinan 250062, Shandong Province, China</w:t>
      </w:r>
    </w:p>
    <w:p w14:paraId="703188B7" w14:textId="77777777" w:rsidR="00E05BA3" w:rsidRPr="001409F0" w:rsidRDefault="00E05BA3" w:rsidP="001409F0">
      <w:pPr>
        <w:adjustRightInd w:val="0"/>
        <w:snapToGrid w:val="0"/>
        <w:spacing w:line="360" w:lineRule="auto"/>
        <w:rPr>
          <w:rFonts w:ascii="Book Antiqua" w:hAnsi="Book Antiqua" w:cs="Arial"/>
        </w:rPr>
      </w:pPr>
    </w:p>
    <w:p w14:paraId="3756C925" w14:textId="2BE7F2B5"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b/>
        </w:rPr>
        <w:t>Author contributions:</w:t>
      </w:r>
      <w:r w:rsidRPr="001409F0">
        <w:rPr>
          <w:rFonts w:ascii="Book Antiqua" w:hAnsi="Book Antiqua" w:cs="Arial"/>
        </w:rPr>
        <w:t xml:space="preserve"> </w:t>
      </w:r>
      <w:r w:rsidR="000E0111" w:rsidRPr="001409F0">
        <w:rPr>
          <w:rFonts w:ascii="Book Antiqua" w:hAnsi="Book Antiqua" w:cs="Arial"/>
        </w:rPr>
        <w:t>Wang ZD</w:t>
      </w:r>
      <w:r w:rsidR="000E0111" w:rsidRPr="001409F0">
        <w:rPr>
          <w:rStyle w:val="apple-converted-space"/>
          <w:rFonts w:ascii="Book Antiqua" w:hAnsi="Book Antiqua" w:cs="Arial"/>
        </w:rPr>
        <w:t xml:space="preserve"> and </w:t>
      </w:r>
      <w:r w:rsidR="000E0111" w:rsidRPr="001409F0">
        <w:rPr>
          <w:rFonts w:ascii="Book Antiqua" w:hAnsi="Book Antiqua" w:cs="Arial"/>
        </w:rPr>
        <w:t>Zhang Y</w:t>
      </w:r>
      <w:r w:rsidR="000E0111" w:rsidRPr="001409F0">
        <w:rPr>
          <w:rStyle w:val="apple-converted-space"/>
          <w:rFonts w:ascii="Book Antiqua" w:hAnsi="Book Antiqua" w:cs="Arial"/>
        </w:rPr>
        <w:t xml:space="preserve"> contributed equally to this study; </w:t>
      </w:r>
      <w:r w:rsidRPr="001409F0">
        <w:rPr>
          <w:rFonts w:ascii="Book Antiqua" w:hAnsi="Book Antiqua" w:cs="Arial"/>
        </w:rPr>
        <w:t>Wang Z</w:t>
      </w:r>
      <w:r w:rsidR="00B560AC" w:rsidRPr="001409F0">
        <w:rPr>
          <w:rFonts w:ascii="Book Antiqua" w:hAnsi="Book Antiqua" w:cs="Arial"/>
        </w:rPr>
        <w:t>D</w:t>
      </w:r>
      <w:r w:rsidRPr="001409F0">
        <w:rPr>
          <w:rFonts w:ascii="Book Antiqua" w:hAnsi="Book Antiqua" w:cs="Arial"/>
        </w:rPr>
        <w:t xml:space="preserve"> and Wang H</w:t>
      </w:r>
      <w:r w:rsidR="00B560AC" w:rsidRPr="001409F0">
        <w:rPr>
          <w:rFonts w:ascii="Book Antiqua" w:hAnsi="Book Antiqua" w:cs="Arial"/>
        </w:rPr>
        <w:t>X</w:t>
      </w:r>
      <w:r w:rsidRPr="001409F0">
        <w:rPr>
          <w:rFonts w:ascii="Book Antiqua" w:hAnsi="Book Antiqua" w:cs="Arial"/>
        </w:rPr>
        <w:t xml:space="preserve"> designed the research; Wang Z</w:t>
      </w:r>
      <w:r w:rsidR="00B560AC" w:rsidRPr="001409F0">
        <w:rPr>
          <w:rFonts w:ascii="Book Antiqua" w:hAnsi="Book Antiqua" w:cs="Arial"/>
        </w:rPr>
        <w:t>D</w:t>
      </w:r>
      <w:r w:rsidRPr="001409F0">
        <w:rPr>
          <w:rFonts w:ascii="Book Antiqua" w:hAnsi="Book Antiqua" w:cs="Arial"/>
        </w:rPr>
        <w:t>, Zhang Y and Dai Y</w:t>
      </w:r>
      <w:r w:rsidR="00B560AC" w:rsidRPr="001409F0">
        <w:rPr>
          <w:rFonts w:ascii="Book Antiqua" w:hAnsi="Book Antiqua" w:cs="Arial"/>
        </w:rPr>
        <w:t>D</w:t>
      </w:r>
      <w:r w:rsidRPr="001409F0">
        <w:rPr>
          <w:rFonts w:ascii="Book Antiqua" w:hAnsi="Book Antiqua" w:cs="Arial"/>
        </w:rPr>
        <w:t xml:space="preserve"> performed the pathological analysis; Wang Z</w:t>
      </w:r>
      <w:r w:rsidR="00B560AC" w:rsidRPr="001409F0">
        <w:rPr>
          <w:rFonts w:ascii="Book Antiqua" w:hAnsi="Book Antiqua" w:cs="Arial"/>
        </w:rPr>
        <w:t>D</w:t>
      </w:r>
      <w:r w:rsidRPr="001409F0">
        <w:rPr>
          <w:rFonts w:ascii="Book Antiqua" w:hAnsi="Book Antiqua" w:cs="Arial"/>
        </w:rPr>
        <w:t>, Zhang Y, Dai Y</w:t>
      </w:r>
      <w:r w:rsidR="00B560AC" w:rsidRPr="001409F0">
        <w:rPr>
          <w:rFonts w:ascii="Book Antiqua" w:hAnsi="Book Antiqua" w:cs="Arial"/>
        </w:rPr>
        <w:t>D</w:t>
      </w:r>
      <w:r w:rsidRPr="001409F0">
        <w:rPr>
          <w:rFonts w:ascii="Book Antiqua" w:hAnsi="Book Antiqua" w:cs="Arial"/>
        </w:rPr>
        <w:t xml:space="preserve"> and Ren K performed all experiments, collected </w:t>
      </w:r>
      <w:r w:rsidR="001409F0" w:rsidRPr="001409F0">
        <w:rPr>
          <w:rFonts w:ascii="Book Antiqua" w:hAnsi="Book Antiqua" w:cs="Arial"/>
        </w:rPr>
        <w:t xml:space="preserve">the </w:t>
      </w:r>
      <w:r w:rsidRPr="001409F0">
        <w:rPr>
          <w:rFonts w:ascii="Book Antiqua" w:hAnsi="Book Antiqua" w:cs="Arial"/>
        </w:rPr>
        <w:t>data, and analyzed the data; Wang H</w:t>
      </w:r>
      <w:r w:rsidR="00B560AC" w:rsidRPr="001409F0">
        <w:rPr>
          <w:rFonts w:ascii="Book Antiqua" w:hAnsi="Book Antiqua" w:cs="Arial"/>
        </w:rPr>
        <w:t>X</w:t>
      </w:r>
      <w:r w:rsidRPr="001409F0">
        <w:rPr>
          <w:rFonts w:ascii="Book Antiqua" w:hAnsi="Book Antiqua" w:cs="Arial"/>
        </w:rPr>
        <w:t xml:space="preserve"> and Yi SQ performed the statistical analysis; Wang Z</w:t>
      </w:r>
      <w:r w:rsidR="00B560AC" w:rsidRPr="001409F0">
        <w:rPr>
          <w:rFonts w:ascii="Book Antiqua" w:hAnsi="Book Antiqua" w:cs="Arial"/>
        </w:rPr>
        <w:t>D</w:t>
      </w:r>
      <w:r w:rsidRPr="001409F0">
        <w:rPr>
          <w:rFonts w:ascii="Book Antiqua" w:hAnsi="Book Antiqua" w:cs="Arial"/>
        </w:rPr>
        <w:t xml:space="preserve"> and Zhang Y wrote the manuscript; Wang H</w:t>
      </w:r>
      <w:r w:rsidR="00B560AC" w:rsidRPr="001409F0">
        <w:rPr>
          <w:rFonts w:ascii="Book Antiqua" w:hAnsi="Book Antiqua" w:cs="Arial"/>
        </w:rPr>
        <w:t>X</w:t>
      </w:r>
      <w:r w:rsidRPr="001409F0">
        <w:rPr>
          <w:rFonts w:ascii="Book Antiqua" w:hAnsi="Book Antiqua" w:cs="Arial"/>
        </w:rPr>
        <w:t xml:space="preserve"> and Yi SQ reviewed the manuscript; </w:t>
      </w:r>
      <w:r w:rsidR="001409F0" w:rsidRPr="001409F0">
        <w:rPr>
          <w:rFonts w:ascii="Book Antiqua" w:hAnsi="Book Antiqua" w:cs="Arial"/>
        </w:rPr>
        <w:t>A</w:t>
      </w:r>
      <w:r w:rsidRPr="001409F0">
        <w:rPr>
          <w:rFonts w:ascii="Book Antiqua" w:hAnsi="Book Antiqua" w:cs="Arial"/>
        </w:rPr>
        <w:t>ll authors approved the final version of the manuscript.</w:t>
      </w:r>
    </w:p>
    <w:p w14:paraId="176F633D" w14:textId="7CCCA8A9" w:rsidR="00E05BA3" w:rsidRPr="001409F0" w:rsidRDefault="00E05BA3" w:rsidP="001409F0">
      <w:pPr>
        <w:adjustRightInd w:val="0"/>
        <w:snapToGrid w:val="0"/>
        <w:spacing w:line="360" w:lineRule="auto"/>
        <w:rPr>
          <w:rFonts w:ascii="Book Antiqua" w:hAnsi="Book Antiqua" w:cs="Arial"/>
        </w:rPr>
      </w:pPr>
    </w:p>
    <w:p w14:paraId="273EE9FD" w14:textId="4ACE53E1"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b/>
        </w:rPr>
        <w:t>Supported</w:t>
      </w:r>
      <w:r w:rsidRPr="001409F0">
        <w:rPr>
          <w:rFonts w:ascii="Book Antiqua" w:hAnsi="Book Antiqua" w:cs="Arial"/>
        </w:rPr>
        <w:t xml:space="preserve"> </w:t>
      </w:r>
      <w:r w:rsidRPr="001409F0">
        <w:rPr>
          <w:rFonts w:ascii="Book Antiqua" w:hAnsi="Book Antiqua" w:cs="Arial"/>
          <w:b/>
          <w:bCs/>
        </w:rPr>
        <w:t>by</w:t>
      </w:r>
      <w:r w:rsidRPr="001409F0">
        <w:rPr>
          <w:rFonts w:ascii="Book Antiqua" w:hAnsi="Book Antiqua" w:cs="Arial"/>
        </w:rPr>
        <w:t xml:space="preserve"> </w:t>
      </w:r>
      <w:r w:rsidRPr="001409F0">
        <w:rPr>
          <w:rStyle w:val="ac"/>
          <w:rFonts w:ascii="Book Antiqua" w:hAnsi="Book Antiqua" w:cs="Arial"/>
          <w:b w:val="0"/>
          <w:bCs/>
        </w:rPr>
        <w:t>the</w:t>
      </w:r>
      <w:r w:rsidRPr="001409F0">
        <w:rPr>
          <w:rFonts w:ascii="Book Antiqua" w:hAnsi="Book Antiqua" w:cs="Arial"/>
        </w:rPr>
        <w:t xml:space="preserve"> Innovation Project of Shandong Academy of Medical Science; </w:t>
      </w:r>
      <w:r w:rsidR="000E0111" w:rsidRPr="001409F0">
        <w:rPr>
          <w:rFonts w:ascii="Book Antiqua" w:hAnsi="Book Antiqua" w:cs="Arial"/>
        </w:rPr>
        <w:t xml:space="preserve">the </w:t>
      </w:r>
      <w:r w:rsidRPr="001409F0">
        <w:rPr>
          <w:rFonts w:ascii="Book Antiqua" w:hAnsi="Book Antiqua" w:cs="Arial"/>
        </w:rPr>
        <w:t>Science and Technology Major Project of Shandong province</w:t>
      </w:r>
      <w:r w:rsidR="000E0111" w:rsidRPr="001409F0">
        <w:rPr>
          <w:rFonts w:ascii="Book Antiqua" w:hAnsi="Book Antiqua" w:cs="Arial"/>
        </w:rPr>
        <w:t>,</w:t>
      </w:r>
      <w:r w:rsidRPr="001409F0">
        <w:rPr>
          <w:rFonts w:ascii="Book Antiqua" w:hAnsi="Book Antiqua" w:cs="Arial"/>
        </w:rPr>
        <w:t xml:space="preserve"> </w:t>
      </w:r>
      <w:r w:rsidR="000E0111" w:rsidRPr="001409F0">
        <w:rPr>
          <w:rFonts w:ascii="Book Antiqua" w:hAnsi="Book Antiqua" w:cs="Arial"/>
        </w:rPr>
        <w:t xml:space="preserve">No. </w:t>
      </w:r>
      <w:r w:rsidRPr="001409F0">
        <w:rPr>
          <w:rFonts w:ascii="Book Antiqua" w:hAnsi="Book Antiqua" w:cs="Arial"/>
        </w:rPr>
        <w:t>2015ZDJS03002</w:t>
      </w:r>
      <w:r w:rsidR="000E0111" w:rsidRPr="001409F0">
        <w:rPr>
          <w:rFonts w:ascii="Book Antiqua" w:hAnsi="Book Antiqua" w:cs="Arial"/>
        </w:rPr>
        <w:t>.</w:t>
      </w:r>
    </w:p>
    <w:p w14:paraId="6874BF9E" w14:textId="77777777" w:rsidR="000E0111" w:rsidRPr="001409F0" w:rsidRDefault="000E0111" w:rsidP="001409F0">
      <w:pPr>
        <w:adjustRightInd w:val="0"/>
        <w:snapToGrid w:val="0"/>
        <w:spacing w:line="360" w:lineRule="auto"/>
        <w:rPr>
          <w:rFonts w:ascii="Book Antiqua" w:hAnsi="Book Antiqua" w:cs="Arial"/>
        </w:rPr>
      </w:pPr>
    </w:p>
    <w:p w14:paraId="50F1A874" w14:textId="095A3EA9" w:rsidR="00E05BA3" w:rsidRPr="001409F0" w:rsidRDefault="000E0111" w:rsidP="001409F0">
      <w:pPr>
        <w:adjustRightInd w:val="0"/>
        <w:snapToGrid w:val="0"/>
        <w:spacing w:line="360" w:lineRule="auto"/>
        <w:rPr>
          <w:rFonts w:ascii="Book Antiqua" w:hAnsi="Book Antiqua" w:cs="Arial"/>
        </w:rPr>
      </w:pPr>
      <w:bookmarkStart w:id="7" w:name="_Hlk28872359"/>
      <w:r w:rsidRPr="001409F0">
        <w:rPr>
          <w:rFonts w:ascii="Book Antiqua" w:hAnsi="Book Antiqua" w:cs="Calibri"/>
          <w:b/>
          <w:lang w:eastAsia="en-US"/>
        </w:rPr>
        <w:t>Corresponding author:</w:t>
      </w:r>
      <w:bookmarkEnd w:id="7"/>
      <w:r w:rsidRPr="001409F0">
        <w:rPr>
          <w:rFonts w:ascii="Book Antiqua" w:hAnsi="Book Antiqua" w:cs="Calibri"/>
          <w:b/>
          <w:lang w:eastAsia="en-US"/>
        </w:rPr>
        <w:t xml:space="preserve"> </w:t>
      </w:r>
      <w:r w:rsidR="00E05BA3" w:rsidRPr="001409F0">
        <w:rPr>
          <w:rFonts w:ascii="Book Antiqua" w:hAnsi="Book Antiqua"/>
          <w:b/>
        </w:rPr>
        <w:t>Shuang-Qin Yi, MD, PhD, Professor</w:t>
      </w:r>
      <w:r w:rsidR="00E05BA3" w:rsidRPr="00472ED2">
        <w:rPr>
          <w:rFonts w:ascii="Book Antiqua" w:hAnsi="Book Antiqua"/>
          <w:b/>
          <w:bCs/>
        </w:rPr>
        <w:t>,</w:t>
      </w:r>
      <w:r w:rsidR="00E05BA3" w:rsidRPr="001409F0">
        <w:rPr>
          <w:rFonts w:ascii="Book Antiqua" w:hAnsi="Book Antiqua"/>
        </w:rPr>
        <w:t xml:space="preserve"> Department of Frontier Health Sciences, Graduate School of Human Health Sciences, Tokyo Metropolitan University, 7-2-10, Higashiogu, Arakawa-ku, 116-8551 Tokyo, Japan. yittmniu@tmu.ac.jp</w:t>
      </w:r>
    </w:p>
    <w:p w14:paraId="6B70ED11" w14:textId="77777777" w:rsidR="000E0111" w:rsidRPr="001409F0" w:rsidRDefault="000E0111" w:rsidP="001409F0">
      <w:pPr>
        <w:adjustRightInd w:val="0"/>
        <w:snapToGrid w:val="0"/>
        <w:spacing w:line="360" w:lineRule="auto"/>
        <w:rPr>
          <w:rFonts w:ascii="Book Antiqua" w:hAnsi="Book Antiqua" w:cs="Calibri"/>
        </w:rPr>
      </w:pPr>
    </w:p>
    <w:p w14:paraId="6643A886" w14:textId="296B94CA" w:rsidR="000E0111" w:rsidRPr="001409F0" w:rsidRDefault="000E0111" w:rsidP="001409F0">
      <w:pPr>
        <w:widowControl/>
        <w:snapToGrid w:val="0"/>
        <w:spacing w:line="360" w:lineRule="auto"/>
        <w:rPr>
          <w:rFonts w:ascii="Book Antiqua" w:hAnsi="Book Antiqua"/>
          <w:b/>
          <w:lang w:eastAsia="en-US"/>
        </w:rPr>
      </w:pPr>
      <w:bookmarkStart w:id="8" w:name="_Hlk28872415"/>
      <w:r w:rsidRPr="001409F0">
        <w:rPr>
          <w:rFonts w:ascii="Book Antiqua" w:hAnsi="Book Antiqua"/>
          <w:b/>
          <w:lang w:eastAsia="en-US"/>
        </w:rPr>
        <w:t>Received:</w:t>
      </w:r>
      <w:r w:rsidRPr="001409F0">
        <w:rPr>
          <w:rFonts w:ascii="Book Antiqua" w:hAnsi="Book Antiqua"/>
          <w:b/>
        </w:rPr>
        <w:t xml:space="preserve"> </w:t>
      </w:r>
      <w:r w:rsidRPr="001409F0">
        <w:rPr>
          <w:rFonts w:ascii="Book Antiqua" w:hAnsi="Book Antiqua"/>
        </w:rPr>
        <w:t xml:space="preserve">November </w:t>
      </w:r>
      <w:r w:rsidRPr="001409F0">
        <w:rPr>
          <w:rFonts w:ascii="Book Antiqua" w:eastAsia="等线" w:hAnsi="Book Antiqua"/>
          <w:kern w:val="2"/>
        </w:rPr>
        <w:t>5</w:t>
      </w:r>
      <w:r w:rsidRPr="001409F0">
        <w:rPr>
          <w:rFonts w:ascii="Book Antiqua" w:hAnsi="Book Antiqua"/>
        </w:rPr>
        <w:t>, 2019</w:t>
      </w:r>
    </w:p>
    <w:p w14:paraId="4CA5068E" w14:textId="3B998FF6" w:rsidR="000E0111" w:rsidRPr="001409F0" w:rsidRDefault="000E0111" w:rsidP="001409F0">
      <w:pPr>
        <w:widowControl/>
        <w:snapToGrid w:val="0"/>
        <w:spacing w:line="360" w:lineRule="auto"/>
        <w:rPr>
          <w:rFonts w:ascii="Book Antiqua" w:hAnsi="Book Antiqua"/>
          <w:b/>
          <w:lang w:eastAsia="en-US"/>
        </w:rPr>
      </w:pPr>
      <w:r w:rsidRPr="001409F0">
        <w:rPr>
          <w:rFonts w:ascii="Book Antiqua" w:hAnsi="Book Antiqua"/>
          <w:b/>
          <w:lang w:eastAsia="en-US"/>
        </w:rPr>
        <w:t>Revised:</w:t>
      </w:r>
      <w:r w:rsidRPr="001409F0">
        <w:rPr>
          <w:rFonts w:ascii="Book Antiqua" w:hAnsi="Book Antiqua"/>
        </w:rPr>
        <w:t xml:space="preserve"> January </w:t>
      </w:r>
      <w:r w:rsidRPr="001409F0">
        <w:rPr>
          <w:rFonts w:ascii="Book Antiqua" w:eastAsia="等线" w:hAnsi="Book Antiqua"/>
          <w:kern w:val="2"/>
        </w:rPr>
        <w:t>8</w:t>
      </w:r>
      <w:r w:rsidRPr="001409F0">
        <w:rPr>
          <w:rFonts w:ascii="Book Antiqua" w:hAnsi="Book Antiqua"/>
        </w:rPr>
        <w:t>, 2020</w:t>
      </w:r>
    </w:p>
    <w:p w14:paraId="71F9424F" w14:textId="6AFB2A6B" w:rsidR="000E0111" w:rsidRPr="001409F0" w:rsidRDefault="000E0111" w:rsidP="001409F0">
      <w:pPr>
        <w:widowControl/>
        <w:snapToGrid w:val="0"/>
        <w:spacing w:line="360" w:lineRule="auto"/>
        <w:rPr>
          <w:rFonts w:ascii="Book Antiqua" w:hAnsi="Book Antiqua"/>
          <w:b/>
          <w:lang w:eastAsia="en-US"/>
        </w:rPr>
      </w:pPr>
      <w:r w:rsidRPr="001409F0">
        <w:rPr>
          <w:rFonts w:ascii="Book Antiqua" w:hAnsi="Book Antiqua"/>
          <w:b/>
          <w:lang w:eastAsia="en-US"/>
        </w:rPr>
        <w:t>Accepted:</w:t>
      </w:r>
      <w:r w:rsidR="0067539F" w:rsidRPr="001409F0">
        <w:t xml:space="preserve"> </w:t>
      </w:r>
      <w:r w:rsidR="0067539F" w:rsidRPr="001409F0">
        <w:rPr>
          <w:rFonts w:ascii="Book Antiqua" w:hAnsi="Book Antiqua"/>
          <w:bCs/>
          <w:lang w:eastAsia="en-US"/>
        </w:rPr>
        <w:t>February 28, 2020</w:t>
      </w:r>
      <w:r w:rsidRPr="001409F0">
        <w:rPr>
          <w:bCs/>
          <w:lang w:eastAsia="en-US"/>
        </w:rPr>
        <w:t xml:space="preserve"> </w:t>
      </w:r>
    </w:p>
    <w:p w14:paraId="0271D0E8" w14:textId="77777777" w:rsidR="000E0111" w:rsidRPr="001409F0" w:rsidRDefault="000E0111" w:rsidP="001409F0">
      <w:pPr>
        <w:widowControl/>
        <w:snapToGrid w:val="0"/>
        <w:spacing w:line="360" w:lineRule="auto"/>
        <w:rPr>
          <w:rFonts w:ascii="Book Antiqua" w:hAnsi="Book Antiqua"/>
          <w:b/>
        </w:rPr>
      </w:pPr>
      <w:r w:rsidRPr="001409F0">
        <w:rPr>
          <w:rFonts w:ascii="Book Antiqua" w:hAnsi="Book Antiqua"/>
          <w:b/>
          <w:lang w:eastAsia="en-US"/>
        </w:rPr>
        <w:t xml:space="preserve">Published online: </w:t>
      </w:r>
    </w:p>
    <w:bookmarkEnd w:id="8"/>
    <w:p w14:paraId="441E9E8A" w14:textId="22BB29E9" w:rsidR="00E05BA3" w:rsidRPr="001409F0" w:rsidRDefault="001409F0" w:rsidP="001409F0">
      <w:pPr>
        <w:tabs>
          <w:tab w:val="left" w:pos="1509"/>
        </w:tabs>
        <w:adjustRightInd w:val="0"/>
        <w:snapToGrid w:val="0"/>
        <w:spacing w:line="360" w:lineRule="auto"/>
        <w:rPr>
          <w:rStyle w:val="ac"/>
          <w:rFonts w:ascii="Book Antiqua" w:hAnsi="Book Antiqua" w:cs="Arial"/>
          <w:bCs/>
        </w:rPr>
      </w:pPr>
      <w:r>
        <w:rPr>
          <w:rStyle w:val="ac"/>
          <w:rFonts w:ascii="Book Antiqua" w:hAnsi="Book Antiqua" w:cs="Arial"/>
          <w:bCs/>
        </w:rPr>
        <w:tab/>
      </w:r>
    </w:p>
    <w:p w14:paraId="69CCBF7A" w14:textId="77777777" w:rsidR="005D1038" w:rsidRPr="001409F0" w:rsidRDefault="00E05BA3" w:rsidP="001409F0">
      <w:pPr>
        <w:widowControl/>
        <w:adjustRightInd w:val="0"/>
        <w:snapToGrid w:val="0"/>
        <w:spacing w:line="360" w:lineRule="auto"/>
        <w:rPr>
          <w:rFonts w:ascii="Book Antiqua" w:hAnsi="Book Antiqua" w:cs="Calibri"/>
          <w:b/>
          <w:lang w:eastAsia="en-US"/>
        </w:rPr>
      </w:pPr>
      <w:r w:rsidRPr="001409F0">
        <w:rPr>
          <w:rFonts w:ascii="Book Antiqua" w:hAnsi="Book Antiqua" w:cs="Arial"/>
          <w:b/>
        </w:rPr>
        <w:br w:type="page"/>
      </w:r>
      <w:bookmarkStart w:id="9" w:name="_Hlk28872520"/>
      <w:bookmarkStart w:id="10" w:name="OLE_LINK23"/>
      <w:bookmarkStart w:id="11" w:name="OLE_LINK24"/>
      <w:bookmarkStart w:id="12" w:name="OLE_LINK20"/>
      <w:bookmarkStart w:id="13" w:name="OLE_LINK21"/>
      <w:bookmarkStart w:id="14" w:name="OLE_LINK22"/>
      <w:bookmarkStart w:id="15" w:name="OLE_LINK27"/>
      <w:bookmarkStart w:id="16" w:name="OLE_LINK18"/>
      <w:bookmarkStart w:id="17" w:name="OLE_LINK19"/>
      <w:bookmarkStart w:id="18" w:name="OLE_LINK3"/>
      <w:bookmarkStart w:id="19" w:name="OLE_LINK6"/>
      <w:r w:rsidR="005D1038" w:rsidRPr="001409F0">
        <w:rPr>
          <w:rFonts w:ascii="Book Antiqua" w:hAnsi="Book Antiqua" w:cs="Calibri"/>
          <w:b/>
          <w:lang w:eastAsia="en-US"/>
        </w:rPr>
        <w:lastRenderedPageBreak/>
        <w:t>Abstract</w:t>
      </w:r>
    </w:p>
    <w:p w14:paraId="6EDAA227" w14:textId="77777777" w:rsidR="005D1038" w:rsidRPr="001409F0" w:rsidRDefault="005D1038" w:rsidP="001409F0">
      <w:pPr>
        <w:widowControl/>
        <w:adjustRightInd w:val="0"/>
        <w:snapToGrid w:val="0"/>
        <w:spacing w:line="360" w:lineRule="auto"/>
        <w:rPr>
          <w:rFonts w:ascii="Book Antiqua" w:hAnsi="Book Antiqua" w:cs="Calibri"/>
        </w:rPr>
      </w:pPr>
      <w:r w:rsidRPr="001409F0">
        <w:rPr>
          <w:rFonts w:ascii="Book Antiqua" w:hAnsi="Book Antiqua" w:cs="Calibri"/>
          <w:lang w:eastAsia="en-US"/>
        </w:rPr>
        <w:t>BACKGROUND</w:t>
      </w:r>
    </w:p>
    <w:bookmarkEnd w:id="9"/>
    <w:p w14:paraId="43C41600" w14:textId="0E1BB46D" w:rsidR="00E05BA3" w:rsidRPr="001409F0" w:rsidRDefault="00E05BA3" w:rsidP="001409F0">
      <w:pPr>
        <w:adjustRightInd w:val="0"/>
        <w:snapToGrid w:val="0"/>
        <w:spacing w:line="360" w:lineRule="auto"/>
        <w:rPr>
          <w:rFonts w:ascii="Book Antiqua" w:eastAsia="MS Mincho" w:hAnsi="Book Antiqua" w:cs="Arial"/>
          <w:b/>
          <w:i/>
          <w:lang w:eastAsia="ja-JP"/>
        </w:rPr>
      </w:pPr>
      <w:r w:rsidRPr="001409F0">
        <w:rPr>
          <w:rFonts w:ascii="Book Antiqua" w:hAnsi="Book Antiqua" w:cs="Arial"/>
          <w:i/>
        </w:rPr>
        <w:t xml:space="preserve">Tamarix chinensis Lour </w:t>
      </w:r>
      <w:r w:rsidRPr="001409F0">
        <w:rPr>
          <w:rFonts w:ascii="Book Antiqua" w:hAnsi="Book Antiqua" w:cs="Arial"/>
        </w:rPr>
        <w:t>(TCL) is a shrub that usually grows in arid or semiarid desert areas and saline-alkali fields. It is a traditional Chinese herbal medicine with hepatoprotective, antioxidant, antibacterial, and antitumor activities.</w:t>
      </w:r>
    </w:p>
    <w:bookmarkEnd w:id="10"/>
    <w:bookmarkEnd w:id="11"/>
    <w:bookmarkEnd w:id="12"/>
    <w:bookmarkEnd w:id="13"/>
    <w:bookmarkEnd w:id="14"/>
    <w:bookmarkEnd w:id="15"/>
    <w:bookmarkEnd w:id="16"/>
    <w:bookmarkEnd w:id="17"/>
    <w:bookmarkEnd w:id="18"/>
    <w:bookmarkEnd w:id="19"/>
    <w:p w14:paraId="6ABF2F4A" w14:textId="77777777" w:rsidR="005D1038" w:rsidRPr="001409F0" w:rsidRDefault="005D1038" w:rsidP="001409F0">
      <w:pPr>
        <w:widowControl/>
        <w:adjustRightInd w:val="0"/>
        <w:snapToGrid w:val="0"/>
        <w:spacing w:line="360" w:lineRule="auto"/>
        <w:rPr>
          <w:rFonts w:ascii="Book Antiqua" w:hAnsi="Book Antiqua" w:cs="Calibri"/>
          <w:b/>
          <w:i/>
          <w:lang w:eastAsia="en-US"/>
        </w:rPr>
      </w:pPr>
    </w:p>
    <w:p w14:paraId="43862165" w14:textId="77777777" w:rsidR="005D1038" w:rsidRPr="001409F0" w:rsidRDefault="005D1038" w:rsidP="001409F0">
      <w:pPr>
        <w:widowControl/>
        <w:adjustRightInd w:val="0"/>
        <w:snapToGrid w:val="0"/>
        <w:spacing w:line="360" w:lineRule="auto"/>
        <w:rPr>
          <w:rFonts w:ascii="Book Antiqua" w:hAnsi="Book Antiqua"/>
          <w:lang w:eastAsia="en-US"/>
        </w:rPr>
      </w:pPr>
      <w:bookmarkStart w:id="20" w:name="_Hlk29286169"/>
      <w:r w:rsidRPr="001409F0">
        <w:rPr>
          <w:rFonts w:ascii="Book Antiqua" w:hAnsi="Book Antiqua"/>
          <w:lang w:eastAsia="en-US"/>
        </w:rPr>
        <w:t>AIM</w:t>
      </w:r>
    </w:p>
    <w:bookmarkEnd w:id="20"/>
    <w:p w14:paraId="388C3870" w14:textId="77777777"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rPr>
        <w:t xml:space="preserve">To investigate the possible protective effects of </w:t>
      </w:r>
      <w:bookmarkStart w:id="21" w:name="OLE_LINK42"/>
      <w:bookmarkStart w:id="22" w:name="OLE_LINK43"/>
      <w:bookmarkStart w:id="23" w:name="OLE_LINK50"/>
      <w:r w:rsidRPr="001409F0">
        <w:rPr>
          <w:rFonts w:ascii="Book Antiqua" w:hAnsi="Book Antiqua" w:cs="Arial"/>
        </w:rPr>
        <w:t>TCL</w:t>
      </w:r>
      <w:r w:rsidRPr="001409F0" w:rsidDel="00416C42">
        <w:rPr>
          <w:rFonts w:ascii="Book Antiqua" w:hAnsi="Book Antiqua" w:cs="Arial"/>
          <w:i/>
        </w:rPr>
        <w:t xml:space="preserve"> </w:t>
      </w:r>
      <w:bookmarkEnd w:id="21"/>
      <w:bookmarkEnd w:id="22"/>
      <w:bookmarkEnd w:id="23"/>
      <w:r w:rsidRPr="001409F0">
        <w:rPr>
          <w:rFonts w:ascii="Book Antiqua" w:hAnsi="Book Antiqua" w:cs="Arial"/>
        </w:rPr>
        <w:t>against liver injury induced by chronic ethanol intake.</w:t>
      </w:r>
    </w:p>
    <w:p w14:paraId="1B025070" w14:textId="77777777" w:rsidR="005D1038" w:rsidRPr="001409F0" w:rsidRDefault="005D1038" w:rsidP="001409F0">
      <w:pPr>
        <w:widowControl/>
        <w:adjustRightInd w:val="0"/>
        <w:snapToGrid w:val="0"/>
        <w:spacing w:line="360" w:lineRule="auto"/>
        <w:rPr>
          <w:rFonts w:ascii="Book Antiqua" w:hAnsi="Book Antiqua"/>
          <w:lang w:eastAsia="en-US"/>
        </w:rPr>
      </w:pPr>
    </w:p>
    <w:p w14:paraId="42D4A0D8" w14:textId="77777777" w:rsidR="005D1038" w:rsidRPr="001409F0" w:rsidRDefault="005D1038" w:rsidP="001409F0">
      <w:pPr>
        <w:widowControl/>
        <w:adjustRightInd w:val="0"/>
        <w:snapToGrid w:val="0"/>
        <w:spacing w:line="360" w:lineRule="auto"/>
        <w:rPr>
          <w:rFonts w:ascii="Book Antiqua" w:hAnsi="Book Antiqua"/>
          <w:lang w:eastAsia="en-US"/>
        </w:rPr>
      </w:pPr>
      <w:bookmarkStart w:id="24" w:name="_Hlk29286181"/>
      <w:r w:rsidRPr="001409F0">
        <w:rPr>
          <w:rFonts w:ascii="Book Antiqua" w:hAnsi="Book Antiqua"/>
          <w:lang w:eastAsia="en-US"/>
        </w:rPr>
        <w:t>METHODS</w:t>
      </w:r>
    </w:p>
    <w:bookmarkEnd w:id="24"/>
    <w:p w14:paraId="0A72CBFC" w14:textId="2CC20BC1"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rPr>
        <w:t xml:space="preserve">C57BL/6J male mice were fed a Lieber-DeCarli </w:t>
      </w:r>
      <w:bookmarkStart w:id="25" w:name="OLE_LINK51"/>
      <w:bookmarkStart w:id="26" w:name="OLE_LINK52"/>
      <w:r w:rsidRPr="001409F0">
        <w:rPr>
          <w:rFonts w:ascii="Book Antiqua" w:hAnsi="Book Antiqua" w:cs="Arial"/>
        </w:rPr>
        <w:t>lipid diet</w:t>
      </w:r>
      <w:bookmarkEnd w:id="25"/>
      <w:bookmarkEnd w:id="26"/>
      <w:r w:rsidRPr="001409F0">
        <w:rPr>
          <w:rFonts w:ascii="Book Antiqua" w:hAnsi="Book Antiqua" w:cs="Arial"/>
        </w:rPr>
        <w:t xml:space="preserve"> containing alcohol and received (by gavage) a water-alcohol extract (80%) of TCL</w:t>
      </w:r>
      <w:r w:rsidRPr="001409F0" w:rsidDel="00416C42">
        <w:rPr>
          <w:rFonts w:ascii="Book Antiqua" w:hAnsi="Book Antiqua" w:cs="Arial"/>
          <w:i/>
        </w:rPr>
        <w:t xml:space="preserve"> </w:t>
      </w:r>
      <w:r w:rsidRPr="001409F0">
        <w:rPr>
          <w:rFonts w:ascii="Book Antiqua" w:hAnsi="Book Antiqua" w:cs="Arial"/>
        </w:rPr>
        <w:t>(100 and 200 mg/kg BW) or distilled water for 4 w</w:t>
      </w:r>
      <w:r w:rsidR="00F42765" w:rsidRPr="001409F0">
        <w:rPr>
          <w:rFonts w:ascii="Book Antiqua" w:hAnsi="Book Antiqua" w:cs="Arial"/>
        </w:rPr>
        <w:t>k</w:t>
      </w:r>
      <w:r w:rsidRPr="001409F0">
        <w:rPr>
          <w:rFonts w:ascii="Book Antiqua" w:hAnsi="Book Antiqua" w:cs="Arial"/>
        </w:rPr>
        <w:t>. After euthanasia, liver tissues were observed histologically with hematoxylin</w:t>
      </w:r>
      <w:r w:rsidR="008F4AC7" w:rsidRPr="001409F0">
        <w:rPr>
          <w:rFonts w:ascii="Book Antiqua" w:hAnsi="Book Antiqua" w:cs="Arial"/>
        </w:rPr>
        <w:t xml:space="preserve"> and </w:t>
      </w:r>
      <w:r w:rsidRPr="001409F0">
        <w:rPr>
          <w:rFonts w:ascii="Book Antiqua" w:hAnsi="Book Antiqua" w:cs="Arial"/>
        </w:rPr>
        <w:t xml:space="preserve">eosin staining and Oil red O staining, and the levels of alanine aminotransferase, aspartate transaminase, hepatic lipids, reactive oxygen species, malondialdehyde, and superoxide dismutase were measured. In addition, expression of the </w:t>
      </w:r>
      <w:r w:rsidR="00A331B0" w:rsidRPr="001409F0">
        <w:rPr>
          <w:rFonts w:ascii="Book Antiqua" w:hAnsi="Book Antiqua" w:cs="Arial"/>
        </w:rPr>
        <w:t>NOD-like receptor family, pyrin domain</w:t>
      </w:r>
      <w:r w:rsidR="008F4AC7" w:rsidRPr="001409F0">
        <w:rPr>
          <w:rFonts w:ascii="Book Antiqua" w:hAnsi="Book Antiqua" w:cs="Arial"/>
        </w:rPr>
        <w:t>-</w:t>
      </w:r>
      <w:r w:rsidR="00A331B0" w:rsidRPr="001409F0">
        <w:rPr>
          <w:rFonts w:ascii="Book Antiqua" w:hAnsi="Book Antiqua" w:cs="Arial"/>
        </w:rPr>
        <w:t xml:space="preserve">containing 3 (NLRP3) </w:t>
      </w:r>
      <w:r w:rsidRPr="001409F0">
        <w:rPr>
          <w:rFonts w:ascii="Book Antiqua" w:hAnsi="Book Antiqua" w:cs="Arial"/>
        </w:rPr>
        <w:t>inflammasome and downstream proinflammatory cytokines were determined.</w:t>
      </w:r>
    </w:p>
    <w:p w14:paraId="6D368A1E" w14:textId="77777777" w:rsidR="005D1038" w:rsidRPr="001409F0" w:rsidRDefault="005D1038" w:rsidP="001409F0">
      <w:pPr>
        <w:widowControl/>
        <w:adjustRightInd w:val="0"/>
        <w:snapToGrid w:val="0"/>
        <w:spacing w:line="360" w:lineRule="auto"/>
        <w:rPr>
          <w:rFonts w:ascii="Book Antiqua" w:hAnsi="Book Antiqua"/>
          <w:b/>
          <w:i/>
          <w:lang w:eastAsia="en-US"/>
        </w:rPr>
      </w:pPr>
    </w:p>
    <w:p w14:paraId="605D976F" w14:textId="77777777" w:rsidR="005D1038" w:rsidRPr="001409F0" w:rsidRDefault="005D1038" w:rsidP="001409F0">
      <w:pPr>
        <w:widowControl/>
        <w:adjustRightInd w:val="0"/>
        <w:snapToGrid w:val="0"/>
        <w:spacing w:line="360" w:lineRule="auto"/>
        <w:rPr>
          <w:rFonts w:ascii="Book Antiqua" w:hAnsi="Book Antiqua"/>
          <w:lang w:eastAsia="en-US"/>
        </w:rPr>
      </w:pPr>
      <w:bookmarkStart w:id="27" w:name="_Hlk29286194"/>
      <w:r w:rsidRPr="001409F0">
        <w:rPr>
          <w:rFonts w:ascii="Book Antiqua" w:hAnsi="Book Antiqua"/>
          <w:lang w:eastAsia="en-US"/>
        </w:rPr>
        <w:t>RESULTS</w:t>
      </w:r>
    </w:p>
    <w:bookmarkEnd w:id="27"/>
    <w:p w14:paraId="60ABF144" w14:textId="281AEB4B"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rPr>
        <w:t xml:space="preserve">Compared with the ethanol group, mice in the TCL-treated group (200 mg/kg) had significantly lower serum levels of </w:t>
      </w:r>
      <w:r w:rsidR="0030204C" w:rsidRPr="001409F0">
        <w:rPr>
          <w:rFonts w:ascii="Book Antiqua" w:hAnsi="Book Antiqua" w:cs="Arial"/>
        </w:rPr>
        <w:t xml:space="preserve">alanine aminotransferase </w:t>
      </w:r>
      <w:r w:rsidRPr="001409F0">
        <w:rPr>
          <w:rFonts w:ascii="Book Antiqua" w:hAnsi="Book Antiqua" w:cs="Arial"/>
        </w:rPr>
        <w:t xml:space="preserve">(mean, 34.1 IU/L </w:t>
      </w:r>
      <w:r w:rsidRPr="001409F0">
        <w:rPr>
          <w:rFonts w:ascii="Book Antiqua" w:hAnsi="Book Antiqua" w:cs="Arial"/>
          <w:i/>
          <w:iCs/>
        </w:rPr>
        <w:t>vs</w:t>
      </w:r>
      <w:r w:rsidRPr="001409F0">
        <w:rPr>
          <w:rFonts w:ascii="Book Antiqua" w:hAnsi="Book Antiqua" w:cs="Arial"/>
        </w:rPr>
        <w:t xml:space="preserve"> 45.3 IU/L, </w:t>
      </w:r>
      <w:r w:rsidRPr="001409F0">
        <w:rPr>
          <w:rFonts w:ascii="Book Antiqua" w:hAnsi="Book Antiqua" w:cs="Arial"/>
          <w:i/>
          <w:iCs/>
        </w:rPr>
        <w:t>P</w:t>
      </w:r>
      <w:r w:rsidR="005D1038" w:rsidRPr="001409F0">
        <w:rPr>
          <w:rFonts w:ascii="Book Antiqua" w:hAnsi="Book Antiqua" w:cs="Arial"/>
        </w:rPr>
        <w:t xml:space="preserve"> </w:t>
      </w:r>
      <w:r w:rsidRPr="001409F0">
        <w:rPr>
          <w:rFonts w:ascii="Book Antiqua" w:hAnsi="Book Antiqua" w:cs="Arial"/>
        </w:rPr>
        <w:t>&lt;</w:t>
      </w:r>
      <w:r w:rsidR="005D1038" w:rsidRPr="001409F0">
        <w:rPr>
          <w:rFonts w:ascii="Book Antiqua" w:hAnsi="Book Antiqua" w:cs="Arial"/>
        </w:rPr>
        <w:t xml:space="preserve"> </w:t>
      </w:r>
      <w:r w:rsidRPr="001409F0">
        <w:rPr>
          <w:rFonts w:ascii="Book Antiqua" w:hAnsi="Book Antiqua" w:cs="Arial"/>
        </w:rPr>
        <w:t xml:space="preserve">0.01) and </w:t>
      </w:r>
      <w:r w:rsidR="0030204C" w:rsidRPr="001409F0">
        <w:rPr>
          <w:rFonts w:ascii="Book Antiqua" w:hAnsi="Book Antiqua" w:cs="Arial"/>
        </w:rPr>
        <w:t xml:space="preserve">aspartate transaminase </w:t>
      </w:r>
      <w:r w:rsidRPr="001409F0">
        <w:rPr>
          <w:rFonts w:ascii="Book Antiqua" w:hAnsi="Book Antiqua" w:cs="Arial"/>
        </w:rPr>
        <w:t xml:space="preserve">(mean, 89.6 IU/L </w:t>
      </w:r>
      <w:r w:rsidRPr="001409F0">
        <w:rPr>
          <w:rFonts w:ascii="Book Antiqua" w:hAnsi="Book Antiqua" w:cs="Arial"/>
          <w:i/>
          <w:iCs/>
        </w:rPr>
        <w:t>vs</w:t>
      </w:r>
      <w:r w:rsidRPr="001409F0">
        <w:rPr>
          <w:rFonts w:ascii="Book Antiqua" w:hAnsi="Book Antiqua" w:cs="Arial"/>
        </w:rPr>
        <w:t xml:space="preserve"> 115.7 IU/L, </w:t>
      </w:r>
      <w:r w:rsidRPr="001409F0">
        <w:rPr>
          <w:rFonts w:ascii="Book Antiqua" w:hAnsi="Book Antiqua" w:cs="Arial"/>
          <w:i/>
          <w:iCs/>
        </w:rPr>
        <w:t>P</w:t>
      </w:r>
      <w:r w:rsidR="005D1038" w:rsidRPr="001409F0">
        <w:rPr>
          <w:rFonts w:ascii="Book Antiqua" w:hAnsi="Book Antiqua" w:cs="Arial"/>
        </w:rPr>
        <w:t xml:space="preserve"> </w:t>
      </w:r>
      <w:r w:rsidRPr="001409F0">
        <w:rPr>
          <w:rFonts w:ascii="Book Antiqua" w:hAnsi="Book Antiqua" w:cs="Arial"/>
        </w:rPr>
        <w:t>&lt;</w:t>
      </w:r>
      <w:r w:rsidR="005D1038" w:rsidRPr="001409F0">
        <w:rPr>
          <w:rFonts w:ascii="Book Antiqua" w:hAnsi="Book Antiqua" w:cs="Arial"/>
        </w:rPr>
        <w:t xml:space="preserve"> </w:t>
      </w:r>
      <w:r w:rsidRPr="001409F0">
        <w:rPr>
          <w:rFonts w:ascii="Book Antiqua" w:hAnsi="Book Antiqua" w:cs="Arial"/>
        </w:rPr>
        <w:t xml:space="preserve">0.01), as well as marked reduction of hepatic tissue </w:t>
      </w:r>
      <w:r w:rsidR="0030204C" w:rsidRPr="001409F0">
        <w:rPr>
          <w:rFonts w:ascii="Book Antiqua" w:hAnsi="Book Antiqua" w:cs="Arial"/>
        </w:rPr>
        <w:t xml:space="preserve">reactive oxygen species </w:t>
      </w:r>
      <w:r w:rsidRPr="001409F0">
        <w:rPr>
          <w:rFonts w:ascii="Book Antiqua" w:hAnsi="Book Antiqua" w:cs="Arial"/>
        </w:rPr>
        <w:t>(</w:t>
      </w:r>
      <w:r w:rsidRPr="001409F0">
        <w:rPr>
          <w:rFonts w:ascii="Book Antiqua" w:hAnsi="Book Antiqua" w:cs="Arial"/>
          <w:shd w:val="clear" w:color="auto" w:fill="FFFFFF"/>
        </w:rPr>
        <w:t>decreased by 27.5%,</w:t>
      </w:r>
      <w:r w:rsidRPr="001409F0">
        <w:rPr>
          <w:rFonts w:ascii="Book Antiqua" w:hAnsi="Book Antiqua" w:cs="Arial"/>
        </w:rPr>
        <w:t xml:space="preserve"> </w:t>
      </w:r>
      <w:r w:rsidRPr="001409F0">
        <w:rPr>
          <w:rFonts w:ascii="Book Antiqua" w:hAnsi="Book Antiqua" w:cs="Arial"/>
          <w:i/>
          <w:iCs/>
        </w:rPr>
        <w:t>P</w:t>
      </w:r>
      <w:r w:rsidR="005D1038" w:rsidRPr="001409F0">
        <w:rPr>
          <w:rFonts w:ascii="Book Antiqua" w:hAnsi="Book Antiqua" w:cs="Arial"/>
        </w:rPr>
        <w:t xml:space="preserve"> </w:t>
      </w:r>
      <w:r w:rsidRPr="001409F0">
        <w:rPr>
          <w:rFonts w:ascii="Book Antiqua" w:hAnsi="Book Antiqua" w:cs="Arial"/>
        </w:rPr>
        <w:t>&lt;</w:t>
      </w:r>
      <w:r w:rsidR="005D1038" w:rsidRPr="001409F0">
        <w:rPr>
          <w:rFonts w:ascii="Book Antiqua" w:hAnsi="Book Antiqua" w:cs="Arial"/>
        </w:rPr>
        <w:t xml:space="preserve"> </w:t>
      </w:r>
      <w:r w:rsidRPr="001409F0">
        <w:rPr>
          <w:rFonts w:ascii="Book Antiqua" w:hAnsi="Book Antiqua" w:cs="Arial"/>
        </w:rPr>
        <w:t xml:space="preserve">0.01) and </w:t>
      </w:r>
      <w:r w:rsidR="0030204C" w:rsidRPr="001409F0">
        <w:rPr>
          <w:rFonts w:ascii="Book Antiqua" w:hAnsi="Book Antiqua" w:cs="Arial"/>
        </w:rPr>
        <w:t xml:space="preserve">malondialdehyde </w:t>
      </w:r>
      <w:r w:rsidRPr="001409F0">
        <w:rPr>
          <w:rFonts w:ascii="Book Antiqua" w:hAnsi="Book Antiqua" w:cs="Arial"/>
        </w:rPr>
        <w:t>(</w:t>
      </w:r>
      <w:r w:rsidRPr="001409F0">
        <w:rPr>
          <w:rFonts w:ascii="Book Antiqua" w:hAnsi="Book Antiqua" w:cs="Arial"/>
          <w:shd w:val="clear" w:color="auto" w:fill="FFFFFF"/>
        </w:rPr>
        <w:t>decreased by 76.6%,</w:t>
      </w:r>
      <w:r w:rsidRPr="001409F0">
        <w:rPr>
          <w:rFonts w:ascii="Book Antiqua" w:hAnsi="Book Antiqua" w:cs="Arial"/>
        </w:rPr>
        <w:t xml:space="preserve"> </w:t>
      </w:r>
      <w:r w:rsidRPr="001409F0">
        <w:rPr>
          <w:rFonts w:ascii="Book Antiqua" w:hAnsi="Book Antiqua" w:cs="Arial"/>
          <w:i/>
          <w:iCs/>
        </w:rPr>
        <w:t>P</w:t>
      </w:r>
      <w:r w:rsidR="005D1038" w:rsidRPr="001409F0">
        <w:rPr>
          <w:rFonts w:ascii="Book Antiqua" w:hAnsi="Book Antiqua" w:cs="Arial"/>
        </w:rPr>
        <w:t xml:space="preserve"> </w:t>
      </w:r>
      <w:r w:rsidRPr="001409F0">
        <w:rPr>
          <w:rFonts w:ascii="Book Antiqua" w:hAnsi="Book Antiqua" w:cs="Arial"/>
        </w:rPr>
        <w:t>&lt;</w:t>
      </w:r>
      <w:r w:rsidR="005D1038" w:rsidRPr="001409F0">
        <w:rPr>
          <w:rFonts w:ascii="Book Antiqua" w:hAnsi="Book Antiqua" w:cs="Arial"/>
        </w:rPr>
        <w:t xml:space="preserve"> </w:t>
      </w:r>
      <w:r w:rsidRPr="001409F0">
        <w:rPr>
          <w:rFonts w:ascii="Book Antiqua" w:hAnsi="Book Antiqua" w:cs="Arial"/>
        </w:rPr>
        <w:t xml:space="preserve">0.01) levels, with a significant increase of </w:t>
      </w:r>
      <w:r w:rsidR="0030204C" w:rsidRPr="001409F0">
        <w:rPr>
          <w:rFonts w:ascii="Book Antiqua" w:hAnsi="Book Antiqua" w:cs="Arial"/>
        </w:rPr>
        <w:t xml:space="preserve">superoxide dismutase </w:t>
      </w:r>
      <w:r w:rsidRPr="001409F0">
        <w:rPr>
          <w:rFonts w:ascii="Book Antiqua" w:hAnsi="Book Antiqua" w:cs="Arial"/>
        </w:rPr>
        <w:t>(</w:t>
      </w:r>
      <w:r w:rsidRPr="001409F0">
        <w:rPr>
          <w:rFonts w:ascii="Book Antiqua" w:hAnsi="Book Antiqua" w:cs="Arial"/>
          <w:shd w:val="clear" w:color="auto" w:fill="FFFFFF"/>
        </w:rPr>
        <w:t>Increased by 73.2%,</w:t>
      </w:r>
      <w:r w:rsidRPr="001409F0">
        <w:rPr>
          <w:rFonts w:ascii="Book Antiqua" w:hAnsi="Book Antiqua" w:cs="Arial"/>
        </w:rPr>
        <w:t xml:space="preserve"> </w:t>
      </w:r>
      <w:r w:rsidRPr="001409F0">
        <w:rPr>
          <w:rFonts w:ascii="Book Antiqua" w:hAnsi="Book Antiqua" w:cs="Arial"/>
          <w:i/>
          <w:iCs/>
        </w:rPr>
        <w:t>P</w:t>
      </w:r>
      <w:r w:rsidR="005D1038" w:rsidRPr="001409F0">
        <w:rPr>
          <w:rFonts w:ascii="Book Antiqua" w:hAnsi="Book Antiqua" w:cs="Arial"/>
          <w:i/>
          <w:iCs/>
        </w:rPr>
        <w:t xml:space="preserve"> </w:t>
      </w:r>
      <w:r w:rsidRPr="001409F0">
        <w:rPr>
          <w:rFonts w:ascii="Book Antiqua" w:hAnsi="Book Antiqua" w:cs="Arial"/>
        </w:rPr>
        <w:t>&lt;</w:t>
      </w:r>
      <w:r w:rsidR="005D1038" w:rsidRPr="001409F0">
        <w:rPr>
          <w:rFonts w:ascii="Book Antiqua" w:hAnsi="Book Antiqua" w:cs="Arial"/>
        </w:rPr>
        <w:t xml:space="preserve"> </w:t>
      </w:r>
      <w:r w:rsidRPr="001409F0">
        <w:rPr>
          <w:rFonts w:ascii="Book Antiqua" w:hAnsi="Book Antiqua" w:cs="Arial"/>
        </w:rPr>
        <w:t xml:space="preserve">0.01). Expression of the NLRP3 inflammasome and its downstream cytokines </w:t>
      </w:r>
      <w:r w:rsidR="00677695" w:rsidRPr="001409F0">
        <w:rPr>
          <w:rFonts w:ascii="Book Antiqua" w:hAnsi="Book Antiqua" w:cs="Arial"/>
        </w:rPr>
        <w:t>[interleukin (</w:t>
      </w:r>
      <w:r w:rsidRPr="001409F0">
        <w:rPr>
          <w:rFonts w:ascii="Book Antiqua" w:hAnsi="Book Antiqua" w:cs="Arial"/>
        </w:rPr>
        <w:t>IL</w:t>
      </w:r>
      <w:r w:rsidR="00677695" w:rsidRPr="001409F0">
        <w:rPr>
          <w:rFonts w:ascii="Book Antiqua" w:hAnsi="Book Antiqua" w:cs="Arial"/>
        </w:rPr>
        <w:t>)</w:t>
      </w:r>
      <w:r w:rsidRPr="001409F0">
        <w:rPr>
          <w:rFonts w:ascii="Book Antiqua" w:hAnsi="Book Antiqua" w:cs="Arial"/>
        </w:rPr>
        <w:t>-1</w:t>
      </w:r>
      <w:r w:rsidRPr="00472ED2">
        <w:rPr>
          <w:rFonts w:ascii="Times New Roman" w:hAnsi="Times New Roman" w:hint="eastAsia"/>
        </w:rPr>
        <w:t>β</w:t>
      </w:r>
      <w:r w:rsidRPr="001409F0">
        <w:rPr>
          <w:rFonts w:ascii="Book Antiqua" w:hAnsi="Book Antiqua" w:cs="Arial"/>
        </w:rPr>
        <w:t xml:space="preserve">, </w:t>
      </w:r>
      <w:r w:rsidR="00677695" w:rsidRPr="001409F0">
        <w:rPr>
          <w:rFonts w:ascii="Book Antiqua" w:hAnsi="Book Antiqua" w:cs="Arial"/>
        </w:rPr>
        <w:t>tumor necrosis factor</w:t>
      </w:r>
      <w:r w:rsidRPr="001409F0">
        <w:rPr>
          <w:rFonts w:ascii="Book Antiqua" w:hAnsi="Book Antiqua" w:cs="Arial"/>
        </w:rPr>
        <w:t>-</w:t>
      </w:r>
      <w:r w:rsidRPr="00472ED2">
        <w:rPr>
          <w:rFonts w:ascii="Times New Roman" w:hAnsi="Times New Roman" w:hint="eastAsia"/>
        </w:rPr>
        <w:t>α</w:t>
      </w:r>
      <w:r w:rsidRPr="001409F0">
        <w:rPr>
          <w:rFonts w:ascii="Book Antiqua" w:hAnsi="Book Antiqua" w:cs="Arial"/>
        </w:rPr>
        <w:t>, and IL-6</w:t>
      </w:r>
      <w:r w:rsidR="00677695" w:rsidRPr="001409F0">
        <w:rPr>
          <w:rFonts w:ascii="Book Antiqua" w:hAnsi="Book Antiqua" w:cs="Arial"/>
        </w:rPr>
        <w:t>]</w:t>
      </w:r>
      <w:r w:rsidRPr="001409F0">
        <w:rPr>
          <w:rFonts w:ascii="Book Antiqua" w:hAnsi="Book Antiqua" w:cs="Arial"/>
        </w:rPr>
        <w:t>, and recruitment of natural killer T cells to the liver, were reduced in the TCL-treated incubation with a Lieber-DeCaril ethanol lipid diet group.</w:t>
      </w:r>
    </w:p>
    <w:p w14:paraId="3D3342F2" w14:textId="77777777" w:rsidR="005D1038" w:rsidRPr="001409F0" w:rsidRDefault="005D1038" w:rsidP="001409F0">
      <w:pPr>
        <w:widowControl/>
        <w:adjustRightInd w:val="0"/>
        <w:snapToGrid w:val="0"/>
        <w:spacing w:line="360" w:lineRule="auto"/>
        <w:rPr>
          <w:rFonts w:ascii="Book Antiqua" w:hAnsi="Book Antiqua"/>
          <w:b/>
          <w:i/>
          <w:lang w:eastAsia="en-US"/>
        </w:rPr>
      </w:pPr>
    </w:p>
    <w:p w14:paraId="729C09D0" w14:textId="77777777" w:rsidR="005D1038" w:rsidRPr="001409F0" w:rsidRDefault="005D1038" w:rsidP="001409F0">
      <w:pPr>
        <w:widowControl/>
        <w:adjustRightInd w:val="0"/>
        <w:snapToGrid w:val="0"/>
        <w:spacing w:line="360" w:lineRule="auto"/>
        <w:rPr>
          <w:rFonts w:ascii="Book Antiqua" w:hAnsi="Book Antiqua"/>
          <w:lang w:eastAsia="en-US"/>
        </w:rPr>
      </w:pPr>
      <w:bookmarkStart w:id="28" w:name="_Hlk29286201"/>
      <w:r w:rsidRPr="001409F0">
        <w:rPr>
          <w:rFonts w:ascii="Book Antiqua" w:hAnsi="Book Antiqua"/>
          <w:lang w:eastAsia="en-US"/>
        </w:rPr>
        <w:t>CONCLUSION</w:t>
      </w:r>
    </w:p>
    <w:bookmarkEnd w:id="28"/>
    <w:p w14:paraId="09504E7A" w14:textId="77777777"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rPr>
        <w:t>These findings suggest that a TCL</w:t>
      </w:r>
      <w:r w:rsidRPr="001409F0" w:rsidDel="007D1A3D">
        <w:rPr>
          <w:rFonts w:ascii="Book Antiqua" w:hAnsi="Book Antiqua" w:cs="Arial"/>
          <w:i/>
        </w:rPr>
        <w:t xml:space="preserve"> </w:t>
      </w:r>
      <w:r w:rsidRPr="001409F0">
        <w:rPr>
          <w:rFonts w:ascii="Book Antiqua" w:hAnsi="Book Antiqua" w:cs="Arial"/>
        </w:rPr>
        <w:t>extract (200 mg/kg) protects against chronic ethanol-induced liver injury, probably by inhibiting the NLRP3-caspase-1-IL-1</w:t>
      </w:r>
      <w:r w:rsidRPr="00472ED2">
        <w:rPr>
          <w:rFonts w:ascii="Times New Roman" w:hAnsi="Times New Roman" w:hint="eastAsia"/>
        </w:rPr>
        <w:t>β</w:t>
      </w:r>
      <w:r w:rsidRPr="001409F0">
        <w:rPr>
          <w:rFonts w:ascii="Book Antiqua" w:hAnsi="Book Antiqua" w:cs="Arial"/>
        </w:rPr>
        <w:t xml:space="preserve"> signaling pathway and suppressing oxidative stress.</w:t>
      </w:r>
    </w:p>
    <w:p w14:paraId="599F98CC" w14:textId="77777777" w:rsidR="00E05BA3" w:rsidRPr="001409F0" w:rsidRDefault="00E05BA3" w:rsidP="001409F0">
      <w:pPr>
        <w:adjustRightInd w:val="0"/>
        <w:snapToGrid w:val="0"/>
        <w:spacing w:line="360" w:lineRule="auto"/>
        <w:rPr>
          <w:rFonts w:ascii="Book Antiqua" w:hAnsi="Book Antiqua" w:cs="Arial"/>
        </w:rPr>
      </w:pPr>
    </w:p>
    <w:p w14:paraId="5AB5BCD3" w14:textId="6F83D1E6" w:rsidR="00E05BA3" w:rsidRPr="001409F0" w:rsidRDefault="002C6B74" w:rsidP="001409F0">
      <w:pPr>
        <w:adjustRightInd w:val="0"/>
        <w:snapToGrid w:val="0"/>
        <w:spacing w:line="360" w:lineRule="auto"/>
        <w:rPr>
          <w:rFonts w:ascii="Book Antiqua" w:hAnsi="Book Antiqua" w:cs="Arial"/>
        </w:rPr>
      </w:pPr>
      <w:bookmarkStart w:id="29" w:name="_Hlk28872569"/>
      <w:r w:rsidRPr="001409F0">
        <w:rPr>
          <w:rFonts w:ascii="Book Antiqua" w:hAnsi="Book Antiqua" w:cs="Calibri"/>
          <w:b/>
          <w:lang w:eastAsia="en-US"/>
        </w:rPr>
        <w:t>Key</w:t>
      </w:r>
      <w:r w:rsidRPr="001409F0">
        <w:rPr>
          <w:rFonts w:ascii="Book Antiqua" w:hAnsi="Book Antiqua" w:cs="Calibri"/>
          <w:b/>
        </w:rPr>
        <w:t xml:space="preserve"> </w:t>
      </w:r>
      <w:r w:rsidRPr="001409F0">
        <w:rPr>
          <w:rFonts w:ascii="Book Antiqua" w:hAnsi="Book Antiqua" w:cs="Calibri"/>
          <w:b/>
          <w:lang w:eastAsia="en-US"/>
        </w:rPr>
        <w:t>words:</w:t>
      </w:r>
      <w:bookmarkEnd w:id="29"/>
      <w:r w:rsidR="00E05BA3" w:rsidRPr="001409F0">
        <w:rPr>
          <w:rFonts w:ascii="Book Antiqua" w:hAnsi="Book Antiqua" w:cs="Arial"/>
          <w:b/>
        </w:rPr>
        <w:t xml:space="preserve"> </w:t>
      </w:r>
      <w:r w:rsidR="00E05BA3" w:rsidRPr="001409F0">
        <w:rPr>
          <w:rFonts w:ascii="Book Antiqua" w:hAnsi="Book Antiqua" w:cs="Arial"/>
          <w:i/>
        </w:rPr>
        <w:t>Tamarix chinensis Lour</w:t>
      </w:r>
      <w:r w:rsidR="0027079B" w:rsidRPr="001409F0">
        <w:rPr>
          <w:rFonts w:ascii="Book Antiqua" w:hAnsi="Book Antiqua" w:cs="Arial"/>
        </w:rPr>
        <w:t>;</w:t>
      </w:r>
      <w:r w:rsidR="00E05BA3" w:rsidRPr="001409F0">
        <w:rPr>
          <w:rFonts w:ascii="Book Antiqua" w:hAnsi="Book Antiqua" w:cs="Arial"/>
        </w:rPr>
        <w:t xml:space="preserve"> Alcoholic liver disease</w:t>
      </w:r>
      <w:r w:rsidR="00677695" w:rsidRPr="001409F0">
        <w:rPr>
          <w:rFonts w:ascii="Book Antiqua" w:hAnsi="Book Antiqua" w:cs="Arial"/>
        </w:rPr>
        <w:t>;</w:t>
      </w:r>
      <w:r w:rsidR="00E05BA3" w:rsidRPr="001409F0">
        <w:rPr>
          <w:rFonts w:ascii="Book Antiqua" w:hAnsi="Book Antiqua" w:cs="Arial"/>
        </w:rPr>
        <w:t xml:space="preserve"> Ethanol-induced liver injury</w:t>
      </w:r>
      <w:r w:rsidR="00677695" w:rsidRPr="001409F0">
        <w:rPr>
          <w:rFonts w:ascii="Book Antiqua" w:hAnsi="Book Antiqua" w:cs="Arial"/>
        </w:rPr>
        <w:t>;</w:t>
      </w:r>
      <w:r w:rsidR="00E05BA3" w:rsidRPr="001409F0">
        <w:rPr>
          <w:rFonts w:ascii="Book Antiqua" w:hAnsi="Book Antiqua" w:cs="Arial"/>
        </w:rPr>
        <w:t xml:space="preserve"> NLRP3 inflammasome</w:t>
      </w:r>
      <w:r w:rsidR="00677695" w:rsidRPr="001409F0">
        <w:rPr>
          <w:rFonts w:ascii="Book Antiqua" w:hAnsi="Book Antiqua" w:cs="Arial"/>
        </w:rPr>
        <w:t>;</w:t>
      </w:r>
      <w:r w:rsidR="00E05BA3" w:rsidRPr="001409F0">
        <w:rPr>
          <w:rFonts w:ascii="Book Antiqua" w:hAnsi="Book Antiqua" w:cs="Arial"/>
        </w:rPr>
        <w:t xml:space="preserve"> Oxidative stress</w:t>
      </w:r>
      <w:r w:rsidR="00677695" w:rsidRPr="001409F0">
        <w:rPr>
          <w:rFonts w:ascii="Book Antiqua" w:hAnsi="Book Antiqua" w:cs="Arial"/>
        </w:rPr>
        <w:t>;</w:t>
      </w:r>
      <w:r w:rsidR="00E05BA3" w:rsidRPr="001409F0">
        <w:rPr>
          <w:rFonts w:ascii="Book Antiqua" w:hAnsi="Book Antiqua" w:cs="Arial"/>
        </w:rPr>
        <w:t xml:space="preserve"> Natural killer T cells</w:t>
      </w:r>
    </w:p>
    <w:p w14:paraId="7CBE478E" w14:textId="77777777" w:rsidR="00C35AD9" w:rsidRPr="001409F0" w:rsidRDefault="00C35AD9" w:rsidP="001409F0">
      <w:pPr>
        <w:widowControl/>
        <w:adjustRightInd w:val="0"/>
        <w:snapToGrid w:val="0"/>
        <w:spacing w:line="360" w:lineRule="auto"/>
        <w:rPr>
          <w:rFonts w:ascii="Book Antiqua" w:hAnsi="Book Antiqua" w:cs="Arial"/>
          <w:bCs/>
          <w:i/>
          <w:iCs/>
          <w:lang w:eastAsia="en-US"/>
        </w:rPr>
      </w:pPr>
    </w:p>
    <w:p w14:paraId="1C679841" w14:textId="0D8190C5" w:rsidR="00C35AD9" w:rsidRPr="001409F0" w:rsidRDefault="00C35AD9" w:rsidP="001409F0">
      <w:pPr>
        <w:adjustRightInd w:val="0"/>
        <w:snapToGrid w:val="0"/>
        <w:spacing w:line="360" w:lineRule="auto"/>
        <w:rPr>
          <w:rFonts w:ascii="Book Antiqua" w:hAnsi="Book Antiqua" w:cs="Arial"/>
          <w:b/>
          <w:bCs/>
          <w:kern w:val="44"/>
        </w:rPr>
      </w:pPr>
      <w:r w:rsidRPr="001409F0">
        <w:rPr>
          <w:rStyle w:val="apple-converted-space"/>
          <w:rFonts w:ascii="Book Antiqua" w:hAnsi="Book Antiqua" w:cs="Arial"/>
        </w:rPr>
        <w:t xml:space="preserve">Wang ZD, Zhang Y, Dai YD, Ren K, Han C, Wang HX, Yi SQ. </w:t>
      </w:r>
      <w:r w:rsidRPr="001409F0">
        <w:rPr>
          <w:rFonts w:ascii="Book Antiqua" w:hAnsi="Book Antiqua" w:cs="Arial"/>
          <w:i/>
          <w:iCs/>
          <w:kern w:val="44"/>
        </w:rPr>
        <w:t>Tamarix chinensis Lour</w:t>
      </w:r>
      <w:r w:rsidRPr="001409F0">
        <w:rPr>
          <w:rFonts w:ascii="Book Antiqua" w:hAnsi="Book Antiqua" w:cs="Arial"/>
          <w:kern w:val="44"/>
        </w:rPr>
        <w:t xml:space="preserve"> inhibits chronic </w:t>
      </w:r>
      <w:r w:rsidRPr="001409F0">
        <w:rPr>
          <w:rFonts w:ascii="Book Antiqua" w:hAnsi="Book Antiqua" w:cs="Arial"/>
          <w:kern w:val="44"/>
        </w:rPr>
        <w:lastRenderedPageBreak/>
        <w:t>ethanol-induced liver injury in mice.</w:t>
      </w:r>
      <w:r w:rsidRPr="001409F0">
        <w:rPr>
          <w:rFonts w:ascii="Book Antiqua" w:hAnsi="Book Antiqua" w:cs="Arial"/>
          <w:b/>
          <w:bCs/>
          <w:kern w:val="44"/>
        </w:rPr>
        <w:t xml:space="preserve"> </w:t>
      </w:r>
      <w:r w:rsidRPr="001409F0">
        <w:rPr>
          <w:rFonts w:ascii="Book Antiqua" w:hAnsi="Book Antiqua" w:cs="Arial"/>
          <w:bCs/>
          <w:i/>
          <w:iCs/>
          <w:lang w:eastAsia="en-US"/>
        </w:rPr>
        <w:t xml:space="preserve">World J Gastroenterol </w:t>
      </w:r>
      <w:r w:rsidRPr="001409F0">
        <w:rPr>
          <w:rFonts w:ascii="Book Antiqua" w:hAnsi="Book Antiqua" w:cs="Arial"/>
          <w:bCs/>
          <w:lang w:eastAsia="en-US"/>
        </w:rPr>
        <w:t xml:space="preserve">2020; </w:t>
      </w:r>
      <w:r w:rsidRPr="001409F0">
        <w:rPr>
          <w:rFonts w:ascii="Book Antiqua" w:hAnsi="Book Antiqua" w:cs="Calibri"/>
        </w:rPr>
        <w:t>In press</w:t>
      </w:r>
    </w:p>
    <w:p w14:paraId="0919C804" w14:textId="77777777" w:rsidR="00E05BA3" w:rsidRPr="001409F0" w:rsidRDefault="00E05BA3" w:rsidP="001409F0">
      <w:pPr>
        <w:adjustRightInd w:val="0"/>
        <w:snapToGrid w:val="0"/>
        <w:spacing w:line="360" w:lineRule="auto"/>
        <w:rPr>
          <w:rFonts w:ascii="Book Antiqua" w:hAnsi="Book Antiqua" w:cs="Arial"/>
        </w:rPr>
      </w:pPr>
    </w:p>
    <w:p w14:paraId="6FE5D829" w14:textId="458633CC" w:rsidR="00E05BA3" w:rsidRPr="001409F0" w:rsidRDefault="00E05BA3" w:rsidP="001409F0">
      <w:pPr>
        <w:widowControl/>
        <w:adjustRightInd w:val="0"/>
        <w:snapToGrid w:val="0"/>
        <w:spacing w:line="360" w:lineRule="auto"/>
        <w:rPr>
          <w:rFonts w:ascii="Book Antiqua" w:hAnsi="Book Antiqua" w:cs="Arial"/>
          <w:b/>
        </w:rPr>
      </w:pPr>
      <w:r w:rsidRPr="001409F0">
        <w:rPr>
          <w:rFonts w:ascii="Book Antiqua" w:hAnsi="Book Antiqua" w:cs="Arial"/>
          <w:b/>
        </w:rPr>
        <w:t>Core tip:</w:t>
      </w:r>
      <w:r w:rsidRPr="001409F0">
        <w:rPr>
          <w:rFonts w:ascii="Book Antiqua" w:hAnsi="Book Antiqua" w:cs="Arial"/>
        </w:rPr>
        <w:t xml:space="preserve"> Administration of alcoholic extract of </w:t>
      </w:r>
      <w:r w:rsidR="00677695" w:rsidRPr="001409F0">
        <w:rPr>
          <w:rFonts w:ascii="Book Antiqua" w:hAnsi="Book Antiqua" w:cs="Arial"/>
          <w:i/>
        </w:rPr>
        <w:t xml:space="preserve">Tamarix chinensis Lour </w:t>
      </w:r>
      <w:r w:rsidR="00677695" w:rsidRPr="001409F0">
        <w:rPr>
          <w:rFonts w:ascii="Book Antiqua" w:hAnsi="Book Antiqua" w:cs="Arial"/>
        </w:rPr>
        <w:t>(TCL)</w:t>
      </w:r>
      <w:r w:rsidRPr="001409F0">
        <w:rPr>
          <w:rFonts w:ascii="Book Antiqua" w:hAnsi="Book Antiqua" w:cs="Arial"/>
        </w:rPr>
        <w:t xml:space="preserve"> inhibits the upregulation of </w:t>
      </w:r>
      <w:r w:rsidR="00A331B0" w:rsidRPr="001409F0">
        <w:rPr>
          <w:rFonts w:ascii="Book Antiqua" w:hAnsi="Book Antiqua" w:cs="Arial"/>
        </w:rPr>
        <w:t>NOD-like receptor family, pyrin domain containing 3</w:t>
      </w:r>
      <w:r w:rsidRPr="001409F0">
        <w:rPr>
          <w:rFonts w:ascii="Book Antiqua" w:hAnsi="Book Antiqua" w:cs="Arial"/>
        </w:rPr>
        <w:t xml:space="preserve"> inflammasome and its downstream proinflammatory cytokines (</w:t>
      </w:r>
      <w:r w:rsidRPr="001409F0">
        <w:rPr>
          <w:rFonts w:ascii="Book Antiqua" w:hAnsi="Book Antiqua" w:cs="Arial"/>
          <w:i/>
          <w:iCs/>
        </w:rPr>
        <w:t>i.e.</w:t>
      </w:r>
      <w:r w:rsidRPr="001409F0">
        <w:rPr>
          <w:rFonts w:ascii="Book Antiqua" w:hAnsi="Book Antiqua" w:cs="Arial"/>
        </w:rPr>
        <w:t xml:space="preserve"> </w:t>
      </w:r>
      <w:r w:rsidR="00677695" w:rsidRPr="001409F0">
        <w:rPr>
          <w:rFonts w:ascii="Book Antiqua" w:hAnsi="Book Antiqua" w:cs="Arial"/>
        </w:rPr>
        <w:t>interleukin</w:t>
      </w:r>
      <w:r w:rsidRPr="001409F0">
        <w:rPr>
          <w:rFonts w:ascii="Book Antiqua" w:hAnsi="Book Antiqua" w:cs="Arial"/>
        </w:rPr>
        <w:t>-1</w:t>
      </w:r>
      <w:r w:rsidRPr="00472ED2">
        <w:rPr>
          <w:rFonts w:ascii="Times New Roman" w:hAnsi="Times New Roman" w:hint="eastAsia"/>
        </w:rPr>
        <w:t>β</w:t>
      </w:r>
      <w:r w:rsidRPr="001409F0">
        <w:rPr>
          <w:rFonts w:ascii="Book Antiqua" w:hAnsi="Book Antiqua" w:cs="Arial"/>
        </w:rPr>
        <w:t xml:space="preserve">, </w:t>
      </w:r>
      <w:r w:rsidR="00677695" w:rsidRPr="001409F0">
        <w:rPr>
          <w:rFonts w:ascii="Book Antiqua" w:hAnsi="Book Antiqua" w:cs="Arial"/>
        </w:rPr>
        <w:t>tumor necrosis factor</w:t>
      </w:r>
      <w:r w:rsidRPr="001409F0">
        <w:rPr>
          <w:rFonts w:ascii="Book Antiqua" w:hAnsi="Book Antiqua" w:cs="Arial"/>
        </w:rPr>
        <w:t>-</w:t>
      </w:r>
      <w:r w:rsidRPr="00472ED2">
        <w:rPr>
          <w:rFonts w:ascii="Times New Roman" w:hAnsi="Times New Roman" w:hint="eastAsia"/>
        </w:rPr>
        <w:t>α</w:t>
      </w:r>
      <w:r w:rsidRPr="001409F0">
        <w:rPr>
          <w:rFonts w:ascii="Book Antiqua" w:hAnsi="Book Antiqua" w:cs="Arial"/>
        </w:rPr>
        <w:t xml:space="preserve">, </w:t>
      </w:r>
      <w:r w:rsidR="00677695" w:rsidRPr="001409F0">
        <w:rPr>
          <w:rFonts w:ascii="Book Antiqua" w:hAnsi="Book Antiqua" w:cs="Arial"/>
        </w:rPr>
        <w:t>interleukin</w:t>
      </w:r>
      <w:r w:rsidRPr="001409F0">
        <w:rPr>
          <w:rFonts w:ascii="Book Antiqua" w:hAnsi="Book Antiqua" w:cs="Arial"/>
        </w:rPr>
        <w:t>-6) induced by chronic ethanol exposure.</w:t>
      </w:r>
      <w:r w:rsidR="00677695" w:rsidRPr="001409F0">
        <w:rPr>
          <w:rFonts w:ascii="Book Antiqua" w:hAnsi="Book Antiqua" w:cs="Arial"/>
        </w:rPr>
        <w:t xml:space="preserve"> </w:t>
      </w:r>
      <w:r w:rsidRPr="001409F0">
        <w:rPr>
          <w:rFonts w:ascii="Book Antiqua" w:hAnsi="Book Antiqua" w:cs="Arial"/>
        </w:rPr>
        <w:t xml:space="preserve">Alcoholic extract of </w:t>
      </w:r>
      <w:r w:rsidR="00677695" w:rsidRPr="001409F0">
        <w:rPr>
          <w:rFonts w:ascii="Book Antiqua" w:hAnsi="Book Antiqua" w:cs="Arial"/>
        </w:rPr>
        <w:t>TCL</w:t>
      </w:r>
      <w:r w:rsidRPr="001409F0">
        <w:rPr>
          <w:rFonts w:ascii="Book Antiqua" w:hAnsi="Book Antiqua" w:cs="Arial"/>
        </w:rPr>
        <w:t xml:space="preserve"> inhibits the recruitment of </w:t>
      </w:r>
      <w:r w:rsidR="00536F0B" w:rsidRPr="001409F0">
        <w:rPr>
          <w:rFonts w:ascii="Book Antiqua" w:hAnsi="Book Antiqua" w:cs="Arial"/>
        </w:rPr>
        <w:t xml:space="preserve">natural killer T </w:t>
      </w:r>
      <w:r w:rsidRPr="001409F0">
        <w:rPr>
          <w:rFonts w:ascii="Book Antiqua" w:hAnsi="Book Antiqua" w:cs="Arial"/>
        </w:rPr>
        <w:t>cells in the liver induced by chronic ethanol exposure.</w:t>
      </w:r>
      <w:r w:rsidR="00677695" w:rsidRPr="001409F0">
        <w:rPr>
          <w:rFonts w:ascii="Book Antiqua" w:hAnsi="Book Antiqua" w:cs="Arial"/>
        </w:rPr>
        <w:t xml:space="preserve"> </w:t>
      </w:r>
      <w:r w:rsidRPr="001409F0">
        <w:rPr>
          <w:rFonts w:ascii="Book Antiqua" w:hAnsi="Book Antiqua" w:cs="Arial"/>
        </w:rPr>
        <w:t>Administration of alcoholic extract of</w:t>
      </w:r>
      <w:r w:rsidRPr="001409F0">
        <w:rPr>
          <w:rFonts w:ascii="Book Antiqua" w:hAnsi="Book Antiqua" w:cs="Arial"/>
          <w:i/>
        </w:rPr>
        <w:t xml:space="preserve"> </w:t>
      </w:r>
      <w:r w:rsidR="00677695" w:rsidRPr="001409F0">
        <w:rPr>
          <w:rFonts w:ascii="Book Antiqua" w:hAnsi="Book Antiqua" w:cs="Arial"/>
        </w:rPr>
        <w:t>TCL</w:t>
      </w:r>
      <w:r w:rsidRPr="001409F0">
        <w:rPr>
          <w:rFonts w:ascii="Book Antiqua" w:hAnsi="Book Antiqua" w:cs="Arial"/>
        </w:rPr>
        <w:t xml:space="preserve"> ameliorates the oxidative stress induced by chronic ethanol exposure.</w:t>
      </w:r>
    </w:p>
    <w:p w14:paraId="5AB48587" w14:textId="77777777" w:rsidR="00A331B0" w:rsidRPr="001409F0" w:rsidRDefault="00E05BA3" w:rsidP="001409F0">
      <w:pPr>
        <w:widowControl/>
        <w:adjustRightInd w:val="0"/>
        <w:snapToGrid w:val="0"/>
        <w:spacing w:line="360" w:lineRule="auto"/>
        <w:rPr>
          <w:rFonts w:ascii="Book Antiqua" w:hAnsi="Book Antiqua" w:cs="Calibri"/>
          <w:b/>
          <w:u w:val="single"/>
          <w:lang w:eastAsia="en-US"/>
        </w:rPr>
      </w:pPr>
      <w:r w:rsidRPr="001409F0">
        <w:rPr>
          <w:rFonts w:ascii="Book Antiqua" w:hAnsi="Book Antiqua" w:cs="Arial"/>
          <w:b/>
        </w:rPr>
        <w:br w:type="page"/>
      </w:r>
      <w:bookmarkStart w:id="30" w:name="_Hlk27562550"/>
      <w:r w:rsidR="00A331B0" w:rsidRPr="001409F0">
        <w:rPr>
          <w:rFonts w:ascii="Book Antiqua" w:hAnsi="Book Antiqua" w:cs="Calibri"/>
          <w:b/>
          <w:u w:val="single"/>
          <w:lang w:eastAsia="en-US"/>
        </w:rPr>
        <w:lastRenderedPageBreak/>
        <w:t>INTRODUCTION</w:t>
      </w:r>
    </w:p>
    <w:bookmarkEnd w:id="30"/>
    <w:p w14:paraId="7DCE4157" w14:textId="1CB2E1DA"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rPr>
        <w:t xml:space="preserve">Consumption of alcohol is customary in most countries and alcohol abuse is common worldwide. Chronic liver disease caused by long-term alcohol abuse is called alcoholic liver disease (ALD). ALD represents a spectrum of clinical and morphological changes that range initially from simple steatosis to steatohepatitis, fibrosis, and </w:t>
      </w:r>
      <w:proofErr w:type="gramStart"/>
      <w:r w:rsidRPr="001409F0">
        <w:rPr>
          <w:rFonts w:ascii="Book Antiqua" w:hAnsi="Book Antiqua" w:cs="Arial"/>
        </w:rPr>
        <w:t>cirrhosis</w:t>
      </w:r>
      <w:r w:rsidRPr="001409F0">
        <w:rPr>
          <w:rFonts w:ascii="Book Antiqua" w:hAnsi="Book Antiqua" w:cs="Arial"/>
          <w:vertAlign w:val="superscript"/>
        </w:rPr>
        <w:t>[</w:t>
      </w:r>
      <w:proofErr w:type="gramEnd"/>
      <w:r w:rsidRPr="001409F0">
        <w:rPr>
          <w:rFonts w:ascii="Book Antiqua" w:hAnsi="Book Antiqua" w:cs="Arial"/>
          <w:vertAlign w:val="superscript"/>
        </w:rPr>
        <w:t>1]</w:t>
      </w:r>
      <w:r w:rsidRPr="001409F0">
        <w:rPr>
          <w:rFonts w:ascii="Book Antiqua" w:hAnsi="Book Antiqua" w:cs="Arial"/>
        </w:rPr>
        <w:t>, and is a primary cause of mortality among people who abuse alcohol</w:t>
      </w:r>
      <w:r w:rsidRPr="001409F0">
        <w:rPr>
          <w:rFonts w:ascii="Book Antiqua" w:hAnsi="Book Antiqua" w:cs="Arial"/>
          <w:vertAlign w:val="superscript"/>
        </w:rPr>
        <w:t>[2]</w:t>
      </w:r>
      <w:r w:rsidRPr="001409F0">
        <w:rPr>
          <w:rFonts w:ascii="Book Antiqua" w:hAnsi="Book Antiqua" w:cs="Arial"/>
        </w:rPr>
        <w:t xml:space="preserve">. </w:t>
      </w:r>
      <w:bookmarkStart w:id="31" w:name="OLE_LINK62"/>
      <w:bookmarkStart w:id="32" w:name="OLE_LINK63"/>
      <w:r w:rsidRPr="001409F0">
        <w:rPr>
          <w:rFonts w:ascii="Book Antiqua" w:hAnsi="Book Antiqua" w:cs="Arial"/>
        </w:rPr>
        <w:t>The pathogenesis of ALD is complex and poorly understood.</w:t>
      </w:r>
      <w:bookmarkEnd w:id="31"/>
      <w:bookmarkEnd w:id="32"/>
      <w:r w:rsidRPr="001409F0">
        <w:rPr>
          <w:rFonts w:ascii="Book Antiqua" w:hAnsi="Book Antiqua" w:cs="Arial"/>
        </w:rPr>
        <w:t xml:space="preserve"> Several factors are involved in the pathogenesis of ALD, including oxidative stress and inflammatory mediators. Activation of innate immunity and inflammation </w:t>
      </w:r>
      <w:r w:rsidR="00684FD1" w:rsidRPr="001409F0">
        <w:rPr>
          <w:rFonts w:ascii="Book Antiqua" w:hAnsi="Book Antiqua" w:cs="Arial"/>
        </w:rPr>
        <w:t xml:space="preserve">are </w:t>
      </w:r>
      <w:r w:rsidRPr="001409F0">
        <w:rPr>
          <w:rFonts w:ascii="Book Antiqua" w:hAnsi="Book Antiqua" w:cs="Arial"/>
        </w:rPr>
        <w:t xml:space="preserve">also pivotal in the progression of </w:t>
      </w:r>
      <w:proofErr w:type="gramStart"/>
      <w:r w:rsidRPr="001409F0">
        <w:rPr>
          <w:rFonts w:ascii="Book Antiqua" w:hAnsi="Book Antiqua" w:cs="Arial"/>
        </w:rPr>
        <w:t>ALD</w:t>
      </w:r>
      <w:r w:rsidRPr="001409F0">
        <w:rPr>
          <w:rFonts w:ascii="Book Antiqua" w:hAnsi="Book Antiqua" w:cs="Arial"/>
          <w:vertAlign w:val="superscript"/>
        </w:rPr>
        <w:t>[</w:t>
      </w:r>
      <w:proofErr w:type="gramEnd"/>
      <w:r w:rsidRPr="001409F0">
        <w:rPr>
          <w:rFonts w:ascii="Book Antiqua" w:hAnsi="Book Antiqua" w:cs="Arial"/>
          <w:vertAlign w:val="superscript"/>
        </w:rPr>
        <w:t>3]</w:t>
      </w:r>
      <w:r w:rsidRPr="001409F0">
        <w:rPr>
          <w:rFonts w:ascii="Book Antiqua" w:hAnsi="Book Antiqua" w:cs="Arial"/>
        </w:rPr>
        <w:t xml:space="preserve">. Increasing evidence indicates that </w:t>
      </w:r>
      <w:bookmarkStart w:id="33" w:name="OLE_LINK74"/>
      <w:bookmarkStart w:id="34" w:name="OLE_LINK75"/>
      <w:r w:rsidRPr="001409F0">
        <w:rPr>
          <w:rFonts w:ascii="Book Antiqua" w:hAnsi="Book Antiqua" w:cs="Arial"/>
        </w:rPr>
        <w:t>inflammasome</w:t>
      </w:r>
      <w:bookmarkEnd w:id="33"/>
      <w:bookmarkEnd w:id="34"/>
      <w:r w:rsidRPr="001409F0">
        <w:rPr>
          <w:rFonts w:ascii="Book Antiqua" w:hAnsi="Book Antiqua" w:cs="Arial"/>
        </w:rPr>
        <w:t xml:space="preserve">-mediated release of inflammatory cytokines is a critical contributor to </w:t>
      </w:r>
      <w:r w:rsidR="00684FD1" w:rsidRPr="001409F0">
        <w:rPr>
          <w:rFonts w:ascii="Book Antiqua" w:hAnsi="Book Antiqua" w:cs="Arial"/>
        </w:rPr>
        <w:t xml:space="preserve">the </w:t>
      </w:r>
      <w:r w:rsidRPr="001409F0">
        <w:rPr>
          <w:rFonts w:ascii="Book Antiqua" w:hAnsi="Book Antiqua" w:cs="Arial"/>
        </w:rPr>
        <w:t xml:space="preserve">development and progression of </w:t>
      </w:r>
      <w:proofErr w:type="gramStart"/>
      <w:r w:rsidRPr="001409F0">
        <w:rPr>
          <w:rFonts w:ascii="Book Antiqua" w:hAnsi="Book Antiqua" w:cs="Arial"/>
        </w:rPr>
        <w:t>ALD</w:t>
      </w:r>
      <w:r w:rsidRPr="001409F0">
        <w:rPr>
          <w:rFonts w:ascii="Book Antiqua" w:hAnsi="Book Antiqua" w:cs="Arial"/>
          <w:vertAlign w:val="superscript"/>
        </w:rPr>
        <w:t>[</w:t>
      </w:r>
      <w:proofErr w:type="gramEnd"/>
      <w:r w:rsidRPr="001409F0">
        <w:rPr>
          <w:rFonts w:ascii="Book Antiqua" w:hAnsi="Book Antiqua" w:cs="Arial"/>
          <w:vertAlign w:val="superscript"/>
        </w:rPr>
        <w:t>4]</w:t>
      </w:r>
      <w:r w:rsidRPr="001409F0">
        <w:rPr>
          <w:rFonts w:ascii="Book Antiqua" w:hAnsi="Book Antiqua" w:cs="Arial"/>
        </w:rPr>
        <w:t xml:space="preserve">. Inflammasomes are multiprotein cytoplasmic complexes, among which the NOD-like receptor family, pyrin domain containing 3 (NLRP3) inflammasome has been most </w:t>
      </w:r>
      <w:r w:rsidR="00684FD1" w:rsidRPr="001409F0">
        <w:rPr>
          <w:rFonts w:ascii="Book Antiqua" w:hAnsi="Book Antiqua" w:cs="Arial"/>
        </w:rPr>
        <w:t>ex</w:t>
      </w:r>
      <w:r w:rsidRPr="001409F0">
        <w:rPr>
          <w:rFonts w:ascii="Book Antiqua" w:hAnsi="Book Antiqua" w:cs="Arial"/>
        </w:rPr>
        <w:t xml:space="preserve">tensively studied. The NLRP3 inflammasome is comprised of a receptor (NLRP3), an adapter protein </w:t>
      </w:r>
      <w:r w:rsidR="002C580F" w:rsidRPr="001409F0">
        <w:rPr>
          <w:rFonts w:ascii="Book Antiqua" w:hAnsi="Book Antiqua" w:cs="Arial"/>
        </w:rPr>
        <w:t>(</w:t>
      </w:r>
      <w:r w:rsidRPr="001409F0">
        <w:rPr>
          <w:rFonts w:ascii="Book Antiqua" w:hAnsi="Book Antiqua" w:cs="Arial"/>
        </w:rPr>
        <w:t xml:space="preserve">apoptosis-associated speck-like protein </w:t>
      </w:r>
      <w:r w:rsidR="002C580F" w:rsidRPr="001409F0">
        <w:rPr>
          <w:rFonts w:ascii="Book Antiqua" w:hAnsi="Book Antiqua" w:cs="Arial"/>
        </w:rPr>
        <w:t>[</w:t>
      </w:r>
      <w:r w:rsidRPr="001409F0">
        <w:rPr>
          <w:rFonts w:ascii="Book Antiqua" w:hAnsi="Book Antiqua" w:cs="Arial"/>
        </w:rPr>
        <w:t>ASC</w:t>
      </w:r>
      <w:r w:rsidR="00063795" w:rsidRPr="001409F0">
        <w:rPr>
          <w:rFonts w:ascii="Book Antiqua" w:hAnsi="Book Antiqua" w:cs="Arial"/>
        </w:rPr>
        <w:t>]</w:t>
      </w:r>
      <w:r w:rsidR="002C580F" w:rsidRPr="001409F0">
        <w:rPr>
          <w:rFonts w:ascii="Book Antiqua" w:hAnsi="Book Antiqua" w:cs="Arial"/>
        </w:rPr>
        <w:t>)</w:t>
      </w:r>
      <w:r w:rsidRPr="001409F0">
        <w:rPr>
          <w:rFonts w:ascii="Book Antiqua" w:hAnsi="Book Antiqua" w:cs="Arial"/>
        </w:rPr>
        <w:t xml:space="preserve">, and an effector protein (pro-caspase-1, the precursor of cysteinyl aspartate specific proteinase-1). When </w:t>
      </w:r>
      <w:r w:rsidR="00684FD1" w:rsidRPr="001409F0">
        <w:rPr>
          <w:rFonts w:ascii="Book Antiqua" w:hAnsi="Book Antiqua" w:cs="Arial"/>
        </w:rPr>
        <w:t xml:space="preserve">the </w:t>
      </w:r>
      <w:r w:rsidRPr="001409F0">
        <w:rPr>
          <w:rFonts w:ascii="Book Antiqua" w:hAnsi="Book Antiqua" w:cs="Arial"/>
        </w:rPr>
        <w:t xml:space="preserve">NLRP3 inflammasome </w:t>
      </w:r>
      <w:r w:rsidR="00684FD1" w:rsidRPr="001409F0">
        <w:rPr>
          <w:rFonts w:ascii="Book Antiqua" w:hAnsi="Book Antiqua" w:cs="Arial"/>
        </w:rPr>
        <w:t xml:space="preserve">is </w:t>
      </w:r>
      <w:r w:rsidRPr="001409F0">
        <w:rPr>
          <w:rFonts w:ascii="Book Antiqua" w:hAnsi="Book Antiqua" w:cs="Arial"/>
        </w:rPr>
        <w:t>activated, the inactive pro-caspase-1 is cleaved to form active caspase-1</w:t>
      </w:r>
      <w:r w:rsidRPr="001409F0">
        <w:rPr>
          <w:rFonts w:ascii="Book Antiqua" w:hAnsi="Book Antiqua" w:cs="Arial"/>
          <w:vertAlign w:val="superscript"/>
        </w:rPr>
        <w:t>[5]</w:t>
      </w:r>
      <w:r w:rsidRPr="001409F0">
        <w:rPr>
          <w:rFonts w:ascii="Book Antiqua" w:hAnsi="Book Antiqua" w:cs="Arial"/>
        </w:rPr>
        <w:t>, which subsequently cleaves pro-</w:t>
      </w:r>
      <w:r w:rsidR="00A331B0" w:rsidRPr="001409F0">
        <w:rPr>
          <w:rFonts w:ascii="Book Antiqua" w:hAnsi="Book Antiqua" w:cs="Arial"/>
        </w:rPr>
        <w:t>interleukin (IL)</w:t>
      </w:r>
      <w:r w:rsidRPr="001409F0">
        <w:rPr>
          <w:rFonts w:ascii="Book Antiqua" w:hAnsi="Book Antiqua" w:cs="Arial"/>
        </w:rPr>
        <w:t>-1</w:t>
      </w:r>
      <w:r w:rsidRPr="00472ED2">
        <w:rPr>
          <w:rFonts w:ascii="Times New Roman" w:hAnsi="Times New Roman" w:hint="eastAsia"/>
        </w:rPr>
        <w:t>β</w:t>
      </w:r>
      <w:r w:rsidRPr="001409F0">
        <w:rPr>
          <w:rFonts w:ascii="Book Antiqua" w:hAnsi="Book Antiqua" w:cs="Arial"/>
        </w:rPr>
        <w:t xml:space="preserve"> to release mature IL-1</w:t>
      </w:r>
      <w:r w:rsidRPr="00472ED2">
        <w:rPr>
          <w:rFonts w:ascii="Times New Roman" w:hAnsi="Times New Roman" w:hint="eastAsia"/>
        </w:rPr>
        <w:t>β</w:t>
      </w:r>
      <w:r w:rsidRPr="001409F0">
        <w:rPr>
          <w:rFonts w:ascii="Book Antiqua" w:hAnsi="Book Antiqua" w:cs="Arial"/>
        </w:rPr>
        <w:t xml:space="preserve"> that contributes to hepatic steatosis, apoptosis, inflammation, and fibrosis/cirrhosis</w:t>
      </w:r>
      <w:r w:rsidRPr="001409F0">
        <w:rPr>
          <w:rFonts w:ascii="Book Antiqua" w:hAnsi="Book Antiqua" w:cs="Arial"/>
          <w:vertAlign w:val="superscript"/>
        </w:rPr>
        <w:t>[6]</w:t>
      </w:r>
      <w:r w:rsidRPr="001409F0">
        <w:rPr>
          <w:rFonts w:ascii="Book Antiqua" w:hAnsi="Book Antiqua" w:cs="Arial"/>
        </w:rPr>
        <w:t xml:space="preserve">. </w:t>
      </w:r>
      <w:r w:rsidRPr="001409F0">
        <w:rPr>
          <w:rStyle w:val="text-dst"/>
          <w:rFonts w:ascii="Book Antiqua" w:hAnsi="Book Antiqua"/>
          <w:bdr w:val="none" w:sz="0" w:space="0" w:color="auto" w:frame="1"/>
          <w:shd w:val="clear" w:color="auto" w:fill="FFFFFF"/>
        </w:rPr>
        <w:t>Alcohol intake can activate NLRP3 inflammasomes in cells such as Kupffer cells in the liver, and activated NLRP3 inflammasomes c</w:t>
      </w:r>
      <w:r w:rsidR="00684FD1" w:rsidRPr="001409F0">
        <w:rPr>
          <w:rStyle w:val="text-dst"/>
          <w:rFonts w:ascii="Book Antiqua" w:hAnsi="Book Antiqua"/>
          <w:bdr w:val="none" w:sz="0" w:space="0" w:color="auto" w:frame="1"/>
          <w:shd w:val="clear" w:color="auto" w:fill="FFFFFF"/>
        </w:rPr>
        <w:t>an</w:t>
      </w:r>
      <w:r w:rsidRPr="001409F0">
        <w:rPr>
          <w:rStyle w:val="text-dst"/>
          <w:rFonts w:ascii="Book Antiqua" w:hAnsi="Book Antiqua"/>
          <w:bdr w:val="none" w:sz="0" w:space="0" w:color="auto" w:frame="1"/>
          <w:shd w:val="clear" w:color="auto" w:fill="FFFFFF"/>
        </w:rPr>
        <w:t xml:space="preserve"> cleave immature pre-IL-1</w:t>
      </w:r>
      <w:r w:rsidRPr="00472ED2">
        <w:rPr>
          <w:rStyle w:val="text-dst"/>
          <w:rFonts w:ascii="Times New Roman" w:hAnsi="Times New Roman" w:hint="eastAsia"/>
          <w:bdr w:val="none" w:sz="0" w:space="0" w:color="auto" w:frame="1"/>
          <w:shd w:val="clear" w:color="auto" w:fill="FFFFFF"/>
        </w:rPr>
        <w:t>β</w:t>
      </w:r>
      <w:r w:rsidRPr="001409F0">
        <w:rPr>
          <w:rStyle w:val="text-dst"/>
          <w:rFonts w:ascii="Book Antiqua" w:hAnsi="Book Antiqua"/>
          <w:bdr w:val="none" w:sz="0" w:space="0" w:color="auto" w:frame="1"/>
          <w:shd w:val="clear" w:color="auto" w:fill="FFFFFF"/>
        </w:rPr>
        <w:t xml:space="preserve"> into mature IL-1</w:t>
      </w:r>
      <w:r w:rsidRPr="00472ED2">
        <w:rPr>
          <w:rStyle w:val="text-dst"/>
          <w:rFonts w:ascii="Times New Roman" w:hAnsi="Times New Roman" w:hint="eastAsia"/>
          <w:bdr w:val="none" w:sz="0" w:space="0" w:color="auto" w:frame="1"/>
          <w:shd w:val="clear" w:color="auto" w:fill="FFFFFF"/>
        </w:rPr>
        <w:t>β</w:t>
      </w:r>
      <w:r w:rsidRPr="001409F0">
        <w:rPr>
          <w:rStyle w:val="text-dst"/>
          <w:rFonts w:ascii="Book Antiqua" w:hAnsi="Book Antiqua"/>
          <w:bdr w:val="none" w:sz="0" w:space="0" w:color="auto" w:frame="1"/>
          <w:shd w:val="clear" w:color="auto" w:fill="FFFFFF"/>
        </w:rPr>
        <w:t xml:space="preserve"> through caspase-1</w:t>
      </w:r>
      <w:bookmarkStart w:id="35" w:name="_GoBack"/>
      <w:bookmarkEnd w:id="35"/>
      <w:r w:rsidRPr="001409F0">
        <w:rPr>
          <w:rStyle w:val="text-dst"/>
          <w:rFonts w:ascii="Book Antiqua" w:hAnsi="Book Antiqua"/>
          <w:bdr w:val="none" w:sz="0" w:space="0" w:color="auto" w:frame="1"/>
          <w:shd w:val="clear" w:color="auto" w:fill="FFFFFF"/>
        </w:rPr>
        <w:t>, thus triggering liver injury</w:t>
      </w:r>
      <w:r w:rsidRPr="001409F0">
        <w:rPr>
          <w:rFonts w:ascii="Book Antiqua" w:hAnsi="Book Antiqua" w:cs="Arial"/>
          <w:vertAlign w:val="superscript"/>
        </w:rPr>
        <w:t>[7,8]</w:t>
      </w:r>
      <w:r w:rsidRPr="001409F0">
        <w:rPr>
          <w:rStyle w:val="text-dst"/>
          <w:rFonts w:ascii="Book Antiqua" w:hAnsi="Book Antiqua"/>
          <w:bdr w:val="none" w:sz="0" w:space="0" w:color="auto" w:frame="1"/>
          <w:shd w:val="clear" w:color="auto" w:fill="FFFFFF"/>
        </w:rPr>
        <w:t>.</w:t>
      </w:r>
      <w:r w:rsidR="00A331B0" w:rsidRPr="001409F0">
        <w:rPr>
          <w:rStyle w:val="text-dst"/>
          <w:rFonts w:ascii="Book Antiqua" w:hAnsi="Book Antiqua"/>
          <w:bdr w:val="none" w:sz="0" w:space="0" w:color="auto" w:frame="1"/>
          <w:shd w:val="clear" w:color="auto" w:fill="FFFFFF"/>
        </w:rPr>
        <w:t xml:space="preserve"> </w:t>
      </w:r>
      <w:r w:rsidRPr="001409F0">
        <w:rPr>
          <w:rFonts w:ascii="Book Antiqua" w:hAnsi="Book Antiqua" w:cs="Arial"/>
        </w:rPr>
        <w:t xml:space="preserve">Thus, ALD causes serious liver damage, but there is still no therapy that is effective for preventing the onset and progression of ALD with few side effects, except abstinence from </w:t>
      </w:r>
      <w:proofErr w:type="gramStart"/>
      <w:r w:rsidRPr="001409F0">
        <w:rPr>
          <w:rFonts w:ascii="Book Antiqua" w:hAnsi="Book Antiqua" w:cs="Arial"/>
        </w:rPr>
        <w:t>alcohol</w:t>
      </w:r>
      <w:r w:rsidRPr="001409F0">
        <w:rPr>
          <w:rFonts w:ascii="Book Antiqua" w:hAnsi="Book Antiqua" w:cs="Arial"/>
          <w:vertAlign w:val="superscript"/>
        </w:rPr>
        <w:t>[</w:t>
      </w:r>
      <w:proofErr w:type="gramEnd"/>
      <w:r w:rsidRPr="001409F0">
        <w:rPr>
          <w:rFonts w:ascii="Book Antiqua" w:hAnsi="Book Antiqua" w:cs="Arial"/>
          <w:vertAlign w:val="superscript"/>
        </w:rPr>
        <w:t>9]</w:t>
      </w:r>
      <w:r w:rsidRPr="001409F0">
        <w:rPr>
          <w:rFonts w:ascii="Book Antiqua" w:hAnsi="Book Antiqua" w:cs="Arial"/>
        </w:rPr>
        <w:t xml:space="preserve">. In the last few years, an increasing number of studies on the role of herbal medicines in the prevention and treatment of ALD have been published, because of their multiple actions and few side </w:t>
      </w:r>
      <w:proofErr w:type="gramStart"/>
      <w:r w:rsidRPr="001409F0">
        <w:rPr>
          <w:rFonts w:ascii="Book Antiqua" w:hAnsi="Book Antiqua" w:cs="Arial"/>
        </w:rPr>
        <w:t>effects</w:t>
      </w:r>
      <w:r w:rsidRPr="001409F0">
        <w:rPr>
          <w:rFonts w:ascii="Book Antiqua" w:hAnsi="Book Antiqua" w:cs="Arial"/>
          <w:vertAlign w:val="superscript"/>
        </w:rPr>
        <w:t>[</w:t>
      </w:r>
      <w:proofErr w:type="gramEnd"/>
      <w:r w:rsidRPr="001409F0">
        <w:rPr>
          <w:rFonts w:ascii="Book Antiqua" w:hAnsi="Book Antiqua" w:cs="Arial"/>
          <w:vertAlign w:val="superscript"/>
        </w:rPr>
        <w:t>10,11]</w:t>
      </w:r>
      <w:r w:rsidRPr="001409F0">
        <w:rPr>
          <w:rFonts w:ascii="Book Antiqua" w:hAnsi="Book Antiqua" w:cs="Arial"/>
        </w:rPr>
        <w:t>.</w:t>
      </w:r>
    </w:p>
    <w:p w14:paraId="6CADA84E" w14:textId="5E275B87" w:rsidR="00E05BA3" w:rsidRPr="001409F0" w:rsidRDefault="00E05BA3" w:rsidP="001409F0">
      <w:pPr>
        <w:adjustRightInd w:val="0"/>
        <w:snapToGrid w:val="0"/>
        <w:spacing w:line="360" w:lineRule="auto"/>
        <w:ind w:firstLineChars="100" w:firstLine="200"/>
        <w:rPr>
          <w:rFonts w:ascii="Book Antiqua" w:hAnsi="Book Antiqua" w:cs="Arial"/>
        </w:rPr>
      </w:pPr>
      <w:r w:rsidRPr="001409F0">
        <w:rPr>
          <w:rFonts w:ascii="Book Antiqua" w:hAnsi="Book Antiqua" w:cs="Arial"/>
          <w:i/>
        </w:rPr>
        <w:t>Tamarix chinensis Lour</w:t>
      </w:r>
      <w:r w:rsidRPr="001409F0">
        <w:rPr>
          <w:rFonts w:ascii="Book Antiqua" w:hAnsi="Book Antiqua" w:cs="Arial"/>
        </w:rPr>
        <w:t xml:space="preserve"> (TCL) is a tree that is used for afforestation and sand fixation in arid areas with secondary salinization. Its leaf is a </w:t>
      </w:r>
      <w:r w:rsidRPr="001409F0">
        <w:rPr>
          <w:rStyle w:val="text-dst"/>
          <w:rFonts w:ascii="Book Antiqua" w:hAnsi="Book Antiqua" w:cs="Arial"/>
          <w:bdr w:val="none" w:sz="0" w:space="0" w:color="auto" w:frame="1"/>
          <w:shd w:val="clear" w:color="auto" w:fill="FFFFFF"/>
        </w:rPr>
        <w:t xml:space="preserve">material used in traditional Chinese herbal medicines, which is recorded in the Compendium of Materia Medica and other ancient Chinese medical works, with the functions alleviating rashes, dispelling wind and dehumidification, being mainly used for measles and rheumatism. Pharmacology studies have shown that the chemical constituents of TCL are mainly flavonoids, triterpenes, organic acids, and volatile </w:t>
      </w:r>
      <w:proofErr w:type="gramStart"/>
      <w:r w:rsidRPr="001409F0">
        <w:rPr>
          <w:rStyle w:val="text-dst"/>
          <w:rFonts w:ascii="Book Antiqua" w:hAnsi="Book Antiqua" w:cs="Arial"/>
          <w:bdr w:val="none" w:sz="0" w:space="0" w:color="auto" w:frame="1"/>
          <w:shd w:val="clear" w:color="auto" w:fill="FFFFFF"/>
        </w:rPr>
        <w:t>oils</w:t>
      </w:r>
      <w:r w:rsidRPr="001409F0">
        <w:rPr>
          <w:rStyle w:val="text-dst"/>
          <w:rFonts w:ascii="Book Antiqua" w:hAnsi="Book Antiqua" w:cs="Arial"/>
          <w:bdr w:val="none" w:sz="0" w:space="0" w:color="auto" w:frame="1"/>
          <w:shd w:val="clear" w:color="auto" w:fill="FFFFFF"/>
          <w:vertAlign w:val="superscript"/>
        </w:rPr>
        <w:t>[</w:t>
      </w:r>
      <w:proofErr w:type="gramEnd"/>
      <w:r w:rsidRPr="001409F0">
        <w:rPr>
          <w:rStyle w:val="text-dst"/>
          <w:rFonts w:ascii="Book Antiqua" w:hAnsi="Book Antiqua" w:cs="Arial"/>
          <w:bdr w:val="none" w:sz="0" w:space="0" w:color="auto" w:frame="1"/>
          <w:shd w:val="clear" w:color="auto" w:fill="FFFFFF"/>
          <w:vertAlign w:val="superscript"/>
        </w:rPr>
        <w:t>12]</w:t>
      </w:r>
      <w:r w:rsidRPr="001409F0">
        <w:rPr>
          <w:rStyle w:val="text-dst"/>
          <w:rFonts w:ascii="Book Antiqua" w:hAnsi="Book Antiqua" w:cs="Arial"/>
          <w:bdr w:val="none" w:sz="0" w:space="0" w:color="auto" w:frame="1"/>
          <w:shd w:val="clear" w:color="auto" w:fill="FFFFFF"/>
        </w:rPr>
        <w:t>, which have various</w:t>
      </w:r>
      <w:r w:rsidR="00461CD0" w:rsidRPr="001409F0">
        <w:rPr>
          <w:rStyle w:val="text-dst"/>
          <w:rFonts w:ascii="Book Antiqua" w:hAnsi="Book Antiqua" w:cs="Arial"/>
          <w:bdr w:val="none" w:sz="0" w:space="0" w:color="auto" w:frame="1"/>
          <w:shd w:val="clear" w:color="auto" w:fill="FFFFFF"/>
        </w:rPr>
        <w:t xml:space="preserve"> biological</w:t>
      </w:r>
      <w:r w:rsidRPr="001409F0">
        <w:rPr>
          <w:rStyle w:val="text-dst"/>
          <w:rFonts w:ascii="Book Antiqua" w:hAnsi="Book Antiqua" w:cs="Arial"/>
          <w:bdr w:val="none" w:sz="0" w:space="0" w:color="auto" w:frame="1"/>
          <w:shd w:val="clear" w:color="auto" w:fill="FFFFFF"/>
        </w:rPr>
        <w:t xml:space="preserve"> activities such as hepatoprotective, anti-inflammatory, antioxidant, bacteriostastic, and antitumor effects</w:t>
      </w:r>
      <w:r w:rsidRPr="001409F0">
        <w:rPr>
          <w:rStyle w:val="text-dst"/>
          <w:rFonts w:ascii="Book Antiqua" w:hAnsi="Book Antiqua" w:cs="Arial"/>
          <w:bdr w:val="none" w:sz="0" w:space="0" w:color="auto" w:frame="1"/>
          <w:shd w:val="clear" w:color="auto" w:fill="FFFFFF"/>
          <w:vertAlign w:val="superscript"/>
        </w:rPr>
        <w:t>[13,14]</w:t>
      </w:r>
      <w:r w:rsidRPr="001409F0">
        <w:rPr>
          <w:rStyle w:val="text-dst"/>
          <w:rFonts w:ascii="Book Antiqua" w:hAnsi="Book Antiqua" w:cs="Arial"/>
          <w:bdr w:val="none" w:sz="0" w:space="0" w:color="auto" w:frame="1"/>
          <w:shd w:val="clear" w:color="auto" w:fill="FFFFFF"/>
        </w:rPr>
        <w:t xml:space="preserve">. </w:t>
      </w:r>
      <w:r w:rsidRPr="001409F0">
        <w:rPr>
          <w:rFonts w:ascii="Book Antiqua" w:hAnsi="Book Antiqua" w:cs="Arial"/>
          <w:shd w:val="clear" w:color="auto" w:fill="FFFFFF"/>
        </w:rPr>
        <w:t>TCL has certain protective effect</w:t>
      </w:r>
      <w:r w:rsidR="00461CD0" w:rsidRPr="001409F0">
        <w:rPr>
          <w:rFonts w:ascii="Book Antiqua" w:hAnsi="Book Antiqua" w:cs="Arial"/>
          <w:shd w:val="clear" w:color="auto" w:fill="FFFFFF"/>
        </w:rPr>
        <w:t>s</w:t>
      </w:r>
      <w:r w:rsidRPr="001409F0">
        <w:rPr>
          <w:rFonts w:ascii="Book Antiqua" w:hAnsi="Book Antiqua" w:cs="Arial"/>
          <w:shd w:val="clear" w:color="auto" w:fill="FFFFFF"/>
        </w:rPr>
        <w:t xml:space="preserve"> against liver injury induced by carbon tetrachloride and acetaminophen, and can reduce the severity of liver </w:t>
      </w:r>
      <w:proofErr w:type="gramStart"/>
      <w:r w:rsidRPr="001409F0">
        <w:rPr>
          <w:rFonts w:ascii="Book Antiqua" w:hAnsi="Book Antiqua" w:cs="Arial"/>
          <w:shd w:val="clear" w:color="auto" w:fill="FFFFFF"/>
        </w:rPr>
        <w:t>damage</w:t>
      </w:r>
      <w:r w:rsidRPr="001409F0">
        <w:rPr>
          <w:rFonts w:ascii="Book Antiqua" w:hAnsi="Book Antiqua" w:cs="Arial"/>
          <w:shd w:val="clear" w:color="auto" w:fill="FFFFFF"/>
          <w:vertAlign w:val="superscript"/>
        </w:rPr>
        <w:t>[</w:t>
      </w:r>
      <w:proofErr w:type="gramEnd"/>
      <w:r w:rsidRPr="001409F0">
        <w:rPr>
          <w:rFonts w:ascii="Book Antiqua" w:hAnsi="Book Antiqua" w:cs="Arial"/>
          <w:shd w:val="clear" w:color="auto" w:fill="FFFFFF"/>
          <w:vertAlign w:val="superscript"/>
        </w:rPr>
        <w:t>13]</w:t>
      </w:r>
      <w:r w:rsidRPr="001409F0">
        <w:rPr>
          <w:rFonts w:ascii="Book Antiqua" w:hAnsi="Book Antiqua" w:cs="Arial"/>
          <w:shd w:val="clear" w:color="auto" w:fill="FFFFFF"/>
        </w:rPr>
        <w:t>. However, the regulatory effect of TCL on alcohol-induced activation of NLRP3 inflamm</w:t>
      </w:r>
      <w:r w:rsidR="00CF2473" w:rsidRPr="001409F0">
        <w:rPr>
          <w:rFonts w:ascii="Book Antiqua" w:hAnsi="Book Antiqua" w:cs="Arial"/>
          <w:shd w:val="clear" w:color="auto" w:fill="FFFFFF"/>
        </w:rPr>
        <w:t>a</w:t>
      </w:r>
      <w:r w:rsidRPr="001409F0">
        <w:rPr>
          <w:rFonts w:ascii="Book Antiqua" w:hAnsi="Book Antiqua" w:cs="Arial"/>
          <w:shd w:val="clear" w:color="auto" w:fill="FFFFFF"/>
        </w:rPr>
        <w:t xml:space="preserve">somes is still unclear. The </w:t>
      </w:r>
      <w:r w:rsidRPr="001409F0">
        <w:rPr>
          <w:rFonts w:ascii="Book Antiqua" w:hAnsi="Book Antiqua" w:cs="Arial"/>
        </w:rPr>
        <w:t xml:space="preserve">Lieber-DeCaril ethanol lipid diet has been widely used to reproduce chronic alcoholic hepatic injury in </w:t>
      </w:r>
      <w:proofErr w:type="gramStart"/>
      <w:r w:rsidRPr="001409F0">
        <w:rPr>
          <w:rFonts w:ascii="Book Antiqua" w:hAnsi="Book Antiqua" w:cs="Arial"/>
        </w:rPr>
        <w:t>animals</w:t>
      </w:r>
      <w:r w:rsidRPr="001409F0">
        <w:rPr>
          <w:rFonts w:ascii="Book Antiqua" w:hAnsi="Book Antiqua" w:cs="Arial"/>
          <w:vertAlign w:val="superscript"/>
        </w:rPr>
        <w:t>[</w:t>
      </w:r>
      <w:proofErr w:type="gramEnd"/>
      <w:r w:rsidRPr="001409F0">
        <w:rPr>
          <w:rFonts w:ascii="Book Antiqua" w:hAnsi="Book Antiqua" w:cs="Arial"/>
          <w:vertAlign w:val="superscript"/>
        </w:rPr>
        <w:t>15,16]</w:t>
      </w:r>
      <w:r w:rsidRPr="001409F0">
        <w:rPr>
          <w:rFonts w:ascii="Book Antiqua" w:hAnsi="Book Antiqua" w:cs="Arial"/>
        </w:rPr>
        <w:t>. Feeding animals the Lieber-DeCarli diet containing alcohol for 4 w</w:t>
      </w:r>
      <w:r w:rsidR="00F42765" w:rsidRPr="001409F0">
        <w:rPr>
          <w:rFonts w:ascii="Book Antiqua" w:hAnsi="Book Antiqua" w:cs="Arial"/>
        </w:rPr>
        <w:t>k</w:t>
      </w:r>
      <w:r w:rsidRPr="001409F0">
        <w:rPr>
          <w:rFonts w:ascii="Book Antiqua" w:hAnsi="Book Antiqua" w:cs="Arial"/>
        </w:rPr>
        <w:t xml:space="preserve"> is a classical approach to reproduce chronic liver injury due to alcohol that has been employed </w:t>
      </w:r>
      <w:r w:rsidR="00461CD0" w:rsidRPr="001409F0">
        <w:rPr>
          <w:rFonts w:ascii="Book Antiqua" w:hAnsi="Book Antiqua" w:cs="Arial"/>
        </w:rPr>
        <w:t>in</w:t>
      </w:r>
      <w:r w:rsidRPr="001409F0">
        <w:rPr>
          <w:rFonts w:ascii="Book Antiqua" w:hAnsi="Book Antiqua" w:cs="Arial"/>
        </w:rPr>
        <w:t xml:space="preserve"> many </w:t>
      </w:r>
      <w:proofErr w:type="gramStart"/>
      <w:r w:rsidRPr="001409F0">
        <w:rPr>
          <w:rFonts w:ascii="Book Antiqua" w:hAnsi="Book Antiqua" w:cs="Arial"/>
        </w:rPr>
        <w:t>laboratories</w:t>
      </w:r>
      <w:r w:rsidRPr="001409F0">
        <w:rPr>
          <w:rFonts w:ascii="Book Antiqua" w:hAnsi="Book Antiqua" w:cs="Arial"/>
          <w:vertAlign w:val="superscript"/>
        </w:rPr>
        <w:t>[</w:t>
      </w:r>
      <w:proofErr w:type="gramEnd"/>
      <w:r w:rsidRPr="001409F0">
        <w:rPr>
          <w:rFonts w:ascii="Book Antiqua" w:hAnsi="Book Antiqua" w:cs="Arial"/>
          <w:vertAlign w:val="superscript"/>
        </w:rPr>
        <w:t>17,18]</w:t>
      </w:r>
      <w:r w:rsidRPr="001409F0">
        <w:rPr>
          <w:rFonts w:ascii="Book Antiqua" w:hAnsi="Book Antiqua" w:cs="Arial"/>
        </w:rPr>
        <w:t xml:space="preserve">. </w:t>
      </w:r>
    </w:p>
    <w:p w14:paraId="5D1EA25C" w14:textId="61D93D39" w:rsidR="00E05BA3" w:rsidRPr="001409F0" w:rsidRDefault="00E05BA3" w:rsidP="001409F0">
      <w:pPr>
        <w:adjustRightInd w:val="0"/>
        <w:snapToGrid w:val="0"/>
        <w:spacing w:line="360" w:lineRule="auto"/>
        <w:ind w:firstLineChars="100" w:firstLine="200"/>
        <w:rPr>
          <w:rFonts w:ascii="Book Antiqua" w:hAnsi="Book Antiqua" w:cs="Arial"/>
        </w:rPr>
      </w:pPr>
      <w:r w:rsidRPr="001409F0">
        <w:rPr>
          <w:rFonts w:ascii="Book Antiqua" w:hAnsi="Book Antiqua" w:cs="Arial"/>
        </w:rPr>
        <w:t xml:space="preserve">Therefore, in this study, </w:t>
      </w:r>
      <w:r w:rsidR="00461CD0" w:rsidRPr="001409F0">
        <w:rPr>
          <w:rFonts w:ascii="Book Antiqua" w:hAnsi="Book Antiqua" w:cs="Arial"/>
        </w:rPr>
        <w:t>m</w:t>
      </w:r>
      <w:r w:rsidRPr="001409F0">
        <w:rPr>
          <w:rFonts w:ascii="Book Antiqua" w:hAnsi="Book Antiqua" w:cs="Arial"/>
        </w:rPr>
        <w:t>ice were fed the Lieber-DeCaril ethanol lipid diet to</w:t>
      </w:r>
      <w:r w:rsidRPr="001409F0">
        <w:rPr>
          <w:rFonts w:ascii="Book Antiqua" w:eastAsia="MS Mincho" w:hAnsi="Book Antiqua" w:cs="Arial"/>
          <w:lang w:eastAsia="ja-JP"/>
        </w:rPr>
        <w:t xml:space="preserve"> </w:t>
      </w:r>
      <w:r w:rsidR="00461CD0" w:rsidRPr="001409F0">
        <w:rPr>
          <w:rFonts w:ascii="Book Antiqua" w:eastAsia="MS Mincho" w:hAnsi="Book Antiqua" w:cs="Arial"/>
          <w:lang w:eastAsia="ja-JP"/>
        </w:rPr>
        <w:t xml:space="preserve">establish a </w:t>
      </w:r>
      <w:r w:rsidRPr="001409F0">
        <w:rPr>
          <w:rFonts w:ascii="Book Antiqua" w:eastAsia="MS Mincho" w:hAnsi="Book Antiqua" w:cs="Arial"/>
          <w:lang w:eastAsia="ja-JP"/>
        </w:rPr>
        <w:t>c</w:t>
      </w:r>
      <w:r w:rsidRPr="001409F0">
        <w:rPr>
          <w:rFonts w:ascii="Book Antiqua" w:hAnsi="Book Antiqua" w:cs="Arial"/>
        </w:rPr>
        <w:t>hronic ethanol-induced liver injury model, and to</w:t>
      </w:r>
      <w:r w:rsidRPr="001409F0">
        <w:rPr>
          <w:rFonts w:ascii="Book Antiqua" w:hAnsi="Book Antiqua" w:cs="Arial"/>
          <w:b/>
          <w:bCs/>
          <w:kern w:val="44"/>
        </w:rPr>
        <w:t xml:space="preserve"> </w:t>
      </w:r>
      <w:r w:rsidRPr="001409F0">
        <w:rPr>
          <w:rFonts w:ascii="Book Antiqua" w:hAnsi="Book Antiqua" w:cs="Arial"/>
        </w:rPr>
        <w:t xml:space="preserve">investigate the protective effect of a TCL extract (200 mg/kg </w:t>
      </w:r>
      <w:r w:rsidRPr="001409F0">
        <w:rPr>
          <w:rFonts w:ascii="Book Antiqua" w:hAnsi="Book Antiqua" w:cs="Arial"/>
        </w:rPr>
        <w:lastRenderedPageBreak/>
        <w:t>BW) against liver injury due to chronic alcohol intake and the possible mechanisms involved.</w:t>
      </w:r>
    </w:p>
    <w:p w14:paraId="7B477E28" w14:textId="77777777" w:rsidR="00E05BA3" w:rsidRPr="001409F0" w:rsidRDefault="00E05BA3" w:rsidP="001409F0">
      <w:pPr>
        <w:adjustRightInd w:val="0"/>
        <w:snapToGrid w:val="0"/>
        <w:spacing w:line="360" w:lineRule="auto"/>
        <w:rPr>
          <w:rFonts w:ascii="Book Antiqua" w:hAnsi="Book Antiqua" w:cs="Arial"/>
        </w:rPr>
      </w:pPr>
    </w:p>
    <w:p w14:paraId="41755D0A" w14:textId="77777777" w:rsidR="00A331B0" w:rsidRPr="001409F0" w:rsidRDefault="00A331B0" w:rsidP="001409F0">
      <w:pPr>
        <w:widowControl/>
        <w:adjustRightInd w:val="0"/>
        <w:snapToGrid w:val="0"/>
        <w:spacing w:line="360" w:lineRule="auto"/>
        <w:rPr>
          <w:rFonts w:ascii="Book Antiqua" w:hAnsi="Book Antiqua" w:cs="Calibri"/>
          <w:b/>
          <w:u w:val="single"/>
          <w:lang w:eastAsia="en-US"/>
        </w:rPr>
      </w:pPr>
      <w:bookmarkStart w:id="36" w:name="_Hlk27568397"/>
      <w:r w:rsidRPr="001409F0">
        <w:rPr>
          <w:rFonts w:ascii="Book Antiqua" w:hAnsi="Book Antiqua" w:cs="Calibri"/>
          <w:b/>
          <w:u w:val="single"/>
          <w:lang w:eastAsia="en-US"/>
        </w:rPr>
        <w:t>MATERIALS AND METHODS</w:t>
      </w:r>
    </w:p>
    <w:bookmarkEnd w:id="36"/>
    <w:p w14:paraId="22418816" w14:textId="77777777" w:rsidR="00E05BA3" w:rsidRPr="001409F0" w:rsidRDefault="00E05BA3" w:rsidP="001409F0">
      <w:pPr>
        <w:pStyle w:val="a8"/>
        <w:adjustRightInd w:val="0"/>
        <w:snapToGrid w:val="0"/>
        <w:spacing w:line="360" w:lineRule="auto"/>
        <w:ind w:firstLineChars="0" w:firstLine="0"/>
        <w:rPr>
          <w:rFonts w:ascii="Book Antiqua" w:hAnsi="Book Antiqua" w:cs="Arial"/>
          <w:b/>
          <w:i/>
        </w:rPr>
      </w:pPr>
      <w:r w:rsidRPr="001409F0">
        <w:rPr>
          <w:rFonts w:ascii="Book Antiqua" w:hAnsi="Book Antiqua" w:cs="Arial"/>
          <w:b/>
          <w:i/>
        </w:rPr>
        <w:t>Preparation of the TCL extract</w:t>
      </w:r>
    </w:p>
    <w:p w14:paraId="122DAF88" w14:textId="660E9410" w:rsidR="00E05BA3" w:rsidRPr="001409F0" w:rsidRDefault="00E05BA3" w:rsidP="001409F0">
      <w:pPr>
        <w:pStyle w:val="a8"/>
        <w:adjustRightInd w:val="0"/>
        <w:snapToGrid w:val="0"/>
        <w:spacing w:line="360" w:lineRule="auto"/>
        <w:ind w:firstLineChars="0" w:firstLine="0"/>
        <w:rPr>
          <w:rFonts w:ascii="Book Antiqua" w:hAnsi="Book Antiqua" w:cs="Arial"/>
        </w:rPr>
      </w:pPr>
      <w:r w:rsidRPr="001409F0">
        <w:rPr>
          <w:rFonts w:ascii="Book Antiqua" w:hAnsi="Book Antiqua" w:cs="Arial"/>
        </w:rPr>
        <w:t>TCL was provided from trees grown in the Yellow River Delta region (Wudi, China), and was authenticated by Dr. Dexi Liu from the Shandong Province Forestry Academy of Science of China (</w:t>
      </w:r>
      <w:r w:rsidR="00A331B0" w:rsidRPr="001409F0">
        <w:rPr>
          <w:rFonts w:ascii="Book Antiqua" w:hAnsi="Book Antiqua" w:cs="Arial"/>
        </w:rPr>
        <w:t>Figure</w:t>
      </w:r>
      <w:r w:rsidRPr="001409F0">
        <w:rPr>
          <w:rFonts w:ascii="Book Antiqua" w:hAnsi="Book Antiqua" w:cs="Arial"/>
        </w:rPr>
        <w:t xml:space="preserve"> 1). TCL contains a variety of chemical components</w:t>
      </w:r>
      <w:r w:rsidR="00F05AD0" w:rsidRPr="001409F0">
        <w:rPr>
          <w:rFonts w:ascii="Book Antiqua" w:hAnsi="Book Antiqua" w:cs="Arial"/>
        </w:rPr>
        <w:t xml:space="preserve"> </w:t>
      </w:r>
      <w:r w:rsidRPr="001409F0">
        <w:rPr>
          <w:rFonts w:ascii="Book Antiqua" w:hAnsi="Book Antiqua" w:cs="Arial"/>
        </w:rPr>
        <w:t xml:space="preserve">such as flavonoids, triterpenes, steroids, phenylpropanoids, organic acids, and phenolic </w:t>
      </w:r>
      <w:proofErr w:type="gramStart"/>
      <w:r w:rsidRPr="001409F0">
        <w:rPr>
          <w:rFonts w:ascii="Book Antiqua" w:hAnsi="Book Antiqua" w:cs="Arial"/>
        </w:rPr>
        <w:t>acids</w:t>
      </w:r>
      <w:r w:rsidRPr="001409F0">
        <w:rPr>
          <w:rFonts w:ascii="Book Antiqua" w:hAnsi="Book Antiqua" w:cs="Arial"/>
          <w:vertAlign w:val="superscript"/>
        </w:rPr>
        <w:t>[</w:t>
      </w:r>
      <w:proofErr w:type="gramEnd"/>
      <w:r w:rsidRPr="001409F0">
        <w:rPr>
          <w:rFonts w:ascii="Book Antiqua" w:hAnsi="Book Antiqua" w:cs="Arial"/>
          <w:vertAlign w:val="superscript"/>
        </w:rPr>
        <w:t>12]</w:t>
      </w:r>
      <w:r w:rsidRPr="001409F0">
        <w:rPr>
          <w:rFonts w:ascii="Book Antiqua" w:hAnsi="Book Antiqua" w:cs="Arial"/>
        </w:rPr>
        <w:t xml:space="preserve">. Based on the </w:t>
      </w:r>
      <w:proofErr w:type="gramStart"/>
      <w:r w:rsidRPr="001409F0">
        <w:rPr>
          <w:rFonts w:ascii="Book Antiqua" w:hAnsi="Book Antiqua" w:cs="Arial"/>
        </w:rPr>
        <w:t>literature</w:t>
      </w:r>
      <w:r w:rsidRPr="001409F0">
        <w:rPr>
          <w:rFonts w:ascii="Book Antiqua" w:hAnsi="Book Antiqua" w:cs="Arial"/>
          <w:vertAlign w:val="superscript"/>
        </w:rPr>
        <w:t>[</w:t>
      </w:r>
      <w:proofErr w:type="gramEnd"/>
      <w:r w:rsidRPr="001409F0">
        <w:rPr>
          <w:rFonts w:ascii="Book Antiqua" w:hAnsi="Book Antiqua" w:cs="Arial"/>
          <w:vertAlign w:val="superscript"/>
        </w:rPr>
        <w:t>19]</w:t>
      </w:r>
      <w:r w:rsidRPr="001409F0">
        <w:rPr>
          <w:rFonts w:ascii="Book Antiqua" w:hAnsi="Book Antiqua" w:cs="Arial"/>
        </w:rPr>
        <w:t>, extraction was performed as follows: the dried branches and leaves of TCL</w:t>
      </w:r>
      <w:r w:rsidRPr="001409F0" w:rsidDel="009C65DF">
        <w:rPr>
          <w:rFonts w:ascii="Book Antiqua" w:hAnsi="Book Antiqua" w:cs="Arial"/>
          <w:i/>
        </w:rPr>
        <w:t xml:space="preserve"> </w:t>
      </w:r>
      <w:r w:rsidRPr="001409F0">
        <w:rPr>
          <w:rFonts w:ascii="Book Antiqua" w:hAnsi="Book Antiqua" w:cs="Arial"/>
        </w:rPr>
        <w:t xml:space="preserve">(100 g) were minced and sifted using an 80-mesh sieve, </w:t>
      </w:r>
      <w:r w:rsidR="00F05AD0" w:rsidRPr="001409F0">
        <w:rPr>
          <w:rFonts w:ascii="Book Antiqua" w:hAnsi="Book Antiqua" w:cs="Arial"/>
        </w:rPr>
        <w:t xml:space="preserve">and </w:t>
      </w:r>
      <w:r w:rsidRPr="001409F0">
        <w:rPr>
          <w:rFonts w:ascii="Book Antiqua" w:hAnsi="Book Antiqua" w:cs="Arial"/>
        </w:rPr>
        <w:t>then extracted by maceration in an 80% aqueous ethanol solution (1000 m</w:t>
      </w:r>
      <w:r w:rsidR="00A331B0" w:rsidRPr="001409F0">
        <w:rPr>
          <w:rFonts w:ascii="Book Antiqua" w:hAnsi="Book Antiqua" w:cs="Arial"/>
        </w:rPr>
        <w:t>L</w:t>
      </w:r>
      <w:r w:rsidRPr="001409F0">
        <w:rPr>
          <w:rFonts w:ascii="Book Antiqua" w:hAnsi="Book Antiqua" w:cs="Arial"/>
        </w:rPr>
        <w:t>). The resulting extract was filtered to remove bacteria, concentrated (to 31 g) in a rotary vacuum evaporator, and stored in tightly sealed sample tubes.</w:t>
      </w:r>
    </w:p>
    <w:p w14:paraId="01A110FB" w14:textId="77777777" w:rsidR="00E05BA3" w:rsidRPr="001409F0" w:rsidRDefault="00E05BA3" w:rsidP="001409F0">
      <w:pPr>
        <w:pStyle w:val="a8"/>
        <w:adjustRightInd w:val="0"/>
        <w:snapToGrid w:val="0"/>
        <w:spacing w:line="360" w:lineRule="auto"/>
        <w:ind w:firstLineChars="0" w:firstLine="0"/>
        <w:rPr>
          <w:rFonts w:ascii="Book Antiqua" w:hAnsi="Book Antiqua" w:cs="Arial"/>
        </w:rPr>
      </w:pPr>
    </w:p>
    <w:p w14:paraId="1B151293" w14:textId="77777777" w:rsidR="00E05BA3" w:rsidRPr="001409F0" w:rsidRDefault="00E05BA3" w:rsidP="001409F0">
      <w:pPr>
        <w:pStyle w:val="a8"/>
        <w:adjustRightInd w:val="0"/>
        <w:snapToGrid w:val="0"/>
        <w:spacing w:line="360" w:lineRule="auto"/>
        <w:ind w:firstLineChars="0" w:firstLine="0"/>
        <w:rPr>
          <w:rFonts w:ascii="Book Antiqua" w:hAnsi="Book Antiqua" w:cs="Arial"/>
          <w:b/>
          <w:i/>
        </w:rPr>
      </w:pPr>
      <w:r w:rsidRPr="001409F0">
        <w:rPr>
          <w:rFonts w:ascii="Book Antiqua" w:hAnsi="Book Antiqua" w:cs="Arial"/>
          <w:b/>
          <w:i/>
        </w:rPr>
        <w:t>Animals and treatment</w:t>
      </w:r>
    </w:p>
    <w:p w14:paraId="61E93E9F" w14:textId="2684E447" w:rsidR="00E05BA3" w:rsidRPr="001409F0" w:rsidRDefault="00E05BA3" w:rsidP="001409F0">
      <w:pPr>
        <w:pStyle w:val="a8"/>
        <w:tabs>
          <w:tab w:val="left" w:pos="4820"/>
        </w:tabs>
        <w:adjustRightInd w:val="0"/>
        <w:snapToGrid w:val="0"/>
        <w:spacing w:line="360" w:lineRule="auto"/>
        <w:ind w:firstLineChars="0" w:firstLine="0"/>
        <w:rPr>
          <w:rFonts w:ascii="Book Antiqua" w:hAnsi="Book Antiqua" w:cs="Arial"/>
        </w:rPr>
      </w:pPr>
      <w:r w:rsidRPr="001409F0">
        <w:rPr>
          <w:rFonts w:ascii="Book Antiqua" w:hAnsi="Book Antiqua" w:cs="Arial"/>
        </w:rPr>
        <w:t>Eighty C57BL/6J male mice (8-10 w</w:t>
      </w:r>
      <w:r w:rsidR="0006249A" w:rsidRPr="001409F0">
        <w:rPr>
          <w:rFonts w:ascii="Book Antiqua" w:hAnsi="Book Antiqua" w:cs="Arial"/>
        </w:rPr>
        <w:t>k</w:t>
      </w:r>
      <w:r w:rsidRPr="001409F0">
        <w:rPr>
          <w:rFonts w:ascii="Book Antiqua" w:hAnsi="Book Antiqua" w:cs="Arial"/>
        </w:rPr>
        <w:t xml:space="preserve"> old) were purchased from Beijing HFK Bioscience Co. Ltd. (Beijing, China). The mice were housed 2 to 3 per cage and maintained in pathogen-free microisolator cages with controlled temperature (22.5</w:t>
      </w:r>
      <w:r w:rsidR="00F42765" w:rsidRPr="001409F0">
        <w:rPr>
          <w:rFonts w:ascii="Book Antiqua" w:hAnsi="Book Antiqua" w:cs="Arial"/>
        </w:rPr>
        <w:t xml:space="preserve"> °C</w:t>
      </w:r>
      <w:r w:rsidRPr="001409F0">
        <w:rPr>
          <w:rFonts w:ascii="Book Antiqua" w:hAnsi="Book Antiqua" w:cs="Arial"/>
        </w:rPr>
        <w:t xml:space="preserve"> ± 0.5</w:t>
      </w:r>
      <w:r w:rsidR="00F42765" w:rsidRPr="001409F0">
        <w:rPr>
          <w:rFonts w:ascii="Book Antiqua" w:hAnsi="Book Antiqua" w:cs="Arial"/>
        </w:rPr>
        <w:t xml:space="preserve"> </w:t>
      </w:r>
      <w:r w:rsidRPr="001409F0">
        <w:rPr>
          <w:rFonts w:ascii="Book Antiqua" w:hAnsi="Book Antiqua" w:cs="Arial"/>
        </w:rPr>
        <w:t>°C) and humidity (50</w:t>
      </w:r>
      <w:r w:rsidR="00F42765" w:rsidRPr="001409F0">
        <w:rPr>
          <w:rFonts w:ascii="Book Antiqua" w:hAnsi="Book Antiqua" w:cs="Arial"/>
        </w:rPr>
        <w:t>%</w:t>
      </w:r>
      <w:r w:rsidRPr="001409F0">
        <w:rPr>
          <w:rFonts w:ascii="Book Antiqua" w:hAnsi="Book Antiqua" w:cs="Arial"/>
        </w:rPr>
        <w:t xml:space="preserve"> ± 5%) and a 12-h light/dark cycle. The liquid diets were provided </w:t>
      </w:r>
      <w:r w:rsidRPr="00472ED2">
        <w:rPr>
          <w:rFonts w:ascii="Book Antiqua" w:hAnsi="Book Antiqua" w:cs="Arial"/>
          <w:i/>
        </w:rPr>
        <w:t>ad libitum</w:t>
      </w:r>
      <w:r w:rsidRPr="001409F0">
        <w:rPr>
          <w:rFonts w:ascii="Book Antiqua" w:hAnsi="Book Antiqua" w:cs="Arial"/>
        </w:rPr>
        <w:t xml:space="preserve">. First, all mice were acclimatized to the liquid diet for 1 wk. Then the mice were randomly assigned to the following </w:t>
      </w:r>
      <w:r w:rsidR="00686D68" w:rsidRPr="001409F0">
        <w:rPr>
          <w:rFonts w:ascii="Book Antiqua" w:hAnsi="Book Antiqua" w:cs="Arial"/>
        </w:rPr>
        <w:t>five</w:t>
      </w:r>
      <w:r w:rsidRPr="001409F0">
        <w:rPr>
          <w:rFonts w:ascii="Book Antiqua" w:hAnsi="Book Antiqua" w:cs="Arial"/>
        </w:rPr>
        <w:t xml:space="preserve"> groups: control</w:t>
      </w:r>
      <w:r w:rsidR="00516D69" w:rsidRPr="001409F0">
        <w:rPr>
          <w:rFonts w:ascii="Book Antiqua" w:hAnsi="Book Antiqua" w:cs="Arial"/>
        </w:rPr>
        <w:t xml:space="preserve"> (Ctrl)</w:t>
      </w:r>
      <w:r w:rsidRPr="001409F0">
        <w:rPr>
          <w:rFonts w:ascii="Book Antiqua" w:hAnsi="Book Antiqua" w:cs="Arial"/>
        </w:rPr>
        <w:t xml:space="preserve"> group, ethanol </w:t>
      </w:r>
      <w:r w:rsidR="00516D69" w:rsidRPr="001409F0">
        <w:rPr>
          <w:rFonts w:ascii="Book Antiqua" w:hAnsi="Book Antiqua" w:cs="Arial"/>
        </w:rPr>
        <w:t xml:space="preserve">(EtOH) </w:t>
      </w:r>
      <w:r w:rsidRPr="001409F0">
        <w:rPr>
          <w:rFonts w:ascii="Book Antiqua" w:hAnsi="Book Antiqua" w:cs="Arial"/>
        </w:rPr>
        <w:t>group, reduced glutathione</w:t>
      </w:r>
      <w:r w:rsidR="00F76F9D" w:rsidRPr="001409F0">
        <w:rPr>
          <w:rFonts w:ascii="Book Antiqua" w:hAnsi="Book Antiqua" w:cs="Arial"/>
        </w:rPr>
        <w:t xml:space="preserve"> (GSH)</w:t>
      </w:r>
      <w:r w:rsidRPr="001409F0">
        <w:rPr>
          <w:rFonts w:ascii="Book Antiqua" w:hAnsi="Book Antiqua" w:cs="Arial"/>
        </w:rPr>
        <w:t xml:space="preserve"> group as the positive </w:t>
      </w:r>
      <w:r w:rsidR="00516D69" w:rsidRPr="001409F0">
        <w:rPr>
          <w:rFonts w:ascii="Book Antiqua" w:hAnsi="Book Antiqua" w:cs="Arial"/>
        </w:rPr>
        <w:t xml:space="preserve">Ctrl </w:t>
      </w:r>
      <w:r w:rsidRPr="001409F0">
        <w:rPr>
          <w:rFonts w:ascii="Book Antiqua" w:hAnsi="Book Antiqua" w:cs="Arial"/>
        </w:rPr>
        <w:t>(EtOH</w:t>
      </w:r>
      <w:r w:rsidR="00205947">
        <w:rPr>
          <w:rFonts w:ascii="Book Antiqua" w:hAnsi="Book Antiqua" w:cs="Arial"/>
        </w:rPr>
        <w:t xml:space="preserve"> </w:t>
      </w:r>
      <w:r w:rsidRPr="001409F0">
        <w:rPr>
          <w:rFonts w:ascii="Book Antiqua" w:hAnsi="Book Antiqua" w:cs="Arial"/>
        </w:rPr>
        <w:t>+</w:t>
      </w:r>
      <w:r w:rsidR="00205947">
        <w:rPr>
          <w:rFonts w:ascii="Book Antiqua" w:hAnsi="Book Antiqua" w:cs="Arial"/>
        </w:rPr>
        <w:t xml:space="preserve"> </w:t>
      </w:r>
      <w:r w:rsidRPr="001409F0">
        <w:rPr>
          <w:rFonts w:ascii="Book Antiqua" w:hAnsi="Book Antiqua" w:cs="Arial"/>
        </w:rPr>
        <w:t xml:space="preserve">GSH at 86 mg/kg BW), and </w:t>
      </w:r>
      <w:r w:rsidR="00F76F9D" w:rsidRPr="001409F0">
        <w:rPr>
          <w:rFonts w:ascii="Book Antiqua" w:hAnsi="Book Antiqua" w:cs="Arial"/>
        </w:rPr>
        <w:t>two</w:t>
      </w:r>
      <w:r w:rsidRPr="001409F0">
        <w:rPr>
          <w:rFonts w:ascii="Book Antiqua" w:hAnsi="Book Antiqua" w:cs="Arial"/>
        </w:rPr>
        <w:t xml:space="preserve"> TCL</w:t>
      </w:r>
      <w:r w:rsidRPr="001409F0" w:rsidDel="009C65DF">
        <w:rPr>
          <w:rFonts w:ascii="Book Antiqua" w:hAnsi="Book Antiqua" w:cs="Arial"/>
          <w:i/>
        </w:rPr>
        <w:t xml:space="preserve"> </w:t>
      </w:r>
      <w:r w:rsidRPr="001409F0">
        <w:rPr>
          <w:rFonts w:ascii="Book Antiqua" w:hAnsi="Book Antiqua" w:cs="Arial"/>
        </w:rPr>
        <w:t>groups (EtOH</w:t>
      </w:r>
      <w:r w:rsidR="00205947">
        <w:rPr>
          <w:rFonts w:ascii="Book Antiqua" w:hAnsi="Book Antiqua" w:cs="Arial"/>
        </w:rPr>
        <w:t xml:space="preserve"> </w:t>
      </w:r>
      <w:r w:rsidRPr="001409F0">
        <w:rPr>
          <w:rFonts w:ascii="Book Antiqua" w:hAnsi="Book Antiqua" w:cs="Arial"/>
        </w:rPr>
        <w:t>+</w:t>
      </w:r>
      <w:r w:rsidR="00205947">
        <w:rPr>
          <w:rFonts w:ascii="Book Antiqua" w:hAnsi="Book Antiqua" w:cs="Arial"/>
        </w:rPr>
        <w:t xml:space="preserve"> </w:t>
      </w:r>
      <w:r w:rsidRPr="001409F0">
        <w:rPr>
          <w:rFonts w:ascii="Book Antiqua" w:hAnsi="Book Antiqua" w:cs="Arial"/>
        </w:rPr>
        <w:t>TCL-L at 100 mg/kg BW and EtOH</w:t>
      </w:r>
      <w:r w:rsidR="00205947">
        <w:rPr>
          <w:rFonts w:ascii="Book Antiqua" w:hAnsi="Book Antiqua" w:cs="Arial"/>
        </w:rPr>
        <w:t xml:space="preserve"> </w:t>
      </w:r>
      <w:r w:rsidRPr="001409F0">
        <w:rPr>
          <w:rFonts w:ascii="Book Antiqua" w:hAnsi="Book Antiqua" w:cs="Arial"/>
        </w:rPr>
        <w:t>+</w:t>
      </w:r>
      <w:r w:rsidR="00205947">
        <w:rPr>
          <w:rFonts w:ascii="Book Antiqua" w:hAnsi="Book Antiqua" w:cs="Arial"/>
        </w:rPr>
        <w:t xml:space="preserve"> </w:t>
      </w:r>
      <w:r w:rsidRPr="001409F0">
        <w:rPr>
          <w:rFonts w:ascii="Book Antiqua" w:hAnsi="Book Antiqua" w:cs="Arial"/>
        </w:rPr>
        <w:t>TCL-H at 200 mg/kg BW). GSH exists in the normal liver and reported</w:t>
      </w:r>
      <w:r w:rsidR="00F76F9D" w:rsidRPr="001409F0">
        <w:rPr>
          <w:rFonts w:ascii="Book Antiqua" w:hAnsi="Book Antiqua" w:cs="Arial"/>
        </w:rPr>
        <w:t>ly</w:t>
      </w:r>
      <w:r w:rsidRPr="001409F0">
        <w:rPr>
          <w:rFonts w:ascii="Book Antiqua" w:hAnsi="Book Antiqua" w:cs="Arial"/>
        </w:rPr>
        <w:t xml:space="preserve"> improve</w:t>
      </w:r>
      <w:r w:rsidR="00F76F9D" w:rsidRPr="001409F0">
        <w:rPr>
          <w:rFonts w:ascii="Book Antiqua" w:hAnsi="Book Antiqua" w:cs="Arial"/>
        </w:rPr>
        <w:t>s</w:t>
      </w:r>
      <w:r w:rsidRPr="001409F0">
        <w:rPr>
          <w:rFonts w:ascii="Book Antiqua" w:hAnsi="Book Antiqua" w:cs="Arial"/>
        </w:rPr>
        <w:t xml:space="preserve"> clinical signs and hepatic dysfunction induced by </w:t>
      </w:r>
      <w:proofErr w:type="gramStart"/>
      <w:r w:rsidRPr="001409F0">
        <w:rPr>
          <w:rFonts w:ascii="Book Antiqua" w:hAnsi="Book Antiqua" w:cs="Arial"/>
        </w:rPr>
        <w:t>alcohol</w:t>
      </w:r>
      <w:r w:rsidRPr="001409F0">
        <w:rPr>
          <w:rFonts w:ascii="Book Antiqua" w:hAnsi="Book Antiqua" w:cs="Arial"/>
          <w:vertAlign w:val="superscript"/>
        </w:rPr>
        <w:t>[</w:t>
      </w:r>
      <w:proofErr w:type="gramEnd"/>
      <w:r w:rsidRPr="001409F0">
        <w:rPr>
          <w:rFonts w:ascii="Book Antiqua" w:hAnsi="Book Antiqua" w:cs="Arial"/>
          <w:vertAlign w:val="superscript"/>
        </w:rPr>
        <w:t>20]</w:t>
      </w:r>
      <w:r w:rsidRPr="001409F0">
        <w:rPr>
          <w:rFonts w:ascii="Book Antiqua" w:hAnsi="Book Antiqua" w:cs="Arial"/>
        </w:rPr>
        <w:t xml:space="preserve">. Therefore, GSH was used as a positive </w:t>
      </w:r>
      <w:r w:rsidR="00516D69" w:rsidRPr="001409F0">
        <w:rPr>
          <w:rFonts w:ascii="Book Antiqua" w:hAnsi="Book Antiqua" w:cs="Arial"/>
        </w:rPr>
        <w:t xml:space="preserve">Ctrl </w:t>
      </w:r>
      <w:r w:rsidRPr="001409F0">
        <w:rPr>
          <w:rFonts w:ascii="Book Antiqua" w:hAnsi="Book Antiqua" w:cs="Arial"/>
        </w:rPr>
        <w:t>when assessing the effects of TCL</w:t>
      </w:r>
      <w:r w:rsidRPr="001409F0">
        <w:rPr>
          <w:rFonts w:ascii="Book Antiqua" w:hAnsi="Book Antiqua"/>
          <w:shd w:val="clear" w:color="auto" w:fill="FFFFFF"/>
        </w:rPr>
        <w:t xml:space="preserve">. </w:t>
      </w:r>
      <w:r w:rsidRPr="001409F0">
        <w:rPr>
          <w:rFonts w:ascii="Book Antiqua" w:hAnsi="Book Antiqua" w:cs="Arial"/>
          <w:shd w:val="clear" w:color="auto" w:fill="FFFFFF"/>
        </w:rPr>
        <w:t xml:space="preserve">The doses of 100 mg/kg and 200 mg/kg TCL extracts used here are based on </w:t>
      </w:r>
      <w:r w:rsidR="00F76F9D" w:rsidRPr="001409F0">
        <w:rPr>
          <w:rFonts w:ascii="Book Antiqua" w:hAnsi="Book Antiqua" w:cs="Arial"/>
          <w:shd w:val="clear" w:color="auto" w:fill="FFFFFF"/>
        </w:rPr>
        <w:t xml:space="preserve">a previous </w:t>
      </w:r>
      <w:proofErr w:type="gramStart"/>
      <w:r w:rsidR="00F76F9D" w:rsidRPr="001409F0">
        <w:rPr>
          <w:rFonts w:ascii="Book Antiqua" w:hAnsi="Book Antiqua" w:cs="Arial"/>
          <w:shd w:val="clear" w:color="auto" w:fill="FFFFFF"/>
        </w:rPr>
        <w:t>study</w:t>
      </w:r>
      <w:r w:rsidRPr="001409F0">
        <w:rPr>
          <w:rFonts w:ascii="Book Antiqua" w:hAnsi="Book Antiqua" w:cs="Arial"/>
          <w:vertAlign w:val="superscript"/>
        </w:rPr>
        <w:t>[</w:t>
      </w:r>
      <w:proofErr w:type="gramEnd"/>
      <w:r w:rsidRPr="001409F0">
        <w:rPr>
          <w:rFonts w:ascii="Book Antiqua" w:hAnsi="Book Antiqua" w:cs="Arial"/>
          <w:vertAlign w:val="superscript"/>
        </w:rPr>
        <w:t>21]</w:t>
      </w:r>
      <w:r w:rsidR="00F76F9D" w:rsidRPr="001409F0">
        <w:rPr>
          <w:rFonts w:ascii="Book Antiqua" w:hAnsi="Book Antiqua" w:cs="Arial"/>
        </w:rPr>
        <w:t>,</w:t>
      </w:r>
      <w:r w:rsidRPr="001409F0">
        <w:rPr>
          <w:rFonts w:ascii="Book Antiqua" w:hAnsi="Book Antiqua" w:cs="Arial"/>
          <w:shd w:val="clear" w:color="auto" w:fill="FFFFFF"/>
        </w:rPr>
        <w:t xml:space="preserve"> and refer to the dose of TCL decoction in traditional Chinese medicine. </w:t>
      </w:r>
      <w:r w:rsidRPr="001409F0">
        <w:rPr>
          <w:rFonts w:ascii="Book Antiqua" w:hAnsi="Book Antiqua" w:cs="Arial"/>
        </w:rPr>
        <w:t xml:space="preserve">All groups, except for the </w:t>
      </w:r>
      <w:r w:rsidR="00516D69" w:rsidRPr="001409F0">
        <w:rPr>
          <w:rFonts w:ascii="Book Antiqua" w:hAnsi="Book Antiqua" w:cs="Arial"/>
        </w:rPr>
        <w:t xml:space="preserve">Ctrl </w:t>
      </w:r>
      <w:r w:rsidRPr="001409F0">
        <w:rPr>
          <w:rFonts w:ascii="Book Antiqua" w:hAnsi="Book Antiqua" w:cs="Arial"/>
        </w:rPr>
        <w:t xml:space="preserve">group, were fed a modified Lieber-DeCarli alcohol liquid diet, with the following energy composition: 11% carbohydrate, 18% protein, 36% ethanol, and 35% fat. The </w:t>
      </w:r>
      <w:r w:rsidR="00516D69" w:rsidRPr="001409F0">
        <w:rPr>
          <w:rFonts w:ascii="Book Antiqua" w:hAnsi="Book Antiqua" w:cs="Arial"/>
        </w:rPr>
        <w:t xml:space="preserve">Ctrl </w:t>
      </w:r>
      <w:r w:rsidRPr="001409F0">
        <w:rPr>
          <w:rFonts w:ascii="Book Antiqua" w:hAnsi="Book Antiqua" w:cs="Arial"/>
        </w:rPr>
        <w:t xml:space="preserve">group was fed an isocaloric </w:t>
      </w:r>
      <w:r w:rsidR="00516D69" w:rsidRPr="001409F0">
        <w:rPr>
          <w:rFonts w:ascii="Book Antiqua" w:hAnsi="Book Antiqua" w:cs="Arial"/>
        </w:rPr>
        <w:t xml:space="preserve">Ctrl </w:t>
      </w:r>
      <w:r w:rsidRPr="001409F0">
        <w:rPr>
          <w:rFonts w:ascii="Book Antiqua" w:hAnsi="Book Antiqua" w:cs="Arial"/>
        </w:rPr>
        <w:t xml:space="preserve">Lieber-DeCarli diet without ethanol (Trophic Animal Feed High-Tech Co., Ltd., China). The two kinds of liquid diet were prepared every 2 d according to the manufacturer's protocol. Administration of reduced </w:t>
      </w:r>
      <w:r w:rsidR="00F76F9D" w:rsidRPr="001409F0">
        <w:rPr>
          <w:rFonts w:ascii="Book Antiqua" w:hAnsi="Book Antiqua" w:cs="Arial"/>
        </w:rPr>
        <w:t xml:space="preserve">GSH </w:t>
      </w:r>
      <w:r w:rsidRPr="001409F0">
        <w:rPr>
          <w:rFonts w:ascii="Book Antiqua" w:hAnsi="Book Antiqua" w:cs="Arial"/>
        </w:rPr>
        <w:t xml:space="preserve">(YaoPharma Co., Ltd. Chongqing, China) and TCL extract was done by gavage. The dose of reduced </w:t>
      </w:r>
      <w:r w:rsidR="00F76F9D" w:rsidRPr="001409F0">
        <w:rPr>
          <w:rFonts w:ascii="Book Antiqua" w:hAnsi="Book Antiqua" w:cs="Arial"/>
        </w:rPr>
        <w:t xml:space="preserve">GSH </w:t>
      </w:r>
      <w:r w:rsidRPr="001409F0">
        <w:rPr>
          <w:rFonts w:ascii="Book Antiqua" w:hAnsi="Book Antiqua" w:cs="Arial"/>
        </w:rPr>
        <w:t>used in this study was based on the clinical dosage. After 4 w</w:t>
      </w:r>
      <w:r w:rsidR="00F42765" w:rsidRPr="001409F0">
        <w:rPr>
          <w:rFonts w:ascii="Book Antiqua" w:hAnsi="Book Antiqua" w:cs="Arial"/>
        </w:rPr>
        <w:t>k</w:t>
      </w:r>
      <w:r w:rsidRPr="001409F0">
        <w:rPr>
          <w:rFonts w:ascii="Book Antiqua" w:hAnsi="Book Antiqua" w:cs="Arial"/>
        </w:rPr>
        <w:t xml:space="preserve"> on the liquid diet, all mice were </w:t>
      </w:r>
      <w:proofErr w:type="gramStart"/>
      <w:r w:rsidRPr="001409F0">
        <w:rPr>
          <w:rFonts w:ascii="Book Antiqua" w:hAnsi="Book Antiqua" w:cs="Arial"/>
        </w:rPr>
        <w:t>euthanized</w:t>
      </w:r>
      <w:proofErr w:type="gramEnd"/>
      <w:r w:rsidRPr="001409F0">
        <w:rPr>
          <w:rFonts w:ascii="Book Antiqua" w:hAnsi="Book Antiqua" w:cs="Arial"/>
        </w:rPr>
        <w:t xml:space="preserve"> and blood samples were collected. Liver tissue was harvested and stored in a freezer at -80</w:t>
      </w:r>
      <w:r w:rsidR="00F42765" w:rsidRPr="001409F0">
        <w:rPr>
          <w:rFonts w:ascii="Book Antiqua" w:hAnsi="Book Antiqua" w:cs="Arial"/>
        </w:rPr>
        <w:t xml:space="preserve"> </w:t>
      </w:r>
      <w:r w:rsidRPr="001409F0">
        <w:rPr>
          <w:rFonts w:ascii="Book Antiqua" w:hAnsi="Book Antiqua" w:cs="Arial"/>
        </w:rPr>
        <w:t>°C. All animal experiments were performed in strict accordance with the guide for the Care and Use of Laboratory Animals of the Institute of Basic Medicine, Shandong Academy of Medical Sciences. The experimental protocols were approved by the animal ethics committee of the Institute of Basic Medicine, Shandong Academy of Medical Sciences (0</w:t>
      </w:r>
      <w:r w:rsidR="004351C2" w:rsidRPr="001409F0">
        <w:rPr>
          <w:rFonts w:ascii="Book Antiqua" w:hAnsi="Book Antiqua" w:cs="Arial"/>
        </w:rPr>
        <w:t>7</w:t>
      </w:r>
      <w:r w:rsidRPr="001409F0">
        <w:rPr>
          <w:rFonts w:ascii="Book Antiqua" w:hAnsi="Book Antiqua" w:cs="Arial"/>
        </w:rPr>
        <w:t>/201</w:t>
      </w:r>
      <w:r w:rsidR="004351C2" w:rsidRPr="001409F0">
        <w:rPr>
          <w:rFonts w:ascii="Book Antiqua" w:hAnsi="Book Antiqua" w:cs="Arial"/>
        </w:rPr>
        <w:t>6</w:t>
      </w:r>
      <w:r w:rsidRPr="001409F0">
        <w:rPr>
          <w:rFonts w:ascii="Book Antiqua" w:hAnsi="Book Antiqua" w:cs="Arial"/>
        </w:rPr>
        <w:t>). All efforts were made to minimize animal suffering.</w:t>
      </w:r>
    </w:p>
    <w:p w14:paraId="4C143CEE" w14:textId="77777777" w:rsidR="00E05BA3" w:rsidRPr="001409F0" w:rsidRDefault="00E05BA3" w:rsidP="001409F0">
      <w:pPr>
        <w:pStyle w:val="a8"/>
        <w:tabs>
          <w:tab w:val="left" w:pos="4820"/>
        </w:tabs>
        <w:adjustRightInd w:val="0"/>
        <w:snapToGrid w:val="0"/>
        <w:spacing w:line="360" w:lineRule="auto"/>
        <w:ind w:firstLineChars="0" w:firstLine="0"/>
        <w:rPr>
          <w:rFonts w:ascii="Book Antiqua" w:hAnsi="Book Antiqua" w:cs="Arial"/>
        </w:rPr>
      </w:pPr>
    </w:p>
    <w:p w14:paraId="3F724C7B" w14:textId="77777777" w:rsidR="00E05BA3" w:rsidRPr="001409F0" w:rsidRDefault="00E05BA3" w:rsidP="001409F0">
      <w:pPr>
        <w:pStyle w:val="a8"/>
        <w:adjustRightInd w:val="0"/>
        <w:snapToGrid w:val="0"/>
        <w:spacing w:line="360" w:lineRule="auto"/>
        <w:ind w:firstLineChars="0" w:firstLine="0"/>
        <w:rPr>
          <w:rFonts w:ascii="Book Antiqua" w:hAnsi="Book Antiqua" w:cs="Arial"/>
          <w:b/>
          <w:i/>
        </w:rPr>
      </w:pPr>
      <w:r w:rsidRPr="001409F0">
        <w:rPr>
          <w:rFonts w:ascii="Book Antiqua" w:hAnsi="Book Antiqua" w:cs="Arial"/>
          <w:b/>
          <w:i/>
        </w:rPr>
        <w:t>Histopathological examination</w:t>
      </w:r>
    </w:p>
    <w:p w14:paraId="7E4A59E7" w14:textId="64A1B423" w:rsidR="00E05BA3" w:rsidRPr="001409F0" w:rsidRDefault="00E05BA3" w:rsidP="001409F0">
      <w:pPr>
        <w:pStyle w:val="a8"/>
        <w:adjustRightInd w:val="0"/>
        <w:snapToGrid w:val="0"/>
        <w:spacing w:line="360" w:lineRule="auto"/>
        <w:ind w:firstLineChars="0" w:firstLine="0"/>
        <w:rPr>
          <w:rFonts w:ascii="Book Antiqua" w:hAnsi="Book Antiqua" w:cs="Arial"/>
        </w:rPr>
      </w:pPr>
      <w:r w:rsidRPr="001409F0">
        <w:rPr>
          <w:rFonts w:ascii="Book Antiqua" w:hAnsi="Book Antiqua" w:cs="Arial"/>
        </w:rPr>
        <w:lastRenderedPageBreak/>
        <w:t>Histological examination of the liver was done after staining sections with hematoxylin</w:t>
      </w:r>
      <w:r w:rsidR="00472426" w:rsidRPr="001409F0">
        <w:rPr>
          <w:rFonts w:ascii="Book Antiqua" w:hAnsi="Book Antiqua" w:cs="Arial"/>
        </w:rPr>
        <w:t xml:space="preserve"> and </w:t>
      </w:r>
      <w:r w:rsidRPr="001409F0">
        <w:rPr>
          <w:rFonts w:ascii="Book Antiqua" w:hAnsi="Book Antiqua" w:cs="Arial"/>
        </w:rPr>
        <w:t>eosin (H</w:t>
      </w:r>
      <w:r w:rsidR="00472426" w:rsidRPr="001409F0">
        <w:rPr>
          <w:rFonts w:ascii="Book Antiqua" w:hAnsi="Book Antiqua" w:cs="Arial"/>
        </w:rPr>
        <w:t>&amp;</w:t>
      </w:r>
      <w:r w:rsidRPr="001409F0">
        <w:rPr>
          <w:rFonts w:ascii="Book Antiqua" w:hAnsi="Book Antiqua" w:cs="Arial"/>
        </w:rPr>
        <w:t>E). After fixation in 10% neutral formaldehyde, liver specimens were dehydrated, wrapped, cut into sections, and stained with H</w:t>
      </w:r>
      <w:r w:rsidR="00472426" w:rsidRPr="001409F0">
        <w:rPr>
          <w:rFonts w:ascii="Book Antiqua" w:hAnsi="Book Antiqua" w:cs="Arial"/>
        </w:rPr>
        <w:t>&amp;</w:t>
      </w:r>
      <w:r w:rsidRPr="001409F0">
        <w:rPr>
          <w:rFonts w:ascii="Book Antiqua" w:hAnsi="Book Antiqua" w:cs="Arial"/>
        </w:rPr>
        <w:t xml:space="preserve">E solution. Lipid deposition in the liver was assessed by staining with Oil Red O. Briefly, cryostat sections (8 </w:t>
      </w:r>
      <w:r w:rsidRPr="00472ED2">
        <w:rPr>
          <w:rFonts w:ascii="Times New Roman" w:eastAsia="仿宋" w:hAnsi="Times New Roman"/>
        </w:rPr>
        <w:t>μ</w:t>
      </w:r>
      <w:r w:rsidRPr="001409F0">
        <w:rPr>
          <w:rFonts w:ascii="Book Antiqua" w:hAnsi="Book Antiqua" w:cs="Arial"/>
        </w:rPr>
        <w:t>m) of the liver were fixed, stained with Oil Red O (Sigma-Aldrich, St. Louis, MO</w:t>
      </w:r>
      <w:r w:rsidR="00472426" w:rsidRPr="001409F0">
        <w:rPr>
          <w:rFonts w:ascii="Book Antiqua" w:hAnsi="Book Antiqua" w:cs="Arial"/>
        </w:rPr>
        <w:t>, United states</w:t>
      </w:r>
      <w:r w:rsidRPr="001409F0">
        <w:rPr>
          <w:rFonts w:ascii="Book Antiqua" w:hAnsi="Book Antiqua" w:cs="Arial"/>
        </w:rPr>
        <w:t xml:space="preserve">) solution, and then counterstained with hematoxylin (Sigma-Aldrich). The sections were examined under </w:t>
      </w:r>
      <w:r w:rsidR="00F76F9D" w:rsidRPr="001409F0">
        <w:rPr>
          <w:rFonts w:ascii="Book Antiqua" w:hAnsi="Book Antiqua" w:cs="Arial"/>
        </w:rPr>
        <w:t>the</w:t>
      </w:r>
      <w:r w:rsidRPr="001409F0">
        <w:rPr>
          <w:rFonts w:ascii="Book Antiqua" w:hAnsi="Book Antiqua" w:cs="Arial"/>
        </w:rPr>
        <w:t xml:space="preserve"> Leica DM4000B light microscope.</w:t>
      </w:r>
    </w:p>
    <w:p w14:paraId="0567FAC4" w14:textId="77777777" w:rsidR="00E05BA3" w:rsidRPr="001409F0" w:rsidRDefault="00E05BA3" w:rsidP="001409F0">
      <w:pPr>
        <w:pStyle w:val="a8"/>
        <w:adjustRightInd w:val="0"/>
        <w:snapToGrid w:val="0"/>
        <w:spacing w:line="360" w:lineRule="auto"/>
        <w:ind w:firstLineChars="0" w:firstLine="0"/>
        <w:rPr>
          <w:rFonts w:ascii="Book Antiqua" w:hAnsi="Book Antiqua" w:cs="Arial"/>
        </w:rPr>
      </w:pPr>
    </w:p>
    <w:p w14:paraId="010BF0D2" w14:textId="77777777" w:rsidR="00E05BA3" w:rsidRPr="001409F0" w:rsidRDefault="00E05BA3" w:rsidP="001409F0">
      <w:pPr>
        <w:pStyle w:val="a8"/>
        <w:adjustRightInd w:val="0"/>
        <w:snapToGrid w:val="0"/>
        <w:spacing w:line="360" w:lineRule="auto"/>
        <w:ind w:firstLineChars="0" w:firstLine="0"/>
        <w:rPr>
          <w:rFonts w:ascii="Book Antiqua" w:hAnsi="Book Antiqua" w:cs="Arial"/>
          <w:b/>
          <w:i/>
        </w:rPr>
      </w:pPr>
      <w:r w:rsidRPr="001409F0">
        <w:rPr>
          <w:rFonts w:ascii="Book Antiqua" w:hAnsi="Book Antiqua" w:cs="Arial"/>
          <w:b/>
          <w:i/>
        </w:rPr>
        <w:t>Measurement of serum enzyme levels</w:t>
      </w:r>
    </w:p>
    <w:p w14:paraId="3C6091C8" w14:textId="78F017E3" w:rsidR="00E05BA3" w:rsidRPr="001409F0" w:rsidRDefault="00F945CA" w:rsidP="001409F0">
      <w:pPr>
        <w:pStyle w:val="a8"/>
        <w:adjustRightInd w:val="0"/>
        <w:snapToGrid w:val="0"/>
        <w:spacing w:line="360" w:lineRule="auto"/>
        <w:ind w:firstLineChars="0" w:firstLine="0"/>
        <w:rPr>
          <w:rFonts w:ascii="Book Antiqua" w:hAnsi="Book Antiqua" w:cs="Arial"/>
        </w:rPr>
      </w:pPr>
      <w:r w:rsidRPr="001409F0">
        <w:rPr>
          <w:rFonts w:ascii="Book Antiqua" w:hAnsi="Book Antiqua" w:cs="Arial"/>
        </w:rPr>
        <w:t>Alanine aminotransferase (</w:t>
      </w:r>
      <w:r w:rsidR="00E05BA3" w:rsidRPr="001409F0">
        <w:rPr>
          <w:rFonts w:ascii="Book Antiqua" w:hAnsi="Book Antiqua" w:cs="Arial"/>
        </w:rPr>
        <w:t>ALT</w:t>
      </w:r>
      <w:r w:rsidRPr="001409F0">
        <w:rPr>
          <w:rFonts w:ascii="Book Antiqua" w:hAnsi="Book Antiqua" w:cs="Arial"/>
        </w:rPr>
        <w:t>)</w:t>
      </w:r>
      <w:r w:rsidR="00E05BA3" w:rsidRPr="001409F0">
        <w:rPr>
          <w:rFonts w:ascii="Book Antiqua" w:hAnsi="Book Antiqua" w:cs="Arial"/>
        </w:rPr>
        <w:t xml:space="preserve"> and aspartate aminotransferase (AST) are commonly used as biochemical indicators of liver injury. Serum levels of ALT and AST were measured by using commercial spectrophotometric kits (Nanjing Jiancheng Bioengineering Institute, Nanjing, China) according to the manufacturer’s instructions.</w:t>
      </w:r>
    </w:p>
    <w:p w14:paraId="5FC56F4F" w14:textId="77777777" w:rsidR="00E05BA3" w:rsidRPr="001409F0" w:rsidRDefault="00E05BA3" w:rsidP="001409F0">
      <w:pPr>
        <w:pStyle w:val="a8"/>
        <w:adjustRightInd w:val="0"/>
        <w:snapToGrid w:val="0"/>
        <w:spacing w:line="360" w:lineRule="auto"/>
        <w:ind w:firstLineChars="0" w:firstLine="0"/>
        <w:rPr>
          <w:rFonts w:ascii="Book Antiqua" w:hAnsi="Book Antiqua" w:cs="Arial"/>
        </w:rPr>
      </w:pPr>
    </w:p>
    <w:p w14:paraId="344C18BE" w14:textId="2A88816D" w:rsidR="00E05BA3" w:rsidRPr="001409F0" w:rsidRDefault="00E05BA3" w:rsidP="001409F0">
      <w:pPr>
        <w:adjustRightInd w:val="0"/>
        <w:snapToGrid w:val="0"/>
        <w:spacing w:line="360" w:lineRule="auto"/>
        <w:rPr>
          <w:rFonts w:ascii="Book Antiqua" w:hAnsi="Book Antiqua" w:cs="Arial"/>
          <w:b/>
          <w:i/>
        </w:rPr>
      </w:pPr>
      <w:r w:rsidRPr="001409F0">
        <w:rPr>
          <w:rFonts w:ascii="Book Antiqua" w:hAnsi="Book Antiqua" w:cs="Arial"/>
          <w:b/>
          <w:i/>
        </w:rPr>
        <w:t xml:space="preserve">Protein extraction and </w:t>
      </w:r>
      <w:r w:rsidR="001409F0">
        <w:rPr>
          <w:rFonts w:ascii="Book Antiqua" w:hAnsi="Book Antiqua" w:cs="Arial"/>
          <w:b/>
          <w:i/>
        </w:rPr>
        <w:t>w</w:t>
      </w:r>
      <w:r w:rsidRPr="001409F0">
        <w:rPr>
          <w:rFonts w:ascii="Book Antiqua" w:hAnsi="Book Antiqua" w:cs="Arial"/>
          <w:b/>
          <w:i/>
        </w:rPr>
        <w:t>estern blot analysis</w:t>
      </w:r>
    </w:p>
    <w:p w14:paraId="41ED4549" w14:textId="56655C27" w:rsidR="00E05BA3" w:rsidRPr="001409F0" w:rsidRDefault="00E05BA3" w:rsidP="001409F0">
      <w:pPr>
        <w:pStyle w:val="a8"/>
        <w:adjustRightInd w:val="0"/>
        <w:snapToGrid w:val="0"/>
        <w:spacing w:line="360" w:lineRule="auto"/>
        <w:ind w:firstLineChars="0" w:firstLine="0"/>
        <w:rPr>
          <w:rFonts w:ascii="Book Antiqua" w:hAnsi="Book Antiqua" w:cs="Arial"/>
        </w:rPr>
      </w:pPr>
      <w:r w:rsidRPr="001409F0">
        <w:rPr>
          <w:rFonts w:ascii="Book Antiqua" w:hAnsi="Book Antiqua" w:cs="Arial"/>
        </w:rPr>
        <w:t xml:space="preserve">After liver tissue was homogenized in RIPA lysis buffer and centrifuged at 13,000 </w:t>
      </w:r>
      <w:r w:rsidRPr="001409F0">
        <w:rPr>
          <w:rFonts w:ascii="Book Antiqua" w:hAnsi="Book Antiqua" w:cs="Arial"/>
          <w:i/>
          <w:iCs/>
        </w:rPr>
        <w:t>g</w:t>
      </w:r>
      <w:r w:rsidRPr="001409F0">
        <w:rPr>
          <w:rFonts w:ascii="Book Antiqua" w:hAnsi="Book Antiqua" w:cs="Arial"/>
        </w:rPr>
        <w:t xml:space="preserve"> for 15 min, the protein concentration of the lysates was measured by </w:t>
      </w:r>
      <w:r w:rsidR="0080116F" w:rsidRPr="001409F0">
        <w:rPr>
          <w:rFonts w:ascii="Book Antiqua" w:hAnsi="Book Antiqua" w:cs="Arial"/>
        </w:rPr>
        <w:t xml:space="preserve">the </w:t>
      </w:r>
      <w:r w:rsidRPr="001409F0">
        <w:rPr>
          <w:rFonts w:ascii="Book Antiqua" w:hAnsi="Book Antiqua" w:cs="Arial"/>
        </w:rPr>
        <w:t xml:space="preserve">Nanodrop 1000 spectrophotometer. Then proteins were separated by 10% or 12% </w:t>
      </w:r>
      <w:r w:rsidR="0080116F" w:rsidRPr="001409F0">
        <w:rPr>
          <w:rFonts w:ascii="Book Antiqua" w:hAnsi="Book Antiqua" w:cs="Arial"/>
        </w:rPr>
        <w:t>sodium dodecyl sulfate</w:t>
      </w:r>
      <w:r w:rsidRPr="001409F0">
        <w:rPr>
          <w:rFonts w:ascii="Book Antiqua" w:hAnsi="Book Antiqua" w:cs="Arial"/>
        </w:rPr>
        <w:t>-polyacrylamide gel electrophoresis and transferred to a polyvinylidene fluoride membrane by electroblotting. Subsequently, the membrane was probed overnight at 4</w:t>
      </w:r>
      <w:r w:rsidR="00834A74" w:rsidRPr="001409F0">
        <w:rPr>
          <w:rFonts w:ascii="Book Antiqua" w:hAnsi="Book Antiqua" w:cs="Arial"/>
        </w:rPr>
        <w:t xml:space="preserve"> </w:t>
      </w:r>
      <w:r w:rsidRPr="001409F0">
        <w:rPr>
          <w:rFonts w:ascii="Book Antiqua" w:hAnsi="Book Antiqua" w:cs="Arial"/>
        </w:rPr>
        <w:t>°C with primary antibodies directed against NLRP3, ASC, caspase-1</w:t>
      </w:r>
      <w:r w:rsidR="0080116F" w:rsidRPr="001409F0">
        <w:rPr>
          <w:rFonts w:ascii="Book Antiqua" w:hAnsi="Book Antiqua" w:cs="Arial"/>
        </w:rPr>
        <w:t xml:space="preserve">, </w:t>
      </w:r>
      <w:r w:rsidRPr="001409F0">
        <w:rPr>
          <w:rFonts w:ascii="Book Antiqua" w:hAnsi="Book Antiqua" w:cs="Arial"/>
        </w:rPr>
        <w:t>IL-1</w:t>
      </w:r>
      <w:r w:rsidRPr="00472ED2">
        <w:rPr>
          <w:rFonts w:ascii="Times New Roman" w:hAnsi="Times New Roman"/>
        </w:rPr>
        <w:t>β</w:t>
      </w:r>
      <w:r w:rsidR="0080116F" w:rsidRPr="001409F0">
        <w:rPr>
          <w:rFonts w:ascii="Times New Roman" w:hAnsi="Times New Roman"/>
        </w:rPr>
        <w:t>,</w:t>
      </w:r>
      <w:r w:rsidRPr="001409F0">
        <w:rPr>
          <w:rFonts w:ascii="Book Antiqua" w:hAnsi="Book Antiqua" w:cs="Arial"/>
        </w:rPr>
        <w:t xml:space="preserve"> and </w:t>
      </w:r>
      <w:r w:rsidRPr="00472ED2">
        <w:rPr>
          <w:rFonts w:ascii="Times New Roman" w:hAnsi="Times New Roman"/>
        </w:rPr>
        <w:t>β</w:t>
      </w:r>
      <w:r w:rsidRPr="001409F0">
        <w:rPr>
          <w:rFonts w:ascii="Book Antiqua" w:hAnsi="Book Antiqua" w:cs="Arial"/>
        </w:rPr>
        <w:t>-actin diluted in primary antibody dilution buffer (Shanghai Biyuntian Biological Technology Co. Ltd., Shanghai, China), followed by incubation for 1 h at room temperature with horseradish peroxidase (HRP)-labeled secondary antibodies. Protein bands were visualized with Millipore ECL chemical luminescence HRP substrate (Millipore Corporation, Billerica, MA, U</w:t>
      </w:r>
      <w:r w:rsidR="00472426" w:rsidRPr="001409F0">
        <w:rPr>
          <w:rFonts w:ascii="Book Antiqua" w:hAnsi="Book Antiqua" w:cs="Arial"/>
        </w:rPr>
        <w:t>nited States</w:t>
      </w:r>
      <w:r w:rsidRPr="001409F0">
        <w:rPr>
          <w:rFonts w:ascii="Book Antiqua" w:hAnsi="Book Antiqua" w:cs="Arial"/>
        </w:rPr>
        <w:t xml:space="preserve">) and </w:t>
      </w:r>
      <w:r w:rsidR="0080116F" w:rsidRPr="001409F0">
        <w:rPr>
          <w:rFonts w:ascii="Book Antiqua" w:hAnsi="Book Antiqua" w:cs="Arial"/>
        </w:rPr>
        <w:t>the</w:t>
      </w:r>
      <w:r w:rsidRPr="001409F0">
        <w:rPr>
          <w:rFonts w:ascii="Book Antiqua" w:hAnsi="Book Antiqua" w:cs="Arial"/>
        </w:rPr>
        <w:t xml:space="preserve"> ImageQuant LAS 4000 mini biomolecular imager (GE Healthcare Life Science, </w:t>
      </w:r>
      <w:r w:rsidR="001409F0">
        <w:rPr>
          <w:rFonts w:ascii="Book Antiqua" w:hAnsi="Book Antiqua" w:cs="Arial"/>
        </w:rPr>
        <w:t xml:space="preserve">Uppsala, </w:t>
      </w:r>
      <w:r w:rsidRPr="001409F0">
        <w:rPr>
          <w:rFonts w:ascii="Book Antiqua" w:hAnsi="Book Antiqua" w:cs="Arial"/>
        </w:rPr>
        <w:t xml:space="preserve">Sweden). The levels of target proteins were subsequently quantitated by densitometry using ImageJ software, version 1.47v, with normalization for </w:t>
      </w:r>
      <w:r w:rsidRPr="00472ED2">
        <w:rPr>
          <w:rFonts w:ascii="Times New Roman" w:hAnsi="Times New Roman"/>
        </w:rPr>
        <w:t>β</w:t>
      </w:r>
      <w:r w:rsidRPr="001409F0">
        <w:rPr>
          <w:rFonts w:ascii="Book Antiqua" w:hAnsi="Book Antiqua" w:cs="Arial"/>
        </w:rPr>
        <w:t>-actin.</w:t>
      </w:r>
    </w:p>
    <w:p w14:paraId="4687C6AE" w14:textId="77777777" w:rsidR="00E05BA3" w:rsidRPr="001409F0" w:rsidRDefault="00E05BA3" w:rsidP="001409F0">
      <w:pPr>
        <w:pStyle w:val="a8"/>
        <w:adjustRightInd w:val="0"/>
        <w:snapToGrid w:val="0"/>
        <w:spacing w:line="360" w:lineRule="auto"/>
        <w:ind w:firstLineChars="0" w:firstLine="0"/>
        <w:rPr>
          <w:rFonts w:ascii="Book Antiqua" w:hAnsi="Book Antiqua" w:cs="Arial"/>
        </w:rPr>
      </w:pPr>
    </w:p>
    <w:p w14:paraId="61DDCDC9" w14:textId="098D1F0F" w:rsidR="00E05BA3" w:rsidRPr="001409F0" w:rsidRDefault="00E05BA3" w:rsidP="001409F0">
      <w:pPr>
        <w:adjustRightInd w:val="0"/>
        <w:snapToGrid w:val="0"/>
        <w:spacing w:line="360" w:lineRule="auto"/>
        <w:rPr>
          <w:rFonts w:ascii="Book Antiqua" w:hAnsi="Book Antiqua" w:cs="Arial"/>
          <w:b/>
          <w:i/>
        </w:rPr>
      </w:pPr>
      <w:r w:rsidRPr="001409F0">
        <w:rPr>
          <w:rFonts w:ascii="Book Antiqua" w:hAnsi="Book Antiqua" w:cs="Arial"/>
          <w:b/>
          <w:i/>
        </w:rPr>
        <w:t>Quantitative PCR</w:t>
      </w:r>
    </w:p>
    <w:p w14:paraId="3F84A58F" w14:textId="09B5EC64" w:rsidR="00E05BA3" w:rsidRPr="001409F0" w:rsidRDefault="00E05BA3" w:rsidP="001409F0">
      <w:pPr>
        <w:pStyle w:val="a8"/>
        <w:adjustRightInd w:val="0"/>
        <w:snapToGrid w:val="0"/>
        <w:spacing w:line="360" w:lineRule="auto"/>
        <w:ind w:firstLineChars="0" w:firstLine="0"/>
        <w:rPr>
          <w:rFonts w:ascii="Book Antiqua" w:hAnsi="Book Antiqua" w:cs="Arial"/>
        </w:rPr>
      </w:pPr>
      <w:r w:rsidRPr="001409F0">
        <w:rPr>
          <w:rFonts w:ascii="Book Antiqua" w:hAnsi="Book Antiqua" w:cs="Arial"/>
        </w:rPr>
        <w:t>Hepatic expression of NLRP3, ASC, caspase-1</w:t>
      </w:r>
      <w:r w:rsidR="0080116F" w:rsidRPr="001409F0">
        <w:rPr>
          <w:rFonts w:ascii="Book Antiqua" w:hAnsi="Book Antiqua" w:cs="Arial"/>
        </w:rPr>
        <w:t>,</w:t>
      </w:r>
      <w:r w:rsidRPr="001409F0">
        <w:rPr>
          <w:rFonts w:ascii="Book Antiqua" w:hAnsi="Book Antiqua" w:cs="Arial"/>
        </w:rPr>
        <w:t xml:space="preserve"> and IL-1</w:t>
      </w:r>
      <w:r w:rsidRPr="00472ED2">
        <w:rPr>
          <w:rFonts w:ascii="Times New Roman" w:hAnsi="Times New Roman"/>
        </w:rPr>
        <w:t>β</w:t>
      </w:r>
      <w:r w:rsidRPr="001409F0">
        <w:rPr>
          <w:rFonts w:ascii="Book Antiqua" w:hAnsi="Book Antiqua" w:cs="Arial"/>
        </w:rPr>
        <w:t xml:space="preserve"> mRNA was also measured by quantitative PCR</w:t>
      </w:r>
      <w:r w:rsidR="00AE2B33" w:rsidRPr="001409F0">
        <w:rPr>
          <w:rFonts w:ascii="Book Antiqua" w:hAnsi="Book Antiqua" w:cs="Arial"/>
        </w:rPr>
        <w:t xml:space="preserve"> (qPCR)</w:t>
      </w:r>
      <w:r w:rsidRPr="001409F0">
        <w:rPr>
          <w:rFonts w:ascii="Book Antiqua" w:hAnsi="Book Antiqua" w:cs="Arial"/>
        </w:rPr>
        <w:t>. First, total RNA was extracted from liver tissue using TRIzol reagent (Invitrogen, Carlsbad, CA, U</w:t>
      </w:r>
      <w:r w:rsidR="00472426" w:rsidRPr="001409F0">
        <w:rPr>
          <w:rFonts w:ascii="Book Antiqua" w:hAnsi="Book Antiqua" w:cs="Arial"/>
        </w:rPr>
        <w:t>nited States</w:t>
      </w:r>
      <w:r w:rsidRPr="001409F0">
        <w:rPr>
          <w:rFonts w:ascii="Book Antiqua" w:hAnsi="Book Antiqua" w:cs="Arial"/>
        </w:rPr>
        <w:t xml:space="preserve">), and first-strand cDNA was synthesized by reverse transcription with </w:t>
      </w:r>
      <w:r w:rsidR="00087432" w:rsidRPr="001409F0">
        <w:rPr>
          <w:rFonts w:ascii="Book Antiqua" w:hAnsi="Book Antiqua" w:cs="Arial"/>
        </w:rPr>
        <w:t>the</w:t>
      </w:r>
      <w:r w:rsidRPr="001409F0">
        <w:rPr>
          <w:rFonts w:ascii="Book Antiqua" w:hAnsi="Book Antiqua" w:cs="Arial"/>
        </w:rPr>
        <w:t xml:space="preserve"> FastQuant RT Kit (Tiangen </w:t>
      </w:r>
      <w:r w:rsidR="00205947">
        <w:rPr>
          <w:rFonts w:ascii="Book Antiqua" w:hAnsi="Book Antiqua" w:cs="Arial"/>
        </w:rPr>
        <w:t>B</w:t>
      </w:r>
      <w:r w:rsidRPr="001409F0">
        <w:rPr>
          <w:rFonts w:ascii="Book Antiqua" w:hAnsi="Book Antiqua" w:cs="Arial"/>
        </w:rPr>
        <w:t xml:space="preserve">iotech Co., Ltd., Beijing, China) according to the manufacturer’s instructions. The cDNA thus obtained was amplified using SYBR Green PCR Master Mix (Tiangen Biotech Co., Ltd., Beijing, China) and a LightCycler® 480 Real-Time PCR System (F. Hoffmann-La Roche Ltd., </w:t>
      </w:r>
      <w:r w:rsidR="001409F0">
        <w:rPr>
          <w:rFonts w:ascii="Book Antiqua" w:hAnsi="Book Antiqua" w:cs="Arial"/>
        </w:rPr>
        <w:t>Basel, Switzerland</w:t>
      </w:r>
      <w:r w:rsidRPr="001409F0">
        <w:rPr>
          <w:rFonts w:ascii="Book Antiqua" w:hAnsi="Book Antiqua" w:cs="Arial"/>
        </w:rPr>
        <w:t>). Specific primers for NLRP3, ASC, caspase-1, IL- 1</w:t>
      </w:r>
      <w:r w:rsidRPr="00472ED2">
        <w:rPr>
          <w:rFonts w:ascii="Times New Roman" w:hAnsi="Times New Roman"/>
        </w:rPr>
        <w:t>β</w:t>
      </w:r>
      <w:r w:rsidRPr="001409F0">
        <w:rPr>
          <w:rFonts w:ascii="Book Antiqua" w:hAnsi="Book Antiqua" w:cs="Arial"/>
        </w:rPr>
        <w:t xml:space="preserve">, IL-6, </w:t>
      </w:r>
      <w:r w:rsidR="00595852" w:rsidRPr="001409F0">
        <w:rPr>
          <w:rFonts w:ascii="Book Antiqua" w:hAnsi="Book Antiqua" w:cs="Arial"/>
        </w:rPr>
        <w:t>tumor necrosis factor (TNF)</w:t>
      </w:r>
      <w:r w:rsidRPr="001409F0">
        <w:rPr>
          <w:rFonts w:ascii="Book Antiqua" w:hAnsi="Book Antiqua" w:cs="Arial"/>
        </w:rPr>
        <w:t>-</w:t>
      </w:r>
      <w:r w:rsidRPr="00472ED2">
        <w:rPr>
          <w:rFonts w:ascii="Times New Roman" w:hAnsi="Times New Roman"/>
        </w:rPr>
        <w:t>α</w:t>
      </w:r>
      <w:r w:rsidRPr="001409F0">
        <w:rPr>
          <w:rFonts w:ascii="Book Antiqua" w:hAnsi="Book Antiqua" w:cs="Arial"/>
        </w:rPr>
        <w:t xml:space="preserve"> and </w:t>
      </w:r>
      <w:r w:rsidRPr="00472ED2">
        <w:rPr>
          <w:rFonts w:ascii="Times New Roman" w:hAnsi="Times New Roman"/>
        </w:rPr>
        <w:t>β</w:t>
      </w:r>
      <w:r w:rsidRPr="001409F0">
        <w:rPr>
          <w:rFonts w:ascii="Book Antiqua" w:hAnsi="Book Antiqua" w:cs="Arial"/>
        </w:rPr>
        <w:t xml:space="preserve">-actin were purchased from BioSune Biotechnology Co., Ltd. (Shanghai, China). Expression of the target mRNAs was normalized </w:t>
      </w:r>
      <w:r w:rsidR="00594132" w:rsidRPr="001409F0">
        <w:rPr>
          <w:rFonts w:ascii="Book Antiqua" w:hAnsi="Book Antiqua" w:cs="Arial"/>
        </w:rPr>
        <w:t>to</w:t>
      </w:r>
      <w:r w:rsidRPr="001409F0">
        <w:rPr>
          <w:rFonts w:ascii="Book Antiqua" w:hAnsi="Book Antiqua" w:cs="Arial"/>
        </w:rPr>
        <w:t xml:space="preserve"> that of </w:t>
      </w:r>
      <w:r w:rsidRPr="00472ED2">
        <w:rPr>
          <w:rFonts w:ascii="Times New Roman" w:hAnsi="Times New Roman"/>
        </w:rPr>
        <w:t>β</w:t>
      </w:r>
      <w:r w:rsidRPr="001409F0">
        <w:rPr>
          <w:rFonts w:ascii="Book Antiqua" w:hAnsi="Book Antiqua" w:cs="Arial"/>
        </w:rPr>
        <w:t>-actin. The primer sequences were as follows:</w:t>
      </w:r>
      <w:r w:rsidR="00834A74" w:rsidRPr="001409F0">
        <w:rPr>
          <w:rFonts w:ascii="Book Antiqua" w:hAnsi="Book Antiqua" w:cs="Arial"/>
        </w:rPr>
        <w:t xml:space="preserve"> </w:t>
      </w:r>
      <w:r w:rsidRPr="001409F0">
        <w:rPr>
          <w:rFonts w:ascii="Book Antiqua" w:hAnsi="Book Antiqua" w:cs="Arial"/>
        </w:rPr>
        <w:t>NLRP3 (forward: 5’-ATTACCCGCCCGAGAAAGG-3’, reverse: 5’-TCGCAGCAAAGATCCACACAG-3’);</w:t>
      </w:r>
      <w:r w:rsidR="00834A74" w:rsidRPr="001409F0">
        <w:rPr>
          <w:rFonts w:ascii="Book Antiqua" w:hAnsi="Book Antiqua" w:cs="Arial"/>
        </w:rPr>
        <w:t xml:space="preserve"> </w:t>
      </w:r>
      <w:r w:rsidRPr="001409F0">
        <w:rPr>
          <w:rFonts w:ascii="Book Antiqua" w:hAnsi="Book Antiqua" w:cs="Arial"/>
        </w:rPr>
        <w:t xml:space="preserve">ASC </w:t>
      </w:r>
      <w:r w:rsidRPr="001409F0">
        <w:rPr>
          <w:rFonts w:ascii="Book Antiqua" w:hAnsi="Book Antiqua" w:cs="Arial"/>
        </w:rPr>
        <w:lastRenderedPageBreak/>
        <w:t>(forward: 5’-CTTGTCAGGGGATGAACTCAAAA-3’, reverse: 5’-GCCATACGACTCCAGATAGTAGC-3’);</w:t>
      </w:r>
      <w:r w:rsidR="00834A74" w:rsidRPr="001409F0">
        <w:rPr>
          <w:rFonts w:ascii="Book Antiqua" w:hAnsi="Book Antiqua" w:cs="Arial"/>
        </w:rPr>
        <w:t xml:space="preserve"> </w:t>
      </w:r>
      <w:r w:rsidRPr="001409F0">
        <w:rPr>
          <w:rFonts w:ascii="Book Antiqua" w:hAnsi="Book Antiqua" w:cs="Arial"/>
        </w:rPr>
        <w:t>caspase-1 (forward: 5’-AATACAACCACTCGTACACGTC-3’, reverse: 5’-AGCTCCAACCCTCGGAGAAA-3’);</w:t>
      </w:r>
      <w:r w:rsidR="00834A74" w:rsidRPr="001409F0">
        <w:rPr>
          <w:rFonts w:ascii="Book Antiqua" w:hAnsi="Book Antiqua" w:cs="Arial"/>
        </w:rPr>
        <w:t xml:space="preserve"> </w:t>
      </w:r>
      <w:r w:rsidRPr="001409F0">
        <w:rPr>
          <w:rFonts w:ascii="Book Antiqua" w:hAnsi="Book Antiqua" w:cs="Arial"/>
        </w:rPr>
        <w:t>IL-1</w:t>
      </w:r>
      <w:r w:rsidRPr="00472ED2">
        <w:rPr>
          <w:rFonts w:ascii="Times New Roman" w:hAnsi="Times New Roman"/>
        </w:rPr>
        <w:t>β</w:t>
      </w:r>
      <w:r w:rsidRPr="001409F0">
        <w:rPr>
          <w:rFonts w:ascii="Book Antiqua" w:hAnsi="Book Antiqua" w:cs="Arial"/>
        </w:rPr>
        <w:t xml:space="preserve"> (forward: 5’-GCCACCTTTTGACAGTGATGA-3’, reverse: 5’-ATGTGCTGCTGCGAGATTTG -3’);</w:t>
      </w:r>
      <w:r w:rsidR="00834A74" w:rsidRPr="001409F0">
        <w:rPr>
          <w:rFonts w:ascii="Book Antiqua" w:hAnsi="Book Antiqua" w:cs="Arial"/>
        </w:rPr>
        <w:t xml:space="preserve"> </w:t>
      </w:r>
      <w:r w:rsidRPr="001409F0">
        <w:rPr>
          <w:rFonts w:ascii="Book Antiqua" w:hAnsi="Book Antiqua" w:cs="Arial"/>
        </w:rPr>
        <w:t>IL-6 (forward: 5’-ACAAAGCCAGAGTCCTTCAGAG-3’, reverse: 5’-TGTGACTCCAGCTTATCTCTTGG -3’);</w:t>
      </w:r>
      <w:r w:rsidR="00834A74" w:rsidRPr="001409F0">
        <w:rPr>
          <w:rFonts w:ascii="Book Antiqua" w:hAnsi="Book Antiqua" w:cs="Arial"/>
        </w:rPr>
        <w:t xml:space="preserve"> </w:t>
      </w:r>
      <w:r w:rsidRPr="001409F0">
        <w:rPr>
          <w:rFonts w:ascii="Book Antiqua" w:hAnsi="Book Antiqua" w:cs="Arial"/>
        </w:rPr>
        <w:t>TNF-</w:t>
      </w:r>
      <w:r w:rsidRPr="00472ED2">
        <w:rPr>
          <w:rFonts w:ascii="Times New Roman" w:hAnsi="Times New Roman"/>
        </w:rPr>
        <w:t>α</w:t>
      </w:r>
      <w:r w:rsidRPr="001409F0">
        <w:rPr>
          <w:rFonts w:ascii="Book Antiqua" w:hAnsi="Book Antiqua" w:cs="Arial"/>
        </w:rPr>
        <w:t xml:space="preserve"> (forward: 5’-ACCCTCACACTCACAAACCAC-3’, reverse: 5’-ACAAGGTACAACCCATCGGC -3’);</w:t>
      </w:r>
      <w:r w:rsidR="00834A74" w:rsidRPr="001409F0">
        <w:rPr>
          <w:rFonts w:ascii="Book Antiqua" w:hAnsi="Book Antiqua" w:cs="Arial"/>
        </w:rPr>
        <w:t xml:space="preserve"> </w:t>
      </w:r>
      <w:r w:rsidRPr="00472ED2">
        <w:rPr>
          <w:rFonts w:ascii="Times New Roman" w:hAnsi="Times New Roman"/>
        </w:rPr>
        <w:t>β</w:t>
      </w:r>
      <w:r w:rsidRPr="001409F0">
        <w:rPr>
          <w:rFonts w:ascii="Book Antiqua" w:hAnsi="Book Antiqua" w:cs="Arial"/>
        </w:rPr>
        <w:t>-actin (forward: 5’-GGCTGTATTCCCCTCCATCG-3’, reverse: 5’-CCAGTTGGTAACAATGCCATGT-3’).</w:t>
      </w:r>
      <w:r w:rsidR="00834A74" w:rsidRPr="001409F0">
        <w:rPr>
          <w:rFonts w:ascii="Book Antiqua" w:hAnsi="Book Antiqua" w:cs="Arial"/>
        </w:rPr>
        <w:t xml:space="preserve"> </w:t>
      </w:r>
      <w:r w:rsidRPr="001409F0">
        <w:rPr>
          <w:rFonts w:ascii="Book Antiqua" w:hAnsi="Book Antiqua" w:cs="Arial"/>
        </w:rPr>
        <w:t xml:space="preserve">In the PCR reaction mixture for each target mRNA (20 </w:t>
      </w:r>
      <w:r w:rsidRPr="00472ED2">
        <w:rPr>
          <w:rFonts w:ascii="Times New Roman" w:hAnsi="Times New Roman"/>
        </w:rPr>
        <w:t>μ</w:t>
      </w:r>
      <w:r w:rsidR="00834A74" w:rsidRPr="001409F0">
        <w:rPr>
          <w:rFonts w:ascii="Book Antiqua" w:hAnsi="Book Antiqua" w:cs="Arial"/>
        </w:rPr>
        <w:t>L</w:t>
      </w:r>
      <w:r w:rsidRPr="001409F0">
        <w:rPr>
          <w:rFonts w:ascii="Book Antiqua" w:hAnsi="Book Antiqua" w:cs="Arial"/>
        </w:rPr>
        <w:t xml:space="preserve">), the quantity of cDNA and the concentration of the specific forward/reverse primer were 100 ng and 0.3 </w:t>
      </w:r>
      <w:r w:rsidRPr="00472ED2">
        <w:rPr>
          <w:rFonts w:ascii="Times New Roman" w:hAnsi="Times New Roman"/>
        </w:rPr>
        <w:t>μ</w:t>
      </w:r>
      <w:r w:rsidR="00834A74" w:rsidRPr="001409F0">
        <w:rPr>
          <w:rFonts w:ascii="Book Antiqua" w:hAnsi="Book Antiqua" w:cs="Arial"/>
        </w:rPr>
        <w:t>mol/L</w:t>
      </w:r>
      <w:r w:rsidRPr="001409F0">
        <w:rPr>
          <w:rFonts w:ascii="Book Antiqua" w:hAnsi="Book Antiqua" w:cs="Arial"/>
        </w:rPr>
        <w:t>, respectively. After denaturation at 95</w:t>
      </w:r>
      <w:r w:rsidR="00834A74" w:rsidRPr="001409F0">
        <w:rPr>
          <w:rFonts w:ascii="Book Antiqua" w:hAnsi="Book Antiqua" w:cs="Arial"/>
        </w:rPr>
        <w:t xml:space="preserve"> </w:t>
      </w:r>
      <w:r w:rsidRPr="001409F0">
        <w:rPr>
          <w:rFonts w:ascii="Book Antiqua" w:hAnsi="Book Antiqua" w:cs="Arial"/>
        </w:rPr>
        <w:t>°C for 10 s, PCR was done with 40 cycles of 95</w:t>
      </w:r>
      <w:r w:rsidR="00834A74" w:rsidRPr="001409F0">
        <w:rPr>
          <w:rFonts w:ascii="Book Antiqua" w:hAnsi="Book Antiqua" w:cs="Arial"/>
        </w:rPr>
        <w:t xml:space="preserve"> </w:t>
      </w:r>
      <w:r w:rsidRPr="001409F0">
        <w:rPr>
          <w:rFonts w:ascii="Book Antiqua" w:hAnsi="Book Antiqua" w:cs="Arial"/>
        </w:rPr>
        <w:t>°C for 10 s, 60</w:t>
      </w:r>
      <w:r w:rsidR="00834A74" w:rsidRPr="001409F0">
        <w:rPr>
          <w:rFonts w:ascii="Book Antiqua" w:hAnsi="Book Antiqua" w:cs="Arial"/>
        </w:rPr>
        <w:t xml:space="preserve"> </w:t>
      </w:r>
      <w:r w:rsidRPr="001409F0">
        <w:rPr>
          <w:rFonts w:ascii="Book Antiqua" w:hAnsi="Book Antiqua" w:cs="Arial"/>
        </w:rPr>
        <w:t>°C for 32 s, and 72</w:t>
      </w:r>
      <w:r w:rsidR="00834A74" w:rsidRPr="001409F0">
        <w:rPr>
          <w:rFonts w:ascii="Book Antiqua" w:hAnsi="Book Antiqua" w:cs="Arial"/>
        </w:rPr>
        <w:t xml:space="preserve"> </w:t>
      </w:r>
      <w:r w:rsidRPr="001409F0">
        <w:rPr>
          <w:rFonts w:ascii="Book Antiqua" w:hAnsi="Book Antiqua" w:cs="Arial"/>
        </w:rPr>
        <w:t>°C for 32 s</w:t>
      </w:r>
      <w:r w:rsidRPr="001409F0">
        <w:rPr>
          <w:rFonts w:ascii="Book Antiqua" w:hAnsi="Book Antiqua"/>
        </w:rPr>
        <w:t>,</w:t>
      </w:r>
      <w:r w:rsidRPr="001409F0">
        <w:rPr>
          <w:rFonts w:ascii="Book Antiqua" w:hAnsi="Book Antiqua" w:cs="Arial"/>
        </w:rPr>
        <w:t xml:space="preserve"> followed by a final cycle of 95</w:t>
      </w:r>
      <w:r w:rsidR="00834A74" w:rsidRPr="001409F0">
        <w:rPr>
          <w:rFonts w:ascii="Book Antiqua" w:hAnsi="Book Antiqua" w:cs="Arial"/>
        </w:rPr>
        <w:t xml:space="preserve"> </w:t>
      </w:r>
      <w:r w:rsidRPr="001409F0">
        <w:rPr>
          <w:rFonts w:ascii="Book Antiqua" w:hAnsi="Book Antiqua" w:cs="Arial"/>
        </w:rPr>
        <w:t>°C for 15 s, 60</w:t>
      </w:r>
      <w:r w:rsidR="00834A74" w:rsidRPr="001409F0">
        <w:rPr>
          <w:rFonts w:ascii="Book Antiqua" w:hAnsi="Book Antiqua" w:cs="Arial"/>
        </w:rPr>
        <w:t xml:space="preserve"> </w:t>
      </w:r>
      <w:r w:rsidRPr="001409F0">
        <w:rPr>
          <w:rFonts w:ascii="Book Antiqua" w:hAnsi="Book Antiqua" w:cs="Arial"/>
        </w:rPr>
        <w:t>°C for 1 min, and 95</w:t>
      </w:r>
      <w:r w:rsidR="00834A74" w:rsidRPr="001409F0">
        <w:rPr>
          <w:rFonts w:ascii="Book Antiqua" w:hAnsi="Book Antiqua" w:cs="Arial"/>
        </w:rPr>
        <w:t xml:space="preserve"> </w:t>
      </w:r>
      <w:r w:rsidRPr="001409F0">
        <w:rPr>
          <w:rFonts w:ascii="Book Antiqua" w:hAnsi="Book Antiqua" w:cs="Arial"/>
        </w:rPr>
        <w:t>°C for 15 s. Data were analyzed by using the 2</w:t>
      </w:r>
      <w:r w:rsidRPr="00472ED2">
        <w:rPr>
          <w:rFonts w:ascii="Times New Roman" w:hAnsi="Times New Roman"/>
          <w:vertAlign w:val="superscript"/>
        </w:rPr>
        <w:t>−ΔΔ</w:t>
      </w:r>
      <w:r w:rsidRPr="001409F0">
        <w:rPr>
          <w:rFonts w:ascii="Book Antiqua" w:hAnsi="Book Antiqua" w:cs="Arial"/>
          <w:vertAlign w:val="superscript"/>
        </w:rPr>
        <w:t>Ct</w:t>
      </w:r>
      <w:r w:rsidRPr="001409F0">
        <w:rPr>
          <w:rFonts w:ascii="Book Antiqua" w:hAnsi="Book Antiqua" w:cs="Arial"/>
        </w:rPr>
        <w:t xml:space="preserve"> method and fold induction of target mRNA expression was normalized by that of GAPDH.</w:t>
      </w:r>
    </w:p>
    <w:p w14:paraId="7CC159E8" w14:textId="77777777" w:rsidR="00834A74" w:rsidRPr="001409F0" w:rsidRDefault="00834A74" w:rsidP="001409F0">
      <w:pPr>
        <w:adjustRightInd w:val="0"/>
        <w:snapToGrid w:val="0"/>
        <w:spacing w:line="360" w:lineRule="auto"/>
        <w:rPr>
          <w:rFonts w:ascii="Book Antiqua" w:hAnsi="Book Antiqua" w:cs="Arial"/>
        </w:rPr>
      </w:pPr>
    </w:p>
    <w:p w14:paraId="5ED045E6" w14:textId="4273F4F3" w:rsidR="00E05BA3" w:rsidRPr="001409F0" w:rsidRDefault="00E05BA3" w:rsidP="001409F0">
      <w:pPr>
        <w:adjustRightInd w:val="0"/>
        <w:snapToGrid w:val="0"/>
        <w:spacing w:line="360" w:lineRule="auto"/>
        <w:rPr>
          <w:rFonts w:ascii="Book Antiqua" w:hAnsi="Book Antiqua" w:cs="Arial"/>
          <w:b/>
          <w:i/>
        </w:rPr>
      </w:pPr>
      <w:r w:rsidRPr="001409F0">
        <w:rPr>
          <w:rFonts w:ascii="Book Antiqua" w:hAnsi="Book Antiqua" w:cs="Arial"/>
          <w:b/>
          <w:i/>
        </w:rPr>
        <w:t xml:space="preserve">Flow cytometric analysis of </w:t>
      </w:r>
      <w:r w:rsidR="00834A74" w:rsidRPr="001409F0">
        <w:rPr>
          <w:rFonts w:ascii="Book Antiqua" w:hAnsi="Book Antiqua" w:cs="Arial"/>
          <w:b/>
          <w:i/>
        </w:rPr>
        <w:t>natural killer T</w:t>
      </w:r>
      <w:r w:rsidRPr="001409F0">
        <w:rPr>
          <w:rFonts w:ascii="Book Antiqua" w:hAnsi="Book Antiqua" w:cs="Arial"/>
          <w:b/>
          <w:i/>
        </w:rPr>
        <w:t xml:space="preserve"> cells</w:t>
      </w:r>
    </w:p>
    <w:p w14:paraId="3416A858" w14:textId="11DDCFBE" w:rsidR="00E05BA3" w:rsidRPr="001409F0" w:rsidRDefault="00E05BA3" w:rsidP="001409F0">
      <w:pPr>
        <w:pStyle w:val="a8"/>
        <w:adjustRightInd w:val="0"/>
        <w:snapToGrid w:val="0"/>
        <w:spacing w:line="360" w:lineRule="auto"/>
        <w:ind w:firstLineChars="0" w:firstLine="0"/>
        <w:rPr>
          <w:rFonts w:ascii="Book Antiqua" w:hAnsi="Book Antiqua" w:cs="Arial"/>
        </w:rPr>
      </w:pPr>
      <w:r w:rsidRPr="001409F0">
        <w:rPr>
          <w:rFonts w:ascii="Book Antiqua" w:hAnsi="Book Antiqua" w:cs="Arial"/>
        </w:rPr>
        <w:t xml:space="preserve">Hepatic lymphocytes were isolated by Discontinuous Percoll Gradient Centrifugation and immunostained with fluorescent antibodies (FITC-CD3 and PE-CY7-NK1.1). Fluorescence was detected by using </w:t>
      </w:r>
      <w:r w:rsidR="00D81CCF" w:rsidRPr="001409F0">
        <w:rPr>
          <w:rFonts w:ascii="Book Antiqua" w:hAnsi="Book Antiqua" w:cs="Arial"/>
        </w:rPr>
        <w:t>the</w:t>
      </w:r>
      <w:r w:rsidRPr="001409F0">
        <w:rPr>
          <w:rFonts w:ascii="Book Antiqua" w:hAnsi="Book Antiqua" w:cs="Arial"/>
        </w:rPr>
        <w:t xml:space="preserve"> BD FACS caliber flow cytomet</w:t>
      </w:r>
      <w:r w:rsidR="00D81CCF" w:rsidRPr="001409F0">
        <w:rPr>
          <w:rFonts w:ascii="Book Antiqua" w:hAnsi="Book Antiqua" w:cs="Arial"/>
        </w:rPr>
        <w:t>er,</w:t>
      </w:r>
      <w:r w:rsidRPr="001409F0">
        <w:rPr>
          <w:rFonts w:ascii="Book Antiqua" w:hAnsi="Book Antiqua" w:cs="Arial"/>
        </w:rPr>
        <w:t xml:space="preserve"> and data were analyzed with FLOW JO 7.6.1software.</w:t>
      </w:r>
    </w:p>
    <w:p w14:paraId="6444FB07" w14:textId="77777777" w:rsidR="00E05BA3" w:rsidRPr="001409F0" w:rsidRDefault="00E05BA3" w:rsidP="001409F0">
      <w:pPr>
        <w:pStyle w:val="a8"/>
        <w:adjustRightInd w:val="0"/>
        <w:snapToGrid w:val="0"/>
        <w:spacing w:line="360" w:lineRule="auto"/>
        <w:ind w:firstLineChars="0" w:firstLine="0"/>
        <w:rPr>
          <w:rFonts w:ascii="Book Antiqua" w:hAnsi="Book Antiqua" w:cs="Arial"/>
        </w:rPr>
      </w:pPr>
    </w:p>
    <w:p w14:paraId="455F2B30" w14:textId="4F93695E" w:rsidR="00E05BA3" w:rsidRPr="001409F0" w:rsidRDefault="00E05BA3" w:rsidP="001409F0">
      <w:pPr>
        <w:pStyle w:val="a8"/>
        <w:adjustRightInd w:val="0"/>
        <w:snapToGrid w:val="0"/>
        <w:spacing w:line="360" w:lineRule="auto"/>
        <w:ind w:firstLineChars="0" w:firstLine="0"/>
        <w:rPr>
          <w:rFonts w:ascii="Book Antiqua" w:hAnsi="Book Antiqua" w:cs="Arial"/>
          <w:b/>
          <w:i/>
        </w:rPr>
      </w:pPr>
      <w:r w:rsidRPr="001409F0">
        <w:rPr>
          <w:rFonts w:ascii="Book Antiqua" w:hAnsi="Book Antiqua" w:cs="Arial"/>
          <w:b/>
          <w:i/>
        </w:rPr>
        <w:t xml:space="preserve">Determination of hepatic </w:t>
      </w:r>
      <w:r w:rsidR="00834A74" w:rsidRPr="001409F0">
        <w:rPr>
          <w:rFonts w:ascii="Book Antiqua" w:hAnsi="Book Antiqua" w:cs="Arial"/>
          <w:b/>
          <w:i/>
        </w:rPr>
        <w:t>reactive oxygen species</w:t>
      </w:r>
      <w:r w:rsidRPr="001409F0">
        <w:rPr>
          <w:rFonts w:ascii="Book Antiqua" w:hAnsi="Book Antiqua" w:cs="Arial"/>
          <w:b/>
          <w:i/>
        </w:rPr>
        <w:t xml:space="preserve">, </w:t>
      </w:r>
      <w:r w:rsidR="00834A74" w:rsidRPr="001409F0">
        <w:rPr>
          <w:rFonts w:ascii="Book Antiqua" w:hAnsi="Book Antiqua" w:cs="Arial"/>
          <w:b/>
          <w:i/>
        </w:rPr>
        <w:t>malondialdehyde</w:t>
      </w:r>
      <w:r w:rsidRPr="001409F0">
        <w:rPr>
          <w:rFonts w:ascii="Book Antiqua" w:hAnsi="Book Antiqua" w:cs="Arial"/>
          <w:b/>
          <w:i/>
        </w:rPr>
        <w:t xml:space="preserve">, and </w:t>
      </w:r>
      <w:r w:rsidR="00834A74" w:rsidRPr="001409F0">
        <w:rPr>
          <w:rFonts w:ascii="Book Antiqua" w:hAnsi="Book Antiqua" w:cs="Arial"/>
          <w:b/>
          <w:i/>
        </w:rPr>
        <w:t xml:space="preserve">superoxide dismutase </w:t>
      </w:r>
      <w:r w:rsidRPr="001409F0">
        <w:rPr>
          <w:rFonts w:ascii="Book Antiqua" w:hAnsi="Book Antiqua" w:cs="Arial"/>
          <w:b/>
          <w:i/>
        </w:rPr>
        <w:t xml:space="preserve">levels </w:t>
      </w:r>
    </w:p>
    <w:p w14:paraId="386E0F01" w14:textId="4F6AF52D" w:rsidR="00E05BA3" w:rsidRPr="001409F0" w:rsidRDefault="00E05BA3" w:rsidP="001409F0">
      <w:pPr>
        <w:pStyle w:val="a8"/>
        <w:adjustRightInd w:val="0"/>
        <w:snapToGrid w:val="0"/>
        <w:spacing w:line="360" w:lineRule="auto"/>
        <w:ind w:firstLineChars="0" w:firstLine="0"/>
        <w:rPr>
          <w:rFonts w:ascii="Book Antiqua" w:hAnsi="Book Antiqua" w:cs="Arial"/>
        </w:rPr>
      </w:pPr>
      <w:r w:rsidRPr="001409F0">
        <w:rPr>
          <w:rFonts w:ascii="Book Antiqua" w:hAnsi="Book Antiqua" w:cs="Arial"/>
        </w:rPr>
        <w:t xml:space="preserve">Liver homogenate was prepared and hepatic tissue levels of reactive oxygen species (ROS), malondialdehyde (MDA), and superoxide dismutase (SOD) were determined by using commercial assay kits (Nanjing Jiancheng Bioengineering Institute, Nanjing, China) according to the manufacturer's protocols. Protein concentrations were measures using </w:t>
      </w:r>
      <w:r w:rsidR="001D0DA7" w:rsidRPr="001409F0">
        <w:rPr>
          <w:rFonts w:ascii="Book Antiqua" w:hAnsi="Book Antiqua" w:cs="Arial"/>
        </w:rPr>
        <w:t>the</w:t>
      </w:r>
      <w:r w:rsidRPr="001409F0">
        <w:rPr>
          <w:rFonts w:ascii="Book Antiqua" w:hAnsi="Book Antiqua" w:cs="Arial"/>
        </w:rPr>
        <w:t xml:space="preserve"> Nanodrop 1000 spectrophotometer</w:t>
      </w:r>
      <w:r w:rsidR="001D0DA7" w:rsidRPr="001409F0">
        <w:rPr>
          <w:rFonts w:ascii="Book Antiqua" w:hAnsi="Book Antiqua" w:cs="Arial"/>
        </w:rPr>
        <w:t>,</w:t>
      </w:r>
      <w:r w:rsidRPr="001409F0">
        <w:rPr>
          <w:rFonts w:ascii="Book Antiqua" w:hAnsi="Book Antiqua" w:cs="Arial"/>
        </w:rPr>
        <w:t xml:space="preserve"> and all values were normalized to the hepatic total protein content.</w:t>
      </w:r>
    </w:p>
    <w:p w14:paraId="71426184" w14:textId="77777777" w:rsidR="00E05BA3" w:rsidRPr="001409F0" w:rsidRDefault="00E05BA3" w:rsidP="001409F0">
      <w:pPr>
        <w:pStyle w:val="a8"/>
        <w:adjustRightInd w:val="0"/>
        <w:snapToGrid w:val="0"/>
        <w:spacing w:line="360" w:lineRule="auto"/>
        <w:ind w:firstLineChars="0" w:firstLine="0"/>
        <w:rPr>
          <w:rFonts w:ascii="Book Antiqua" w:hAnsi="Book Antiqua" w:cs="Arial"/>
        </w:rPr>
      </w:pPr>
    </w:p>
    <w:p w14:paraId="1AA40216" w14:textId="77777777" w:rsidR="00E05BA3" w:rsidRPr="001409F0" w:rsidRDefault="00E05BA3" w:rsidP="001409F0">
      <w:pPr>
        <w:pStyle w:val="a8"/>
        <w:adjustRightInd w:val="0"/>
        <w:snapToGrid w:val="0"/>
        <w:spacing w:line="360" w:lineRule="auto"/>
        <w:ind w:firstLineChars="0" w:firstLine="0"/>
        <w:rPr>
          <w:rFonts w:ascii="Book Antiqua" w:hAnsi="Book Antiqua" w:cs="Arial"/>
          <w:b/>
          <w:i/>
        </w:rPr>
      </w:pPr>
      <w:r w:rsidRPr="001409F0">
        <w:rPr>
          <w:rFonts w:ascii="Book Antiqua" w:hAnsi="Book Antiqua" w:cs="Arial"/>
          <w:b/>
          <w:i/>
        </w:rPr>
        <w:t>Statistical analysis</w:t>
      </w:r>
    </w:p>
    <w:p w14:paraId="5001EB81" w14:textId="67774C0A" w:rsidR="00E05BA3" w:rsidRPr="001409F0" w:rsidRDefault="00E05BA3" w:rsidP="001409F0">
      <w:pPr>
        <w:pStyle w:val="a8"/>
        <w:adjustRightInd w:val="0"/>
        <w:snapToGrid w:val="0"/>
        <w:spacing w:line="360" w:lineRule="auto"/>
        <w:ind w:firstLineChars="0" w:firstLine="0"/>
        <w:rPr>
          <w:rFonts w:ascii="Book Antiqua" w:hAnsi="Book Antiqua" w:cs="Arial"/>
        </w:rPr>
      </w:pPr>
      <w:r w:rsidRPr="001409F0">
        <w:rPr>
          <w:rFonts w:ascii="Book Antiqua" w:hAnsi="Book Antiqua" w:cs="Arial"/>
        </w:rPr>
        <w:t>Statistical analyses were performed with SPSS 22.0 software. Values are expressed as the mean ±</w:t>
      </w:r>
      <w:r w:rsidR="00834A74" w:rsidRPr="001409F0">
        <w:rPr>
          <w:rFonts w:ascii="Book Antiqua" w:hAnsi="Book Antiqua" w:cs="Arial"/>
        </w:rPr>
        <w:t xml:space="preserve"> </w:t>
      </w:r>
      <w:r w:rsidR="001D0DA7" w:rsidRPr="001409F0">
        <w:rPr>
          <w:rFonts w:ascii="Book Antiqua" w:hAnsi="Book Antiqua" w:cs="Arial"/>
        </w:rPr>
        <w:t>standard deviation</w:t>
      </w:r>
      <w:r w:rsidRPr="001409F0">
        <w:rPr>
          <w:rFonts w:ascii="Book Antiqua" w:hAnsi="Book Antiqua" w:cs="Arial"/>
        </w:rPr>
        <w:t xml:space="preserve">. Between-group comparisons were evaluated by one-way </w:t>
      </w:r>
      <w:r w:rsidR="001D0DA7" w:rsidRPr="001409F0">
        <w:rPr>
          <w:rFonts w:ascii="Book Antiqua" w:hAnsi="Book Antiqua" w:cs="Arial"/>
        </w:rPr>
        <w:t xml:space="preserve">analysis of variance </w:t>
      </w:r>
      <w:r w:rsidRPr="001409F0">
        <w:rPr>
          <w:rFonts w:ascii="Book Antiqua" w:hAnsi="Book Antiqua" w:cs="Arial"/>
        </w:rPr>
        <w:t xml:space="preserve">(with Dunnett's test and Bonferroni's multiple comparison test). Statistical significance was established at </w:t>
      </w:r>
      <w:r w:rsidR="00757490" w:rsidRPr="001409F0">
        <w:rPr>
          <w:rFonts w:ascii="Book Antiqua" w:hAnsi="Book Antiqua" w:cs="Arial"/>
          <w:i/>
          <w:iCs/>
        </w:rPr>
        <w:t>P</w:t>
      </w:r>
      <w:r w:rsidRPr="001409F0">
        <w:rPr>
          <w:rFonts w:ascii="Book Antiqua" w:hAnsi="Book Antiqua" w:cs="Arial"/>
        </w:rPr>
        <w:t xml:space="preserve"> &lt; 0.05. All experiments were performed</w:t>
      </w:r>
      <w:r w:rsidR="001D0DA7" w:rsidRPr="001409F0">
        <w:rPr>
          <w:rFonts w:ascii="Book Antiqua" w:hAnsi="Book Antiqua" w:cs="Arial"/>
        </w:rPr>
        <w:t xml:space="preserve"> at least</w:t>
      </w:r>
      <w:r w:rsidRPr="001409F0">
        <w:rPr>
          <w:rFonts w:ascii="Book Antiqua" w:hAnsi="Book Antiqua" w:cs="Arial"/>
        </w:rPr>
        <w:t xml:space="preserve"> in triplicate.</w:t>
      </w:r>
    </w:p>
    <w:p w14:paraId="74B490D9" w14:textId="77777777" w:rsidR="00E05BA3" w:rsidRPr="001409F0" w:rsidRDefault="00E05BA3" w:rsidP="001409F0">
      <w:pPr>
        <w:pStyle w:val="a8"/>
        <w:adjustRightInd w:val="0"/>
        <w:snapToGrid w:val="0"/>
        <w:spacing w:line="360" w:lineRule="auto"/>
        <w:ind w:firstLineChars="0" w:firstLine="0"/>
        <w:rPr>
          <w:rFonts w:ascii="Book Antiqua" w:hAnsi="Book Antiqua" w:cs="Arial"/>
        </w:rPr>
      </w:pPr>
    </w:p>
    <w:p w14:paraId="788C3451" w14:textId="77777777" w:rsidR="00757490" w:rsidRPr="001409F0" w:rsidRDefault="00757490" w:rsidP="001409F0">
      <w:pPr>
        <w:widowControl/>
        <w:adjustRightInd w:val="0"/>
        <w:snapToGrid w:val="0"/>
        <w:spacing w:line="360" w:lineRule="auto"/>
        <w:rPr>
          <w:rFonts w:ascii="Book Antiqua" w:hAnsi="Book Antiqua" w:cs="Arial"/>
          <w:b/>
          <w:u w:val="single"/>
          <w:lang w:eastAsia="en-US"/>
        </w:rPr>
      </w:pPr>
      <w:bookmarkStart w:id="37" w:name="_Hlk27141703"/>
      <w:r w:rsidRPr="001409F0">
        <w:rPr>
          <w:rFonts w:ascii="Book Antiqua" w:hAnsi="Book Antiqua" w:cs="Arial"/>
          <w:b/>
          <w:u w:val="single"/>
          <w:lang w:eastAsia="en-US"/>
        </w:rPr>
        <w:t>RESULTS</w:t>
      </w:r>
    </w:p>
    <w:bookmarkEnd w:id="37"/>
    <w:p w14:paraId="7249C8A1" w14:textId="77777777" w:rsidR="00E05BA3" w:rsidRPr="001409F0" w:rsidRDefault="00E05BA3" w:rsidP="001409F0">
      <w:pPr>
        <w:adjustRightInd w:val="0"/>
        <w:snapToGrid w:val="0"/>
        <w:spacing w:line="360" w:lineRule="auto"/>
        <w:rPr>
          <w:rFonts w:ascii="Book Antiqua" w:hAnsi="Book Antiqua" w:cs="Arial"/>
          <w:b/>
          <w:i/>
        </w:rPr>
      </w:pPr>
      <w:r w:rsidRPr="001409F0">
        <w:rPr>
          <w:rFonts w:ascii="Book Antiqua" w:hAnsi="Book Antiqua" w:cs="Arial"/>
          <w:b/>
          <w:i/>
        </w:rPr>
        <w:t>TCL</w:t>
      </w:r>
      <w:r w:rsidRPr="001409F0" w:rsidDel="009C65DF">
        <w:rPr>
          <w:rFonts w:ascii="Book Antiqua" w:hAnsi="Book Antiqua" w:cs="Arial"/>
          <w:b/>
          <w:i/>
        </w:rPr>
        <w:t xml:space="preserve"> </w:t>
      </w:r>
      <w:r w:rsidRPr="001409F0">
        <w:rPr>
          <w:rFonts w:ascii="Book Antiqua" w:hAnsi="Book Antiqua" w:cs="Arial"/>
          <w:b/>
          <w:i/>
        </w:rPr>
        <w:t>alleviates ethanol-induced hepatoxicity</w:t>
      </w:r>
    </w:p>
    <w:p w14:paraId="0485852F" w14:textId="66AD1C95" w:rsidR="00E05BA3" w:rsidRPr="001409F0" w:rsidRDefault="00E05BA3" w:rsidP="001409F0">
      <w:pPr>
        <w:pStyle w:val="a8"/>
        <w:adjustRightInd w:val="0"/>
        <w:snapToGrid w:val="0"/>
        <w:spacing w:line="360" w:lineRule="auto"/>
        <w:ind w:firstLineChars="0" w:firstLine="0"/>
        <w:rPr>
          <w:rFonts w:ascii="Book Antiqua" w:hAnsi="Book Antiqua" w:cs="Arial"/>
        </w:rPr>
      </w:pPr>
      <w:r w:rsidRPr="001409F0">
        <w:rPr>
          <w:rFonts w:ascii="Book Antiqua" w:hAnsi="Book Antiqua" w:cs="Arial"/>
        </w:rPr>
        <w:t xml:space="preserve">We examined the serum levels of ALT and AST to explore the effect of TCL extract on chronic ethanol-induced hepatoxicity in mice. Compared with </w:t>
      </w:r>
      <w:r w:rsidR="00516D69" w:rsidRPr="001409F0">
        <w:rPr>
          <w:rFonts w:ascii="Book Antiqua" w:hAnsi="Book Antiqua" w:cs="Arial"/>
        </w:rPr>
        <w:t xml:space="preserve">Ctrl </w:t>
      </w:r>
      <w:r w:rsidRPr="001409F0">
        <w:rPr>
          <w:rFonts w:ascii="Book Antiqua" w:hAnsi="Book Antiqua" w:cs="Arial"/>
        </w:rPr>
        <w:t xml:space="preserve">mice, mice in the alcohol group displayed severe hepatotoxicity with high serum levels of ALT (mean, 45.3 IU/L </w:t>
      </w:r>
      <w:r w:rsidRPr="001409F0">
        <w:rPr>
          <w:rFonts w:ascii="Book Antiqua" w:hAnsi="Book Antiqua" w:cs="Arial"/>
          <w:i/>
          <w:iCs/>
        </w:rPr>
        <w:t>vs</w:t>
      </w:r>
      <w:r w:rsidRPr="001409F0">
        <w:rPr>
          <w:rFonts w:ascii="Book Antiqua" w:hAnsi="Book Antiqua" w:cs="Arial"/>
        </w:rPr>
        <w:t xml:space="preserve"> 31.4 IU/L, </w:t>
      </w:r>
      <w:r w:rsidRPr="001409F0">
        <w:rPr>
          <w:rFonts w:ascii="Book Antiqua" w:hAnsi="Book Antiqua" w:cs="Arial"/>
          <w:i/>
          <w:iCs/>
        </w:rPr>
        <w:t>P</w:t>
      </w:r>
      <w:r w:rsidR="001863B6" w:rsidRPr="001409F0">
        <w:rPr>
          <w:rFonts w:ascii="Book Antiqua" w:hAnsi="Book Antiqua" w:cs="Arial"/>
          <w:i/>
          <w:iCs/>
        </w:rPr>
        <w:t xml:space="preserve"> </w:t>
      </w:r>
      <w:r w:rsidRPr="001409F0">
        <w:rPr>
          <w:rFonts w:ascii="Book Antiqua" w:hAnsi="Book Antiqua" w:cs="Arial"/>
        </w:rPr>
        <w:t>&lt;</w:t>
      </w:r>
      <w:r w:rsidR="001863B6" w:rsidRPr="001409F0">
        <w:rPr>
          <w:rFonts w:ascii="Book Antiqua" w:hAnsi="Book Antiqua" w:cs="Arial"/>
        </w:rPr>
        <w:t xml:space="preserve"> </w:t>
      </w:r>
      <w:r w:rsidRPr="001409F0">
        <w:rPr>
          <w:rFonts w:ascii="Book Antiqua" w:hAnsi="Book Antiqua" w:cs="Arial"/>
        </w:rPr>
        <w:t xml:space="preserve">0.01) and AST (mean, </w:t>
      </w:r>
      <w:r w:rsidRPr="001409F0">
        <w:rPr>
          <w:rFonts w:ascii="Book Antiqua" w:hAnsi="Book Antiqua" w:cs="Arial"/>
        </w:rPr>
        <w:lastRenderedPageBreak/>
        <w:t xml:space="preserve">115.7 IU/L </w:t>
      </w:r>
      <w:r w:rsidRPr="001409F0">
        <w:rPr>
          <w:rFonts w:ascii="Book Antiqua" w:hAnsi="Book Antiqua" w:cs="Arial"/>
          <w:i/>
          <w:iCs/>
        </w:rPr>
        <w:t>vs</w:t>
      </w:r>
      <w:r w:rsidRPr="001409F0">
        <w:rPr>
          <w:rFonts w:ascii="Book Antiqua" w:hAnsi="Book Antiqua" w:cs="Arial"/>
        </w:rPr>
        <w:t xml:space="preserve"> 84.1 IU/L, </w:t>
      </w:r>
      <w:r w:rsidR="001863B6" w:rsidRPr="001409F0">
        <w:rPr>
          <w:rFonts w:ascii="Book Antiqua" w:hAnsi="Book Antiqua" w:cs="Arial"/>
          <w:i/>
          <w:iCs/>
        </w:rPr>
        <w:t xml:space="preserve">P </w:t>
      </w:r>
      <w:r w:rsidR="001863B6" w:rsidRPr="001409F0">
        <w:rPr>
          <w:rFonts w:ascii="Book Antiqua" w:hAnsi="Book Antiqua" w:cs="Arial"/>
        </w:rPr>
        <w:t xml:space="preserve">&lt; </w:t>
      </w:r>
      <w:r w:rsidRPr="001409F0">
        <w:rPr>
          <w:rFonts w:ascii="Book Antiqua" w:hAnsi="Book Antiqua" w:cs="Arial"/>
        </w:rPr>
        <w:t xml:space="preserve">0.01). The increase of these enzymes was reversed by treatment with either TCL or GSH, especially the higher dose of TCL (200 mg/kg BW) (ALT mean, 34.1 IU/L </w:t>
      </w:r>
      <w:r w:rsidRPr="001409F0">
        <w:rPr>
          <w:rFonts w:ascii="Book Antiqua" w:hAnsi="Book Antiqua" w:cs="Arial"/>
          <w:i/>
          <w:iCs/>
        </w:rPr>
        <w:t>vs</w:t>
      </w:r>
      <w:r w:rsidRPr="001409F0">
        <w:rPr>
          <w:rFonts w:ascii="Book Antiqua" w:hAnsi="Book Antiqua" w:cs="Arial"/>
        </w:rPr>
        <w:t xml:space="preserve"> 45.3 IU/L, </w:t>
      </w:r>
      <w:r w:rsidR="001863B6" w:rsidRPr="001409F0">
        <w:rPr>
          <w:rFonts w:ascii="Book Antiqua" w:hAnsi="Book Antiqua" w:cs="Arial"/>
          <w:i/>
          <w:iCs/>
        </w:rPr>
        <w:t xml:space="preserve">P </w:t>
      </w:r>
      <w:r w:rsidR="001863B6" w:rsidRPr="001409F0">
        <w:rPr>
          <w:rFonts w:ascii="Book Antiqua" w:hAnsi="Book Antiqua" w:cs="Arial"/>
        </w:rPr>
        <w:t xml:space="preserve">&lt; </w:t>
      </w:r>
      <w:r w:rsidRPr="001409F0">
        <w:rPr>
          <w:rFonts w:ascii="Book Antiqua" w:hAnsi="Book Antiqua" w:cs="Arial"/>
        </w:rPr>
        <w:t xml:space="preserve">0.01; AST mean, 89.6 IU/L </w:t>
      </w:r>
      <w:r w:rsidRPr="001409F0">
        <w:rPr>
          <w:rFonts w:ascii="Book Antiqua" w:hAnsi="Book Antiqua" w:cs="Arial"/>
          <w:i/>
          <w:iCs/>
        </w:rPr>
        <w:t>vs</w:t>
      </w:r>
      <w:r w:rsidRPr="001409F0">
        <w:rPr>
          <w:rFonts w:ascii="Book Antiqua" w:hAnsi="Book Antiqua" w:cs="Arial"/>
        </w:rPr>
        <w:t xml:space="preserve"> 115.7 IU/L, </w:t>
      </w:r>
      <w:r w:rsidR="001863B6" w:rsidRPr="001409F0">
        <w:rPr>
          <w:rFonts w:ascii="Book Antiqua" w:hAnsi="Book Antiqua" w:cs="Arial"/>
          <w:i/>
          <w:iCs/>
        </w:rPr>
        <w:t xml:space="preserve">P </w:t>
      </w:r>
      <w:r w:rsidR="001863B6" w:rsidRPr="001409F0">
        <w:rPr>
          <w:rFonts w:ascii="Book Antiqua" w:hAnsi="Book Antiqua" w:cs="Arial"/>
        </w:rPr>
        <w:t xml:space="preserve">&lt; </w:t>
      </w:r>
      <w:r w:rsidRPr="001409F0">
        <w:rPr>
          <w:rFonts w:ascii="Book Antiqua" w:hAnsi="Book Antiqua" w:cs="Arial"/>
        </w:rPr>
        <w:t>0.01 ) (</w:t>
      </w:r>
      <w:r w:rsidR="00A331B0" w:rsidRPr="001409F0">
        <w:rPr>
          <w:rFonts w:ascii="Book Antiqua" w:hAnsi="Book Antiqua" w:cs="Arial"/>
        </w:rPr>
        <w:t>Figure</w:t>
      </w:r>
      <w:r w:rsidRPr="001409F0">
        <w:rPr>
          <w:rFonts w:ascii="Book Antiqua" w:hAnsi="Book Antiqua" w:cs="Arial"/>
        </w:rPr>
        <w:t xml:space="preserve"> 2).</w:t>
      </w:r>
    </w:p>
    <w:p w14:paraId="71D301D8" w14:textId="77777777" w:rsidR="00E05BA3" w:rsidRPr="001409F0" w:rsidRDefault="00E05BA3" w:rsidP="001409F0">
      <w:pPr>
        <w:adjustRightInd w:val="0"/>
        <w:snapToGrid w:val="0"/>
        <w:spacing w:line="360" w:lineRule="auto"/>
        <w:rPr>
          <w:rFonts w:ascii="Book Antiqua" w:hAnsi="Book Antiqua" w:cs="Arial"/>
          <w:b/>
        </w:rPr>
      </w:pPr>
    </w:p>
    <w:p w14:paraId="46FAABB6" w14:textId="77777777" w:rsidR="00E05BA3" w:rsidRPr="001409F0" w:rsidRDefault="00E05BA3" w:rsidP="001409F0">
      <w:pPr>
        <w:adjustRightInd w:val="0"/>
        <w:snapToGrid w:val="0"/>
        <w:spacing w:line="360" w:lineRule="auto"/>
        <w:rPr>
          <w:rFonts w:ascii="Book Antiqua" w:hAnsi="Book Antiqua" w:cs="Arial"/>
          <w:b/>
          <w:i/>
        </w:rPr>
      </w:pPr>
      <w:r w:rsidRPr="001409F0">
        <w:rPr>
          <w:rFonts w:ascii="Book Antiqua" w:hAnsi="Book Antiqua" w:cs="Arial"/>
          <w:b/>
          <w:i/>
        </w:rPr>
        <w:t xml:space="preserve">TCL suppresses ethanol-induced hepatic lipid accumulation </w:t>
      </w:r>
    </w:p>
    <w:p w14:paraId="78835E8C" w14:textId="40D47EED"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rPr>
        <w:t>Morphological changes of the liver were observed by light microscopy after H</w:t>
      </w:r>
      <w:r w:rsidR="00967B20" w:rsidRPr="001409F0">
        <w:rPr>
          <w:rFonts w:ascii="Book Antiqua" w:hAnsi="Book Antiqua" w:cs="Arial"/>
        </w:rPr>
        <w:t>&amp;</w:t>
      </w:r>
      <w:r w:rsidRPr="001409F0">
        <w:rPr>
          <w:rFonts w:ascii="Book Antiqua" w:hAnsi="Book Antiqua" w:cs="Arial"/>
        </w:rPr>
        <w:t>E staining, revealing pan-lobular steatosis and focal necrosis in the ethanol group (</w:t>
      </w:r>
      <w:r w:rsidR="00A331B0" w:rsidRPr="001409F0">
        <w:rPr>
          <w:rFonts w:ascii="Book Antiqua" w:hAnsi="Book Antiqua" w:cs="Arial"/>
        </w:rPr>
        <w:t>Figure</w:t>
      </w:r>
      <w:r w:rsidRPr="001409F0">
        <w:rPr>
          <w:rFonts w:ascii="Book Antiqua" w:hAnsi="Book Antiqua" w:cs="Arial"/>
        </w:rPr>
        <w:t xml:space="preserve"> 3A). To clarify the extent of lipid accumulation, we used Oil Red O staining and detection of triglycerides for qualitative and quantitative analysis of the hepatic lipid content. As shown in Figure 3B, numerous red lipid droplets were found in the hepatocytes of mice in the ethanol group, consistent with the results of the H</w:t>
      </w:r>
      <w:r w:rsidR="00967B20" w:rsidRPr="001409F0">
        <w:rPr>
          <w:rFonts w:ascii="Book Antiqua" w:hAnsi="Book Antiqua" w:cs="Arial"/>
        </w:rPr>
        <w:t>&amp;</w:t>
      </w:r>
      <w:r w:rsidRPr="001409F0">
        <w:rPr>
          <w:rFonts w:ascii="Book Antiqua" w:hAnsi="Book Antiqua" w:cs="Arial"/>
        </w:rPr>
        <w:t>E staining, while there were fewer and smaller lipid droplets in the GSH and TCL groups than in the ethanol group. Quantitation of triglycerides (TG</w:t>
      </w:r>
      <w:r w:rsidR="00967B20" w:rsidRPr="001409F0">
        <w:rPr>
          <w:rFonts w:ascii="Book Antiqua" w:hAnsi="Book Antiqua" w:cs="Arial"/>
        </w:rPr>
        <w:t>s</w:t>
      </w:r>
      <w:r w:rsidRPr="001409F0">
        <w:rPr>
          <w:rFonts w:ascii="Book Antiqua" w:hAnsi="Book Antiqua" w:cs="Arial"/>
        </w:rPr>
        <w:t xml:space="preserve">) confirmed the results of Oil Red O staining, demonstrating that elevation of the hepatic TG content induced by ethanol was significantly reversed by treatment with either TCL or GSH (mean, EtOH+TCL-H 49.2 mg/g </w:t>
      </w:r>
      <w:r w:rsidRPr="001409F0">
        <w:rPr>
          <w:rFonts w:ascii="Book Antiqua" w:hAnsi="Book Antiqua" w:cs="Arial"/>
          <w:i/>
          <w:iCs/>
        </w:rPr>
        <w:t>vs</w:t>
      </w:r>
      <w:r w:rsidRPr="001409F0">
        <w:rPr>
          <w:rFonts w:ascii="Book Antiqua" w:hAnsi="Book Antiqua" w:cs="Arial"/>
        </w:rPr>
        <w:t xml:space="preserve"> EtOH 66.8 mg/g, </w:t>
      </w:r>
      <w:r w:rsidRPr="001409F0">
        <w:rPr>
          <w:rFonts w:ascii="Book Antiqua" w:hAnsi="Book Antiqua" w:cs="Arial"/>
          <w:i/>
          <w:iCs/>
        </w:rPr>
        <w:t>P</w:t>
      </w:r>
      <w:r w:rsidR="00595852" w:rsidRPr="001409F0">
        <w:rPr>
          <w:rFonts w:ascii="Book Antiqua" w:hAnsi="Book Antiqua" w:cs="Arial"/>
        </w:rPr>
        <w:t xml:space="preserve"> </w:t>
      </w:r>
      <w:r w:rsidRPr="001409F0">
        <w:rPr>
          <w:rFonts w:ascii="Book Antiqua" w:hAnsi="Book Antiqua" w:cs="Arial"/>
        </w:rPr>
        <w:t>&lt;</w:t>
      </w:r>
      <w:r w:rsidR="00595852" w:rsidRPr="001409F0">
        <w:rPr>
          <w:rFonts w:ascii="Book Antiqua" w:hAnsi="Book Antiqua" w:cs="Arial"/>
        </w:rPr>
        <w:t xml:space="preserve"> </w:t>
      </w:r>
      <w:r w:rsidRPr="001409F0">
        <w:rPr>
          <w:rFonts w:ascii="Book Antiqua" w:hAnsi="Book Antiqua" w:cs="Arial"/>
        </w:rPr>
        <w:t>0.01)</w:t>
      </w:r>
      <w:r w:rsidR="00A331B0" w:rsidRPr="001409F0">
        <w:rPr>
          <w:rFonts w:ascii="Book Antiqua" w:hAnsi="Book Antiqua" w:cs="Arial"/>
        </w:rPr>
        <w:t xml:space="preserve"> </w:t>
      </w:r>
      <w:r w:rsidRPr="001409F0">
        <w:rPr>
          <w:rFonts w:ascii="Book Antiqua" w:hAnsi="Book Antiqua" w:cs="Arial"/>
        </w:rPr>
        <w:t>(</w:t>
      </w:r>
      <w:r w:rsidR="00A331B0" w:rsidRPr="001409F0">
        <w:rPr>
          <w:rFonts w:ascii="Book Antiqua" w:hAnsi="Book Antiqua" w:cs="Arial"/>
        </w:rPr>
        <w:t>Figure</w:t>
      </w:r>
      <w:r w:rsidRPr="001409F0">
        <w:rPr>
          <w:rFonts w:ascii="Book Antiqua" w:hAnsi="Book Antiqua" w:cs="Arial"/>
        </w:rPr>
        <w:t xml:space="preserve"> 3C).</w:t>
      </w:r>
    </w:p>
    <w:p w14:paraId="406206E8" w14:textId="77777777" w:rsidR="00E05BA3" w:rsidRPr="001409F0" w:rsidRDefault="00E05BA3" w:rsidP="001409F0">
      <w:pPr>
        <w:adjustRightInd w:val="0"/>
        <w:snapToGrid w:val="0"/>
        <w:spacing w:line="360" w:lineRule="auto"/>
        <w:rPr>
          <w:rFonts w:ascii="Book Antiqua" w:hAnsi="Book Antiqua" w:cs="Arial"/>
          <w:b/>
        </w:rPr>
      </w:pPr>
    </w:p>
    <w:p w14:paraId="0BAFC0F6" w14:textId="2133BFD9" w:rsidR="00E05BA3" w:rsidRPr="001409F0" w:rsidRDefault="00C52BAE" w:rsidP="001409F0">
      <w:pPr>
        <w:pStyle w:val="a8"/>
        <w:adjustRightInd w:val="0"/>
        <w:snapToGrid w:val="0"/>
        <w:spacing w:line="360" w:lineRule="auto"/>
        <w:ind w:firstLineChars="0" w:firstLine="0"/>
        <w:rPr>
          <w:rFonts w:ascii="Book Antiqua" w:hAnsi="Book Antiqua" w:cs="Arial"/>
          <w:b/>
          <w:i/>
        </w:rPr>
      </w:pPr>
      <w:r w:rsidRPr="001409F0">
        <w:rPr>
          <w:rFonts w:ascii="Book Antiqua" w:hAnsi="Book Antiqua"/>
          <w:noProof/>
          <w:lang w:eastAsia="ja-JP"/>
        </w:rPr>
        <mc:AlternateContent>
          <mc:Choice Requires="wps">
            <w:drawing>
              <wp:anchor distT="4294967295" distB="4294967295" distL="114299" distR="114299" simplePos="0" relativeHeight="251658240" behindDoc="0" locked="0" layoutInCell="1" allowOverlap="1" wp14:anchorId="50288CF2" wp14:editId="7281C2CC">
                <wp:simplePos x="0" y="0"/>
                <wp:positionH relativeFrom="column">
                  <wp:posOffset>2656840</wp:posOffset>
                </wp:positionH>
                <wp:positionV relativeFrom="paragraph">
                  <wp:posOffset>-57150</wp:posOffset>
                </wp:positionV>
                <wp:extent cx="0" cy="0"/>
                <wp:effectExtent l="6985" t="9525" r="12065" b="952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FF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755CF1" id="_x0000_t32" coordsize="21600,21600" o:spt="32" o:oned="t" path="m,l21600,21600e" filled="f">
                <v:path arrowok="t" fillok="f" o:connecttype="none"/>
                <o:lock v:ext="edit" shapetype="t"/>
              </v:shapetype>
              <v:shape id="AutoShape 2" o:spid="_x0000_s1026" type="#_x0000_t32" style="position:absolute;left:0;text-align:left;margin-left:209.2pt;margin-top:-4.5pt;width:0;height:0;z-index:25165824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" strokecolor="red"/>
            </w:pict>
          </mc:Fallback>
        </mc:AlternateContent>
      </w:r>
      <w:r w:rsidRPr="001409F0">
        <w:rPr>
          <w:rFonts w:ascii="Book Antiqua" w:hAnsi="Book Antiqua"/>
          <w:noProof/>
          <w:lang w:eastAsia="ja-JP"/>
        </w:rPr>
        <mc:AlternateContent>
          <mc:Choice Requires="wps">
            <w:drawing>
              <wp:anchor distT="4294967295" distB="4294967295" distL="114299" distR="114299" simplePos="0" relativeHeight="251657216" behindDoc="0" locked="0" layoutInCell="1" allowOverlap="1" wp14:anchorId="3EB3F1F6" wp14:editId="48159A20">
                <wp:simplePos x="0" y="0"/>
                <wp:positionH relativeFrom="column">
                  <wp:posOffset>2656840</wp:posOffset>
                </wp:positionH>
                <wp:positionV relativeFrom="paragraph">
                  <wp:posOffset>-57150</wp:posOffset>
                </wp:positionV>
                <wp:extent cx="0" cy="0"/>
                <wp:effectExtent l="6985" t="9525" r="12065" b="952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FF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0378B" id="AutoShape 2" o:spid="_x0000_s1026" type="#_x0000_t32" style="position:absolute;left:0;text-align:left;margin-left:209.2pt;margin-top:-4.5pt;width:0;height:0;z-index:25165721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" strokecolor="red"/>
            </w:pict>
          </mc:Fallback>
        </mc:AlternateContent>
      </w:r>
      <w:r w:rsidR="00E05BA3" w:rsidRPr="001409F0">
        <w:rPr>
          <w:rFonts w:ascii="Book Antiqua" w:hAnsi="Book Antiqua" w:cs="Arial"/>
          <w:b/>
          <w:i/>
        </w:rPr>
        <w:t>TCL</w:t>
      </w:r>
      <w:r w:rsidR="00E05BA3" w:rsidRPr="001409F0" w:rsidDel="009C65DF">
        <w:rPr>
          <w:rFonts w:ascii="Book Antiqua" w:hAnsi="Book Antiqua" w:cs="Arial"/>
          <w:b/>
          <w:i/>
        </w:rPr>
        <w:t xml:space="preserve"> </w:t>
      </w:r>
      <w:r w:rsidR="00E05BA3" w:rsidRPr="001409F0">
        <w:rPr>
          <w:rFonts w:ascii="Book Antiqua" w:hAnsi="Book Antiqua" w:cs="Arial"/>
          <w:b/>
          <w:i/>
        </w:rPr>
        <w:t>decreases hepatic gene expression of NLRP3, ASC, caspase-1, and IL-1</w:t>
      </w:r>
      <w:r w:rsidR="00E05BA3" w:rsidRPr="00472ED2">
        <w:rPr>
          <w:rFonts w:ascii="Times New Roman" w:hAnsi="Times New Roman"/>
          <w:b/>
          <w:i/>
        </w:rPr>
        <w:t>β</w:t>
      </w:r>
    </w:p>
    <w:p w14:paraId="42DE5042" w14:textId="51E38C1A" w:rsidR="00E05BA3" w:rsidRPr="001409F0" w:rsidRDefault="00E05BA3" w:rsidP="001409F0">
      <w:pPr>
        <w:adjustRightInd w:val="0"/>
        <w:snapToGrid w:val="0"/>
        <w:spacing w:line="360" w:lineRule="auto"/>
        <w:rPr>
          <w:rFonts w:ascii="Book Antiqua" w:hAnsi="Book Antiqua" w:cs="Arial"/>
          <w:b/>
          <w:i/>
        </w:rPr>
      </w:pPr>
      <w:r w:rsidRPr="001409F0">
        <w:rPr>
          <w:rFonts w:ascii="Book Antiqua" w:hAnsi="Book Antiqua" w:cs="Arial"/>
        </w:rPr>
        <w:t>To explore whether the protective effect of TCL on chronic ethanol-induced liver injury in mice was related to inhibition of NLRP3 inflammasomes, we evaluated the hepatic tissue expression of proteins that are components of this inflammasome (NLRP3, ASC, and caspase-1) and downstream cytokines (IL-1</w:t>
      </w:r>
      <w:r w:rsidRPr="00472ED2">
        <w:rPr>
          <w:rFonts w:ascii="Times New Roman" w:hAnsi="Times New Roman"/>
        </w:rPr>
        <w:t>β</w:t>
      </w:r>
      <w:r w:rsidRPr="001409F0">
        <w:rPr>
          <w:rFonts w:ascii="Book Antiqua" w:hAnsi="Book Antiqua" w:cs="Arial"/>
        </w:rPr>
        <w:t>, IL-6, and TNF-</w:t>
      </w:r>
      <w:r w:rsidRPr="00472ED2">
        <w:rPr>
          <w:rFonts w:ascii="Times New Roman" w:hAnsi="Times New Roman"/>
        </w:rPr>
        <w:t>α</w:t>
      </w:r>
      <w:r w:rsidRPr="001409F0">
        <w:rPr>
          <w:rFonts w:ascii="Book Antiqua" w:hAnsi="Book Antiqua" w:cs="Arial"/>
        </w:rPr>
        <w:t xml:space="preserve">) by Western blot analysis. We also quantified mRNA expression by </w:t>
      </w:r>
      <w:r w:rsidR="00967B20" w:rsidRPr="001409F0">
        <w:rPr>
          <w:rFonts w:ascii="Book Antiqua" w:hAnsi="Book Antiqua" w:cs="Arial"/>
        </w:rPr>
        <w:t>q</w:t>
      </w:r>
      <w:r w:rsidRPr="001409F0">
        <w:rPr>
          <w:rFonts w:ascii="Book Antiqua" w:hAnsi="Book Antiqua" w:cs="Arial"/>
        </w:rPr>
        <w:t xml:space="preserve">PCR. Compared with the </w:t>
      </w:r>
      <w:r w:rsidR="00516D69" w:rsidRPr="001409F0">
        <w:rPr>
          <w:rFonts w:ascii="Book Antiqua" w:hAnsi="Book Antiqua" w:cs="Arial"/>
        </w:rPr>
        <w:t xml:space="preserve">Ctrl </w:t>
      </w:r>
      <w:r w:rsidRPr="001409F0">
        <w:rPr>
          <w:rFonts w:ascii="Book Antiqua" w:hAnsi="Book Antiqua" w:cs="Arial"/>
        </w:rPr>
        <w:t>group, both hepatic tissue protein and mRNA levels were significantly elevated for NLRP3, ASC, caspase-1, IL-1</w:t>
      </w:r>
      <w:r w:rsidRPr="00472ED2">
        <w:rPr>
          <w:rFonts w:ascii="Times New Roman" w:hAnsi="Times New Roman"/>
        </w:rPr>
        <w:t>β</w:t>
      </w:r>
      <w:r w:rsidRPr="001409F0">
        <w:rPr>
          <w:rFonts w:ascii="Book Antiqua" w:hAnsi="Book Antiqua" w:cs="Arial"/>
        </w:rPr>
        <w:t>, IL-6, and TNF-</w:t>
      </w:r>
      <w:r w:rsidRPr="00472ED2">
        <w:rPr>
          <w:rFonts w:ascii="Times New Roman" w:hAnsi="Times New Roman"/>
        </w:rPr>
        <w:t>α</w:t>
      </w:r>
      <w:r w:rsidRPr="001409F0">
        <w:rPr>
          <w:rFonts w:ascii="Book Antiqua" w:hAnsi="Book Antiqua" w:cs="Arial"/>
        </w:rPr>
        <w:t xml:space="preserve"> in the liver tissues of the ethanol group. These changes were </w:t>
      </w:r>
      <w:r w:rsidR="00077BAE" w:rsidRPr="001409F0">
        <w:rPr>
          <w:rFonts w:ascii="Book Antiqua" w:hAnsi="Book Antiqua" w:cs="Arial"/>
        </w:rPr>
        <w:t xml:space="preserve">markedly </w:t>
      </w:r>
      <w:r w:rsidRPr="001409F0">
        <w:rPr>
          <w:rFonts w:ascii="Book Antiqua" w:hAnsi="Book Antiqua" w:cs="Arial"/>
        </w:rPr>
        <w:t>inhibited by treatment with either TCL or GSH (</w:t>
      </w:r>
      <w:r w:rsidR="00A331B0" w:rsidRPr="001409F0">
        <w:rPr>
          <w:rFonts w:ascii="Book Antiqua" w:hAnsi="Book Antiqua" w:cs="Arial"/>
        </w:rPr>
        <w:t>Figure</w:t>
      </w:r>
      <w:r w:rsidRPr="001409F0">
        <w:rPr>
          <w:rFonts w:ascii="Book Antiqua" w:hAnsi="Book Antiqua" w:cs="Arial"/>
        </w:rPr>
        <w:t xml:space="preserve"> 4). </w:t>
      </w:r>
    </w:p>
    <w:p w14:paraId="65B9D768" w14:textId="77777777" w:rsidR="00E05BA3" w:rsidRPr="001409F0" w:rsidRDefault="00E05BA3" w:rsidP="001409F0">
      <w:pPr>
        <w:adjustRightInd w:val="0"/>
        <w:snapToGrid w:val="0"/>
        <w:spacing w:line="360" w:lineRule="auto"/>
        <w:rPr>
          <w:rFonts w:ascii="Book Antiqua" w:hAnsi="Book Antiqua" w:cs="Arial"/>
          <w:b/>
          <w:i/>
        </w:rPr>
      </w:pPr>
    </w:p>
    <w:p w14:paraId="25898C0C" w14:textId="7A18AD63" w:rsidR="00E05BA3" w:rsidRPr="001409F0" w:rsidRDefault="00E05BA3" w:rsidP="001409F0">
      <w:pPr>
        <w:adjustRightInd w:val="0"/>
        <w:snapToGrid w:val="0"/>
        <w:spacing w:line="360" w:lineRule="auto"/>
        <w:rPr>
          <w:rFonts w:ascii="Book Antiqua" w:hAnsi="Book Antiqua" w:cs="Arial"/>
          <w:b/>
          <w:i/>
        </w:rPr>
      </w:pPr>
      <w:r w:rsidRPr="001409F0">
        <w:rPr>
          <w:rFonts w:ascii="Book Antiqua" w:hAnsi="Book Antiqua" w:cs="Arial"/>
          <w:b/>
          <w:i/>
        </w:rPr>
        <w:t>TCL</w:t>
      </w:r>
      <w:r w:rsidRPr="001409F0" w:rsidDel="00271753">
        <w:rPr>
          <w:rFonts w:ascii="Book Antiqua" w:hAnsi="Book Antiqua" w:cs="Arial"/>
          <w:b/>
          <w:i/>
        </w:rPr>
        <w:t xml:space="preserve"> </w:t>
      </w:r>
      <w:r w:rsidRPr="001409F0">
        <w:rPr>
          <w:rFonts w:ascii="Book Antiqua" w:hAnsi="Book Antiqua" w:cs="Arial"/>
          <w:b/>
          <w:i/>
        </w:rPr>
        <w:t xml:space="preserve">reduces hepatic accumulation of </w:t>
      </w:r>
      <w:r w:rsidR="00834A74" w:rsidRPr="001409F0">
        <w:rPr>
          <w:rFonts w:ascii="Book Antiqua" w:hAnsi="Book Antiqua" w:cs="Arial"/>
          <w:b/>
          <w:i/>
          <w:iCs/>
        </w:rPr>
        <w:t>natural killer T</w:t>
      </w:r>
      <w:r w:rsidRPr="001409F0">
        <w:rPr>
          <w:rFonts w:ascii="Book Antiqua" w:hAnsi="Book Antiqua" w:cs="Arial"/>
          <w:b/>
          <w:i/>
        </w:rPr>
        <w:t xml:space="preserve"> cells</w:t>
      </w:r>
    </w:p>
    <w:p w14:paraId="1104A2A4" w14:textId="21829631"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rPr>
        <w:t xml:space="preserve">To explore the effect of TCL on </w:t>
      </w:r>
      <w:r w:rsidR="00834A74" w:rsidRPr="001409F0">
        <w:rPr>
          <w:rFonts w:ascii="Book Antiqua" w:hAnsi="Book Antiqua" w:cs="Arial"/>
        </w:rPr>
        <w:t xml:space="preserve">natural killer T (NKT) </w:t>
      </w:r>
      <w:r w:rsidRPr="001409F0">
        <w:rPr>
          <w:rFonts w:ascii="Book Antiqua" w:hAnsi="Book Antiqua" w:cs="Arial"/>
        </w:rPr>
        <w:t>cells in the liver, we investigated the proportion of NKT cells among total lymphocytes. Chronic ethanol exposure increased the proportion of NK1.1</w:t>
      </w:r>
      <w:r w:rsidRPr="001409F0">
        <w:rPr>
          <w:rFonts w:ascii="Book Antiqua" w:hAnsi="Book Antiqua" w:cs="Arial"/>
          <w:vertAlign w:val="superscript"/>
        </w:rPr>
        <w:t>+</w:t>
      </w:r>
      <w:r w:rsidRPr="001409F0">
        <w:rPr>
          <w:rFonts w:ascii="Book Antiqua" w:hAnsi="Book Antiqua" w:cs="Arial"/>
        </w:rPr>
        <w:t>CD3</w:t>
      </w:r>
      <w:r w:rsidRPr="001409F0">
        <w:rPr>
          <w:rFonts w:ascii="Book Antiqua" w:hAnsi="Book Antiqua" w:cs="Arial"/>
          <w:vertAlign w:val="superscript"/>
        </w:rPr>
        <w:t>+</w:t>
      </w:r>
      <w:r w:rsidRPr="001409F0">
        <w:rPr>
          <w:rFonts w:ascii="Book Antiqua" w:hAnsi="Book Antiqua" w:cs="Arial"/>
        </w:rPr>
        <w:t xml:space="preserve"> cells in the liver compared to the </w:t>
      </w:r>
      <w:r w:rsidR="00516D69" w:rsidRPr="001409F0">
        <w:rPr>
          <w:rFonts w:ascii="Book Antiqua" w:hAnsi="Book Antiqua" w:cs="Arial"/>
        </w:rPr>
        <w:t xml:space="preserve">Ctrl </w:t>
      </w:r>
      <w:r w:rsidRPr="001409F0">
        <w:rPr>
          <w:rFonts w:ascii="Book Antiqua" w:hAnsi="Book Antiqua" w:cs="Arial"/>
        </w:rPr>
        <w:t>group (</w:t>
      </w:r>
      <w:r w:rsidR="00A331B0" w:rsidRPr="001409F0">
        <w:rPr>
          <w:rFonts w:ascii="Book Antiqua" w:hAnsi="Book Antiqua" w:cs="Arial"/>
        </w:rPr>
        <w:t>Figure</w:t>
      </w:r>
      <w:r w:rsidRPr="001409F0">
        <w:rPr>
          <w:rFonts w:ascii="Book Antiqua" w:hAnsi="Book Antiqua" w:cs="Arial"/>
        </w:rPr>
        <w:t xml:space="preserve"> 5A), while treatment with TCL reduced it by 4.9% compared to the ethanol group (</w:t>
      </w:r>
      <w:r w:rsidR="00A331B0" w:rsidRPr="001409F0">
        <w:rPr>
          <w:rFonts w:ascii="Book Antiqua" w:hAnsi="Book Antiqua" w:cs="Arial"/>
        </w:rPr>
        <w:t>Figure</w:t>
      </w:r>
      <w:r w:rsidRPr="001409F0">
        <w:rPr>
          <w:rFonts w:ascii="Book Antiqua" w:hAnsi="Book Antiqua" w:cs="Arial"/>
        </w:rPr>
        <w:t xml:space="preserve"> 5B). The GSH group also showed a decrease of NKT cells compared to the ethanol group, but there was no significant difference. </w:t>
      </w:r>
    </w:p>
    <w:p w14:paraId="25B46F85" w14:textId="77777777" w:rsidR="00E05BA3" w:rsidRPr="001409F0" w:rsidRDefault="00E05BA3" w:rsidP="001409F0">
      <w:pPr>
        <w:adjustRightInd w:val="0"/>
        <w:snapToGrid w:val="0"/>
        <w:spacing w:line="360" w:lineRule="auto"/>
        <w:rPr>
          <w:rFonts w:ascii="Book Antiqua" w:hAnsi="Book Antiqua" w:cs="Arial"/>
        </w:rPr>
      </w:pPr>
    </w:p>
    <w:p w14:paraId="720DC472" w14:textId="77777777" w:rsidR="00E05BA3" w:rsidRPr="001409F0" w:rsidRDefault="00E05BA3" w:rsidP="001409F0">
      <w:pPr>
        <w:pStyle w:val="a8"/>
        <w:adjustRightInd w:val="0"/>
        <w:snapToGrid w:val="0"/>
        <w:spacing w:line="360" w:lineRule="auto"/>
        <w:ind w:firstLineChars="0" w:firstLine="0"/>
        <w:rPr>
          <w:rFonts w:ascii="Book Antiqua" w:hAnsi="Book Antiqua" w:cs="Arial"/>
          <w:b/>
          <w:i/>
        </w:rPr>
      </w:pPr>
      <w:r w:rsidRPr="001409F0">
        <w:rPr>
          <w:rFonts w:ascii="Book Antiqua" w:hAnsi="Book Antiqua" w:cs="Arial"/>
          <w:b/>
          <w:i/>
        </w:rPr>
        <w:t>TCL</w:t>
      </w:r>
      <w:r w:rsidRPr="001409F0" w:rsidDel="00271753">
        <w:rPr>
          <w:rFonts w:ascii="Book Antiqua" w:hAnsi="Book Antiqua" w:cs="Arial"/>
          <w:b/>
          <w:i/>
        </w:rPr>
        <w:t xml:space="preserve"> </w:t>
      </w:r>
      <w:r w:rsidRPr="001409F0">
        <w:rPr>
          <w:rFonts w:ascii="Book Antiqua" w:hAnsi="Book Antiqua" w:cs="Arial"/>
          <w:b/>
          <w:i/>
        </w:rPr>
        <w:t>alleviates ethanol-induced hepatic ROS production and oxidative stress</w:t>
      </w:r>
    </w:p>
    <w:p w14:paraId="237152DF" w14:textId="0FC83DA1" w:rsidR="00E05BA3" w:rsidRPr="001409F0" w:rsidRDefault="00E05BA3" w:rsidP="001409F0">
      <w:pPr>
        <w:pStyle w:val="a8"/>
        <w:adjustRightInd w:val="0"/>
        <w:snapToGrid w:val="0"/>
        <w:spacing w:line="360" w:lineRule="auto"/>
        <w:ind w:firstLineChars="0" w:firstLine="0"/>
        <w:rPr>
          <w:rFonts w:ascii="Book Antiqua" w:hAnsi="Book Antiqua" w:cs="Arial"/>
        </w:rPr>
      </w:pPr>
      <w:r w:rsidRPr="001409F0">
        <w:rPr>
          <w:rFonts w:ascii="Book Antiqua" w:hAnsi="Book Antiqua" w:cs="Arial"/>
        </w:rPr>
        <w:t>We measured the hepatic tissue levels of ROS, MDA, and SOD to examine the effect of TCL on ethanol-induced oxidative stress. Chronic ethanol exposure significantly elevated ROS and MDA levels in liver tissue, while reducing SOD. These changes were largely prevented by treatment with TCL (200 mg/kg BW) or GSH. Briefly, compared with the ethanol group, ROS production was decreased by 27.5% (</w:t>
      </w:r>
      <w:r w:rsidR="00595852" w:rsidRPr="001409F0">
        <w:rPr>
          <w:rFonts w:ascii="Book Antiqua" w:hAnsi="Book Antiqua" w:cs="Arial"/>
          <w:i/>
          <w:iCs/>
        </w:rPr>
        <w:t>P</w:t>
      </w:r>
      <w:r w:rsidR="00595852" w:rsidRPr="001409F0">
        <w:rPr>
          <w:rFonts w:ascii="Book Antiqua" w:hAnsi="Book Antiqua" w:cs="Arial"/>
        </w:rPr>
        <w:t xml:space="preserve"> </w:t>
      </w:r>
      <w:r w:rsidRPr="001409F0">
        <w:rPr>
          <w:rFonts w:ascii="Book Antiqua" w:hAnsi="Book Antiqua" w:cs="Arial"/>
        </w:rPr>
        <w:t>&lt;</w:t>
      </w:r>
      <w:r w:rsidR="00595852" w:rsidRPr="001409F0">
        <w:rPr>
          <w:rFonts w:ascii="Book Antiqua" w:hAnsi="Book Antiqua" w:cs="Arial"/>
        </w:rPr>
        <w:t xml:space="preserve"> </w:t>
      </w:r>
      <w:r w:rsidRPr="001409F0">
        <w:rPr>
          <w:rFonts w:ascii="Book Antiqua" w:hAnsi="Book Antiqua" w:cs="Arial"/>
        </w:rPr>
        <w:t>0.01) and 32.6% (</w:t>
      </w:r>
      <w:r w:rsidR="00595852" w:rsidRPr="001409F0">
        <w:rPr>
          <w:rFonts w:ascii="Book Antiqua" w:hAnsi="Book Antiqua" w:cs="Arial"/>
          <w:i/>
          <w:iCs/>
        </w:rPr>
        <w:t>P</w:t>
      </w:r>
      <w:r w:rsidR="00595852" w:rsidRPr="001409F0">
        <w:rPr>
          <w:rFonts w:ascii="Book Antiqua" w:hAnsi="Book Antiqua" w:cs="Arial"/>
        </w:rPr>
        <w:t xml:space="preserve"> &lt; </w:t>
      </w:r>
      <w:r w:rsidRPr="001409F0">
        <w:rPr>
          <w:rFonts w:ascii="Book Antiqua" w:hAnsi="Book Antiqua" w:cs="Arial"/>
        </w:rPr>
        <w:t>0.01) in the TCL group and the GSH group, respectively. Similarly, hepatic MDA production was reduced to 76.6% (</w:t>
      </w:r>
      <w:r w:rsidR="00595852" w:rsidRPr="001409F0">
        <w:rPr>
          <w:rFonts w:ascii="Book Antiqua" w:hAnsi="Book Antiqua" w:cs="Arial"/>
          <w:i/>
          <w:iCs/>
        </w:rPr>
        <w:t>P</w:t>
      </w:r>
      <w:r w:rsidR="00595852" w:rsidRPr="001409F0">
        <w:rPr>
          <w:rFonts w:ascii="Book Antiqua" w:hAnsi="Book Antiqua" w:cs="Arial"/>
        </w:rPr>
        <w:t xml:space="preserve"> &lt; </w:t>
      </w:r>
      <w:r w:rsidRPr="001409F0">
        <w:rPr>
          <w:rFonts w:ascii="Book Antiqua" w:hAnsi="Book Antiqua" w:cs="Arial"/>
        </w:rPr>
        <w:t>0.01) and 73.0% (</w:t>
      </w:r>
      <w:r w:rsidR="00595852" w:rsidRPr="001409F0">
        <w:rPr>
          <w:rFonts w:ascii="Book Antiqua" w:hAnsi="Book Antiqua" w:cs="Arial"/>
          <w:i/>
          <w:iCs/>
        </w:rPr>
        <w:t>P</w:t>
      </w:r>
      <w:r w:rsidR="00595852" w:rsidRPr="001409F0">
        <w:rPr>
          <w:rFonts w:ascii="Book Antiqua" w:hAnsi="Book Antiqua" w:cs="Arial"/>
        </w:rPr>
        <w:t xml:space="preserve"> &lt; </w:t>
      </w:r>
      <w:r w:rsidRPr="001409F0">
        <w:rPr>
          <w:rFonts w:ascii="Book Antiqua" w:hAnsi="Book Antiqua" w:cs="Arial"/>
        </w:rPr>
        <w:t xml:space="preserve">0.01) in TCL group and the GSH group, </w:t>
      </w:r>
      <w:r w:rsidRPr="001409F0">
        <w:rPr>
          <w:rFonts w:ascii="Book Antiqua" w:hAnsi="Book Antiqua" w:cs="Arial"/>
        </w:rPr>
        <w:lastRenderedPageBreak/>
        <w:t>respectively, compared with the ethanol group. In addition, the hepatic SOD content was elevated to 73.2% (</w:t>
      </w:r>
      <w:r w:rsidR="00595852" w:rsidRPr="001409F0">
        <w:rPr>
          <w:rFonts w:ascii="Book Antiqua" w:hAnsi="Book Antiqua" w:cs="Arial"/>
          <w:i/>
          <w:iCs/>
        </w:rPr>
        <w:t>P</w:t>
      </w:r>
      <w:r w:rsidR="00595852" w:rsidRPr="001409F0">
        <w:rPr>
          <w:rFonts w:ascii="Book Antiqua" w:hAnsi="Book Antiqua" w:cs="Arial"/>
        </w:rPr>
        <w:t xml:space="preserve"> &lt; </w:t>
      </w:r>
      <w:r w:rsidRPr="001409F0">
        <w:rPr>
          <w:rFonts w:ascii="Book Antiqua" w:hAnsi="Book Antiqua" w:cs="Arial"/>
        </w:rPr>
        <w:t>0.01) and 85.2% (</w:t>
      </w:r>
      <w:r w:rsidR="00595852" w:rsidRPr="001409F0">
        <w:rPr>
          <w:rFonts w:ascii="Book Antiqua" w:hAnsi="Book Antiqua" w:cs="Arial"/>
          <w:i/>
          <w:iCs/>
        </w:rPr>
        <w:t>P</w:t>
      </w:r>
      <w:r w:rsidR="00595852" w:rsidRPr="001409F0">
        <w:rPr>
          <w:rFonts w:ascii="Book Antiqua" w:hAnsi="Book Antiqua" w:cs="Arial"/>
        </w:rPr>
        <w:t xml:space="preserve"> &lt; </w:t>
      </w:r>
      <w:r w:rsidRPr="001409F0">
        <w:rPr>
          <w:rFonts w:ascii="Book Antiqua" w:hAnsi="Book Antiqua" w:cs="Arial"/>
        </w:rPr>
        <w:t xml:space="preserve">0.01) of the </w:t>
      </w:r>
      <w:r w:rsidR="00516D69" w:rsidRPr="001409F0">
        <w:rPr>
          <w:rFonts w:ascii="Book Antiqua" w:hAnsi="Book Antiqua" w:cs="Arial"/>
        </w:rPr>
        <w:t xml:space="preserve">Ctrl </w:t>
      </w:r>
      <w:r w:rsidRPr="001409F0">
        <w:rPr>
          <w:rFonts w:ascii="Book Antiqua" w:hAnsi="Book Antiqua" w:cs="Arial"/>
        </w:rPr>
        <w:t>level in the TCL group and GSH group, respectively (</w:t>
      </w:r>
      <w:r w:rsidR="00A331B0" w:rsidRPr="001409F0">
        <w:rPr>
          <w:rFonts w:ascii="Book Antiqua" w:hAnsi="Book Antiqua" w:cs="Arial"/>
        </w:rPr>
        <w:t xml:space="preserve">Figure </w:t>
      </w:r>
      <w:r w:rsidRPr="001409F0">
        <w:rPr>
          <w:rFonts w:ascii="Book Antiqua" w:hAnsi="Book Antiqua" w:cs="Arial"/>
        </w:rPr>
        <w:t xml:space="preserve">6). </w:t>
      </w:r>
    </w:p>
    <w:p w14:paraId="4D850D34" w14:textId="77777777" w:rsidR="00E05BA3" w:rsidRPr="001409F0" w:rsidRDefault="00E05BA3" w:rsidP="001409F0">
      <w:pPr>
        <w:pStyle w:val="a8"/>
        <w:adjustRightInd w:val="0"/>
        <w:snapToGrid w:val="0"/>
        <w:spacing w:line="360" w:lineRule="auto"/>
        <w:ind w:firstLineChars="0" w:firstLine="0"/>
        <w:rPr>
          <w:rFonts w:ascii="Book Antiqua" w:hAnsi="Book Antiqua" w:cs="Arial"/>
        </w:rPr>
      </w:pPr>
    </w:p>
    <w:p w14:paraId="045855B7" w14:textId="77777777" w:rsidR="00E05BA3" w:rsidRPr="001409F0" w:rsidRDefault="00E05BA3" w:rsidP="001409F0">
      <w:pPr>
        <w:adjustRightInd w:val="0"/>
        <w:snapToGrid w:val="0"/>
        <w:spacing w:line="360" w:lineRule="auto"/>
        <w:rPr>
          <w:rFonts w:ascii="Book Antiqua" w:hAnsi="Book Antiqua" w:cs="Arial"/>
          <w:b/>
          <w:u w:val="single"/>
        </w:rPr>
      </w:pPr>
      <w:r w:rsidRPr="001409F0">
        <w:rPr>
          <w:rFonts w:ascii="Book Antiqua" w:hAnsi="Book Antiqua" w:cs="Arial"/>
          <w:b/>
          <w:u w:val="single"/>
        </w:rPr>
        <w:t xml:space="preserve">DISCUSSION </w:t>
      </w:r>
    </w:p>
    <w:p w14:paraId="7A7FF165" w14:textId="34F8E952"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rPr>
        <w:t xml:space="preserve">ALD is a spectrum of liver abnormalities induced by chronic alcohol consumption that results in more than 2 million deaths annually </w:t>
      </w:r>
      <w:proofErr w:type="gramStart"/>
      <w:r w:rsidRPr="001409F0">
        <w:rPr>
          <w:rFonts w:ascii="Book Antiqua" w:hAnsi="Book Antiqua" w:cs="Arial"/>
        </w:rPr>
        <w:t>worldwide</w:t>
      </w:r>
      <w:r w:rsidRPr="001409F0">
        <w:rPr>
          <w:rFonts w:ascii="Book Antiqua" w:hAnsi="Book Antiqua"/>
          <w:vertAlign w:val="superscript"/>
        </w:rPr>
        <w:t>[</w:t>
      </w:r>
      <w:proofErr w:type="gramEnd"/>
      <w:r w:rsidRPr="001409F0">
        <w:rPr>
          <w:rFonts w:ascii="Book Antiqua" w:hAnsi="Book Antiqua"/>
          <w:vertAlign w:val="superscript"/>
        </w:rPr>
        <w:t>22]</w:t>
      </w:r>
      <w:r w:rsidRPr="001409F0">
        <w:rPr>
          <w:rFonts w:ascii="Book Antiqua" w:hAnsi="Book Antiqua" w:cs="Arial"/>
        </w:rPr>
        <w:t xml:space="preserve">. Recently, a growing number of studies have shown that some Chinese herbal medicines have benefits for prevention and treatment of </w:t>
      </w:r>
      <w:proofErr w:type="gramStart"/>
      <w:r w:rsidRPr="001409F0">
        <w:rPr>
          <w:rFonts w:ascii="Book Antiqua" w:hAnsi="Book Antiqua" w:cs="Arial"/>
        </w:rPr>
        <w:t>ALD</w:t>
      </w:r>
      <w:r w:rsidRPr="001409F0">
        <w:rPr>
          <w:rFonts w:ascii="Book Antiqua" w:hAnsi="Book Antiqua" w:cs="Arial"/>
          <w:vertAlign w:val="superscript"/>
        </w:rPr>
        <w:t>[</w:t>
      </w:r>
      <w:proofErr w:type="gramEnd"/>
      <w:r w:rsidRPr="001409F0">
        <w:rPr>
          <w:rFonts w:ascii="Book Antiqua" w:hAnsi="Book Antiqua" w:cs="Arial"/>
          <w:vertAlign w:val="superscript"/>
        </w:rPr>
        <w:t>22]</w:t>
      </w:r>
      <w:r w:rsidRPr="001409F0">
        <w:rPr>
          <w:rFonts w:ascii="Book Antiqua" w:hAnsi="Book Antiqua" w:cs="Arial"/>
        </w:rPr>
        <w:t xml:space="preserve">. The purpose of the present study was to verify whether TCL protects against liver injury induced by alcohol and explore the possible mechanisms involved. </w:t>
      </w:r>
    </w:p>
    <w:p w14:paraId="195CA28F" w14:textId="77777777" w:rsidR="00E05BA3" w:rsidRPr="001409F0" w:rsidRDefault="00E05BA3" w:rsidP="001409F0">
      <w:pPr>
        <w:adjustRightInd w:val="0"/>
        <w:snapToGrid w:val="0"/>
        <w:spacing w:line="360" w:lineRule="auto"/>
        <w:rPr>
          <w:rFonts w:ascii="Book Antiqua" w:hAnsi="Book Antiqua" w:cs="Arial"/>
        </w:rPr>
      </w:pPr>
    </w:p>
    <w:p w14:paraId="11D50CF6" w14:textId="77777777" w:rsidR="00E05BA3" w:rsidRPr="001409F0" w:rsidRDefault="00E05BA3" w:rsidP="001409F0">
      <w:pPr>
        <w:adjustRightInd w:val="0"/>
        <w:snapToGrid w:val="0"/>
        <w:spacing w:line="360" w:lineRule="auto"/>
        <w:rPr>
          <w:rFonts w:ascii="Book Antiqua" w:hAnsi="Book Antiqua" w:cs="Arial"/>
          <w:b/>
          <w:i/>
          <w:iCs/>
        </w:rPr>
      </w:pPr>
      <w:r w:rsidRPr="001409F0">
        <w:rPr>
          <w:rFonts w:ascii="Book Antiqua" w:hAnsi="Book Antiqua" w:cs="Arial"/>
          <w:b/>
          <w:i/>
          <w:iCs/>
        </w:rPr>
        <w:t>TCL and chronic alcoholic liver injury</w:t>
      </w:r>
    </w:p>
    <w:p w14:paraId="175D38E0" w14:textId="26C38DF3"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rPr>
        <w:t>After receiving the Lieber-DeCarli ethanol liquid diet for 4 w</w:t>
      </w:r>
      <w:r w:rsidR="00F42765" w:rsidRPr="001409F0">
        <w:rPr>
          <w:rFonts w:ascii="Book Antiqua" w:hAnsi="Book Antiqua" w:cs="Arial"/>
        </w:rPr>
        <w:t>k</w:t>
      </w:r>
      <w:r w:rsidRPr="001409F0">
        <w:rPr>
          <w:rFonts w:ascii="Book Antiqua" w:hAnsi="Book Antiqua" w:cs="Arial"/>
        </w:rPr>
        <w:t>, mice in the ethanol group developed liver damage, demonstrated by marked increase of serum AST and ALT, hepatic steatosis, expression of NLRP3 inflammasome components and proinflammatory factors, increased ROS and MDA production, accumulation of NKT cells, and a significant decrease of SOD activity. GSH exists in the normal liver and reported</w:t>
      </w:r>
      <w:r w:rsidR="00D21E94" w:rsidRPr="001409F0">
        <w:rPr>
          <w:rFonts w:ascii="Book Antiqua" w:hAnsi="Book Antiqua" w:cs="Arial"/>
        </w:rPr>
        <w:t>ly</w:t>
      </w:r>
      <w:r w:rsidRPr="001409F0">
        <w:rPr>
          <w:rFonts w:ascii="Book Antiqua" w:hAnsi="Book Antiqua" w:cs="Arial"/>
        </w:rPr>
        <w:t xml:space="preserve"> improve</w:t>
      </w:r>
      <w:r w:rsidR="00D21E94" w:rsidRPr="001409F0">
        <w:rPr>
          <w:rFonts w:ascii="Book Antiqua" w:hAnsi="Book Antiqua" w:cs="Arial"/>
        </w:rPr>
        <w:t>s</w:t>
      </w:r>
      <w:r w:rsidRPr="001409F0">
        <w:rPr>
          <w:rFonts w:ascii="Book Antiqua" w:hAnsi="Book Antiqua" w:cs="Arial"/>
        </w:rPr>
        <w:t xml:space="preserve"> clinical signs and hepatic dysfunction induced by </w:t>
      </w:r>
      <w:proofErr w:type="gramStart"/>
      <w:r w:rsidRPr="001409F0">
        <w:rPr>
          <w:rFonts w:ascii="Book Antiqua" w:hAnsi="Book Antiqua" w:cs="Arial"/>
        </w:rPr>
        <w:t>alcohol</w:t>
      </w:r>
      <w:r w:rsidRPr="001409F0">
        <w:rPr>
          <w:rFonts w:ascii="Book Antiqua" w:hAnsi="Book Antiqua" w:cs="Arial"/>
          <w:vertAlign w:val="superscript"/>
        </w:rPr>
        <w:t>[</w:t>
      </w:r>
      <w:proofErr w:type="gramEnd"/>
      <w:r w:rsidRPr="001409F0">
        <w:rPr>
          <w:rFonts w:ascii="Book Antiqua" w:hAnsi="Book Antiqua" w:cs="Arial"/>
          <w:vertAlign w:val="superscript"/>
        </w:rPr>
        <w:t>20]</w:t>
      </w:r>
      <w:r w:rsidRPr="001409F0">
        <w:rPr>
          <w:rFonts w:ascii="Book Antiqua" w:hAnsi="Book Antiqua" w:cs="Arial"/>
        </w:rPr>
        <w:t xml:space="preserve">. Therefore, GSH was used as a positive </w:t>
      </w:r>
      <w:r w:rsidR="00516D69" w:rsidRPr="001409F0">
        <w:rPr>
          <w:rFonts w:ascii="Book Antiqua" w:hAnsi="Book Antiqua" w:cs="Arial"/>
        </w:rPr>
        <w:t xml:space="preserve">Ctrl </w:t>
      </w:r>
      <w:r w:rsidRPr="001409F0">
        <w:rPr>
          <w:rFonts w:ascii="Book Antiqua" w:hAnsi="Book Antiqua" w:cs="Arial"/>
        </w:rPr>
        <w:t>when assessing the effects of TCL. This study showed that treatment with TCL could successfully prevent liver injury induced by chronic alcohol consumption.</w:t>
      </w:r>
    </w:p>
    <w:p w14:paraId="6E5B9C2D" w14:textId="372977DF" w:rsidR="00E05BA3" w:rsidRPr="001409F0" w:rsidRDefault="00E05BA3" w:rsidP="00472ED2">
      <w:pPr>
        <w:adjustRightInd w:val="0"/>
        <w:snapToGrid w:val="0"/>
        <w:spacing w:line="360" w:lineRule="auto"/>
        <w:ind w:firstLine="420"/>
        <w:rPr>
          <w:rFonts w:ascii="Book Antiqua" w:hAnsi="Book Antiqua" w:cs="Arial"/>
        </w:rPr>
      </w:pPr>
      <w:r w:rsidRPr="001409F0">
        <w:rPr>
          <w:rFonts w:ascii="Book Antiqua" w:hAnsi="Book Antiqua" w:cs="Arial"/>
        </w:rPr>
        <w:t xml:space="preserve">The pathogenic mechanisms involved in ALD are complicated and still not well understood. However, based on the available evidence, the “2-hit theory” of pathogenesis has been </w:t>
      </w:r>
      <w:proofErr w:type="gramStart"/>
      <w:r w:rsidRPr="001409F0">
        <w:rPr>
          <w:rFonts w:ascii="Book Antiqua" w:hAnsi="Book Antiqua" w:cs="Arial"/>
        </w:rPr>
        <w:t>proposed</w:t>
      </w:r>
      <w:r w:rsidRPr="001409F0">
        <w:rPr>
          <w:rFonts w:ascii="Book Antiqua" w:hAnsi="Book Antiqua" w:cs="Arial"/>
          <w:vertAlign w:val="superscript"/>
        </w:rPr>
        <w:t>[</w:t>
      </w:r>
      <w:proofErr w:type="gramEnd"/>
      <w:r w:rsidRPr="001409F0">
        <w:rPr>
          <w:rFonts w:ascii="Book Antiqua" w:hAnsi="Book Antiqua" w:cs="Arial"/>
          <w:vertAlign w:val="superscript"/>
        </w:rPr>
        <w:t>23]</w:t>
      </w:r>
      <w:r w:rsidRPr="001409F0">
        <w:rPr>
          <w:rFonts w:ascii="Book Antiqua" w:hAnsi="Book Antiqua" w:cs="Arial"/>
        </w:rPr>
        <w:t>. The first hit is alcohol-induced disruption of lipid metabolism leading to hepatic steatosis, which makes hepatocytes vulnerable to liver injury by a second hit, resulting in inflammation and necrosis. Thus, prevention of fat accumulation can probably inhibit the progression of ALD. This study indicated that treatment with TLC significantly reduced lipid accumulation induced by chronic alcohol consumption</w:t>
      </w:r>
      <w:r w:rsidRPr="001409F0">
        <w:rPr>
          <w:rFonts w:ascii="Book Antiqua" w:hAnsi="Book Antiqua"/>
        </w:rPr>
        <w:t xml:space="preserve">, </w:t>
      </w:r>
      <w:r w:rsidRPr="001409F0">
        <w:rPr>
          <w:rFonts w:ascii="Book Antiqua" w:hAnsi="Book Antiqua" w:cs="Arial"/>
        </w:rPr>
        <w:t>as shown by H</w:t>
      </w:r>
      <w:r w:rsidR="00D21E94" w:rsidRPr="001409F0">
        <w:rPr>
          <w:rFonts w:ascii="Book Antiqua" w:hAnsi="Book Antiqua" w:cs="Arial"/>
        </w:rPr>
        <w:t>&amp;</w:t>
      </w:r>
      <w:r w:rsidRPr="001409F0">
        <w:rPr>
          <w:rFonts w:ascii="Book Antiqua" w:hAnsi="Book Antiqua" w:cs="Arial"/>
        </w:rPr>
        <w:t>E staining, Oil red O staining, and quantification of the hepatic triglyceride content. Thus, TCL relieves hepatic steatosis by exerting a protective effect against liver injury induced by chronic alcohol consumption.</w:t>
      </w:r>
    </w:p>
    <w:p w14:paraId="4B834A08" w14:textId="77777777" w:rsidR="00E05BA3" w:rsidRPr="001409F0" w:rsidRDefault="00E05BA3" w:rsidP="001409F0">
      <w:pPr>
        <w:adjustRightInd w:val="0"/>
        <w:snapToGrid w:val="0"/>
        <w:spacing w:line="360" w:lineRule="auto"/>
        <w:rPr>
          <w:rFonts w:ascii="Book Antiqua" w:hAnsi="Book Antiqua" w:cs="Arial"/>
        </w:rPr>
      </w:pPr>
    </w:p>
    <w:p w14:paraId="06BBED1A" w14:textId="4CE8829F" w:rsidR="00E05BA3" w:rsidRPr="001409F0" w:rsidRDefault="00E05BA3" w:rsidP="001409F0">
      <w:pPr>
        <w:adjustRightInd w:val="0"/>
        <w:snapToGrid w:val="0"/>
        <w:spacing w:line="360" w:lineRule="auto"/>
        <w:rPr>
          <w:rFonts w:ascii="Book Antiqua" w:hAnsi="Book Antiqua" w:cs="Arial"/>
          <w:b/>
          <w:i/>
          <w:iCs/>
        </w:rPr>
      </w:pPr>
      <w:r w:rsidRPr="001409F0">
        <w:rPr>
          <w:rFonts w:ascii="Book Antiqua" w:hAnsi="Book Antiqua" w:cs="Arial"/>
          <w:b/>
          <w:i/>
          <w:iCs/>
          <w:shd w:val="clear" w:color="auto" w:fill="FFFFFF"/>
        </w:rPr>
        <w:t>TCL and the expression of NLRP3 inflammasome and its downstream cytokines in liver tissue</w:t>
      </w:r>
    </w:p>
    <w:p w14:paraId="4019EA3F" w14:textId="6D2E96AE"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rPr>
        <w:t>Studies have shown that inflammatory mediators and pro-inflammatory cytokines are crucially involved in liver injury induced by alcohol consumption. Alcohol intake activates the NLRP3 inflammasome, which is present in hepatic immune cells, and the activated NLRP3 inflammasome triggers liver damage by cleaving pro-IL-1</w:t>
      </w:r>
      <w:r w:rsidRPr="00472ED2">
        <w:rPr>
          <w:rFonts w:ascii="Times New Roman" w:hAnsi="Times New Roman"/>
        </w:rPr>
        <w:t>β</w:t>
      </w:r>
      <w:r w:rsidRPr="001409F0">
        <w:rPr>
          <w:rFonts w:ascii="Book Antiqua" w:hAnsi="Book Antiqua" w:cs="Arial"/>
        </w:rPr>
        <w:t xml:space="preserve"> to release mature IL-1</w:t>
      </w:r>
      <w:proofErr w:type="gramStart"/>
      <w:r w:rsidRPr="00472ED2">
        <w:rPr>
          <w:rFonts w:ascii="Times New Roman" w:hAnsi="Times New Roman"/>
        </w:rPr>
        <w:t>β</w:t>
      </w:r>
      <w:r w:rsidRPr="001409F0">
        <w:rPr>
          <w:rFonts w:ascii="Book Antiqua" w:hAnsi="Book Antiqua" w:cs="Arial"/>
          <w:vertAlign w:val="superscript"/>
        </w:rPr>
        <w:t>[</w:t>
      </w:r>
      <w:proofErr w:type="gramEnd"/>
      <w:r w:rsidRPr="001409F0">
        <w:rPr>
          <w:rFonts w:ascii="Book Antiqua" w:hAnsi="Book Antiqua" w:cs="Arial"/>
          <w:vertAlign w:val="superscript"/>
        </w:rPr>
        <w:t>24]</w:t>
      </w:r>
      <w:r w:rsidRPr="001409F0">
        <w:rPr>
          <w:rFonts w:ascii="Book Antiqua" w:hAnsi="Book Antiqua" w:cs="Arial"/>
        </w:rPr>
        <w:t>. IL-1</w:t>
      </w:r>
      <w:r w:rsidRPr="00472ED2">
        <w:rPr>
          <w:rFonts w:ascii="Times New Roman" w:hAnsi="Times New Roman"/>
        </w:rPr>
        <w:t>β</w:t>
      </w:r>
      <w:r w:rsidRPr="001409F0">
        <w:rPr>
          <w:rFonts w:ascii="Book Antiqua" w:hAnsi="Book Antiqua" w:cs="Arial"/>
        </w:rPr>
        <w:t xml:space="preserve"> induces triglyceride accumulation in hepatocytes and triggers inflammation by its synergistic action with </w:t>
      </w:r>
      <w:r w:rsidR="00595852" w:rsidRPr="001409F0">
        <w:rPr>
          <w:rFonts w:ascii="Book Antiqua" w:hAnsi="Book Antiqua" w:cs="Arial"/>
        </w:rPr>
        <w:t>Toll-like receptor</w:t>
      </w:r>
      <w:r w:rsidRPr="001409F0">
        <w:rPr>
          <w:rFonts w:ascii="Book Antiqua" w:hAnsi="Book Antiqua" w:cs="Arial"/>
        </w:rPr>
        <w:t xml:space="preserve"> signaling that markedly amplifies inflammation </w:t>
      </w:r>
      <w:r w:rsidRPr="001409F0">
        <w:rPr>
          <w:rFonts w:ascii="Book Antiqua" w:hAnsi="Book Antiqua" w:cs="Arial"/>
          <w:i/>
          <w:iCs/>
        </w:rPr>
        <w:t>via</w:t>
      </w:r>
      <w:r w:rsidRPr="001409F0">
        <w:rPr>
          <w:rFonts w:ascii="Book Antiqua" w:hAnsi="Book Antiqua" w:cs="Arial"/>
        </w:rPr>
        <w:t xml:space="preserve"> lipopolysaccharide-inducible inflammatory </w:t>
      </w:r>
      <w:proofErr w:type="gramStart"/>
      <w:r w:rsidRPr="001409F0">
        <w:rPr>
          <w:rFonts w:ascii="Book Antiqua" w:hAnsi="Book Antiqua" w:cs="Arial"/>
        </w:rPr>
        <w:t>cytokines</w:t>
      </w:r>
      <w:r w:rsidRPr="001409F0">
        <w:rPr>
          <w:rFonts w:ascii="Book Antiqua" w:hAnsi="Book Antiqua" w:cs="Arial"/>
          <w:vertAlign w:val="superscript"/>
        </w:rPr>
        <w:t>[</w:t>
      </w:r>
      <w:proofErr w:type="gramEnd"/>
      <w:r w:rsidRPr="001409F0">
        <w:rPr>
          <w:rFonts w:ascii="Book Antiqua" w:hAnsi="Book Antiqua" w:cs="Arial"/>
          <w:vertAlign w:val="superscript"/>
        </w:rPr>
        <w:t>25,26]</w:t>
      </w:r>
      <w:r w:rsidRPr="001409F0">
        <w:rPr>
          <w:rFonts w:ascii="Book Antiqua" w:hAnsi="Book Antiqua" w:cs="Arial"/>
        </w:rPr>
        <w:t>. In this study, the ethanol group showed a significant increase of NLRP3 inflammasome components and IL-1</w:t>
      </w:r>
      <w:r w:rsidRPr="00472ED2">
        <w:rPr>
          <w:rFonts w:ascii="Times New Roman" w:hAnsi="Times New Roman"/>
        </w:rPr>
        <w:t>β</w:t>
      </w:r>
      <w:r w:rsidRPr="001409F0">
        <w:rPr>
          <w:rFonts w:ascii="Book Antiqua" w:hAnsi="Book Antiqua" w:cs="Arial"/>
        </w:rPr>
        <w:t xml:space="preserve">, while these increases were significantly attenuated by treatment with TCL. </w:t>
      </w:r>
      <w:r w:rsidRPr="001409F0">
        <w:rPr>
          <w:rFonts w:ascii="Book Antiqua" w:hAnsi="Book Antiqua" w:cs="Arial"/>
        </w:rPr>
        <w:lastRenderedPageBreak/>
        <w:t>These data illustrate that TCL can suppress NLRP3 inflammasome activation and IL-1</w:t>
      </w:r>
      <w:r w:rsidRPr="00472ED2">
        <w:rPr>
          <w:rFonts w:ascii="Times New Roman" w:hAnsi="Times New Roman"/>
        </w:rPr>
        <w:t>β</w:t>
      </w:r>
      <w:r w:rsidRPr="001409F0">
        <w:rPr>
          <w:rFonts w:ascii="Book Antiqua" w:hAnsi="Book Antiqua" w:cs="Arial"/>
        </w:rPr>
        <w:t xml:space="preserve"> release induced by chronic alcohol consumption. Recently, Cui </w:t>
      </w:r>
      <w:r w:rsidRPr="001409F0">
        <w:rPr>
          <w:rFonts w:ascii="Book Antiqua" w:hAnsi="Book Antiqua" w:cs="Arial"/>
          <w:i/>
        </w:rPr>
        <w:t>et al</w:t>
      </w:r>
      <w:r w:rsidRPr="001409F0">
        <w:rPr>
          <w:rFonts w:ascii="Book Antiqua" w:hAnsi="Book Antiqua" w:cs="Arial"/>
        </w:rPr>
        <w:t>. found that IL-1</w:t>
      </w:r>
      <w:r w:rsidRPr="00472ED2">
        <w:rPr>
          <w:rFonts w:ascii="Times New Roman" w:hAnsi="Times New Roman"/>
        </w:rPr>
        <w:t>β</w:t>
      </w:r>
      <w:r w:rsidRPr="001409F0">
        <w:rPr>
          <w:rFonts w:ascii="Book Antiqua" w:hAnsi="Book Antiqua" w:cs="Arial"/>
        </w:rPr>
        <w:t xml:space="preserve"> promoted alcoholic liver injury by recruiting NKT </w:t>
      </w:r>
      <w:proofErr w:type="gramStart"/>
      <w:r w:rsidRPr="001409F0">
        <w:rPr>
          <w:rFonts w:ascii="Book Antiqua" w:hAnsi="Book Antiqua" w:cs="Arial"/>
        </w:rPr>
        <w:t>cells</w:t>
      </w:r>
      <w:r w:rsidRPr="001409F0">
        <w:rPr>
          <w:rFonts w:ascii="Book Antiqua" w:hAnsi="Book Antiqua" w:cs="Arial"/>
          <w:vertAlign w:val="superscript"/>
        </w:rPr>
        <w:t>[</w:t>
      </w:r>
      <w:proofErr w:type="gramEnd"/>
      <w:r w:rsidRPr="001409F0">
        <w:rPr>
          <w:rFonts w:ascii="Book Antiqua" w:hAnsi="Book Antiqua" w:cs="Arial"/>
          <w:vertAlign w:val="superscript"/>
        </w:rPr>
        <w:t>4]</w:t>
      </w:r>
      <w:r w:rsidRPr="001409F0">
        <w:rPr>
          <w:rFonts w:ascii="Book Antiqua" w:hAnsi="Book Antiqua" w:cs="Arial"/>
        </w:rPr>
        <w:t>. To investigate whether TCL has a protective effect against alcoholic liver injury by inhibiting the NLRP3-IL-1</w:t>
      </w:r>
      <w:r w:rsidRPr="00472ED2">
        <w:rPr>
          <w:rFonts w:ascii="Times New Roman" w:hAnsi="Times New Roman"/>
        </w:rPr>
        <w:t>β</w:t>
      </w:r>
      <w:r w:rsidRPr="001409F0">
        <w:rPr>
          <w:rFonts w:ascii="Book Antiqua" w:hAnsi="Book Antiqua" w:cs="Arial"/>
        </w:rPr>
        <w:t xml:space="preserve"> signaling pathway, we investigated NKT cells in the liver. Consistent with our expectations, the results showed that TCL significantly reversed the accumulation of NKT cells induced by chronic alcohol consumption. Taken together, these data suggest that the protective effect of TCL against alcoholic liver injury might be due to reduction of inflammation </w:t>
      </w:r>
      <w:r w:rsidRPr="001409F0">
        <w:rPr>
          <w:rFonts w:ascii="Book Antiqua" w:hAnsi="Book Antiqua" w:cs="Arial"/>
          <w:i/>
          <w:iCs/>
        </w:rPr>
        <w:t>via</w:t>
      </w:r>
      <w:r w:rsidRPr="001409F0">
        <w:rPr>
          <w:rFonts w:ascii="Book Antiqua" w:hAnsi="Book Antiqua" w:cs="Arial"/>
        </w:rPr>
        <w:t xml:space="preserve"> inhibition of the NLRP3-IL-1</w:t>
      </w:r>
      <w:r w:rsidRPr="00472ED2">
        <w:rPr>
          <w:rFonts w:ascii="Times New Roman" w:hAnsi="Times New Roman"/>
        </w:rPr>
        <w:t>β</w:t>
      </w:r>
      <w:r w:rsidRPr="001409F0">
        <w:rPr>
          <w:rFonts w:ascii="Book Antiqua" w:hAnsi="Book Antiqua" w:cs="Arial"/>
        </w:rPr>
        <w:t xml:space="preserve"> signaling pathway. </w:t>
      </w:r>
      <w:r w:rsidRPr="001409F0">
        <w:rPr>
          <w:rFonts w:ascii="Book Antiqua" w:hAnsi="Book Antiqua" w:cs="Arial"/>
          <w:shd w:val="clear" w:color="auto" w:fill="FFFFFF"/>
        </w:rPr>
        <w:t>At the same time, it was also found that GSH significantly inhibited the activation of NLRP3 inflammasomes induced by alcohol.</w:t>
      </w:r>
    </w:p>
    <w:p w14:paraId="3D3C38F2" w14:textId="77777777" w:rsidR="00E05BA3" w:rsidRPr="001409F0" w:rsidRDefault="00E05BA3" w:rsidP="001409F0">
      <w:pPr>
        <w:adjustRightInd w:val="0"/>
        <w:snapToGrid w:val="0"/>
        <w:spacing w:line="360" w:lineRule="auto"/>
        <w:rPr>
          <w:rFonts w:ascii="Book Antiqua" w:hAnsi="Book Antiqua" w:cs="Arial"/>
        </w:rPr>
      </w:pPr>
    </w:p>
    <w:p w14:paraId="4A616F62" w14:textId="77777777" w:rsidR="00E05BA3" w:rsidRPr="001409F0" w:rsidRDefault="00E05BA3" w:rsidP="001409F0">
      <w:pPr>
        <w:adjustRightInd w:val="0"/>
        <w:snapToGrid w:val="0"/>
        <w:spacing w:line="360" w:lineRule="auto"/>
        <w:rPr>
          <w:rFonts w:ascii="Book Antiqua" w:hAnsi="Book Antiqua" w:cs="Arial"/>
          <w:b/>
          <w:i/>
          <w:iCs/>
        </w:rPr>
      </w:pPr>
      <w:r w:rsidRPr="001409F0">
        <w:rPr>
          <w:rFonts w:ascii="Book Antiqua" w:hAnsi="Book Antiqua" w:cs="Arial"/>
          <w:b/>
          <w:i/>
          <w:iCs/>
          <w:shd w:val="clear" w:color="auto" w:fill="FFFFFF"/>
        </w:rPr>
        <w:t>TCL and oxidative stress in liver induced by alcohol</w:t>
      </w:r>
    </w:p>
    <w:p w14:paraId="32E755B4" w14:textId="0EE7FB16"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rPr>
        <w:t xml:space="preserve">Chronic ethanol consumption also increases ROS production, and decreases the levels of antioxidants that normally scavenge excess </w:t>
      </w:r>
      <w:proofErr w:type="gramStart"/>
      <w:r w:rsidRPr="001409F0">
        <w:rPr>
          <w:rFonts w:ascii="Book Antiqua" w:hAnsi="Book Antiqua" w:cs="Arial"/>
        </w:rPr>
        <w:t>ROS</w:t>
      </w:r>
      <w:r w:rsidRPr="001409F0">
        <w:rPr>
          <w:rFonts w:ascii="Book Antiqua" w:hAnsi="Book Antiqua" w:cs="Arial"/>
          <w:vertAlign w:val="superscript"/>
        </w:rPr>
        <w:t>[</w:t>
      </w:r>
      <w:proofErr w:type="gramEnd"/>
      <w:r w:rsidRPr="001409F0">
        <w:rPr>
          <w:rFonts w:ascii="Book Antiqua" w:hAnsi="Book Antiqua" w:cs="Arial"/>
          <w:vertAlign w:val="superscript"/>
        </w:rPr>
        <w:t>27,28]</w:t>
      </w:r>
      <w:r w:rsidRPr="001409F0">
        <w:rPr>
          <w:rFonts w:ascii="Book Antiqua" w:hAnsi="Book Antiqua" w:cs="Arial"/>
        </w:rPr>
        <w:t xml:space="preserve">. This leads to an imbalance between pro-oxidants and antioxidants, which is called oxidative stress, and is thought to represent a major pathogenetic pathway for alcoholic liver injury. ROS cause liver damage in various ways, including permanent changes to DNA, lipid peroxidation that damages biological </w:t>
      </w:r>
      <w:proofErr w:type="gramStart"/>
      <w:r w:rsidRPr="001409F0">
        <w:rPr>
          <w:rFonts w:ascii="Book Antiqua" w:hAnsi="Book Antiqua" w:cs="Arial"/>
        </w:rPr>
        <w:t>membranes</w:t>
      </w:r>
      <w:r w:rsidRPr="001409F0">
        <w:rPr>
          <w:rFonts w:ascii="Book Antiqua" w:hAnsi="Book Antiqua" w:cs="Arial"/>
          <w:vertAlign w:val="superscript"/>
        </w:rPr>
        <w:t>[</w:t>
      </w:r>
      <w:proofErr w:type="gramEnd"/>
      <w:r w:rsidRPr="001409F0">
        <w:rPr>
          <w:rFonts w:ascii="Book Antiqua" w:hAnsi="Book Antiqua" w:cs="Arial"/>
          <w:vertAlign w:val="superscript"/>
        </w:rPr>
        <w:t>29]</w:t>
      </w:r>
      <w:r w:rsidRPr="001409F0">
        <w:rPr>
          <w:rFonts w:ascii="Book Antiqua" w:hAnsi="Book Antiqua" w:cs="Arial"/>
        </w:rPr>
        <w:t xml:space="preserve">, and inhibition of mitochondrial and peroxisomal </w:t>
      </w:r>
      <w:r w:rsidRPr="00472ED2">
        <w:rPr>
          <w:rFonts w:ascii="Times New Roman" w:hAnsi="Times New Roman"/>
        </w:rPr>
        <w:t>β</w:t>
      </w:r>
      <w:r w:rsidRPr="001409F0">
        <w:rPr>
          <w:rFonts w:ascii="Book Antiqua" w:hAnsi="Book Antiqua" w:cs="Arial"/>
        </w:rPr>
        <w:t>-oxidation enzymes, leading to hepatic steatosis</w:t>
      </w:r>
      <w:r w:rsidRPr="001409F0">
        <w:rPr>
          <w:rFonts w:ascii="Book Antiqua" w:hAnsi="Book Antiqua" w:cs="Arial"/>
          <w:vertAlign w:val="superscript"/>
        </w:rPr>
        <w:t>[30]</w:t>
      </w:r>
      <w:r w:rsidRPr="001409F0">
        <w:rPr>
          <w:rFonts w:ascii="Book Antiqua" w:hAnsi="Book Antiqua" w:cs="Arial"/>
        </w:rPr>
        <w:t xml:space="preserve">. ROS are also important in mediating activation of the NLRP3 </w:t>
      </w:r>
      <w:proofErr w:type="gramStart"/>
      <w:r w:rsidRPr="001409F0">
        <w:rPr>
          <w:rFonts w:ascii="Book Antiqua" w:hAnsi="Book Antiqua" w:cs="Arial"/>
        </w:rPr>
        <w:t>inflammasome</w:t>
      </w:r>
      <w:r w:rsidRPr="001409F0">
        <w:rPr>
          <w:rFonts w:ascii="Book Antiqua" w:hAnsi="Book Antiqua" w:cs="Arial"/>
          <w:vertAlign w:val="superscript"/>
        </w:rPr>
        <w:t>[</w:t>
      </w:r>
      <w:proofErr w:type="gramEnd"/>
      <w:r w:rsidRPr="001409F0">
        <w:rPr>
          <w:rFonts w:ascii="Book Antiqua" w:hAnsi="Book Antiqua" w:cs="Arial"/>
          <w:vertAlign w:val="superscript"/>
        </w:rPr>
        <w:t>31,32]</w:t>
      </w:r>
      <w:r w:rsidRPr="001409F0">
        <w:rPr>
          <w:rFonts w:ascii="Book Antiqua" w:hAnsi="Book Antiqua" w:cs="Arial"/>
        </w:rPr>
        <w:t xml:space="preserve">, and </w:t>
      </w:r>
      <w:r w:rsidRPr="001409F0">
        <w:rPr>
          <w:rStyle w:val="text-dst"/>
          <w:rFonts w:ascii="Book Antiqua" w:hAnsi="Book Antiqua"/>
          <w:bdr w:val="none" w:sz="0" w:space="0" w:color="auto" w:frame="1"/>
          <w:shd w:val="clear" w:color="auto" w:fill="FFFFFF"/>
        </w:rPr>
        <w:t>there is a ROS-thioredoxin-interacting protein signal axis during the</w:t>
      </w:r>
      <w:r w:rsidRPr="001409F0">
        <w:rPr>
          <w:rFonts w:ascii="Book Antiqua" w:hAnsi="Book Antiqua" w:cs="Arial"/>
        </w:rPr>
        <w:t xml:space="preserve"> alcohol-induced</w:t>
      </w:r>
      <w:r w:rsidRPr="001409F0">
        <w:rPr>
          <w:rStyle w:val="text-dst"/>
          <w:rFonts w:ascii="Book Antiqua" w:hAnsi="Book Antiqua"/>
          <w:bdr w:val="none" w:sz="0" w:space="0" w:color="auto" w:frame="1"/>
          <w:shd w:val="clear" w:color="auto" w:fill="FFFFFF"/>
        </w:rPr>
        <w:t xml:space="preserve"> hit process. Through this signal axis, alcohol and its metabolites can activate the NLRP3 inflammasome domain, causing the activation of downstream cytokines of NLRP3</w:t>
      </w:r>
      <w:r w:rsidRPr="001409F0">
        <w:rPr>
          <w:rFonts w:ascii="Book Antiqua" w:hAnsi="Book Antiqua" w:cs="Arial"/>
          <w:vertAlign w:val="superscript"/>
        </w:rPr>
        <w:t>[33]</w:t>
      </w:r>
      <w:r w:rsidRPr="001409F0">
        <w:rPr>
          <w:rStyle w:val="text-dst"/>
          <w:rFonts w:ascii="Book Antiqua" w:hAnsi="Book Antiqua"/>
          <w:bdr w:val="none" w:sz="0" w:space="0" w:color="auto" w:frame="1"/>
          <w:shd w:val="clear" w:color="auto" w:fill="FFFFFF"/>
        </w:rPr>
        <w:t xml:space="preserve">. </w:t>
      </w:r>
      <w:r w:rsidRPr="001409F0">
        <w:rPr>
          <w:rFonts w:ascii="Book Antiqua" w:hAnsi="Book Antiqua" w:cs="Arial"/>
        </w:rPr>
        <w:t xml:space="preserve">We evaluated whether ROS were reduced when NLRP3 activation was inhibited, and we showed that TCL decreased ROS production induced by chronic alcohol consumption, which might suppress NLRP3 inflammasome activation. MDA, a product of ethanol, is frequently used as an indicator of oxidative stress. SOD is an endogenous antioxidant </w:t>
      </w:r>
      <w:proofErr w:type="gramStart"/>
      <w:r w:rsidRPr="001409F0">
        <w:rPr>
          <w:rFonts w:ascii="Book Antiqua" w:hAnsi="Book Antiqua" w:cs="Arial"/>
        </w:rPr>
        <w:t>enzyme</w:t>
      </w:r>
      <w:r w:rsidRPr="001409F0">
        <w:rPr>
          <w:rFonts w:ascii="Book Antiqua" w:hAnsi="Book Antiqua" w:cs="Arial"/>
          <w:vertAlign w:val="superscript"/>
        </w:rPr>
        <w:t>[</w:t>
      </w:r>
      <w:proofErr w:type="gramEnd"/>
      <w:r w:rsidRPr="001409F0">
        <w:rPr>
          <w:rFonts w:ascii="Book Antiqua" w:hAnsi="Book Antiqua" w:cs="Arial"/>
          <w:vertAlign w:val="superscript"/>
        </w:rPr>
        <w:t>2]</w:t>
      </w:r>
      <w:r w:rsidRPr="001409F0">
        <w:rPr>
          <w:rFonts w:ascii="Book Antiqua" w:hAnsi="Book Antiqua" w:cs="Arial"/>
        </w:rPr>
        <w:t xml:space="preserve">. SOD overexpression in liver cells mediated by infection with an adenovirus vector was shown to diminish free radicals and reduce alcohol-induced liver </w:t>
      </w:r>
      <w:proofErr w:type="gramStart"/>
      <w:r w:rsidRPr="001409F0">
        <w:rPr>
          <w:rFonts w:ascii="Book Antiqua" w:hAnsi="Book Antiqua" w:cs="Arial"/>
        </w:rPr>
        <w:t>injury</w:t>
      </w:r>
      <w:r w:rsidRPr="001409F0">
        <w:rPr>
          <w:rFonts w:ascii="Book Antiqua" w:hAnsi="Book Antiqua" w:cs="Arial"/>
          <w:vertAlign w:val="superscript"/>
        </w:rPr>
        <w:t>[</w:t>
      </w:r>
      <w:proofErr w:type="gramEnd"/>
      <w:r w:rsidRPr="001409F0">
        <w:rPr>
          <w:rFonts w:ascii="Book Antiqua" w:hAnsi="Book Antiqua" w:cs="Arial"/>
          <w:vertAlign w:val="superscript"/>
        </w:rPr>
        <w:t>34]</w:t>
      </w:r>
      <w:r w:rsidRPr="001409F0">
        <w:rPr>
          <w:rFonts w:ascii="Book Antiqua" w:hAnsi="Book Antiqua" w:cs="Arial"/>
        </w:rPr>
        <w:t>. To determine whether TCL reduces oxidative stress, the MDA level and SOD activity were also examined, and we confirmed that treatment with TCL alleviates oxidative stress induced by chronic alcohol consumption.</w:t>
      </w:r>
    </w:p>
    <w:p w14:paraId="6FCFAF22" w14:textId="77777777" w:rsidR="00E05BA3" w:rsidRPr="001409F0" w:rsidRDefault="00E05BA3" w:rsidP="001409F0">
      <w:pPr>
        <w:adjustRightInd w:val="0"/>
        <w:snapToGrid w:val="0"/>
        <w:spacing w:line="360" w:lineRule="auto"/>
        <w:ind w:firstLineChars="100" w:firstLine="200"/>
        <w:rPr>
          <w:rFonts w:ascii="Book Antiqua" w:hAnsi="Book Antiqua" w:cs="Arial"/>
        </w:rPr>
      </w:pPr>
      <w:r w:rsidRPr="001409F0">
        <w:rPr>
          <w:rFonts w:ascii="Book Antiqua" w:hAnsi="Book Antiqua" w:cs="Arial"/>
        </w:rPr>
        <w:t>In conclusion, this study demonstrated that treatment with TCL (200 mg/kg BW) effectively alleviates chronic ethanol-induced liver injury. The protective effect of TCL might be associated with inhibition of the NLRP3-IL-1</w:t>
      </w:r>
      <w:r w:rsidRPr="00472ED2">
        <w:rPr>
          <w:rFonts w:ascii="Times New Roman" w:hAnsi="Times New Roman"/>
        </w:rPr>
        <w:t>β</w:t>
      </w:r>
      <w:r w:rsidRPr="001409F0">
        <w:rPr>
          <w:rFonts w:ascii="Book Antiqua" w:hAnsi="Book Antiqua" w:cs="Arial"/>
        </w:rPr>
        <w:t xml:space="preserve"> signaling pathway and reduction of oxidative stress. Our findings provide information that TCL</w:t>
      </w:r>
      <w:r w:rsidRPr="001409F0" w:rsidDel="00271753">
        <w:rPr>
          <w:rFonts w:ascii="Book Antiqua" w:hAnsi="Book Antiqua" w:cs="Arial"/>
          <w:i/>
        </w:rPr>
        <w:t xml:space="preserve"> </w:t>
      </w:r>
      <w:r w:rsidRPr="001409F0">
        <w:rPr>
          <w:rFonts w:ascii="Book Antiqua" w:hAnsi="Book Antiqua" w:cs="Arial"/>
        </w:rPr>
        <w:t>may be a potential candidate for prevention and treatment of ethanol-induced liver damage.</w:t>
      </w:r>
    </w:p>
    <w:p w14:paraId="6B063A2C" w14:textId="77777777" w:rsidR="00595852" w:rsidRPr="001409F0" w:rsidRDefault="00595852" w:rsidP="001409F0">
      <w:pPr>
        <w:widowControl/>
        <w:adjustRightInd w:val="0"/>
        <w:snapToGrid w:val="0"/>
        <w:spacing w:line="360" w:lineRule="auto"/>
        <w:rPr>
          <w:rFonts w:ascii="Book Antiqua" w:hAnsi="Book Antiqua" w:cs="Calibri"/>
          <w:lang w:eastAsia="en-US"/>
        </w:rPr>
      </w:pPr>
    </w:p>
    <w:p w14:paraId="68F28E50" w14:textId="77777777" w:rsidR="00595852" w:rsidRPr="001409F0" w:rsidRDefault="00595852" w:rsidP="001409F0">
      <w:pPr>
        <w:widowControl/>
        <w:adjustRightInd w:val="0"/>
        <w:snapToGrid w:val="0"/>
        <w:spacing w:line="360" w:lineRule="auto"/>
        <w:rPr>
          <w:rFonts w:ascii="Book Antiqua" w:hAnsi="Book Antiqua" w:cs="Calibri"/>
          <w:b/>
          <w:u w:val="single"/>
          <w:lang w:eastAsia="en-US"/>
        </w:rPr>
      </w:pPr>
      <w:bookmarkStart w:id="38" w:name="_Hlk29215933"/>
      <w:r w:rsidRPr="001409F0">
        <w:rPr>
          <w:rFonts w:ascii="Book Antiqua" w:hAnsi="Book Antiqua" w:cs="Calibri"/>
          <w:b/>
          <w:u w:val="single"/>
          <w:lang w:eastAsia="en-US"/>
        </w:rPr>
        <w:t>ARTICLE HIGHLIGHTS</w:t>
      </w:r>
    </w:p>
    <w:bookmarkEnd w:id="38"/>
    <w:p w14:paraId="2E6C9459" w14:textId="77777777" w:rsidR="00595852" w:rsidRPr="001409F0" w:rsidRDefault="00595852" w:rsidP="001409F0">
      <w:pPr>
        <w:widowControl/>
        <w:adjustRightInd w:val="0"/>
        <w:snapToGrid w:val="0"/>
        <w:spacing w:line="360" w:lineRule="auto"/>
        <w:rPr>
          <w:rFonts w:ascii="Book Antiqua" w:hAnsi="Book Antiqua" w:cs="Arial"/>
          <w:b/>
          <w:i/>
          <w:iCs/>
          <w:lang w:eastAsia="en-US"/>
        </w:rPr>
      </w:pPr>
      <w:r w:rsidRPr="001409F0">
        <w:rPr>
          <w:rFonts w:ascii="Book Antiqua" w:hAnsi="Book Antiqua" w:cs="Arial"/>
          <w:b/>
          <w:i/>
          <w:iCs/>
          <w:lang w:eastAsia="en-US"/>
        </w:rPr>
        <w:t>Research background</w:t>
      </w:r>
    </w:p>
    <w:p w14:paraId="0CAA4E6D" w14:textId="354E6C19" w:rsidR="00AF5732" w:rsidRPr="001409F0" w:rsidRDefault="00AF5732" w:rsidP="001409F0">
      <w:pPr>
        <w:adjustRightInd w:val="0"/>
        <w:snapToGrid w:val="0"/>
        <w:spacing w:line="360" w:lineRule="auto"/>
        <w:rPr>
          <w:rFonts w:ascii="Book Antiqua" w:hAnsi="Book Antiqua" w:cs="Arial"/>
        </w:rPr>
      </w:pPr>
      <w:r w:rsidRPr="001409F0">
        <w:rPr>
          <w:rFonts w:ascii="Book Antiqua" w:hAnsi="Book Antiqua" w:cs="Arial"/>
          <w:i/>
        </w:rPr>
        <w:t xml:space="preserve">Tamarix chinensis Lour </w:t>
      </w:r>
      <w:r w:rsidRPr="001409F0">
        <w:rPr>
          <w:rFonts w:ascii="Book Antiqua" w:hAnsi="Book Antiqua" w:cs="Arial"/>
        </w:rPr>
        <w:t xml:space="preserve">(TCL) is a shrub that usually grows in arid or semiarid desert areas and saline-alkali fields. It is a traditional Chinese herbal medicine with hepatoprotective, antioxidant, antibacterial, </w:t>
      </w:r>
      <w:r w:rsidRPr="001409F0">
        <w:rPr>
          <w:rFonts w:ascii="Book Antiqua" w:hAnsi="Book Antiqua" w:cs="Arial"/>
        </w:rPr>
        <w:lastRenderedPageBreak/>
        <w:t>and antitumor activities.</w:t>
      </w:r>
    </w:p>
    <w:p w14:paraId="7C8F5E9F" w14:textId="77777777" w:rsidR="00AF5732" w:rsidRPr="001409F0" w:rsidRDefault="00AF5732" w:rsidP="001409F0">
      <w:pPr>
        <w:adjustRightInd w:val="0"/>
        <w:snapToGrid w:val="0"/>
        <w:spacing w:line="360" w:lineRule="auto"/>
        <w:rPr>
          <w:rFonts w:ascii="Book Antiqua" w:hAnsi="Book Antiqua" w:cs="Arial"/>
        </w:rPr>
      </w:pPr>
    </w:p>
    <w:p w14:paraId="7F2C7EA0" w14:textId="77777777" w:rsidR="00595852" w:rsidRPr="001409F0" w:rsidRDefault="00595852" w:rsidP="001409F0">
      <w:pPr>
        <w:widowControl/>
        <w:adjustRightInd w:val="0"/>
        <w:snapToGrid w:val="0"/>
        <w:spacing w:line="360" w:lineRule="auto"/>
        <w:rPr>
          <w:rFonts w:ascii="Book Antiqua" w:hAnsi="Book Antiqua" w:cs="Arial"/>
          <w:b/>
          <w:i/>
          <w:iCs/>
          <w:lang w:eastAsia="en-US"/>
        </w:rPr>
      </w:pPr>
      <w:r w:rsidRPr="001409F0">
        <w:rPr>
          <w:rFonts w:ascii="Book Antiqua" w:hAnsi="Book Antiqua" w:cs="Arial"/>
          <w:b/>
          <w:i/>
          <w:iCs/>
          <w:lang w:eastAsia="en-US"/>
        </w:rPr>
        <w:t>Research motivation</w:t>
      </w:r>
    </w:p>
    <w:p w14:paraId="341DBE73" w14:textId="77777777" w:rsidR="00AF5732" w:rsidRPr="001409F0" w:rsidRDefault="00AF5732" w:rsidP="001409F0">
      <w:pPr>
        <w:adjustRightInd w:val="0"/>
        <w:snapToGrid w:val="0"/>
        <w:spacing w:line="360" w:lineRule="auto"/>
        <w:rPr>
          <w:rFonts w:ascii="Book Antiqua" w:hAnsi="Book Antiqua" w:cs="Arial"/>
        </w:rPr>
      </w:pPr>
      <w:r w:rsidRPr="001409F0">
        <w:rPr>
          <w:rFonts w:ascii="Book Antiqua" w:hAnsi="Book Antiqua" w:cs="Arial"/>
        </w:rPr>
        <w:t>To investigate the possible protective effects of TCL</w:t>
      </w:r>
      <w:r w:rsidRPr="001409F0" w:rsidDel="00416C42">
        <w:rPr>
          <w:rFonts w:ascii="Book Antiqua" w:hAnsi="Book Antiqua" w:cs="Arial"/>
          <w:i/>
        </w:rPr>
        <w:t xml:space="preserve"> </w:t>
      </w:r>
      <w:r w:rsidRPr="001409F0">
        <w:rPr>
          <w:rFonts w:ascii="Book Antiqua" w:hAnsi="Book Antiqua" w:cs="Arial"/>
        </w:rPr>
        <w:t>against liver injury induced by chronic ethanol intake.</w:t>
      </w:r>
    </w:p>
    <w:p w14:paraId="74200DC0" w14:textId="77777777" w:rsidR="00AF5732" w:rsidRPr="001409F0" w:rsidRDefault="00AF5732" w:rsidP="001409F0">
      <w:pPr>
        <w:adjustRightInd w:val="0"/>
        <w:snapToGrid w:val="0"/>
        <w:spacing w:line="360" w:lineRule="auto"/>
        <w:rPr>
          <w:rFonts w:ascii="Book Antiqua" w:hAnsi="Book Antiqua" w:cs="Arial"/>
        </w:rPr>
      </w:pPr>
    </w:p>
    <w:p w14:paraId="7B871366" w14:textId="77777777" w:rsidR="00595852" w:rsidRPr="001409F0" w:rsidRDefault="00595852" w:rsidP="001409F0">
      <w:pPr>
        <w:widowControl/>
        <w:adjustRightInd w:val="0"/>
        <w:snapToGrid w:val="0"/>
        <w:spacing w:line="360" w:lineRule="auto"/>
        <w:rPr>
          <w:rFonts w:ascii="Book Antiqua" w:hAnsi="Book Antiqua" w:cs="Arial"/>
          <w:b/>
          <w:i/>
          <w:iCs/>
          <w:lang w:eastAsia="en-US"/>
        </w:rPr>
      </w:pPr>
      <w:r w:rsidRPr="001409F0">
        <w:rPr>
          <w:rFonts w:ascii="Book Antiqua" w:hAnsi="Book Antiqua" w:cs="Arial"/>
          <w:b/>
          <w:i/>
          <w:iCs/>
          <w:lang w:eastAsia="en-US"/>
        </w:rPr>
        <w:t>Research objectives</w:t>
      </w:r>
    </w:p>
    <w:p w14:paraId="376D5C3B" w14:textId="0D4FA25D" w:rsidR="00AF5732" w:rsidRPr="001409F0" w:rsidRDefault="00AF5732" w:rsidP="001409F0">
      <w:pPr>
        <w:adjustRightInd w:val="0"/>
        <w:snapToGrid w:val="0"/>
        <w:spacing w:line="360" w:lineRule="auto"/>
        <w:rPr>
          <w:rFonts w:ascii="Book Antiqua" w:hAnsi="Book Antiqua" w:cs="Arial"/>
        </w:rPr>
      </w:pPr>
      <w:r w:rsidRPr="001409F0">
        <w:rPr>
          <w:rFonts w:ascii="Book Antiqua" w:hAnsi="Book Antiqua" w:cs="Arial"/>
        </w:rPr>
        <w:t xml:space="preserve">Eighty C57BL/6J male mice (8-10 wk old) were purchased from Beijing HFK Bioscience Co. Ltd. (Beijing, China). </w:t>
      </w:r>
    </w:p>
    <w:p w14:paraId="7978200B" w14:textId="77777777" w:rsidR="00AF5732" w:rsidRPr="001409F0" w:rsidRDefault="00AF5732" w:rsidP="001409F0">
      <w:pPr>
        <w:adjustRightInd w:val="0"/>
        <w:snapToGrid w:val="0"/>
        <w:spacing w:line="360" w:lineRule="auto"/>
        <w:rPr>
          <w:rFonts w:ascii="Book Antiqua" w:hAnsi="Book Antiqua" w:cs="Arial"/>
        </w:rPr>
      </w:pPr>
    </w:p>
    <w:p w14:paraId="1B5202B9" w14:textId="77777777" w:rsidR="00595852" w:rsidRPr="001409F0" w:rsidRDefault="00595852" w:rsidP="001409F0">
      <w:pPr>
        <w:widowControl/>
        <w:adjustRightInd w:val="0"/>
        <w:snapToGrid w:val="0"/>
        <w:spacing w:line="360" w:lineRule="auto"/>
        <w:rPr>
          <w:rFonts w:ascii="Book Antiqua" w:hAnsi="Book Antiqua" w:cs="Arial"/>
          <w:b/>
          <w:i/>
          <w:iCs/>
          <w:lang w:eastAsia="en-US"/>
        </w:rPr>
      </w:pPr>
      <w:r w:rsidRPr="001409F0">
        <w:rPr>
          <w:rFonts w:ascii="Book Antiqua" w:hAnsi="Book Antiqua" w:cs="Arial"/>
          <w:b/>
          <w:i/>
          <w:iCs/>
          <w:lang w:eastAsia="en-US"/>
        </w:rPr>
        <w:t>Research methods</w:t>
      </w:r>
    </w:p>
    <w:p w14:paraId="1C20219C" w14:textId="3A7045A2" w:rsidR="00AF5732" w:rsidRPr="001409F0" w:rsidRDefault="00AF5732" w:rsidP="001409F0">
      <w:pPr>
        <w:adjustRightInd w:val="0"/>
        <w:snapToGrid w:val="0"/>
        <w:spacing w:line="360" w:lineRule="auto"/>
        <w:rPr>
          <w:rFonts w:ascii="Book Antiqua" w:hAnsi="Book Antiqua" w:cs="Arial"/>
        </w:rPr>
      </w:pPr>
      <w:r w:rsidRPr="001409F0">
        <w:rPr>
          <w:rFonts w:ascii="Book Antiqua" w:hAnsi="Book Antiqua" w:cs="Arial"/>
        </w:rPr>
        <w:t>The mice were randomly assigned to the following 5 groups: control</w:t>
      </w:r>
      <w:r w:rsidR="00516D69" w:rsidRPr="001409F0">
        <w:rPr>
          <w:rFonts w:ascii="Book Antiqua" w:hAnsi="Book Antiqua" w:cs="Arial"/>
        </w:rPr>
        <w:t xml:space="preserve"> (Ctrl)</w:t>
      </w:r>
      <w:r w:rsidRPr="001409F0">
        <w:rPr>
          <w:rFonts w:ascii="Book Antiqua" w:hAnsi="Book Antiqua" w:cs="Arial"/>
        </w:rPr>
        <w:t xml:space="preserve"> group, ethanol (EtOH)</w:t>
      </w:r>
      <w:r w:rsidR="00516D69" w:rsidRPr="001409F0">
        <w:rPr>
          <w:rFonts w:ascii="Book Antiqua" w:hAnsi="Book Antiqua" w:cs="Arial"/>
        </w:rPr>
        <w:t xml:space="preserve"> group</w:t>
      </w:r>
      <w:r w:rsidRPr="001409F0">
        <w:rPr>
          <w:rFonts w:ascii="Book Antiqua" w:hAnsi="Book Antiqua" w:cs="Arial"/>
        </w:rPr>
        <w:t xml:space="preserve">, reduced glutathione </w:t>
      </w:r>
      <w:r w:rsidR="002C580F" w:rsidRPr="001409F0">
        <w:rPr>
          <w:rFonts w:ascii="Book Antiqua" w:hAnsi="Book Antiqua" w:cs="Arial"/>
        </w:rPr>
        <w:t>(</w:t>
      </w:r>
      <w:r w:rsidR="00F76F9D" w:rsidRPr="001409F0">
        <w:rPr>
          <w:rFonts w:ascii="Book Antiqua" w:hAnsi="Book Antiqua" w:cs="Arial"/>
        </w:rPr>
        <w:t>GSH</w:t>
      </w:r>
      <w:r w:rsidR="002C580F" w:rsidRPr="001409F0">
        <w:rPr>
          <w:rFonts w:ascii="Book Antiqua" w:hAnsi="Book Antiqua" w:cs="Arial"/>
        </w:rPr>
        <w:t>)</w:t>
      </w:r>
      <w:r w:rsidR="00F76F9D" w:rsidRPr="001409F0">
        <w:rPr>
          <w:rFonts w:ascii="Book Antiqua" w:hAnsi="Book Antiqua" w:cs="Arial"/>
        </w:rPr>
        <w:t xml:space="preserve"> </w:t>
      </w:r>
      <w:r w:rsidRPr="001409F0">
        <w:rPr>
          <w:rFonts w:ascii="Book Antiqua" w:hAnsi="Book Antiqua" w:cs="Arial"/>
        </w:rPr>
        <w:t xml:space="preserve">group as the positive </w:t>
      </w:r>
      <w:r w:rsidR="00C45A9F" w:rsidRPr="001409F0">
        <w:rPr>
          <w:rFonts w:ascii="Book Antiqua" w:hAnsi="Book Antiqua" w:cs="Arial"/>
        </w:rPr>
        <w:t xml:space="preserve">Ctrl </w:t>
      </w:r>
      <w:r w:rsidRPr="001409F0">
        <w:rPr>
          <w:rFonts w:ascii="Book Antiqua" w:hAnsi="Book Antiqua" w:cs="Arial"/>
        </w:rPr>
        <w:t>(EtOH</w:t>
      </w:r>
      <w:r w:rsidR="00205947">
        <w:rPr>
          <w:rFonts w:ascii="Book Antiqua" w:hAnsi="Book Antiqua" w:cs="Arial"/>
        </w:rPr>
        <w:t xml:space="preserve"> </w:t>
      </w:r>
      <w:r w:rsidRPr="001409F0">
        <w:rPr>
          <w:rFonts w:ascii="Book Antiqua" w:hAnsi="Book Antiqua" w:cs="Arial"/>
        </w:rPr>
        <w:t>+</w:t>
      </w:r>
      <w:r w:rsidR="00205947">
        <w:rPr>
          <w:rFonts w:ascii="Book Antiqua" w:hAnsi="Book Antiqua" w:cs="Arial"/>
        </w:rPr>
        <w:t xml:space="preserve"> </w:t>
      </w:r>
      <w:r w:rsidRPr="001409F0">
        <w:rPr>
          <w:rFonts w:ascii="Book Antiqua" w:hAnsi="Book Antiqua" w:cs="Arial"/>
        </w:rPr>
        <w:t xml:space="preserve">GSH at 86 mg/kg BW), and </w:t>
      </w:r>
      <w:r w:rsidR="002C580F" w:rsidRPr="001409F0">
        <w:rPr>
          <w:rFonts w:ascii="Book Antiqua" w:hAnsi="Book Antiqua" w:cs="Arial"/>
        </w:rPr>
        <w:t>two</w:t>
      </w:r>
      <w:r w:rsidRPr="001409F0">
        <w:rPr>
          <w:rFonts w:ascii="Book Antiqua" w:hAnsi="Book Antiqua" w:cs="Arial"/>
        </w:rPr>
        <w:t xml:space="preserve"> TCL</w:t>
      </w:r>
      <w:r w:rsidRPr="001409F0" w:rsidDel="009C65DF">
        <w:rPr>
          <w:rFonts w:ascii="Book Antiqua" w:hAnsi="Book Antiqua" w:cs="Arial"/>
          <w:i/>
        </w:rPr>
        <w:t xml:space="preserve"> </w:t>
      </w:r>
      <w:r w:rsidRPr="001409F0">
        <w:rPr>
          <w:rFonts w:ascii="Book Antiqua" w:hAnsi="Book Antiqua" w:cs="Arial"/>
        </w:rPr>
        <w:t>groups (EtOH</w:t>
      </w:r>
      <w:r w:rsidR="00205947">
        <w:rPr>
          <w:rFonts w:ascii="Book Antiqua" w:hAnsi="Book Antiqua" w:cs="Arial"/>
        </w:rPr>
        <w:t xml:space="preserve"> </w:t>
      </w:r>
      <w:r w:rsidRPr="001409F0">
        <w:rPr>
          <w:rFonts w:ascii="Book Antiqua" w:hAnsi="Book Antiqua" w:cs="Arial"/>
        </w:rPr>
        <w:t>+</w:t>
      </w:r>
      <w:r w:rsidR="00205947">
        <w:rPr>
          <w:rFonts w:ascii="Book Antiqua" w:hAnsi="Book Antiqua" w:cs="Arial"/>
        </w:rPr>
        <w:t xml:space="preserve"> </w:t>
      </w:r>
      <w:r w:rsidRPr="001409F0">
        <w:rPr>
          <w:rFonts w:ascii="Book Antiqua" w:hAnsi="Book Antiqua" w:cs="Arial"/>
        </w:rPr>
        <w:t>TCL-L at 100 mg/kg BW and EtOH+TCL-H at 200 mg/kg BW).</w:t>
      </w:r>
      <w:r w:rsidR="00063795" w:rsidRPr="001409F0">
        <w:rPr>
          <w:rFonts w:ascii="Book Antiqua" w:hAnsi="Book Antiqua" w:cs="Arial"/>
        </w:rPr>
        <w:t xml:space="preserve"> </w:t>
      </w:r>
      <w:r w:rsidRPr="001409F0">
        <w:rPr>
          <w:rFonts w:ascii="Book Antiqua" w:hAnsi="Book Antiqua" w:cs="Arial"/>
        </w:rPr>
        <w:t>Histological examination of the liver was done after staining sections with hematoxylin-eosin</w:t>
      </w:r>
      <w:r w:rsidR="00063795" w:rsidRPr="001409F0">
        <w:rPr>
          <w:rFonts w:ascii="Book Antiqua" w:hAnsi="Book Antiqua" w:cs="Arial"/>
        </w:rPr>
        <w:t xml:space="preserve">. </w:t>
      </w:r>
      <w:r w:rsidRPr="001409F0">
        <w:rPr>
          <w:rFonts w:ascii="Book Antiqua" w:hAnsi="Book Antiqua" w:cs="Arial"/>
        </w:rPr>
        <w:t>Alanine aminotransferase and aspartate aminotransferase are commonly used as biochemical indicators of liver injury</w:t>
      </w:r>
      <w:r w:rsidR="00063795" w:rsidRPr="001409F0">
        <w:rPr>
          <w:rFonts w:ascii="Book Antiqua" w:hAnsi="Book Antiqua" w:cs="Arial"/>
        </w:rPr>
        <w:t>. TCL</w:t>
      </w:r>
      <w:r w:rsidRPr="001409F0">
        <w:rPr>
          <w:rFonts w:ascii="Book Antiqua" w:hAnsi="Book Antiqua" w:cs="Arial"/>
        </w:rPr>
        <w:t xml:space="preserve"> inhibits hepatic expression of </w:t>
      </w:r>
      <w:r w:rsidR="00063795" w:rsidRPr="001409F0">
        <w:rPr>
          <w:rFonts w:ascii="Book Antiqua" w:hAnsi="Book Antiqua" w:cs="Arial"/>
        </w:rPr>
        <w:t>NOD-like receptor family, pyrin domain containing 3 (NLRP3)</w:t>
      </w:r>
      <w:r w:rsidRPr="001409F0">
        <w:rPr>
          <w:rFonts w:ascii="Book Antiqua" w:hAnsi="Book Antiqua" w:cs="Arial"/>
        </w:rPr>
        <w:t xml:space="preserve">, </w:t>
      </w:r>
      <w:r w:rsidR="00063795" w:rsidRPr="001409F0">
        <w:rPr>
          <w:rFonts w:ascii="Book Antiqua" w:hAnsi="Book Antiqua" w:cs="Arial"/>
        </w:rPr>
        <w:t>apoptosis-associated speck-like protein (ASC)</w:t>
      </w:r>
      <w:r w:rsidRPr="001409F0">
        <w:rPr>
          <w:rFonts w:ascii="Book Antiqua" w:hAnsi="Book Antiqua" w:cs="Arial"/>
        </w:rPr>
        <w:t xml:space="preserve">, caspase-1, and </w:t>
      </w:r>
      <w:r w:rsidR="00063795" w:rsidRPr="001409F0">
        <w:rPr>
          <w:rFonts w:ascii="Book Antiqua" w:hAnsi="Book Antiqua" w:cs="Arial"/>
        </w:rPr>
        <w:t>interleukin (IL)</w:t>
      </w:r>
      <w:r w:rsidRPr="001409F0">
        <w:rPr>
          <w:rFonts w:ascii="Book Antiqua" w:hAnsi="Book Antiqua" w:cs="Arial"/>
        </w:rPr>
        <w:t>-1</w:t>
      </w:r>
      <w:r w:rsidRPr="00472ED2">
        <w:rPr>
          <w:rFonts w:ascii="Times New Roman" w:hAnsi="Times New Roman"/>
        </w:rPr>
        <w:t>β</w:t>
      </w:r>
      <w:r w:rsidRPr="001409F0">
        <w:rPr>
          <w:rFonts w:ascii="Book Antiqua" w:hAnsi="Book Antiqua" w:cs="Arial"/>
        </w:rPr>
        <w:t xml:space="preserve"> at the transcriptional and protein levels by Western blotting</w:t>
      </w:r>
      <w:r w:rsidR="00063795" w:rsidRPr="001409F0">
        <w:rPr>
          <w:rFonts w:ascii="Book Antiqua" w:hAnsi="Book Antiqua" w:cs="Arial"/>
        </w:rPr>
        <w:t xml:space="preserve">. </w:t>
      </w:r>
      <w:r w:rsidRPr="001409F0">
        <w:rPr>
          <w:rFonts w:ascii="Book Antiqua" w:hAnsi="Book Antiqua" w:cs="Arial"/>
        </w:rPr>
        <w:t>Hepatic expression of NLRP3, ASC, caspase-1 and IL-1</w:t>
      </w:r>
      <w:r w:rsidRPr="00472ED2">
        <w:rPr>
          <w:rFonts w:ascii="Times New Roman" w:hAnsi="Times New Roman"/>
        </w:rPr>
        <w:t>β</w:t>
      </w:r>
      <w:r w:rsidRPr="001409F0">
        <w:rPr>
          <w:rFonts w:ascii="Book Antiqua" w:hAnsi="Book Antiqua" w:cs="Arial"/>
        </w:rPr>
        <w:t xml:space="preserve"> mRNA was also measured by quantitative PCR</w:t>
      </w:r>
      <w:r w:rsidR="00063795" w:rsidRPr="001409F0">
        <w:rPr>
          <w:rFonts w:ascii="Book Antiqua" w:hAnsi="Book Antiqua" w:cs="Arial"/>
        </w:rPr>
        <w:t xml:space="preserve">. </w:t>
      </w:r>
      <w:r w:rsidRPr="001409F0">
        <w:rPr>
          <w:rFonts w:ascii="Book Antiqua" w:hAnsi="Book Antiqua" w:cs="Arial"/>
        </w:rPr>
        <w:t>Hepatic lymphocytes were isolated by Discontinuous Percoll Gradient Centrifugation and immunostained with fluorescent antibodies (FITC-CD3 and PE-CY7-NK1.1). Fluorescence was detected by using a BD FACS caliber flow cytometry and data were analyzed with FLOW JO 7.6.1software.</w:t>
      </w:r>
      <w:r w:rsidR="00063795" w:rsidRPr="001409F0">
        <w:rPr>
          <w:rFonts w:ascii="Book Antiqua" w:hAnsi="Book Antiqua" w:cs="Arial"/>
        </w:rPr>
        <w:t xml:space="preserve"> </w:t>
      </w:r>
      <w:r w:rsidRPr="001409F0">
        <w:rPr>
          <w:rFonts w:ascii="Book Antiqua" w:hAnsi="Book Antiqua" w:cs="Arial"/>
        </w:rPr>
        <w:t>Liver homogenate was prepared and hepatic tissue levels of reactive oxygen species, malondialdehyde, and superoxide dismutase were determined by using commercial assay kits (Nanjing Jiancheng Bioengineering Institute, Nanjing, China)</w:t>
      </w:r>
      <w:r w:rsidR="00063795" w:rsidRPr="001409F0">
        <w:rPr>
          <w:rFonts w:ascii="Book Antiqua" w:hAnsi="Book Antiqua" w:cs="Arial"/>
        </w:rPr>
        <w:t xml:space="preserve">. </w:t>
      </w:r>
      <w:r w:rsidRPr="001409F0">
        <w:rPr>
          <w:rFonts w:ascii="Book Antiqua" w:hAnsi="Book Antiqua" w:cs="Arial"/>
        </w:rPr>
        <w:t>Statistical analyses were performed with SPSS 22.0 software. Values are expressed as the mean ±</w:t>
      </w:r>
      <w:r w:rsidR="00595852" w:rsidRPr="001409F0">
        <w:rPr>
          <w:rFonts w:ascii="Book Antiqua" w:hAnsi="Book Antiqua" w:cs="Arial"/>
        </w:rPr>
        <w:t xml:space="preserve"> </w:t>
      </w:r>
      <w:r w:rsidR="00853143" w:rsidRPr="001409F0">
        <w:rPr>
          <w:rFonts w:ascii="Book Antiqua" w:hAnsi="Book Antiqua" w:cs="Arial"/>
        </w:rPr>
        <w:t>standard deviation</w:t>
      </w:r>
      <w:r w:rsidRPr="001409F0">
        <w:rPr>
          <w:rFonts w:ascii="Book Antiqua" w:hAnsi="Book Antiqua" w:cs="Arial"/>
        </w:rPr>
        <w:t xml:space="preserve">. Between-group comparisons were evaluated by one-way </w:t>
      </w:r>
      <w:r w:rsidR="00853143" w:rsidRPr="001409F0">
        <w:rPr>
          <w:rFonts w:ascii="Book Antiqua" w:hAnsi="Book Antiqua" w:cs="Arial"/>
        </w:rPr>
        <w:t xml:space="preserve">analysis of variance </w:t>
      </w:r>
      <w:r w:rsidRPr="001409F0">
        <w:rPr>
          <w:rFonts w:ascii="Book Antiqua" w:hAnsi="Book Antiqua" w:cs="Arial"/>
        </w:rPr>
        <w:t xml:space="preserve">(with Dunnett's test and Bonferroni's multiple comparison test). Statistical significance was established at </w:t>
      </w:r>
      <w:r w:rsidR="00063795" w:rsidRPr="001409F0">
        <w:rPr>
          <w:rFonts w:ascii="Book Antiqua" w:hAnsi="Book Antiqua" w:cs="Arial"/>
          <w:i/>
          <w:iCs/>
        </w:rPr>
        <w:t xml:space="preserve">P </w:t>
      </w:r>
      <w:r w:rsidR="00063795" w:rsidRPr="001409F0">
        <w:rPr>
          <w:rFonts w:ascii="Book Antiqua" w:hAnsi="Book Antiqua" w:cs="Arial"/>
        </w:rPr>
        <w:t>&lt;</w:t>
      </w:r>
      <w:r w:rsidRPr="001409F0">
        <w:rPr>
          <w:rFonts w:ascii="Book Antiqua" w:hAnsi="Book Antiqua" w:cs="Arial"/>
        </w:rPr>
        <w:t xml:space="preserve"> 0.05. All experiments were performed</w:t>
      </w:r>
      <w:r w:rsidR="00853143" w:rsidRPr="001409F0">
        <w:rPr>
          <w:rFonts w:ascii="Book Antiqua" w:hAnsi="Book Antiqua" w:cs="Arial"/>
        </w:rPr>
        <w:t xml:space="preserve"> at least</w:t>
      </w:r>
      <w:r w:rsidRPr="001409F0">
        <w:rPr>
          <w:rFonts w:ascii="Book Antiqua" w:hAnsi="Book Antiqua" w:cs="Arial"/>
        </w:rPr>
        <w:t xml:space="preserve"> in triplicate.</w:t>
      </w:r>
    </w:p>
    <w:p w14:paraId="17B62E5F" w14:textId="77777777" w:rsidR="00AF5732" w:rsidRPr="001409F0" w:rsidRDefault="00AF5732" w:rsidP="001409F0">
      <w:pPr>
        <w:adjustRightInd w:val="0"/>
        <w:snapToGrid w:val="0"/>
        <w:spacing w:line="360" w:lineRule="auto"/>
        <w:rPr>
          <w:rFonts w:ascii="Book Antiqua" w:hAnsi="Book Antiqua" w:cs="Arial"/>
        </w:rPr>
      </w:pPr>
    </w:p>
    <w:p w14:paraId="258EE04C" w14:textId="77777777" w:rsidR="00595852" w:rsidRPr="001409F0" w:rsidRDefault="00595852" w:rsidP="001409F0">
      <w:pPr>
        <w:widowControl/>
        <w:adjustRightInd w:val="0"/>
        <w:snapToGrid w:val="0"/>
        <w:spacing w:line="360" w:lineRule="auto"/>
        <w:rPr>
          <w:rFonts w:ascii="Book Antiqua" w:hAnsi="Book Antiqua" w:cs="Arial"/>
          <w:b/>
          <w:i/>
          <w:iCs/>
          <w:lang w:eastAsia="en-US"/>
        </w:rPr>
      </w:pPr>
      <w:r w:rsidRPr="001409F0">
        <w:rPr>
          <w:rFonts w:ascii="Book Antiqua" w:hAnsi="Book Antiqua" w:cs="Arial"/>
          <w:b/>
          <w:i/>
          <w:iCs/>
          <w:lang w:eastAsia="en-US"/>
        </w:rPr>
        <w:t>Research results</w:t>
      </w:r>
    </w:p>
    <w:p w14:paraId="67106311" w14:textId="00327D1E" w:rsidR="00AF5732" w:rsidRPr="001409F0" w:rsidRDefault="00AF5732" w:rsidP="001409F0">
      <w:pPr>
        <w:adjustRightInd w:val="0"/>
        <w:snapToGrid w:val="0"/>
        <w:spacing w:line="360" w:lineRule="auto"/>
        <w:rPr>
          <w:rFonts w:ascii="Book Antiqua" w:hAnsi="Book Antiqua" w:cs="Arial"/>
        </w:rPr>
      </w:pPr>
      <w:r w:rsidRPr="001409F0">
        <w:rPr>
          <w:rFonts w:ascii="Book Antiqua" w:hAnsi="Book Antiqua" w:cs="Arial"/>
        </w:rPr>
        <w:t xml:space="preserve">Compared with the ethanol group, mice in the TCL-treated group (200 mg/kg) had significantly lower serum levels of </w:t>
      </w:r>
      <w:r w:rsidR="00063795" w:rsidRPr="001409F0">
        <w:rPr>
          <w:rFonts w:ascii="Book Antiqua" w:hAnsi="Book Antiqua" w:cs="Arial"/>
        </w:rPr>
        <w:t>alanine aminotransferase</w:t>
      </w:r>
      <w:r w:rsidRPr="001409F0">
        <w:rPr>
          <w:rFonts w:ascii="Book Antiqua" w:hAnsi="Book Antiqua" w:cs="Arial"/>
        </w:rPr>
        <w:t xml:space="preserve"> (mean, 34.1 IU/L </w:t>
      </w:r>
      <w:r w:rsidRPr="001409F0">
        <w:rPr>
          <w:rFonts w:ascii="Book Antiqua" w:hAnsi="Book Antiqua" w:cs="Arial"/>
          <w:i/>
          <w:iCs/>
        </w:rPr>
        <w:t>vs</w:t>
      </w:r>
      <w:r w:rsidRPr="001409F0">
        <w:rPr>
          <w:rFonts w:ascii="Book Antiqua" w:hAnsi="Book Antiqua" w:cs="Arial"/>
        </w:rPr>
        <w:t xml:space="preserve"> 45.3 IU/L, </w:t>
      </w:r>
      <w:r w:rsidR="00595852" w:rsidRPr="001409F0">
        <w:rPr>
          <w:rFonts w:ascii="Book Antiqua" w:hAnsi="Book Antiqua" w:cs="Arial"/>
          <w:i/>
          <w:iCs/>
        </w:rPr>
        <w:t xml:space="preserve">P </w:t>
      </w:r>
      <w:r w:rsidR="00595852" w:rsidRPr="001409F0">
        <w:rPr>
          <w:rFonts w:ascii="Book Antiqua" w:hAnsi="Book Antiqua" w:cs="Arial"/>
        </w:rPr>
        <w:t xml:space="preserve">&lt; </w:t>
      </w:r>
      <w:r w:rsidRPr="001409F0">
        <w:rPr>
          <w:rFonts w:ascii="Book Antiqua" w:hAnsi="Book Antiqua" w:cs="Arial"/>
        </w:rPr>
        <w:t xml:space="preserve">0.01) and </w:t>
      </w:r>
      <w:r w:rsidR="00063795" w:rsidRPr="001409F0">
        <w:rPr>
          <w:rFonts w:ascii="Book Antiqua" w:hAnsi="Book Antiqua" w:cs="Arial"/>
        </w:rPr>
        <w:t>aspartate aminotransferase</w:t>
      </w:r>
      <w:r w:rsidRPr="001409F0">
        <w:rPr>
          <w:rFonts w:ascii="Book Antiqua" w:hAnsi="Book Antiqua" w:cs="Arial"/>
        </w:rPr>
        <w:t xml:space="preserve"> (mean, 89.6 IU/L </w:t>
      </w:r>
      <w:r w:rsidRPr="001409F0">
        <w:rPr>
          <w:rFonts w:ascii="Book Antiqua" w:hAnsi="Book Antiqua" w:cs="Arial"/>
          <w:i/>
          <w:iCs/>
        </w:rPr>
        <w:t>vs</w:t>
      </w:r>
      <w:r w:rsidRPr="001409F0">
        <w:rPr>
          <w:rFonts w:ascii="Book Antiqua" w:hAnsi="Book Antiqua" w:cs="Arial"/>
        </w:rPr>
        <w:t xml:space="preserve"> 115.7 IU/L, </w:t>
      </w:r>
      <w:r w:rsidRPr="001409F0">
        <w:rPr>
          <w:rFonts w:ascii="Book Antiqua" w:hAnsi="Book Antiqua" w:cs="Arial"/>
          <w:i/>
          <w:iCs/>
        </w:rPr>
        <w:t>P</w:t>
      </w:r>
      <w:r w:rsidR="00595852" w:rsidRPr="001409F0">
        <w:rPr>
          <w:rFonts w:ascii="Book Antiqua" w:hAnsi="Book Antiqua" w:cs="Arial"/>
          <w:i/>
          <w:iCs/>
        </w:rPr>
        <w:t xml:space="preserve"> </w:t>
      </w:r>
      <w:r w:rsidRPr="001409F0">
        <w:rPr>
          <w:rFonts w:ascii="Book Antiqua" w:hAnsi="Book Antiqua" w:cs="Arial"/>
        </w:rPr>
        <w:t>&lt;</w:t>
      </w:r>
      <w:r w:rsidR="00595852" w:rsidRPr="001409F0">
        <w:rPr>
          <w:rFonts w:ascii="Book Antiqua" w:hAnsi="Book Antiqua" w:cs="Arial"/>
        </w:rPr>
        <w:t xml:space="preserve"> </w:t>
      </w:r>
      <w:r w:rsidRPr="001409F0">
        <w:rPr>
          <w:rFonts w:ascii="Book Antiqua" w:hAnsi="Book Antiqua" w:cs="Arial"/>
        </w:rPr>
        <w:t xml:space="preserve">0.01), as well as marked reduction of hepatic tissue </w:t>
      </w:r>
      <w:r w:rsidR="00063795" w:rsidRPr="001409F0">
        <w:rPr>
          <w:rFonts w:ascii="Book Antiqua" w:hAnsi="Book Antiqua" w:cs="Arial"/>
        </w:rPr>
        <w:t>reactive oxygen species</w:t>
      </w:r>
      <w:r w:rsidRPr="001409F0">
        <w:rPr>
          <w:rFonts w:ascii="Book Antiqua" w:hAnsi="Book Antiqua" w:cs="Arial"/>
        </w:rPr>
        <w:t xml:space="preserve"> (</w:t>
      </w:r>
      <w:r w:rsidRPr="001409F0">
        <w:rPr>
          <w:rFonts w:ascii="Book Antiqua" w:hAnsi="Book Antiqua" w:cs="Arial"/>
          <w:shd w:val="clear" w:color="auto" w:fill="FFFFFF"/>
        </w:rPr>
        <w:t>decreased by 27.5%,</w:t>
      </w:r>
      <w:r w:rsidRPr="001409F0">
        <w:rPr>
          <w:rFonts w:ascii="Book Antiqua" w:hAnsi="Book Antiqua" w:cs="Arial"/>
        </w:rPr>
        <w:t xml:space="preserve"> </w:t>
      </w:r>
      <w:r w:rsidR="00595852" w:rsidRPr="001409F0">
        <w:rPr>
          <w:rFonts w:ascii="Book Antiqua" w:hAnsi="Book Antiqua" w:cs="Arial"/>
          <w:i/>
          <w:iCs/>
        </w:rPr>
        <w:t xml:space="preserve">P </w:t>
      </w:r>
      <w:r w:rsidR="00595852" w:rsidRPr="001409F0">
        <w:rPr>
          <w:rFonts w:ascii="Book Antiqua" w:hAnsi="Book Antiqua" w:cs="Arial"/>
        </w:rPr>
        <w:t xml:space="preserve">&lt; </w:t>
      </w:r>
      <w:r w:rsidRPr="001409F0">
        <w:rPr>
          <w:rFonts w:ascii="Book Antiqua" w:hAnsi="Book Antiqua" w:cs="Arial"/>
        </w:rPr>
        <w:t xml:space="preserve">0.01) and </w:t>
      </w:r>
      <w:r w:rsidR="00063795" w:rsidRPr="001409F0">
        <w:rPr>
          <w:rFonts w:ascii="Book Antiqua" w:hAnsi="Book Antiqua" w:cs="Arial"/>
        </w:rPr>
        <w:t>malondialdehyde</w:t>
      </w:r>
      <w:r w:rsidRPr="001409F0">
        <w:rPr>
          <w:rFonts w:ascii="Book Antiqua" w:hAnsi="Book Antiqua" w:cs="Arial"/>
        </w:rPr>
        <w:t xml:space="preserve"> (</w:t>
      </w:r>
      <w:r w:rsidRPr="001409F0">
        <w:rPr>
          <w:rFonts w:ascii="Book Antiqua" w:hAnsi="Book Antiqua" w:cs="Arial"/>
          <w:shd w:val="clear" w:color="auto" w:fill="FFFFFF"/>
        </w:rPr>
        <w:t>decreased by 76.6%,</w:t>
      </w:r>
      <w:r w:rsidRPr="001409F0">
        <w:rPr>
          <w:rFonts w:ascii="Book Antiqua" w:hAnsi="Book Antiqua" w:cs="Arial"/>
        </w:rPr>
        <w:t xml:space="preserve"> </w:t>
      </w:r>
      <w:r w:rsidR="00595852" w:rsidRPr="001409F0">
        <w:rPr>
          <w:rFonts w:ascii="Book Antiqua" w:hAnsi="Book Antiqua" w:cs="Arial"/>
          <w:i/>
          <w:iCs/>
        </w:rPr>
        <w:t xml:space="preserve">P </w:t>
      </w:r>
      <w:r w:rsidR="00595852" w:rsidRPr="001409F0">
        <w:rPr>
          <w:rFonts w:ascii="Book Antiqua" w:hAnsi="Book Antiqua" w:cs="Arial"/>
        </w:rPr>
        <w:t xml:space="preserve">&lt; </w:t>
      </w:r>
      <w:r w:rsidRPr="001409F0">
        <w:rPr>
          <w:rFonts w:ascii="Book Antiqua" w:hAnsi="Book Antiqua" w:cs="Arial"/>
        </w:rPr>
        <w:t xml:space="preserve">0.01) levels, with a significant increase of </w:t>
      </w:r>
      <w:r w:rsidR="00063795" w:rsidRPr="001409F0">
        <w:rPr>
          <w:rFonts w:ascii="Book Antiqua" w:hAnsi="Book Antiqua" w:cs="Arial"/>
        </w:rPr>
        <w:t>superoxide dismutase</w:t>
      </w:r>
      <w:r w:rsidRPr="001409F0">
        <w:rPr>
          <w:rFonts w:ascii="Book Antiqua" w:hAnsi="Book Antiqua" w:cs="Arial"/>
        </w:rPr>
        <w:t xml:space="preserve"> (</w:t>
      </w:r>
      <w:r w:rsidRPr="001409F0">
        <w:rPr>
          <w:rFonts w:ascii="Book Antiqua" w:hAnsi="Book Antiqua" w:cs="Arial"/>
          <w:shd w:val="clear" w:color="auto" w:fill="FFFFFF"/>
        </w:rPr>
        <w:t>Increased by 73.2%,</w:t>
      </w:r>
      <w:r w:rsidRPr="001409F0">
        <w:rPr>
          <w:rFonts w:ascii="Book Antiqua" w:hAnsi="Book Antiqua" w:cs="Arial"/>
        </w:rPr>
        <w:t xml:space="preserve"> </w:t>
      </w:r>
      <w:r w:rsidR="00595852" w:rsidRPr="001409F0">
        <w:rPr>
          <w:rFonts w:ascii="Book Antiqua" w:hAnsi="Book Antiqua" w:cs="Arial"/>
          <w:i/>
          <w:iCs/>
        </w:rPr>
        <w:t xml:space="preserve">P </w:t>
      </w:r>
      <w:r w:rsidR="00595852" w:rsidRPr="001409F0">
        <w:rPr>
          <w:rFonts w:ascii="Book Antiqua" w:hAnsi="Book Antiqua" w:cs="Arial"/>
        </w:rPr>
        <w:t xml:space="preserve">&lt; </w:t>
      </w:r>
      <w:r w:rsidRPr="001409F0">
        <w:rPr>
          <w:rFonts w:ascii="Book Antiqua" w:hAnsi="Book Antiqua" w:cs="Arial"/>
        </w:rPr>
        <w:t>0.01). Expression of the NLRP3 inflammasome and its downstream cytokines (IL-1</w:t>
      </w:r>
      <w:r w:rsidRPr="00472ED2">
        <w:rPr>
          <w:rFonts w:ascii="Times New Roman" w:hAnsi="Times New Roman"/>
        </w:rPr>
        <w:t>β</w:t>
      </w:r>
      <w:r w:rsidRPr="001409F0">
        <w:rPr>
          <w:rFonts w:ascii="Book Antiqua" w:hAnsi="Book Antiqua" w:cs="Arial"/>
        </w:rPr>
        <w:t xml:space="preserve">, </w:t>
      </w:r>
      <w:r w:rsidR="00595852" w:rsidRPr="001409F0">
        <w:rPr>
          <w:rFonts w:ascii="Book Antiqua" w:hAnsi="Book Antiqua" w:cs="Arial"/>
        </w:rPr>
        <w:t>tumor necrosis factor</w:t>
      </w:r>
      <w:r w:rsidRPr="001409F0">
        <w:rPr>
          <w:rFonts w:ascii="Book Antiqua" w:hAnsi="Book Antiqua" w:cs="Arial"/>
        </w:rPr>
        <w:t>-</w:t>
      </w:r>
      <w:r w:rsidRPr="00472ED2">
        <w:rPr>
          <w:rFonts w:ascii="Times New Roman" w:hAnsi="Times New Roman"/>
        </w:rPr>
        <w:t>α</w:t>
      </w:r>
      <w:r w:rsidRPr="001409F0">
        <w:rPr>
          <w:rFonts w:ascii="Book Antiqua" w:hAnsi="Book Antiqua" w:cs="Arial"/>
        </w:rPr>
        <w:t xml:space="preserve">, and IL-6), and recruitment of natural killer T cells to the liver, were reduced in the TCL-treated </w:t>
      </w:r>
      <w:r w:rsidRPr="001409F0">
        <w:rPr>
          <w:rFonts w:ascii="Book Antiqua" w:hAnsi="Book Antiqua" w:cs="Arial"/>
        </w:rPr>
        <w:lastRenderedPageBreak/>
        <w:t>incubation with a Lieber-DeCaril ethanol lipid diet group.</w:t>
      </w:r>
    </w:p>
    <w:p w14:paraId="7AB5706B" w14:textId="77777777" w:rsidR="00AF5732" w:rsidRPr="001409F0" w:rsidRDefault="00AF5732" w:rsidP="001409F0">
      <w:pPr>
        <w:adjustRightInd w:val="0"/>
        <w:snapToGrid w:val="0"/>
        <w:spacing w:line="360" w:lineRule="auto"/>
        <w:rPr>
          <w:rFonts w:ascii="Book Antiqua" w:hAnsi="Book Antiqua" w:cs="Arial"/>
        </w:rPr>
      </w:pPr>
    </w:p>
    <w:p w14:paraId="023DE149" w14:textId="77777777" w:rsidR="00595852" w:rsidRPr="001409F0" w:rsidRDefault="00595852" w:rsidP="001409F0">
      <w:pPr>
        <w:widowControl/>
        <w:adjustRightInd w:val="0"/>
        <w:snapToGrid w:val="0"/>
        <w:spacing w:line="360" w:lineRule="auto"/>
        <w:rPr>
          <w:rFonts w:ascii="Book Antiqua" w:hAnsi="Book Antiqua" w:cs="Arial"/>
          <w:b/>
          <w:i/>
          <w:iCs/>
          <w:lang w:eastAsia="en-US"/>
        </w:rPr>
      </w:pPr>
      <w:r w:rsidRPr="001409F0">
        <w:rPr>
          <w:rFonts w:ascii="Book Antiqua" w:hAnsi="Book Antiqua" w:cs="Arial"/>
          <w:b/>
          <w:i/>
          <w:iCs/>
          <w:lang w:eastAsia="en-US"/>
        </w:rPr>
        <w:t>Research conclusions</w:t>
      </w:r>
    </w:p>
    <w:p w14:paraId="1F1FAAC6" w14:textId="77777777" w:rsidR="00AF5732" w:rsidRPr="001409F0" w:rsidRDefault="00AF5732" w:rsidP="001409F0">
      <w:pPr>
        <w:adjustRightInd w:val="0"/>
        <w:snapToGrid w:val="0"/>
        <w:spacing w:line="360" w:lineRule="auto"/>
        <w:rPr>
          <w:rFonts w:ascii="Book Antiqua" w:hAnsi="Book Antiqua" w:cs="Arial"/>
        </w:rPr>
      </w:pPr>
      <w:r w:rsidRPr="001409F0">
        <w:rPr>
          <w:rFonts w:ascii="Book Antiqua" w:hAnsi="Book Antiqua" w:cs="Arial"/>
        </w:rPr>
        <w:t>These findings suggest that a TCL</w:t>
      </w:r>
      <w:r w:rsidRPr="001409F0" w:rsidDel="007D1A3D">
        <w:rPr>
          <w:rFonts w:ascii="Book Antiqua" w:hAnsi="Book Antiqua" w:cs="Arial"/>
          <w:i/>
        </w:rPr>
        <w:t xml:space="preserve"> </w:t>
      </w:r>
      <w:r w:rsidRPr="001409F0">
        <w:rPr>
          <w:rFonts w:ascii="Book Antiqua" w:hAnsi="Book Antiqua" w:cs="Arial"/>
        </w:rPr>
        <w:t>extract (200 mg/kg) protects against chronic ethanol-induced liver injury, probably by inhibiting the NLRP3-caspase-1-IL-1</w:t>
      </w:r>
      <w:r w:rsidRPr="00472ED2">
        <w:rPr>
          <w:rFonts w:ascii="Times New Roman" w:hAnsi="Times New Roman"/>
        </w:rPr>
        <w:t>β</w:t>
      </w:r>
      <w:r w:rsidRPr="001409F0">
        <w:rPr>
          <w:rFonts w:ascii="Book Antiqua" w:hAnsi="Book Antiqua" w:cs="Arial"/>
        </w:rPr>
        <w:t xml:space="preserve"> signaling pathway and suppressing oxidative stress.</w:t>
      </w:r>
    </w:p>
    <w:p w14:paraId="1CE73111" w14:textId="77777777" w:rsidR="00AF5732" w:rsidRPr="001409F0" w:rsidRDefault="00AF5732" w:rsidP="001409F0">
      <w:pPr>
        <w:adjustRightInd w:val="0"/>
        <w:snapToGrid w:val="0"/>
        <w:spacing w:line="360" w:lineRule="auto"/>
        <w:rPr>
          <w:rFonts w:ascii="Book Antiqua" w:hAnsi="Book Antiqua" w:cs="Arial"/>
        </w:rPr>
      </w:pPr>
    </w:p>
    <w:p w14:paraId="4617DA6C" w14:textId="77777777" w:rsidR="00595852" w:rsidRPr="001409F0" w:rsidRDefault="00595852" w:rsidP="001409F0">
      <w:pPr>
        <w:widowControl/>
        <w:adjustRightInd w:val="0"/>
        <w:snapToGrid w:val="0"/>
        <w:spacing w:line="360" w:lineRule="auto"/>
        <w:rPr>
          <w:rFonts w:ascii="Book Antiqua" w:hAnsi="Book Antiqua" w:cs="Arial"/>
          <w:b/>
          <w:i/>
          <w:iCs/>
          <w:lang w:eastAsia="en-US"/>
        </w:rPr>
      </w:pPr>
      <w:r w:rsidRPr="001409F0">
        <w:rPr>
          <w:rFonts w:ascii="Book Antiqua" w:hAnsi="Book Antiqua" w:cs="Arial"/>
          <w:b/>
          <w:i/>
          <w:iCs/>
          <w:lang w:eastAsia="en-US"/>
        </w:rPr>
        <w:t>Research perspectives</w:t>
      </w:r>
    </w:p>
    <w:p w14:paraId="2F89FE65" w14:textId="270C02AE" w:rsidR="00E05BA3" w:rsidRPr="001409F0" w:rsidRDefault="00AF5732" w:rsidP="001409F0">
      <w:pPr>
        <w:adjustRightInd w:val="0"/>
        <w:snapToGrid w:val="0"/>
        <w:spacing w:line="360" w:lineRule="auto"/>
        <w:rPr>
          <w:rStyle w:val="ac"/>
          <w:rFonts w:ascii="Book Antiqua" w:hAnsi="Book Antiqua" w:cs="Arial"/>
          <w:bCs/>
        </w:rPr>
      </w:pPr>
      <w:r w:rsidRPr="001409F0">
        <w:rPr>
          <w:rFonts w:ascii="Book Antiqua" w:hAnsi="Book Antiqua" w:cs="Arial"/>
        </w:rPr>
        <w:t>Our findings provide information that TCL</w:t>
      </w:r>
      <w:r w:rsidRPr="001409F0" w:rsidDel="00271753">
        <w:rPr>
          <w:rFonts w:ascii="Book Antiqua" w:hAnsi="Book Antiqua" w:cs="Arial"/>
          <w:i/>
        </w:rPr>
        <w:t xml:space="preserve"> </w:t>
      </w:r>
      <w:r w:rsidRPr="001409F0">
        <w:rPr>
          <w:rFonts w:ascii="Book Antiqua" w:hAnsi="Book Antiqua" w:cs="Arial"/>
        </w:rPr>
        <w:t>may be a potential candidate for prevention and treatment of ethanol-induced liver damage.</w:t>
      </w:r>
    </w:p>
    <w:p w14:paraId="3FB79FF8" w14:textId="77777777" w:rsidR="00E05BA3" w:rsidRPr="001409F0" w:rsidRDefault="00E05BA3" w:rsidP="001409F0">
      <w:pPr>
        <w:adjustRightInd w:val="0"/>
        <w:snapToGrid w:val="0"/>
        <w:spacing w:line="360" w:lineRule="auto"/>
        <w:rPr>
          <w:rFonts w:ascii="Book Antiqua" w:hAnsi="Book Antiqua" w:cs="Arial"/>
          <w:b/>
        </w:rPr>
      </w:pPr>
    </w:p>
    <w:p w14:paraId="0280B9AD" w14:textId="77777777" w:rsidR="00E05BA3" w:rsidRPr="001409F0" w:rsidRDefault="00E05BA3" w:rsidP="001409F0">
      <w:pPr>
        <w:adjustRightInd w:val="0"/>
        <w:snapToGrid w:val="0"/>
        <w:spacing w:line="360" w:lineRule="auto"/>
        <w:rPr>
          <w:rFonts w:ascii="Book Antiqua" w:hAnsi="Book Antiqua" w:cs="Arial"/>
          <w:b/>
        </w:rPr>
      </w:pPr>
      <w:r w:rsidRPr="001409F0">
        <w:rPr>
          <w:rFonts w:ascii="Book Antiqua" w:hAnsi="Book Antiqua" w:cs="Arial"/>
          <w:b/>
        </w:rPr>
        <w:t>REFERENCES</w:t>
      </w:r>
    </w:p>
    <w:p w14:paraId="6F420C1D"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1 </w:t>
      </w:r>
      <w:r w:rsidRPr="001409F0">
        <w:rPr>
          <w:rFonts w:ascii="Book Antiqua" w:eastAsia="等线" w:hAnsi="Book Antiqua"/>
          <w:b/>
          <w:kern w:val="2"/>
        </w:rPr>
        <w:t>Torruellas C</w:t>
      </w:r>
      <w:r w:rsidRPr="001409F0">
        <w:rPr>
          <w:rFonts w:ascii="Book Antiqua" w:eastAsia="等线" w:hAnsi="Book Antiqua"/>
          <w:kern w:val="2"/>
        </w:rPr>
        <w:t xml:space="preserve">, French SW, Medici V. Diagnosis of alcoholic liver disease. </w:t>
      </w:r>
      <w:r w:rsidRPr="001409F0">
        <w:rPr>
          <w:rFonts w:ascii="Book Antiqua" w:eastAsia="等线" w:hAnsi="Book Antiqua"/>
          <w:i/>
          <w:kern w:val="2"/>
        </w:rPr>
        <w:t>World J Gastroenterol</w:t>
      </w:r>
      <w:r w:rsidRPr="001409F0">
        <w:rPr>
          <w:rFonts w:ascii="Book Antiqua" w:eastAsia="等线" w:hAnsi="Book Antiqua"/>
          <w:kern w:val="2"/>
        </w:rPr>
        <w:t xml:space="preserve"> 2014; </w:t>
      </w:r>
      <w:r w:rsidRPr="001409F0">
        <w:rPr>
          <w:rFonts w:ascii="Book Antiqua" w:eastAsia="等线" w:hAnsi="Book Antiqua"/>
          <w:b/>
          <w:kern w:val="2"/>
        </w:rPr>
        <w:t>20</w:t>
      </w:r>
      <w:r w:rsidRPr="001409F0">
        <w:rPr>
          <w:rFonts w:ascii="Book Antiqua" w:eastAsia="等线" w:hAnsi="Book Antiqua"/>
          <w:kern w:val="2"/>
        </w:rPr>
        <w:t>: 11684-11699 [PMID: 25206273 DOI: 10.3748/</w:t>
      </w:r>
      <w:proofErr w:type="gramStart"/>
      <w:r w:rsidRPr="001409F0">
        <w:rPr>
          <w:rFonts w:ascii="Book Antiqua" w:eastAsia="等线" w:hAnsi="Book Antiqua"/>
          <w:kern w:val="2"/>
        </w:rPr>
        <w:t>wjg.v20.i</w:t>
      </w:r>
      <w:proofErr w:type="gramEnd"/>
      <w:r w:rsidRPr="001409F0">
        <w:rPr>
          <w:rFonts w:ascii="Book Antiqua" w:eastAsia="等线" w:hAnsi="Book Antiqua"/>
          <w:kern w:val="2"/>
        </w:rPr>
        <w:t>33.11684]</w:t>
      </w:r>
    </w:p>
    <w:p w14:paraId="53D79DCF"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2 </w:t>
      </w:r>
      <w:r w:rsidRPr="001409F0">
        <w:rPr>
          <w:rFonts w:ascii="Book Antiqua" w:eastAsia="等线" w:hAnsi="Book Antiqua"/>
          <w:b/>
          <w:kern w:val="2"/>
        </w:rPr>
        <w:t>Carvalho AF</w:t>
      </w:r>
      <w:r w:rsidRPr="001409F0">
        <w:rPr>
          <w:rFonts w:ascii="Book Antiqua" w:eastAsia="等线" w:hAnsi="Book Antiqua"/>
          <w:kern w:val="2"/>
        </w:rPr>
        <w:t xml:space="preserve">, Heilig M, Perez A, Probst C, Rehm J. Alcohol use disorders. </w:t>
      </w:r>
      <w:r w:rsidRPr="001409F0">
        <w:rPr>
          <w:rFonts w:ascii="Book Antiqua" w:eastAsia="等线" w:hAnsi="Book Antiqua"/>
          <w:i/>
          <w:kern w:val="2"/>
        </w:rPr>
        <w:t>Lancet</w:t>
      </w:r>
      <w:r w:rsidRPr="001409F0">
        <w:rPr>
          <w:rFonts w:ascii="Book Antiqua" w:eastAsia="等线" w:hAnsi="Book Antiqua"/>
          <w:kern w:val="2"/>
        </w:rPr>
        <w:t xml:space="preserve"> 2019; </w:t>
      </w:r>
      <w:r w:rsidRPr="001409F0">
        <w:rPr>
          <w:rFonts w:ascii="Book Antiqua" w:eastAsia="等线" w:hAnsi="Book Antiqua"/>
          <w:b/>
          <w:kern w:val="2"/>
        </w:rPr>
        <w:t>394</w:t>
      </w:r>
      <w:r w:rsidRPr="001409F0">
        <w:rPr>
          <w:rFonts w:ascii="Book Antiqua" w:eastAsia="等线" w:hAnsi="Book Antiqua"/>
          <w:kern w:val="2"/>
        </w:rPr>
        <w:t>: 781-792 [PMID: 31478502 DOI: 10.1016/S0140-6736(19)31775-1]</w:t>
      </w:r>
    </w:p>
    <w:p w14:paraId="11CDEFFC"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3 </w:t>
      </w:r>
      <w:r w:rsidRPr="001409F0">
        <w:rPr>
          <w:rFonts w:ascii="Book Antiqua" w:eastAsia="等线" w:hAnsi="Book Antiqua"/>
          <w:b/>
          <w:kern w:val="2"/>
        </w:rPr>
        <w:t>Mandrekar P</w:t>
      </w:r>
      <w:r w:rsidRPr="001409F0">
        <w:rPr>
          <w:rFonts w:ascii="Book Antiqua" w:eastAsia="等线" w:hAnsi="Book Antiqua"/>
          <w:kern w:val="2"/>
        </w:rPr>
        <w:t xml:space="preserve">, Szabo G. Signalling pathways in alcohol-induced liver inflammation. </w:t>
      </w:r>
      <w:r w:rsidRPr="001409F0">
        <w:rPr>
          <w:rFonts w:ascii="Book Antiqua" w:eastAsia="等线" w:hAnsi="Book Antiqua"/>
          <w:i/>
          <w:kern w:val="2"/>
        </w:rPr>
        <w:t>J Hepatol</w:t>
      </w:r>
      <w:r w:rsidRPr="001409F0">
        <w:rPr>
          <w:rFonts w:ascii="Book Antiqua" w:eastAsia="等线" w:hAnsi="Book Antiqua"/>
          <w:kern w:val="2"/>
        </w:rPr>
        <w:t xml:space="preserve"> 2009; </w:t>
      </w:r>
      <w:r w:rsidRPr="001409F0">
        <w:rPr>
          <w:rFonts w:ascii="Book Antiqua" w:eastAsia="等线" w:hAnsi="Book Antiqua"/>
          <w:b/>
          <w:kern w:val="2"/>
        </w:rPr>
        <w:t>50</w:t>
      </w:r>
      <w:r w:rsidRPr="001409F0">
        <w:rPr>
          <w:rFonts w:ascii="Book Antiqua" w:eastAsia="等线" w:hAnsi="Book Antiqua"/>
          <w:kern w:val="2"/>
        </w:rPr>
        <w:t>: 1258-1266 [PMID: 19398236 DOI: 10.1016/j.jhep.2009.03.007]</w:t>
      </w:r>
    </w:p>
    <w:p w14:paraId="247C4B99"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4 </w:t>
      </w:r>
      <w:r w:rsidRPr="001409F0">
        <w:rPr>
          <w:rFonts w:ascii="Book Antiqua" w:eastAsia="等线" w:hAnsi="Book Antiqua"/>
          <w:b/>
          <w:kern w:val="2"/>
        </w:rPr>
        <w:t>Cui K</w:t>
      </w:r>
      <w:r w:rsidRPr="001409F0">
        <w:rPr>
          <w:rFonts w:ascii="Book Antiqua" w:eastAsia="等线" w:hAnsi="Book Antiqua"/>
          <w:kern w:val="2"/>
        </w:rPr>
        <w:t xml:space="preserve">, Yan G, Xu C, Chen Y, Wang J, Zhou R, Bai L, Lian Z, Wei H, Sun R, Tian Z. Invariant NKT cells promote alcohol-induced steatohepatitis through interleukin-1β in mice. </w:t>
      </w:r>
      <w:r w:rsidRPr="001409F0">
        <w:rPr>
          <w:rFonts w:ascii="Book Antiqua" w:eastAsia="等线" w:hAnsi="Book Antiqua"/>
          <w:i/>
          <w:kern w:val="2"/>
        </w:rPr>
        <w:t>J Hepatol</w:t>
      </w:r>
      <w:r w:rsidRPr="001409F0">
        <w:rPr>
          <w:rFonts w:ascii="Book Antiqua" w:eastAsia="等线" w:hAnsi="Book Antiqua"/>
          <w:kern w:val="2"/>
        </w:rPr>
        <w:t xml:space="preserve"> 2015; </w:t>
      </w:r>
      <w:r w:rsidRPr="001409F0">
        <w:rPr>
          <w:rFonts w:ascii="Book Antiqua" w:eastAsia="等线" w:hAnsi="Book Antiqua"/>
          <w:b/>
          <w:kern w:val="2"/>
        </w:rPr>
        <w:t>62</w:t>
      </w:r>
      <w:r w:rsidRPr="001409F0">
        <w:rPr>
          <w:rFonts w:ascii="Book Antiqua" w:eastAsia="等线" w:hAnsi="Book Antiqua"/>
          <w:kern w:val="2"/>
        </w:rPr>
        <w:t>: 1311-1318 [PMID: 25582105 DOI: 10.1016/j.jhep.2014.12.027]</w:t>
      </w:r>
    </w:p>
    <w:p w14:paraId="4F6CF723"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5 </w:t>
      </w:r>
      <w:r w:rsidRPr="001409F0">
        <w:rPr>
          <w:rFonts w:ascii="Book Antiqua" w:eastAsia="等线" w:hAnsi="Book Antiqua"/>
          <w:b/>
          <w:kern w:val="2"/>
        </w:rPr>
        <w:t>Ozaki E</w:t>
      </w:r>
      <w:r w:rsidRPr="001409F0">
        <w:rPr>
          <w:rFonts w:ascii="Book Antiqua" w:eastAsia="等线" w:hAnsi="Book Antiqua"/>
          <w:kern w:val="2"/>
        </w:rPr>
        <w:t xml:space="preserve">, Campbell M, Doyle SL. Targeting the NLRP3 inflammasome in chronic inflammatory diseases: current perspectives. </w:t>
      </w:r>
      <w:r w:rsidRPr="001409F0">
        <w:rPr>
          <w:rFonts w:ascii="Book Antiqua" w:eastAsia="等线" w:hAnsi="Book Antiqua"/>
          <w:i/>
          <w:kern w:val="2"/>
        </w:rPr>
        <w:t>J Inflamm Res</w:t>
      </w:r>
      <w:r w:rsidRPr="001409F0">
        <w:rPr>
          <w:rFonts w:ascii="Book Antiqua" w:eastAsia="等线" w:hAnsi="Book Antiqua"/>
          <w:kern w:val="2"/>
        </w:rPr>
        <w:t xml:space="preserve"> 2015; </w:t>
      </w:r>
      <w:r w:rsidRPr="001409F0">
        <w:rPr>
          <w:rFonts w:ascii="Book Antiqua" w:eastAsia="等线" w:hAnsi="Book Antiqua"/>
          <w:b/>
          <w:kern w:val="2"/>
        </w:rPr>
        <w:t>8</w:t>
      </w:r>
      <w:r w:rsidRPr="001409F0">
        <w:rPr>
          <w:rFonts w:ascii="Book Antiqua" w:eastAsia="等线" w:hAnsi="Book Antiqua"/>
          <w:kern w:val="2"/>
        </w:rPr>
        <w:t>: 15-27 [PMID: 25653548 DOI: 10.2147/JIR.S51250]</w:t>
      </w:r>
    </w:p>
    <w:p w14:paraId="2251C94A"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6 </w:t>
      </w:r>
      <w:r w:rsidRPr="001409F0">
        <w:rPr>
          <w:rFonts w:ascii="Book Antiqua" w:eastAsia="等线" w:hAnsi="Book Antiqua"/>
          <w:b/>
          <w:kern w:val="2"/>
        </w:rPr>
        <w:t>Lage SL</w:t>
      </w:r>
      <w:r w:rsidRPr="001409F0">
        <w:rPr>
          <w:rFonts w:ascii="Book Antiqua" w:eastAsia="等线" w:hAnsi="Book Antiqua"/>
          <w:kern w:val="2"/>
        </w:rPr>
        <w:t xml:space="preserve">, Longo C, Branco LM, da Costa TB, Buzzo Cde L, Bortoluci KR. Emerging Concepts about NAIP/NLRC4 Inflammasomes. </w:t>
      </w:r>
      <w:r w:rsidRPr="001409F0">
        <w:rPr>
          <w:rFonts w:ascii="Book Antiqua" w:eastAsia="等线" w:hAnsi="Book Antiqua"/>
          <w:i/>
          <w:kern w:val="2"/>
        </w:rPr>
        <w:t>Front Immunol</w:t>
      </w:r>
      <w:r w:rsidRPr="001409F0">
        <w:rPr>
          <w:rFonts w:ascii="Book Antiqua" w:eastAsia="等线" w:hAnsi="Book Antiqua"/>
          <w:kern w:val="2"/>
        </w:rPr>
        <w:t xml:space="preserve"> 2014; </w:t>
      </w:r>
      <w:r w:rsidRPr="001409F0">
        <w:rPr>
          <w:rFonts w:ascii="Book Antiqua" w:eastAsia="等线" w:hAnsi="Book Antiqua"/>
          <w:b/>
          <w:kern w:val="2"/>
        </w:rPr>
        <w:t>5</w:t>
      </w:r>
      <w:r w:rsidRPr="001409F0">
        <w:rPr>
          <w:rFonts w:ascii="Book Antiqua" w:eastAsia="等线" w:hAnsi="Book Antiqua"/>
          <w:kern w:val="2"/>
        </w:rPr>
        <w:t>: 309 [PMID: 25071770 DOI: 10.3389/fimmu.2014.00309]</w:t>
      </w:r>
    </w:p>
    <w:p w14:paraId="36A3F1FA"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7 </w:t>
      </w:r>
      <w:r w:rsidRPr="001409F0">
        <w:rPr>
          <w:rFonts w:ascii="Book Antiqua" w:eastAsia="等线" w:hAnsi="Book Antiqua"/>
          <w:b/>
          <w:kern w:val="2"/>
        </w:rPr>
        <w:t>Petrasek J</w:t>
      </w:r>
      <w:r w:rsidRPr="001409F0">
        <w:rPr>
          <w:rFonts w:ascii="Book Antiqua" w:eastAsia="等线" w:hAnsi="Book Antiqua"/>
          <w:kern w:val="2"/>
        </w:rPr>
        <w:t xml:space="preserve">, Bala S, Csak T, Lippai D, Kodys K, Menashy V, Barrieau M, Min SY, Kurt-Jones EA, Szabo G. IL-1 receptor antagonist ameliorates inflammasome-dependent alcoholic steatohepatitis in mice. </w:t>
      </w:r>
      <w:r w:rsidRPr="001409F0">
        <w:rPr>
          <w:rFonts w:ascii="Book Antiqua" w:eastAsia="等线" w:hAnsi="Book Antiqua"/>
          <w:i/>
          <w:kern w:val="2"/>
        </w:rPr>
        <w:t>J Clin Invest</w:t>
      </w:r>
      <w:r w:rsidRPr="001409F0">
        <w:rPr>
          <w:rFonts w:ascii="Book Antiqua" w:eastAsia="等线" w:hAnsi="Book Antiqua"/>
          <w:kern w:val="2"/>
        </w:rPr>
        <w:t xml:space="preserve"> 2012; </w:t>
      </w:r>
      <w:r w:rsidRPr="001409F0">
        <w:rPr>
          <w:rFonts w:ascii="Book Antiqua" w:eastAsia="等线" w:hAnsi="Book Antiqua"/>
          <w:b/>
          <w:kern w:val="2"/>
        </w:rPr>
        <w:t>122</w:t>
      </w:r>
      <w:r w:rsidRPr="001409F0">
        <w:rPr>
          <w:rFonts w:ascii="Book Antiqua" w:eastAsia="等线" w:hAnsi="Book Antiqua"/>
          <w:kern w:val="2"/>
        </w:rPr>
        <w:t>: 3476-3489 [PMID: 22945633 DOI: 10.1172/JCI60777]</w:t>
      </w:r>
    </w:p>
    <w:p w14:paraId="4A86D258"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8 </w:t>
      </w:r>
      <w:r w:rsidRPr="001409F0">
        <w:rPr>
          <w:rFonts w:ascii="Book Antiqua" w:eastAsia="等线" w:hAnsi="Book Antiqua"/>
          <w:b/>
          <w:kern w:val="2"/>
        </w:rPr>
        <w:t>Xiao J</w:t>
      </w:r>
      <w:r w:rsidRPr="001409F0">
        <w:rPr>
          <w:rFonts w:ascii="Book Antiqua" w:eastAsia="等线" w:hAnsi="Book Antiqua"/>
          <w:kern w:val="2"/>
        </w:rPr>
        <w:t xml:space="preserve">, Zhu Y, Liu Y, Tipoe GL, Xing F, So KF. Lycium barbarum polysaccharide attenuates alcoholic cellular injury through TXNIP-NLRP3 inflammasome pathway. </w:t>
      </w:r>
      <w:r w:rsidRPr="001409F0">
        <w:rPr>
          <w:rFonts w:ascii="Book Antiqua" w:eastAsia="等线" w:hAnsi="Book Antiqua"/>
          <w:i/>
          <w:kern w:val="2"/>
        </w:rPr>
        <w:t>Int J Biol Macromol</w:t>
      </w:r>
      <w:r w:rsidRPr="001409F0">
        <w:rPr>
          <w:rFonts w:ascii="Book Antiqua" w:eastAsia="等线" w:hAnsi="Book Antiqua"/>
          <w:kern w:val="2"/>
        </w:rPr>
        <w:t xml:space="preserve"> 2014; </w:t>
      </w:r>
      <w:r w:rsidRPr="001409F0">
        <w:rPr>
          <w:rFonts w:ascii="Book Antiqua" w:eastAsia="等线" w:hAnsi="Book Antiqua"/>
          <w:b/>
          <w:kern w:val="2"/>
        </w:rPr>
        <w:t>69</w:t>
      </w:r>
      <w:r w:rsidRPr="001409F0">
        <w:rPr>
          <w:rFonts w:ascii="Book Antiqua" w:eastAsia="等线" w:hAnsi="Book Antiqua"/>
          <w:kern w:val="2"/>
        </w:rPr>
        <w:t>: 73-78 [PMID: 24858535 DOI: 10.1016/j.ijbiomac.2014.05.034]</w:t>
      </w:r>
    </w:p>
    <w:p w14:paraId="31406199"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9 </w:t>
      </w:r>
      <w:r w:rsidRPr="001409F0">
        <w:rPr>
          <w:rFonts w:ascii="Book Antiqua" w:eastAsia="等线" w:hAnsi="Book Antiqua"/>
          <w:b/>
          <w:kern w:val="2"/>
        </w:rPr>
        <w:t>Kaiser JP</w:t>
      </w:r>
      <w:r w:rsidRPr="001409F0">
        <w:rPr>
          <w:rFonts w:ascii="Book Antiqua" w:eastAsia="等线" w:hAnsi="Book Antiqua"/>
          <w:kern w:val="2"/>
        </w:rPr>
        <w:t xml:space="preserve">, Beier JI, Zhang J, David Hoetker J, von Montfort C, Guo L, Zheng Y, Monia BP, Bhatnagar A, Arteel GE. PKCepsilon plays a causal role in acute ethanol-induced steatosis. </w:t>
      </w:r>
      <w:r w:rsidRPr="001409F0">
        <w:rPr>
          <w:rFonts w:ascii="Book Antiqua" w:eastAsia="等线" w:hAnsi="Book Antiqua"/>
          <w:i/>
          <w:kern w:val="2"/>
        </w:rPr>
        <w:t>Arch Biochem Biophys</w:t>
      </w:r>
      <w:r w:rsidRPr="001409F0">
        <w:rPr>
          <w:rFonts w:ascii="Book Antiqua" w:eastAsia="等线" w:hAnsi="Book Antiqua"/>
          <w:kern w:val="2"/>
        </w:rPr>
        <w:t xml:space="preserve"> 2009; </w:t>
      </w:r>
      <w:r w:rsidRPr="001409F0">
        <w:rPr>
          <w:rFonts w:ascii="Book Antiqua" w:eastAsia="等线" w:hAnsi="Book Antiqua"/>
          <w:b/>
          <w:kern w:val="2"/>
        </w:rPr>
        <w:t>482</w:t>
      </w:r>
      <w:r w:rsidRPr="001409F0">
        <w:rPr>
          <w:rFonts w:ascii="Book Antiqua" w:eastAsia="等线" w:hAnsi="Book Antiqua"/>
          <w:kern w:val="2"/>
        </w:rPr>
        <w:t>: 104-111 [PMID: 19022218 DOI: 10.1016/j.abb.2008.11.004]</w:t>
      </w:r>
    </w:p>
    <w:p w14:paraId="0DECE614"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10 </w:t>
      </w:r>
      <w:r w:rsidRPr="001409F0">
        <w:rPr>
          <w:rFonts w:ascii="Book Antiqua" w:eastAsia="等线" w:hAnsi="Book Antiqua"/>
          <w:b/>
          <w:kern w:val="2"/>
        </w:rPr>
        <w:t>Guan MJ</w:t>
      </w:r>
      <w:r w:rsidRPr="001409F0">
        <w:rPr>
          <w:rFonts w:ascii="Book Antiqua" w:eastAsia="等线" w:hAnsi="Book Antiqua"/>
          <w:kern w:val="2"/>
        </w:rPr>
        <w:t xml:space="preserve">, Zhao N, Xie KQ, Zeng T. Hepatoprotective effects of garlic against ethanol-induced liver injury: A mini-review. </w:t>
      </w:r>
      <w:r w:rsidRPr="001409F0">
        <w:rPr>
          <w:rFonts w:ascii="Book Antiqua" w:eastAsia="等线" w:hAnsi="Book Antiqua"/>
          <w:i/>
          <w:kern w:val="2"/>
        </w:rPr>
        <w:t>Food Chem Toxicol</w:t>
      </w:r>
      <w:r w:rsidRPr="001409F0">
        <w:rPr>
          <w:rFonts w:ascii="Book Antiqua" w:eastAsia="等线" w:hAnsi="Book Antiqua"/>
          <w:kern w:val="2"/>
        </w:rPr>
        <w:t xml:space="preserve"> 2018; </w:t>
      </w:r>
      <w:r w:rsidRPr="001409F0">
        <w:rPr>
          <w:rFonts w:ascii="Book Antiqua" w:eastAsia="等线" w:hAnsi="Book Antiqua"/>
          <w:b/>
          <w:kern w:val="2"/>
        </w:rPr>
        <w:t>111</w:t>
      </w:r>
      <w:r w:rsidRPr="001409F0">
        <w:rPr>
          <w:rFonts w:ascii="Book Antiqua" w:eastAsia="等线" w:hAnsi="Book Antiqua"/>
          <w:kern w:val="2"/>
        </w:rPr>
        <w:t>: 467-473 [PMID: 29208504 DOI: 10.1016/j.fct.2017.11.059]</w:t>
      </w:r>
    </w:p>
    <w:p w14:paraId="54434948"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lastRenderedPageBreak/>
        <w:t xml:space="preserve">11 </w:t>
      </w:r>
      <w:r w:rsidRPr="001409F0">
        <w:rPr>
          <w:rFonts w:ascii="Book Antiqua" w:eastAsia="等线" w:hAnsi="Book Antiqua"/>
          <w:b/>
          <w:kern w:val="2"/>
        </w:rPr>
        <w:t>Del Prete A</w:t>
      </w:r>
      <w:r w:rsidRPr="001409F0">
        <w:rPr>
          <w:rFonts w:ascii="Book Antiqua" w:eastAsia="等线" w:hAnsi="Book Antiqua"/>
          <w:kern w:val="2"/>
        </w:rPr>
        <w:t xml:space="preserve">, Scalera A, Iadevaia MD, Miranda A, Zulli C, Gaeta L, Tuccillo C, Federico A, Loguercio C. Herbal products: benefits, limits, and applications in chronic liver disease. </w:t>
      </w:r>
      <w:r w:rsidRPr="001409F0">
        <w:rPr>
          <w:rFonts w:ascii="Book Antiqua" w:eastAsia="等线" w:hAnsi="Book Antiqua"/>
          <w:i/>
          <w:kern w:val="2"/>
        </w:rPr>
        <w:t>Evid Based Complement Alternat Med</w:t>
      </w:r>
      <w:r w:rsidRPr="001409F0">
        <w:rPr>
          <w:rFonts w:ascii="Book Antiqua" w:eastAsia="等线" w:hAnsi="Book Antiqua"/>
          <w:kern w:val="2"/>
        </w:rPr>
        <w:t xml:space="preserve"> 2012; </w:t>
      </w:r>
      <w:r w:rsidRPr="001409F0">
        <w:rPr>
          <w:rFonts w:ascii="Book Antiqua" w:eastAsia="等线" w:hAnsi="Book Antiqua"/>
          <w:b/>
          <w:kern w:val="2"/>
        </w:rPr>
        <w:t>2012</w:t>
      </w:r>
      <w:r w:rsidRPr="001409F0">
        <w:rPr>
          <w:rFonts w:ascii="Book Antiqua" w:eastAsia="等线" w:hAnsi="Book Antiqua"/>
          <w:kern w:val="2"/>
        </w:rPr>
        <w:t>: 837939 [PMID: 22991573 DOI: 10.1155/2012/837939]</w:t>
      </w:r>
    </w:p>
    <w:p w14:paraId="345F3BF4"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12 </w:t>
      </w:r>
      <w:r w:rsidRPr="001409F0">
        <w:rPr>
          <w:rFonts w:ascii="Book Antiqua" w:eastAsia="等线" w:hAnsi="Book Antiqua"/>
          <w:b/>
          <w:kern w:val="2"/>
        </w:rPr>
        <w:t>Sultanova N</w:t>
      </w:r>
      <w:r w:rsidRPr="001409F0">
        <w:rPr>
          <w:rFonts w:ascii="Book Antiqua" w:eastAsia="等线" w:hAnsi="Book Antiqua"/>
          <w:kern w:val="2"/>
        </w:rPr>
        <w:t xml:space="preserve">, Makhmoor T, Yasin A, Abilov ZA, Omurkamzinova VB, Atta-ur-Rahman, Choudhary MI. Isotamarixen - a new antioxidant and prolyl endopeptidase-inhibiting triterpenoid from Tamarix hispida. </w:t>
      </w:r>
      <w:r w:rsidRPr="001409F0">
        <w:rPr>
          <w:rFonts w:ascii="Book Antiqua" w:eastAsia="等线" w:hAnsi="Book Antiqua"/>
          <w:i/>
          <w:kern w:val="2"/>
        </w:rPr>
        <w:t>Planta Med</w:t>
      </w:r>
      <w:r w:rsidRPr="001409F0">
        <w:rPr>
          <w:rFonts w:ascii="Book Antiqua" w:eastAsia="等线" w:hAnsi="Book Antiqua"/>
          <w:kern w:val="2"/>
        </w:rPr>
        <w:t xml:space="preserve"> 2004; </w:t>
      </w:r>
      <w:r w:rsidRPr="001409F0">
        <w:rPr>
          <w:rFonts w:ascii="Book Antiqua" w:eastAsia="等线" w:hAnsi="Book Antiqua"/>
          <w:b/>
          <w:kern w:val="2"/>
        </w:rPr>
        <w:t>70</w:t>
      </w:r>
      <w:r w:rsidRPr="001409F0">
        <w:rPr>
          <w:rFonts w:ascii="Book Antiqua" w:eastAsia="等线" w:hAnsi="Book Antiqua"/>
          <w:kern w:val="2"/>
        </w:rPr>
        <w:t>: 65-67 [PMID: 14765296 DOI: 10.1055/s-2004-815458]</w:t>
      </w:r>
    </w:p>
    <w:p w14:paraId="448BCF97"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13 </w:t>
      </w:r>
      <w:r w:rsidRPr="001409F0">
        <w:rPr>
          <w:rFonts w:ascii="Book Antiqua" w:eastAsia="等线" w:hAnsi="Book Antiqua"/>
          <w:b/>
          <w:kern w:val="2"/>
        </w:rPr>
        <w:t>Abouzid S</w:t>
      </w:r>
      <w:r w:rsidRPr="001409F0">
        <w:rPr>
          <w:rFonts w:ascii="Book Antiqua" w:eastAsia="等线" w:hAnsi="Book Antiqua"/>
          <w:kern w:val="2"/>
        </w:rPr>
        <w:t xml:space="preserve">, Sleem A. Hepatoprotective and antioxidant activities of Tamarix nilotica flowers. </w:t>
      </w:r>
      <w:r w:rsidRPr="001409F0">
        <w:rPr>
          <w:rFonts w:ascii="Book Antiqua" w:eastAsia="等线" w:hAnsi="Book Antiqua"/>
          <w:i/>
          <w:kern w:val="2"/>
        </w:rPr>
        <w:t>Pharm Biol</w:t>
      </w:r>
      <w:r w:rsidRPr="001409F0">
        <w:rPr>
          <w:rFonts w:ascii="Book Antiqua" w:eastAsia="等线" w:hAnsi="Book Antiqua"/>
          <w:kern w:val="2"/>
        </w:rPr>
        <w:t xml:space="preserve"> 2011; </w:t>
      </w:r>
      <w:r w:rsidRPr="001409F0">
        <w:rPr>
          <w:rFonts w:ascii="Book Antiqua" w:eastAsia="等线" w:hAnsi="Book Antiqua"/>
          <w:b/>
          <w:kern w:val="2"/>
        </w:rPr>
        <w:t>49</w:t>
      </w:r>
      <w:r w:rsidRPr="001409F0">
        <w:rPr>
          <w:rFonts w:ascii="Book Antiqua" w:eastAsia="等线" w:hAnsi="Book Antiqua"/>
          <w:kern w:val="2"/>
        </w:rPr>
        <w:t>: 392-395 [PMID: 21284536 DOI: 10.3109/13880209.2010.518971]</w:t>
      </w:r>
    </w:p>
    <w:p w14:paraId="42A7A66D"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14 </w:t>
      </w:r>
      <w:r w:rsidRPr="001409F0">
        <w:rPr>
          <w:rFonts w:ascii="Book Antiqua" w:eastAsia="等线" w:hAnsi="Book Antiqua"/>
          <w:b/>
          <w:kern w:val="2"/>
        </w:rPr>
        <w:t>Orabi MA</w:t>
      </w:r>
      <w:r w:rsidRPr="001409F0">
        <w:rPr>
          <w:rFonts w:ascii="Book Antiqua" w:eastAsia="等线" w:hAnsi="Book Antiqua"/>
          <w:kern w:val="2"/>
        </w:rPr>
        <w:t xml:space="preserve">, Taniguchi S, Sakagami H, Yoshimura M, Amakura Y, Hatano T. Hydrolyzable Tannins of Tamaricaceous Plants. 7.1 Structures and Cytotoxic Properties of Oligomeric Ellagitannins from Leaves of Tamarix nilotica and Cultured Tissues of Tamarix tetrandra. </w:t>
      </w:r>
      <w:r w:rsidRPr="001409F0">
        <w:rPr>
          <w:rFonts w:ascii="Book Antiqua" w:eastAsia="等线" w:hAnsi="Book Antiqua"/>
          <w:i/>
          <w:kern w:val="2"/>
        </w:rPr>
        <w:t>J Nat Prod</w:t>
      </w:r>
      <w:r w:rsidRPr="001409F0">
        <w:rPr>
          <w:rFonts w:ascii="Book Antiqua" w:eastAsia="等线" w:hAnsi="Book Antiqua"/>
          <w:kern w:val="2"/>
        </w:rPr>
        <w:t xml:space="preserve"> 2016; </w:t>
      </w:r>
      <w:r w:rsidRPr="001409F0">
        <w:rPr>
          <w:rFonts w:ascii="Book Antiqua" w:eastAsia="等线" w:hAnsi="Book Antiqua"/>
          <w:b/>
          <w:kern w:val="2"/>
        </w:rPr>
        <w:t>79</w:t>
      </w:r>
      <w:r w:rsidRPr="001409F0">
        <w:rPr>
          <w:rFonts w:ascii="Book Antiqua" w:eastAsia="等线" w:hAnsi="Book Antiqua"/>
          <w:kern w:val="2"/>
        </w:rPr>
        <w:t>: 984-995 [PMID: 26938659 DOI: 10.1021/acs.jnatprod.5b01065]</w:t>
      </w:r>
    </w:p>
    <w:p w14:paraId="34A883E2"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15 </w:t>
      </w:r>
      <w:r w:rsidRPr="001409F0">
        <w:rPr>
          <w:rFonts w:ascii="Book Antiqua" w:eastAsia="等线" w:hAnsi="Book Antiqua"/>
          <w:b/>
          <w:kern w:val="2"/>
        </w:rPr>
        <w:t>McCullough RL</w:t>
      </w:r>
      <w:r w:rsidRPr="001409F0">
        <w:rPr>
          <w:rFonts w:ascii="Book Antiqua" w:eastAsia="等线" w:hAnsi="Book Antiqua"/>
          <w:kern w:val="2"/>
        </w:rPr>
        <w:t xml:space="preserve">, McMullen MR, Sheehan MM, Poulsen KL, Roychowdhury S, Chiang DJ, Pritchard MT, Caballeria J, Nagy LE. Complement Factor D protects mice from ethanol-induced inflammation and liver injury. </w:t>
      </w:r>
      <w:r w:rsidRPr="001409F0">
        <w:rPr>
          <w:rFonts w:ascii="Book Antiqua" w:eastAsia="等线" w:hAnsi="Book Antiqua"/>
          <w:i/>
          <w:kern w:val="2"/>
        </w:rPr>
        <w:t>Am J Physiol Gastrointest Liver Physiol</w:t>
      </w:r>
      <w:r w:rsidRPr="001409F0">
        <w:rPr>
          <w:rFonts w:ascii="Book Antiqua" w:eastAsia="等线" w:hAnsi="Book Antiqua"/>
          <w:kern w:val="2"/>
        </w:rPr>
        <w:t xml:space="preserve"> 2018; </w:t>
      </w:r>
      <w:r w:rsidRPr="001409F0">
        <w:rPr>
          <w:rFonts w:ascii="Book Antiqua" w:eastAsia="等线" w:hAnsi="Book Antiqua"/>
          <w:b/>
          <w:kern w:val="2"/>
        </w:rPr>
        <w:t>315</w:t>
      </w:r>
      <w:r w:rsidRPr="001409F0">
        <w:rPr>
          <w:rFonts w:ascii="Book Antiqua" w:eastAsia="等线" w:hAnsi="Book Antiqua"/>
          <w:kern w:val="2"/>
        </w:rPr>
        <w:t>: G66-G79 [PMID: 29597356 DOI: 10.1152/ajpgi.00334.2017]</w:t>
      </w:r>
    </w:p>
    <w:p w14:paraId="3FD8383D"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16 </w:t>
      </w:r>
      <w:r w:rsidRPr="001409F0">
        <w:rPr>
          <w:rFonts w:ascii="Book Antiqua" w:eastAsia="等线" w:hAnsi="Book Antiqua"/>
          <w:b/>
          <w:kern w:val="2"/>
        </w:rPr>
        <w:t>Mandrekar P</w:t>
      </w:r>
      <w:r w:rsidRPr="001409F0">
        <w:rPr>
          <w:rFonts w:ascii="Book Antiqua" w:eastAsia="等线" w:hAnsi="Book Antiqua"/>
          <w:kern w:val="2"/>
        </w:rPr>
        <w:t xml:space="preserve">, Ambade A, Lim A, Szabo G, Catalano D. An essential role for monocyte chemoattractant protein-1 in alcoholic liver injury: regulation of proinflammatory cytokines and hepatic steatosis in mice. </w:t>
      </w:r>
      <w:r w:rsidRPr="001409F0">
        <w:rPr>
          <w:rFonts w:ascii="Book Antiqua" w:eastAsia="等线" w:hAnsi="Book Antiqua"/>
          <w:i/>
          <w:kern w:val="2"/>
        </w:rPr>
        <w:t>Hepatology</w:t>
      </w:r>
      <w:r w:rsidRPr="001409F0">
        <w:rPr>
          <w:rFonts w:ascii="Book Antiqua" w:eastAsia="等线" w:hAnsi="Book Antiqua"/>
          <w:kern w:val="2"/>
        </w:rPr>
        <w:t xml:space="preserve"> 2011; </w:t>
      </w:r>
      <w:r w:rsidRPr="001409F0">
        <w:rPr>
          <w:rFonts w:ascii="Book Antiqua" w:eastAsia="等线" w:hAnsi="Book Antiqua"/>
          <w:b/>
          <w:kern w:val="2"/>
        </w:rPr>
        <w:t>54</w:t>
      </w:r>
      <w:r w:rsidRPr="001409F0">
        <w:rPr>
          <w:rFonts w:ascii="Book Antiqua" w:eastAsia="等线" w:hAnsi="Book Antiqua"/>
          <w:kern w:val="2"/>
        </w:rPr>
        <w:t>: 2185-2197 [PMID: 21826694 DOI: 10.1002/hep.24599]</w:t>
      </w:r>
    </w:p>
    <w:p w14:paraId="64F24C68"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17 </w:t>
      </w:r>
      <w:r w:rsidRPr="001409F0">
        <w:rPr>
          <w:rFonts w:ascii="Book Antiqua" w:eastAsia="等线" w:hAnsi="Book Antiqua"/>
          <w:b/>
          <w:kern w:val="2"/>
        </w:rPr>
        <w:t>Liangpunsakul S</w:t>
      </w:r>
      <w:r w:rsidRPr="001409F0">
        <w:rPr>
          <w:rFonts w:ascii="Book Antiqua" w:eastAsia="等线" w:hAnsi="Book Antiqua"/>
          <w:kern w:val="2"/>
        </w:rPr>
        <w:t xml:space="preserve">, Rahmini Y, Ross RA, Zhao Z, Xu Y, Crabb DW. Imipramine blocks ethanol-induced ASMase activation, ceramide generation, and PP2A activation, and ameliorates hepatic steatosis in ethanol-fed mice. </w:t>
      </w:r>
      <w:r w:rsidRPr="001409F0">
        <w:rPr>
          <w:rFonts w:ascii="Book Antiqua" w:eastAsia="等线" w:hAnsi="Book Antiqua"/>
          <w:i/>
          <w:kern w:val="2"/>
        </w:rPr>
        <w:t>Am J Physiol Gastrointest Liver Physiol</w:t>
      </w:r>
      <w:r w:rsidRPr="001409F0">
        <w:rPr>
          <w:rFonts w:ascii="Book Antiqua" w:eastAsia="等线" w:hAnsi="Book Antiqua"/>
          <w:kern w:val="2"/>
        </w:rPr>
        <w:t xml:space="preserve"> 2012; </w:t>
      </w:r>
      <w:r w:rsidRPr="001409F0">
        <w:rPr>
          <w:rFonts w:ascii="Book Antiqua" w:eastAsia="等线" w:hAnsi="Book Antiqua"/>
          <w:b/>
          <w:kern w:val="2"/>
        </w:rPr>
        <w:t>302</w:t>
      </w:r>
      <w:r w:rsidRPr="001409F0">
        <w:rPr>
          <w:rFonts w:ascii="Book Antiqua" w:eastAsia="等线" w:hAnsi="Book Antiqua"/>
          <w:kern w:val="2"/>
        </w:rPr>
        <w:t>: G515-G523 [PMID: 22194417 DOI: 10.1152/ajpgi.00455.2011]</w:t>
      </w:r>
    </w:p>
    <w:p w14:paraId="3E6A203A"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18 </w:t>
      </w:r>
      <w:r w:rsidRPr="001409F0">
        <w:rPr>
          <w:rFonts w:ascii="Book Antiqua" w:eastAsia="等线" w:hAnsi="Book Antiqua"/>
          <w:b/>
          <w:kern w:val="2"/>
        </w:rPr>
        <w:t>Cao YW</w:t>
      </w:r>
      <w:r w:rsidRPr="001409F0">
        <w:rPr>
          <w:rFonts w:ascii="Book Antiqua" w:eastAsia="等线" w:hAnsi="Book Antiqua"/>
          <w:kern w:val="2"/>
        </w:rPr>
        <w:t xml:space="preserve">, Jiang Y, Zhang DY, Wang M, Chen WS, Su H, Wang YT, Wan JB. Protective effects of Penthorum chinense Pursh against chronic ethanol-induced liver injury in mice. </w:t>
      </w:r>
      <w:r w:rsidRPr="001409F0">
        <w:rPr>
          <w:rFonts w:ascii="Book Antiqua" w:eastAsia="等线" w:hAnsi="Book Antiqua"/>
          <w:i/>
          <w:kern w:val="2"/>
        </w:rPr>
        <w:t>J Ethnopharmacol</w:t>
      </w:r>
      <w:r w:rsidRPr="001409F0">
        <w:rPr>
          <w:rFonts w:ascii="Book Antiqua" w:eastAsia="等线" w:hAnsi="Book Antiqua"/>
          <w:kern w:val="2"/>
        </w:rPr>
        <w:t xml:space="preserve"> 2015; </w:t>
      </w:r>
      <w:r w:rsidRPr="001409F0">
        <w:rPr>
          <w:rFonts w:ascii="Book Antiqua" w:eastAsia="等线" w:hAnsi="Book Antiqua"/>
          <w:b/>
          <w:kern w:val="2"/>
        </w:rPr>
        <w:t>161</w:t>
      </w:r>
      <w:r w:rsidRPr="001409F0">
        <w:rPr>
          <w:rFonts w:ascii="Book Antiqua" w:eastAsia="等线" w:hAnsi="Book Antiqua"/>
          <w:kern w:val="2"/>
        </w:rPr>
        <w:t>: 92-98 [PMID: 25510733 DOI: 10.1016/j.jep.2014.12.013]</w:t>
      </w:r>
    </w:p>
    <w:p w14:paraId="086320DF"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19 </w:t>
      </w:r>
      <w:r w:rsidRPr="001409F0">
        <w:rPr>
          <w:rFonts w:ascii="Book Antiqua" w:eastAsia="等线" w:hAnsi="Book Antiqua"/>
          <w:b/>
          <w:kern w:val="2"/>
        </w:rPr>
        <w:t>Ksouri R</w:t>
      </w:r>
      <w:r w:rsidRPr="001409F0">
        <w:rPr>
          <w:rFonts w:ascii="Book Antiqua" w:eastAsia="等线" w:hAnsi="Book Antiqua"/>
          <w:kern w:val="2"/>
        </w:rPr>
        <w:t xml:space="preserve">, Falleh H, Megdiche W, Trabelsi N, Mhamdi B, Chaieb K, Bakrouf A, Magné C, Abdelly C. Antioxidant and antimicrobial activities of the edible medicinal halophyte Tamarix gallica L. and related polyphenolic constituents. </w:t>
      </w:r>
      <w:r w:rsidRPr="001409F0">
        <w:rPr>
          <w:rFonts w:ascii="Book Antiqua" w:eastAsia="等线" w:hAnsi="Book Antiqua"/>
          <w:i/>
          <w:kern w:val="2"/>
        </w:rPr>
        <w:t>Food Chem Toxicol</w:t>
      </w:r>
      <w:r w:rsidRPr="001409F0">
        <w:rPr>
          <w:rFonts w:ascii="Book Antiqua" w:eastAsia="等线" w:hAnsi="Book Antiqua"/>
          <w:kern w:val="2"/>
        </w:rPr>
        <w:t xml:space="preserve"> 2009; </w:t>
      </w:r>
      <w:r w:rsidRPr="001409F0">
        <w:rPr>
          <w:rFonts w:ascii="Book Antiqua" w:eastAsia="等线" w:hAnsi="Book Antiqua"/>
          <w:b/>
          <w:kern w:val="2"/>
        </w:rPr>
        <w:t>47</w:t>
      </w:r>
      <w:r w:rsidRPr="001409F0">
        <w:rPr>
          <w:rFonts w:ascii="Book Antiqua" w:eastAsia="等线" w:hAnsi="Book Antiqua"/>
          <w:kern w:val="2"/>
        </w:rPr>
        <w:t>: 2083-2091 [PMID: 19500639 DOI: 10.1016/j.fct.2009.05.040]</w:t>
      </w:r>
    </w:p>
    <w:p w14:paraId="5DF0CFA5"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20 </w:t>
      </w:r>
      <w:r w:rsidRPr="001409F0">
        <w:rPr>
          <w:rFonts w:ascii="Book Antiqua" w:eastAsia="等线" w:hAnsi="Book Antiqua"/>
          <w:b/>
          <w:kern w:val="2"/>
        </w:rPr>
        <w:t>Li XX</w:t>
      </w:r>
      <w:r w:rsidRPr="001409F0">
        <w:rPr>
          <w:rFonts w:ascii="Book Antiqua" w:eastAsia="等线" w:hAnsi="Book Antiqua"/>
          <w:kern w:val="2"/>
        </w:rPr>
        <w:t xml:space="preserve">, Jiang ZH, Zhou B, Chen C, Zhang XY. Hepatoprotective effect of gastrodin against alcohol-induced liver injury in mice. </w:t>
      </w:r>
      <w:r w:rsidRPr="001409F0">
        <w:rPr>
          <w:rFonts w:ascii="Book Antiqua" w:eastAsia="等线" w:hAnsi="Book Antiqua"/>
          <w:i/>
          <w:kern w:val="2"/>
        </w:rPr>
        <w:t>J Physiol Biochem</w:t>
      </w:r>
      <w:r w:rsidRPr="001409F0">
        <w:rPr>
          <w:rFonts w:ascii="Book Antiqua" w:eastAsia="等线" w:hAnsi="Book Antiqua"/>
          <w:kern w:val="2"/>
        </w:rPr>
        <w:t xml:space="preserve"> 2019; </w:t>
      </w:r>
      <w:r w:rsidRPr="001409F0">
        <w:rPr>
          <w:rFonts w:ascii="Book Antiqua" w:eastAsia="等线" w:hAnsi="Book Antiqua"/>
          <w:b/>
          <w:kern w:val="2"/>
        </w:rPr>
        <w:t>75</w:t>
      </w:r>
      <w:r w:rsidRPr="001409F0">
        <w:rPr>
          <w:rFonts w:ascii="Book Antiqua" w:eastAsia="等线" w:hAnsi="Book Antiqua"/>
          <w:kern w:val="2"/>
        </w:rPr>
        <w:t>: 29-37 [PMID: 30242628 DOI: 10.1007/s13105-018-0647-8]</w:t>
      </w:r>
    </w:p>
    <w:p w14:paraId="7A5AD577"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21 </w:t>
      </w:r>
      <w:r w:rsidRPr="001409F0">
        <w:rPr>
          <w:rFonts w:ascii="Book Antiqua" w:eastAsia="等线" w:hAnsi="Book Antiqua"/>
          <w:b/>
          <w:kern w:val="2"/>
        </w:rPr>
        <w:t>Urfi MK</w:t>
      </w:r>
      <w:r w:rsidRPr="001409F0">
        <w:rPr>
          <w:rFonts w:ascii="Book Antiqua" w:eastAsia="等线" w:hAnsi="Book Antiqua"/>
          <w:kern w:val="2"/>
        </w:rPr>
        <w:t xml:space="preserve">, Mujahid M, Rahman MA, Rahman MA. The Role of Tamarix gallica Leaves Extract in Liver Injury Induced by Rifampicin Plus Isoniazid in Sprague Dawley Rats. </w:t>
      </w:r>
      <w:r w:rsidRPr="001409F0">
        <w:rPr>
          <w:rFonts w:ascii="Book Antiqua" w:eastAsia="等线" w:hAnsi="Book Antiqua"/>
          <w:i/>
          <w:kern w:val="2"/>
        </w:rPr>
        <w:t>J Diet Suppl</w:t>
      </w:r>
      <w:r w:rsidRPr="001409F0">
        <w:rPr>
          <w:rFonts w:ascii="Book Antiqua" w:eastAsia="等线" w:hAnsi="Book Antiqua"/>
          <w:kern w:val="2"/>
        </w:rPr>
        <w:t xml:space="preserve"> 2018; </w:t>
      </w:r>
      <w:r w:rsidRPr="001409F0">
        <w:rPr>
          <w:rFonts w:ascii="Book Antiqua" w:eastAsia="等线" w:hAnsi="Book Antiqua"/>
          <w:b/>
          <w:kern w:val="2"/>
        </w:rPr>
        <w:t>15</w:t>
      </w:r>
      <w:r w:rsidRPr="001409F0">
        <w:rPr>
          <w:rFonts w:ascii="Book Antiqua" w:eastAsia="等线" w:hAnsi="Book Antiqua"/>
          <w:kern w:val="2"/>
        </w:rPr>
        <w:t>: 24-33 [PMID: 28459346 DOI: 10.1080/19390211.2017.1310783]</w:t>
      </w:r>
    </w:p>
    <w:p w14:paraId="09BC1EFC"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22 </w:t>
      </w:r>
      <w:r w:rsidRPr="001409F0">
        <w:rPr>
          <w:rFonts w:ascii="Book Antiqua" w:eastAsia="等线" w:hAnsi="Book Antiqua"/>
          <w:b/>
          <w:kern w:val="2"/>
        </w:rPr>
        <w:t>Lucey MR</w:t>
      </w:r>
      <w:r w:rsidRPr="001409F0">
        <w:rPr>
          <w:rFonts w:ascii="Book Antiqua" w:eastAsia="等线" w:hAnsi="Book Antiqua"/>
          <w:kern w:val="2"/>
        </w:rPr>
        <w:t xml:space="preserve">, Mathurin P, Morgan TR. Alcoholic hepatitis. </w:t>
      </w:r>
      <w:r w:rsidRPr="001409F0">
        <w:rPr>
          <w:rFonts w:ascii="Book Antiqua" w:eastAsia="等线" w:hAnsi="Book Antiqua"/>
          <w:i/>
          <w:kern w:val="2"/>
        </w:rPr>
        <w:t>N Engl J Med</w:t>
      </w:r>
      <w:r w:rsidRPr="001409F0">
        <w:rPr>
          <w:rFonts w:ascii="Book Antiqua" w:eastAsia="等线" w:hAnsi="Book Antiqua"/>
          <w:kern w:val="2"/>
        </w:rPr>
        <w:t xml:space="preserve"> 2009; </w:t>
      </w:r>
      <w:r w:rsidRPr="001409F0">
        <w:rPr>
          <w:rFonts w:ascii="Book Antiqua" w:eastAsia="等线" w:hAnsi="Book Antiqua"/>
          <w:b/>
          <w:kern w:val="2"/>
        </w:rPr>
        <w:t>360</w:t>
      </w:r>
      <w:r w:rsidRPr="001409F0">
        <w:rPr>
          <w:rFonts w:ascii="Book Antiqua" w:eastAsia="等线" w:hAnsi="Book Antiqua"/>
          <w:kern w:val="2"/>
        </w:rPr>
        <w:t>: 2758-2769 [PMID: 19553649 DOI: 10.1056/NEJMra0805786]</w:t>
      </w:r>
    </w:p>
    <w:p w14:paraId="10FD5AA1"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lastRenderedPageBreak/>
        <w:t xml:space="preserve">23 </w:t>
      </w:r>
      <w:r w:rsidRPr="001409F0">
        <w:rPr>
          <w:rFonts w:ascii="Book Antiqua" w:eastAsia="等线" w:hAnsi="Book Antiqua"/>
          <w:b/>
          <w:kern w:val="2"/>
        </w:rPr>
        <w:t>Day CP</w:t>
      </w:r>
      <w:r w:rsidRPr="001409F0">
        <w:rPr>
          <w:rFonts w:ascii="Book Antiqua" w:eastAsia="等线" w:hAnsi="Book Antiqua"/>
          <w:kern w:val="2"/>
        </w:rPr>
        <w:t xml:space="preserve">, James OF. Steatohepatitis: a tale of two "hits"? </w:t>
      </w:r>
      <w:r w:rsidRPr="001409F0">
        <w:rPr>
          <w:rFonts w:ascii="Book Antiqua" w:eastAsia="等线" w:hAnsi="Book Antiqua"/>
          <w:i/>
          <w:kern w:val="2"/>
        </w:rPr>
        <w:t>Gastroenterology</w:t>
      </w:r>
      <w:r w:rsidRPr="001409F0">
        <w:rPr>
          <w:rFonts w:ascii="Book Antiqua" w:eastAsia="等线" w:hAnsi="Book Antiqua"/>
          <w:kern w:val="2"/>
        </w:rPr>
        <w:t xml:space="preserve"> 1998; </w:t>
      </w:r>
      <w:r w:rsidRPr="001409F0">
        <w:rPr>
          <w:rFonts w:ascii="Book Antiqua" w:eastAsia="等线" w:hAnsi="Book Antiqua"/>
          <w:b/>
          <w:kern w:val="2"/>
        </w:rPr>
        <w:t>114</w:t>
      </w:r>
      <w:r w:rsidRPr="001409F0">
        <w:rPr>
          <w:rFonts w:ascii="Book Antiqua" w:eastAsia="等线" w:hAnsi="Book Antiqua"/>
          <w:kern w:val="2"/>
        </w:rPr>
        <w:t>: 842-845 [PMID: 9547102 DOI: 10.1016/s0016-5085(98)70599-2]</w:t>
      </w:r>
    </w:p>
    <w:p w14:paraId="628A84FD"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24 </w:t>
      </w:r>
      <w:r w:rsidRPr="001409F0">
        <w:rPr>
          <w:rFonts w:ascii="Book Antiqua" w:eastAsia="等线" w:hAnsi="Book Antiqua"/>
          <w:b/>
          <w:kern w:val="2"/>
        </w:rPr>
        <w:t>Shulga N</w:t>
      </w:r>
      <w:r w:rsidRPr="001409F0">
        <w:rPr>
          <w:rFonts w:ascii="Book Antiqua" w:eastAsia="等线" w:hAnsi="Book Antiqua"/>
          <w:kern w:val="2"/>
        </w:rPr>
        <w:t xml:space="preserve">, Pastorino JG. Hexokinase II binding to mitochondria is necessary for Kupffer cell activation and is potentiated by ethanol exposure. </w:t>
      </w:r>
      <w:r w:rsidRPr="001409F0">
        <w:rPr>
          <w:rFonts w:ascii="Book Antiqua" w:eastAsia="等线" w:hAnsi="Book Antiqua"/>
          <w:i/>
          <w:kern w:val="2"/>
        </w:rPr>
        <w:t>J Biol Chem</w:t>
      </w:r>
      <w:r w:rsidRPr="001409F0">
        <w:rPr>
          <w:rFonts w:ascii="Book Antiqua" w:eastAsia="等线" w:hAnsi="Book Antiqua"/>
          <w:kern w:val="2"/>
        </w:rPr>
        <w:t xml:space="preserve"> 2014; </w:t>
      </w:r>
      <w:r w:rsidRPr="001409F0">
        <w:rPr>
          <w:rFonts w:ascii="Book Antiqua" w:eastAsia="等线" w:hAnsi="Book Antiqua"/>
          <w:b/>
          <w:kern w:val="2"/>
        </w:rPr>
        <w:t>289</w:t>
      </w:r>
      <w:r w:rsidRPr="001409F0">
        <w:rPr>
          <w:rFonts w:ascii="Book Antiqua" w:eastAsia="等线" w:hAnsi="Book Antiqua"/>
          <w:kern w:val="2"/>
        </w:rPr>
        <w:t>: 26213-26225 [PMID: 25096575 DOI: 10.1074/jbc.M114.580175]</w:t>
      </w:r>
    </w:p>
    <w:p w14:paraId="771CC815"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25 </w:t>
      </w:r>
      <w:r w:rsidRPr="001409F0">
        <w:rPr>
          <w:rFonts w:ascii="Book Antiqua" w:eastAsia="等线" w:hAnsi="Book Antiqua"/>
          <w:b/>
          <w:kern w:val="2"/>
        </w:rPr>
        <w:t>Yin H</w:t>
      </w:r>
      <w:r w:rsidRPr="001409F0">
        <w:rPr>
          <w:rFonts w:ascii="Book Antiqua" w:eastAsia="等线" w:hAnsi="Book Antiqua"/>
          <w:kern w:val="2"/>
        </w:rPr>
        <w:t xml:space="preserve">, Guo Q, Li X, Tang T, Li C, Wang H, Sun Y, Feng Q, Ma C, Gao C, Yi F, Peng J. Curcumin Suppresses IL-1β Secretion and Prevents Inflammation through Inhibition of the NLRP3 Inflammasome. </w:t>
      </w:r>
      <w:r w:rsidRPr="001409F0">
        <w:rPr>
          <w:rFonts w:ascii="Book Antiqua" w:eastAsia="等线" w:hAnsi="Book Antiqua"/>
          <w:i/>
          <w:kern w:val="2"/>
        </w:rPr>
        <w:t>J Immunol</w:t>
      </w:r>
      <w:r w:rsidRPr="001409F0">
        <w:rPr>
          <w:rFonts w:ascii="Book Antiqua" w:eastAsia="等线" w:hAnsi="Book Antiqua"/>
          <w:kern w:val="2"/>
        </w:rPr>
        <w:t xml:space="preserve"> 2018; </w:t>
      </w:r>
      <w:r w:rsidRPr="001409F0">
        <w:rPr>
          <w:rFonts w:ascii="Book Antiqua" w:eastAsia="等线" w:hAnsi="Book Antiqua"/>
          <w:b/>
          <w:kern w:val="2"/>
        </w:rPr>
        <w:t>200</w:t>
      </w:r>
      <w:r w:rsidRPr="001409F0">
        <w:rPr>
          <w:rFonts w:ascii="Book Antiqua" w:eastAsia="等线" w:hAnsi="Book Antiqua"/>
          <w:kern w:val="2"/>
        </w:rPr>
        <w:t>: 2835-2846 [PMID: 29549176 DOI: 10.4049/jimmunol.1701495]</w:t>
      </w:r>
    </w:p>
    <w:p w14:paraId="2634B63B"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26 </w:t>
      </w:r>
      <w:r w:rsidRPr="001409F0">
        <w:rPr>
          <w:rFonts w:ascii="Book Antiqua" w:eastAsia="等线" w:hAnsi="Book Antiqua"/>
          <w:b/>
          <w:kern w:val="2"/>
        </w:rPr>
        <w:t>Petrasek J</w:t>
      </w:r>
      <w:r w:rsidRPr="001409F0">
        <w:rPr>
          <w:rFonts w:ascii="Book Antiqua" w:eastAsia="等线" w:hAnsi="Book Antiqua"/>
          <w:kern w:val="2"/>
        </w:rPr>
        <w:t xml:space="preserve">, Dolganiuc A, Csak T, Kurt-Jones EA, Szabo G. Type I interferons protect from Toll-like receptor 9-associated liver injury and regulate IL-1 receptor antagonist in mice. </w:t>
      </w:r>
      <w:r w:rsidRPr="001409F0">
        <w:rPr>
          <w:rFonts w:ascii="Book Antiqua" w:eastAsia="等线" w:hAnsi="Book Antiqua"/>
          <w:i/>
          <w:kern w:val="2"/>
        </w:rPr>
        <w:t>Gastroenterology</w:t>
      </w:r>
      <w:r w:rsidRPr="001409F0">
        <w:rPr>
          <w:rFonts w:ascii="Book Antiqua" w:eastAsia="等线" w:hAnsi="Book Antiqua"/>
          <w:kern w:val="2"/>
        </w:rPr>
        <w:t xml:space="preserve"> 2011; </w:t>
      </w:r>
      <w:r w:rsidRPr="001409F0">
        <w:rPr>
          <w:rFonts w:ascii="Book Antiqua" w:eastAsia="等线" w:hAnsi="Book Antiqua"/>
          <w:b/>
          <w:kern w:val="2"/>
        </w:rPr>
        <w:t>140</w:t>
      </w:r>
      <w:r w:rsidRPr="001409F0">
        <w:rPr>
          <w:rFonts w:ascii="Book Antiqua" w:eastAsia="等线" w:hAnsi="Book Antiqua"/>
          <w:kern w:val="2"/>
        </w:rPr>
        <w:t>: 697-708.e4 [PMID: 20727895 DOI: 10.1053/j.gastro.2010.08.020]</w:t>
      </w:r>
    </w:p>
    <w:p w14:paraId="4F3FBECA"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27 </w:t>
      </w:r>
      <w:r w:rsidRPr="001409F0">
        <w:rPr>
          <w:rFonts w:ascii="Book Antiqua" w:eastAsia="等线" w:hAnsi="Book Antiqua"/>
          <w:b/>
          <w:kern w:val="2"/>
        </w:rPr>
        <w:t>Zhu H</w:t>
      </w:r>
      <w:r w:rsidRPr="001409F0">
        <w:rPr>
          <w:rFonts w:ascii="Book Antiqua" w:eastAsia="等线" w:hAnsi="Book Antiqua"/>
          <w:kern w:val="2"/>
        </w:rPr>
        <w:t xml:space="preserve">, Jia Z, Misra H, Li YR. Oxidative stress and redox signaling mechanisms of alcoholic liver disease: updated experimental and clinical evidence. </w:t>
      </w:r>
      <w:r w:rsidRPr="001409F0">
        <w:rPr>
          <w:rFonts w:ascii="Book Antiqua" w:eastAsia="等线" w:hAnsi="Book Antiqua"/>
          <w:i/>
          <w:kern w:val="2"/>
        </w:rPr>
        <w:t>J Dig Dis</w:t>
      </w:r>
      <w:r w:rsidRPr="001409F0">
        <w:rPr>
          <w:rFonts w:ascii="Book Antiqua" w:eastAsia="等线" w:hAnsi="Book Antiqua"/>
          <w:kern w:val="2"/>
        </w:rPr>
        <w:t xml:space="preserve"> 2012; </w:t>
      </w:r>
      <w:r w:rsidRPr="001409F0">
        <w:rPr>
          <w:rFonts w:ascii="Book Antiqua" w:eastAsia="等线" w:hAnsi="Book Antiqua"/>
          <w:b/>
          <w:kern w:val="2"/>
        </w:rPr>
        <w:t>13</w:t>
      </w:r>
      <w:r w:rsidRPr="001409F0">
        <w:rPr>
          <w:rFonts w:ascii="Book Antiqua" w:eastAsia="等线" w:hAnsi="Book Antiqua"/>
          <w:kern w:val="2"/>
        </w:rPr>
        <w:t>: 133-142 [PMID: 22356308 DOI: 10.1111/j.1751-2980.</w:t>
      </w:r>
      <w:proofErr w:type="gramStart"/>
      <w:r w:rsidRPr="001409F0">
        <w:rPr>
          <w:rFonts w:ascii="Book Antiqua" w:eastAsia="等线" w:hAnsi="Book Antiqua"/>
          <w:kern w:val="2"/>
        </w:rPr>
        <w:t>2011.00569.x</w:t>
      </w:r>
      <w:proofErr w:type="gramEnd"/>
      <w:r w:rsidRPr="001409F0">
        <w:rPr>
          <w:rFonts w:ascii="Book Antiqua" w:eastAsia="等线" w:hAnsi="Book Antiqua"/>
          <w:kern w:val="2"/>
        </w:rPr>
        <w:t>]</w:t>
      </w:r>
    </w:p>
    <w:p w14:paraId="5B871E8D"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28 </w:t>
      </w:r>
      <w:r w:rsidRPr="001409F0">
        <w:rPr>
          <w:rFonts w:ascii="Book Antiqua" w:eastAsia="等线" w:hAnsi="Book Antiqua"/>
          <w:b/>
          <w:kern w:val="2"/>
        </w:rPr>
        <w:t>Tilg H</w:t>
      </w:r>
      <w:r w:rsidRPr="001409F0">
        <w:rPr>
          <w:rFonts w:ascii="Book Antiqua" w:eastAsia="等线" w:hAnsi="Book Antiqua"/>
          <w:kern w:val="2"/>
        </w:rPr>
        <w:t xml:space="preserve">, Moschen AR. IL-1 cytokine family members and NAFLD: neglected in metabolic liver inflammation. </w:t>
      </w:r>
      <w:r w:rsidRPr="001409F0">
        <w:rPr>
          <w:rFonts w:ascii="Book Antiqua" w:eastAsia="等线" w:hAnsi="Book Antiqua"/>
          <w:i/>
          <w:kern w:val="2"/>
        </w:rPr>
        <w:t>J Hepatol</w:t>
      </w:r>
      <w:r w:rsidRPr="001409F0">
        <w:rPr>
          <w:rFonts w:ascii="Book Antiqua" w:eastAsia="等线" w:hAnsi="Book Antiqua"/>
          <w:kern w:val="2"/>
        </w:rPr>
        <w:t xml:space="preserve"> 2011; </w:t>
      </w:r>
      <w:r w:rsidRPr="001409F0">
        <w:rPr>
          <w:rFonts w:ascii="Book Antiqua" w:eastAsia="等线" w:hAnsi="Book Antiqua"/>
          <w:b/>
          <w:kern w:val="2"/>
        </w:rPr>
        <w:t>55</w:t>
      </w:r>
      <w:r w:rsidRPr="001409F0">
        <w:rPr>
          <w:rFonts w:ascii="Book Antiqua" w:eastAsia="等线" w:hAnsi="Book Antiqua"/>
          <w:kern w:val="2"/>
        </w:rPr>
        <w:t>: 960-962 [PMID: 21742000 DOI: 10.1016/j.jhep.2011.04.007]</w:t>
      </w:r>
    </w:p>
    <w:p w14:paraId="69ABF8E3"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29 </w:t>
      </w:r>
      <w:r w:rsidRPr="001409F0">
        <w:rPr>
          <w:rFonts w:ascii="Book Antiqua" w:eastAsia="等线" w:hAnsi="Book Antiqua"/>
          <w:b/>
          <w:kern w:val="2"/>
        </w:rPr>
        <w:t>Smathers RL</w:t>
      </w:r>
      <w:r w:rsidRPr="001409F0">
        <w:rPr>
          <w:rFonts w:ascii="Book Antiqua" w:eastAsia="等线" w:hAnsi="Book Antiqua"/>
          <w:kern w:val="2"/>
        </w:rPr>
        <w:t xml:space="preserve">, Galligan JJ, Stewart BJ, Petersen DR. Overview of lipid peroxidation products and hepatic protein modification in alcoholic liver disease. </w:t>
      </w:r>
      <w:r w:rsidRPr="001409F0">
        <w:rPr>
          <w:rFonts w:ascii="Book Antiqua" w:eastAsia="等线" w:hAnsi="Book Antiqua"/>
          <w:i/>
          <w:kern w:val="2"/>
        </w:rPr>
        <w:t>Chem Biol Interact</w:t>
      </w:r>
      <w:r w:rsidRPr="001409F0">
        <w:rPr>
          <w:rFonts w:ascii="Book Antiqua" w:eastAsia="等线" w:hAnsi="Book Antiqua"/>
          <w:kern w:val="2"/>
        </w:rPr>
        <w:t xml:space="preserve"> 2011; </w:t>
      </w:r>
      <w:r w:rsidRPr="001409F0">
        <w:rPr>
          <w:rFonts w:ascii="Book Antiqua" w:eastAsia="等线" w:hAnsi="Book Antiqua"/>
          <w:b/>
          <w:kern w:val="2"/>
        </w:rPr>
        <w:t>192</w:t>
      </w:r>
      <w:r w:rsidRPr="001409F0">
        <w:rPr>
          <w:rFonts w:ascii="Book Antiqua" w:eastAsia="等线" w:hAnsi="Book Antiqua"/>
          <w:kern w:val="2"/>
        </w:rPr>
        <w:t>: 107-112 [PMID: 21354120 DOI: 10.1016/j.cbi.2011.02.021]</w:t>
      </w:r>
    </w:p>
    <w:p w14:paraId="05780B5D"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30 </w:t>
      </w:r>
      <w:r w:rsidRPr="001409F0">
        <w:rPr>
          <w:rFonts w:ascii="Book Antiqua" w:eastAsia="等线" w:hAnsi="Book Antiqua"/>
          <w:b/>
          <w:kern w:val="2"/>
        </w:rPr>
        <w:t>Baes M</w:t>
      </w:r>
      <w:r w:rsidRPr="001409F0">
        <w:rPr>
          <w:rFonts w:ascii="Book Antiqua" w:eastAsia="等线" w:hAnsi="Book Antiqua"/>
          <w:kern w:val="2"/>
        </w:rPr>
        <w:t xml:space="preserve">, Van Veldhoven PP. Hepatic dysfunction in peroxisomal disorders. </w:t>
      </w:r>
      <w:r w:rsidRPr="001409F0">
        <w:rPr>
          <w:rFonts w:ascii="Book Antiqua" w:eastAsia="等线" w:hAnsi="Book Antiqua"/>
          <w:i/>
          <w:kern w:val="2"/>
        </w:rPr>
        <w:t>Biochim Biophys Acta</w:t>
      </w:r>
      <w:r w:rsidRPr="001409F0">
        <w:rPr>
          <w:rFonts w:ascii="Book Antiqua" w:eastAsia="等线" w:hAnsi="Book Antiqua"/>
          <w:kern w:val="2"/>
        </w:rPr>
        <w:t xml:space="preserve"> 2016; </w:t>
      </w:r>
      <w:r w:rsidRPr="001409F0">
        <w:rPr>
          <w:rFonts w:ascii="Book Antiqua" w:eastAsia="等线" w:hAnsi="Book Antiqua"/>
          <w:b/>
          <w:kern w:val="2"/>
        </w:rPr>
        <w:t>1863</w:t>
      </w:r>
      <w:r w:rsidRPr="001409F0">
        <w:rPr>
          <w:rFonts w:ascii="Book Antiqua" w:eastAsia="等线" w:hAnsi="Book Antiqua"/>
          <w:kern w:val="2"/>
        </w:rPr>
        <w:t>: 956-970 [PMID: 26453805 DOI: 10.1016/j.bbamcr.2015.09.035]</w:t>
      </w:r>
    </w:p>
    <w:p w14:paraId="69589BAA"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31 </w:t>
      </w:r>
      <w:r w:rsidRPr="001409F0">
        <w:rPr>
          <w:rFonts w:ascii="Book Antiqua" w:eastAsia="等线" w:hAnsi="Book Antiqua"/>
          <w:b/>
          <w:kern w:val="2"/>
        </w:rPr>
        <w:t>Zhou R</w:t>
      </w:r>
      <w:r w:rsidRPr="001409F0">
        <w:rPr>
          <w:rFonts w:ascii="Book Antiqua" w:eastAsia="等线" w:hAnsi="Book Antiqua"/>
          <w:kern w:val="2"/>
        </w:rPr>
        <w:t xml:space="preserve">, Tardivel A, Thorens B, Choi I, Tschopp J. Thioredoxin-interacting protein links oxidative stress to inflammasome activation. </w:t>
      </w:r>
      <w:r w:rsidRPr="001409F0">
        <w:rPr>
          <w:rFonts w:ascii="Book Antiqua" w:eastAsia="等线" w:hAnsi="Book Antiqua"/>
          <w:i/>
          <w:kern w:val="2"/>
        </w:rPr>
        <w:t>Nat Immunol</w:t>
      </w:r>
      <w:r w:rsidRPr="001409F0">
        <w:rPr>
          <w:rFonts w:ascii="Book Antiqua" w:eastAsia="等线" w:hAnsi="Book Antiqua"/>
          <w:kern w:val="2"/>
        </w:rPr>
        <w:t xml:space="preserve"> 2010; </w:t>
      </w:r>
      <w:r w:rsidRPr="001409F0">
        <w:rPr>
          <w:rFonts w:ascii="Book Antiqua" w:eastAsia="等线" w:hAnsi="Book Antiqua"/>
          <w:b/>
          <w:kern w:val="2"/>
        </w:rPr>
        <w:t>11</w:t>
      </w:r>
      <w:r w:rsidRPr="001409F0">
        <w:rPr>
          <w:rFonts w:ascii="Book Antiqua" w:eastAsia="等线" w:hAnsi="Book Antiqua"/>
          <w:kern w:val="2"/>
        </w:rPr>
        <w:t>: 136-140 [PMID: 20023662 DOI: 10.1038/ni.1831]</w:t>
      </w:r>
    </w:p>
    <w:p w14:paraId="0758C165"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32 </w:t>
      </w:r>
      <w:r w:rsidRPr="001409F0">
        <w:rPr>
          <w:rFonts w:ascii="Book Antiqua" w:eastAsia="等线" w:hAnsi="Book Antiqua"/>
          <w:b/>
          <w:kern w:val="2"/>
        </w:rPr>
        <w:t>Harijith A</w:t>
      </w:r>
      <w:r w:rsidRPr="001409F0">
        <w:rPr>
          <w:rFonts w:ascii="Book Antiqua" w:eastAsia="等线" w:hAnsi="Book Antiqua"/>
          <w:kern w:val="2"/>
        </w:rPr>
        <w:t xml:space="preserve">, Ebenezer DL, Natarajan V. Reactive oxygen species at the crossroads of inflammasome and inflammation. </w:t>
      </w:r>
      <w:r w:rsidRPr="001409F0">
        <w:rPr>
          <w:rFonts w:ascii="Book Antiqua" w:eastAsia="等线" w:hAnsi="Book Antiqua"/>
          <w:i/>
          <w:kern w:val="2"/>
        </w:rPr>
        <w:t>Front Physiol</w:t>
      </w:r>
      <w:r w:rsidRPr="001409F0">
        <w:rPr>
          <w:rFonts w:ascii="Book Antiqua" w:eastAsia="等线" w:hAnsi="Book Antiqua"/>
          <w:kern w:val="2"/>
        </w:rPr>
        <w:t xml:space="preserve"> 2014; </w:t>
      </w:r>
      <w:r w:rsidRPr="001409F0">
        <w:rPr>
          <w:rFonts w:ascii="Book Antiqua" w:eastAsia="等线" w:hAnsi="Book Antiqua"/>
          <w:b/>
          <w:kern w:val="2"/>
        </w:rPr>
        <w:t>5</w:t>
      </w:r>
      <w:r w:rsidRPr="001409F0">
        <w:rPr>
          <w:rFonts w:ascii="Book Antiqua" w:eastAsia="等线" w:hAnsi="Book Antiqua"/>
          <w:kern w:val="2"/>
        </w:rPr>
        <w:t>: 352 [PMID: 25324778 DOI: 10.3389/fphys.2014.00352]</w:t>
      </w:r>
    </w:p>
    <w:p w14:paraId="73000419"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33 </w:t>
      </w:r>
      <w:r w:rsidRPr="001409F0">
        <w:rPr>
          <w:rFonts w:ascii="Book Antiqua" w:eastAsia="等线" w:hAnsi="Book Antiqua"/>
          <w:b/>
          <w:kern w:val="2"/>
        </w:rPr>
        <w:t>Zhang X</w:t>
      </w:r>
      <w:r w:rsidRPr="001409F0">
        <w:rPr>
          <w:rFonts w:ascii="Book Antiqua" w:eastAsia="等线" w:hAnsi="Book Antiqua"/>
          <w:kern w:val="2"/>
        </w:rPr>
        <w:t xml:space="preserve">, Zhang JH, Chen XY, Hu QH, Wang MX, Jin R, Zhang QY, Wang W, Wang R, Kang LL, Li JS, Li M, Pan Y, Huang JJ, Kong LD. Reactive oxygen species-induced TXNIP drives fructose-mediated hepatic inflammation and lipid accumulation through NLRP3 inflammasome activation. </w:t>
      </w:r>
      <w:r w:rsidRPr="001409F0">
        <w:rPr>
          <w:rFonts w:ascii="Book Antiqua" w:eastAsia="等线" w:hAnsi="Book Antiqua"/>
          <w:i/>
          <w:kern w:val="2"/>
        </w:rPr>
        <w:t>Antioxid Redox Signal</w:t>
      </w:r>
      <w:r w:rsidRPr="001409F0">
        <w:rPr>
          <w:rFonts w:ascii="Book Antiqua" w:eastAsia="等线" w:hAnsi="Book Antiqua"/>
          <w:kern w:val="2"/>
        </w:rPr>
        <w:t xml:space="preserve"> 2015; </w:t>
      </w:r>
      <w:r w:rsidRPr="001409F0">
        <w:rPr>
          <w:rFonts w:ascii="Book Antiqua" w:eastAsia="等线" w:hAnsi="Book Antiqua"/>
          <w:b/>
          <w:kern w:val="2"/>
        </w:rPr>
        <w:t>22</w:t>
      </w:r>
      <w:r w:rsidRPr="001409F0">
        <w:rPr>
          <w:rFonts w:ascii="Book Antiqua" w:eastAsia="等线" w:hAnsi="Book Antiqua"/>
          <w:kern w:val="2"/>
        </w:rPr>
        <w:t>: 848-870 [PMID: 25602171 DOI: 10.1089/ars.2014.5868]</w:t>
      </w:r>
    </w:p>
    <w:p w14:paraId="62AA2D10" w14:textId="77777777" w:rsidR="0090746B" w:rsidRPr="001409F0" w:rsidRDefault="0090746B" w:rsidP="001409F0">
      <w:pPr>
        <w:snapToGrid w:val="0"/>
        <w:spacing w:line="360" w:lineRule="auto"/>
        <w:rPr>
          <w:rFonts w:ascii="Book Antiqua" w:eastAsia="等线" w:hAnsi="Book Antiqua"/>
          <w:kern w:val="2"/>
        </w:rPr>
      </w:pPr>
      <w:proofErr w:type="gramStart"/>
      <w:r w:rsidRPr="001409F0">
        <w:rPr>
          <w:rFonts w:ascii="Book Antiqua" w:eastAsia="等线" w:hAnsi="Book Antiqua"/>
          <w:kern w:val="2"/>
        </w:rPr>
        <w:t xml:space="preserve">34 </w:t>
      </w:r>
      <w:r w:rsidRPr="001409F0">
        <w:rPr>
          <w:rFonts w:ascii="Book Antiqua" w:eastAsia="等线" w:hAnsi="Book Antiqua"/>
          <w:b/>
          <w:kern w:val="2"/>
        </w:rPr>
        <w:t>Wheeler</w:t>
      </w:r>
      <w:proofErr w:type="gramEnd"/>
      <w:r w:rsidRPr="001409F0">
        <w:rPr>
          <w:rFonts w:ascii="Book Antiqua" w:eastAsia="等线" w:hAnsi="Book Antiqua"/>
          <w:b/>
          <w:kern w:val="2"/>
        </w:rPr>
        <w:t xml:space="preserve"> MD</w:t>
      </w:r>
      <w:r w:rsidRPr="001409F0">
        <w:rPr>
          <w:rFonts w:ascii="Book Antiqua" w:eastAsia="等线" w:hAnsi="Book Antiqua"/>
          <w:kern w:val="2"/>
        </w:rPr>
        <w:t xml:space="preserve">, Kono H, Yin M, Rusyn I, Froh M, Connor HD, Mason RP, Samulski RJ, Thurman RG. Delivery of the Cu/Zn-superoxide dismutase gene with adenovirus reduces early alcohol-induced liver injury in rats. </w:t>
      </w:r>
      <w:r w:rsidRPr="001409F0">
        <w:rPr>
          <w:rFonts w:ascii="Book Antiqua" w:eastAsia="等线" w:hAnsi="Book Antiqua"/>
          <w:i/>
          <w:kern w:val="2"/>
        </w:rPr>
        <w:t>Gastroenterology</w:t>
      </w:r>
      <w:r w:rsidRPr="001409F0">
        <w:rPr>
          <w:rFonts w:ascii="Book Antiqua" w:eastAsia="等线" w:hAnsi="Book Antiqua"/>
          <w:kern w:val="2"/>
        </w:rPr>
        <w:t xml:space="preserve"> 2001; </w:t>
      </w:r>
      <w:r w:rsidRPr="001409F0">
        <w:rPr>
          <w:rFonts w:ascii="Book Antiqua" w:eastAsia="等线" w:hAnsi="Book Antiqua"/>
          <w:b/>
          <w:kern w:val="2"/>
        </w:rPr>
        <w:t>120</w:t>
      </w:r>
      <w:r w:rsidRPr="001409F0">
        <w:rPr>
          <w:rFonts w:ascii="Book Antiqua" w:eastAsia="等线" w:hAnsi="Book Antiqua"/>
          <w:kern w:val="2"/>
        </w:rPr>
        <w:t>: 1241-1250 [PMID: 11266387 DOI: 10.1053/gast.2001.23253]</w:t>
      </w:r>
    </w:p>
    <w:p w14:paraId="4CD3C62C" w14:textId="77777777" w:rsidR="00E05BA3" w:rsidRPr="001409F0" w:rsidRDefault="00E05BA3" w:rsidP="001409F0">
      <w:pPr>
        <w:widowControl/>
        <w:adjustRightInd w:val="0"/>
        <w:snapToGrid w:val="0"/>
        <w:spacing w:line="360" w:lineRule="auto"/>
        <w:rPr>
          <w:rFonts w:ascii="Book Antiqua" w:hAnsi="Book Antiqua"/>
        </w:rPr>
      </w:pPr>
      <w:r w:rsidRPr="001409F0">
        <w:rPr>
          <w:rFonts w:ascii="Book Antiqua" w:hAnsi="Book Antiqua"/>
        </w:rPr>
        <w:br w:type="page"/>
      </w:r>
    </w:p>
    <w:p w14:paraId="02CBFFCA" w14:textId="77777777" w:rsidR="000E0111" w:rsidRPr="001409F0" w:rsidRDefault="000E0111" w:rsidP="001409F0">
      <w:pPr>
        <w:adjustRightInd w:val="0"/>
        <w:snapToGrid w:val="0"/>
        <w:spacing w:line="360" w:lineRule="auto"/>
        <w:rPr>
          <w:rFonts w:ascii="Book Antiqua" w:hAnsi="Book Antiqua"/>
          <w:b/>
        </w:rPr>
      </w:pPr>
      <w:r w:rsidRPr="001409F0">
        <w:rPr>
          <w:rFonts w:ascii="Book Antiqua" w:hAnsi="Book Antiqua"/>
          <w:b/>
        </w:rPr>
        <w:lastRenderedPageBreak/>
        <w:t>Footnotes</w:t>
      </w:r>
    </w:p>
    <w:p w14:paraId="24B6FB50" w14:textId="77777777" w:rsidR="000E0111" w:rsidRPr="001409F0" w:rsidRDefault="000E0111" w:rsidP="001409F0">
      <w:pPr>
        <w:adjustRightInd w:val="0"/>
        <w:snapToGrid w:val="0"/>
        <w:spacing w:line="360" w:lineRule="auto"/>
        <w:rPr>
          <w:rFonts w:ascii="Book Antiqua" w:hAnsi="Book Antiqua" w:cs="Arial"/>
        </w:rPr>
      </w:pPr>
      <w:r w:rsidRPr="001409F0">
        <w:rPr>
          <w:rFonts w:ascii="Book Antiqua" w:hAnsi="Book Antiqua"/>
          <w:b/>
        </w:rPr>
        <w:t xml:space="preserve">Conflict-of-interest statement: </w:t>
      </w:r>
      <w:r w:rsidRPr="001409F0">
        <w:rPr>
          <w:rFonts w:ascii="Book Antiqua" w:hAnsi="Book Antiqua" w:cs="Arial"/>
        </w:rPr>
        <w:t>We wish to confirm that there are no known conflicts of interest associated with this publication and there has been no significant financial support for this work that could have influenced its outcome.</w:t>
      </w:r>
    </w:p>
    <w:p w14:paraId="1AD3F5DF" w14:textId="77777777" w:rsidR="000E0111" w:rsidRPr="001409F0" w:rsidRDefault="000E0111" w:rsidP="001409F0">
      <w:pPr>
        <w:adjustRightInd w:val="0"/>
        <w:snapToGrid w:val="0"/>
        <w:spacing w:line="360" w:lineRule="auto"/>
        <w:rPr>
          <w:rFonts w:ascii="Book Antiqua" w:hAnsi="Book Antiqua" w:cs="Arial"/>
          <w:b/>
        </w:rPr>
      </w:pPr>
    </w:p>
    <w:p w14:paraId="5FBF5B24" w14:textId="18BA51E1" w:rsidR="000E0111" w:rsidRPr="001409F0" w:rsidRDefault="000E0111" w:rsidP="001409F0">
      <w:pPr>
        <w:shd w:val="clear" w:color="auto" w:fill="FFFFFF"/>
        <w:adjustRightInd w:val="0"/>
        <w:snapToGrid w:val="0"/>
        <w:spacing w:line="360" w:lineRule="auto"/>
        <w:rPr>
          <w:rFonts w:ascii="Book Antiqua" w:hAnsi="Book Antiqua" w:cs="Arial"/>
        </w:rPr>
      </w:pPr>
      <w:r w:rsidRPr="001409F0">
        <w:rPr>
          <w:rFonts w:ascii="Book Antiqua" w:hAnsi="Book Antiqua"/>
          <w:b/>
        </w:rPr>
        <w:t xml:space="preserve">Institutional animal care and use committee statement: </w:t>
      </w:r>
      <w:r w:rsidRPr="001409F0">
        <w:rPr>
          <w:rFonts w:ascii="Book Antiqua" w:hAnsi="Book Antiqua" w:cs="Arial"/>
        </w:rPr>
        <w:t>All animal experiments were performed in strict accordance with the guide for the Care and Use of Laboratory Animals of the Institute of Basic Medicine, Shandong Academy of Medical Sciences. The experimental protocols were approved by the animal ethics committee of the Institute of Basic Medicine, Shandong Academy of Medical Sciences (07/2016). All efforts were made to minimize animal suffering.</w:t>
      </w:r>
    </w:p>
    <w:p w14:paraId="3EE3E3C1" w14:textId="77777777" w:rsidR="0090746B" w:rsidRPr="001409F0" w:rsidRDefault="0090746B" w:rsidP="001409F0">
      <w:pPr>
        <w:shd w:val="clear" w:color="auto" w:fill="FFFFFF"/>
        <w:adjustRightInd w:val="0"/>
        <w:snapToGrid w:val="0"/>
        <w:spacing w:line="360" w:lineRule="auto"/>
        <w:rPr>
          <w:rStyle w:val="apple-converted-space"/>
          <w:rFonts w:ascii="Book Antiqua" w:hAnsi="Book Antiqua" w:cs="Arial"/>
        </w:rPr>
      </w:pPr>
    </w:p>
    <w:p w14:paraId="49E06452" w14:textId="77777777" w:rsidR="0090746B" w:rsidRPr="001409F0" w:rsidRDefault="0090746B" w:rsidP="001409F0">
      <w:pPr>
        <w:adjustRightInd w:val="0"/>
        <w:snapToGrid w:val="0"/>
        <w:spacing w:line="360" w:lineRule="auto"/>
        <w:rPr>
          <w:rFonts w:ascii="Book Antiqua" w:hAnsi="Book Antiqua" w:cs="Calibri"/>
          <w:lang w:eastAsia="en-US"/>
        </w:rPr>
      </w:pPr>
      <w:bookmarkStart w:id="39" w:name="_Hlk22198473"/>
      <w:r w:rsidRPr="001409F0">
        <w:rPr>
          <w:rFonts w:ascii="Book Antiqua" w:hAnsi="Book Antiqua"/>
          <w:b/>
        </w:rPr>
        <w:t xml:space="preserve">ARRIVE guidelines statement: </w:t>
      </w:r>
      <w:bookmarkEnd w:id="39"/>
      <w:r w:rsidRPr="001409F0">
        <w:rPr>
          <w:rFonts w:ascii="Book Antiqua" w:hAnsi="Book Antiqua" w:cs="Calibri"/>
          <w:lang w:eastAsia="en-US"/>
        </w:rPr>
        <w:t>The authors have read the ARRIVE guidelines, and the manuscript was prepared and revised according to the ARRIVE guidelines.</w:t>
      </w:r>
    </w:p>
    <w:p w14:paraId="625FDCB6" w14:textId="4075863D" w:rsidR="0090746B" w:rsidRPr="001409F0" w:rsidRDefault="0090746B" w:rsidP="001409F0">
      <w:pPr>
        <w:autoSpaceDE w:val="0"/>
        <w:autoSpaceDN w:val="0"/>
        <w:adjustRightInd w:val="0"/>
        <w:snapToGrid w:val="0"/>
        <w:spacing w:line="360" w:lineRule="auto"/>
        <w:rPr>
          <w:rFonts w:ascii="Book Antiqua" w:hAnsi="Book Antiqua" w:cs="Arial"/>
          <w:b/>
        </w:rPr>
      </w:pPr>
    </w:p>
    <w:p w14:paraId="370D55D0" w14:textId="77777777" w:rsidR="0090746B" w:rsidRPr="001409F0" w:rsidRDefault="0090746B" w:rsidP="001409F0">
      <w:pPr>
        <w:widowControl/>
        <w:adjustRightInd w:val="0"/>
        <w:snapToGrid w:val="0"/>
        <w:spacing w:line="360" w:lineRule="auto"/>
        <w:rPr>
          <w:rFonts w:ascii="Book Antiqua" w:hAnsi="Book Antiqua"/>
          <w:lang w:eastAsia="en-US"/>
        </w:rPr>
      </w:pPr>
      <w:bookmarkStart w:id="40" w:name="_Hlk29216443"/>
      <w:bookmarkStart w:id="41" w:name="_Hlk27570239"/>
      <w:bookmarkStart w:id="42" w:name="_Hlk27143403"/>
      <w:bookmarkStart w:id="43" w:name="_Hlk28272061"/>
      <w:r w:rsidRPr="001409F0">
        <w:rPr>
          <w:rFonts w:ascii="Book Antiqua" w:hAnsi="Book Antiqua"/>
          <w:b/>
          <w:lang w:eastAsia="en-US"/>
        </w:rPr>
        <w:t xml:space="preserve">Open-Access: </w:t>
      </w:r>
      <w:r w:rsidRPr="001409F0">
        <w:rPr>
          <w:rFonts w:ascii="Book Antiqua" w:eastAsia="等线" w:hAnsi="Book Antiqua"/>
          <w:color w:val="000000"/>
          <w:kern w:val="2"/>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5A1EF9F" w14:textId="77777777" w:rsidR="0090746B" w:rsidRPr="001409F0" w:rsidRDefault="0090746B" w:rsidP="001409F0">
      <w:pPr>
        <w:adjustRightInd w:val="0"/>
        <w:snapToGrid w:val="0"/>
        <w:spacing w:line="360" w:lineRule="auto"/>
        <w:rPr>
          <w:rFonts w:ascii="Book Antiqua" w:hAnsi="Book Antiqua" w:cs="Calibri"/>
          <w:b/>
          <w:bCs/>
        </w:rPr>
      </w:pPr>
    </w:p>
    <w:p w14:paraId="00725F30" w14:textId="002C3E35" w:rsidR="0090746B" w:rsidRPr="001409F0" w:rsidRDefault="0090746B" w:rsidP="001409F0">
      <w:pPr>
        <w:adjustRightInd w:val="0"/>
        <w:snapToGrid w:val="0"/>
        <w:spacing w:line="360" w:lineRule="auto"/>
        <w:rPr>
          <w:rFonts w:ascii="Book Antiqua" w:hAnsi="Book Antiqua" w:cs="宋体"/>
        </w:rPr>
      </w:pPr>
      <w:r w:rsidRPr="001409F0">
        <w:rPr>
          <w:rFonts w:ascii="Book Antiqua" w:hAnsi="Book Antiqua" w:cs="宋体"/>
          <w:b/>
          <w:lang w:eastAsia="en-US"/>
        </w:rPr>
        <w:t>Manuscript</w:t>
      </w:r>
      <w:r w:rsidRPr="001409F0">
        <w:rPr>
          <w:rFonts w:ascii="Book Antiqua" w:hAnsi="Book Antiqua" w:cs="宋体"/>
          <w:b/>
        </w:rPr>
        <w:t xml:space="preserve"> </w:t>
      </w:r>
      <w:r w:rsidRPr="001409F0">
        <w:rPr>
          <w:rFonts w:ascii="Book Antiqua" w:hAnsi="Book Antiqua" w:cs="宋体"/>
          <w:b/>
          <w:lang w:eastAsia="en-US"/>
        </w:rPr>
        <w:t>source:</w:t>
      </w:r>
      <w:bookmarkEnd w:id="40"/>
      <w:r w:rsidRPr="001409F0">
        <w:rPr>
          <w:rFonts w:ascii="Book Antiqua" w:hAnsi="Book Antiqua" w:cs="宋体"/>
        </w:rPr>
        <w:t xml:space="preserve"> Unsolicited </w:t>
      </w:r>
      <w:r w:rsidR="001409F0">
        <w:rPr>
          <w:rFonts w:ascii="Book Antiqua" w:hAnsi="Book Antiqua" w:cs="宋体"/>
        </w:rPr>
        <w:t>m</w:t>
      </w:r>
      <w:r w:rsidRPr="001409F0">
        <w:rPr>
          <w:rFonts w:ascii="Book Antiqua" w:hAnsi="Book Antiqua" w:cs="宋体"/>
        </w:rPr>
        <w:t>anuscript</w:t>
      </w:r>
    </w:p>
    <w:bookmarkEnd w:id="41"/>
    <w:p w14:paraId="44DC5FA3" w14:textId="77777777" w:rsidR="0090746B" w:rsidRPr="001409F0" w:rsidRDefault="0090746B" w:rsidP="001409F0">
      <w:pPr>
        <w:widowControl/>
        <w:snapToGrid w:val="0"/>
        <w:spacing w:line="360" w:lineRule="auto"/>
        <w:rPr>
          <w:rFonts w:ascii="Book Antiqua" w:eastAsia="等线" w:hAnsi="Book Antiqua"/>
          <w:b/>
          <w:bCs/>
          <w:color w:val="000000"/>
        </w:rPr>
      </w:pPr>
    </w:p>
    <w:p w14:paraId="554DD811" w14:textId="7A353357" w:rsidR="0090746B" w:rsidRPr="001409F0" w:rsidRDefault="0090746B" w:rsidP="001409F0">
      <w:pPr>
        <w:widowControl/>
        <w:snapToGrid w:val="0"/>
        <w:spacing w:line="360" w:lineRule="auto"/>
        <w:rPr>
          <w:rFonts w:ascii="Book Antiqua" w:hAnsi="Book Antiqua"/>
          <w:b/>
          <w:lang w:eastAsia="en-US"/>
        </w:rPr>
      </w:pPr>
      <w:bookmarkStart w:id="44" w:name="_Hlk29216459"/>
      <w:r w:rsidRPr="001409F0">
        <w:rPr>
          <w:rFonts w:ascii="Book Antiqua" w:hAnsi="Book Antiqua"/>
          <w:b/>
          <w:lang w:eastAsia="en-US"/>
        </w:rPr>
        <w:t>Peer-review started:</w:t>
      </w:r>
      <w:r w:rsidRPr="001409F0">
        <w:rPr>
          <w:rFonts w:ascii="Book Antiqua" w:hAnsi="Book Antiqua"/>
        </w:rPr>
        <w:t xml:space="preserve"> November 5, 2019</w:t>
      </w:r>
      <w:r w:rsidRPr="001409F0">
        <w:rPr>
          <w:rFonts w:ascii="Book Antiqua" w:hAnsi="Book Antiqua"/>
          <w:lang w:eastAsia="en-US"/>
        </w:rPr>
        <w:t xml:space="preserve"> </w:t>
      </w:r>
    </w:p>
    <w:p w14:paraId="2666D493" w14:textId="647D034D" w:rsidR="0090746B" w:rsidRPr="001409F0" w:rsidRDefault="0090746B" w:rsidP="001409F0">
      <w:pPr>
        <w:widowControl/>
        <w:snapToGrid w:val="0"/>
        <w:spacing w:line="360" w:lineRule="auto"/>
        <w:rPr>
          <w:rFonts w:ascii="Book Antiqua" w:hAnsi="Book Antiqua"/>
          <w:b/>
          <w:lang w:eastAsia="en-US"/>
        </w:rPr>
      </w:pPr>
      <w:r w:rsidRPr="001409F0">
        <w:rPr>
          <w:rFonts w:ascii="Book Antiqua" w:hAnsi="Book Antiqua"/>
          <w:b/>
          <w:lang w:eastAsia="en-US"/>
        </w:rPr>
        <w:t>First decision:</w:t>
      </w:r>
      <w:r w:rsidRPr="001409F0">
        <w:rPr>
          <w:rFonts w:ascii="Book Antiqua" w:hAnsi="Book Antiqua"/>
        </w:rPr>
        <w:t xml:space="preserve"> December 5, 2019</w:t>
      </w:r>
      <w:r w:rsidRPr="001409F0">
        <w:rPr>
          <w:rFonts w:ascii="Book Antiqua" w:hAnsi="Book Antiqua"/>
          <w:lang w:eastAsia="en-US"/>
        </w:rPr>
        <w:t xml:space="preserve"> </w:t>
      </w:r>
    </w:p>
    <w:p w14:paraId="51F5E16B" w14:textId="2AF48A06" w:rsidR="0090746B" w:rsidRPr="001409F0" w:rsidRDefault="0090746B" w:rsidP="001409F0">
      <w:pPr>
        <w:widowControl/>
        <w:snapToGrid w:val="0"/>
        <w:spacing w:line="360" w:lineRule="auto"/>
        <w:rPr>
          <w:rFonts w:ascii="Book Antiqua" w:hAnsi="Book Antiqua"/>
        </w:rPr>
      </w:pPr>
      <w:r w:rsidRPr="001409F0">
        <w:rPr>
          <w:rFonts w:ascii="Book Antiqua" w:hAnsi="Book Antiqua"/>
          <w:b/>
          <w:lang w:eastAsia="en-US"/>
        </w:rPr>
        <w:t>Article in press:</w:t>
      </w:r>
      <w:r w:rsidRPr="001409F0">
        <w:rPr>
          <w:rFonts w:ascii="Book Antiqua" w:hAnsi="Book Antiqua"/>
          <w:lang w:eastAsia="en-US"/>
        </w:rPr>
        <w:t xml:space="preserve"> </w:t>
      </w:r>
      <w:bookmarkEnd w:id="44"/>
    </w:p>
    <w:p w14:paraId="60D5B3CA" w14:textId="77777777" w:rsidR="0090746B" w:rsidRPr="001409F0" w:rsidRDefault="0090746B" w:rsidP="001409F0">
      <w:pPr>
        <w:widowControl/>
        <w:snapToGrid w:val="0"/>
        <w:spacing w:line="360" w:lineRule="auto"/>
        <w:rPr>
          <w:rFonts w:ascii="Book Antiqua" w:hAnsi="Book Antiqua"/>
        </w:rPr>
      </w:pPr>
    </w:p>
    <w:p w14:paraId="015F3822" w14:textId="6FAAD219" w:rsidR="0090746B" w:rsidRPr="001409F0" w:rsidRDefault="0090746B" w:rsidP="001409F0">
      <w:pPr>
        <w:widowControl/>
        <w:snapToGrid w:val="0"/>
        <w:spacing w:line="360" w:lineRule="auto"/>
        <w:rPr>
          <w:rFonts w:ascii="Book Antiqua" w:hAnsi="Book Antiqua" w:cs="Helvetica"/>
          <w:b/>
          <w:lang w:eastAsia="en-US"/>
        </w:rPr>
      </w:pPr>
      <w:bookmarkStart w:id="45" w:name="_Hlk29216517"/>
      <w:r w:rsidRPr="001409F0">
        <w:rPr>
          <w:rFonts w:ascii="Book Antiqua" w:hAnsi="Book Antiqua" w:cs="Helvetica"/>
          <w:b/>
          <w:lang w:eastAsia="en-US"/>
        </w:rPr>
        <w:t xml:space="preserve">Specialty type: </w:t>
      </w:r>
      <w:r w:rsidRPr="001409F0">
        <w:rPr>
          <w:rFonts w:ascii="Book Antiqua" w:eastAsia="微软雅黑" w:hAnsi="Book Antiqua" w:cs="宋体"/>
        </w:rPr>
        <w:t>Gastroenterology and hepatology</w:t>
      </w:r>
    </w:p>
    <w:p w14:paraId="3CF92B78" w14:textId="792C2AB9" w:rsidR="0090746B" w:rsidRPr="001409F0" w:rsidRDefault="0090746B" w:rsidP="001409F0">
      <w:pPr>
        <w:widowControl/>
        <w:snapToGrid w:val="0"/>
        <w:spacing w:line="360" w:lineRule="auto"/>
        <w:rPr>
          <w:rFonts w:ascii="Book Antiqua" w:hAnsi="Book Antiqua" w:cs="Helvetica"/>
          <w:b/>
        </w:rPr>
      </w:pPr>
      <w:r w:rsidRPr="001409F0">
        <w:rPr>
          <w:rFonts w:ascii="Book Antiqua" w:hAnsi="Book Antiqua" w:cs="Helvetica"/>
          <w:b/>
          <w:lang w:eastAsia="en-US"/>
        </w:rPr>
        <w:t xml:space="preserve">Country of origin: </w:t>
      </w:r>
      <w:r w:rsidRPr="001409F0">
        <w:rPr>
          <w:rFonts w:ascii="Book Antiqua" w:hAnsi="Book Antiqua" w:cs="Helvetica"/>
          <w:bCs/>
          <w:lang w:eastAsia="en-US"/>
        </w:rPr>
        <w:t>Japan</w:t>
      </w:r>
    </w:p>
    <w:p w14:paraId="3E05807F" w14:textId="77777777" w:rsidR="0090746B" w:rsidRPr="001409F0" w:rsidRDefault="0090746B" w:rsidP="001409F0">
      <w:pPr>
        <w:widowControl/>
        <w:snapToGrid w:val="0"/>
        <w:spacing w:line="360" w:lineRule="auto"/>
        <w:rPr>
          <w:rFonts w:ascii="Book Antiqua" w:hAnsi="Book Antiqua" w:cs="Helvetica"/>
          <w:b/>
          <w:lang w:eastAsia="en-US"/>
        </w:rPr>
      </w:pPr>
      <w:r w:rsidRPr="001409F0">
        <w:rPr>
          <w:rFonts w:ascii="Book Antiqua" w:hAnsi="Book Antiqua" w:cs="Helvetica"/>
          <w:b/>
          <w:lang w:eastAsia="en-US"/>
        </w:rPr>
        <w:t>Peer-review report classification</w:t>
      </w:r>
    </w:p>
    <w:p w14:paraId="741F6EA3" w14:textId="160A5F8E" w:rsidR="0090746B" w:rsidRPr="001409F0" w:rsidRDefault="0090746B" w:rsidP="001409F0">
      <w:pPr>
        <w:widowControl/>
        <w:snapToGrid w:val="0"/>
        <w:spacing w:line="360" w:lineRule="auto"/>
        <w:rPr>
          <w:rFonts w:ascii="Book Antiqua" w:hAnsi="Book Antiqua" w:cs="Helvetica"/>
        </w:rPr>
      </w:pPr>
      <w:r w:rsidRPr="001409F0">
        <w:rPr>
          <w:rFonts w:ascii="Book Antiqua" w:hAnsi="Book Antiqua" w:cs="Helvetica"/>
          <w:lang w:eastAsia="en-US"/>
        </w:rPr>
        <w:t xml:space="preserve">Grade A (Excellent): </w:t>
      </w:r>
      <w:r w:rsidRPr="001409F0">
        <w:rPr>
          <w:rFonts w:ascii="Book Antiqua" w:hAnsi="Book Antiqua" w:cs="Helvetica"/>
        </w:rPr>
        <w:t>A</w:t>
      </w:r>
    </w:p>
    <w:p w14:paraId="74E44FA2" w14:textId="58B4A033" w:rsidR="0090746B" w:rsidRPr="001409F0" w:rsidRDefault="0090746B" w:rsidP="001409F0">
      <w:pPr>
        <w:widowControl/>
        <w:snapToGrid w:val="0"/>
        <w:spacing w:line="360" w:lineRule="auto"/>
        <w:rPr>
          <w:rFonts w:ascii="Book Antiqua" w:hAnsi="Book Antiqua" w:cs="Helvetica"/>
        </w:rPr>
      </w:pPr>
      <w:r w:rsidRPr="001409F0">
        <w:rPr>
          <w:rFonts w:ascii="Book Antiqua" w:hAnsi="Book Antiqua" w:cs="Helvetica"/>
          <w:lang w:eastAsia="en-US"/>
        </w:rPr>
        <w:t xml:space="preserve">Grade B (Very good): </w:t>
      </w:r>
      <w:r w:rsidRPr="001409F0">
        <w:rPr>
          <w:rFonts w:ascii="Book Antiqua" w:hAnsi="Book Antiqua" w:cs="Helvetica"/>
        </w:rPr>
        <w:t>B</w:t>
      </w:r>
    </w:p>
    <w:p w14:paraId="75CFF3C2" w14:textId="77777777" w:rsidR="0090746B" w:rsidRPr="001409F0" w:rsidRDefault="0090746B" w:rsidP="001409F0">
      <w:pPr>
        <w:widowControl/>
        <w:snapToGrid w:val="0"/>
        <w:spacing w:line="360" w:lineRule="auto"/>
        <w:rPr>
          <w:rFonts w:ascii="Book Antiqua" w:hAnsi="Book Antiqua" w:cs="Helvetica"/>
        </w:rPr>
      </w:pPr>
      <w:r w:rsidRPr="001409F0">
        <w:rPr>
          <w:rFonts w:ascii="Book Antiqua" w:hAnsi="Book Antiqua" w:cs="Helvetica"/>
          <w:lang w:eastAsia="en-US"/>
        </w:rPr>
        <w:t xml:space="preserve">Grade C (Good): </w:t>
      </w:r>
      <w:r w:rsidRPr="001409F0">
        <w:rPr>
          <w:rFonts w:ascii="Book Antiqua" w:hAnsi="Book Antiqua" w:cs="Helvetica"/>
        </w:rPr>
        <w:t>0</w:t>
      </w:r>
    </w:p>
    <w:p w14:paraId="45C747B2" w14:textId="77777777" w:rsidR="0090746B" w:rsidRPr="001409F0" w:rsidRDefault="0090746B" w:rsidP="001409F0">
      <w:pPr>
        <w:widowControl/>
        <w:snapToGrid w:val="0"/>
        <w:spacing w:line="360" w:lineRule="auto"/>
        <w:rPr>
          <w:rFonts w:ascii="Book Antiqua" w:hAnsi="Book Antiqua" w:cs="Helvetica"/>
          <w:lang w:eastAsia="en-US"/>
        </w:rPr>
      </w:pPr>
      <w:r w:rsidRPr="001409F0">
        <w:rPr>
          <w:rFonts w:ascii="Book Antiqua" w:hAnsi="Book Antiqua" w:cs="Helvetica"/>
          <w:lang w:eastAsia="en-US"/>
        </w:rPr>
        <w:t xml:space="preserve">Grade D (Fair): 0 </w:t>
      </w:r>
    </w:p>
    <w:p w14:paraId="09165900" w14:textId="77777777" w:rsidR="0090746B" w:rsidRPr="001409F0" w:rsidRDefault="0090746B" w:rsidP="001409F0">
      <w:pPr>
        <w:widowControl/>
        <w:snapToGrid w:val="0"/>
        <w:spacing w:line="360" w:lineRule="auto"/>
        <w:rPr>
          <w:rFonts w:ascii="Book Antiqua" w:hAnsi="Book Antiqua" w:cs="Calibri"/>
          <w:lang w:eastAsia="en-US"/>
        </w:rPr>
      </w:pPr>
      <w:r w:rsidRPr="001409F0">
        <w:rPr>
          <w:rFonts w:ascii="Book Antiqua" w:hAnsi="Book Antiqua" w:cs="Helvetica"/>
          <w:lang w:eastAsia="en-US"/>
        </w:rPr>
        <w:t>Grade E (Poor): 0</w:t>
      </w:r>
    </w:p>
    <w:bookmarkEnd w:id="45"/>
    <w:p w14:paraId="3961069A" w14:textId="77777777" w:rsidR="0090746B" w:rsidRPr="001409F0" w:rsidRDefault="0090746B" w:rsidP="001409F0">
      <w:pPr>
        <w:widowControl/>
        <w:snapToGrid w:val="0"/>
        <w:spacing w:line="360" w:lineRule="auto"/>
        <w:rPr>
          <w:rFonts w:ascii="Book Antiqua" w:hAnsi="Book Antiqua" w:cs="Calibri"/>
        </w:rPr>
      </w:pPr>
    </w:p>
    <w:p w14:paraId="160DFE67" w14:textId="575F95A0" w:rsidR="0090746B" w:rsidRPr="001409F0" w:rsidRDefault="0090746B" w:rsidP="001409F0">
      <w:pPr>
        <w:snapToGrid w:val="0"/>
        <w:spacing w:line="360" w:lineRule="auto"/>
        <w:ind w:right="120"/>
        <w:jc w:val="left"/>
        <w:rPr>
          <w:rFonts w:ascii="Book Antiqua" w:hAnsi="Book Antiqua" w:cs="Courier New"/>
          <w:b/>
          <w:kern w:val="2"/>
        </w:rPr>
      </w:pPr>
      <w:bookmarkStart w:id="46" w:name="_Hlk29216555"/>
      <w:r w:rsidRPr="001409F0">
        <w:rPr>
          <w:rFonts w:ascii="Book Antiqua" w:hAnsi="Book Antiqua" w:cs="Courier New"/>
          <w:b/>
          <w:kern w:val="2"/>
        </w:rPr>
        <w:t xml:space="preserve">P-Reviewer: </w:t>
      </w:r>
      <w:r w:rsidRPr="001409F0">
        <w:rPr>
          <w:rFonts w:ascii="Book Antiqua" w:hAnsi="Book Antiqua" w:cs="Courier New"/>
          <w:bCs/>
          <w:kern w:val="2"/>
        </w:rPr>
        <w:t>Aureliano M, Zhang H</w:t>
      </w:r>
      <w:r w:rsidRPr="001409F0">
        <w:rPr>
          <w:rFonts w:ascii="Book Antiqua" w:hAnsi="Book Antiqua" w:cs="Courier New"/>
          <w:b/>
          <w:kern w:val="2"/>
        </w:rPr>
        <w:t xml:space="preserve"> S-Editor: </w:t>
      </w:r>
      <w:r w:rsidRPr="001409F0">
        <w:rPr>
          <w:rFonts w:ascii="Book Antiqua" w:hAnsi="Book Antiqua" w:cs="Courier New"/>
          <w:kern w:val="2"/>
        </w:rPr>
        <w:t>Wang YQ</w:t>
      </w:r>
      <w:r w:rsidRPr="001409F0">
        <w:rPr>
          <w:rFonts w:ascii="Book Antiqua" w:hAnsi="Book Antiqua" w:cs="Courier New"/>
          <w:b/>
          <w:kern w:val="2"/>
        </w:rPr>
        <w:t xml:space="preserve"> L-Editor: </w:t>
      </w:r>
      <w:r w:rsidR="003126A7" w:rsidRPr="001409F0">
        <w:rPr>
          <w:rFonts w:ascii="Book Antiqua" w:hAnsi="Book Antiqua" w:cs="Courier New"/>
          <w:kern w:val="2"/>
        </w:rPr>
        <w:t xml:space="preserve">Filipodia </w:t>
      </w:r>
      <w:r w:rsidRPr="001409F0">
        <w:rPr>
          <w:rFonts w:ascii="Book Antiqua" w:hAnsi="Book Antiqua" w:cs="Courier New"/>
          <w:b/>
          <w:kern w:val="2"/>
        </w:rPr>
        <w:t>E-Editor:</w:t>
      </w:r>
      <w:bookmarkEnd w:id="46"/>
      <w:r w:rsidRPr="001409F0">
        <w:rPr>
          <w:rFonts w:ascii="Book Antiqua" w:hAnsi="Book Antiqua" w:cs="Courier New"/>
          <w:b/>
          <w:kern w:val="2"/>
        </w:rPr>
        <w:t xml:space="preserve"> </w:t>
      </w:r>
      <w:bookmarkEnd w:id="42"/>
    </w:p>
    <w:p w14:paraId="5A472539" w14:textId="46ADD695" w:rsidR="0090746B" w:rsidRPr="001409F0" w:rsidRDefault="0090746B" w:rsidP="001409F0">
      <w:pPr>
        <w:snapToGrid w:val="0"/>
        <w:spacing w:line="360" w:lineRule="auto"/>
        <w:ind w:right="120"/>
        <w:jc w:val="left"/>
        <w:rPr>
          <w:rFonts w:ascii="Book Antiqua" w:hAnsi="Book Antiqua" w:cs="Courier New"/>
          <w:b/>
          <w:kern w:val="2"/>
        </w:rPr>
      </w:pPr>
      <w:r w:rsidRPr="001409F0">
        <w:rPr>
          <w:rFonts w:ascii="Book Antiqua" w:hAnsi="Book Antiqua"/>
          <w:b/>
          <w:lang w:eastAsia="en-US"/>
        </w:rPr>
        <w:br w:type="page"/>
      </w:r>
    </w:p>
    <w:p w14:paraId="4ABD25E8" w14:textId="77777777" w:rsidR="0090746B" w:rsidRPr="001409F0" w:rsidRDefault="0090746B" w:rsidP="001409F0">
      <w:pPr>
        <w:widowControl/>
        <w:adjustRightInd w:val="0"/>
        <w:snapToGrid w:val="0"/>
        <w:spacing w:line="360" w:lineRule="auto"/>
        <w:rPr>
          <w:rFonts w:ascii="Book Antiqua" w:hAnsi="Book Antiqua"/>
          <w:b/>
        </w:rPr>
      </w:pPr>
      <w:bookmarkStart w:id="47" w:name="_Hlk27143547"/>
      <w:bookmarkEnd w:id="43"/>
      <w:r w:rsidRPr="001409F0">
        <w:rPr>
          <w:rFonts w:ascii="Book Antiqua" w:hAnsi="Book Antiqua"/>
          <w:b/>
          <w:lang w:eastAsia="en-US"/>
        </w:rPr>
        <w:lastRenderedPageBreak/>
        <w:t>Figure Legends</w:t>
      </w:r>
    </w:p>
    <w:bookmarkEnd w:id="47"/>
    <w:p w14:paraId="3809E3C0" w14:textId="1169D7C0" w:rsidR="00E05BA3" w:rsidRPr="001409F0" w:rsidRDefault="00FC12FC" w:rsidP="001409F0">
      <w:pPr>
        <w:pStyle w:val="a8"/>
        <w:adjustRightInd w:val="0"/>
        <w:snapToGrid w:val="0"/>
        <w:spacing w:line="360" w:lineRule="auto"/>
        <w:ind w:firstLineChars="0" w:firstLine="0"/>
        <w:rPr>
          <w:rFonts w:ascii="Book Antiqua" w:hAnsi="Book Antiqua" w:cs="Arial"/>
          <w:b/>
        </w:rPr>
      </w:pPr>
      <w:r w:rsidRPr="001409F0">
        <w:rPr>
          <w:rFonts w:ascii="Book Antiqua" w:hAnsi="Book Antiqua" w:cs="Arial"/>
          <w:b/>
          <w:noProof/>
          <w:lang w:eastAsia="ja-JP"/>
        </w:rPr>
        <mc:AlternateContent>
          <mc:Choice Requires="wps">
            <w:drawing>
              <wp:anchor distT="0" distB="0" distL="114300" distR="114300" simplePos="0" relativeHeight="251660288" behindDoc="0" locked="0" layoutInCell="1" allowOverlap="1" wp14:anchorId="53658E0E" wp14:editId="7A079EF3">
                <wp:simplePos x="0" y="0"/>
                <wp:positionH relativeFrom="column">
                  <wp:posOffset>0</wp:posOffset>
                </wp:positionH>
                <wp:positionV relativeFrom="paragraph">
                  <wp:posOffset>0</wp:posOffset>
                </wp:positionV>
                <wp:extent cx="2905125" cy="487680"/>
                <wp:effectExtent l="0" t="0" r="0" b="0"/>
                <wp:wrapNone/>
                <wp:docPr id="15" name="テキスト ボックス 5"/>
                <wp:cNvGraphicFramePr/>
                <a:graphic xmlns:a="http://schemas.openxmlformats.org/drawingml/2006/main">
                  <a:graphicData uri="http://schemas.microsoft.com/office/word/2010/wordprocessingShape">
                    <wps:wsp>
                      <wps:cNvSpPr txBox="1"/>
                      <wps:spPr>
                        <a:xfrm>
                          <a:off x="0" y="0"/>
                          <a:ext cx="2905125" cy="487680"/>
                        </a:xfrm>
                        <a:prstGeom prst="rect">
                          <a:avLst/>
                        </a:prstGeom>
                        <a:noFill/>
                      </wps:spPr>
                      <wps:txbx>
                        <w:txbxContent>
                          <w:p w14:paraId="2DE7131E" w14:textId="77777777" w:rsidR="00853143" w:rsidRDefault="00853143" w:rsidP="00FC12FC">
                            <w:pPr>
                              <w:textAlignment w:val="baseline"/>
                              <w:rPr>
                                <w:sz w:val="24"/>
                                <w:szCs w:val="24"/>
                              </w:rPr>
                            </w:pPr>
                            <w:r>
                              <w:rPr>
                                <w:rFonts w:ascii="Arial" w:hAnsi="Arial" w:cstheme="minorBidi"/>
                                <w:i/>
                                <w:iCs/>
                                <w:color w:val="FFFFFF" w:themeColor="background1"/>
                                <w:kern w:val="24"/>
                                <w:sz w:val="32"/>
                                <w:szCs w:val="32"/>
                              </w:rPr>
                              <w:t xml:space="preserve">Tamarix Chinensis Lour </w:t>
                            </w:r>
                            <w:r>
                              <w:rPr>
                                <w:rFonts w:ascii="Arial" w:hAnsi="Arial" w:cstheme="minorBidi"/>
                                <w:color w:val="FFFFFF" w:themeColor="background1"/>
                                <w:kern w:val="24"/>
                                <w:sz w:val="32"/>
                                <w:szCs w:val="32"/>
                              </w:rPr>
                              <w:t>(TCL)</w:t>
                            </w:r>
                          </w:p>
                        </w:txbxContent>
                      </wps:txbx>
                      <wps:bodyPr wrap="none" rtlCol="0">
                        <a:spAutoFit/>
                      </wps:bodyPr>
                    </wps:wsp>
                  </a:graphicData>
                </a:graphic>
              </wp:anchor>
            </w:drawing>
          </mc:Choice>
          <mc:Fallback>
            <w:pict>
              <v:shapetype w14:anchorId="53658E0E" id="_x0000_t202" coordsize="21600,21600" o:spt="202" path="m,l,21600r21600,l21600,xe">
                <v:stroke joinstyle="miter"/>
                <v:path gradientshapeok="t" o:connecttype="rect"/>
              </v:shapetype>
              <v:shape id="テキスト ボックス 5" o:spid="_x0000_s1026" type="#_x0000_t202" style="position:absolute;left:0;text-align:left;margin-left:0;margin-top:0;width:228.75pt;height:38.4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" filled="f" stroked="f">
                <v:textbox style="mso-fit-shape-to-text:t">
                  <w:txbxContent>
                    <w:p w14:paraId="2DE7131E" w14:textId="77777777" w:rsidR="00853143" w:rsidRDefault="00853143" w:rsidP="00FC12FC">
                      <w:pPr>
                        <w:textAlignment w:val="baseline"/>
                        <w:rPr>
                          <w:sz w:val="24"/>
                          <w:szCs w:val="24"/>
                        </w:rPr>
                      </w:pPr>
                      <w:r>
                        <w:rPr>
                          <w:rFonts w:ascii="Arial" w:hAnsi="Arial" w:cstheme="minorBidi"/>
                          <w:i/>
                          <w:iCs/>
                          <w:color w:val="FFFFFF" w:themeColor="background1"/>
                          <w:kern w:val="24"/>
                          <w:sz w:val="32"/>
                          <w:szCs w:val="32"/>
                        </w:rPr>
                        <w:t xml:space="preserve">Tamarix Chinensis Lour </w:t>
                      </w:r>
                      <w:r>
                        <w:rPr>
                          <w:rFonts w:ascii="Arial" w:hAnsi="Arial" w:cstheme="minorBidi"/>
                          <w:color w:val="FFFFFF" w:themeColor="background1"/>
                          <w:kern w:val="24"/>
                          <w:sz w:val="32"/>
                          <w:szCs w:val="32"/>
                        </w:rPr>
                        <w:t>(TCL)</w:t>
                      </w:r>
                    </w:p>
                  </w:txbxContent>
                </v:textbox>
              </v:shape>
            </w:pict>
          </mc:Fallback>
        </mc:AlternateContent>
      </w:r>
      <w:r w:rsidRPr="001409F0">
        <w:rPr>
          <w:rFonts w:ascii="Book Antiqua" w:hAnsi="Book Antiqua" w:cs="Arial"/>
          <w:b/>
        </w:rPr>
        <w:t xml:space="preserve"> </w:t>
      </w:r>
      <w:r w:rsidRPr="001409F0">
        <w:rPr>
          <w:rFonts w:ascii="Book Antiqua" w:hAnsi="Book Antiqua" w:cs="Arial"/>
          <w:b/>
          <w:noProof/>
          <w:lang w:eastAsia="ja-JP"/>
        </w:rPr>
        <w:drawing>
          <wp:inline distT="0" distB="0" distL="0" distR="0" wp14:anchorId="04580AAD" wp14:editId="409E3FED">
            <wp:extent cx="4084941" cy="3645024"/>
            <wp:effectExtent l="0" t="0" r="0" b="0"/>
            <wp:docPr id="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84941" cy="3645024"/>
                    </a:xfrm>
                    <a:prstGeom prst="rect">
                      <a:avLst/>
                    </a:prstGeom>
                  </pic:spPr>
                </pic:pic>
              </a:graphicData>
            </a:graphic>
          </wp:inline>
        </w:drawing>
      </w:r>
    </w:p>
    <w:p w14:paraId="6E730880" w14:textId="77777777" w:rsidR="00E05BA3" w:rsidRPr="001409F0" w:rsidRDefault="00E05BA3" w:rsidP="001409F0">
      <w:pPr>
        <w:pStyle w:val="a8"/>
        <w:adjustRightInd w:val="0"/>
        <w:snapToGrid w:val="0"/>
        <w:spacing w:line="360" w:lineRule="auto"/>
        <w:ind w:firstLineChars="0" w:firstLine="0"/>
        <w:rPr>
          <w:rFonts w:ascii="Book Antiqua" w:hAnsi="Book Antiqua" w:cs="Arial"/>
          <w:b/>
        </w:rPr>
      </w:pPr>
      <w:bookmarkStart w:id="48" w:name="_Hlk33534909"/>
      <w:r w:rsidRPr="001409F0">
        <w:rPr>
          <w:rFonts w:ascii="Book Antiqua" w:hAnsi="Book Antiqua" w:cs="Arial"/>
          <w:b/>
        </w:rPr>
        <w:t>Figure</w:t>
      </w:r>
      <w:bookmarkEnd w:id="48"/>
      <w:r w:rsidRPr="001409F0">
        <w:rPr>
          <w:rFonts w:ascii="Book Antiqua" w:hAnsi="Book Antiqua" w:cs="Arial"/>
          <w:b/>
        </w:rPr>
        <w:t xml:space="preserve"> 1 Tamarix canopy growing in the sandy soil along the coast of the Bohai Sea in China in spring.</w:t>
      </w:r>
    </w:p>
    <w:p w14:paraId="4E1A08D7" w14:textId="77777777" w:rsidR="00E05BA3" w:rsidRPr="001409F0" w:rsidRDefault="00E05BA3" w:rsidP="001409F0">
      <w:pPr>
        <w:pStyle w:val="a8"/>
        <w:adjustRightInd w:val="0"/>
        <w:snapToGrid w:val="0"/>
        <w:spacing w:line="360" w:lineRule="auto"/>
        <w:ind w:firstLineChars="0" w:firstLine="0"/>
        <w:rPr>
          <w:rFonts w:ascii="Book Antiqua" w:hAnsi="Book Antiqua" w:cs="Arial"/>
        </w:rPr>
      </w:pPr>
    </w:p>
    <w:p w14:paraId="57D20123" w14:textId="2D8F728A" w:rsidR="001409F0" w:rsidRDefault="001409F0">
      <w:pPr>
        <w:widowControl/>
        <w:jc w:val="left"/>
        <w:rPr>
          <w:rFonts w:ascii="Book Antiqua" w:hAnsi="Book Antiqua" w:cs="Arial"/>
        </w:rPr>
      </w:pPr>
      <w:r>
        <w:rPr>
          <w:rFonts w:ascii="Book Antiqua" w:hAnsi="Book Antiqua" w:cs="Arial"/>
        </w:rPr>
        <w:br w:type="page"/>
      </w:r>
    </w:p>
    <w:p w14:paraId="7329E9BA" w14:textId="77777777" w:rsidR="00E05BA3" w:rsidRPr="001409F0" w:rsidRDefault="00E05BA3" w:rsidP="001409F0">
      <w:pPr>
        <w:pStyle w:val="a8"/>
        <w:adjustRightInd w:val="0"/>
        <w:snapToGrid w:val="0"/>
        <w:spacing w:line="360" w:lineRule="auto"/>
        <w:ind w:firstLineChars="0" w:firstLine="0"/>
        <w:rPr>
          <w:rFonts w:ascii="Book Antiqua" w:hAnsi="Book Antiqua" w:cs="Arial"/>
        </w:rPr>
      </w:pPr>
    </w:p>
    <w:p w14:paraId="2E827E2C" w14:textId="5191729E" w:rsidR="00E05BA3" w:rsidRPr="001409F0" w:rsidRDefault="00FC12FC" w:rsidP="001409F0">
      <w:pPr>
        <w:adjustRightInd w:val="0"/>
        <w:snapToGrid w:val="0"/>
        <w:spacing w:line="360" w:lineRule="auto"/>
        <w:rPr>
          <w:rFonts w:ascii="Book Antiqua" w:hAnsi="Book Antiqua" w:cs="Arial"/>
          <w:b/>
        </w:rPr>
      </w:pPr>
      <w:r w:rsidRPr="001409F0">
        <w:rPr>
          <w:noProof/>
          <w:lang w:eastAsia="ja-JP"/>
        </w:rPr>
        <w:drawing>
          <wp:inline distT="0" distB="0" distL="0" distR="0" wp14:anchorId="53E6F894" wp14:editId="1004B658">
            <wp:extent cx="5278120" cy="19837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8120" cy="1983740"/>
                    </a:xfrm>
                    <a:prstGeom prst="rect">
                      <a:avLst/>
                    </a:prstGeom>
                  </pic:spPr>
                </pic:pic>
              </a:graphicData>
            </a:graphic>
          </wp:inline>
        </w:drawing>
      </w:r>
    </w:p>
    <w:p w14:paraId="5F2F2B62" w14:textId="696EBFFB"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b/>
        </w:rPr>
        <w:t xml:space="preserve">Figure 2 </w:t>
      </w:r>
      <w:r w:rsidRPr="00472ED2">
        <w:rPr>
          <w:rFonts w:ascii="Book Antiqua" w:hAnsi="Book Antiqua" w:cs="Arial"/>
          <w:b/>
          <w:i/>
        </w:rPr>
        <w:t>Tamarix chinensis Lour</w:t>
      </w:r>
      <w:r w:rsidRPr="001409F0">
        <w:rPr>
          <w:rFonts w:ascii="Book Antiqua" w:hAnsi="Book Antiqua" w:cs="Arial"/>
          <w:b/>
        </w:rPr>
        <w:t xml:space="preserve"> reduces chronic ethanol-induced hepatoxicity. </w:t>
      </w:r>
      <w:r w:rsidRPr="001409F0">
        <w:rPr>
          <w:rFonts w:ascii="Book Antiqua" w:hAnsi="Book Antiqua" w:cs="Arial"/>
        </w:rPr>
        <w:t>A</w:t>
      </w:r>
      <w:r w:rsidR="0090746B" w:rsidRPr="001409F0">
        <w:rPr>
          <w:rFonts w:ascii="Book Antiqua" w:hAnsi="Book Antiqua" w:cs="Arial"/>
        </w:rPr>
        <w:t>:</w:t>
      </w:r>
      <w:r w:rsidRPr="001409F0">
        <w:rPr>
          <w:rFonts w:ascii="Book Antiqua" w:hAnsi="Book Antiqua" w:cs="Arial"/>
        </w:rPr>
        <w:t xml:space="preserve"> Serum alanine aminotransferase; B</w:t>
      </w:r>
      <w:r w:rsidR="007127FF" w:rsidRPr="001409F0">
        <w:rPr>
          <w:rFonts w:ascii="Book Antiqua" w:hAnsi="Book Antiqua" w:cs="Arial"/>
        </w:rPr>
        <w:t>:</w:t>
      </w:r>
      <w:r w:rsidRPr="001409F0">
        <w:rPr>
          <w:rFonts w:ascii="Book Antiqua" w:hAnsi="Book Antiqua" w:cs="Arial"/>
        </w:rPr>
        <w:t xml:space="preserve"> Serum aspartate aminotransferase. Values represent the mean ±</w:t>
      </w:r>
      <w:r w:rsidR="00FC6F86">
        <w:rPr>
          <w:rFonts w:ascii="Book Antiqua" w:hAnsi="Book Antiqua" w:cs="Arial"/>
        </w:rPr>
        <w:t xml:space="preserve"> </w:t>
      </w:r>
      <w:r w:rsidRPr="001409F0">
        <w:rPr>
          <w:rFonts w:ascii="Book Antiqua" w:hAnsi="Book Antiqua" w:cs="Arial"/>
        </w:rPr>
        <w:t>SD (</w:t>
      </w:r>
      <w:r w:rsidRPr="001409F0">
        <w:rPr>
          <w:rFonts w:ascii="Book Antiqua" w:hAnsi="Book Antiqua" w:cs="Arial"/>
          <w:i/>
          <w:iCs/>
        </w:rPr>
        <w:t>n</w:t>
      </w:r>
      <w:r w:rsidR="007127FF" w:rsidRPr="001409F0">
        <w:rPr>
          <w:rFonts w:ascii="Book Antiqua" w:hAnsi="Book Antiqua" w:cs="Arial"/>
        </w:rPr>
        <w:t xml:space="preserve"> </w:t>
      </w:r>
      <w:r w:rsidRPr="001409F0">
        <w:rPr>
          <w:rFonts w:ascii="Book Antiqua" w:hAnsi="Book Antiqua" w:cs="Arial"/>
        </w:rPr>
        <w:t>=</w:t>
      </w:r>
      <w:r w:rsidR="007127FF" w:rsidRPr="001409F0">
        <w:rPr>
          <w:rFonts w:ascii="Book Antiqua" w:hAnsi="Book Antiqua" w:cs="Arial"/>
        </w:rPr>
        <w:t xml:space="preserve"> </w:t>
      </w:r>
      <w:r w:rsidRPr="001409F0">
        <w:rPr>
          <w:rFonts w:ascii="Book Antiqua" w:hAnsi="Book Antiqua" w:cs="Arial"/>
        </w:rPr>
        <w:t xml:space="preserve">16); </w:t>
      </w:r>
      <w:r w:rsidRPr="001409F0">
        <w:rPr>
          <w:rFonts w:ascii="Book Antiqua" w:hAnsi="Book Antiqua" w:cs="Arial"/>
          <w:vertAlign w:val="superscript"/>
        </w:rPr>
        <w:t>a</w:t>
      </w:r>
      <w:r w:rsidRPr="001409F0">
        <w:rPr>
          <w:rFonts w:ascii="Book Antiqua" w:hAnsi="Book Antiqua" w:cs="Arial"/>
          <w:i/>
        </w:rPr>
        <w:t>P</w:t>
      </w:r>
      <w:r w:rsidRPr="001409F0">
        <w:rPr>
          <w:rFonts w:ascii="Book Antiqua" w:hAnsi="Book Antiqua" w:cs="Arial"/>
        </w:rPr>
        <w:t xml:space="preserve"> &lt;</w:t>
      </w:r>
      <w:r w:rsidR="007127FF" w:rsidRPr="001409F0">
        <w:rPr>
          <w:rFonts w:ascii="Book Antiqua" w:hAnsi="Book Antiqua" w:cs="Arial"/>
        </w:rPr>
        <w:t xml:space="preserve"> </w:t>
      </w:r>
      <w:r w:rsidRPr="001409F0">
        <w:rPr>
          <w:rFonts w:ascii="Book Antiqua" w:hAnsi="Book Antiqua" w:cs="Arial"/>
        </w:rPr>
        <w:t xml:space="preserve">0.01 </w:t>
      </w:r>
      <w:r w:rsidRPr="001409F0">
        <w:rPr>
          <w:rFonts w:ascii="Book Antiqua" w:hAnsi="Book Antiqua" w:cs="Arial"/>
          <w:i/>
          <w:iCs/>
        </w:rPr>
        <w:t>vs</w:t>
      </w:r>
      <w:r w:rsidRPr="001409F0">
        <w:rPr>
          <w:rFonts w:ascii="Book Antiqua" w:hAnsi="Book Antiqua" w:cs="Arial"/>
        </w:rPr>
        <w:t xml:space="preserve"> control group; </w:t>
      </w:r>
      <w:r w:rsidRPr="001409F0">
        <w:rPr>
          <w:rFonts w:ascii="Book Antiqua" w:hAnsi="Book Antiqua" w:cs="Arial"/>
          <w:vertAlign w:val="superscript"/>
        </w:rPr>
        <w:t>b</w:t>
      </w:r>
      <w:r w:rsidRPr="001409F0">
        <w:rPr>
          <w:rFonts w:ascii="Book Antiqua" w:hAnsi="Book Antiqua" w:cs="Arial"/>
          <w:i/>
        </w:rPr>
        <w:t>P</w:t>
      </w:r>
      <w:r w:rsidR="007127FF" w:rsidRPr="001409F0">
        <w:rPr>
          <w:rFonts w:ascii="Book Antiqua" w:hAnsi="Book Antiqua" w:cs="Arial"/>
          <w:i/>
        </w:rPr>
        <w:t xml:space="preserve"> </w:t>
      </w:r>
      <w:r w:rsidRPr="001409F0">
        <w:rPr>
          <w:rFonts w:ascii="Book Antiqua" w:hAnsi="Book Antiqua" w:cs="Arial"/>
        </w:rPr>
        <w:t>&lt;</w:t>
      </w:r>
      <w:r w:rsidR="007127FF" w:rsidRPr="001409F0">
        <w:rPr>
          <w:rFonts w:ascii="Book Antiqua" w:hAnsi="Book Antiqua" w:cs="Arial"/>
        </w:rPr>
        <w:t xml:space="preserve"> </w:t>
      </w:r>
      <w:r w:rsidRPr="001409F0">
        <w:rPr>
          <w:rFonts w:ascii="Book Antiqua" w:hAnsi="Book Antiqua" w:cs="Arial"/>
        </w:rPr>
        <w:t xml:space="preserve">0.01 </w:t>
      </w:r>
      <w:r w:rsidRPr="001409F0">
        <w:rPr>
          <w:rFonts w:ascii="Book Antiqua" w:hAnsi="Book Antiqua" w:cs="Arial"/>
          <w:i/>
          <w:iCs/>
        </w:rPr>
        <w:t>vs</w:t>
      </w:r>
      <w:r w:rsidRPr="001409F0">
        <w:rPr>
          <w:rFonts w:ascii="Book Antiqua" w:hAnsi="Book Antiqua" w:cs="Arial"/>
        </w:rPr>
        <w:t xml:space="preserve"> ethanol group.</w:t>
      </w:r>
      <w:r w:rsidR="007127FF" w:rsidRPr="001409F0">
        <w:rPr>
          <w:rFonts w:ascii="Book Antiqua" w:hAnsi="Book Antiqua" w:cs="Arial"/>
        </w:rPr>
        <w:t xml:space="preserve"> ALT: alanine aminotransferase; AST: aspartate aminotransferase</w:t>
      </w:r>
      <w:r w:rsidR="001A02AF" w:rsidRPr="001409F0">
        <w:rPr>
          <w:rFonts w:ascii="Book Antiqua" w:hAnsi="Book Antiqua" w:cs="Arial"/>
        </w:rPr>
        <w:t xml:space="preserve">; TCL: </w:t>
      </w:r>
      <w:r w:rsidR="001A02AF" w:rsidRPr="001409F0">
        <w:rPr>
          <w:rFonts w:ascii="Book Antiqua" w:hAnsi="Book Antiqua" w:cs="Arial"/>
          <w:bCs/>
          <w:i/>
          <w:iCs/>
        </w:rPr>
        <w:t>Tamarix chinensis Lour</w:t>
      </w:r>
      <w:r w:rsidR="007127FF" w:rsidRPr="001409F0">
        <w:rPr>
          <w:rFonts w:ascii="Book Antiqua" w:hAnsi="Book Antiqua" w:cs="Arial"/>
        </w:rPr>
        <w:t>.</w:t>
      </w:r>
    </w:p>
    <w:p w14:paraId="2FA040CB" w14:textId="77777777" w:rsidR="00E22F0D" w:rsidRPr="001409F0" w:rsidRDefault="00E22F0D" w:rsidP="001409F0">
      <w:pPr>
        <w:adjustRightInd w:val="0"/>
        <w:snapToGrid w:val="0"/>
        <w:spacing w:line="360" w:lineRule="auto"/>
        <w:rPr>
          <w:rFonts w:ascii="Book Antiqua" w:hAnsi="Book Antiqua" w:cs="Arial"/>
        </w:rPr>
      </w:pPr>
    </w:p>
    <w:p w14:paraId="31E27EB1" w14:textId="29F87D5B" w:rsidR="001409F0" w:rsidRDefault="001409F0">
      <w:pPr>
        <w:widowControl/>
        <w:jc w:val="left"/>
        <w:rPr>
          <w:rFonts w:ascii="Book Antiqua" w:hAnsi="Book Antiqua" w:cs="Arial"/>
        </w:rPr>
      </w:pPr>
      <w:r>
        <w:rPr>
          <w:rFonts w:ascii="Book Antiqua" w:hAnsi="Book Antiqua" w:cs="Arial"/>
        </w:rPr>
        <w:br w:type="page"/>
      </w:r>
    </w:p>
    <w:p w14:paraId="3CEDDE68" w14:textId="77777777" w:rsidR="00E22F0D" w:rsidRPr="001409F0" w:rsidRDefault="00E22F0D" w:rsidP="001409F0">
      <w:pPr>
        <w:adjustRightInd w:val="0"/>
        <w:snapToGrid w:val="0"/>
        <w:spacing w:line="360" w:lineRule="auto"/>
        <w:rPr>
          <w:rFonts w:ascii="Book Antiqua" w:hAnsi="Book Antiqua" w:cs="Arial"/>
        </w:rPr>
      </w:pPr>
    </w:p>
    <w:p w14:paraId="29F55236" w14:textId="1DAC4669" w:rsidR="00E05BA3" w:rsidRPr="001409F0" w:rsidRDefault="00FC12FC" w:rsidP="001409F0">
      <w:pPr>
        <w:widowControl/>
        <w:adjustRightInd w:val="0"/>
        <w:snapToGrid w:val="0"/>
        <w:spacing w:line="360" w:lineRule="auto"/>
        <w:rPr>
          <w:rFonts w:ascii="Book Antiqua" w:hAnsi="Book Antiqua"/>
        </w:rPr>
      </w:pPr>
      <w:r w:rsidRPr="001409F0">
        <w:rPr>
          <w:noProof/>
          <w:lang w:eastAsia="ja-JP"/>
        </w:rPr>
        <w:drawing>
          <wp:inline distT="0" distB="0" distL="0" distR="0" wp14:anchorId="42CA2F63" wp14:editId="1F626AEA">
            <wp:extent cx="5278120" cy="38677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8120" cy="3867785"/>
                    </a:xfrm>
                    <a:prstGeom prst="rect">
                      <a:avLst/>
                    </a:prstGeom>
                  </pic:spPr>
                </pic:pic>
              </a:graphicData>
            </a:graphic>
          </wp:inline>
        </w:drawing>
      </w:r>
    </w:p>
    <w:p w14:paraId="435FBD7B" w14:textId="141BB4EE" w:rsidR="00E05BA3" w:rsidRPr="001409F0" w:rsidRDefault="00E05BA3" w:rsidP="001409F0">
      <w:pPr>
        <w:adjustRightInd w:val="0"/>
        <w:snapToGrid w:val="0"/>
        <w:spacing w:line="360" w:lineRule="auto"/>
        <w:rPr>
          <w:rFonts w:ascii="Book Antiqua" w:hAnsi="Book Antiqua" w:cs="Arial"/>
          <w:bCs/>
        </w:rPr>
      </w:pPr>
      <w:r w:rsidRPr="001409F0">
        <w:rPr>
          <w:rFonts w:ascii="Book Antiqua" w:hAnsi="Book Antiqua" w:cs="Arial"/>
          <w:b/>
        </w:rPr>
        <w:t xml:space="preserve">Figure 3 </w:t>
      </w:r>
      <w:r w:rsidRPr="001409F0">
        <w:rPr>
          <w:rFonts w:ascii="Book Antiqua" w:hAnsi="Book Antiqua" w:cs="Arial"/>
          <w:b/>
          <w:i/>
          <w:iCs/>
        </w:rPr>
        <w:t>Tamarix chinensis Lour</w:t>
      </w:r>
      <w:r w:rsidRPr="001409F0">
        <w:rPr>
          <w:rFonts w:ascii="Book Antiqua" w:hAnsi="Book Antiqua" w:cs="Arial"/>
          <w:b/>
        </w:rPr>
        <w:t xml:space="preserve"> attenuates chronic ethanol-induced hepatic steatosis. </w:t>
      </w:r>
      <w:r w:rsidRPr="001409F0">
        <w:rPr>
          <w:rFonts w:ascii="Book Antiqua" w:hAnsi="Book Antiqua" w:cs="Arial"/>
        </w:rPr>
        <w:t>A</w:t>
      </w:r>
      <w:r w:rsidR="007127FF" w:rsidRPr="001409F0">
        <w:rPr>
          <w:rFonts w:ascii="Book Antiqua" w:hAnsi="Book Antiqua" w:cs="Arial"/>
        </w:rPr>
        <w:t>:</w:t>
      </w:r>
      <w:r w:rsidRPr="001409F0">
        <w:rPr>
          <w:rFonts w:ascii="Book Antiqua" w:hAnsi="Book Antiqua" w:cs="Arial"/>
        </w:rPr>
        <w:t xml:space="preserve"> H</w:t>
      </w:r>
      <w:r w:rsidR="00516D69" w:rsidRPr="001409F0">
        <w:rPr>
          <w:rFonts w:ascii="Book Antiqua" w:hAnsi="Book Antiqua" w:cs="Arial"/>
        </w:rPr>
        <w:t>ematoxylin and eosin</w:t>
      </w:r>
      <w:r w:rsidRPr="001409F0">
        <w:rPr>
          <w:rFonts w:ascii="Book Antiqua" w:hAnsi="Book Antiqua" w:cs="Arial"/>
        </w:rPr>
        <w:t xml:space="preserve"> staining</w:t>
      </w:r>
      <w:r w:rsidR="007127FF" w:rsidRPr="001409F0">
        <w:rPr>
          <w:rFonts w:ascii="Book Antiqua" w:hAnsi="Book Antiqua" w:cs="Arial"/>
        </w:rPr>
        <w:t xml:space="preserve"> </w:t>
      </w:r>
      <w:r w:rsidR="00FC6F86">
        <w:rPr>
          <w:rFonts w:ascii="Book Antiqua" w:hAnsi="Book Antiqua" w:cs="Arial"/>
        </w:rPr>
        <w:t>[</w:t>
      </w:r>
      <w:r w:rsidRPr="001409F0">
        <w:rPr>
          <w:rFonts w:ascii="Book Antiqua" w:hAnsi="Book Antiqua" w:cs="Arial"/>
        </w:rPr>
        <w:t>a: Control</w:t>
      </w:r>
      <w:r w:rsidR="00516D69" w:rsidRPr="001409F0">
        <w:rPr>
          <w:rFonts w:ascii="Book Antiqua" w:hAnsi="Book Antiqua" w:cs="Arial"/>
        </w:rPr>
        <w:t xml:space="preserve"> (Ctrl)</w:t>
      </w:r>
      <w:r w:rsidRPr="001409F0">
        <w:rPr>
          <w:rFonts w:ascii="Book Antiqua" w:hAnsi="Book Antiqua" w:cs="Arial"/>
        </w:rPr>
        <w:t xml:space="preserve"> group</w:t>
      </w:r>
      <w:r w:rsidR="007127FF" w:rsidRPr="001409F0">
        <w:rPr>
          <w:rFonts w:ascii="Book Antiqua" w:hAnsi="Book Antiqua" w:cs="Arial"/>
        </w:rPr>
        <w:t>;</w:t>
      </w:r>
      <w:r w:rsidRPr="001409F0">
        <w:rPr>
          <w:rFonts w:ascii="Book Antiqua" w:hAnsi="Book Antiqua" w:cs="Arial"/>
        </w:rPr>
        <w:t xml:space="preserve"> b: Ethanol</w:t>
      </w:r>
      <w:r w:rsidR="00516D69" w:rsidRPr="001409F0">
        <w:rPr>
          <w:rFonts w:ascii="Book Antiqua" w:hAnsi="Book Antiqua" w:cs="Arial"/>
        </w:rPr>
        <w:t xml:space="preserve"> (EtOH)</w:t>
      </w:r>
      <w:r w:rsidRPr="001409F0">
        <w:rPr>
          <w:rFonts w:ascii="Book Antiqua" w:hAnsi="Book Antiqua" w:cs="Arial"/>
        </w:rPr>
        <w:t xml:space="preserve"> group</w:t>
      </w:r>
      <w:r w:rsidR="00FC6F86">
        <w:rPr>
          <w:rFonts w:ascii="Book Antiqua" w:hAnsi="Book Antiqua" w:cs="Arial"/>
        </w:rPr>
        <w:t>]</w:t>
      </w:r>
      <w:r w:rsidRPr="001409F0">
        <w:rPr>
          <w:rFonts w:ascii="Book Antiqua" w:hAnsi="Book Antiqua" w:cs="Arial"/>
        </w:rPr>
        <w:t>; B</w:t>
      </w:r>
      <w:r w:rsidR="007127FF" w:rsidRPr="001409F0">
        <w:rPr>
          <w:rFonts w:ascii="Book Antiqua" w:hAnsi="Book Antiqua" w:cs="Arial"/>
        </w:rPr>
        <w:t>:</w:t>
      </w:r>
      <w:r w:rsidRPr="001409F0">
        <w:rPr>
          <w:rFonts w:ascii="Book Antiqua" w:hAnsi="Book Antiqua" w:cs="Arial"/>
        </w:rPr>
        <w:t xml:space="preserve"> Oil Red O staining</w:t>
      </w:r>
      <w:r w:rsidR="007127FF" w:rsidRPr="001409F0">
        <w:rPr>
          <w:rFonts w:ascii="Book Antiqua" w:hAnsi="Book Antiqua" w:cs="Arial"/>
        </w:rPr>
        <w:t xml:space="preserve"> (</w:t>
      </w:r>
      <w:r w:rsidRPr="001409F0">
        <w:rPr>
          <w:rFonts w:ascii="Book Antiqua" w:hAnsi="Book Antiqua" w:cs="Arial"/>
        </w:rPr>
        <w:t xml:space="preserve">a: </w:t>
      </w:r>
      <w:r w:rsidR="00516D69" w:rsidRPr="001409F0">
        <w:rPr>
          <w:rFonts w:ascii="Book Antiqua" w:hAnsi="Book Antiqua" w:cs="Arial"/>
        </w:rPr>
        <w:t xml:space="preserve">Ctrl </w:t>
      </w:r>
      <w:r w:rsidRPr="001409F0">
        <w:rPr>
          <w:rFonts w:ascii="Book Antiqua" w:hAnsi="Book Antiqua" w:cs="Arial"/>
        </w:rPr>
        <w:t>group</w:t>
      </w:r>
      <w:r w:rsidR="007127FF" w:rsidRPr="001409F0">
        <w:rPr>
          <w:rFonts w:ascii="Book Antiqua" w:hAnsi="Book Antiqua" w:cs="Arial"/>
        </w:rPr>
        <w:t>;</w:t>
      </w:r>
      <w:r w:rsidRPr="001409F0">
        <w:rPr>
          <w:rFonts w:ascii="Book Antiqua" w:hAnsi="Book Antiqua" w:cs="Arial"/>
        </w:rPr>
        <w:t xml:space="preserve"> b: </w:t>
      </w:r>
      <w:r w:rsidR="00C45A9F" w:rsidRPr="001409F0">
        <w:rPr>
          <w:rFonts w:ascii="Book Antiqua" w:hAnsi="Book Antiqua" w:cs="Arial"/>
        </w:rPr>
        <w:t xml:space="preserve">EtOH </w:t>
      </w:r>
      <w:r w:rsidRPr="001409F0">
        <w:rPr>
          <w:rFonts w:ascii="Book Antiqua" w:hAnsi="Book Antiqua" w:cs="Arial"/>
        </w:rPr>
        <w:t xml:space="preserve">group; c: </w:t>
      </w:r>
      <w:r w:rsidR="00C45A9F" w:rsidRPr="001409F0">
        <w:rPr>
          <w:rFonts w:ascii="Book Antiqua" w:hAnsi="Book Antiqua" w:cs="Arial"/>
        </w:rPr>
        <w:t xml:space="preserve">EtOH </w:t>
      </w:r>
      <w:r w:rsidRPr="001409F0">
        <w:rPr>
          <w:rFonts w:ascii="Book Antiqua" w:hAnsi="Book Antiqua" w:cs="Arial"/>
        </w:rPr>
        <w:t xml:space="preserve">plus </w:t>
      </w:r>
      <w:r w:rsidRPr="001409F0">
        <w:rPr>
          <w:rFonts w:ascii="Book Antiqua" w:hAnsi="Book Antiqua" w:cs="Arial"/>
          <w:i/>
          <w:iCs/>
        </w:rPr>
        <w:t xml:space="preserve">Tamarix chinensis </w:t>
      </w:r>
      <w:r w:rsidR="007127FF" w:rsidRPr="001409F0">
        <w:rPr>
          <w:rFonts w:ascii="Book Antiqua" w:hAnsi="Book Antiqua" w:cs="Arial"/>
          <w:i/>
          <w:iCs/>
        </w:rPr>
        <w:t>Lour</w:t>
      </w:r>
      <w:r w:rsidRPr="001409F0">
        <w:rPr>
          <w:rFonts w:ascii="Book Antiqua" w:hAnsi="Book Antiqua" w:cs="Arial"/>
        </w:rPr>
        <w:t xml:space="preserve">-low group; d: </w:t>
      </w:r>
      <w:r w:rsidR="00C45A9F" w:rsidRPr="001409F0">
        <w:rPr>
          <w:rFonts w:ascii="Book Antiqua" w:hAnsi="Book Antiqua" w:cs="Arial"/>
        </w:rPr>
        <w:t xml:space="preserve">EtOH </w:t>
      </w:r>
      <w:r w:rsidRPr="001409F0">
        <w:rPr>
          <w:rFonts w:ascii="Book Antiqua" w:hAnsi="Book Antiqua" w:cs="Arial"/>
        </w:rPr>
        <w:t xml:space="preserve">plus </w:t>
      </w:r>
      <w:r w:rsidRPr="00472ED2">
        <w:rPr>
          <w:rFonts w:ascii="Book Antiqua" w:hAnsi="Book Antiqua" w:cs="Arial"/>
          <w:i/>
          <w:iCs/>
        </w:rPr>
        <w:t xml:space="preserve">Tamarix chinensis </w:t>
      </w:r>
      <w:r w:rsidR="007127FF" w:rsidRPr="00472ED2">
        <w:rPr>
          <w:rFonts w:ascii="Book Antiqua" w:hAnsi="Book Antiqua" w:cs="Arial"/>
          <w:i/>
          <w:iCs/>
        </w:rPr>
        <w:t>Lour</w:t>
      </w:r>
      <w:r w:rsidRPr="001409F0">
        <w:rPr>
          <w:rFonts w:ascii="Book Antiqua" w:hAnsi="Book Antiqua" w:cs="Arial"/>
        </w:rPr>
        <w:t xml:space="preserve">-high group; e: </w:t>
      </w:r>
      <w:r w:rsidR="00C45A9F" w:rsidRPr="001409F0">
        <w:rPr>
          <w:rFonts w:ascii="Book Antiqua" w:hAnsi="Book Antiqua" w:cs="Arial"/>
        </w:rPr>
        <w:t xml:space="preserve">EtOH </w:t>
      </w:r>
      <w:r w:rsidRPr="001409F0">
        <w:rPr>
          <w:rFonts w:ascii="Book Antiqua" w:hAnsi="Book Antiqua" w:cs="Arial"/>
        </w:rPr>
        <w:t>plus GSH group</w:t>
      </w:r>
      <w:r w:rsidR="007127FF" w:rsidRPr="001409F0">
        <w:rPr>
          <w:rFonts w:ascii="Book Antiqua" w:hAnsi="Book Antiqua" w:cs="Arial"/>
        </w:rPr>
        <w:t>);</w:t>
      </w:r>
      <w:r w:rsidRPr="001409F0">
        <w:rPr>
          <w:rFonts w:ascii="Book Antiqua" w:hAnsi="Book Antiqua" w:cs="Arial"/>
        </w:rPr>
        <w:t xml:space="preserve"> C</w:t>
      </w:r>
      <w:r w:rsidR="007127FF" w:rsidRPr="001409F0">
        <w:rPr>
          <w:rFonts w:ascii="Book Antiqua" w:hAnsi="Book Antiqua" w:cs="Arial"/>
        </w:rPr>
        <w:t>:</w:t>
      </w:r>
      <w:r w:rsidRPr="001409F0">
        <w:rPr>
          <w:rFonts w:ascii="Book Antiqua" w:hAnsi="Book Antiqua" w:cs="Arial"/>
        </w:rPr>
        <w:t xml:space="preserve"> Hepatic triglyceride levels. Values represent the mean ±</w:t>
      </w:r>
      <w:r w:rsidR="007127FF" w:rsidRPr="001409F0">
        <w:rPr>
          <w:rFonts w:ascii="Book Antiqua" w:hAnsi="Book Antiqua" w:cs="Arial"/>
        </w:rPr>
        <w:t xml:space="preserve"> </w:t>
      </w:r>
      <w:r w:rsidRPr="001409F0">
        <w:rPr>
          <w:rFonts w:ascii="Book Antiqua" w:hAnsi="Book Antiqua" w:cs="Arial"/>
        </w:rPr>
        <w:t>SD (</w:t>
      </w:r>
      <w:r w:rsidRPr="001409F0">
        <w:rPr>
          <w:rFonts w:ascii="Book Antiqua" w:hAnsi="Book Antiqua" w:cs="Arial"/>
          <w:i/>
          <w:iCs/>
        </w:rPr>
        <w:t>n</w:t>
      </w:r>
      <w:r w:rsidR="007127FF" w:rsidRPr="001409F0">
        <w:rPr>
          <w:rFonts w:ascii="Book Antiqua" w:hAnsi="Book Antiqua" w:cs="Arial"/>
        </w:rPr>
        <w:t xml:space="preserve"> </w:t>
      </w:r>
      <w:r w:rsidRPr="001409F0">
        <w:rPr>
          <w:rFonts w:ascii="Book Antiqua" w:hAnsi="Book Antiqua" w:cs="Arial"/>
        </w:rPr>
        <w:t>=</w:t>
      </w:r>
      <w:r w:rsidR="007127FF" w:rsidRPr="001409F0">
        <w:rPr>
          <w:rFonts w:ascii="Book Antiqua" w:hAnsi="Book Antiqua" w:cs="Arial"/>
        </w:rPr>
        <w:t xml:space="preserve"> </w:t>
      </w:r>
      <w:r w:rsidRPr="001409F0">
        <w:rPr>
          <w:rFonts w:ascii="Book Antiqua" w:hAnsi="Book Antiqua" w:cs="Arial"/>
        </w:rPr>
        <w:t xml:space="preserve">16); </w:t>
      </w:r>
      <w:r w:rsidRPr="001409F0">
        <w:rPr>
          <w:rFonts w:ascii="Book Antiqua" w:hAnsi="Book Antiqua" w:cs="Arial"/>
          <w:vertAlign w:val="superscript"/>
        </w:rPr>
        <w:t>a</w:t>
      </w:r>
      <w:r w:rsidRPr="001409F0">
        <w:rPr>
          <w:rFonts w:ascii="Book Antiqua" w:hAnsi="Book Antiqua" w:cs="Arial"/>
          <w:i/>
          <w:iCs/>
        </w:rPr>
        <w:t>P</w:t>
      </w:r>
      <w:r w:rsidRPr="001409F0">
        <w:rPr>
          <w:rFonts w:ascii="Book Antiqua" w:hAnsi="Book Antiqua" w:cs="Arial"/>
        </w:rPr>
        <w:t xml:space="preserve"> &lt;</w:t>
      </w:r>
      <w:r w:rsidR="007127FF" w:rsidRPr="001409F0">
        <w:rPr>
          <w:rFonts w:ascii="Book Antiqua" w:hAnsi="Book Antiqua" w:cs="Arial"/>
        </w:rPr>
        <w:t xml:space="preserve"> </w:t>
      </w:r>
      <w:r w:rsidRPr="001409F0">
        <w:rPr>
          <w:rFonts w:ascii="Book Antiqua" w:hAnsi="Book Antiqua" w:cs="Arial"/>
        </w:rPr>
        <w:t xml:space="preserve">0.01 </w:t>
      </w:r>
      <w:r w:rsidR="00757490" w:rsidRPr="001409F0">
        <w:rPr>
          <w:rFonts w:ascii="Book Antiqua" w:hAnsi="Book Antiqua" w:cs="Arial"/>
          <w:i/>
          <w:iCs/>
        </w:rPr>
        <w:t>vs</w:t>
      </w:r>
      <w:r w:rsidRPr="001409F0">
        <w:rPr>
          <w:rFonts w:ascii="Book Antiqua" w:hAnsi="Book Antiqua" w:cs="Arial"/>
        </w:rPr>
        <w:t xml:space="preserve"> </w:t>
      </w:r>
      <w:r w:rsidR="00C45A9F" w:rsidRPr="001409F0">
        <w:rPr>
          <w:rFonts w:ascii="Book Antiqua" w:hAnsi="Book Antiqua" w:cs="Arial"/>
        </w:rPr>
        <w:t xml:space="preserve">Ctrl </w:t>
      </w:r>
      <w:r w:rsidRPr="001409F0">
        <w:rPr>
          <w:rFonts w:ascii="Book Antiqua" w:hAnsi="Book Antiqua" w:cs="Arial"/>
        </w:rPr>
        <w:t xml:space="preserve">group; </w:t>
      </w:r>
      <w:r w:rsidRPr="001409F0">
        <w:rPr>
          <w:rFonts w:ascii="Book Antiqua" w:hAnsi="Book Antiqua" w:cs="Arial"/>
          <w:vertAlign w:val="superscript"/>
        </w:rPr>
        <w:t>b</w:t>
      </w:r>
      <w:r w:rsidRPr="001409F0">
        <w:rPr>
          <w:rFonts w:ascii="Book Antiqua" w:hAnsi="Book Antiqua" w:cs="Arial"/>
          <w:i/>
          <w:iCs/>
        </w:rPr>
        <w:t>P</w:t>
      </w:r>
      <w:r w:rsidR="007127FF" w:rsidRPr="001409F0">
        <w:rPr>
          <w:rFonts w:ascii="Book Antiqua" w:hAnsi="Book Antiqua" w:cs="Arial"/>
          <w:i/>
          <w:iCs/>
        </w:rPr>
        <w:t xml:space="preserve"> </w:t>
      </w:r>
      <w:r w:rsidRPr="001409F0">
        <w:rPr>
          <w:rFonts w:ascii="Book Antiqua" w:hAnsi="Book Antiqua" w:cs="Arial"/>
        </w:rPr>
        <w:t>&lt;</w:t>
      </w:r>
      <w:r w:rsidR="007127FF" w:rsidRPr="001409F0">
        <w:rPr>
          <w:rFonts w:ascii="Book Antiqua" w:hAnsi="Book Antiqua" w:cs="Arial"/>
        </w:rPr>
        <w:t xml:space="preserve"> </w:t>
      </w:r>
      <w:r w:rsidRPr="001409F0">
        <w:rPr>
          <w:rFonts w:ascii="Book Antiqua" w:hAnsi="Book Antiqua" w:cs="Arial"/>
        </w:rPr>
        <w:t xml:space="preserve">0.05, </w:t>
      </w:r>
      <w:r w:rsidRPr="001409F0">
        <w:rPr>
          <w:rFonts w:ascii="Book Antiqua" w:hAnsi="Book Antiqua" w:cs="Arial"/>
          <w:vertAlign w:val="superscript"/>
        </w:rPr>
        <w:t>c</w:t>
      </w:r>
      <w:r w:rsidRPr="001409F0">
        <w:rPr>
          <w:rFonts w:ascii="Book Antiqua" w:hAnsi="Book Antiqua" w:cs="Arial"/>
          <w:i/>
          <w:iCs/>
        </w:rPr>
        <w:t>P</w:t>
      </w:r>
      <w:r w:rsidR="007127FF" w:rsidRPr="001409F0">
        <w:rPr>
          <w:rFonts w:ascii="Book Antiqua" w:hAnsi="Book Antiqua" w:cs="Arial"/>
        </w:rPr>
        <w:t xml:space="preserve"> </w:t>
      </w:r>
      <w:r w:rsidRPr="001409F0">
        <w:rPr>
          <w:rFonts w:ascii="Book Antiqua" w:hAnsi="Book Antiqua" w:cs="Arial"/>
        </w:rPr>
        <w:t>&lt;</w:t>
      </w:r>
      <w:r w:rsidR="007127FF" w:rsidRPr="001409F0">
        <w:rPr>
          <w:rFonts w:ascii="Book Antiqua" w:hAnsi="Book Antiqua" w:cs="Arial"/>
        </w:rPr>
        <w:t xml:space="preserve"> </w:t>
      </w:r>
      <w:r w:rsidRPr="001409F0">
        <w:rPr>
          <w:rFonts w:ascii="Book Antiqua" w:hAnsi="Book Antiqua" w:cs="Arial"/>
        </w:rPr>
        <w:t xml:space="preserve">0.01 </w:t>
      </w:r>
      <w:r w:rsidR="00757490" w:rsidRPr="001409F0">
        <w:rPr>
          <w:rFonts w:ascii="Book Antiqua" w:hAnsi="Book Antiqua" w:cs="Arial"/>
          <w:i/>
          <w:iCs/>
        </w:rPr>
        <w:t>vs</w:t>
      </w:r>
      <w:r w:rsidRPr="001409F0">
        <w:rPr>
          <w:rFonts w:ascii="Book Antiqua" w:hAnsi="Book Antiqua" w:cs="Arial"/>
        </w:rPr>
        <w:t xml:space="preserve"> </w:t>
      </w:r>
      <w:r w:rsidR="00C45A9F" w:rsidRPr="001409F0">
        <w:rPr>
          <w:rFonts w:ascii="Book Antiqua" w:hAnsi="Book Antiqua" w:cs="Arial"/>
        </w:rPr>
        <w:t xml:space="preserve">EtOH </w:t>
      </w:r>
      <w:r w:rsidRPr="001409F0">
        <w:rPr>
          <w:rFonts w:ascii="Book Antiqua" w:hAnsi="Book Antiqua" w:cs="Arial"/>
        </w:rPr>
        <w:t>group.</w:t>
      </w:r>
      <w:r w:rsidR="001A02AF" w:rsidRPr="001409F0">
        <w:rPr>
          <w:rFonts w:ascii="Book Antiqua" w:hAnsi="Book Antiqua" w:cs="Arial"/>
        </w:rPr>
        <w:t xml:space="preserve"> TCL: </w:t>
      </w:r>
      <w:r w:rsidR="001A02AF" w:rsidRPr="001409F0">
        <w:rPr>
          <w:rFonts w:ascii="Book Antiqua" w:hAnsi="Book Antiqua" w:cs="Arial"/>
          <w:bCs/>
          <w:i/>
          <w:iCs/>
        </w:rPr>
        <w:t>Tamarix chinensis Lour</w:t>
      </w:r>
      <w:r w:rsidR="00E434CA" w:rsidRPr="001409F0">
        <w:rPr>
          <w:rFonts w:ascii="Book Antiqua" w:hAnsi="Book Antiqua" w:cs="Arial"/>
          <w:bCs/>
        </w:rPr>
        <w:t xml:space="preserve">; TG: </w:t>
      </w:r>
      <w:r w:rsidR="00E434CA" w:rsidRPr="001409F0">
        <w:rPr>
          <w:rFonts w:ascii="Book Antiqua" w:hAnsi="Book Antiqua" w:cs="Arial"/>
        </w:rPr>
        <w:t>triglyceride</w:t>
      </w:r>
      <w:r w:rsidR="001A02AF" w:rsidRPr="001409F0">
        <w:rPr>
          <w:rFonts w:ascii="Book Antiqua" w:hAnsi="Book Antiqua" w:cs="Arial"/>
          <w:bCs/>
        </w:rPr>
        <w:t xml:space="preserve">. </w:t>
      </w:r>
    </w:p>
    <w:p w14:paraId="4AF4E5AF" w14:textId="77777777" w:rsidR="00E22F0D" w:rsidRPr="001409F0" w:rsidRDefault="00E22F0D" w:rsidP="001409F0">
      <w:pPr>
        <w:adjustRightInd w:val="0"/>
        <w:snapToGrid w:val="0"/>
        <w:spacing w:line="360" w:lineRule="auto"/>
        <w:rPr>
          <w:rFonts w:ascii="Book Antiqua" w:hAnsi="Book Antiqua" w:cs="Arial"/>
        </w:rPr>
      </w:pPr>
    </w:p>
    <w:p w14:paraId="301C47C9" w14:textId="77777777" w:rsidR="00E22F0D" w:rsidRPr="001409F0" w:rsidRDefault="00E22F0D" w:rsidP="001409F0">
      <w:pPr>
        <w:adjustRightInd w:val="0"/>
        <w:snapToGrid w:val="0"/>
        <w:spacing w:line="360" w:lineRule="auto"/>
        <w:rPr>
          <w:rFonts w:ascii="Book Antiqua" w:hAnsi="Book Antiqua" w:cs="Arial"/>
        </w:rPr>
      </w:pPr>
    </w:p>
    <w:p w14:paraId="47FAC25C" w14:textId="77777777" w:rsidR="00E05BA3" w:rsidRPr="001409F0" w:rsidRDefault="00E05BA3" w:rsidP="001409F0">
      <w:pPr>
        <w:adjustRightInd w:val="0"/>
        <w:snapToGrid w:val="0"/>
        <w:spacing w:line="360" w:lineRule="auto"/>
        <w:rPr>
          <w:rFonts w:ascii="Book Antiqua" w:hAnsi="Book Antiqua" w:cs="Arial"/>
        </w:rPr>
      </w:pPr>
    </w:p>
    <w:p w14:paraId="79FF232D" w14:textId="59F4CF86" w:rsidR="00E05BA3" w:rsidRPr="001409F0" w:rsidRDefault="00FC12FC" w:rsidP="001409F0">
      <w:pPr>
        <w:adjustRightInd w:val="0"/>
        <w:snapToGrid w:val="0"/>
        <w:spacing w:line="360" w:lineRule="auto"/>
        <w:rPr>
          <w:rFonts w:ascii="Book Antiqua" w:hAnsi="Book Antiqua" w:cs="Arial"/>
          <w:b/>
        </w:rPr>
      </w:pPr>
      <w:r w:rsidRPr="001409F0">
        <w:rPr>
          <w:noProof/>
          <w:lang w:eastAsia="ja-JP"/>
        </w:rPr>
        <w:lastRenderedPageBreak/>
        <w:drawing>
          <wp:inline distT="0" distB="0" distL="0" distR="0" wp14:anchorId="1FCA2DCF" wp14:editId="41307791">
            <wp:extent cx="5278120" cy="37731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8120" cy="3773170"/>
                    </a:xfrm>
                    <a:prstGeom prst="rect">
                      <a:avLst/>
                    </a:prstGeom>
                  </pic:spPr>
                </pic:pic>
              </a:graphicData>
            </a:graphic>
          </wp:inline>
        </w:drawing>
      </w:r>
    </w:p>
    <w:p w14:paraId="4BF57ACB" w14:textId="4E86C3AF"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b/>
        </w:rPr>
        <w:t xml:space="preserve">Figure 4 </w:t>
      </w:r>
      <w:r w:rsidRPr="00472ED2">
        <w:rPr>
          <w:rFonts w:ascii="Book Antiqua" w:hAnsi="Book Antiqua" w:cs="Arial"/>
          <w:b/>
          <w:i/>
        </w:rPr>
        <w:t>Tamarix chinensis Lour</w:t>
      </w:r>
      <w:r w:rsidRPr="001409F0">
        <w:rPr>
          <w:rFonts w:ascii="Book Antiqua" w:hAnsi="Book Antiqua" w:cs="Arial"/>
          <w:b/>
        </w:rPr>
        <w:t xml:space="preserve"> inhibits </w:t>
      </w:r>
      <w:r w:rsidR="00CC4FDB" w:rsidRPr="001409F0">
        <w:rPr>
          <w:rFonts w:ascii="Book Antiqua" w:hAnsi="Book Antiqua" w:cs="Arial"/>
          <w:b/>
        </w:rPr>
        <w:t xml:space="preserve">the </w:t>
      </w:r>
      <w:r w:rsidRPr="001409F0">
        <w:rPr>
          <w:rFonts w:ascii="Book Antiqua" w:hAnsi="Book Antiqua" w:cs="Arial"/>
          <w:b/>
        </w:rPr>
        <w:t xml:space="preserve">hepatic expression of </w:t>
      </w:r>
      <w:r w:rsidR="00CC4FDB" w:rsidRPr="00472ED2">
        <w:rPr>
          <w:rFonts w:ascii="Book Antiqua" w:hAnsi="Book Antiqua" w:cs="Arial"/>
          <w:b/>
        </w:rPr>
        <w:t>NOD-like receptor family, pyrin domain containing 3,</w:t>
      </w:r>
      <w:r w:rsidRPr="001409F0">
        <w:rPr>
          <w:rFonts w:ascii="Book Antiqua" w:hAnsi="Book Antiqua" w:cs="Arial"/>
          <w:b/>
        </w:rPr>
        <w:t xml:space="preserve"> </w:t>
      </w:r>
      <w:r w:rsidR="00CC4FDB" w:rsidRPr="00472ED2">
        <w:rPr>
          <w:rFonts w:ascii="Book Antiqua" w:hAnsi="Book Antiqua" w:cs="Arial"/>
          <w:b/>
        </w:rPr>
        <w:t>apoptosis-associated speck-like protein</w:t>
      </w:r>
      <w:r w:rsidRPr="001409F0">
        <w:rPr>
          <w:rFonts w:ascii="Book Antiqua" w:hAnsi="Book Antiqua" w:cs="Arial"/>
          <w:b/>
        </w:rPr>
        <w:t xml:space="preserve">, caspase-1, and </w:t>
      </w:r>
      <w:r w:rsidR="001A02AF" w:rsidRPr="001409F0">
        <w:rPr>
          <w:rFonts w:ascii="Book Antiqua" w:hAnsi="Book Antiqua" w:cs="Arial"/>
          <w:b/>
        </w:rPr>
        <w:t>interleukin</w:t>
      </w:r>
      <w:r w:rsidRPr="001409F0">
        <w:rPr>
          <w:rFonts w:ascii="Book Antiqua" w:hAnsi="Book Antiqua" w:cs="Arial"/>
          <w:b/>
        </w:rPr>
        <w:t>-1</w:t>
      </w:r>
      <w:r w:rsidRPr="00472ED2">
        <w:rPr>
          <w:rFonts w:ascii="Times New Roman" w:hAnsi="Times New Roman"/>
          <w:b/>
        </w:rPr>
        <w:t>β</w:t>
      </w:r>
      <w:r w:rsidRPr="001409F0">
        <w:rPr>
          <w:rFonts w:ascii="Book Antiqua" w:hAnsi="Book Antiqua" w:cs="Arial"/>
          <w:b/>
        </w:rPr>
        <w:t xml:space="preserve"> at the transcriptional and protein levels. </w:t>
      </w:r>
      <w:r w:rsidRPr="001409F0">
        <w:rPr>
          <w:rFonts w:ascii="Book Antiqua" w:hAnsi="Book Antiqua" w:cs="Arial"/>
        </w:rPr>
        <w:t>A</w:t>
      </w:r>
      <w:r w:rsidR="001A02AF" w:rsidRPr="001409F0">
        <w:rPr>
          <w:rFonts w:ascii="Book Antiqua" w:hAnsi="Book Antiqua" w:cs="Arial"/>
        </w:rPr>
        <w:t>:</w:t>
      </w:r>
      <w:r w:rsidRPr="001409F0">
        <w:rPr>
          <w:rFonts w:ascii="Book Antiqua" w:hAnsi="Book Antiqua" w:cs="Arial"/>
        </w:rPr>
        <w:t xml:space="preserve"> Western blot analysis; B</w:t>
      </w:r>
      <w:r w:rsidR="001A02AF" w:rsidRPr="001409F0">
        <w:rPr>
          <w:rFonts w:ascii="Book Antiqua" w:hAnsi="Book Antiqua" w:cs="Arial"/>
        </w:rPr>
        <w:t>:</w:t>
      </w:r>
      <w:r w:rsidRPr="001409F0">
        <w:rPr>
          <w:rFonts w:ascii="Book Antiqua" w:hAnsi="Book Antiqua" w:cs="Arial"/>
        </w:rPr>
        <w:t xml:space="preserve"> Quantitative analysis of blots; C</w:t>
      </w:r>
      <w:r w:rsidR="001A02AF" w:rsidRPr="001409F0">
        <w:rPr>
          <w:rFonts w:ascii="Book Antiqua" w:hAnsi="Book Antiqua" w:cs="Arial"/>
        </w:rPr>
        <w:t>:</w:t>
      </w:r>
      <w:r w:rsidRPr="001409F0">
        <w:rPr>
          <w:rFonts w:ascii="Book Antiqua" w:hAnsi="Book Antiqua" w:cs="Arial"/>
        </w:rPr>
        <w:t xml:space="preserve"> Quantitative </w:t>
      </w:r>
      <w:r w:rsidR="001A02AF" w:rsidRPr="001409F0">
        <w:rPr>
          <w:rFonts w:ascii="Book Antiqua" w:hAnsi="Book Antiqua" w:cs="Arial"/>
        </w:rPr>
        <w:t xml:space="preserve">polymerase chain reaction </w:t>
      </w:r>
      <w:r w:rsidRPr="001409F0">
        <w:rPr>
          <w:rFonts w:ascii="Book Antiqua" w:hAnsi="Book Antiqua" w:cs="Arial"/>
        </w:rPr>
        <w:t>analysis. Values represent the mean ±</w:t>
      </w:r>
      <w:r w:rsidR="001A02AF" w:rsidRPr="001409F0">
        <w:rPr>
          <w:rFonts w:ascii="Book Antiqua" w:hAnsi="Book Antiqua" w:cs="Arial"/>
        </w:rPr>
        <w:t xml:space="preserve"> </w:t>
      </w:r>
      <w:r w:rsidRPr="001409F0">
        <w:rPr>
          <w:rFonts w:ascii="Book Antiqua" w:hAnsi="Book Antiqua" w:cs="Arial"/>
        </w:rPr>
        <w:t>SD (</w:t>
      </w:r>
      <w:r w:rsidRPr="001409F0">
        <w:rPr>
          <w:rFonts w:ascii="Book Antiqua" w:hAnsi="Book Antiqua" w:cs="Arial"/>
          <w:i/>
          <w:iCs/>
        </w:rPr>
        <w:t>n</w:t>
      </w:r>
      <w:r w:rsidR="001A02AF" w:rsidRPr="001409F0">
        <w:rPr>
          <w:rFonts w:ascii="Book Antiqua" w:hAnsi="Book Antiqua" w:cs="Arial"/>
          <w:i/>
          <w:iCs/>
        </w:rPr>
        <w:t xml:space="preserve"> </w:t>
      </w:r>
      <w:r w:rsidRPr="001409F0">
        <w:rPr>
          <w:rFonts w:ascii="Book Antiqua" w:hAnsi="Book Antiqua" w:cs="Arial"/>
        </w:rPr>
        <w:t>=</w:t>
      </w:r>
      <w:r w:rsidR="001A02AF" w:rsidRPr="001409F0">
        <w:rPr>
          <w:rFonts w:ascii="Book Antiqua" w:hAnsi="Book Antiqua" w:cs="Arial"/>
        </w:rPr>
        <w:t xml:space="preserve"> </w:t>
      </w:r>
      <w:r w:rsidRPr="001409F0">
        <w:rPr>
          <w:rFonts w:ascii="Book Antiqua" w:hAnsi="Book Antiqua" w:cs="Arial"/>
        </w:rPr>
        <w:t xml:space="preserve">5); </w:t>
      </w:r>
      <w:r w:rsidRPr="001409F0">
        <w:rPr>
          <w:rFonts w:ascii="Book Antiqua" w:hAnsi="Book Antiqua" w:cs="Arial"/>
          <w:vertAlign w:val="superscript"/>
        </w:rPr>
        <w:t>a</w:t>
      </w:r>
      <w:r w:rsidRPr="001409F0">
        <w:rPr>
          <w:rFonts w:ascii="Book Antiqua" w:hAnsi="Book Antiqua" w:cs="Arial"/>
          <w:i/>
        </w:rPr>
        <w:t>P</w:t>
      </w:r>
      <w:r w:rsidR="001A02AF" w:rsidRPr="001409F0">
        <w:rPr>
          <w:rFonts w:ascii="Book Antiqua" w:hAnsi="Book Antiqua" w:cs="Arial"/>
          <w:i/>
        </w:rPr>
        <w:t xml:space="preserve"> </w:t>
      </w:r>
      <w:r w:rsidRPr="001409F0">
        <w:rPr>
          <w:rFonts w:ascii="Book Antiqua" w:hAnsi="Book Antiqua" w:cs="Arial"/>
        </w:rPr>
        <w:t>&lt;</w:t>
      </w:r>
      <w:r w:rsidR="001A02AF" w:rsidRPr="001409F0">
        <w:rPr>
          <w:rFonts w:ascii="Book Antiqua" w:hAnsi="Book Antiqua" w:cs="Arial"/>
        </w:rPr>
        <w:t xml:space="preserve"> </w:t>
      </w:r>
      <w:r w:rsidRPr="001409F0">
        <w:rPr>
          <w:rFonts w:ascii="Book Antiqua" w:hAnsi="Book Antiqua" w:cs="Arial"/>
        </w:rPr>
        <w:t xml:space="preserve">0.01 </w:t>
      </w:r>
      <w:r w:rsidR="00757490" w:rsidRPr="001409F0">
        <w:rPr>
          <w:rFonts w:ascii="Book Antiqua" w:hAnsi="Book Antiqua" w:cs="Arial"/>
          <w:i/>
          <w:iCs/>
        </w:rPr>
        <w:t>vs</w:t>
      </w:r>
      <w:r w:rsidRPr="001409F0">
        <w:rPr>
          <w:rFonts w:ascii="Book Antiqua" w:hAnsi="Book Antiqua" w:cs="Arial"/>
        </w:rPr>
        <w:t xml:space="preserve"> control group; </w:t>
      </w:r>
      <w:r w:rsidRPr="001409F0">
        <w:rPr>
          <w:rFonts w:ascii="Book Antiqua" w:hAnsi="Book Antiqua" w:cs="Arial"/>
          <w:vertAlign w:val="superscript"/>
        </w:rPr>
        <w:t>b</w:t>
      </w:r>
      <w:r w:rsidRPr="001409F0">
        <w:rPr>
          <w:rFonts w:ascii="Book Antiqua" w:hAnsi="Book Antiqua" w:cs="Arial"/>
          <w:i/>
        </w:rPr>
        <w:t>P</w:t>
      </w:r>
      <w:r w:rsidR="001A02AF" w:rsidRPr="001409F0">
        <w:rPr>
          <w:rFonts w:ascii="Book Antiqua" w:hAnsi="Book Antiqua" w:cs="Arial"/>
          <w:i/>
        </w:rPr>
        <w:t xml:space="preserve"> </w:t>
      </w:r>
      <w:r w:rsidRPr="001409F0">
        <w:rPr>
          <w:rFonts w:ascii="Book Antiqua" w:hAnsi="Book Antiqua" w:cs="Arial"/>
        </w:rPr>
        <w:t>&lt;</w:t>
      </w:r>
      <w:r w:rsidR="001A02AF" w:rsidRPr="001409F0">
        <w:rPr>
          <w:rFonts w:ascii="Book Antiqua" w:hAnsi="Book Antiqua" w:cs="Arial"/>
        </w:rPr>
        <w:t xml:space="preserve"> </w:t>
      </w:r>
      <w:r w:rsidRPr="001409F0">
        <w:rPr>
          <w:rFonts w:ascii="Book Antiqua" w:hAnsi="Book Antiqua" w:cs="Arial"/>
        </w:rPr>
        <w:t>0.05</w:t>
      </w:r>
      <w:r w:rsidR="001409F0">
        <w:rPr>
          <w:rFonts w:ascii="Book Antiqua" w:hAnsi="Book Antiqua" w:cs="Arial"/>
        </w:rPr>
        <w:t>;</w:t>
      </w:r>
      <w:r w:rsidRPr="001409F0">
        <w:rPr>
          <w:rFonts w:ascii="Book Antiqua" w:hAnsi="Book Antiqua" w:cs="Arial"/>
        </w:rPr>
        <w:t xml:space="preserve"> </w:t>
      </w:r>
      <w:r w:rsidRPr="001409F0">
        <w:rPr>
          <w:rFonts w:ascii="Book Antiqua" w:hAnsi="Book Antiqua" w:cs="Arial"/>
          <w:vertAlign w:val="superscript"/>
        </w:rPr>
        <w:t>c</w:t>
      </w:r>
      <w:r w:rsidRPr="001409F0">
        <w:rPr>
          <w:rFonts w:ascii="Book Antiqua" w:hAnsi="Book Antiqua" w:cs="Arial"/>
          <w:i/>
        </w:rPr>
        <w:t>P</w:t>
      </w:r>
      <w:r w:rsidR="001A02AF" w:rsidRPr="001409F0">
        <w:rPr>
          <w:rFonts w:ascii="Book Antiqua" w:hAnsi="Book Antiqua" w:cs="Arial"/>
          <w:i/>
        </w:rPr>
        <w:t xml:space="preserve"> </w:t>
      </w:r>
      <w:r w:rsidRPr="001409F0">
        <w:rPr>
          <w:rFonts w:ascii="Book Antiqua" w:hAnsi="Book Antiqua" w:cs="Arial"/>
        </w:rPr>
        <w:t>&lt;</w:t>
      </w:r>
      <w:r w:rsidR="001A02AF" w:rsidRPr="001409F0">
        <w:rPr>
          <w:rFonts w:ascii="Book Antiqua" w:hAnsi="Book Antiqua" w:cs="Arial"/>
        </w:rPr>
        <w:t xml:space="preserve"> </w:t>
      </w:r>
      <w:r w:rsidRPr="001409F0">
        <w:rPr>
          <w:rFonts w:ascii="Book Antiqua" w:hAnsi="Book Antiqua" w:cs="Arial"/>
        </w:rPr>
        <w:t xml:space="preserve">0.01 </w:t>
      </w:r>
      <w:r w:rsidR="00757490" w:rsidRPr="001409F0">
        <w:rPr>
          <w:rFonts w:ascii="Book Antiqua" w:hAnsi="Book Antiqua" w:cs="Arial"/>
          <w:i/>
          <w:iCs/>
        </w:rPr>
        <w:t>vs</w:t>
      </w:r>
      <w:r w:rsidRPr="001409F0">
        <w:rPr>
          <w:rFonts w:ascii="Book Antiqua" w:hAnsi="Book Antiqua" w:cs="Arial"/>
        </w:rPr>
        <w:t xml:space="preserve"> ethanol group. NLRP3: NOD-like receptor family, pyrin domain containing 3; ASC: </w:t>
      </w:r>
      <w:bookmarkStart w:id="49" w:name="_Hlk33540676"/>
      <w:r w:rsidR="001A02AF" w:rsidRPr="001409F0">
        <w:rPr>
          <w:rFonts w:ascii="Book Antiqua" w:hAnsi="Book Antiqua" w:cs="Arial"/>
        </w:rPr>
        <w:t>Apoptosis</w:t>
      </w:r>
      <w:r w:rsidRPr="001409F0">
        <w:rPr>
          <w:rFonts w:ascii="Book Antiqua" w:hAnsi="Book Antiqua" w:cs="Arial"/>
        </w:rPr>
        <w:t>-associated speck-like protein</w:t>
      </w:r>
      <w:bookmarkEnd w:id="49"/>
      <w:r w:rsidRPr="001409F0">
        <w:rPr>
          <w:rFonts w:ascii="Book Antiqua" w:hAnsi="Book Antiqua" w:cs="Arial"/>
        </w:rPr>
        <w:t xml:space="preserve">; IL: </w:t>
      </w:r>
      <w:r w:rsidR="001A02AF" w:rsidRPr="001409F0">
        <w:rPr>
          <w:rFonts w:ascii="Book Antiqua" w:hAnsi="Book Antiqua" w:cs="Arial"/>
        </w:rPr>
        <w:t>Interleukin</w:t>
      </w:r>
      <w:r w:rsidRPr="001409F0">
        <w:rPr>
          <w:rFonts w:ascii="Book Antiqua" w:hAnsi="Book Antiqua" w:cs="Arial"/>
        </w:rPr>
        <w:t>;</w:t>
      </w:r>
      <w:r w:rsidR="001A02AF" w:rsidRPr="001409F0">
        <w:rPr>
          <w:rFonts w:ascii="Book Antiqua" w:hAnsi="Book Antiqua" w:cs="Arial"/>
        </w:rPr>
        <w:t xml:space="preserve"> TNF: Tumor necrosis factor; TCL: </w:t>
      </w:r>
      <w:r w:rsidR="001A02AF" w:rsidRPr="001409F0">
        <w:rPr>
          <w:rFonts w:ascii="Book Antiqua" w:hAnsi="Book Antiqua" w:cs="Arial"/>
          <w:bCs/>
          <w:i/>
          <w:iCs/>
        </w:rPr>
        <w:t>Tamarix chinensis Lour</w:t>
      </w:r>
      <w:r w:rsidRPr="001409F0">
        <w:rPr>
          <w:rFonts w:ascii="Book Antiqua" w:hAnsi="Book Antiqua" w:cs="Arial"/>
        </w:rPr>
        <w:t>.</w:t>
      </w:r>
    </w:p>
    <w:p w14:paraId="2374AAEB" w14:textId="0C7A072A" w:rsidR="001409F0" w:rsidRDefault="001409F0">
      <w:pPr>
        <w:widowControl/>
        <w:jc w:val="left"/>
        <w:rPr>
          <w:rFonts w:ascii="Book Antiqua" w:hAnsi="Book Antiqua" w:cs="Arial"/>
        </w:rPr>
      </w:pPr>
      <w:r>
        <w:rPr>
          <w:rFonts w:ascii="Book Antiqua" w:hAnsi="Book Antiqua" w:cs="Arial"/>
        </w:rPr>
        <w:br w:type="page"/>
      </w:r>
    </w:p>
    <w:p w14:paraId="40717F65" w14:textId="77777777" w:rsidR="00E05BA3" w:rsidRPr="001409F0" w:rsidRDefault="00E05BA3" w:rsidP="001409F0">
      <w:pPr>
        <w:adjustRightInd w:val="0"/>
        <w:snapToGrid w:val="0"/>
        <w:spacing w:line="360" w:lineRule="auto"/>
        <w:rPr>
          <w:rFonts w:ascii="Book Antiqua" w:hAnsi="Book Antiqua" w:cs="Arial"/>
        </w:rPr>
      </w:pPr>
    </w:p>
    <w:p w14:paraId="4DCDC5CC" w14:textId="60E98888" w:rsidR="00E05BA3" w:rsidRPr="001409F0" w:rsidRDefault="00C52BAE" w:rsidP="001409F0">
      <w:pPr>
        <w:adjustRightInd w:val="0"/>
        <w:snapToGrid w:val="0"/>
        <w:spacing w:line="360" w:lineRule="auto"/>
        <w:rPr>
          <w:rFonts w:ascii="Book Antiqua" w:hAnsi="Book Antiqua" w:cs="Arial"/>
        </w:rPr>
      </w:pPr>
      <w:r w:rsidRPr="001409F0">
        <w:rPr>
          <w:rFonts w:ascii="Book Antiqua" w:hAnsi="Book Antiqua" w:cs="Arial"/>
          <w:noProof/>
          <w:lang w:eastAsia="ja-JP"/>
        </w:rPr>
        <w:drawing>
          <wp:inline distT="0" distB="0" distL="0" distR="0" wp14:anchorId="055433B4" wp14:editId="29669EDF">
            <wp:extent cx="5264150" cy="2286000"/>
            <wp:effectExtent l="0" t="0" r="0" b="0"/>
            <wp:docPr id="5"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4150" cy="2286000"/>
                    </a:xfrm>
                    <a:prstGeom prst="rect">
                      <a:avLst/>
                    </a:prstGeom>
                    <a:noFill/>
                    <a:ln>
                      <a:noFill/>
                    </a:ln>
                  </pic:spPr>
                </pic:pic>
              </a:graphicData>
            </a:graphic>
          </wp:inline>
        </w:drawing>
      </w:r>
    </w:p>
    <w:p w14:paraId="6A2A0770" w14:textId="3F3DDF94"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b/>
        </w:rPr>
        <w:t xml:space="preserve">Figure 5 </w:t>
      </w:r>
      <w:r w:rsidRPr="001409F0">
        <w:rPr>
          <w:rFonts w:ascii="Book Antiqua" w:hAnsi="Book Antiqua" w:cs="Arial"/>
          <w:b/>
          <w:i/>
          <w:iCs/>
        </w:rPr>
        <w:t>Tamarix chinensis Lour</w:t>
      </w:r>
      <w:r w:rsidRPr="001409F0">
        <w:rPr>
          <w:rFonts w:ascii="Book Antiqua" w:hAnsi="Book Antiqua" w:cs="Arial"/>
          <w:b/>
        </w:rPr>
        <w:t xml:space="preserve"> reduces the proportion of </w:t>
      </w:r>
      <w:r w:rsidR="001A02AF" w:rsidRPr="001409F0">
        <w:rPr>
          <w:rFonts w:ascii="Book Antiqua" w:hAnsi="Book Antiqua" w:cs="Arial"/>
          <w:b/>
        </w:rPr>
        <w:t xml:space="preserve">natural killer T </w:t>
      </w:r>
      <w:r w:rsidRPr="001409F0">
        <w:rPr>
          <w:rFonts w:ascii="Book Antiqua" w:hAnsi="Book Antiqua" w:cs="Arial"/>
          <w:b/>
        </w:rPr>
        <w:t xml:space="preserve">cells in the liver. </w:t>
      </w:r>
      <w:r w:rsidRPr="001409F0">
        <w:rPr>
          <w:rFonts w:ascii="Book Antiqua" w:hAnsi="Book Antiqua" w:cs="Arial"/>
        </w:rPr>
        <w:t>A</w:t>
      </w:r>
      <w:r w:rsidR="001A02AF" w:rsidRPr="001409F0">
        <w:rPr>
          <w:rFonts w:ascii="Book Antiqua" w:hAnsi="Book Antiqua" w:cs="Arial"/>
        </w:rPr>
        <w:t xml:space="preserve">: </w:t>
      </w:r>
      <w:r w:rsidRPr="001409F0">
        <w:rPr>
          <w:rFonts w:ascii="Book Antiqua" w:hAnsi="Book Antiqua" w:cs="Arial"/>
        </w:rPr>
        <w:t>Dot plots from one of three independent experiments</w:t>
      </w:r>
      <w:r w:rsidR="00EC4A4D" w:rsidRPr="001409F0">
        <w:rPr>
          <w:rFonts w:ascii="Book Antiqua" w:hAnsi="Book Antiqua" w:cs="Arial"/>
        </w:rPr>
        <w:t>;</w:t>
      </w:r>
      <w:r w:rsidRPr="001409F0">
        <w:rPr>
          <w:rFonts w:ascii="Book Antiqua" w:hAnsi="Book Antiqua" w:cs="Arial"/>
        </w:rPr>
        <w:t xml:space="preserve"> B</w:t>
      </w:r>
      <w:r w:rsidR="00EC4A4D" w:rsidRPr="001409F0">
        <w:rPr>
          <w:rFonts w:ascii="Book Antiqua" w:hAnsi="Book Antiqua" w:cs="Arial"/>
        </w:rPr>
        <w:t>:</w:t>
      </w:r>
      <w:r w:rsidRPr="001409F0">
        <w:rPr>
          <w:rFonts w:ascii="Book Antiqua" w:hAnsi="Book Antiqua" w:cs="Arial"/>
        </w:rPr>
        <w:t xml:space="preserve"> Percentage of NK1.1</w:t>
      </w:r>
      <w:r w:rsidRPr="001409F0">
        <w:rPr>
          <w:rFonts w:ascii="Book Antiqua" w:hAnsi="Book Antiqua" w:cs="Arial"/>
          <w:vertAlign w:val="superscript"/>
        </w:rPr>
        <w:t>+</w:t>
      </w:r>
      <w:r w:rsidRPr="001409F0">
        <w:rPr>
          <w:rFonts w:ascii="Book Antiqua" w:hAnsi="Book Antiqua" w:cs="Arial"/>
        </w:rPr>
        <w:t xml:space="preserve"> CD3</w:t>
      </w:r>
      <w:r w:rsidRPr="001409F0">
        <w:rPr>
          <w:rFonts w:ascii="Book Antiqua" w:hAnsi="Book Antiqua" w:cs="Arial"/>
          <w:vertAlign w:val="superscript"/>
        </w:rPr>
        <w:t>+</w:t>
      </w:r>
      <w:r w:rsidRPr="001409F0">
        <w:rPr>
          <w:rFonts w:ascii="Book Antiqua" w:hAnsi="Book Antiqua" w:cs="Arial"/>
        </w:rPr>
        <w:t xml:space="preserve"> cells among total cells. Values represent the mean ±</w:t>
      </w:r>
      <w:r w:rsidR="001A02AF" w:rsidRPr="001409F0">
        <w:rPr>
          <w:rFonts w:ascii="Book Antiqua" w:hAnsi="Book Antiqua" w:cs="Arial"/>
        </w:rPr>
        <w:t xml:space="preserve"> </w:t>
      </w:r>
      <w:r w:rsidRPr="001409F0">
        <w:rPr>
          <w:rFonts w:ascii="Book Antiqua" w:hAnsi="Book Antiqua" w:cs="Arial"/>
        </w:rPr>
        <w:t>SD (</w:t>
      </w:r>
      <w:r w:rsidRPr="001409F0">
        <w:rPr>
          <w:rFonts w:ascii="Book Antiqua" w:hAnsi="Book Antiqua" w:cs="Arial"/>
          <w:i/>
          <w:iCs/>
        </w:rPr>
        <w:t>n</w:t>
      </w:r>
      <w:r w:rsidR="001A02AF" w:rsidRPr="001409F0">
        <w:rPr>
          <w:rFonts w:ascii="Book Antiqua" w:hAnsi="Book Antiqua" w:cs="Arial"/>
          <w:i/>
          <w:iCs/>
        </w:rPr>
        <w:t xml:space="preserve"> </w:t>
      </w:r>
      <w:r w:rsidRPr="001409F0">
        <w:rPr>
          <w:rFonts w:ascii="Book Antiqua" w:hAnsi="Book Antiqua" w:cs="Arial"/>
        </w:rPr>
        <w:t>=</w:t>
      </w:r>
      <w:r w:rsidR="001A02AF" w:rsidRPr="001409F0">
        <w:rPr>
          <w:rFonts w:ascii="Book Antiqua" w:hAnsi="Book Antiqua" w:cs="Arial"/>
        </w:rPr>
        <w:t xml:space="preserve"> </w:t>
      </w:r>
      <w:r w:rsidRPr="001409F0">
        <w:rPr>
          <w:rFonts w:ascii="Book Antiqua" w:hAnsi="Book Antiqua" w:cs="Arial"/>
        </w:rPr>
        <w:t xml:space="preserve">7); </w:t>
      </w:r>
      <w:r w:rsidRPr="001409F0">
        <w:rPr>
          <w:rFonts w:ascii="Book Antiqua" w:hAnsi="Book Antiqua" w:cs="Arial"/>
          <w:vertAlign w:val="superscript"/>
        </w:rPr>
        <w:t>a</w:t>
      </w:r>
      <w:r w:rsidRPr="001409F0">
        <w:rPr>
          <w:rFonts w:ascii="Book Antiqua" w:hAnsi="Book Antiqua" w:cs="Arial"/>
          <w:i/>
        </w:rPr>
        <w:t>P</w:t>
      </w:r>
      <w:r w:rsidR="00EC4A4D" w:rsidRPr="001409F0">
        <w:rPr>
          <w:rFonts w:ascii="Book Antiqua" w:hAnsi="Book Antiqua" w:cs="Arial"/>
          <w:i/>
        </w:rPr>
        <w:t xml:space="preserve"> </w:t>
      </w:r>
      <w:r w:rsidRPr="001409F0">
        <w:rPr>
          <w:rFonts w:ascii="Book Antiqua" w:hAnsi="Book Antiqua" w:cs="Arial"/>
        </w:rPr>
        <w:t>&lt;</w:t>
      </w:r>
      <w:r w:rsidR="00EC4A4D" w:rsidRPr="001409F0">
        <w:rPr>
          <w:rFonts w:ascii="Book Antiqua" w:hAnsi="Book Antiqua" w:cs="Arial"/>
        </w:rPr>
        <w:t xml:space="preserve"> </w:t>
      </w:r>
      <w:r w:rsidRPr="001409F0">
        <w:rPr>
          <w:rFonts w:ascii="Book Antiqua" w:hAnsi="Book Antiqua" w:cs="Arial"/>
        </w:rPr>
        <w:t xml:space="preserve">0.01 </w:t>
      </w:r>
      <w:r w:rsidR="00757490" w:rsidRPr="001409F0">
        <w:rPr>
          <w:rFonts w:ascii="Book Antiqua" w:hAnsi="Book Antiqua" w:cs="Arial"/>
          <w:i/>
          <w:iCs/>
        </w:rPr>
        <w:t>vs</w:t>
      </w:r>
      <w:r w:rsidRPr="001409F0">
        <w:rPr>
          <w:rFonts w:ascii="Book Antiqua" w:hAnsi="Book Antiqua" w:cs="Arial"/>
        </w:rPr>
        <w:t xml:space="preserve"> control group; </w:t>
      </w:r>
      <w:r w:rsidRPr="001409F0">
        <w:rPr>
          <w:rFonts w:ascii="Book Antiqua" w:hAnsi="Book Antiqua" w:cs="Arial"/>
          <w:vertAlign w:val="superscript"/>
        </w:rPr>
        <w:t>b</w:t>
      </w:r>
      <w:r w:rsidRPr="001409F0">
        <w:rPr>
          <w:rFonts w:ascii="Book Antiqua" w:hAnsi="Book Antiqua" w:cs="Arial"/>
          <w:i/>
        </w:rPr>
        <w:t>P</w:t>
      </w:r>
      <w:r w:rsidR="00EC4A4D" w:rsidRPr="001409F0">
        <w:rPr>
          <w:rFonts w:ascii="Book Antiqua" w:hAnsi="Book Antiqua" w:cs="Arial"/>
          <w:i/>
        </w:rPr>
        <w:t xml:space="preserve"> </w:t>
      </w:r>
      <w:r w:rsidRPr="001409F0">
        <w:rPr>
          <w:rFonts w:ascii="Book Antiqua" w:hAnsi="Book Antiqua" w:cs="Arial"/>
        </w:rPr>
        <w:t>&lt;</w:t>
      </w:r>
      <w:r w:rsidR="00EC4A4D" w:rsidRPr="001409F0">
        <w:rPr>
          <w:rFonts w:ascii="Book Antiqua" w:hAnsi="Book Antiqua" w:cs="Arial"/>
        </w:rPr>
        <w:t xml:space="preserve"> </w:t>
      </w:r>
      <w:r w:rsidRPr="001409F0">
        <w:rPr>
          <w:rFonts w:ascii="Book Antiqua" w:hAnsi="Book Antiqua" w:cs="Arial"/>
        </w:rPr>
        <w:t xml:space="preserve">0.01 </w:t>
      </w:r>
      <w:r w:rsidR="00757490" w:rsidRPr="001409F0">
        <w:rPr>
          <w:rFonts w:ascii="Book Antiqua" w:hAnsi="Book Antiqua" w:cs="Arial"/>
          <w:i/>
          <w:iCs/>
        </w:rPr>
        <w:t>vs</w:t>
      </w:r>
      <w:r w:rsidRPr="001409F0">
        <w:rPr>
          <w:rFonts w:ascii="Book Antiqua" w:hAnsi="Book Antiqua" w:cs="Arial"/>
        </w:rPr>
        <w:t xml:space="preserve"> ethanol group. NKT: </w:t>
      </w:r>
      <w:bookmarkStart w:id="50" w:name="_Hlk33540825"/>
      <w:r w:rsidRPr="001409F0">
        <w:rPr>
          <w:rFonts w:ascii="Book Antiqua" w:hAnsi="Book Antiqua" w:cs="Arial"/>
        </w:rPr>
        <w:t>natural killer T</w:t>
      </w:r>
      <w:bookmarkEnd w:id="50"/>
      <w:r w:rsidR="001A02AF" w:rsidRPr="001409F0">
        <w:rPr>
          <w:rFonts w:ascii="Book Antiqua" w:hAnsi="Book Antiqua" w:cs="Arial"/>
        </w:rPr>
        <w:t xml:space="preserve">; TCL: </w:t>
      </w:r>
      <w:r w:rsidR="001A02AF" w:rsidRPr="001409F0">
        <w:rPr>
          <w:rFonts w:ascii="Book Antiqua" w:hAnsi="Book Antiqua" w:cs="Arial"/>
          <w:bCs/>
          <w:i/>
          <w:iCs/>
        </w:rPr>
        <w:t>Tamarix chinensis Lour</w:t>
      </w:r>
      <w:r w:rsidRPr="001409F0">
        <w:rPr>
          <w:rFonts w:ascii="Book Antiqua" w:hAnsi="Book Antiqua" w:cs="Arial"/>
        </w:rPr>
        <w:t>.</w:t>
      </w:r>
    </w:p>
    <w:p w14:paraId="696C35D7" w14:textId="77777777" w:rsidR="00E22F0D" w:rsidRPr="001409F0" w:rsidRDefault="00E22F0D" w:rsidP="001409F0">
      <w:pPr>
        <w:adjustRightInd w:val="0"/>
        <w:snapToGrid w:val="0"/>
        <w:spacing w:line="360" w:lineRule="auto"/>
        <w:rPr>
          <w:rFonts w:ascii="Book Antiqua" w:hAnsi="Book Antiqua" w:cs="Arial"/>
        </w:rPr>
      </w:pPr>
    </w:p>
    <w:p w14:paraId="775A775B" w14:textId="0AA24358" w:rsidR="00DC162A" w:rsidRDefault="00DC162A">
      <w:pPr>
        <w:widowControl/>
        <w:jc w:val="left"/>
        <w:rPr>
          <w:rFonts w:ascii="Book Antiqua" w:hAnsi="Book Antiqua" w:cs="Arial"/>
        </w:rPr>
      </w:pPr>
      <w:r>
        <w:rPr>
          <w:rFonts w:ascii="Book Antiqua" w:hAnsi="Book Antiqua" w:cs="Arial"/>
        </w:rPr>
        <w:br w:type="page"/>
      </w:r>
    </w:p>
    <w:p w14:paraId="0DFE2B3D" w14:textId="77777777" w:rsidR="00E22F0D" w:rsidRPr="001409F0" w:rsidRDefault="00E22F0D" w:rsidP="001409F0">
      <w:pPr>
        <w:adjustRightInd w:val="0"/>
        <w:snapToGrid w:val="0"/>
        <w:spacing w:line="360" w:lineRule="auto"/>
        <w:rPr>
          <w:rFonts w:ascii="Book Antiqua" w:hAnsi="Book Antiqua" w:cs="Arial"/>
        </w:rPr>
      </w:pPr>
    </w:p>
    <w:p w14:paraId="64A1E0BB" w14:textId="406463D9" w:rsidR="00E05BA3" w:rsidRPr="001409F0" w:rsidRDefault="0070384C" w:rsidP="001409F0">
      <w:pPr>
        <w:adjustRightInd w:val="0"/>
        <w:snapToGrid w:val="0"/>
        <w:spacing w:line="360" w:lineRule="auto"/>
        <w:rPr>
          <w:rFonts w:ascii="Book Antiqua" w:hAnsi="Book Antiqua" w:cs="Arial"/>
        </w:rPr>
      </w:pPr>
      <w:r w:rsidRPr="001409F0">
        <w:rPr>
          <w:noProof/>
          <w:lang w:eastAsia="ja-JP"/>
        </w:rPr>
        <w:drawing>
          <wp:inline distT="0" distB="0" distL="0" distR="0" wp14:anchorId="6657639B" wp14:editId="1F65C2C6">
            <wp:extent cx="5278120" cy="353949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8120" cy="3539490"/>
                    </a:xfrm>
                    <a:prstGeom prst="rect">
                      <a:avLst/>
                    </a:prstGeom>
                  </pic:spPr>
                </pic:pic>
              </a:graphicData>
            </a:graphic>
          </wp:inline>
        </w:drawing>
      </w:r>
    </w:p>
    <w:p w14:paraId="31375DBF" w14:textId="05348F30"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b/>
        </w:rPr>
        <w:t xml:space="preserve">Figure 6 </w:t>
      </w:r>
      <w:r w:rsidRPr="001409F0">
        <w:rPr>
          <w:rFonts w:ascii="Book Antiqua" w:hAnsi="Book Antiqua" w:cs="Arial"/>
          <w:b/>
          <w:i/>
          <w:iCs/>
        </w:rPr>
        <w:t>Tamarix chinensis Lour</w:t>
      </w:r>
      <w:r w:rsidRPr="001409F0">
        <w:rPr>
          <w:rFonts w:ascii="Book Antiqua" w:hAnsi="Book Antiqua" w:cs="Arial"/>
          <w:b/>
        </w:rPr>
        <w:t xml:space="preserve"> relieves ethanol-induced hepatic oxidative stress. </w:t>
      </w:r>
      <w:r w:rsidRPr="001409F0">
        <w:rPr>
          <w:rFonts w:ascii="Book Antiqua" w:hAnsi="Book Antiqua" w:cs="Arial"/>
        </w:rPr>
        <w:t>A</w:t>
      </w:r>
      <w:r w:rsidR="00EC4A4D" w:rsidRPr="001409F0">
        <w:rPr>
          <w:rFonts w:ascii="Book Antiqua" w:hAnsi="Book Antiqua" w:cs="Arial"/>
        </w:rPr>
        <w:t>:</w:t>
      </w:r>
      <w:r w:rsidRPr="001409F0">
        <w:rPr>
          <w:rFonts w:ascii="Book Antiqua" w:hAnsi="Book Antiqua" w:cs="Arial"/>
        </w:rPr>
        <w:t xml:space="preserve"> Reduction of reactive oxygen species; B</w:t>
      </w:r>
      <w:r w:rsidR="00EC4A4D" w:rsidRPr="001409F0">
        <w:rPr>
          <w:rFonts w:ascii="Book Antiqua" w:hAnsi="Book Antiqua" w:cs="Arial"/>
        </w:rPr>
        <w:t>:</w:t>
      </w:r>
      <w:r w:rsidRPr="001409F0">
        <w:rPr>
          <w:rFonts w:ascii="Book Antiqua" w:hAnsi="Book Antiqua" w:cs="Arial"/>
        </w:rPr>
        <w:t xml:space="preserve"> Reduction of the malondialdehyde level; C</w:t>
      </w:r>
      <w:r w:rsidR="00EC4A4D" w:rsidRPr="001409F0">
        <w:rPr>
          <w:rFonts w:ascii="Book Antiqua" w:hAnsi="Book Antiqua" w:cs="Arial"/>
        </w:rPr>
        <w:t>:</w:t>
      </w:r>
      <w:r w:rsidRPr="001409F0">
        <w:rPr>
          <w:rFonts w:ascii="Book Antiqua" w:hAnsi="Book Antiqua" w:cs="Arial"/>
        </w:rPr>
        <w:t xml:space="preserve"> increase of superoxide dismutase</w:t>
      </w:r>
      <w:r w:rsidR="00EC4A4D" w:rsidRPr="001409F0">
        <w:rPr>
          <w:rFonts w:ascii="Book Antiqua" w:hAnsi="Book Antiqua" w:cs="Arial"/>
        </w:rPr>
        <w:t xml:space="preserve"> </w:t>
      </w:r>
      <w:r w:rsidRPr="001409F0">
        <w:rPr>
          <w:rFonts w:ascii="Book Antiqua" w:hAnsi="Book Antiqua" w:cs="Arial"/>
        </w:rPr>
        <w:t>activity. Values represent the mean ±</w:t>
      </w:r>
      <w:r w:rsidR="00EC4A4D" w:rsidRPr="001409F0">
        <w:rPr>
          <w:rFonts w:ascii="Book Antiqua" w:hAnsi="Book Antiqua" w:cs="Arial"/>
        </w:rPr>
        <w:t xml:space="preserve"> </w:t>
      </w:r>
      <w:r w:rsidRPr="001409F0">
        <w:rPr>
          <w:rFonts w:ascii="Book Antiqua" w:hAnsi="Book Antiqua" w:cs="Arial"/>
        </w:rPr>
        <w:t>SD (</w:t>
      </w:r>
      <w:r w:rsidRPr="001409F0">
        <w:rPr>
          <w:rFonts w:ascii="Book Antiqua" w:hAnsi="Book Antiqua" w:cs="Arial"/>
          <w:i/>
          <w:iCs/>
        </w:rPr>
        <w:t>n</w:t>
      </w:r>
      <w:r w:rsidR="00EC4A4D" w:rsidRPr="001409F0">
        <w:rPr>
          <w:rFonts w:ascii="Book Antiqua" w:hAnsi="Book Antiqua" w:cs="Arial"/>
          <w:i/>
          <w:iCs/>
        </w:rPr>
        <w:t xml:space="preserve"> </w:t>
      </w:r>
      <w:r w:rsidRPr="001409F0">
        <w:rPr>
          <w:rFonts w:ascii="Book Antiqua" w:hAnsi="Book Antiqua" w:cs="Arial"/>
        </w:rPr>
        <w:t>=</w:t>
      </w:r>
      <w:r w:rsidR="00EC4A4D" w:rsidRPr="001409F0">
        <w:rPr>
          <w:rFonts w:ascii="Book Antiqua" w:hAnsi="Book Antiqua" w:cs="Arial"/>
        </w:rPr>
        <w:t xml:space="preserve"> </w:t>
      </w:r>
      <w:r w:rsidRPr="001409F0">
        <w:rPr>
          <w:rFonts w:ascii="Book Antiqua" w:hAnsi="Book Antiqua" w:cs="Arial"/>
        </w:rPr>
        <w:t xml:space="preserve">7); </w:t>
      </w:r>
      <w:r w:rsidRPr="001409F0">
        <w:rPr>
          <w:rFonts w:ascii="Book Antiqua" w:hAnsi="Book Antiqua" w:cs="Arial"/>
          <w:vertAlign w:val="superscript"/>
        </w:rPr>
        <w:t>a</w:t>
      </w:r>
      <w:r w:rsidRPr="001409F0">
        <w:rPr>
          <w:rFonts w:ascii="Book Antiqua" w:hAnsi="Book Antiqua" w:cs="Arial"/>
          <w:i/>
        </w:rPr>
        <w:t>P</w:t>
      </w:r>
      <w:r w:rsidRPr="001409F0">
        <w:rPr>
          <w:rFonts w:ascii="Book Antiqua" w:hAnsi="Book Antiqua" w:cs="Arial"/>
        </w:rPr>
        <w:t xml:space="preserve"> &lt;</w:t>
      </w:r>
      <w:r w:rsidR="00EC4A4D" w:rsidRPr="001409F0">
        <w:rPr>
          <w:rFonts w:ascii="Book Antiqua" w:hAnsi="Book Antiqua" w:cs="Arial"/>
        </w:rPr>
        <w:t xml:space="preserve"> </w:t>
      </w:r>
      <w:r w:rsidRPr="001409F0">
        <w:rPr>
          <w:rFonts w:ascii="Book Antiqua" w:hAnsi="Book Antiqua" w:cs="Arial"/>
        </w:rPr>
        <w:t xml:space="preserve">0.01 </w:t>
      </w:r>
      <w:r w:rsidR="00757490" w:rsidRPr="001409F0">
        <w:rPr>
          <w:rFonts w:ascii="Book Antiqua" w:hAnsi="Book Antiqua" w:cs="Arial"/>
          <w:i/>
          <w:iCs/>
        </w:rPr>
        <w:t>vs</w:t>
      </w:r>
      <w:r w:rsidRPr="001409F0">
        <w:rPr>
          <w:rFonts w:ascii="Book Antiqua" w:hAnsi="Book Antiqua" w:cs="Arial"/>
        </w:rPr>
        <w:t xml:space="preserve"> control group; </w:t>
      </w:r>
      <w:r w:rsidRPr="001409F0">
        <w:rPr>
          <w:rFonts w:ascii="Book Antiqua" w:hAnsi="Book Antiqua" w:cs="Arial"/>
          <w:vertAlign w:val="superscript"/>
        </w:rPr>
        <w:t>b</w:t>
      </w:r>
      <w:r w:rsidRPr="001409F0">
        <w:rPr>
          <w:rFonts w:ascii="Book Antiqua" w:hAnsi="Book Antiqua" w:cs="Arial"/>
          <w:i/>
        </w:rPr>
        <w:t>P</w:t>
      </w:r>
      <w:r w:rsidR="00EC4A4D" w:rsidRPr="001409F0">
        <w:rPr>
          <w:rFonts w:ascii="Book Antiqua" w:hAnsi="Book Antiqua" w:cs="Arial"/>
          <w:i/>
        </w:rPr>
        <w:t xml:space="preserve"> </w:t>
      </w:r>
      <w:r w:rsidRPr="001409F0">
        <w:rPr>
          <w:rFonts w:ascii="Book Antiqua" w:hAnsi="Book Antiqua" w:cs="Arial"/>
        </w:rPr>
        <w:t>&lt;</w:t>
      </w:r>
      <w:r w:rsidR="00EC4A4D" w:rsidRPr="001409F0">
        <w:rPr>
          <w:rFonts w:ascii="Book Antiqua" w:hAnsi="Book Antiqua" w:cs="Arial"/>
        </w:rPr>
        <w:t xml:space="preserve"> </w:t>
      </w:r>
      <w:r w:rsidRPr="001409F0">
        <w:rPr>
          <w:rFonts w:ascii="Book Antiqua" w:hAnsi="Book Antiqua" w:cs="Arial"/>
        </w:rPr>
        <w:t xml:space="preserve">0.01 </w:t>
      </w:r>
      <w:r w:rsidR="00757490" w:rsidRPr="001409F0">
        <w:rPr>
          <w:rFonts w:ascii="Book Antiqua" w:hAnsi="Book Antiqua" w:cs="Arial"/>
          <w:i/>
          <w:iCs/>
        </w:rPr>
        <w:t>vs</w:t>
      </w:r>
      <w:r w:rsidRPr="001409F0">
        <w:rPr>
          <w:rFonts w:ascii="Book Antiqua" w:hAnsi="Book Antiqua" w:cs="Arial"/>
        </w:rPr>
        <w:t xml:space="preserve"> ethanol group.</w:t>
      </w:r>
      <w:r w:rsidR="00EC4A4D" w:rsidRPr="001409F0">
        <w:rPr>
          <w:rFonts w:ascii="Book Antiqua" w:hAnsi="Book Antiqua" w:cs="Arial"/>
        </w:rPr>
        <w:t xml:space="preserve"> ROS: </w:t>
      </w:r>
      <w:r w:rsidR="00FC12FC" w:rsidRPr="001409F0">
        <w:rPr>
          <w:rFonts w:ascii="Book Antiqua" w:hAnsi="Book Antiqua" w:cs="Arial"/>
        </w:rPr>
        <w:t xml:space="preserve">Reactive </w:t>
      </w:r>
      <w:r w:rsidR="00EC4A4D" w:rsidRPr="001409F0">
        <w:rPr>
          <w:rFonts w:ascii="Book Antiqua" w:hAnsi="Book Antiqua" w:cs="Arial"/>
        </w:rPr>
        <w:t xml:space="preserve">oxygen species; MDA: malondialdehyde; SOD: superoxide dismutase; TCL: </w:t>
      </w:r>
      <w:r w:rsidR="00EC4A4D" w:rsidRPr="001409F0">
        <w:rPr>
          <w:rFonts w:ascii="Book Antiqua" w:hAnsi="Book Antiqua" w:cs="Arial"/>
          <w:bCs/>
          <w:i/>
          <w:iCs/>
        </w:rPr>
        <w:t>Tamarix chinensis Lour</w:t>
      </w:r>
      <w:r w:rsidR="00EC4A4D" w:rsidRPr="001409F0">
        <w:rPr>
          <w:rFonts w:ascii="Book Antiqua" w:hAnsi="Book Antiqua" w:cs="Arial"/>
        </w:rPr>
        <w:t>.</w:t>
      </w:r>
    </w:p>
    <w:sectPr w:rsidR="00E05BA3" w:rsidRPr="001409F0" w:rsidSect="001409F0">
      <w:headerReference w:type="default" r:id="rId13"/>
      <w:footerReference w:type="default" r:id="rId14"/>
      <w:pgSz w:w="11906" w:h="16838" w:code="9"/>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4B6F70" w14:textId="77777777" w:rsidR="00F7468E" w:rsidRDefault="00F7468E" w:rsidP="00A17CCF">
      <w:r>
        <w:separator/>
      </w:r>
    </w:p>
  </w:endnote>
  <w:endnote w:type="continuationSeparator" w:id="0">
    <w:p w14:paraId="2080F9E4" w14:textId="77777777" w:rsidR="00F7468E" w:rsidRDefault="00F7468E" w:rsidP="00A17CCF">
      <w:r>
        <w:continuationSeparator/>
      </w:r>
    </w:p>
  </w:endnote>
  <w:endnote w:type="continuationNotice" w:id="1">
    <w:p w14:paraId="75A9F7CE" w14:textId="77777777" w:rsidR="00F7468E" w:rsidRDefault="00F746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dvOT863180fb">
    <w:altName w:val="Times New Roman"/>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marix chinensis Lour">
    <w:altName w:val="Times New Roman"/>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notTrueType/>
    <w:pitch w:val="variable"/>
    <w:sig w:usb0="00000001" w:usb1="080E0000" w:usb2="00000010" w:usb3="00000000" w:csb0="00040000" w:csb1="00000000"/>
  </w:font>
  <w:font w:name="HGMaruGothicMPRO">
    <w:panose1 w:val="020F0600000000000000"/>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仿宋">
    <w:panose1 w:val="02010609060101010101"/>
    <w:charset w:val="86"/>
    <w:family w:val="modern"/>
    <w:pitch w:val="fixed"/>
    <w:sig w:usb0="00000001" w:usb1="080E0000" w:usb2="00000010" w:usb3="00000000" w:csb0="00040000" w:csb1="00000000"/>
  </w:font>
  <w:font w:name="Helvetica">
    <w:panose1 w:val="00000000000000000000"/>
    <w:charset w:val="00"/>
    <w:family w:val="auto"/>
    <w:pitch w:val="variable"/>
    <w:sig w:usb0="E00002FF" w:usb1="5000785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AB012" w14:textId="6ED38F45" w:rsidR="00853143" w:rsidRPr="00472ED2" w:rsidRDefault="00853143" w:rsidP="00D77D35">
    <w:pPr>
      <w:pStyle w:val="a5"/>
      <w:jc w:val="center"/>
      <w:rPr>
        <w:rFonts w:ascii="Book Antiqua" w:hAnsi="Book Antiqua"/>
        <w:sz w:val="20"/>
        <w:szCs w:val="20"/>
      </w:rPr>
    </w:pPr>
    <w:r w:rsidRPr="00472ED2">
      <w:rPr>
        <w:rFonts w:ascii="Book Antiqua" w:hAnsi="Book Antiqua"/>
        <w:sz w:val="20"/>
        <w:szCs w:val="20"/>
      </w:rPr>
      <w:fldChar w:fldCharType="begin"/>
    </w:r>
    <w:r w:rsidRPr="00472ED2">
      <w:rPr>
        <w:rFonts w:ascii="Book Antiqua" w:hAnsi="Book Antiqua"/>
        <w:sz w:val="20"/>
        <w:szCs w:val="20"/>
      </w:rPr>
      <w:instrText>PAGE   \* MERGEFORMAT</w:instrText>
    </w:r>
    <w:r w:rsidRPr="00472ED2">
      <w:rPr>
        <w:rFonts w:ascii="Book Antiqua" w:hAnsi="Book Antiqua"/>
        <w:sz w:val="20"/>
        <w:szCs w:val="20"/>
      </w:rPr>
      <w:fldChar w:fldCharType="separate"/>
    </w:r>
    <w:r w:rsidR="00BB085D" w:rsidRPr="00BB085D">
      <w:rPr>
        <w:rFonts w:ascii="Book Antiqua" w:hAnsi="Book Antiqua"/>
        <w:noProof/>
        <w:sz w:val="20"/>
        <w:szCs w:val="20"/>
        <w:lang w:val="ja-JP" w:eastAsia="ja-JP"/>
      </w:rPr>
      <w:t>4</w:t>
    </w:r>
    <w:r w:rsidRPr="00472ED2">
      <w:rPr>
        <w:rFonts w:ascii="Book Antiqua" w:hAnsi="Book Antiqu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4B72D" w14:textId="77777777" w:rsidR="00F7468E" w:rsidRDefault="00F7468E" w:rsidP="00A17CCF">
      <w:r>
        <w:separator/>
      </w:r>
    </w:p>
  </w:footnote>
  <w:footnote w:type="continuationSeparator" w:id="0">
    <w:p w14:paraId="5B13731C" w14:textId="77777777" w:rsidR="00F7468E" w:rsidRDefault="00F7468E" w:rsidP="00A17CCF">
      <w:r>
        <w:continuationSeparator/>
      </w:r>
    </w:p>
  </w:footnote>
  <w:footnote w:type="continuationNotice" w:id="1">
    <w:p w14:paraId="23E8039E" w14:textId="77777777" w:rsidR="00F7468E" w:rsidRDefault="00F746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41326" w14:textId="4C6C7310" w:rsidR="00853143" w:rsidRDefault="00853143" w:rsidP="00472ED2">
    <w:pPr>
      <w:pStyle w:val="a3"/>
      <w:pBdr>
        <w:bottom w:val="none" w:sz="0" w:space="0" w:color="auto"/>
      </w:pBdr>
      <w:tabs>
        <w:tab w:val="clear" w:pos="8306"/>
      </w:tabs>
      <w:rPr>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70BE9"/>
    <w:multiLevelType w:val="multilevel"/>
    <w:tmpl w:val="12FC8CE2"/>
    <w:lvl w:ilvl="0">
      <w:start w:val="3"/>
      <w:numFmt w:val="decimal"/>
      <w:lvlText w:val="%1."/>
      <w:lvlJc w:val="left"/>
      <w:pPr>
        <w:ind w:left="1649" w:hanging="450"/>
      </w:pPr>
      <w:rPr>
        <w:rFonts w:cs="Times New Roman" w:hint="default"/>
      </w:rPr>
    </w:lvl>
    <w:lvl w:ilvl="1">
      <w:start w:val="1"/>
      <w:numFmt w:val="decimal"/>
      <w:lvlText w:val="%1.%2."/>
      <w:lvlJc w:val="left"/>
      <w:pPr>
        <w:ind w:left="2345" w:hanging="720"/>
      </w:pPr>
      <w:rPr>
        <w:rFonts w:cs="Times New Roman" w:hint="default"/>
      </w:rPr>
    </w:lvl>
    <w:lvl w:ilvl="2">
      <w:start w:val="1"/>
      <w:numFmt w:val="decimal"/>
      <w:lvlText w:val="%1.%2.%3."/>
      <w:lvlJc w:val="left"/>
      <w:pPr>
        <w:ind w:left="1919" w:hanging="720"/>
      </w:pPr>
      <w:rPr>
        <w:rFonts w:cs="Times New Roman" w:hint="default"/>
      </w:rPr>
    </w:lvl>
    <w:lvl w:ilvl="3">
      <w:start w:val="1"/>
      <w:numFmt w:val="decimal"/>
      <w:lvlText w:val="%1.%2.%3.%4."/>
      <w:lvlJc w:val="left"/>
      <w:pPr>
        <w:ind w:left="2279" w:hanging="1080"/>
      </w:pPr>
      <w:rPr>
        <w:rFonts w:cs="Times New Roman" w:hint="default"/>
      </w:rPr>
    </w:lvl>
    <w:lvl w:ilvl="4">
      <w:start w:val="1"/>
      <w:numFmt w:val="decimal"/>
      <w:lvlText w:val="%1.%2.%3.%4.%5."/>
      <w:lvlJc w:val="left"/>
      <w:pPr>
        <w:ind w:left="2279" w:hanging="1080"/>
      </w:pPr>
      <w:rPr>
        <w:rFonts w:cs="Times New Roman" w:hint="default"/>
      </w:rPr>
    </w:lvl>
    <w:lvl w:ilvl="5">
      <w:start w:val="1"/>
      <w:numFmt w:val="decimal"/>
      <w:lvlText w:val="%1.%2.%3.%4.%5.%6."/>
      <w:lvlJc w:val="left"/>
      <w:pPr>
        <w:ind w:left="2639" w:hanging="1440"/>
      </w:pPr>
      <w:rPr>
        <w:rFonts w:cs="Times New Roman" w:hint="default"/>
      </w:rPr>
    </w:lvl>
    <w:lvl w:ilvl="6">
      <w:start w:val="1"/>
      <w:numFmt w:val="decimal"/>
      <w:lvlText w:val="%1.%2.%3.%4.%5.%6.%7."/>
      <w:lvlJc w:val="left"/>
      <w:pPr>
        <w:ind w:left="2999" w:hanging="1800"/>
      </w:pPr>
      <w:rPr>
        <w:rFonts w:cs="Times New Roman" w:hint="default"/>
      </w:rPr>
    </w:lvl>
    <w:lvl w:ilvl="7">
      <w:start w:val="1"/>
      <w:numFmt w:val="decimal"/>
      <w:lvlText w:val="%1.%2.%3.%4.%5.%6.%7.%8."/>
      <w:lvlJc w:val="left"/>
      <w:pPr>
        <w:ind w:left="2999" w:hanging="1800"/>
      </w:pPr>
      <w:rPr>
        <w:rFonts w:cs="Times New Roman" w:hint="default"/>
      </w:rPr>
    </w:lvl>
    <w:lvl w:ilvl="8">
      <w:start w:val="1"/>
      <w:numFmt w:val="decimal"/>
      <w:lvlText w:val="%1.%2.%3.%4.%5.%6.%7.%8.%9."/>
      <w:lvlJc w:val="left"/>
      <w:pPr>
        <w:ind w:left="3359" w:hanging="2160"/>
      </w:pPr>
      <w:rPr>
        <w:rFonts w:cs="Times New Roman" w:hint="default"/>
      </w:rPr>
    </w:lvl>
  </w:abstractNum>
  <w:abstractNum w:abstractNumId="1" w15:restartNumberingAfterBreak="0">
    <w:nsid w:val="14081C53"/>
    <w:multiLevelType w:val="hybridMultilevel"/>
    <w:tmpl w:val="5A700610"/>
    <w:lvl w:ilvl="0" w:tplc="497EEF06">
      <w:start w:val="1"/>
      <w:numFmt w:val="decimal"/>
      <w:lvlText w:val="%1."/>
      <w:lvlJc w:val="left"/>
      <w:pPr>
        <w:ind w:left="361" w:hanging="360"/>
      </w:pPr>
      <w:rPr>
        <w:rFonts w:cs="Times New Roman" w:hint="default"/>
        <w:color w:val="000000"/>
      </w:rPr>
    </w:lvl>
    <w:lvl w:ilvl="1" w:tplc="04090017" w:tentative="1">
      <w:start w:val="1"/>
      <w:numFmt w:val="aiueoFullWidth"/>
      <w:lvlText w:val="(%2)"/>
      <w:lvlJc w:val="left"/>
      <w:pPr>
        <w:ind w:left="841" w:hanging="420"/>
      </w:pPr>
      <w:rPr>
        <w:rFonts w:cs="Times New Roman"/>
      </w:rPr>
    </w:lvl>
    <w:lvl w:ilvl="2" w:tplc="04090011" w:tentative="1">
      <w:start w:val="1"/>
      <w:numFmt w:val="decimalEnclosedCircle"/>
      <w:lvlText w:val="%3"/>
      <w:lvlJc w:val="left"/>
      <w:pPr>
        <w:ind w:left="1261" w:hanging="420"/>
      </w:pPr>
      <w:rPr>
        <w:rFonts w:cs="Times New Roman"/>
      </w:rPr>
    </w:lvl>
    <w:lvl w:ilvl="3" w:tplc="0409000F" w:tentative="1">
      <w:start w:val="1"/>
      <w:numFmt w:val="decimal"/>
      <w:lvlText w:val="%4."/>
      <w:lvlJc w:val="left"/>
      <w:pPr>
        <w:ind w:left="1681" w:hanging="420"/>
      </w:pPr>
      <w:rPr>
        <w:rFonts w:cs="Times New Roman"/>
      </w:rPr>
    </w:lvl>
    <w:lvl w:ilvl="4" w:tplc="04090017" w:tentative="1">
      <w:start w:val="1"/>
      <w:numFmt w:val="aiueoFullWidth"/>
      <w:lvlText w:val="(%5)"/>
      <w:lvlJc w:val="left"/>
      <w:pPr>
        <w:ind w:left="2101" w:hanging="420"/>
      </w:pPr>
      <w:rPr>
        <w:rFonts w:cs="Times New Roman"/>
      </w:rPr>
    </w:lvl>
    <w:lvl w:ilvl="5" w:tplc="04090011" w:tentative="1">
      <w:start w:val="1"/>
      <w:numFmt w:val="decimalEnclosedCircle"/>
      <w:lvlText w:val="%6"/>
      <w:lvlJc w:val="left"/>
      <w:pPr>
        <w:ind w:left="2521" w:hanging="420"/>
      </w:pPr>
      <w:rPr>
        <w:rFonts w:cs="Times New Roman"/>
      </w:rPr>
    </w:lvl>
    <w:lvl w:ilvl="6" w:tplc="0409000F" w:tentative="1">
      <w:start w:val="1"/>
      <w:numFmt w:val="decimal"/>
      <w:lvlText w:val="%7."/>
      <w:lvlJc w:val="left"/>
      <w:pPr>
        <w:ind w:left="2941" w:hanging="420"/>
      </w:pPr>
      <w:rPr>
        <w:rFonts w:cs="Times New Roman"/>
      </w:rPr>
    </w:lvl>
    <w:lvl w:ilvl="7" w:tplc="04090017" w:tentative="1">
      <w:start w:val="1"/>
      <w:numFmt w:val="aiueoFullWidth"/>
      <w:lvlText w:val="(%8)"/>
      <w:lvlJc w:val="left"/>
      <w:pPr>
        <w:ind w:left="3361" w:hanging="420"/>
      </w:pPr>
      <w:rPr>
        <w:rFonts w:cs="Times New Roman"/>
      </w:rPr>
    </w:lvl>
    <w:lvl w:ilvl="8" w:tplc="04090011" w:tentative="1">
      <w:start w:val="1"/>
      <w:numFmt w:val="decimalEnclosedCircle"/>
      <w:lvlText w:val="%9"/>
      <w:lvlJc w:val="left"/>
      <w:pPr>
        <w:ind w:left="3781" w:hanging="420"/>
      </w:pPr>
      <w:rPr>
        <w:rFonts w:cs="Times New Roman"/>
      </w:rPr>
    </w:lvl>
  </w:abstractNum>
  <w:abstractNum w:abstractNumId="2" w15:restartNumberingAfterBreak="0">
    <w:nsid w:val="2FC0217C"/>
    <w:multiLevelType w:val="hybridMultilevel"/>
    <w:tmpl w:val="918A041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32FB7EA7"/>
    <w:multiLevelType w:val="multilevel"/>
    <w:tmpl w:val="27FC5E50"/>
    <w:lvl w:ilvl="0">
      <w:start w:val="2"/>
      <w:numFmt w:val="decimal"/>
      <w:lvlText w:val="%1."/>
      <w:lvlJc w:val="left"/>
      <w:pPr>
        <w:ind w:left="450" w:hanging="450"/>
      </w:pPr>
      <w:rPr>
        <w:rFonts w:ascii="AdvOT863180fb" w:hAnsi="AdvOT863180fb" w:cs="Times New Roman" w:hint="default"/>
      </w:rPr>
    </w:lvl>
    <w:lvl w:ilvl="1">
      <w:start w:val="3"/>
      <w:numFmt w:val="decimal"/>
      <w:lvlText w:val="%1.%2."/>
      <w:lvlJc w:val="left"/>
      <w:pPr>
        <w:ind w:left="720" w:hanging="720"/>
      </w:pPr>
      <w:rPr>
        <w:rFonts w:ascii="AdvOT863180fb" w:hAnsi="AdvOT863180fb" w:cs="Times New Roman" w:hint="default"/>
      </w:rPr>
    </w:lvl>
    <w:lvl w:ilvl="2">
      <w:start w:val="1"/>
      <w:numFmt w:val="decimal"/>
      <w:lvlText w:val="%1.%2.%3."/>
      <w:lvlJc w:val="left"/>
      <w:pPr>
        <w:ind w:left="720" w:hanging="720"/>
      </w:pPr>
      <w:rPr>
        <w:rFonts w:ascii="AdvOT863180fb" w:hAnsi="AdvOT863180fb" w:cs="Times New Roman" w:hint="default"/>
      </w:rPr>
    </w:lvl>
    <w:lvl w:ilvl="3">
      <w:start w:val="1"/>
      <w:numFmt w:val="decimal"/>
      <w:lvlText w:val="%1.%2.%3.%4."/>
      <w:lvlJc w:val="left"/>
      <w:pPr>
        <w:ind w:left="1080" w:hanging="1080"/>
      </w:pPr>
      <w:rPr>
        <w:rFonts w:ascii="AdvOT863180fb" w:hAnsi="AdvOT863180fb" w:cs="Times New Roman" w:hint="default"/>
      </w:rPr>
    </w:lvl>
    <w:lvl w:ilvl="4">
      <w:start w:val="1"/>
      <w:numFmt w:val="decimal"/>
      <w:lvlText w:val="%1.%2.%3.%4.%5."/>
      <w:lvlJc w:val="left"/>
      <w:pPr>
        <w:ind w:left="1080" w:hanging="1080"/>
      </w:pPr>
      <w:rPr>
        <w:rFonts w:ascii="AdvOT863180fb" w:hAnsi="AdvOT863180fb" w:cs="Times New Roman" w:hint="default"/>
      </w:rPr>
    </w:lvl>
    <w:lvl w:ilvl="5">
      <w:start w:val="1"/>
      <w:numFmt w:val="decimal"/>
      <w:lvlText w:val="%1.%2.%3.%4.%5.%6."/>
      <w:lvlJc w:val="left"/>
      <w:pPr>
        <w:ind w:left="1440" w:hanging="1440"/>
      </w:pPr>
      <w:rPr>
        <w:rFonts w:ascii="AdvOT863180fb" w:hAnsi="AdvOT863180fb" w:cs="Times New Roman" w:hint="default"/>
      </w:rPr>
    </w:lvl>
    <w:lvl w:ilvl="6">
      <w:start w:val="1"/>
      <w:numFmt w:val="decimal"/>
      <w:lvlText w:val="%1.%2.%3.%4.%5.%6.%7."/>
      <w:lvlJc w:val="left"/>
      <w:pPr>
        <w:ind w:left="1800" w:hanging="1800"/>
      </w:pPr>
      <w:rPr>
        <w:rFonts w:ascii="AdvOT863180fb" w:hAnsi="AdvOT863180fb" w:cs="Times New Roman" w:hint="default"/>
      </w:rPr>
    </w:lvl>
    <w:lvl w:ilvl="7">
      <w:start w:val="1"/>
      <w:numFmt w:val="decimal"/>
      <w:lvlText w:val="%1.%2.%3.%4.%5.%6.%7.%8."/>
      <w:lvlJc w:val="left"/>
      <w:pPr>
        <w:ind w:left="1800" w:hanging="1800"/>
      </w:pPr>
      <w:rPr>
        <w:rFonts w:ascii="AdvOT863180fb" w:hAnsi="AdvOT863180fb" w:cs="Times New Roman" w:hint="default"/>
      </w:rPr>
    </w:lvl>
    <w:lvl w:ilvl="8">
      <w:start w:val="1"/>
      <w:numFmt w:val="decimal"/>
      <w:lvlText w:val="%1.%2.%3.%4.%5.%6.%7.%8.%9."/>
      <w:lvlJc w:val="left"/>
      <w:pPr>
        <w:ind w:left="2160" w:hanging="2160"/>
      </w:pPr>
      <w:rPr>
        <w:rFonts w:ascii="AdvOT863180fb" w:hAnsi="AdvOT863180fb" w:cs="Times New Roman" w:hint="default"/>
      </w:rPr>
    </w:lvl>
  </w:abstractNum>
  <w:abstractNum w:abstractNumId="4" w15:restartNumberingAfterBreak="0">
    <w:nsid w:val="34310C82"/>
    <w:multiLevelType w:val="multilevel"/>
    <w:tmpl w:val="1A02FF76"/>
    <w:lvl w:ilvl="0">
      <w:start w:val="3"/>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15:restartNumberingAfterBreak="0">
    <w:nsid w:val="61A7108E"/>
    <w:multiLevelType w:val="multilevel"/>
    <w:tmpl w:val="A4FCE846"/>
    <w:lvl w:ilvl="0">
      <w:start w:val="2"/>
      <w:numFmt w:val="decimal"/>
      <w:lvlText w:val="%1."/>
      <w:lvlJc w:val="left"/>
      <w:pPr>
        <w:ind w:left="450" w:hanging="45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 w15:restartNumberingAfterBreak="0">
    <w:nsid w:val="73695765"/>
    <w:multiLevelType w:val="multilevel"/>
    <w:tmpl w:val="764EF3FE"/>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7" w15:restartNumberingAfterBreak="0">
    <w:nsid w:val="79FF108D"/>
    <w:multiLevelType w:val="multilevel"/>
    <w:tmpl w:val="69BCEC5A"/>
    <w:lvl w:ilvl="0">
      <w:start w:val="2"/>
      <w:numFmt w:val="decimal"/>
      <w:lvlText w:val="%1."/>
      <w:lvlJc w:val="left"/>
      <w:pPr>
        <w:ind w:left="420" w:hanging="42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15:restartNumberingAfterBreak="0">
    <w:nsid w:val="7F5D5A57"/>
    <w:multiLevelType w:val="hybridMultilevel"/>
    <w:tmpl w:val="7E12F0C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7F9F58AD"/>
    <w:multiLevelType w:val="multilevel"/>
    <w:tmpl w:val="FE525AF6"/>
    <w:lvl w:ilvl="0">
      <w:start w:val="1"/>
      <w:numFmt w:val="decimal"/>
      <w:lvlText w:val="%1."/>
      <w:lvlJc w:val="left"/>
      <w:pPr>
        <w:ind w:left="360" w:hanging="360"/>
      </w:pPr>
      <w:rPr>
        <w:rFonts w:ascii="Arial" w:eastAsia="Times New Roman" w:hAnsi="Arial" w:cs="Arial"/>
      </w:rPr>
    </w:lvl>
    <w:lvl w:ilvl="1">
      <w:start w:val="3"/>
      <w:numFmt w:val="decimal"/>
      <w:isLgl/>
      <w:lvlText w:val="%1.%2"/>
      <w:lvlJc w:val="left"/>
      <w:pPr>
        <w:ind w:left="360" w:hanging="360"/>
      </w:pPr>
      <w:rPr>
        <w:rFonts w:ascii="Tamarix chinensis Lour" w:hAnsi="Tamarix chinensis Lour" w:cs="Times New Roman" w:hint="default"/>
      </w:rPr>
    </w:lvl>
    <w:lvl w:ilvl="2">
      <w:start w:val="1"/>
      <w:numFmt w:val="decimal"/>
      <w:isLgl/>
      <w:lvlText w:val="%1.%2.%3"/>
      <w:lvlJc w:val="left"/>
      <w:pPr>
        <w:ind w:left="720" w:hanging="720"/>
      </w:pPr>
      <w:rPr>
        <w:rFonts w:ascii="Tamarix chinensis Lour" w:hAnsi="Tamarix chinensis Lour" w:cs="Times New Roman" w:hint="default"/>
      </w:rPr>
    </w:lvl>
    <w:lvl w:ilvl="3">
      <w:start w:val="1"/>
      <w:numFmt w:val="decimal"/>
      <w:isLgl/>
      <w:lvlText w:val="%1.%2.%3.%4"/>
      <w:lvlJc w:val="left"/>
      <w:pPr>
        <w:ind w:left="720" w:hanging="720"/>
      </w:pPr>
      <w:rPr>
        <w:rFonts w:ascii="Tamarix chinensis Lour" w:hAnsi="Tamarix chinensis Lour" w:cs="Times New Roman" w:hint="default"/>
      </w:rPr>
    </w:lvl>
    <w:lvl w:ilvl="4">
      <w:start w:val="1"/>
      <w:numFmt w:val="decimal"/>
      <w:isLgl/>
      <w:lvlText w:val="%1.%2.%3.%4.%5"/>
      <w:lvlJc w:val="left"/>
      <w:pPr>
        <w:ind w:left="1080" w:hanging="1080"/>
      </w:pPr>
      <w:rPr>
        <w:rFonts w:ascii="Tamarix chinensis Lour" w:hAnsi="Tamarix chinensis Lour" w:cs="Times New Roman" w:hint="default"/>
      </w:rPr>
    </w:lvl>
    <w:lvl w:ilvl="5">
      <w:start w:val="1"/>
      <w:numFmt w:val="decimal"/>
      <w:isLgl/>
      <w:lvlText w:val="%1.%2.%3.%4.%5.%6"/>
      <w:lvlJc w:val="left"/>
      <w:pPr>
        <w:ind w:left="1080" w:hanging="1080"/>
      </w:pPr>
      <w:rPr>
        <w:rFonts w:ascii="Tamarix chinensis Lour" w:hAnsi="Tamarix chinensis Lour" w:cs="Times New Roman" w:hint="default"/>
      </w:rPr>
    </w:lvl>
    <w:lvl w:ilvl="6">
      <w:start w:val="1"/>
      <w:numFmt w:val="decimal"/>
      <w:isLgl/>
      <w:lvlText w:val="%1.%2.%3.%4.%5.%6.%7"/>
      <w:lvlJc w:val="left"/>
      <w:pPr>
        <w:ind w:left="1440" w:hanging="1440"/>
      </w:pPr>
      <w:rPr>
        <w:rFonts w:ascii="Tamarix chinensis Lour" w:hAnsi="Tamarix chinensis Lour" w:cs="Times New Roman" w:hint="default"/>
      </w:rPr>
    </w:lvl>
    <w:lvl w:ilvl="7">
      <w:start w:val="1"/>
      <w:numFmt w:val="decimal"/>
      <w:isLgl/>
      <w:lvlText w:val="%1.%2.%3.%4.%5.%6.%7.%8"/>
      <w:lvlJc w:val="left"/>
      <w:pPr>
        <w:ind w:left="1440" w:hanging="1440"/>
      </w:pPr>
      <w:rPr>
        <w:rFonts w:ascii="Tamarix chinensis Lour" w:hAnsi="Tamarix chinensis Lour" w:cs="Times New Roman" w:hint="default"/>
      </w:rPr>
    </w:lvl>
    <w:lvl w:ilvl="8">
      <w:start w:val="1"/>
      <w:numFmt w:val="decimal"/>
      <w:isLgl/>
      <w:lvlText w:val="%1.%2.%3.%4.%5.%6.%7.%8.%9"/>
      <w:lvlJc w:val="left"/>
      <w:pPr>
        <w:ind w:left="1800" w:hanging="1800"/>
      </w:pPr>
      <w:rPr>
        <w:rFonts w:ascii="Tamarix chinensis Lour" w:hAnsi="Tamarix chinensis Lour" w:cs="Times New Roman" w:hint="default"/>
      </w:rPr>
    </w:lvl>
  </w:abstractNum>
  <w:num w:numId="1">
    <w:abstractNumId w:val="6"/>
  </w:num>
  <w:num w:numId="2">
    <w:abstractNumId w:val="3"/>
  </w:num>
  <w:num w:numId="3">
    <w:abstractNumId w:val="5"/>
  </w:num>
  <w:num w:numId="4">
    <w:abstractNumId w:val="7"/>
  </w:num>
  <w:num w:numId="5">
    <w:abstractNumId w:val="0"/>
  </w:num>
  <w:num w:numId="6">
    <w:abstractNumId w:val="9"/>
  </w:num>
  <w:num w:numId="7">
    <w:abstractNumId w:val="2"/>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removePersonalInformation/>
  <w:removeDateAndTime/>
  <w:bordersDoNotSurroundHeader/>
  <w:bordersDoNotSurroundFooter/>
  <w:proofState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CCF"/>
    <w:rsid w:val="0000208E"/>
    <w:rsid w:val="00002F66"/>
    <w:rsid w:val="00005251"/>
    <w:rsid w:val="0000610E"/>
    <w:rsid w:val="0001076C"/>
    <w:rsid w:val="0001112D"/>
    <w:rsid w:val="00011E46"/>
    <w:rsid w:val="00013D61"/>
    <w:rsid w:val="0003093A"/>
    <w:rsid w:val="00030E18"/>
    <w:rsid w:val="00031916"/>
    <w:rsid w:val="0003309C"/>
    <w:rsid w:val="0003391B"/>
    <w:rsid w:val="00033A04"/>
    <w:rsid w:val="00035403"/>
    <w:rsid w:val="00035451"/>
    <w:rsid w:val="00042D40"/>
    <w:rsid w:val="00052CF2"/>
    <w:rsid w:val="00056D47"/>
    <w:rsid w:val="00060E75"/>
    <w:rsid w:val="0006249A"/>
    <w:rsid w:val="00063795"/>
    <w:rsid w:val="00067F4C"/>
    <w:rsid w:val="00077BAE"/>
    <w:rsid w:val="0008095D"/>
    <w:rsid w:val="0008158F"/>
    <w:rsid w:val="00083D77"/>
    <w:rsid w:val="00087432"/>
    <w:rsid w:val="00087F1D"/>
    <w:rsid w:val="000908A5"/>
    <w:rsid w:val="000913E9"/>
    <w:rsid w:val="0009262D"/>
    <w:rsid w:val="0009278B"/>
    <w:rsid w:val="0009382A"/>
    <w:rsid w:val="00095A35"/>
    <w:rsid w:val="00096F52"/>
    <w:rsid w:val="00097A7A"/>
    <w:rsid w:val="00097B67"/>
    <w:rsid w:val="000A6BB8"/>
    <w:rsid w:val="000B0148"/>
    <w:rsid w:val="000B153E"/>
    <w:rsid w:val="000B1882"/>
    <w:rsid w:val="000B2E0A"/>
    <w:rsid w:val="000B3E6D"/>
    <w:rsid w:val="000B5C4E"/>
    <w:rsid w:val="000B6FD8"/>
    <w:rsid w:val="000C2C0F"/>
    <w:rsid w:val="000C361A"/>
    <w:rsid w:val="000C406A"/>
    <w:rsid w:val="000C472B"/>
    <w:rsid w:val="000C7495"/>
    <w:rsid w:val="000E0111"/>
    <w:rsid w:val="000E0D55"/>
    <w:rsid w:val="000F0D64"/>
    <w:rsid w:val="000F38C4"/>
    <w:rsid w:val="000F515E"/>
    <w:rsid w:val="000F6B83"/>
    <w:rsid w:val="00100C5D"/>
    <w:rsid w:val="001056EB"/>
    <w:rsid w:val="0010685E"/>
    <w:rsid w:val="001078FE"/>
    <w:rsid w:val="00110BE9"/>
    <w:rsid w:val="00110FDE"/>
    <w:rsid w:val="0011589D"/>
    <w:rsid w:val="00124FC5"/>
    <w:rsid w:val="00125196"/>
    <w:rsid w:val="00133432"/>
    <w:rsid w:val="00133A30"/>
    <w:rsid w:val="00135990"/>
    <w:rsid w:val="001409F0"/>
    <w:rsid w:val="00147502"/>
    <w:rsid w:val="001534B8"/>
    <w:rsid w:val="00154ECE"/>
    <w:rsid w:val="00160527"/>
    <w:rsid w:val="00162897"/>
    <w:rsid w:val="00170A2B"/>
    <w:rsid w:val="001722DF"/>
    <w:rsid w:val="001740ED"/>
    <w:rsid w:val="001835BF"/>
    <w:rsid w:val="00184498"/>
    <w:rsid w:val="001863B6"/>
    <w:rsid w:val="00187E3F"/>
    <w:rsid w:val="00190AAF"/>
    <w:rsid w:val="00191A53"/>
    <w:rsid w:val="0019462C"/>
    <w:rsid w:val="00195234"/>
    <w:rsid w:val="00195DCE"/>
    <w:rsid w:val="001A02AF"/>
    <w:rsid w:val="001A305B"/>
    <w:rsid w:val="001B1308"/>
    <w:rsid w:val="001B1532"/>
    <w:rsid w:val="001B1DF0"/>
    <w:rsid w:val="001B30C5"/>
    <w:rsid w:val="001B30CC"/>
    <w:rsid w:val="001B3A6E"/>
    <w:rsid w:val="001B42C1"/>
    <w:rsid w:val="001B45AA"/>
    <w:rsid w:val="001C2566"/>
    <w:rsid w:val="001C3FFF"/>
    <w:rsid w:val="001D0DA7"/>
    <w:rsid w:val="001D168E"/>
    <w:rsid w:val="001D4752"/>
    <w:rsid w:val="001E1143"/>
    <w:rsid w:val="001E44FC"/>
    <w:rsid w:val="001E7527"/>
    <w:rsid w:val="001F06F5"/>
    <w:rsid w:val="001F2F6C"/>
    <w:rsid w:val="00202520"/>
    <w:rsid w:val="0020580D"/>
    <w:rsid w:val="00205947"/>
    <w:rsid w:val="00205B31"/>
    <w:rsid w:val="00217AA7"/>
    <w:rsid w:val="00222476"/>
    <w:rsid w:val="002237DD"/>
    <w:rsid w:val="002243EF"/>
    <w:rsid w:val="0022558C"/>
    <w:rsid w:val="002266CC"/>
    <w:rsid w:val="00234E6A"/>
    <w:rsid w:val="00236ECC"/>
    <w:rsid w:val="00241222"/>
    <w:rsid w:val="0024547C"/>
    <w:rsid w:val="00245CB2"/>
    <w:rsid w:val="002514D0"/>
    <w:rsid w:val="002531B1"/>
    <w:rsid w:val="00257F86"/>
    <w:rsid w:val="002634ED"/>
    <w:rsid w:val="0026493C"/>
    <w:rsid w:val="00265B58"/>
    <w:rsid w:val="00265C67"/>
    <w:rsid w:val="0027079B"/>
    <w:rsid w:val="00271753"/>
    <w:rsid w:val="0027251B"/>
    <w:rsid w:val="002816AE"/>
    <w:rsid w:val="00285963"/>
    <w:rsid w:val="00292119"/>
    <w:rsid w:val="00292125"/>
    <w:rsid w:val="00294712"/>
    <w:rsid w:val="002A4287"/>
    <w:rsid w:val="002B7294"/>
    <w:rsid w:val="002B76B8"/>
    <w:rsid w:val="002B7F92"/>
    <w:rsid w:val="002C580F"/>
    <w:rsid w:val="002C6B74"/>
    <w:rsid w:val="002D0A2C"/>
    <w:rsid w:val="002D47F5"/>
    <w:rsid w:val="002D6545"/>
    <w:rsid w:val="002D6B60"/>
    <w:rsid w:val="002D73E8"/>
    <w:rsid w:val="002E1B5A"/>
    <w:rsid w:val="002E5328"/>
    <w:rsid w:val="002E5C25"/>
    <w:rsid w:val="002E60C3"/>
    <w:rsid w:val="002E6998"/>
    <w:rsid w:val="002F4C9A"/>
    <w:rsid w:val="002F503E"/>
    <w:rsid w:val="002F6437"/>
    <w:rsid w:val="0030075C"/>
    <w:rsid w:val="0030204C"/>
    <w:rsid w:val="003040D5"/>
    <w:rsid w:val="0030680E"/>
    <w:rsid w:val="003069E3"/>
    <w:rsid w:val="003126A7"/>
    <w:rsid w:val="0031590A"/>
    <w:rsid w:val="003177A8"/>
    <w:rsid w:val="00322D36"/>
    <w:rsid w:val="00323E8A"/>
    <w:rsid w:val="0032677C"/>
    <w:rsid w:val="00334699"/>
    <w:rsid w:val="00335057"/>
    <w:rsid w:val="0033559C"/>
    <w:rsid w:val="0034515A"/>
    <w:rsid w:val="003458E9"/>
    <w:rsid w:val="003538D9"/>
    <w:rsid w:val="003577E9"/>
    <w:rsid w:val="00364864"/>
    <w:rsid w:val="00375C66"/>
    <w:rsid w:val="00380157"/>
    <w:rsid w:val="00380CA4"/>
    <w:rsid w:val="00382312"/>
    <w:rsid w:val="00382935"/>
    <w:rsid w:val="003850C6"/>
    <w:rsid w:val="0039365C"/>
    <w:rsid w:val="00393B1F"/>
    <w:rsid w:val="00394D5F"/>
    <w:rsid w:val="003B127B"/>
    <w:rsid w:val="003B6210"/>
    <w:rsid w:val="003C0BC2"/>
    <w:rsid w:val="003C0FDF"/>
    <w:rsid w:val="003C1177"/>
    <w:rsid w:val="003C3EC0"/>
    <w:rsid w:val="003C67C0"/>
    <w:rsid w:val="003C7C86"/>
    <w:rsid w:val="003D0622"/>
    <w:rsid w:val="003D1393"/>
    <w:rsid w:val="003D3A0D"/>
    <w:rsid w:val="003E090A"/>
    <w:rsid w:val="003F5174"/>
    <w:rsid w:val="0040017A"/>
    <w:rsid w:val="00400CBE"/>
    <w:rsid w:val="004020A4"/>
    <w:rsid w:val="00406ECC"/>
    <w:rsid w:val="00407437"/>
    <w:rsid w:val="004078B3"/>
    <w:rsid w:val="00411B2A"/>
    <w:rsid w:val="00413060"/>
    <w:rsid w:val="00416C42"/>
    <w:rsid w:val="00417986"/>
    <w:rsid w:val="00420112"/>
    <w:rsid w:val="00421270"/>
    <w:rsid w:val="00422627"/>
    <w:rsid w:val="004250D5"/>
    <w:rsid w:val="00427474"/>
    <w:rsid w:val="00431A40"/>
    <w:rsid w:val="004351C2"/>
    <w:rsid w:val="00437DBC"/>
    <w:rsid w:val="004510AB"/>
    <w:rsid w:val="004522E5"/>
    <w:rsid w:val="004551C8"/>
    <w:rsid w:val="00456ABE"/>
    <w:rsid w:val="004575FB"/>
    <w:rsid w:val="00461CD0"/>
    <w:rsid w:val="00472088"/>
    <w:rsid w:val="00472426"/>
    <w:rsid w:val="00472ED2"/>
    <w:rsid w:val="00474056"/>
    <w:rsid w:val="004740D6"/>
    <w:rsid w:val="0047580F"/>
    <w:rsid w:val="00476B17"/>
    <w:rsid w:val="004800A0"/>
    <w:rsid w:val="00481B4A"/>
    <w:rsid w:val="004846FE"/>
    <w:rsid w:val="004857F1"/>
    <w:rsid w:val="004866FC"/>
    <w:rsid w:val="00486F7C"/>
    <w:rsid w:val="004878A6"/>
    <w:rsid w:val="004915CD"/>
    <w:rsid w:val="004916F8"/>
    <w:rsid w:val="00492798"/>
    <w:rsid w:val="00494467"/>
    <w:rsid w:val="00494E14"/>
    <w:rsid w:val="004952A4"/>
    <w:rsid w:val="004976ED"/>
    <w:rsid w:val="004A3149"/>
    <w:rsid w:val="004A397F"/>
    <w:rsid w:val="004A4E69"/>
    <w:rsid w:val="004A52C3"/>
    <w:rsid w:val="004B220B"/>
    <w:rsid w:val="004B32E2"/>
    <w:rsid w:val="004B3A33"/>
    <w:rsid w:val="004B62D2"/>
    <w:rsid w:val="004C0EEF"/>
    <w:rsid w:val="004C1E74"/>
    <w:rsid w:val="004C2746"/>
    <w:rsid w:val="004D1C82"/>
    <w:rsid w:val="004D3DB9"/>
    <w:rsid w:val="004D45D9"/>
    <w:rsid w:val="004D6027"/>
    <w:rsid w:val="004E10D9"/>
    <w:rsid w:val="004E1C44"/>
    <w:rsid w:val="004E63D6"/>
    <w:rsid w:val="004F2E8F"/>
    <w:rsid w:val="004F44AA"/>
    <w:rsid w:val="004F68B4"/>
    <w:rsid w:val="00500326"/>
    <w:rsid w:val="0050223E"/>
    <w:rsid w:val="005024DE"/>
    <w:rsid w:val="005079D2"/>
    <w:rsid w:val="00513CFB"/>
    <w:rsid w:val="005144DC"/>
    <w:rsid w:val="00516D69"/>
    <w:rsid w:val="00532A0B"/>
    <w:rsid w:val="00534DFA"/>
    <w:rsid w:val="00536F0B"/>
    <w:rsid w:val="005370C8"/>
    <w:rsid w:val="00540896"/>
    <w:rsid w:val="0054144F"/>
    <w:rsid w:val="005429B7"/>
    <w:rsid w:val="00546A40"/>
    <w:rsid w:val="005518E5"/>
    <w:rsid w:val="00555D41"/>
    <w:rsid w:val="00564680"/>
    <w:rsid w:val="0056542C"/>
    <w:rsid w:val="00565E46"/>
    <w:rsid w:val="00567E0E"/>
    <w:rsid w:val="00570712"/>
    <w:rsid w:val="005710DA"/>
    <w:rsid w:val="005717E3"/>
    <w:rsid w:val="00575822"/>
    <w:rsid w:val="0058163F"/>
    <w:rsid w:val="005828A5"/>
    <w:rsid w:val="00584C85"/>
    <w:rsid w:val="00584E65"/>
    <w:rsid w:val="00591F3F"/>
    <w:rsid w:val="00594132"/>
    <w:rsid w:val="00595852"/>
    <w:rsid w:val="0059698A"/>
    <w:rsid w:val="005A10D6"/>
    <w:rsid w:val="005A1867"/>
    <w:rsid w:val="005B2215"/>
    <w:rsid w:val="005B5FBA"/>
    <w:rsid w:val="005C2F60"/>
    <w:rsid w:val="005C44B0"/>
    <w:rsid w:val="005C44C8"/>
    <w:rsid w:val="005C7C2E"/>
    <w:rsid w:val="005D1038"/>
    <w:rsid w:val="005D452E"/>
    <w:rsid w:val="005D6ECC"/>
    <w:rsid w:val="005D78E1"/>
    <w:rsid w:val="005E28E2"/>
    <w:rsid w:val="005E3285"/>
    <w:rsid w:val="005E4439"/>
    <w:rsid w:val="005E573D"/>
    <w:rsid w:val="005F5790"/>
    <w:rsid w:val="005F6056"/>
    <w:rsid w:val="006002BF"/>
    <w:rsid w:val="00603277"/>
    <w:rsid w:val="00605E19"/>
    <w:rsid w:val="00611779"/>
    <w:rsid w:val="00613C75"/>
    <w:rsid w:val="00615505"/>
    <w:rsid w:val="00616B9C"/>
    <w:rsid w:val="006261E4"/>
    <w:rsid w:val="00635D69"/>
    <w:rsid w:val="0064436D"/>
    <w:rsid w:val="0064750F"/>
    <w:rsid w:val="00654927"/>
    <w:rsid w:val="00655898"/>
    <w:rsid w:val="00656DDF"/>
    <w:rsid w:val="00656EDA"/>
    <w:rsid w:val="00657B7D"/>
    <w:rsid w:val="0066327C"/>
    <w:rsid w:val="00672B0E"/>
    <w:rsid w:val="00672F2C"/>
    <w:rsid w:val="00673D0F"/>
    <w:rsid w:val="00674628"/>
    <w:rsid w:val="0067539F"/>
    <w:rsid w:val="00677695"/>
    <w:rsid w:val="006802B6"/>
    <w:rsid w:val="006805B1"/>
    <w:rsid w:val="006829B9"/>
    <w:rsid w:val="00684E75"/>
    <w:rsid w:val="00684FD1"/>
    <w:rsid w:val="006868D0"/>
    <w:rsid w:val="00686D68"/>
    <w:rsid w:val="00690F25"/>
    <w:rsid w:val="00692920"/>
    <w:rsid w:val="00693D31"/>
    <w:rsid w:val="00696E1E"/>
    <w:rsid w:val="006A49A7"/>
    <w:rsid w:val="006A5A0B"/>
    <w:rsid w:val="006B791F"/>
    <w:rsid w:val="006B7987"/>
    <w:rsid w:val="006C1A76"/>
    <w:rsid w:val="006C3658"/>
    <w:rsid w:val="006D4B2D"/>
    <w:rsid w:val="006D6FC2"/>
    <w:rsid w:val="006E027C"/>
    <w:rsid w:val="006E15F4"/>
    <w:rsid w:val="006E2131"/>
    <w:rsid w:val="006E24B3"/>
    <w:rsid w:val="006E3395"/>
    <w:rsid w:val="006E451D"/>
    <w:rsid w:val="006F1CD6"/>
    <w:rsid w:val="006F3910"/>
    <w:rsid w:val="00700E2B"/>
    <w:rsid w:val="0070249C"/>
    <w:rsid w:val="00702DBE"/>
    <w:rsid w:val="00703560"/>
    <w:rsid w:val="0070384C"/>
    <w:rsid w:val="007063B0"/>
    <w:rsid w:val="00707006"/>
    <w:rsid w:val="007127FF"/>
    <w:rsid w:val="00714FE5"/>
    <w:rsid w:val="00715E34"/>
    <w:rsid w:val="00720214"/>
    <w:rsid w:val="00720246"/>
    <w:rsid w:val="00720881"/>
    <w:rsid w:val="0072536F"/>
    <w:rsid w:val="0074239C"/>
    <w:rsid w:val="00742853"/>
    <w:rsid w:val="007443AD"/>
    <w:rsid w:val="00746424"/>
    <w:rsid w:val="007513FD"/>
    <w:rsid w:val="007553F0"/>
    <w:rsid w:val="0075613F"/>
    <w:rsid w:val="00757490"/>
    <w:rsid w:val="00761067"/>
    <w:rsid w:val="0076165A"/>
    <w:rsid w:val="00762783"/>
    <w:rsid w:val="00762DFF"/>
    <w:rsid w:val="00763CE9"/>
    <w:rsid w:val="00764285"/>
    <w:rsid w:val="007644C3"/>
    <w:rsid w:val="00764BE9"/>
    <w:rsid w:val="00770632"/>
    <w:rsid w:val="00773263"/>
    <w:rsid w:val="00773A96"/>
    <w:rsid w:val="00782716"/>
    <w:rsid w:val="00786414"/>
    <w:rsid w:val="00794188"/>
    <w:rsid w:val="007A36A4"/>
    <w:rsid w:val="007A63DD"/>
    <w:rsid w:val="007C50BA"/>
    <w:rsid w:val="007C69E1"/>
    <w:rsid w:val="007C77E3"/>
    <w:rsid w:val="007D09BC"/>
    <w:rsid w:val="007D17AA"/>
    <w:rsid w:val="007D1A3D"/>
    <w:rsid w:val="007E492C"/>
    <w:rsid w:val="007F6E48"/>
    <w:rsid w:val="007F71FE"/>
    <w:rsid w:val="0080116F"/>
    <w:rsid w:val="00803408"/>
    <w:rsid w:val="00803C0D"/>
    <w:rsid w:val="00812914"/>
    <w:rsid w:val="00820C6D"/>
    <w:rsid w:val="008228D6"/>
    <w:rsid w:val="008242E8"/>
    <w:rsid w:val="008248F9"/>
    <w:rsid w:val="0082579D"/>
    <w:rsid w:val="008260CF"/>
    <w:rsid w:val="008279C7"/>
    <w:rsid w:val="00830747"/>
    <w:rsid w:val="00834A74"/>
    <w:rsid w:val="008350AB"/>
    <w:rsid w:val="00844C6C"/>
    <w:rsid w:val="00853143"/>
    <w:rsid w:val="0085387A"/>
    <w:rsid w:val="008574C1"/>
    <w:rsid w:val="00864155"/>
    <w:rsid w:val="008660C1"/>
    <w:rsid w:val="00871089"/>
    <w:rsid w:val="00872D10"/>
    <w:rsid w:val="00873A3E"/>
    <w:rsid w:val="00873BF4"/>
    <w:rsid w:val="008764B6"/>
    <w:rsid w:val="00876A06"/>
    <w:rsid w:val="00884822"/>
    <w:rsid w:val="008854B8"/>
    <w:rsid w:val="00885D91"/>
    <w:rsid w:val="008867E4"/>
    <w:rsid w:val="0088759B"/>
    <w:rsid w:val="00895312"/>
    <w:rsid w:val="008A1C5C"/>
    <w:rsid w:val="008A20BE"/>
    <w:rsid w:val="008A6381"/>
    <w:rsid w:val="008A70AB"/>
    <w:rsid w:val="008B0BE2"/>
    <w:rsid w:val="008B2E52"/>
    <w:rsid w:val="008B5A07"/>
    <w:rsid w:val="008B6DC1"/>
    <w:rsid w:val="008C0400"/>
    <w:rsid w:val="008C0B18"/>
    <w:rsid w:val="008C5465"/>
    <w:rsid w:val="008C7868"/>
    <w:rsid w:val="008D3CF4"/>
    <w:rsid w:val="008E569A"/>
    <w:rsid w:val="008E5744"/>
    <w:rsid w:val="008E6E02"/>
    <w:rsid w:val="008F1B70"/>
    <w:rsid w:val="008F2385"/>
    <w:rsid w:val="008F34EC"/>
    <w:rsid w:val="008F3C2C"/>
    <w:rsid w:val="008F4AC7"/>
    <w:rsid w:val="008F52F3"/>
    <w:rsid w:val="008F6A9B"/>
    <w:rsid w:val="00901BE4"/>
    <w:rsid w:val="00903425"/>
    <w:rsid w:val="00903963"/>
    <w:rsid w:val="009043EC"/>
    <w:rsid w:val="0090746B"/>
    <w:rsid w:val="009101FB"/>
    <w:rsid w:val="00913123"/>
    <w:rsid w:val="00916EFC"/>
    <w:rsid w:val="00924E8E"/>
    <w:rsid w:val="009254A5"/>
    <w:rsid w:val="00937FB7"/>
    <w:rsid w:val="00944BE7"/>
    <w:rsid w:val="00957E7A"/>
    <w:rsid w:val="00962539"/>
    <w:rsid w:val="00964625"/>
    <w:rsid w:val="00964F19"/>
    <w:rsid w:val="00967B20"/>
    <w:rsid w:val="00972965"/>
    <w:rsid w:val="00975539"/>
    <w:rsid w:val="009766E7"/>
    <w:rsid w:val="00983FBE"/>
    <w:rsid w:val="00987DAB"/>
    <w:rsid w:val="00991662"/>
    <w:rsid w:val="009951B5"/>
    <w:rsid w:val="009960BF"/>
    <w:rsid w:val="009A1048"/>
    <w:rsid w:val="009A17DE"/>
    <w:rsid w:val="009A3D20"/>
    <w:rsid w:val="009A690F"/>
    <w:rsid w:val="009B30DB"/>
    <w:rsid w:val="009B48B5"/>
    <w:rsid w:val="009B5982"/>
    <w:rsid w:val="009B5F35"/>
    <w:rsid w:val="009C3C7C"/>
    <w:rsid w:val="009C65DF"/>
    <w:rsid w:val="009C7E7F"/>
    <w:rsid w:val="009D1149"/>
    <w:rsid w:val="009D2F8A"/>
    <w:rsid w:val="009D3B88"/>
    <w:rsid w:val="009E43C5"/>
    <w:rsid w:val="009E7A06"/>
    <w:rsid w:val="009F03AC"/>
    <w:rsid w:val="009F4FBE"/>
    <w:rsid w:val="009F72A2"/>
    <w:rsid w:val="00A00B85"/>
    <w:rsid w:val="00A037B6"/>
    <w:rsid w:val="00A03B3E"/>
    <w:rsid w:val="00A05AC2"/>
    <w:rsid w:val="00A17CCF"/>
    <w:rsid w:val="00A2032D"/>
    <w:rsid w:val="00A20386"/>
    <w:rsid w:val="00A331B0"/>
    <w:rsid w:val="00A35B63"/>
    <w:rsid w:val="00A37F9C"/>
    <w:rsid w:val="00A41256"/>
    <w:rsid w:val="00A41981"/>
    <w:rsid w:val="00A41E61"/>
    <w:rsid w:val="00A43C9A"/>
    <w:rsid w:val="00A44FD2"/>
    <w:rsid w:val="00A47433"/>
    <w:rsid w:val="00A47726"/>
    <w:rsid w:val="00A477D2"/>
    <w:rsid w:val="00A54C16"/>
    <w:rsid w:val="00A55070"/>
    <w:rsid w:val="00A64109"/>
    <w:rsid w:val="00A66947"/>
    <w:rsid w:val="00A66EF9"/>
    <w:rsid w:val="00A7216D"/>
    <w:rsid w:val="00A814EB"/>
    <w:rsid w:val="00A83F0B"/>
    <w:rsid w:val="00A8486E"/>
    <w:rsid w:val="00A85295"/>
    <w:rsid w:val="00A85AAC"/>
    <w:rsid w:val="00A94ED7"/>
    <w:rsid w:val="00AA04DB"/>
    <w:rsid w:val="00AA0C5A"/>
    <w:rsid w:val="00AA338D"/>
    <w:rsid w:val="00AA7466"/>
    <w:rsid w:val="00AB19A7"/>
    <w:rsid w:val="00AB41EB"/>
    <w:rsid w:val="00AC5A71"/>
    <w:rsid w:val="00AC6627"/>
    <w:rsid w:val="00AD3048"/>
    <w:rsid w:val="00AD5560"/>
    <w:rsid w:val="00AD631C"/>
    <w:rsid w:val="00AD6719"/>
    <w:rsid w:val="00AD7836"/>
    <w:rsid w:val="00AE2B33"/>
    <w:rsid w:val="00AE36B5"/>
    <w:rsid w:val="00AE6729"/>
    <w:rsid w:val="00AE6D53"/>
    <w:rsid w:val="00AE701F"/>
    <w:rsid w:val="00AE7306"/>
    <w:rsid w:val="00AF0BE4"/>
    <w:rsid w:val="00AF56C8"/>
    <w:rsid w:val="00AF5732"/>
    <w:rsid w:val="00AF64DA"/>
    <w:rsid w:val="00B01A0E"/>
    <w:rsid w:val="00B01D60"/>
    <w:rsid w:val="00B06382"/>
    <w:rsid w:val="00B1186C"/>
    <w:rsid w:val="00B2043D"/>
    <w:rsid w:val="00B2078A"/>
    <w:rsid w:val="00B2307A"/>
    <w:rsid w:val="00B24170"/>
    <w:rsid w:val="00B30B94"/>
    <w:rsid w:val="00B317EF"/>
    <w:rsid w:val="00B3234B"/>
    <w:rsid w:val="00B33651"/>
    <w:rsid w:val="00B33835"/>
    <w:rsid w:val="00B34F69"/>
    <w:rsid w:val="00B360A0"/>
    <w:rsid w:val="00B361B3"/>
    <w:rsid w:val="00B377B8"/>
    <w:rsid w:val="00B42337"/>
    <w:rsid w:val="00B4319E"/>
    <w:rsid w:val="00B46434"/>
    <w:rsid w:val="00B466DC"/>
    <w:rsid w:val="00B53E3F"/>
    <w:rsid w:val="00B560AC"/>
    <w:rsid w:val="00B562E3"/>
    <w:rsid w:val="00B56E5D"/>
    <w:rsid w:val="00B572C7"/>
    <w:rsid w:val="00B7085E"/>
    <w:rsid w:val="00B71028"/>
    <w:rsid w:val="00B7189F"/>
    <w:rsid w:val="00B71DF1"/>
    <w:rsid w:val="00B743B2"/>
    <w:rsid w:val="00B747A7"/>
    <w:rsid w:val="00B76786"/>
    <w:rsid w:val="00B81EC8"/>
    <w:rsid w:val="00B85BBC"/>
    <w:rsid w:val="00BA21C7"/>
    <w:rsid w:val="00BA43C6"/>
    <w:rsid w:val="00BA6CC7"/>
    <w:rsid w:val="00BA71D9"/>
    <w:rsid w:val="00BA772C"/>
    <w:rsid w:val="00BB085D"/>
    <w:rsid w:val="00BB14E1"/>
    <w:rsid w:val="00BB6C18"/>
    <w:rsid w:val="00BC08C6"/>
    <w:rsid w:val="00BC1C6F"/>
    <w:rsid w:val="00BC71C4"/>
    <w:rsid w:val="00BD425A"/>
    <w:rsid w:val="00BD5957"/>
    <w:rsid w:val="00BD6623"/>
    <w:rsid w:val="00BD7865"/>
    <w:rsid w:val="00BD7F26"/>
    <w:rsid w:val="00BE5CF2"/>
    <w:rsid w:val="00BE7E4E"/>
    <w:rsid w:val="00BF52E0"/>
    <w:rsid w:val="00BF5682"/>
    <w:rsid w:val="00BF5BC4"/>
    <w:rsid w:val="00C049D1"/>
    <w:rsid w:val="00C054BD"/>
    <w:rsid w:val="00C069CE"/>
    <w:rsid w:val="00C12F3F"/>
    <w:rsid w:val="00C17655"/>
    <w:rsid w:val="00C20AE1"/>
    <w:rsid w:val="00C31ECF"/>
    <w:rsid w:val="00C32A64"/>
    <w:rsid w:val="00C33E0D"/>
    <w:rsid w:val="00C35AD9"/>
    <w:rsid w:val="00C36D09"/>
    <w:rsid w:val="00C430E8"/>
    <w:rsid w:val="00C443F8"/>
    <w:rsid w:val="00C45A9F"/>
    <w:rsid w:val="00C52BAE"/>
    <w:rsid w:val="00C5307A"/>
    <w:rsid w:val="00C5728A"/>
    <w:rsid w:val="00C61B7C"/>
    <w:rsid w:val="00C73353"/>
    <w:rsid w:val="00C740E5"/>
    <w:rsid w:val="00C751C4"/>
    <w:rsid w:val="00C752C1"/>
    <w:rsid w:val="00C76E13"/>
    <w:rsid w:val="00C778E9"/>
    <w:rsid w:val="00C81D21"/>
    <w:rsid w:val="00C82923"/>
    <w:rsid w:val="00C845D7"/>
    <w:rsid w:val="00C85743"/>
    <w:rsid w:val="00C85F30"/>
    <w:rsid w:val="00C92748"/>
    <w:rsid w:val="00C93A8F"/>
    <w:rsid w:val="00C95E27"/>
    <w:rsid w:val="00C97EB9"/>
    <w:rsid w:val="00CA0C0E"/>
    <w:rsid w:val="00CA11CC"/>
    <w:rsid w:val="00CA2A43"/>
    <w:rsid w:val="00CA3A77"/>
    <w:rsid w:val="00CA74F8"/>
    <w:rsid w:val="00CB0CD8"/>
    <w:rsid w:val="00CB2560"/>
    <w:rsid w:val="00CB2722"/>
    <w:rsid w:val="00CB5340"/>
    <w:rsid w:val="00CB690A"/>
    <w:rsid w:val="00CC1186"/>
    <w:rsid w:val="00CC4FDB"/>
    <w:rsid w:val="00CC6CB3"/>
    <w:rsid w:val="00CD48B6"/>
    <w:rsid w:val="00CD6032"/>
    <w:rsid w:val="00CD6B0F"/>
    <w:rsid w:val="00CE607C"/>
    <w:rsid w:val="00CF17A9"/>
    <w:rsid w:val="00CF1AC9"/>
    <w:rsid w:val="00CF2100"/>
    <w:rsid w:val="00CF2473"/>
    <w:rsid w:val="00CF2C8E"/>
    <w:rsid w:val="00D06459"/>
    <w:rsid w:val="00D0768E"/>
    <w:rsid w:val="00D10967"/>
    <w:rsid w:val="00D15DF6"/>
    <w:rsid w:val="00D165ED"/>
    <w:rsid w:val="00D21E94"/>
    <w:rsid w:val="00D22CB2"/>
    <w:rsid w:val="00D24D6C"/>
    <w:rsid w:val="00D37DCF"/>
    <w:rsid w:val="00D40DBC"/>
    <w:rsid w:val="00D41C81"/>
    <w:rsid w:val="00D423E9"/>
    <w:rsid w:val="00D44521"/>
    <w:rsid w:val="00D45630"/>
    <w:rsid w:val="00D51BB7"/>
    <w:rsid w:val="00D56438"/>
    <w:rsid w:val="00D61D0B"/>
    <w:rsid w:val="00D62712"/>
    <w:rsid w:val="00D63F0F"/>
    <w:rsid w:val="00D66962"/>
    <w:rsid w:val="00D74149"/>
    <w:rsid w:val="00D746E9"/>
    <w:rsid w:val="00D7529C"/>
    <w:rsid w:val="00D76978"/>
    <w:rsid w:val="00D7753D"/>
    <w:rsid w:val="00D77D35"/>
    <w:rsid w:val="00D809CD"/>
    <w:rsid w:val="00D8120C"/>
    <w:rsid w:val="00D81CCF"/>
    <w:rsid w:val="00D862F2"/>
    <w:rsid w:val="00D86FF5"/>
    <w:rsid w:val="00D87D5B"/>
    <w:rsid w:val="00D92370"/>
    <w:rsid w:val="00D92C73"/>
    <w:rsid w:val="00D93098"/>
    <w:rsid w:val="00D935C6"/>
    <w:rsid w:val="00D9422B"/>
    <w:rsid w:val="00D94F27"/>
    <w:rsid w:val="00D961D0"/>
    <w:rsid w:val="00DA13F1"/>
    <w:rsid w:val="00DA2EEC"/>
    <w:rsid w:val="00DA32C2"/>
    <w:rsid w:val="00DA3CFD"/>
    <w:rsid w:val="00DA672F"/>
    <w:rsid w:val="00DA7505"/>
    <w:rsid w:val="00DB05DF"/>
    <w:rsid w:val="00DB0897"/>
    <w:rsid w:val="00DB2B9F"/>
    <w:rsid w:val="00DB6288"/>
    <w:rsid w:val="00DB78FE"/>
    <w:rsid w:val="00DC0E78"/>
    <w:rsid w:val="00DC14BD"/>
    <w:rsid w:val="00DC162A"/>
    <w:rsid w:val="00DC26FA"/>
    <w:rsid w:val="00DC31A3"/>
    <w:rsid w:val="00DC4BA6"/>
    <w:rsid w:val="00DD37A4"/>
    <w:rsid w:val="00DD7697"/>
    <w:rsid w:val="00DE1393"/>
    <w:rsid w:val="00DE183E"/>
    <w:rsid w:val="00DE39E2"/>
    <w:rsid w:val="00DE68FB"/>
    <w:rsid w:val="00DF27AE"/>
    <w:rsid w:val="00DF441C"/>
    <w:rsid w:val="00E03F35"/>
    <w:rsid w:val="00E04372"/>
    <w:rsid w:val="00E04536"/>
    <w:rsid w:val="00E05BA3"/>
    <w:rsid w:val="00E1440E"/>
    <w:rsid w:val="00E150BD"/>
    <w:rsid w:val="00E150DD"/>
    <w:rsid w:val="00E216A3"/>
    <w:rsid w:val="00E21FE1"/>
    <w:rsid w:val="00E22F0D"/>
    <w:rsid w:val="00E2317A"/>
    <w:rsid w:val="00E24113"/>
    <w:rsid w:val="00E25386"/>
    <w:rsid w:val="00E25D14"/>
    <w:rsid w:val="00E34732"/>
    <w:rsid w:val="00E41DFA"/>
    <w:rsid w:val="00E42CA7"/>
    <w:rsid w:val="00E42F55"/>
    <w:rsid w:val="00E434CA"/>
    <w:rsid w:val="00E4392F"/>
    <w:rsid w:val="00E45B03"/>
    <w:rsid w:val="00E50B7E"/>
    <w:rsid w:val="00E533E5"/>
    <w:rsid w:val="00E53FB9"/>
    <w:rsid w:val="00E72150"/>
    <w:rsid w:val="00E81B86"/>
    <w:rsid w:val="00E846F4"/>
    <w:rsid w:val="00E853C2"/>
    <w:rsid w:val="00E902F5"/>
    <w:rsid w:val="00E931E1"/>
    <w:rsid w:val="00E9484E"/>
    <w:rsid w:val="00EA1082"/>
    <w:rsid w:val="00EA2A18"/>
    <w:rsid w:val="00EA4DEA"/>
    <w:rsid w:val="00EA5985"/>
    <w:rsid w:val="00EA6336"/>
    <w:rsid w:val="00EB1BC6"/>
    <w:rsid w:val="00EB2B28"/>
    <w:rsid w:val="00EB459F"/>
    <w:rsid w:val="00EB60ED"/>
    <w:rsid w:val="00EB658C"/>
    <w:rsid w:val="00EB69EB"/>
    <w:rsid w:val="00EC40AC"/>
    <w:rsid w:val="00EC4A4D"/>
    <w:rsid w:val="00EC7905"/>
    <w:rsid w:val="00ED1700"/>
    <w:rsid w:val="00ED1FB5"/>
    <w:rsid w:val="00ED63BC"/>
    <w:rsid w:val="00ED7FDA"/>
    <w:rsid w:val="00EE279D"/>
    <w:rsid w:val="00EE5CAF"/>
    <w:rsid w:val="00EE6719"/>
    <w:rsid w:val="00EF335C"/>
    <w:rsid w:val="00EF348B"/>
    <w:rsid w:val="00EF6840"/>
    <w:rsid w:val="00EF6E74"/>
    <w:rsid w:val="00F00184"/>
    <w:rsid w:val="00F02D1B"/>
    <w:rsid w:val="00F053E7"/>
    <w:rsid w:val="00F05AD0"/>
    <w:rsid w:val="00F101FF"/>
    <w:rsid w:val="00F1199C"/>
    <w:rsid w:val="00F137B7"/>
    <w:rsid w:val="00F1470A"/>
    <w:rsid w:val="00F14799"/>
    <w:rsid w:val="00F14A40"/>
    <w:rsid w:val="00F1647E"/>
    <w:rsid w:val="00F21504"/>
    <w:rsid w:val="00F25EA7"/>
    <w:rsid w:val="00F32440"/>
    <w:rsid w:val="00F324E8"/>
    <w:rsid w:val="00F3285D"/>
    <w:rsid w:val="00F4204A"/>
    <w:rsid w:val="00F4226C"/>
    <w:rsid w:val="00F42765"/>
    <w:rsid w:val="00F45F98"/>
    <w:rsid w:val="00F474D0"/>
    <w:rsid w:val="00F50A59"/>
    <w:rsid w:val="00F524A5"/>
    <w:rsid w:val="00F56934"/>
    <w:rsid w:val="00F62F4C"/>
    <w:rsid w:val="00F673E0"/>
    <w:rsid w:val="00F7468E"/>
    <w:rsid w:val="00F74CAF"/>
    <w:rsid w:val="00F76F9D"/>
    <w:rsid w:val="00F84C8A"/>
    <w:rsid w:val="00F862D4"/>
    <w:rsid w:val="00F945CA"/>
    <w:rsid w:val="00F951CB"/>
    <w:rsid w:val="00F95C44"/>
    <w:rsid w:val="00F96E0B"/>
    <w:rsid w:val="00F97545"/>
    <w:rsid w:val="00FA0233"/>
    <w:rsid w:val="00FA2E18"/>
    <w:rsid w:val="00FA63A0"/>
    <w:rsid w:val="00FA6CEF"/>
    <w:rsid w:val="00FB027A"/>
    <w:rsid w:val="00FB3517"/>
    <w:rsid w:val="00FB5305"/>
    <w:rsid w:val="00FC0351"/>
    <w:rsid w:val="00FC12FC"/>
    <w:rsid w:val="00FC1755"/>
    <w:rsid w:val="00FC42BA"/>
    <w:rsid w:val="00FC6F86"/>
    <w:rsid w:val="00FD45F9"/>
    <w:rsid w:val="00FE290E"/>
    <w:rsid w:val="00FE3A20"/>
    <w:rsid w:val="00FE3EAA"/>
    <w:rsid w:val="00FE6189"/>
    <w:rsid w:val="00FE68AE"/>
    <w:rsid w:val="00FF0931"/>
    <w:rsid w:val="00FF15C6"/>
    <w:rsid w:val="00FF16FF"/>
    <w:rsid w:val="00FF2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2797F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7CCF"/>
    <w:pPr>
      <w:widowControl w:val="0"/>
      <w:jc w:val="both"/>
    </w:pPr>
  </w:style>
  <w:style w:type="paragraph" w:styleId="1">
    <w:name w:val="heading 1"/>
    <w:basedOn w:val="a"/>
    <w:next w:val="a"/>
    <w:link w:val="10"/>
    <w:uiPriority w:val="99"/>
    <w:qFormat/>
    <w:rsid w:val="00A17CCF"/>
    <w:pPr>
      <w:keepNext/>
      <w:keepLines/>
      <w:spacing w:before="340" w:after="330" w:line="578" w:lineRule="auto"/>
      <w:outlineLvl w:val="0"/>
    </w:pPr>
    <w:rPr>
      <w:b/>
      <w:bCs/>
      <w:kern w:val="44"/>
      <w:sz w:val="44"/>
      <w:szCs w:val="44"/>
    </w:rPr>
  </w:style>
  <w:style w:type="paragraph" w:styleId="2">
    <w:name w:val="heading 2"/>
    <w:basedOn w:val="a"/>
    <w:link w:val="20"/>
    <w:uiPriority w:val="99"/>
    <w:qFormat/>
    <w:rsid w:val="00A17CCF"/>
    <w:pPr>
      <w:widowControl/>
      <w:spacing w:before="100" w:beforeAutospacing="1" w:after="100" w:afterAutospacing="1"/>
      <w:jc w:val="left"/>
      <w:outlineLvl w:val="1"/>
    </w:pPr>
    <w:rPr>
      <w:rFonts w:ascii="宋体" w:hAnsi="宋体"/>
      <w:b/>
      <w:bCs/>
      <w:sz w:val="36"/>
      <w:szCs w:val="36"/>
    </w:rPr>
  </w:style>
  <w:style w:type="paragraph" w:styleId="3">
    <w:name w:val="heading 3"/>
    <w:basedOn w:val="a"/>
    <w:next w:val="a"/>
    <w:link w:val="30"/>
    <w:uiPriority w:val="99"/>
    <w:qFormat/>
    <w:rsid w:val="00A17CCF"/>
    <w:pPr>
      <w:keepNext/>
      <w:keepLines/>
      <w:spacing w:before="260" w:after="260" w:line="416" w:lineRule="auto"/>
      <w:outlineLvl w:val="2"/>
    </w:pPr>
    <w:rPr>
      <w:b/>
      <w:bCs/>
      <w:sz w:val="32"/>
      <w:szCs w:val="32"/>
    </w:rPr>
  </w:style>
  <w:style w:type="paragraph" w:styleId="4">
    <w:name w:val="heading 4"/>
    <w:basedOn w:val="a"/>
    <w:next w:val="a"/>
    <w:link w:val="40"/>
    <w:uiPriority w:val="99"/>
    <w:qFormat/>
    <w:locked/>
    <w:rsid w:val="00692920"/>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9"/>
    <w:locked/>
    <w:rsid w:val="00A17CCF"/>
    <w:rPr>
      <w:rFonts w:ascii="Calibri" w:hAnsi="Calibri" w:cs="Times New Roman"/>
      <w:b/>
      <w:kern w:val="44"/>
      <w:sz w:val="44"/>
    </w:rPr>
  </w:style>
  <w:style w:type="character" w:customStyle="1" w:styleId="20">
    <w:name w:val="标题 2 字符"/>
    <w:link w:val="2"/>
    <w:uiPriority w:val="99"/>
    <w:locked/>
    <w:rsid w:val="00A17CCF"/>
    <w:rPr>
      <w:rFonts w:ascii="宋体" w:hAnsi="宋体" w:cs="Times New Roman"/>
      <w:b/>
      <w:kern w:val="0"/>
      <w:sz w:val="36"/>
    </w:rPr>
  </w:style>
  <w:style w:type="character" w:customStyle="1" w:styleId="30">
    <w:name w:val="标题 3 字符"/>
    <w:link w:val="3"/>
    <w:uiPriority w:val="99"/>
    <w:locked/>
    <w:rsid w:val="00A17CCF"/>
    <w:rPr>
      <w:rFonts w:ascii="Calibri" w:hAnsi="Calibri" w:cs="Times New Roman"/>
      <w:b/>
      <w:kern w:val="0"/>
      <w:sz w:val="32"/>
    </w:rPr>
  </w:style>
  <w:style w:type="character" w:customStyle="1" w:styleId="40">
    <w:name w:val="标题 4 字符"/>
    <w:link w:val="4"/>
    <w:uiPriority w:val="99"/>
    <w:semiHidden/>
    <w:locked/>
    <w:rsid w:val="00692920"/>
    <w:rPr>
      <w:rFonts w:ascii="Cambria" w:hAnsi="Cambria" w:cs="Times New Roman"/>
      <w:b/>
      <w:sz w:val="28"/>
    </w:rPr>
  </w:style>
  <w:style w:type="paragraph" w:styleId="a3">
    <w:name w:val="header"/>
    <w:basedOn w:val="a"/>
    <w:link w:val="a4"/>
    <w:uiPriority w:val="99"/>
    <w:rsid w:val="00A17CCF"/>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locked/>
    <w:rsid w:val="00A17CCF"/>
    <w:rPr>
      <w:rFonts w:cs="Times New Roman"/>
      <w:sz w:val="18"/>
    </w:rPr>
  </w:style>
  <w:style w:type="paragraph" w:styleId="a5">
    <w:name w:val="footer"/>
    <w:basedOn w:val="a"/>
    <w:link w:val="a6"/>
    <w:uiPriority w:val="99"/>
    <w:rsid w:val="00A17CCF"/>
    <w:pPr>
      <w:tabs>
        <w:tab w:val="center" w:pos="4153"/>
        <w:tab w:val="right" w:pos="8306"/>
      </w:tabs>
      <w:snapToGrid w:val="0"/>
      <w:jc w:val="left"/>
    </w:pPr>
    <w:rPr>
      <w:sz w:val="18"/>
      <w:szCs w:val="18"/>
    </w:rPr>
  </w:style>
  <w:style w:type="character" w:customStyle="1" w:styleId="a6">
    <w:name w:val="页脚 字符"/>
    <w:link w:val="a5"/>
    <w:uiPriority w:val="99"/>
    <w:locked/>
    <w:rsid w:val="00A17CCF"/>
    <w:rPr>
      <w:rFonts w:cs="Times New Roman"/>
      <w:sz w:val="18"/>
    </w:rPr>
  </w:style>
  <w:style w:type="character" w:styleId="a7">
    <w:name w:val="Emphasis"/>
    <w:uiPriority w:val="99"/>
    <w:qFormat/>
    <w:rsid w:val="00A17CCF"/>
    <w:rPr>
      <w:rFonts w:cs="Times New Roman"/>
      <w:i/>
    </w:rPr>
  </w:style>
  <w:style w:type="paragraph" w:styleId="a8">
    <w:name w:val="List Paragraph"/>
    <w:basedOn w:val="a"/>
    <w:uiPriority w:val="99"/>
    <w:qFormat/>
    <w:rsid w:val="00A17CCF"/>
    <w:pPr>
      <w:ind w:firstLineChars="200" w:firstLine="420"/>
    </w:pPr>
  </w:style>
  <w:style w:type="character" w:styleId="a9">
    <w:name w:val="Hyperlink"/>
    <w:uiPriority w:val="99"/>
    <w:rsid w:val="00C430E8"/>
    <w:rPr>
      <w:rFonts w:cs="Times New Roman"/>
      <w:color w:val="0000FF"/>
      <w:u w:val="single"/>
    </w:rPr>
  </w:style>
  <w:style w:type="character" w:customStyle="1" w:styleId="EndNoteBibliographyChar">
    <w:name w:val="EndNote Bibliography Char"/>
    <w:link w:val="EndNoteBibliography"/>
    <w:uiPriority w:val="99"/>
    <w:locked/>
    <w:rsid w:val="00A17CCF"/>
    <w:rPr>
      <w:noProof/>
    </w:rPr>
  </w:style>
  <w:style w:type="paragraph" w:customStyle="1" w:styleId="EndNoteBibliography">
    <w:name w:val="EndNote Bibliography"/>
    <w:basedOn w:val="a"/>
    <w:link w:val="EndNoteBibliographyChar"/>
    <w:uiPriority w:val="99"/>
    <w:rsid w:val="00C430E8"/>
    <w:rPr>
      <w:noProof/>
    </w:rPr>
  </w:style>
  <w:style w:type="character" w:customStyle="1" w:styleId="high-light">
    <w:name w:val="high-light"/>
    <w:uiPriority w:val="99"/>
    <w:rsid w:val="00A17CCF"/>
  </w:style>
  <w:style w:type="character" w:customStyle="1" w:styleId="apple-converted-space">
    <w:name w:val="apple-converted-space"/>
    <w:uiPriority w:val="99"/>
    <w:rsid w:val="00A17CCF"/>
  </w:style>
  <w:style w:type="character" w:customStyle="1" w:styleId="high-light-bg">
    <w:name w:val="high-light-bg"/>
    <w:uiPriority w:val="99"/>
    <w:rsid w:val="00A17CCF"/>
  </w:style>
  <w:style w:type="paragraph" w:styleId="aa">
    <w:name w:val="Balloon Text"/>
    <w:basedOn w:val="a"/>
    <w:link w:val="ab"/>
    <w:uiPriority w:val="99"/>
    <w:semiHidden/>
    <w:rsid w:val="00A17CCF"/>
    <w:rPr>
      <w:sz w:val="18"/>
      <w:szCs w:val="18"/>
    </w:rPr>
  </w:style>
  <w:style w:type="character" w:customStyle="1" w:styleId="ab">
    <w:name w:val="批注框文本 字符"/>
    <w:link w:val="aa"/>
    <w:uiPriority w:val="99"/>
    <w:semiHidden/>
    <w:locked/>
    <w:rsid w:val="00A17CCF"/>
    <w:rPr>
      <w:rFonts w:ascii="Calibri" w:hAnsi="Calibri" w:cs="Times New Roman"/>
      <w:kern w:val="0"/>
      <w:sz w:val="18"/>
    </w:rPr>
  </w:style>
  <w:style w:type="character" w:customStyle="1" w:styleId="highlight">
    <w:name w:val="highlight"/>
    <w:uiPriority w:val="99"/>
    <w:rsid w:val="00A17CCF"/>
  </w:style>
  <w:style w:type="character" w:styleId="ac">
    <w:name w:val="Strong"/>
    <w:uiPriority w:val="22"/>
    <w:qFormat/>
    <w:rsid w:val="00A17CCF"/>
    <w:rPr>
      <w:rFonts w:cs="Times New Roman"/>
      <w:b/>
    </w:rPr>
  </w:style>
  <w:style w:type="character" w:customStyle="1" w:styleId="email-label">
    <w:name w:val="email-label"/>
    <w:uiPriority w:val="99"/>
    <w:rsid w:val="00A17CCF"/>
  </w:style>
  <w:style w:type="character" w:customStyle="1" w:styleId="absnonlinkmetadata">
    <w:name w:val="abs_nonlink_metadata"/>
    <w:uiPriority w:val="99"/>
    <w:rsid w:val="00A17CCF"/>
  </w:style>
  <w:style w:type="character" w:styleId="ad">
    <w:name w:val="annotation reference"/>
    <w:uiPriority w:val="99"/>
    <w:rsid w:val="00A17CCF"/>
    <w:rPr>
      <w:rFonts w:cs="Times New Roman"/>
      <w:sz w:val="16"/>
    </w:rPr>
  </w:style>
  <w:style w:type="paragraph" w:styleId="ae">
    <w:name w:val="annotation text"/>
    <w:basedOn w:val="a"/>
    <w:link w:val="af"/>
    <w:uiPriority w:val="99"/>
    <w:rsid w:val="00A17CCF"/>
  </w:style>
  <w:style w:type="character" w:customStyle="1" w:styleId="af">
    <w:name w:val="批注文字 字符"/>
    <w:link w:val="ae"/>
    <w:uiPriority w:val="99"/>
    <w:semiHidden/>
    <w:locked/>
    <w:rsid w:val="00A17CCF"/>
    <w:rPr>
      <w:rFonts w:ascii="Calibri" w:hAnsi="Calibri" w:cs="Times New Roman"/>
      <w:kern w:val="0"/>
      <w:sz w:val="20"/>
    </w:rPr>
  </w:style>
  <w:style w:type="paragraph" w:styleId="af0">
    <w:name w:val="annotation subject"/>
    <w:basedOn w:val="ae"/>
    <w:next w:val="ae"/>
    <w:link w:val="af1"/>
    <w:uiPriority w:val="99"/>
    <w:semiHidden/>
    <w:rsid w:val="00A17CCF"/>
    <w:rPr>
      <w:b/>
      <w:bCs/>
    </w:rPr>
  </w:style>
  <w:style w:type="character" w:customStyle="1" w:styleId="af1">
    <w:name w:val="批注主题 字符"/>
    <w:link w:val="af0"/>
    <w:uiPriority w:val="99"/>
    <w:semiHidden/>
    <w:locked/>
    <w:rsid w:val="00A17CCF"/>
    <w:rPr>
      <w:rFonts w:ascii="Calibri" w:hAnsi="Calibri" w:cs="Times New Roman"/>
      <w:b/>
      <w:kern w:val="0"/>
      <w:sz w:val="20"/>
    </w:rPr>
  </w:style>
  <w:style w:type="character" w:customStyle="1" w:styleId="ref-title">
    <w:name w:val="ref-title"/>
    <w:uiPriority w:val="99"/>
    <w:rsid w:val="00A17CCF"/>
  </w:style>
  <w:style w:type="character" w:styleId="af2">
    <w:name w:val="line number"/>
    <w:uiPriority w:val="99"/>
    <w:semiHidden/>
    <w:rsid w:val="00A17CCF"/>
    <w:rPr>
      <w:rFonts w:cs="Times New Roman"/>
    </w:rPr>
  </w:style>
  <w:style w:type="character" w:customStyle="1" w:styleId="text2">
    <w:name w:val="text2"/>
    <w:uiPriority w:val="99"/>
    <w:rsid w:val="004D45D9"/>
  </w:style>
  <w:style w:type="character" w:customStyle="1" w:styleId="author-ref">
    <w:name w:val="author-ref"/>
    <w:uiPriority w:val="99"/>
    <w:rsid w:val="004D45D9"/>
  </w:style>
  <w:style w:type="paragraph" w:styleId="af3">
    <w:name w:val="Normal (Web)"/>
    <w:basedOn w:val="a"/>
    <w:uiPriority w:val="99"/>
    <w:semiHidden/>
    <w:rsid w:val="008F52F3"/>
    <w:pPr>
      <w:widowControl/>
      <w:spacing w:before="50" w:after="50"/>
      <w:jc w:val="left"/>
    </w:pPr>
    <w:rPr>
      <w:rFonts w:ascii="宋体" w:hAnsi="宋体" w:cs="宋体"/>
      <w:sz w:val="24"/>
      <w:szCs w:val="24"/>
    </w:rPr>
  </w:style>
  <w:style w:type="paragraph" w:customStyle="1" w:styleId="11">
    <w:name w:val="表題1"/>
    <w:basedOn w:val="a"/>
    <w:uiPriority w:val="99"/>
    <w:rsid w:val="009D3B88"/>
    <w:pPr>
      <w:widowControl/>
      <w:spacing w:before="100" w:beforeAutospacing="1" w:after="100" w:afterAutospacing="1"/>
      <w:jc w:val="left"/>
    </w:pPr>
    <w:rPr>
      <w:rFonts w:ascii="宋体" w:hAnsi="宋体" w:cs="宋体"/>
      <w:sz w:val="24"/>
      <w:szCs w:val="24"/>
    </w:rPr>
  </w:style>
  <w:style w:type="paragraph" w:customStyle="1" w:styleId="desc">
    <w:name w:val="desc"/>
    <w:basedOn w:val="a"/>
    <w:uiPriority w:val="99"/>
    <w:rsid w:val="009D3B88"/>
    <w:pPr>
      <w:widowControl/>
      <w:spacing w:before="100" w:beforeAutospacing="1" w:after="100" w:afterAutospacing="1"/>
      <w:jc w:val="left"/>
    </w:pPr>
    <w:rPr>
      <w:rFonts w:ascii="宋体" w:hAnsi="宋体" w:cs="宋体"/>
      <w:sz w:val="24"/>
      <w:szCs w:val="24"/>
    </w:rPr>
  </w:style>
  <w:style w:type="paragraph" w:customStyle="1" w:styleId="details">
    <w:name w:val="details"/>
    <w:basedOn w:val="a"/>
    <w:uiPriority w:val="99"/>
    <w:rsid w:val="009D3B88"/>
    <w:pPr>
      <w:widowControl/>
      <w:spacing w:before="100" w:beforeAutospacing="1" w:after="100" w:afterAutospacing="1"/>
      <w:jc w:val="left"/>
    </w:pPr>
    <w:rPr>
      <w:rFonts w:ascii="宋体" w:hAnsi="宋体" w:cs="宋体"/>
      <w:sz w:val="24"/>
      <w:szCs w:val="24"/>
    </w:rPr>
  </w:style>
  <w:style w:type="character" w:customStyle="1" w:styleId="jrnl">
    <w:name w:val="jrnl"/>
    <w:uiPriority w:val="99"/>
    <w:rsid w:val="009D3B88"/>
  </w:style>
  <w:style w:type="paragraph" w:styleId="HTML">
    <w:name w:val="HTML Preformatted"/>
    <w:basedOn w:val="a"/>
    <w:link w:val="HTML0"/>
    <w:uiPriority w:val="99"/>
    <w:semiHidden/>
    <w:rsid w:val="00C430E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sz w:val="24"/>
      <w:szCs w:val="24"/>
    </w:rPr>
  </w:style>
  <w:style w:type="character" w:customStyle="1" w:styleId="HTML0">
    <w:name w:val="HTML 预设格式 字符"/>
    <w:link w:val="HTML"/>
    <w:uiPriority w:val="99"/>
    <w:semiHidden/>
    <w:locked/>
    <w:rsid w:val="00474056"/>
    <w:rPr>
      <w:rFonts w:ascii="宋体" w:eastAsia="Times New Roman" w:cs="Times New Roman"/>
      <w:sz w:val="24"/>
      <w:szCs w:val="24"/>
    </w:rPr>
  </w:style>
  <w:style w:type="character" w:customStyle="1" w:styleId="ui-ncbitoggler-master-text">
    <w:name w:val="ui-ncbitoggler-master-text"/>
    <w:uiPriority w:val="99"/>
    <w:rsid w:val="00B743B2"/>
  </w:style>
  <w:style w:type="character" w:customStyle="1" w:styleId="text-dst">
    <w:name w:val="text-dst"/>
    <w:uiPriority w:val="99"/>
    <w:rsid w:val="004E63D6"/>
  </w:style>
  <w:style w:type="character" w:styleId="af4">
    <w:name w:val="FollowedHyperlink"/>
    <w:uiPriority w:val="99"/>
    <w:semiHidden/>
    <w:rsid w:val="00162897"/>
    <w:rPr>
      <w:rFonts w:cs="Times New Roman"/>
      <w:color w:val="800080"/>
      <w:u w:val="single"/>
    </w:rPr>
  </w:style>
  <w:style w:type="table" w:styleId="af5">
    <w:name w:val="Table Grid"/>
    <w:basedOn w:val="a1"/>
    <w:uiPriority w:val="99"/>
    <w:locked/>
    <w:rsid w:val="002725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浅色底纹 - 强调文字颜色 11"/>
    <w:uiPriority w:val="99"/>
    <w:rsid w:val="0027251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af6">
    <w:name w:val="Revision"/>
    <w:hidden/>
    <w:uiPriority w:val="99"/>
    <w:semiHidden/>
    <w:rsid w:val="00F4204A"/>
  </w:style>
  <w:style w:type="character" w:customStyle="1" w:styleId="12">
    <w:name w:val="批注文字 字符1"/>
    <w:uiPriority w:val="99"/>
    <w:rsid w:val="009A690F"/>
    <w:rPr>
      <w:rFonts w:ascii="Calibri" w:eastAsia="Times New Roman" w:hAnsi="Calibri" w:cs="Times New Roman"/>
      <w:kern w:val="0"/>
      <w:sz w:val="22"/>
      <w:lang w:val="en-GB" w:eastAsia="en-US"/>
    </w:rPr>
  </w:style>
  <w:style w:type="paragraph" w:customStyle="1" w:styleId="13">
    <w:name w:val="正文1"/>
    <w:uiPriority w:val="99"/>
    <w:rsid w:val="009A690F"/>
    <w:pPr>
      <w:spacing w:line="276" w:lineRule="auto"/>
    </w:pPr>
    <w:rPr>
      <w:rFonts w:ascii="Arial"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844976">
      <w:bodyDiv w:val="1"/>
      <w:marLeft w:val="0"/>
      <w:marRight w:val="0"/>
      <w:marTop w:val="0"/>
      <w:marBottom w:val="0"/>
      <w:divBdr>
        <w:top w:val="none" w:sz="0" w:space="0" w:color="auto"/>
        <w:left w:val="none" w:sz="0" w:space="0" w:color="auto"/>
        <w:bottom w:val="none" w:sz="0" w:space="0" w:color="auto"/>
        <w:right w:val="none" w:sz="0" w:space="0" w:color="auto"/>
      </w:divBdr>
    </w:div>
    <w:div w:id="1706563269">
      <w:marLeft w:val="0"/>
      <w:marRight w:val="0"/>
      <w:marTop w:val="0"/>
      <w:marBottom w:val="0"/>
      <w:divBdr>
        <w:top w:val="none" w:sz="0" w:space="0" w:color="auto"/>
        <w:left w:val="none" w:sz="0" w:space="0" w:color="auto"/>
        <w:bottom w:val="none" w:sz="0" w:space="0" w:color="auto"/>
        <w:right w:val="none" w:sz="0" w:space="0" w:color="auto"/>
      </w:divBdr>
    </w:div>
    <w:div w:id="1706563270">
      <w:marLeft w:val="0"/>
      <w:marRight w:val="0"/>
      <w:marTop w:val="0"/>
      <w:marBottom w:val="0"/>
      <w:divBdr>
        <w:top w:val="none" w:sz="0" w:space="0" w:color="auto"/>
        <w:left w:val="none" w:sz="0" w:space="0" w:color="auto"/>
        <w:bottom w:val="none" w:sz="0" w:space="0" w:color="auto"/>
        <w:right w:val="none" w:sz="0" w:space="0" w:color="auto"/>
      </w:divBdr>
    </w:div>
    <w:div w:id="1706563271">
      <w:marLeft w:val="0"/>
      <w:marRight w:val="0"/>
      <w:marTop w:val="0"/>
      <w:marBottom w:val="0"/>
      <w:divBdr>
        <w:top w:val="none" w:sz="0" w:space="0" w:color="auto"/>
        <w:left w:val="none" w:sz="0" w:space="0" w:color="auto"/>
        <w:bottom w:val="none" w:sz="0" w:space="0" w:color="auto"/>
        <w:right w:val="none" w:sz="0" w:space="0" w:color="auto"/>
      </w:divBdr>
    </w:div>
    <w:div w:id="1706563272">
      <w:marLeft w:val="0"/>
      <w:marRight w:val="0"/>
      <w:marTop w:val="0"/>
      <w:marBottom w:val="0"/>
      <w:divBdr>
        <w:top w:val="none" w:sz="0" w:space="0" w:color="auto"/>
        <w:left w:val="none" w:sz="0" w:space="0" w:color="auto"/>
        <w:bottom w:val="none" w:sz="0" w:space="0" w:color="auto"/>
        <w:right w:val="none" w:sz="0" w:space="0" w:color="auto"/>
      </w:divBdr>
    </w:div>
    <w:div w:id="1706563273">
      <w:marLeft w:val="0"/>
      <w:marRight w:val="0"/>
      <w:marTop w:val="0"/>
      <w:marBottom w:val="0"/>
      <w:divBdr>
        <w:top w:val="none" w:sz="0" w:space="0" w:color="auto"/>
        <w:left w:val="none" w:sz="0" w:space="0" w:color="auto"/>
        <w:bottom w:val="none" w:sz="0" w:space="0" w:color="auto"/>
        <w:right w:val="none" w:sz="0" w:space="0" w:color="auto"/>
      </w:divBdr>
    </w:div>
    <w:div w:id="1706563274">
      <w:marLeft w:val="0"/>
      <w:marRight w:val="0"/>
      <w:marTop w:val="0"/>
      <w:marBottom w:val="0"/>
      <w:divBdr>
        <w:top w:val="none" w:sz="0" w:space="0" w:color="auto"/>
        <w:left w:val="none" w:sz="0" w:space="0" w:color="auto"/>
        <w:bottom w:val="none" w:sz="0" w:space="0" w:color="auto"/>
        <w:right w:val="none" w:sz="0" w:space="0" w:color="auto"/>
      </w:divBdr>
    </w:div>
    <w:div w:id="1706563275">
      <w:marLeft w:val="0"/>
      <w:marRight w:val="0"/>
      <w:marTop w:val="0"/>
      <w:marBottom w:val="0"/>
      <w:divBdr>
        <w:top w:val="none" w:sz="0" w:space="0" w:color="auto"/>
        <w:left w:val="none" w:sz="0" w:space="0" w:color="auto"/>
        <w:bottom w:val="none" w:sz="0" w:space="0" w:color="auto"/>
        <w:right w:val="none" w:sz="0" w:space="0" w:color="auto"/>
      </w:divBdr>
    </w:div>
    <w:div w:id="1706563276">
      <w:marLeft w:val="0"/>
      <w:marRight w:val="0"/>
      <w:marTop w:val="0"/>
      <w:marBottom w:val="0"/>
      <w:divBdr>
        <w:top w:val="none" w:sz="0" w:space="0" w:color="auto"/>
        <w:left w:val="none" w:sz="0" w:space="0" w:color="auto"/>
        <w:bottom w:val="none" w:sz="0" w:space="0" w:color="auto"/>
        <w:right w:val="none" w:sz="0" w:space="0" w:color="auto"/>
      </w:divBdr>
    </w:div>
    <w:div w:id="1706563290">
      <w:marLeft w:val="0"/>
      <w:marRight w:val="0"/>
      <w:marTop w:val="0"/>
      <w:marBottom w:val="0"/>
      <w:divBdr>
        <w:top w:val="none" w:sz="0" w:space="0" w:color="auto"/>
        <w:left w:val="none" w:sz="0" w:space="0" w:color="auto"/>
        <w:bottom w:val="none" w:sz="0" w:space="0" w:color="auto"/>
        <w:right w:val="none" w:sz="0" w:space="0" w:color="auto"/>
      </w:divBdr>
    </w:div>
    <w:div w:id="1706563294">
      <w:marLeft w:val="0"/>
      <w:marRight w:val="0"/>
      <w:marTop w:val="0"/>
      <w:marBottom w:val="0"/>
      <w:divBdr>
        <w:top w:val="none" w:sz="0" w:space="0" w:color="auto"/>
        <w:left w:val="none" w:sz="0" w:space="0" w:color="auto"/>
        <w:bottom w:val="none" w:sz="0" w:space="0" w:color="auto"/>
        <w:right w:val="none" w:sz="0" w:space="0" w:color="auto"/>
      </w:divBdr>
    </w:div>
    <w:div w:id="1706563295">
      <w:marLeft w:val="0"/>
      <w:marRight w:val="0"/>
      <w:marTop w:val="0"/>
      <w:marBottom w:val="0"/>
      <w:divBdr>
        <w:top w:val="none" w:sz="0" w:space="0" w:color="auto"/>
        <w:left w:val="none" w:sz="0" w:space="0" w:color="auto"/>
        <w:bottom w:val="none" w:sz="0" w:space="0" w:color="auto"/>
        <w:right w:val="none" w:sz="0" w:space="0" w:color="auto"/>
      </w:divBdr>
    </w:div>
    <w:div w:id="1706563311">
      <w:marLeft w:val="0"/>
      <w:marRight w:val="0"/>
      <w:marTop w:val="0"/>
      <w:marBottom w:val="0"/>
      <w:divBdr>
        <w:top w:val="none" w:sz="0" w:space="0" w:color="auto"/>
        <w:left w:val="none" w:sz="0" w:space="0" w:color="auto"/>
        <w:bottom w:val="none" w:sz="0" w:space="0" w:color="auto"/>
        <w:right w:val="none" w:sz="0" w:space="0" w:color="auto"/>
      </w:divBdr>
    </w:div>
    <w:div w:id="1706563313">
      <w:marLeft w:val="0"/>
      <w:marRight w:val="0"/>
      <w:marTop w:val="0"/>
      <w:marBottom w:val="0"/>
      <w:divBdr>
        <w:top w:val="none" w:sz="0" w:space="0" w:color="auto"/>
        <w:left w:val="none" w:sz="0" w:space="0" w:color="auto"/>
        <w:bottom w:val="none" w:sz="0" w:space="0" w:color="auto"/>
        <w:right w:val="none" w:sz="0" w:space="0" w:color="auto"/>
      </w:divBdr>
      <w:divsChild>
        <w:div w:id="1706563325">
          <w:marLeft w:val="0"/>
          <w:marRight w:val="1"/>
          <w:marTop w:val="0"/>
          <w:marBottom w:val="0"/>
          <w:divBdr>
            <w:top w:val="none" w:sz="0" w:space="0" w:color="auto"/>
            <w:left w:val="none" w:sz="0" w:space="0" w:color="auto"/>
            <w:bottom w:val="none" w:sz="0" w:space="0" w:color="auto"/>
            <w:right w:val="none" w:sz="0" w:space="0" w:color="auto"/>
          </w:divBdr>
          <w:divsChild>
            <w:div w:id="1706563342">
              <w:marLeft w:val="0"/>
              <w:marRight w:val="0"/>
              <w:marTop w:val="0"/>
              <w:marBottom w:val="0"/>
              <w:divBdr>
                <w:top w:val="none" w:sz="0" w:space="0" w:color="auto"/>
                <w:left w:val="none" w:sz="0" w:space="0" w:color="auto"/>
                <w:bottom w:val="none" w:sz="0" w:space="0" w:color="auto"/>
                <w:right w:val="none" w:sz="0" w:space="0" w:color="auto"/>
              </w:divBdr>
              <w:divsChild>
                <w:div w:id="1706563369">
                  <w:marLeft w:val="0"/>
                  <w:marRight w:val="1"/>
                  <w:marTop w:val="0"/>
                  <w:marBottom w:val="0"/>
                  <w:divBdr>
                    <w:top w:val="none" w:sz="0" w:space="0" w:color="auto"/>
                    <w:left w:val="none" w:sz="0" w:space="0" w:color="auto"/>
                    <w:bottom w:val="none" w:sz="0" w:space="0" w:color="auto"/>
                    <w:right w:val="none" w:sz="0" w:space="0" w:color="auto"/>
                  </w:divBdr>
                  <w:divsChild>
                    <w:div w:id="1706563393">
                      <w:marLeft w:val="0"/>
                      <w:marRight w:val="0"/>
                      <w:marTop w:val="0"/>
                      <w:marBottom w:val="0"/>
                      <w:divBdr>
                        <w:top w:val="none" w:sz="0" w:space="0" w:color="auto"/>
                        <w:left w:val="none" w:sz="0" w:space="0" w:color="auto"/>
                        <w:bottom w:val="none" w:sz="0" w:space="0" w:color="auto"/>
                        <w:right w:val="none" w:sz="0" w:space="0" w:color="auto"/>
                      </w:divBdr>
                      <w:divsChild>
                        <w:div w:id="1706563380">
                          <w:marLeft w:val="0"/>
                          <w:marRight w:val="0"/>
                          <w:marTop w:val="0"/>
                          <w:marBottom w:val="0"/>
                          <w:divBdr>
                            <w:top w:val="none" w:sz="0" w:space="0" w:color="auto"/>
                            <w:left w:val="none" w:sz="0" w:space="0" w:color="auto"/>
                            <w:bottom w:val="none" w:sz="0" w:space="0" w:color="auto"/>
                            <w:right w:val="none" w:sz="0" w:space="0" w:color="auto"/>
                          </w:divBdr>
                          <w:divsChild>
                            <w:div w:id="1706563387">
                              <w:marLeft w:val="0"/>
                              <w:marRight w:val="0"/>
                              <w:marTop w:val="120"/>
                              <w:marBottom w:val="360"/>
                              <w:divBdr>
                                <w:top w:val="none" w:sz="0" w:space="0" w:color="auto"/>
                                <w:left w:val="none" w:sz="0" w:space="0" w:color="auto"/>
                                <w:bottom w:val="none" w:sz="0" w:space="0" w:color="auto"/>
                                <w:right w:val="none" w:sz="0" w:space="0" w:color="auto"/>
                              </w:divBdr>
                              <w:divsChild>
                                <w:div w:id="1706563409">
                                  <w:marLeft w:val="0"/>
                                  <w:marRight w:val="0"/>
                                  <w:marTop w:val="0"/>
                                  <w:marBottom w:val="0"/>
                                  <w:divBdr>
                                    <w:top w:val="none" w:sz="0" w:space="0" w:color="auto"/>
                                    <w:left w:val="none" w:sz="0" w:space="0" w:color="auto"/>
                                    <w:bottom w:val="none" w:sz="0" w:space="0" w:color="auto"/>
                                    <w:right w:val="none" w:sz="0" w:space="0" w:color="auto"/>
                                  </w:divBdr>
                                  <w:divsChild>
                                    <w:div w:id="170656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6563315">
      <w:marLeft w:val="0"/>
      <w:marRight w:val="0"/>
      <w:marTop w:val="0"/>
      <w:marBottom w:val="0"/>
      <w:divBdr>
        <w:top w:val="none" w:sz="0" w:space="0" w:color="auto"/>
        <w:left w:val="none" w:sz="0" w:space="0" w:color="auto"/>
        <w:bottom w:val="none" w:sz="0" w:space="0" w:color="auto"/>
        <w:right w:val="none" w:sz="0" w:space="0" w:color="auto"/>
      </w:divBdr>
    </w:div>
    <w:div w:id="1706563321">
      <w:marLeft w:val="0"/>
      <w:marRight w:val="0"/>
      <w:marTop w:val="0"/>
      <w:marBottom w:val="0"/>
      <w:divBdr>
        <w:top w:val="none" w:sz="0" w:space="0" w:color="auto"/>
        <w:left w:val="none" w:sz="0" w:space="0" w:color="auto"/>
        <w:bottom w:val="none" w:sz="0" w:space="0" w:color="auto"/>
        <w:right w:val="none" w:sz="0" w:space="0" w:color="auto"/>
      </w:divBdr>
    </w:div>
    <w:div w:id="1706563322">
      <w:marLeft w:val="0"/>
      <w:marRight w:val="0"/>
      <w:marTop w:val="0"/>
      <w:marBottom w:val="0"/>
      <w:divBdr>
        <w:top w:val="none" w:sz="0" w:space="0" w:color="auto"/>
        <w:left w:val="none" w:sz="0" w:space="0" w:color="auto"/>
        <w:bottom w:val="none" w:sz="0" w:space="0" w:color="auto"/>
        <w:right w:val="none" w:sz="0" w:space="0" w:color="auto"/>
      </w:divBdr>
    </w:div>
    <w:div w:id="1706563340">
      <w:marLeft w:val="0"/>
      <w:marRight w:val="0"/>
      <w:marTop w:val="0"/>
      <w:marBottom w:val="0"/>
      <w:divBdr>
        <w:top w:val="none" w:sz="0" w:space="0" w:color="auto"/>
        <w:left w:val="none" w:sz="0" w:space="0" w:color="auto"/>
        <w:bottom w:val="none" w:sz="0" w:space="0" w:color="auto"/>
        <w:right w:val="none" w:sz="0" w:space="0" w:color="auto"/>
      </w:divBdr>
      <w:divsChild>
        <w:div w:id="1706563403">
          <w:marLeft w:val="0"/>
          <w:marRight w:val="1"/>
          <w:marTop w:val="0"/>
          <w:marBottom w:val="0"/>
          <w:divBdr>
            <w:top w:val="none" w:sz="0" w:space="0" w:color="auto"/>
            <w:left w:val="none" w:sz="0" w:space="0" w:color="auto"/>
            <w:bottom w:val="none" w:sz="0" w:space="0" w:color="auto"/>
            <w:right w:val="none" w:sz="0" w:space="0" w:color="auto"/>
          </w:divBdr>
          <w:divsChild>
            <w:div w:id="1706563377">
              <w:marLeft w:val="0"/>
              <w:marRight w:val="0"/>
              <w:marTop w:val="0"/>
              <w:marBottom w:val="0"/>
              <w:divBdr>
                <w:top w:val="none" w:sz="0" w:space="0" w:color="auto"/>
                <w:left w:val="none" w:sz="0" w:space="0" w:color="auto"/>
                <w:bottom w:val="none" w:sz="0" w:space="0" w:color="auto"/>
                <w:right w:val="none" w:sz="0" w:space="0" w:color="auto"/>
              </w:divBdr>
              <w:divsChild>
                <w:div w:id="1706563308">
                  <w:marLeft w:val="0"/>
                  <w:marRight w:val="1"/>
                  <w:marTop w:val="0"/>
                  <w:marBottom w:val="0"/>
                  <w:divBdr>
                    <w:top w:val="none" w:sz="0" w:space="0" w:color="auto"/>
                    <w:left w:val="none" w:sz="0" w:space="0" w:color="auto"/>
                    <w:bottom w:val="none" w:sz="0" w:space="0" w:color="auto"/>
                    <w:right w:val="none" w:sz="0" w:space="0" w:color="auto"/>
                  </w:divBdr>
                  <w:divsChild>
                    <w:div w:id="1706563358">
                      <w:marLeft w:val="0"/>
                      <w:marRight w:val="0"/>
                      <w:marTop w:val="0"/>
                      <w:marBottom w:val="0"/>
                      <w:divBdr>
                        <w:top w:val="none" w:sz="0" w:space="0" w:color="auto"/>
                        <w:left w:val="none" w:sz="0" w:space="0" w:color="auto"/>
                        <w:bottom w:val="none" w:sz="0" w:space="0" w:color="auto"/>
                        <w:right w:val="none" w:sz="0" w:space="0" w:color="auto"/>
                      </w:divBdr>
                      <w:divsChild>
                        <w:div w:id="1706563374">
                          <w:marLeft w:val="0"/>
                          <w:marRight w:val="0"/>
                          <w:marTop w:val="0"/>
                          <w:marBottom w:val="0"/>
                          <w:divBdr>
                            <w:top w:val="none" w:sz="0" w:space="0" w:color="auto"/>
                            <w:left w:val="none" w:sz="0" w:space="0" w:color="auto"/>
                            <w:bottom w:val="none" w:sz="0" w:space="0" w:color="auto"/>
                            <w:right w:val="none" w:sz="0" w:space="0" w:color="auto"/>
                          </w:divBdr>
                          <w:divsChild>
                            <w:div w:id="1706563391">
                              <w:marLeft w:val="0"/>
                              <w:marRight w:val="0"/>
                              <w:marTop w:val="120"/>
                              <w:marBottom w:val="360"/>
                              <w:divBdr>
                                <w:top w:val="none" w:sz="0" w:space="0" w:color="auto"/>
                                <w:left w:val="none" w:sz="0" w:space="0" w:color="auto"/>
                                <w:bottom w:val="none" w:sz="0" w:space="0" w:color="auto"/>
                                <w:right w:val="none" w:sz="0" w:space="0" w:color="auto"/>
                              </w:divBdr>
                              <w:divsChild>
                                <w:div w:id="1706563296">
                                  <w:marLeft w:val="0"/>
                                  <w:marRight w:val="0"/>
                                  <w:marTop w:val="0"/>
                                  <w:marBottom w:val="0"/>
                                  <w:divBdr>
                                    <w:top w:val="none" w:sz="0" w:space="0" w:color="auto"/>
                                    <w:left w:val="none" w:sz="0" w:space="0" w:color="auto"/>
                                    <w:bottom w:val="none" w:sz="0" w:space="0" w:color="auto"/>
                                    <w:right w:val="none" w:sz="0" w:space="0" w:color="auto"/>
                                  </w:divBdr>
                                </w:div>
                                <w:div w:id="17065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563345">
      <w:marLeft w:val="0"/>
      <w:marRight w:val="0"/>
      <w:marTop w:val="0"/>
      <w:marBottom w:val="0"/>
      <w:divBdr>
        <w:top w:val="none" w:sz="0" w:space="0" w:color="auto"/>
        <w:left w:val="none" w:sz="0" w:space="0" w:color="auto"/>
        <w:bottom w:val="none" w:sz="0" w:space="0" w:color="auto"/>
        <w:right w:val="none" w:sz="0" w:space="0" w:color="auto"/>
      </w:divBdr>
    </w:div>
    <w:div w:id="1706563347">
      <w:marLeft w:val="0"/>
      <w:marRight w:val="0"/>
      <w:marTop w:val="0"/>
      <w:marBottom w:val="0"/>
      <w:divBdr>
        <w:top w:val="none" w:sz="0" w:space="0" w:color="auto"/>
        <w:left w:val="none" w:sz="0" w:space="0" w:color="auto"/>
        <w:bottom w:val="none" w:sz="0" w:space="0" w:color="auto"/>
        <w:right w:val="none" w:sz="0" w:space="0" w:color="auto"/>
      </w:divBdr>
      <w:divsChild>
        <w:div w:id="1706563314">
          <w:marLeft w:val="0"/>
          <w:marRight w:val="0"/>
          <w:marTop w:val="0"/>
          <w:marBottom w:val="0"/>
          <w:divBdr>
            <w:top w:val="none" w:sz="0" w:space="0" w:color="auto"/>
            <w:left w:val="none" w:sz="0" w:space="0" w:color="auto"/>
            <w:bottom w:val="none" w:sz="0" w:space="0" w:color="auto"/>
            <w:right w:val="none" w:sz="0" w:space="0" w:color="auto"/>
          </w:divBdr>
          <w:divsChild>
            <w:div w:id="1706563332">
              <w:marLeft w:val="0"/>
              <w:marRight w:val="0"/>
              <w:marTop w:val="0"/>
              <w:marBottom w:val="0"/>
              <w:divBdr>
                <w:top w:val="none" w:sz="0" w:space="0" w:color="auto"/>
                <w:left w:val="none" w:sz="0" w:space="0" w:color="auto"/>
                <w:bottom w:val="none" w:sz="0" w:space="0" w:color="auto"/>
                <w:right w:val="none" w:sz="0" w:space="0" w:color="auto"/>
              </w:divBdr>
              <w:divsChild>
                <w:div w:id="1706563383">
                  <w:marLeft w:val="0"/>
                  <w:marRight w:val="0"/>
                  <w:marTop w:val="0"/>
                  <w:marBottom w:val="0"/>
                  <w:divBdr>
                    <w:top w:val="none" w:sz="0" w:space="0" w:color="auto"/>
                    <w:left w:val="none" w:sz="0" w:space="0" w:color="auto"/>
                    <w:bottom w:val="none" w:sz="0" w:space="0" w:color="auto"/>
                    <w:right w:val="none" w:sz="0" w:space="0" w:color="auto"/>
                  </w:divBdr>
                  <w:divsChild>
                    <w:div w:id="1706563329">
                      <w:marLeft w:val="0"/>
                      <w:marRight w:val="0"/>
                      <w:marTop w:val="0"/>
                      <w:marBottom w:val="0"/>
                      <w:divBdr>
                        <w:top w:val="none" w:sz="0" w:space="0" w:color="auto"/>
                        <w:left w:val="none" w:sz="0" w:space="0" w:color="auto"/>
                        <w:bottom w:val="none" w:sz="0" w:space="0" w:color="auto"/>
                        <w:right w:val="none" w:sz="0" w:space="0" w:color="auto"/>
                      </w:divBdr>
                      <w:divsChild>
                        <w:div w:id="1706563301">
                          <w:marLeft w:val="0"/>
                          <w:marRight w:val="0"/>
                          <w:marTop w:val="0"/>
                          <w:marBottom w:val="0"/>
                          <w:divBdr>
                            <w:top w:val="none" w:sz="0" w:space="0" w:color="auto"/>
                            <w:left w:val="none" w:sz="0" w:space="0" w:color="auto"/>
                            <w:bottom w:val="none" w:sz="0" w:space="0" w:color="auto"/>
                            <w:right w:val="none" w:sz="0" w:space="0" w:color="auto"/>
                          </w:divBdr>
                          <w:divsChild>
                            <w:div w:id="1706563419">
                              <w:marLeft w:val="0"/>
                              <w:marRight w:val="0"/>
                              <w:marTop w:val="0"/>
                              <w:marBottom w:val="0"/>
                              <w:divBdr>
                                <w:top w:val="none" w:sz="0" w:space="0" w:color="auto"/>
                                <w:left w:val="none" w:sz="0" w:space="0" w:color="auto"/>
                                <w:bottom w:val="none" w:sz="0" w:space="0" w:color="auto"/>
                                <w:right w:val="none" w:sz="0" w:space="0" w:color="auto"/>
                              </w:divBdr>
                              <w:divsChild>
                                <w:div w:id="1706563375">
                                  <w:marLeft w:val="-150"/>
                                  <w:marRight w:val="-150"/>
                                  <w:marTop w:val="0"/>
                                  <w:marBottom w:val="0"/>
                                  <w:divBdr>
                                    <w:top w:val="none" w:sz="0" w:space="0" w:color="auto"/>
                                    <w:left w:val="none" w:sz="0" w:space="0" w:color="auto"/>
                                    <w:bottom w:val="none" w:sz="0" w:space="0" w:color="auto"/>
                                    <w:right w:val="none" w:sz="0" w:space="0" w:color="auto"/>
                                  </w:divBdr>
                                  <w:divsChild>
                                    <w:div w:id="1706563284">
                                      <w:marLeft w:val="0"/>
                                      <w:marRight w:val="0"/>
                                      <w:marTop w:val="0"/>
                                      <w:marBottom w:val="0"/>
                                      <w:divBdr>
                                        <w:top w:val="none" w:sz="0" w:space="0" w:color="auto"/>
                                        <w:left w:val="none" w:sz="0" w:space="0" w:color="auto"/>
                                        <w:bottom w:val="none" w:sz="0" w:space="0" w:color="auto"/>
                                        <w:right w:val="none" w:sz="0" w:space="0" w:color="auto"/>
                                      </w:divBdr>
                                      <w:divsChild>
                                        <w:div w:id="1706563365">
                                          <w:marLeft w:val="0"/>
                                          <w:marRight w:val="0"/>
                                          <w:marTop w:val="0"/>
                                          <w:marBottom w:val="0"/>
                                          <w:divBdr>
                                            <w:top w:val="none" w:sz="0" w:space="0" w:color="auto"/>
                                            <w:left w:val="none" w:sz="0" w:space="0" w:color="auto"/>
                                            <w:bottom w:val="none" w:sz="0" w:space="0" w:color="auto"/>
                                            <w:right w:val="none" w:sz="0" w:space="0" w:color="auto"/>
                                          </w:divBdr>
                                          <w:divsChild>
                                            <w:div w:id="1706563310">
                                              <w:marLeft w:val="-150"/>
                                              <w:marRight w:val="-150"/>
                                              <w:marTop w:val="0"/>
                                              <w:marBottom w:val="0"/>
                                              <w:divBdr>
                                                <w:top w:val="none" w:sz="0" w:space="0" w:color="auto"/>
                                                <w:left w:val="none" w:sz="0" w:space="0" w:color="auto"/>
                                                <w:bottom w:val="none" w:sz="0" w:space="0" w:color="auto"/>
                                                <w:right w:val="none" w:sz="0" w:space="0" w:color="auto"/>
                                              </w:divBdr>
                                              <w:divsChild>
                                                <w:div w:id="1706563392">
                                                  <w:marLeft w:val="0"/>
                                                  <w:marRight w:val="0"/>
                                                  <w:marTop w:val="0"/>
                                                  <w:marBottom w:val="0"/>
                                                  <w:divBdr>
                                                    <w:top w:val="none" w:sz="0" w:space="0" w:color="auto"/>
                                                    <w:left w:val="none" w:sz="0" w:space="0" w:color="auto"/>
                                                    <w:bottom w:val="none" w:sz="0" w:space="0" w:color="auto"/>
                                                    <w:right w:val="none" w:sz="0" w:space="0" w:color="auto"/>
                                                  </w:divBdr>
                                                  <w:divsChild>
                                                    <w:div w:id="1706563363">
                                                      <w:marLeft w:val="0"/>
                                                      <w:marRight w:val="0"/>
                                                      <w:marTop w:val="0"/>
                                                      <w:marBottom w:val="0"/>
                                                      <w:divBdr>
                                                        <w:top w:val="none" w:sz="0" w:space="0" w:color="auto"/>
                                                        <w:left w:val="none" w:sz="0" w:space="0" w:color="auto"/>
                                                        <w:bottom w:val="none" w:sz="0" w:space="0" w:color="auto"/>
                                                        <w:right w:val="none" w:sz="0" w:space="0" w:color="auto"/>
                                                      </w:divBdr>
                                                      <w:divsChild>
                                                        <w:div w:id="1706563324">
                                                          <w:marLeft w:val="0"/>
                                                          <w:marRight w:val="0"/>
                                                          <w:marTop w:val="0"/>
                                                          <w:marBottom w:val="0"/>
                                                          <w:divBdr>
                                                            <w:top w:val="none" w:sz="0" w:space="0" w:color="auto"/>
                                                            <w:left w:val="none" w:sz="0" w:space="0" w:color="auto"/>
                                                            <w:bottom w:val="none" w:sz="0" w:space="0" w:color="auto"/>
                                                            <w:right w:val="none" w:sz="0" w:space="0" w:color="auto"/>
                                                          </w:divBdr>
                                                          <w:divsChild>
                                                            <w:div w:id="1706563420">
                                                              <w:marLeft w:val="0"/>
                                                              <w:marRight w:val="0"/>
                                                              <w:marTop w:val="0"/>
                                                              <w:marBottom w:val="0"/>
                                                              <w:divBdr>
                                                                <w:top w:val="none" w:sz="0" w:space="0" w:color="auto"/>
                                                                <w:left w:val="none" w:sz="0" w:space="0" w:color="auto"/>
                                                                <w:bottom w:val="none" w:sz="0" w:space="0" w:color="auto"/>
                                                                <w:right w:val="none" w:sz="0" w:space="0" w:color="auto"/>
                                                              </w:divBdr>
                                                              <w:divsChild>
                                                                <w:div w:id="1706563317">
                                                                  <w:marLeft w:val="0"/>
                                                                  <w:marRight w:val="0"/>
                                                                  <w:marTop w:val="0"/>
                                                                  <w:marBottom w:val="0"/>
                                                                  <w:divBdr>
                                                                    <w:top w:val="none" w:sz="0" w:space="0" w:color="auto"/>
                                                                    <w:left w:val="none" w:sz="0" w:space="0" w:color="auto"/>
                                                                    <w:bottom w:val="none" w:sz="0" w:space="0" w:color="auto"/>
                                                                    <w:right w:val="none" w:sz="0" w:space="0" w:color="auto"/>
                                                                  </w:divBdr>
                                                                  <w:divsChild>
                                                                    <w:div w:id="1706563293">
                                                                      <w:marLeft w:val="0"/>
                                                                      <w:marRight w:val="0"/>
                                                                      <w:marTop w:val="0"/>
                                                                      <w:marBottom w:val="0"/>
                                                                      <w:divBdr>
                                                                        <w:top w:val="none" w:sz="0" w:space="0" w:color="auto"/>
                                                                        <w:left w:val="none" w:sz="0" w:space="0" w:color="auto"/>
                                                                        <w:bottom w:val="none" w:sz="0" w:space="0" w:color="auto"/>
                                                                        <w:right w:val="none" w:sz="0" w:space="0" w:color="auto"/>
                                                                      </w:divBdr>
                                                                      <w:divsChild>
                                                                        <w:div w:id="1706563285">
                                                                          <w:marLeft w:val="0"/>
                                                                          <w:marRight w:val="0"/>
                                                                          <w:marTop w:val="0"/>
                                                                          <w:marBottom w:val="0"/>
                                                                          <w:divBdr>
                                                                            <w:top w:val="none" w:sz="0" w:space="0" w:color="auto"/>
                                                                            <w:left w:val="none" w:sz="0" w:space="0" w:color="auto"/>
                                                                            <w:bottom w:val="none" w:sz="0" w:space="0" w:color="auto"/>
                                                                            <w:right w:val="none" w:sz="0" w:space="0" w:color="auto"/>
                                                                          </w:divBdr>
                                                                          <w:divsChild>
                                                                            <w:div w:id="1706563417">
                                                                              <w:marLeft w:val="0"/>
                                                                              <w:marRight w:val="0"/>
                                                                              <w:marTop w:val="0"/>
                                                                              <w:marBottom w:val="0"/>
                                                                              <w:divBdr>
                                                                                <w:top w:val="none" w:sz="0" w:space="0" w:color="auto"/>
                                                                                <w:left w:val="none" w:sz="0" w:space="0" w:color="auto"/>
                                                                                <w:bottom w:val="none" w:sz="0" w:space="0" w:color="auto"/>
                                                                                <w:right w:val="none" w:sz="0" w:space="0" w:color="auto"/>
                                                                              </w:divBdr>
                                                                            </w:div>
                                                                          </w:divsChild>
                                                                        </w:div>
                                                                        <w:div w:id="1706563289">
                                                                          <w:marLeft w:val="0"/>
                                                                          <w:marRight w:val="0"/>
                                                                          <w:marTop w:val="0"/>
                                                                          <w:marBottom w:val="0"/>
                                                                          <w:divBdr>
                                                                            <w:top w:val="none" w:sz="0" w:space="0" w:color="auto"/>
                                                                            <w:left w:val="none" w:sz="0" w:space="0" w:color="auto"/>
                                                                            <w:bottom w:val="none" w:sz="0" w:space="0" w:color="auto"/>
                                                                            <w:right w:val="none" w:sz="0" w:space="0" w:color="auto"/>
                                                                          </w:divBdr>
                                                                          <w:divsChild>
                                                                            <w:div w:id="1706563278">
                                                                              <w:marLeft w:val="0"/>
                                                                              <w:marRight w:val="0"/>
                                                                              <w:marTop w:val="0"/>
                                                                              <w:marBottom w:val="0"/>
                                                                              <w:divBdr>
                                                                                <w:top w:val="none" w:sz="0" w:space="0" w:color="auto"/>
                                                                                <w:left w:val="none" w:sz="0" w:space="0" w:color="auto"/>
                                                                                <w:bottom w:val="none" w:sz="0" w:space="0" w:color="auto"/>
                                                                                <w:right w:val="none" w:sz="0" w:space="0" w:color="auto"/>
                                                                              </w:divBdr>
                                                                            </w:div>
                                                                          </w:divsChild>
                                                                        </w:div>
                                                                        <w:div w:id="1706563292">
                                                                          <w:marLeft w:val="0"/>
                                                                          <w:marRight w:val="0"/>
                                                                          <w:marTop w:val="0"/>
                                                                          <w:marBottom w:val="0"/>
                                                                          <w:divBdr>
                                                                            <w:top w:val="none" w:sz="0" w:space="0" w:color="auto"/>
                                                                            <w:left w:val="none" w:sz="0" w:space="0" w:color="auto"/>
                                                                            <w:bottom w:val="none" w:sz="0" w:space="0" w:color="auto"/>
                                                                            <w:right w:val="none" w:sz="0" w:space="0" w:color="auto"/>
                                                                          </w:divBdr>
                                                                          <w:divsChild>
                                                                            <w:div w:id="1706563351">
                                                                              <w:marLeft w:val="0"/>
                                                                              <w:marRight w:val="0"/>
                                                                              <w:marTop w:val="0"/>
                                                                              <w:marBottom w:val="0"/>
                                                                              <w:divBdr>
                                                                                <w:top w:val="none" w:sz="0" w:space="0" w:color="auto"/>
                                                                                <w:left w:val="none" w:sz="0" w:space="0" w:color="auto"/>
                                                                                <w:bottom w:val="none" w:sz="0" w:space="0" w:color="auto"/>
                                                                                <w:right w:val="none" w:sz="0" w:space="0" w:color="auto"/>
                                                                              </w:divBdr>
                                                                            </w:div>
                                                                          </w:divsChild>
                                                                        </w:div>
                                                                        <w:div w:id="1706563323">
                                                                          <w:marLeft w:val="0"/>
                                                                          <w:marRight w:val="0"/>
                                                                          <w:marTop w:val="0"/>
                                                                          <w:marBottom w:val="0"/>
                                                                          <w:divBdr>
                                                                            <w:top w:val="none" w:sz="0" w:space="0" w:color="auto"/>
                                                                            <w:left w:val="none" w:sz="0" w:space="0" w:color="auto"/>
                                                                            <w:bottom w:val="none" w:sz="0" w:space="0" w:color="auto"/>
                                                                            <w:right w:val="none" w:sz="0" w:space="0" w:color="auto"/>
                                                                          </w:divBdr>
                                                                          <w:divsChild>
                                                                            <w:div w:id="1706563300">
                                                                              <w:marLeft w:val="0"/>
                                                                              <w:marRight w:val="0"/>
                                                                              <w:marTop w:val="0"/>
                                                                              <w:marBottom w:val="0"/>
                                                                              <w:divBdr>
                                                                                <w:top w:val="none" w:sz="0" w:space="0" w:color="auto"/>
                                                                                <w:left w:val="none" w:sz="0" w:space="0" w:color="auto"/>
                                                                                <w:bottom w:val="none" w:sz="0" w:space="0" w:color="auto"/>
                                                                                <w:right w:val="none" w:sz="0" w:space="0" w:color="auto"/>
                                                                              </w:divBdr>
                                                                            </w:div>
                                                                          </w:divsChild>
                                                                        </w:div>
                                                                        <w:div w:id="1706563394">
                                                                          <w:marLeft w:val="0"/>
                                                                          <w:marRight w:val="0"/>
                                                                          <w:marTop w:val="0"/>
                                                                          <w:marBottom w:val="0"/>
                                                                          <w:divBdr>
                                                                            <w:top w:val="none" w:sz="0" w:space="0" w:color="auto"/>
                                                                            <w:left w:val="none" w:sz="0" w:space="0" w:color="auto"/>
                                                                            <w:bottom w:val="none" w:sz="0" w:space="0" w:color="auto"/>
                                                                            <w:right w:val="none" w:sz="0" w:space="0" w:color="auto"/>
                                                                          </w:divBdr>
                                                                          <w:divsChild>
                                                                            <w:div w:id="1706563373">
                                                                              <w:marLeft w:val="0"/>
                                                                              <w:marRight w:val="0"/>
                                                                              <w:marTop w:val="0"/>
                                                                              <w:marBottom w:val="0"/>
                                                                              <w:divBdr>
                                                                                <w:top w:val="none" w:sz="0" w:space="0" w:color="auto"/>
                                                                                <w:left w:val="none" w:sz="0" w:space="0" w:color="auto"/>
                                                                                <w:bottom w:val="none" w:sz="0" w:space="0" w:color="auto"/>
                                                                                <w:right w:val="none" w:sz="0" w:space="0" w:color="auto"/>
                                                                              </w:divBdr>
                                                                            </w:div>
                                                                          </w:divsChild>
                                                                        </w:div>
                                                                        <w:div w:id="1706563408">
                                                                          <w:marLeft w:val="0"/>
                                                                          <w:marRight w:val="0"/>
                                                                          <w:marTop w:val="0"/>
                                                                          <w:marBottom w:val="0"/>
                                                                          <w:divBdr>
                                                                            <w:top w:val="none" w:sz="0" w:space="0" w:color="auto"/>
                                                                            <w:left w:val="none" w:sz="0" w:space="0" w:color="auto"/>
                                                                            <w:bottom w:val="none" w:sz="0" w:space="0" w:color="auto"/>
                                                                            <w:right w:val="none" w:sz="0" w:space="0" w:color="auto"/>
                                                                          </w:divBdr>
                                                                          <w:divsChild>
                                                                            <w:div w:id="170656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563350">
      <w:marLeft w:val="0"/>
      <w:marRight w:val="0"/>
      <w:marTop w:val="0"/>
      <w:marBottom w:val="0"/>
      <w:divBdr>
        <w:top w:val="none" w:sz="0" w:space="0" w:color="auto"/>
        <w:left w:val="none" w:sz="0" w:space="0" w:color="auto"/>
        <w:bottom w:val="none" w:sz="0" w:space="0" w:color="auto"/>
        <w:right w:val="none" w:sz="0" w:space="0" w:color="auto"/>
      </w:divBdr>
    </w:div>
    <w:div w:id="1706563355">
      <w:marLeft w:val="0"/>
      <w:marRight w:val="0"/>
      <w:marTop w:val="0"/>
      <w:marBottom w:val="0"/>
      <w:divBdr>
        <w:top w:val="none" w:sz="0" w:space="0" w:color="auto"/>
        <w:left w:val="none" w:sz="0" w:space="0" w:color="auto"/>
        <w:bottom w:val="none" w:sz="0" w:space="0" w:color="auto"/>
        <w:right w:val="none" w:sz="0" w:space="0" w:color="auto"/>
      </w:divBdr>
    </w:div>
    <w:div w:id="1706563356">
      <w:marLeft w:val="0"/>
      <w:marRight w:val="0"/>
      <w:marTop w:val="0"/>
      <w:marBottom w:val="0"/>
      <w:divBdr>
        <w:top w:val="none" w:sz="0" w:space="0" w:color="auto"/>
        <w:left w:val="none" w:sz="0" w:space="0" w:color="auto"/>
        <w:bottom w:val="none" w:sz="0" w:space="0" w:color="auto"/>
        <w:right w:val="none" w:sz="0" w:space="0" w:color="auto"/>
      </w:divBdr>
    </w:div>
    <w:div w:id="1706563362">
      <w:marLeft w:val="0"/>
      <w:marRight w:val="0"/>
      <w:marTop w:val="0"/>
      <w:marBottom w:val="0"/>
      <w:divBdr>
        <w:top w:val="none" w:sz="0" w:space="0" w:color="auto"/>
        <w:left w:val="none" w:sz="0" w:space="0" w:color="auto"/>
        <w:bottom w:val="none" w:sz="0" w:space="0" w:color="auto"/>
        <w:right w:val="none" w:sz="0" w:space="0" w:color="auto"/>
      </w:divBdr>
    </w:div>
    <w:div w:id="1706563367">
      <w:marLeft w:val="0"/>
      <w:marRight w:val="0"/>
      <w:marTop w:val="0"/>
      <w:marBottom w:val="0"/>
      <w:divBdr>
        <w:top w:val="none" w:sz="0" w:space="0" w:color="auto"/>
        <w:left w:val="none" w:sz="0" w:space="0" w:color="auto"/>
        <w:bottom w:val="none" w:sz="0" w:space="0" w:color="auto"/>
        <w:right w:val="none" w:sz="0" w:space="0" w:color="auto"/>
      </w:divBdr>
    </w:div>
    <w:div w:id="1706563368">
      <w:marLeft w:val="0"/>
      <w:marRight w:val="0"/>
      <w:marTop w:val="0"/>
      <w:marBottom w:val="0"/>
      <w:divBdr>
        <w:top w:val="none" w:sz="0" w:space="0" w:color="auto"/>
        <w:left w:val="none" w:sz="0" w:space="0" w:color="auto"/>
        <w:bottom w:val="none" w:sz="0" w:space="0" w:color="auto"/>
        <w:right w:val="none" w:sz="0" w:space="0" w:color="auto"/>
      </w:divBdr>
    </w:div>
    <w:div w:id="1706563370">
      <w:marLeft w:val="0"/>
      <w:marRight w:val="0"/>
      <w:marTop w:val="0"/>
      <w:marBottom w:val="0"/>
      <w:divBdr>
        <w:top w:val="none" w:sz="0" w:space="0" w:color="auto"/>
        <w:left w:val="none" w:sz="0" w:space="0" w:color="auto"/>
        <w:bottom w:val="none" w:sz="0" w:space="0" w:color="auto"/>
        <w:right w:val="none" w:sz="0" w:space="0" w:color="auto"/>
      </w:divBdr>
    </w:div>
    <w:div w:id="1706563378">
      <w:marLeft w:val="0"/>
      <w:marRight w:val="0"/>
      <w:marTop w:val="0"/>
      <w:marBottom w:val="0"/>
      <w:divBdr>
        <w:top w:val="none" w:sz="0" w:space="0" w:color="auto"/>
        <w:left w:val="none" w:sz="0" w:space="0" w:color="auto"/>
        <w:bottom w:val="none" w:sz="0" w:space="0" w:color="auto"/>
        <w:right w:val="none" w:sz="0" w:space="0" w:color="auto"/>
      </w:divBdr>
    </w:div>
    <w:div w:id="1706563379">
      <w:marLeft w:val="0"/>
      <w:marRight w:val="0"/>
      <w:marTop w:val="0"/>
      <w:marBottom w:val="0"/>
      <w:divBdr>
        <w:top w:val="none" w:sz="0" w:space="0" w:color="auto"/>
        <w:left w:val="none" w:sz="0" w:space="0" w:color="auto"/>
        <w:bottom w:val="none" w:sz="0" w:space="0" w:color="auto"/>
        <w:right w:val="none" w:sz="0" w:space="0" w:color="auto"/>
      </w:divBdr>
    </w:div>
    <w:div w:id="1706563382">
      <w:marLeft w:val="0"/>
      <w:marRight w:val="0"/>
      <w:marTop w:val="0"/>
      <w:marBottom w:val="0"/>
      <w:divBdr>
        <w:top w:val="none" w:sz="0" w:space="0" w:color="auto"/>
        <w:left w:val="none" w:sz="0" w:space="0" w:color="auto"/>
        <w:bottom w:val="none" w:sz="0" w:space="0" w:color="auto"/>
        <w:right w:val="none" w:sz="0" w:space="0" w:color="auto"/>
      </w:divBdr>
    </w:div>
    <w:div w:id="1706563384">
      <w:marLeft w:val="0"/>
      <w:marRight w:val="0"/>
      <w:marTop w:val="0"/>
      <w:marBottom w:val="0"/>
      <w:divBdr>
        <w:top w:val="none" w:sz="0" w:space="0" w:color="auto"/>
        <w:left w:val="none" w:sz="0" w:space="0" w:color="auto"/>
        <w:bottom w:val="none" w:sz="0" w:space="0" w:color="auto"/>
        <w:right w:val="none" w:sz="0" w:space="0" w:color="auto"/>
      </w:divBdr>
      <w:divsChild>
        <w:div w:id="1706563413">
          <w:marLeft w:val="0"/>
          <w:marRight w:val="0"/>
          <w:marTop w:val="34"/>
          <w:marBottom w:val="34"/>
          <w:divBdr>
            <w:top w:val="none" w:sz="0" w:space="0" w:color="auto"/>
            <w:left w:val="none" w:sz="0" w:space="0" w:color="auto"/>
            <w:bottom w:val="none" w:sz="0" w:space="0" w:color="auto"/>
            <w:right w:val="none" w:sz="0" w:space="0" w:color="auto"/>
          </w:divBdr>
        </w:div>
      </w:divsChild>
    </w:div>
    <w:div w:id="1706563385">
      <w:marLeft w:val="0"/>
      <w:marRight w:val="0"/>
      <w:marTop w:val="0"/>
      <w:marBottom w:val="0"/>
      <w:divBdr>
        <w:top w:val="none" w:sz="0" w:space="0" w:color="auto"/>
        <w:left w:val="none" w:sz="0" w:space="0" w:color="auto"/>
        <w:bottom w:val="none" w:sz="0" w:space="0" w:color="auto"/>
        <w:right w:val="none" w:sz="0" w:space="0" w:color="auto"/>
      </w:divBdr>
    </w:div>
    <w:div w:id="1706563386">
      <w:marLeft w:val="0"/>
      <w:marRight w:val="0"/>
      <w:marTop w:val="0"/>
      <w:marBottom w:val="0"/>
      <w:divBdr>
        <w:top w:val="none" w:sz="0" w:space="0" w:color="auto"/>
        <w:left w:val="none" w:sz="0" w:space="0" w:color="auto"/>
        <w:bottom w:val="none" w:sz="0" w:space="0" w:color="auto"/>
        <w:right w:val="none" w:sz="0" w:space="0" w:color="auto"/>
      </w:divBdr>
    </w:div>
    <w:div w:id="1706563388">
      <w:marLeft w:val="0"/>
      <w:marRight w:val="0"/>
      <w:marTop w:val="0"/>
      <w:marBottom w:val="0"/>
      <w:divBdr>
        <w:top w:val="none" w:sz="0" w:space="0" w:color="auto"/>
        <w:left w:val="none" w:sz="0" w:space="0" w:color="auto"/>
        <w:bottom w:val="none" w:sz="0" w:space="0" w:color="auto"/>
        <w:right w:val="none" w:sz="0" w:space="0" w:color="auto"/>
      </w:divBdr>
      <w:divsChild>
        <w:div w:id="1706563277">
          <w:marLeft w:val="0"/>
          <w:marRight w:val="0"/>
          <w:marTop w:val="0"/>
          <w:marBottom w:val="0"/>
          <w:divBdr>
            <w:top w:val="none" w:sz="0" w:space="0" w:color="auto"/>
            <w:left w:val="none" w:sz="0" w:space="0" w:color="auto"/>
            <w:bottom w:val="none" w:sz="0" w:space="0" w:color="auto"/>
            <w:right w:val="none" w:sz="0" w:space="0" w:color="auto"/>
          </w:divBdr>
          <w:divsChild>
            <w:div w:id="1706563333">
              <w:marLeft w:val="0"/>
              <w:marRight w:val="0"/>
              <w:marTop w:val="0"/>
              <w:marBottom w:val="0"/>
              <w:divBdr>
                <w:top w:val="none" w:sz="0" w:space="0" w:color="auto"/>
                <w:left w:val="none" w:sz="0" w:space="0" w:color="auto"/>
                <w:bottom w:val="none" w:sz="0" w:space="0" w:color="auto"/>
                <w:right w:val="none" w:sz="0" w:space="0" w:color="auto"/>
              </w:divBdr>
              <w:divsChild>
                <w:div w:id="1706563343">
                  <w:marLeft w:val="0"/>
                  <w:marRight w:val="0"/>
                  <w:marTop w:val="0"/>
                  <w:marBottom w:val="0"/>
                  <w:divBdr>
                    <w:top w:val="none" w:sz="0" w:space="0" w:color="auto"/>
                    <w:left w:val="none" w:sz="0" w:space="0" w:color="auto"/>
                    <w:bottom w:val="none" w:sz="0" w:space="0" w:color="auto"/>
                    <w:right w:val="none" w:sz="0" w:space="0" w:color="auto"/>
                  </w:divBdr>
                  <w:divsChild>
                    <w:div w:id="1706563282">
                      <w:marLeft w:val="0"/>
                      <w:marRight w:val="0"/>
                      <w:marTop w:val="0"/>
                      <w:marBottom w:val="0"/>
                      <w:divBdr>
                        <w:top w:val="none" w:sz="0" w:space="0" w:color="auto"/>
                        <w:left w:val="none" w:sz="0" w:space="0" w:color="auto"/>
                        <w:bottom w:val="none" w:sz="0" w:space="0" w:color="auto"/>
                        <w:right w:val="none" w:sz="0" w:space="0" w:color="auto"/>
                      </w:divBdr>
                      <w:divsChild>
                        <w:div w:id="1706563307">
                          <w:marLeft w:val="0"/>
                          <w:marRight w:val="0"/>
                          <w:marTop w:val="0"/>
                          <w:marBottom w:val="0"/>
                          <w:divBdr>
                            <w:top w:val="none" w:sz="0" w:space="0" w:color="auto"/>
                            <w:left w:val="none" w:sz="0" w:space="0" w:color="auto"/>
                            <w:bottom w:val="none" w:sz="0" w:space="0" w:color="auto"/>
                            <w:right w:val="none" w:sz="0" w:space="0" w:color="auto"/>
                          </w:divBdr>
                          <w:divsChild>
                            <w:div w:id="1706563316">
                              <w:marLeft w:val="0"/>
                              <w:marRight w:val="0"/>
                              <w:marTop w:val="0"/>
                              <w:marBottom w:val="0"/>
                              <w:divBdr>
                                <w:top w:val="none" w:sz="0" w:space="0" w:color="auto"/>
                                <w:left w:val="none" w:sz="0" w:space="0" w:color="auto"/>
                                <w:bottom w:val="none" w:sz="0" w:space="0" w:color="auto"/>
                                <w:right w:val="none" w:sz="0" w:space="0" w:color="auto"/>
                              </w:divBdr>
                              <w:divsChild>
                                <w:div w:id="1706563319">
                                  <w:marLeft w:val="-150"/>
                                  <w:marRight w:val="-150"/>
                                  <w:marTop w:val="0"/>
                                  <w:marBottom w:val="0"/>
                                  <w:divBdr>
                                    <w:top w:val="none" w:sz="0" w:space="0" w:color="auto"/>
                                    <w:left w:val="none" w:sz="0" w:space="0" w:color="auto"/>
                                    <w:bottom w:val="none" w:sz="0" w:space="0" w:color="auto"/>
                                    <w:right w:val="none" w:sz="0" w:space="0" w:color="auto"/>
                                  </w:divBdr>
                                  <w:divsChild>
                                    <w:div w:id="1706563395">
                                      <w:marLeft w:val="0"/>
                                      <w:marRight w:val="0"/>
                                      <w:marTop w:val="0"/>
                                      <w:marBottom w:val="0"/>
                                      <w:divBdr>
                                        <w:top w:val="none" w:sz="0" w:space="0" w:color="auto"/>
                                        <w:left w:val="none" w:sz="0" w:space="0" w:color="auto"/>
                                        <w:bottom w:val="none" w:sz="0" w:space="0" w:color="auto"/>
                                        <w:right w:val="none" w:sz="0" w:space="0" w:color="auto"/>
                                      </w:divBdr>
                                      <w:divsChild>
                                        <w:div w:id="1706563281">
                                          <w:marLeft w:val="0"/>
                                          <w:marRight w:val="0"/>
                                          <w:marTop w:val="0"/>
                                          <w:marBottom w:val="0"/>
                                          <w:divBdr>
                                            <w:top w:val="none" w:sz="0" w:space="0" w:color="auto"/>
                                            <w:left w:val="none" w:sz="0" w:space="0" w:color="auto"/>
                                            <w:bottom w:val="none" w:sz="0" w:space="0" w:color="auto"/>
                                            <w:right w:val="none" w:sz="0" w:space="0" w:color="auto"/>
                                          </w:divBdr>
                                          <w:divsChild>
                                            <w:div w:id="1706563305">
                                              <w:marLeft w:val="-150"/>
                                              <w:marRight w:val="-150"/>
                                              <w:marTop w:val="0"/>
                                              <w:marBottom w:val="0"/>
                                              <w:divBdr>
                                                <w:top w:val="none" w:sz="0" w:space="0" w:color="auto"/>
                                                <w:left w:val="none" w:sz="0" w:space="0" w:color="auto"/>
                                                <w:bottom w:val="none" w:sz="0" w:space="0" w:color="auto"/>
                                                <w:right w:val="none" w:sz="0" w:space="0" w:color="auto"/>
                                              </w:divBdr>
                                              <w:divsChild>
                                                <w:div w:id="1706563337">
                                                  <w:marLeft w:val="0"/>
                                                  <w:marRight w:val="0"/>
                                                  <w:marTop w:val="0"/>
                                                  <w:marBottom w:val="0"/>
                                                  <w:divBdr>
                                                    <w:top w:val="none" w:sz="0" w:space="0" w:color="auto"/>
                                                    <w:left w:val="none" w:sz="0" w:space="0" w:color="auto"/>
                                                    <w:bottom w:val="none" w:sz="0" w:space="0" w:color="auto"/>
                                                    <w:right w:val="none" w:sz="0" w:space="0" w:color="auto"/>
                                                  </w:divBdr>
                                                  <w:divsChild>
                                                    <w:div w:id="1706563330">
                                                      <w:marLeft w:val="0"/>
                                                      <w:marRight w:val="0"/>
                                                      <w:marTop w:val="0"/>
                                                      <w:marBottom w:val="0"/>
                                                      <w:divBdr>
                                                        <w:top w:val="none" w:sz="0" w:space="0" w:color="auto"/>
                                                        <w:left w:val="none" w:sz="0" w:space="0" w:color="auto"/>
                                                        <w:bottom w:val="none" w:sz="0" w:space="0" w:color="auto"/>
                                                        <w:right w:val="none" w:sz="0" w:space="0" w:color="auto"/>
                                                      </w:divBdr>
                                                      <w:divsChild>
                                                        <w:div w:id="1706563410">
                                                          <w:marLeft w:val="0"/>
                                                          <w:marRight w:val="0"/>
                                                          <w:marTop w:val="0"/>
                                                          <w:marBottom w:val="0"/>
                                                          <w:divBdr>
                                                            <w:top w:val="none" w:sz="0" w:space="0" w:color="auto"/>
                                                            <w:left w:val="none" w:sz="0" w:space="0" w:color="auto"/>
                                                            <w:bottom w:val="none" w:sz="0" w:space="0" w:color="auto"/>
                                                            <w:right w:val="none" w:sz="0" w:space="0" w:color="auto"/>
                                                          </w:divBdr>
                                                          <w:divsChild>
                                                            <w:div w:id="1706563411">
                                                              <w:marLeft w:val="0"/>
                                                              <w:marRight w:val="0"/>
                                                              <w:marTop w:val="0"/>
                                                              <w:marBottom w:val="0"/>
                                                              <w:divBdr>
                                                                <w:top w:val="none" w:sz="0" w:space="0" w:color="auto"/>
                                                                <w:left w:val="none" w:sz="0" w:space="0" w:color="auto"/>
                                                                <w:bottom w:val="none" w:sz="0" w:space="0" w:color="auto"/>
                                                                <w:right w:val="none" w:sz="0" w:space="0" w:color="auto"/>
                                                              </w:divBdr>
                                                              <w:divsChild>
                                                                <w:div w:id="170656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6563397">
      <w:marLeft w:val="0"/>
      <w:marRight w:val="0"/>
      <w:marTop w:val="0"/>
      <w:marBottom w:val="0"/>
      <w:divBdr>
        <w:top w:val="none" w:sz="0" w:space="0" w:color="auto"/>
        <w:left w:val="none" w:sz="0" w:space="0" w:color="auto"/>
        <w:bottom w:val="none" w:sz="0" w:space="0" w:color="auto"/>
        <w:right w:val="none" w:sz="0" w:space="0" w:color="auto"/>
      </w:divBdr>
      <w:divsChild>
        <w:div w:id="1706563309">
          <w:marLeft w:val="0"/>
          <w:marRight w:val="0"/>
          <w:marTop w:val="0"/>
          <w:marBottom w:val="0"/>
          <w:divBdr>
            <w:top w:val="none" w:sz="0" w:space="0" w:color="auto"/>
            <w:left w:val="none" w:sz="0" w:space="0" w:color="auto"/>
            <w:bottom w:val="none" w:sz="0" w:space="0" w:color="auto"/>
            <w:right w:val="none" w:sz="0" w:space="0" w:color="auto"/>
          </w:divBdr>
          <w:divsChild>
            <w:div w:id="1706563359">
              <w:marLeft w:val="0"/>
              <w:marRight w:val="0"/>
              <w:marTop w:val="0"/>
              <w:marBottom w:val="0"/>
              <w:divBdr>
                <w:top w:val="none" w:sz="0" w:space="0" w:color="auto"/>
                <w:left w:val="none" w:sz="0" w:space="0" w:color="auto"/>
                <w:bottom w:val="none" w:sz="0" w:space="0" w:color="auto"/>
                <w:right w:val="none" w:sz="0" w:space="0" w:color="auto"/>
              </w:divBdr>
              <w:divsChild>
                <w:div w:id="1706563306">
                  <w:marLeft w:val="0"/>
                  <w:marRight w:val="0"/>
                  <w:marTop w:val="0"/>
                  <w:marBottom w:val="0"/>
                  <w:divBdr>
                    <w:top w:val="none" w:sz="0" w:space="0" w:color="auto"/>
                    <w:left w:val="none" w:sz="0" w:space="0" w:color="auto"/>
                    <w:bottom w:val="none" w:sz="0" w:space="0" w:color="auto"/>
                    <w:right w:val="none" w:sz="0" w:space="0" w:color="auto"/>
                  </w:divBdr>
                  <w:divsChild>
                    <w:div w:id="1706563298">
                      <w:marLeft w:val="0"/>
                      <w:marRight w:val="0"/>
                      <w:marTop w:val="0"/>
                      <w:marBottom w:val="0"/>
                      <w:divBdr>
                        <w:top w:val="none" w:sz="0" w:space="0" w:color="auto"/>
                        <w:left w:val="none" w:sz="0" w:space="0" w:color="auto"/>
                        <w:bottom w:val="none" w:sz="0" w:space="0" w:color="auto"/>
                        <w:right w:val="none" w:sz="0" w:space="0" w:color="auto"/>
                      </w:divBdr>
                      <w:divsChild>
                        <w:div w:id="1706563326">
                          <w:marLeft w:val="0"/>
                          <w:marRight w:val="0"/>
                          <w:marTop w:val="0"/>
                          <w:marBottom w:val="0"/>
                          <w:divBdr>
                            <w:top w:val="none" w:sz="0" w:space="0" w:color="auto"/>
                            <w:left w:val="none" w:sz="0" w:space="0" w:color="auto"/>
                            <w:bottom w:val="none" w:sz="0" w:space="0" w:color="auto"/>
                            <w:right w:val="none" w:sz="0" w:space="0" w:color="auto"/>
                          </w:divBdr>
                          <w:divsChild>
                            <w:div w:id="1706563303">
                              <w:marLeft w:val="0"/>
                              <w:marRight w:val="0"/>
                              <w:marTop w:val="0"/>
                              <w:marBottom w:val="0"/>
                              <w:divBdr>
                                <w:top w:val="none" w:sz="0" w:space="0" w:color="auto"/>
                                <w:left w:val="none" w:sz="0" w:space="0" w:color="auto"/>
                                <w:bottom w:val="none" w:sz="0" w:space="0" w:color="auto"/>
                                <w:right w:val="none" w:sz="0" w:space="0" w:color="auto"/>
                              </w:divBdr>
                              <w:divsChild>
                                <w:div w:id="1706563335">
                                  <w:marLeft w:val="-150"/>
                                  <w:marRight w:val="-150"/>
                                  <w:marTop w:val="0"/>
                                  <w:marBottom w:val="0"/>
                                  <w:divBdr>
                                    <w:top w:val="none" w:sz="0" w:space="0" w:color="auto"/>
                                    <w:left w:val="none" w:sz="0" w:space="0" w:color="auto"/>
                                    <w:bottom w:val="none" w:sz="0" w:space="0" w:color="auto"/>
                                    <w:right w:val="none" w:sz="0" w:space="0" w:color="auto"/>
                                  </w:divBdr>
                                  <w:divsChild>
                                    <w:div w:id="1706563339">
                                      <w:marLeft w:val="0"/>
                                      <w:marRight w:val="0"/>
                                      <w:marTop w:val="0"/>
                                      <w:marBottom w:val="0"/>
                                      <w:divBdr>
                                        <w:top w:val="none" w:sz="0" w:space="0" w:color="auto"/>
                                        <w:left w:val="none" w:sz="0" w:space="0" w:color="auto"/>
                                        <w:bottom w:val="none" w:sz="0" w:space="0" w:color="auto"/>
                                        <w:right w:val="none" w:sz="0" w:space="0" w:color="auto"/>
                                      </w:divBdr>
                                      <w:divsChild>
                                        <w:div w:id="1706563396">
                                          <w:marLeft w:val="0"/>
                                          <w:marRight w:val="0"/>
                                          <w:marTop w:val="0"/>
                                          <w:marBottom w:val="0"/>
                                          <w:divBdr>
                                            <w:top w:val="none" w:sz="0" w:space="0" w:color="auto"/>
                                            <w:left w:val="none" w:sz="0" w:space="0" w:color="auto"/>
                                            <w:bottom w:val="none" w:sz="0" w:space="0" w:color="auto"/>
                                            <w:right w:val="none" w:sz="0" w:space="0" w:color="auto"/>
                                          </w:divBdr>
                                          <w:divsChild>
                                            <w:div w:id="1706563283">
                                              <w:marLeft w:val="-150"/>
                                              <w:marRight w:val="-150"/>
                                              <w:marTop w:val="0"/>
                                              <w:marBottom w:val="0"/>
                                              <w:divBdr>
                                                <w:top w:val="none" w:sz="0" w:space="0" w:color="auto"/>
                                                <w:left w:val="none" w:sz="0" w:space="0" w:color="auto"/>
                                                <w:bottom w:val="none" w:sz="0" w:space="0" w:color="auto"/>
                                                <w:right w:val="none" w:sz="0" w:space="0" w:color="auto"/>
                                              </w:divBdr>
                                              <w:divsChild>
                                                <w:div w:id="1706563320">
                                                  <w:marLeft w:val="0"/>
                                                  <w:marRight w:val="0"/>
                                                  <w:marTop w:val="0"/>
                                                  <w:marBottom w:val="0"/>
                                                  <w:divBdr>
                                                    <w:top w:val="none" w:sz="0" w:space="0" w:color="auto"/>
                                                    <w:left w:val="none" w:sz="0" w:space="0" w:color="auto"/>
                                                    <w:bottom w:val="none" w:sz="0" w:space="0" w:color="auto"/>
                                                    <w:right w:val="none" w:sz="0" w:space="0" w:color="auto"/>
                                                  </w:divBdr>
                                                  <w:divsChild>
                                                    <w:div w:id="1706563422">
                                                      <w:marLeft w:val="0"/>
                                                      <w:marRight w:val="0"/>
                                                      <w:marTop w:val="0"/>
                                                      <w:marBottom w:val="0"/>
                                                      <w:divBdr>
                                                        <w:top w:val="none" w:sz="0" w:space="0" w:color="auto"/>
                                                        <w:left w:val="none" w:sz="0" w:space="0" w:color="auto"/>
                                                        <w:bottom w:val="none" w:sz="0" w:space="0" w:color="auto"/>
                                                        <w:right w:val="none" w:sz="0" w:space="0" w:color="auto"/>
                                                      </w:divBdr>
                                                      <w:divsChild>
                                                        <w:div w:id="1706563360">
                                                          <w:marLeft w:val="0"/>
                                                          <w:marRight w:val="0"/>
                                                          <w:marTop w:val="0"/>
                                                          <w:marBottom w:val="0"/>
                                                          <w:divBdr>
                                                            <w:top w:val="none" w:sz="0" w:space="0" w:color="auto"/>
                                                            <w:left w:val="none" w:sz="0" w:space="0" w:color="auto"/>
                                                            <w:bottom w:val="none" w:sz="0" w:space="0" w:color="auto"/>
                                                            <w:right w:val="none" w:sz="0" w:space="0" w:color="auto"/>
                                                          </w:divBdr>
                                                          <w:divsChild>
                                                            <w:div w:id="1706563354">
                                                              <w:marLeft w:val="0"/>
                                                              <w:marRight w:val="0"/>
                                                              <w:marTop w:val="0"/>
                                                              <w:marBottom w:val="0"/>
                                                              <w:divBdr>
                                                                <w:top w:val="none" w:sz="0" w:space="0" w:color="auto"/>
                                                                <w:left w:val="none" w:sz="0" w:space="0" w:color="auto"/>
                                                                <w:bottom w:val="none" w:sz="0" w:space="0" w:color="auto"/>
                                                                <w:right w:val="none" w:sz="0" w:space="0" w:color="auto"/>
                                                              </w:divBdr>
                                                              <w:divsChild>
                                                                <w:div w:id="1706563346">
                                                                  <w:marLeft w:val="0"/>
                                                                  <w:marRight w:val="0"/>
                                                                  <w:marTop w:val="0"/>
                                                                  <w:marBottom w:val="0"/>
                                                                  <w:divBdr>
                                                                    <w:top w:val="none" w:sz="0" w:space="0" w:color="auto"/>
                                                                    <w:left w:val="none" w:sz="0" w:space="0" w:color="auto"/>
                                                                    <w:bottom w:val="none" w:sz="0" w:space="0" w:color="auto"/>
                                                                    <w:right w:val="none" w:sz="0" w:space="0" w:color="auto"/>
                                                                  </w:divBdr>
                                                                  <w:divsChild>
                                                                    <w:div w:id="1706563400">
                                                                      <w:marLeft w:val="0"/>
                                                                      <w:marRight w:val="0"/>
                                                                      <w:marTop w:val="0"/>
                                                                      <w:marBottom w:val="0"/>
                                                                      <w:divBdr>
                                                                        <w:top w:val="none" w:sz="0" w:space="0" w:color="auto"/>
                                                                        <w:left w:val="none" w:sz="0" w:space="0" w:color="auto"/>
                                                                        <w:bottom w:val="none" w:sz="0" w:space="0" w:color="auto"/>
                                                                        <w:right w:val="none" w:sz="0" w:space="0" w:color="auto"/>
                                                                      </w:divBdr>
                                                                      <w:divsChild>
                                                                        <w:div w:id="1706563299">
                                                                          <w:marLeft w:val="0"/>
                                                                          <w:marRight w:val="0"/>
                                                                          <w:marTop w:val="0"/>
                                                                          <w:marBottom w:val="0"/>
                                                                          <w:divBdr>
                                                                            <w:top w:val="none" w:sz="0" w:space="0" w:color="auto"/>
                                                                            <w:left w:val="none" w:sz="0" w:space="0" w:color="auto"/>
                                                                            <w:bottom w:val="none" w:sz="0" w:space="0" w:color="auto"/>
                                                                            <w:right w:val="none" w:sz="0" w:space="0" w:color="auto"/>
                                                                          </w:divBdr>
                                                                          <w:divsChild>
                                                                            <w:div w:id="1706563389">
                                                                              <w:marLeft w:val="0"/>
                                                                              <w:marRight w:val="0"/>
                                                                              <w:marTop w:val="0"/>
                                                                              <w:marBottom w:val="0"/>
                                                                              <w:divBdr>
                                                                                <w:top w:val="none" w:sz="0" w:space="0" w:color="auto"/>
                                                                                <w:left w:val="none" w:sz="0" w:space="0" w:color="auto"/>
                                                                                <w:bottom w:val="none" w:sz="0" w:space="0" w:color="auto"/>
                                                                                <w:right w:val="none" w:sz="0" w:space="0" w:color="auto"/>
                                                                              </w:divBdr>
                                                                            </w:div>
                                                                          </w:divsChild>
                                                                        </w:div>
                                                                        <w:div w:id="1706563331">
                                                                          <w:marLeft w:val="0"/>
                                                                          <w:marRight w:val="0"/>
                                                                          <w:marTop w:val="0"/>
                                                                          <w:marBottom w:val="0"/>
                                                                          <w:divBdr>
                                                                            <w:top w:val="none" w:sz="0" w:space="0" w:color="auto"/>
                                                                            <w:left w:val="none" w:sz="0" w:space="0" w:color="auto"/>
                                                                            <w:bottom w:val="none" w:sz="0" w:space="0" w:color="auto"/>
                                                                            <w:right w:val="none" w:sz="0" w:space="0" w:color="auto"/>
                                                                          </w:divBdr>
                                                                        </w:div>
                                                                        <w:div w:id="1706563334">
                                                                          <w:marLeft w:val="0"/>
                                                                          <w:marRight w:val="0"/>
                                                                          <w:marTop w:val="0"/>
                                                                          <w:marBottom w:val="0"/>
                                                                          <w:divBdr>
                                                                            <w:top w:val="none" w:sz="0" w:space="0" w:color="auto"/>
                                                                            <w:left w:val="none" w:sz="0" w:space="0" w:color="auto"/>
                                                                            <w:bottom w:val="none" w:sz="0" w:space="0" w:color="auto"/>
                                                                            <w:right w:val="none" w:sz="0" w:space="0" w:color="auto"/>
                                                                          </w:divBdr>
                                                                          <w:divsChild>
                                                                            <w:div w:id="1706563341">
                                                                              <w:marLeft w:val="0"/>
                                                                              <w:marRight w:val="0"/>
                                                                              <w:marTop w:val="0"/>
                                                                              <w:marBottom w:val="0"/>
                                                                              <w:divBdr>
                                                                                <w:top w:val="none" w:sz="0" w:space="0" w:color="auto"/>
                                                                                <w:left w:val="none" w:sz="0" w:space="0" w:color="auto"/>
                                                                                <w:bottom w:val="none" w:sz="0" w:space="0" w:color="auto"/>
                                                                                <w:right w:val="none" w:sz="0" w:space="0" w:color="auto"/>
                                                                              </w:divBdr>
                                                                            </w:div>
                                                                          </w:divsChild>
                                                                        </w:div>
                                                                        <w:div w:id="1706563357">
                                                                          <w:marLeft w:val="0"/>
                                                                          <w:marRight w:val="0"/>
                                                                          <w:marTop w:val="0"/>
                                                                          <w:marBottom w:val="0"/>
                                                                          <w:divBdr>
                                                                            <w:top w:val="none" w:sz="0" w:space="0" w:color="auto"/>
                                                                            <w:left w:val="none" w:sz="0" w:space="0" w:color="auto"/>
                                                                            <w:bottom w:val="none" w:sz="0" w:space="0" w:color="auto"/>
                                                                            <w:right w:val="none" w:sz="0" w:space="0" w:color="auto"/>
                                                                          </w:divBdr>
                                                                          <w:divsChild>
                                                                            <w:div w:id="1706563336">
                                                                              <w:marLeft w:val="0"/>
                                                                              <w:marRight w:val="0"/>
                                                                              <w:marTop w:val="0"/>
                                                                              <w:marBottom w:val="0"/>
                                                                              <w:divBdr>
                                                                                <w:top w:val="none" w:sz="0" w:space="0" w:color="auto"/>
                                                                                <w:left w:val="none" w:sz="0" w:space="0" w:color="auto"/>
                                                                                <w:bottom w:val="none" w:sz="0" w:space="0" w:color="auto"/>
                                                                                <w:right w:val="none" w:sz="0" w:space="0" w:color="auto"/>
                                                                              </w:divBdr>
                                                                            </w:div>
                                                                          </w:divsChild>
                                                                        </w:div>
                                                                        <w:div w:id="1706563402">
                                                                          <w:marLeft w:val="0"/>
                                                                          <w:marRight w:val="0"/>
                                                                          <w:marTop w:val="0"/>
                                                                          <w:marBottom w:val="0"/>
                                                                          <w:divBdr>
                                                                            <w:top w:val="none" w:sz="0" w:space="0" w:color="auto"/>
                                                                            <w:left w:val="none" w:sz="0" w:space="0" w:color="auto"/>
                                                                            <w:bottom w:val="none" w:sz="0" w:space="0" w:color="auto"/>
                                                                            <w:right w:val="none" w:sz="0" w:space="0" w:color="auto"/>
                                                                          </w:divBdr>
                                                                          <w:divsChild>
                                                                            <w:div w:id="1706563361">
                                                                              <w:marLeft w:val="0"/>
                                                                              <w:marRight w:val="0"/>
                                                                              <w:marTop w:val="0"/>
                                                                              <w:marBottom w:val="0"/>
                                                                              <w:divBdr>
                                                                                <w:top w:val="none" w:sz="0" w:space="0" w:color="auto"/>
                                                                                <w:left w:val="none" w:sz="0" w:space="0" w:color="auto"/>
                                                                                <w:bottom w:val="none" w:sz="0" w:space="0" w:color="auto"/>
                                                                                <w:right w:val="none" w:sz="0" w:space="0" w:color="auto"/>
                                                                              </w:divBdr>
                                                                            </w:div>
                                                                          </w:divsChild>
                                                                        </w:div>
                                                                        <w:div w:id="1706563406">
                                                                          <w:marLeft w:val="0"/>
                                                                          <w:marRight w:val="0"/>
                                                                          <w:marTop w:val="0"/>
                                                                          <w:marBottom w:val="0"/>
                                                                          <w:divBdr>
                                                                            <w:top w:val="none" w:sz="0" w:space="0" w:color="auto"/>
                                                                            <w:left w:val="none" w:sz="0" w:space="0" w:color="auto"/>
                                                                            <w:bottom w:val="none" w:sz="0" w:space="0" w:color="auto"/>
                                                                            <w:right w:val="none" w:sz="0" w:space="0" w:color="auto"/>
                                                                          </w:divBdr>
                                                                          <w:divsChild>
                                                                            <w:div w:id="170656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563401">
      <w:marLeft w:val="0"/>
      <w:marRight w:val="0"/>
      <w:marTop w:val="0"/>
      <w:marBottom w:val="0"/>
      <w:divBdr>
        <w:top w:val="none" w:sz="0" w:space="0" w:color="auto"/>
        <w:left w:val="none" w:sz="0" w:space="0" w:color="auto"/>
        <w:bottom w:val="none" w:sz="0" w:space="0" w:color="auto"/>
        <w:right w:val="none" w:sz="0" w:space="0" w:color="auto"/>
      </w:divBdr>
      <w:divsChild>
        <w:div w:id="1706563404">
          <w:marLeft w:val="0"/>
          <w:marRight w:val="0"/>
          <w:marTop w:val="120"/>
          <w:marBottom w:val="360"/>
          <w:divBdr>
            <w:top w:val="none" w:sz="0" w:space="0" w:color="auto"/>
            <w:left w:val="none" w:sz="0" w:space="0" w:color="auto"/>
            <w:bottom w:val="none" w:sz="0" w:space="0" w:color="auto"/>
            <w:right w:val="none" w:sz="0" w:space="0" w:color="auto"/>
          </w:divBdr>
          <w:divsChild>
            <w:div w:id="17065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3407">
      <w:marLeft w:val="0"/>
      <w:marRight w:val="0"/>
      <w:marTop w:val="0"/>
      <w:marBottom w:val="0"/>
      <w:divBdr>
        <w:top w:val="none" w:sz="0" w:space="0" w:color="auto"/>
        <w:left w:val="none" w:sz="0" w:space="0" w:color="auto"/>
        <w:bottom w:val="none" w:sz="0" w:space="0" w:color="auto"/>
        <w:right w:val="none" w:sz="0" w:space="0" w:color="auto"/>
      </w:divBdr>
      <w:divsChild>
        <w:div w:id="1706563291">
          <w:marLeft w:val="0"/>
          <w:marRight w:val="1"/>
          <w:marTop w:val="0"/>
          <w:marBottom w:val="0"/>
          <w:divBdr>
            <w:top w:val="none" w:sz="0" w:space="0" w:color="auto"/>
            <w:left w:val="none" w:sz="0" w:space="0" w:color="auto"/>
            <w:bottom w:val="none" w:sz="0" w:space="0" w:color="auto"/>
            <w:right w:val="none" w:sz="0" w:space="0" w:color="auto"/>
          </w:divBdr>
          <w:divsChild>
            <w:div w:id="1706563415">
              <w:marLeft w:val="0"/>
              <w:marRight w:val="0"/>
              <w:marTop w:val="0"/>
              <w:marBottom w:val="0"/>
              <w:divBdr>
                <w:top w:val="none" w:sz="0" w:space="0" w:color="auto"/>
                <w:left w:val="none" w:sz="0" w:space="0" w:color="auto"/>
                <w:bottom w:val="none" w:sz="0" w:space="0" w:color="auto"/>
                <w:right w:val="none" w:sz="0" w:space="0" w:color="auto"/>
              </w:divBdr>
              <w:divsChild>
                <w:div w:id="1706563338">
                  <w:marLeft w:val="0"/>
                  <w:marRight w:val="1"/>
                  <w:marTop w:val="0"/>
                  <w:marBottom w:val="0"/>
                  <w:divBdr>
                    <w:top w:val="none" w:sz="0" w:space="0" w:color="auto"/>
                    <w:left w:val="none" w:sz="0" w:space="0" w:color="auto"/>
                    <w:bottom w:val="none" w:sz="0" w:space="0" w:color="auto"/>
                    <w:right w:val="none" w:sz="0" w:space="0" w:color="auto"/>
                  </w:divBdr>
                  <w:divsChild>
                    <w:div w:id="1706563372">
                      <w:marLeft w:val="0"/>
                      <w:marRight w:val="0"/>
                      <w:marTop w:val="0"/>
                      <w:marBottom w:val="0"/>
                      <w:divBdr>
                        <w:top w:val="none" w:sz="0" w:space="0" w:color="auto"/>
                        <w:left w:val="none" w:sz="0" w:space="0" w:color="auto"/>
                        <w:bottom w:val="none" w:sz="0" w:space="0" w:color="auto"/>
                        <w:right w:val="none" w:sz="0" w:space="0" w:color="auto"/>
                      </w:divBdr>
                      <w:divsChild>
                        <w:div w:id="1706563297">
                          <w:marLeft w:val="0"/>
                          <w:marRight w:val="0"/>
                          <w:marTop w:val="0"/>
                          <w:marBottom w:val="0"/>
                          <w:divBdr>
                            <w:top w:val="none" w:sz="0" w:space="0" w:color="auto"/>
                            <w:left w:val="none" w:sz="0" w:space="0" w:color="auto"/>
                            <w:bottom w:val="none" w:sz="0" w:space="0" w:color="auto"/>
                            <w:right w:val="none" w:sz="0" w:space="0" w:color="auto"/>
                          </w:divBdr>
                          <w:divsChild>
                            <w:div w:id="1706563279">
                              <w:marLeft w:val="0"/>
                              <w:marRight w:val="0"/>
                              <w:marTop w:val="120"/>
                              <w:marBottom w:val="360"/>
                              <w:divBdr>
                                <w:top w:val="none" w:sz="0" w:space="0" w:color="auto"/>
                                <w:left w:val="none" w:sz="0" w:space="0" w:color="auto"/>
                                <w:bottom w:val="none" w:sz="0" w:space="0" w:color="auto"/>
                                <w:right w:val="none" w:sz="0" w:space="0" w:color="auto"/>
                              </w:divBdr>
                              <w:divsChild>
                                <w:div w:id="1706563364">
                                  <w:marLeft w:val="0"/>
                                  <w:marRight w:val="0"/>
                                  <w:marTop w:val="0"/>
                                  <w:marBottom w:val="0"/>
                                  <w:divBdr>
                                    <w:top w:val="none" w:sz="0" w:space="0" w:color="auto"/>
                                    <w:left w:val="none" w:sz="0" w:space="0" w:color="auto"/>
                                    <w:bottom w:val="none" w:sz="0" w:space="0" w:color="auto"/>
                                    <w:right w:val="none" w:sz="0" w:space="0" w:color="auto"/>
                                  </w:divBdr>
                                </w:div>
                                <w:div w:id="170656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3304">
                          <w:marLeft w:val="0"/>
                          <w:marRight w:val="0"/>
                          <w:marTop w:val="0"/>
                          <w:marBottom w:val="0"/>
                          <w:divBdr>
                            <w:top w:val="none" w:sz="0" w:space="0" w:color="auto"/>
                            <w:left w:val="none" w:sz="0" w:space="0" w:color="auto"/>
                            <w:bottom w:val="none" w:sz="0" w:space="0" w:color="auto"/>
                            <w:right w:val="none" w:sz="0" w:space="0" w:color="auto"/>
                          </w:divBdr>
                          <w:divsChild>
                            <w:div w:id="170656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563416">
      <w:marLeft w:val="0"/>
      <w:marRight w:val="0"/>
      <w:marTop w:val="0"/>
      <w:marBottom w:val="0"/>
      <w:divBdr>
        <w:top w:val="none" w:sz="0" w:space="0" w:color="auto"/>
        <w:left w:val="none" w:sz="0" w:space="0" w:color="auto"/>
        <w:bottom w:val="none" w:sz="0" w:space="0" w:color="auto"/>
        <w:right w:val="none" w:sz="0" w:space="0" w:color="auto"/>
      </w:divBdr>
      <w:divsChild>
        <w:div w:id="1706563318">
          <w:marLeft w:val="0"/>
          <w:marRight w:val="0"/>
          <w:marTop w:val="34"/>
          <w:marBottom w:val="34"/>
          <w:divBdr>
            <w:top w:val="none" w:sz="0" w:space="0" w:color="auto"/>
            <w:left w:val="none" w:sz="0" w:space="0" w:color="auto"/>
            <w:bottom w:val="none" w:sz="0" w:space="0" w:color="auto"/>
            <w:right w:val="none" w:sz="0" w:space="0" w:color="auto"/>
          </w:divBdr>
        </w:div>
      </w:divsChild>
    </w:div>
    <w:div w:id="1706563418">
      <w:marLeft w:val="0"/>
      <w:marRight w:val="0"/>
      <w:marTop w:val="0"/>
      <w:marBottom w:val="0"/>
      <w:divBdr>
        <w:top w:val="none" w:sz="0" w:space="0" w:color="auto"/>
        <w:left w:val="none" w:sz="0" w:space="0" w:color="auto"/>
        <w:bottom w:val="none" w:sz="0" w:space="0" w:color="auto"/>
        <w:right w:val="none" w:sz="0" w:space="0" w:color="auto"/>
      </w:divBdr>
    </w:div>
    <w:div w:id="1706563421">
      <w:marLeft w:val="0"/>
      <w:marRight w:val="0"/>
      <w:marTop w:val="0"/>
      <w:marBottom w:val="0"/>
      <w:divBdr>
        <w:top w:val="none" w:sz="0" w:space="0" w:color="auto"/>
        <w:left w:val="none" w:sz="0" w:space="0" w:color="auto"/>
        <w:bottom w:val="none" w:sz="0" w:space="0" w:color="auto"/>
        <w:right w:val="none" w:sz="0" w:space="0" w:color="auto"/>
      </w:divBdr>
    </w:div>
    <w:div w:id="1706563423">
      <w:marLeft w:val="0"/>
      <w:marRight w:val="0"/>
      <w:marTop w:val="0"/>
      <w:marBottom w:val="0"/>
      <w:divBdr>
        <w:top w:val="none" w:sz="0" w:space="0" w:color="auto"/>
        <w:left w:val="none" w:sz="0" w:space="0" w:color="auto"/>
        <w:bottom w:val="none" w:sz="0" w:space="0" w:color="auto"/>
        <w:right w:val="none" w:sz="0" w:space="0" w:color="auto"/>
      </w:divBdr>
      <w:divsChild>
        <w:div w:id="1706563390">
          <w:marLeft w:val="0"/>
          <w:marRight w:val="0"/>
          <w:marTop w:val="0"/>
          <w:marBottom w:val="0"/>
          <w:divBdr>
            <w:top w:val="none" w:sz="0" w:space="0" w:color="auto"/>
            <w:left w:val="none" w:sz="0" w:space="0" w:color="auto"/>
            <w:bottom w:val="none" w:sz="0" w:space="0" w:color="auto"/>
            <w:right w:val="none" w:sz="0" w:space="0" w:color="auto"/>
          </w:divBdr>
          <w:divsChild>
            <w:div w:id="1706563287">
              <w:marLeft w:val="0"/>
              <w:marRight w:val="0"/>
              <w:marTop w:val="0"/>
              <w:marBottom w:val="0"/>
              <w:divBdr>
                <w:top w:val="none" w:sz="0" w:space="0" w:color="auto"/>
                <w:left w:val="none" w:sz="0" w:space="0" w:color="auto"/>
                <w:bottom w:val="none" w:sz="0" w:space="0" w:color="auto"/>
                <w:right w:val="none" w:sz="0" w:space="0" w:color="auto"/>
              </w:divBdr>
              <w:divsChild>
                <w:div w:id="1706563280">
                  <w:marLeft w:val="0"/>
                  <w:marRight w:val="0"/>
                  <w:marTop w:val="0"/>
                  <w:marBottom w:val="0"/>
                  <w:divBdr>
                    <w:top w:val="none" w:sz="0" w:space="0" w:color="auto"/>
                    <w:left w:val="none" w:sz="0" w:space="0" w:color="auto"/>
                    <w:bottom w:val="none" w:sz="0" w:space="0" w:color="auto"/>
                    <w:right w:val="none" w:sz="0" w:space="0" w:color="auto"/>
                  </w:divBdr>
                  <w:divsChild>
                    <w:div w:id="1706563366">
                      <w:marLeft w:val="0"/>
                      <w:marRight w:val="0"/>
                      <w:marTop w:val="0"/>
                      <w:marBottom w:val="0"/>
                      <w:divBdr>
                        <w:top w:val="none" w:sz="0" w:space="0" w:color="auto"/>
                        <w:left w:val="none" w:sz="0" w:space="0" w:color="auto"/>
                        <w:bottom w:val="none" w:sz="0" w:space="0" w:color="auto"/>
                        <w:right w:val="none" w:sz="0" w:space="0" w:color="auto"/>
                      </w:divBdr>
                      <w:divsChild>
                        <w:div w:id="1706563349">
                          <w:marLeft w:val="0"/>
                          <w:marRight w:val="0"/>
                          <w:marTop w:val="0"/>
                          <w:marBottom w:val="0"/>
                          <w:divBdr>
                            <w:top w:val="none" w:sz="0" w:space="0" w:color="auto"/>
                            <w:left w:val="none" w:sz="0" w:space="0" w:color="auto"/>
                            <w:bottom w:val="none" w:sz="0" w:space="0" w:color="auto"/>
                            <w:right w:val="none" w:sz="0" w:space="0" w:color="auto"/>
                          </w:divBdr>
                          <w:divsChild>
                            <w:div w:id="1706563352">
                              <w:marLeft w:val="0"/>
                              <w:marRight w:val="0"/>
                              <w:marTop w:val="0"/>
                              <w:marBottom w:val="0"/>
                              <w:divBdr>
                                <w:top w:val="none" w:sz="0" w:space="0" w:color="auto"/>
                                <w:left w:val="none" w:sz="0" w:space="0" w:color="auto"/>
                                <w:bottom w:val="none" w:sz="0" w:space="0" w:color="auto"/>
                                <w:right w:val="none" w:sz="0" w:space="0" w:color="auto"/>
                              </w:divBdr>
                              <w:divsChild>
                                <w:div w:id="1706563312">
                                  <w:marLeft w:val="-150"/>
                                  <w:marRight w:val="-150"/>
                                  <w:marTop w:val="0"/>
                                  <w:marBottom w:val="0"/>
                                  <w:divBdr>
                                    <w:top w:val="none" w:sz="0" w:space="0" w:color="auto"/>
                                    <w:left w:val="none" w:sz="0" w:space="0" w:color="auto"/>
                                    <w:bottom w:val="none" w:sz="0" w:space="0" w:color="auto"/>
                                    <w:right w:val="none" w:sz="0" w:space="0" w:color="auto"/>
                                  </w:divBdr>
                                  <w:divsChild>
                                    <w:div w:id="1706563302">
                                      <w:marLeft w:val="0"/>
                                      <w:marRight w:val="0"/>
                                      <w:marTop w:val="0"/>
                                      <w:marBottom w:val="0"/>
                                      <w:divBdr>
                                        <w:top w:val="none" w:sz="0" w:space="0" w:color="auto"/>
                                        <w:left w:val="none" w:sz="0" w:space="0" w:color="auto"/>
                                        <w:bottom w:val="none" w:sz="0" w:space="0" w:color="auto"/>
                                        <w:right w:val="none" w:sz="0" w:space="0" w:color="auto"/>
                                      </w:divBdr>
                                      <w:divsChild>
                                        <w:div w:id="1706563412">
                                          <w:marLeft w:val="0"/>
                                          <w:marRight w:val="0"/>
                                          <w:marTop w:val="0"/>
                                          <w:marBottom w:val="0"/>
                                          <w:divBdr>
                                            <w:top w:val="none" w:sz="0" w:space="0" w:color="auto"/>
                                            <w:left w:val="none" w:sz="0" w:space="0" w:color="auto"/>
                                            <w:bottom w:val="none" w:sz="0" w:space="0" w:color="auto"/>
                                            <w:right w:val="none" w:sz="0" w:space="0" w:color="auto"/>
                                          </w:divBdr>
                                          <w:divsChild>
                                            <w:div w:id="1706563414">
                                              <w:marLeft w:val="-150"/>
                                              <w:marRight w:val="-150"/>
                                              <w:marTop w:val="0"/>
                                              <w:marBottom w:val="0"/>
                                              <w:divBdr>
                                                <w:top w:val="none" w:sz="0" w:space="0" w:color="auto"/>
                                                <w:left w:val="none" w:sz="0" w:space="0" w:color="auto"/>
                                                <w:bottom w:val="none" w:sz="0" w:space="0" w:color="auto"/>
                                                <w:right w:val="none" w:sz="0" w:space="0" w:color="auto"/>
                                              </w:divBdr>
                                              <w:divsChild>
                                                <w:div w:id="1706563288">
                                                  <w:marLeft w:val="0"/>
                                                  <w:marRight w:val="0"/>
                                                  <w:marTop w:val="0"/>
                                                  <w:marBottom w:val="0"/>
                                                  <w:divBdr>
                                                    <w:top w:val="none" w:sz="0" w:space="0" w:color="auto"/>
                                                    <w:left w:val="none" w:sz="0" w:space="0" w:color="auto"/>
                                                    <w:bottom w:val="none" w:sz="0" w:space="0" w:color="auto"/>
                                                    <w:right w:val="none" w:sz="0" w:space="0" w:color="auto"/>
                                                  </w:divBdr>
                                                  <w:divsChild>
                                                    <w:div w:id="1706563328">
                                                      <w:marLeft w:val="0"/>
                                                      <w:marRight w:val="0"/>
                                                      <w:marTop w:val="0"/>
                                                      <w:marBottom w:val="0"/>
                                                      <w:divBdr>
                                                        <w:top w:val="none" w:sz="0" w:space="0" w:color="auto"/>
                                                        <w:left w:val="none" w:sz="0" w:space="0" w:color="auto"/>
                                                        <w:bottom w:val="none" w:sz="0" w:space="0" w:color="auto"/>
                                                        <w:right w:val="none" w:sz="0" w:space="0" w:color="auto"/>
                                                      </w:divBdr>
                                                      <w:divsChild>
                                                        <w:div w:id="1706563353">
                                                          <w:marLeft w:val="0"/>
                                                          <w:marRight w:val="0"/>
                                                          <w:marTop w:val="0"/>
                                                          <w:marBottom w:val="0"/>
                                                          <w:divBdr>
                                                            <w:top w:val="none" w:sz="0" w:space="0" w:color="auto"/>
                                                            <w:left w:val="none" w:sz="0" w:space="0" w:color="auto"/>
                                                            <w:bottom w:val="none" w:sz="0" w:space="0" w:color="auto"/>
                                                            <w:right w:val="none" w:sz="0" w:space="0" w:color="auto"/>
                                                          </w:divBdr>
                                                          <w:divsChild>
                                                            <w:div w:id="1706563398">
                                                              <w:marLeft w:val="0"/>
                                                              <w:marRight w:val="0"/>
                                                              <w:marTop w:val="0"/>
                                                              <w:marBottom w:val="0"/>
                                                              <w:divBdr>
                                                                <w:top w:val="none" w:sz="0" w:space="0" w:color="auto"/>
                                                                <w:left w:val="none" w:sz="0" w:space="0" w:color="auto"/>
                                                                <w:bottom w:val="none" w:sz="0" w:space="0" w:color="auto"/>
                                                                <w:right w:val="none" w:sz="0" w:space="0" w:color="auto"/>
                                                              </w:divBdr>
                                                              <w:divsChild>
                                                                <w:div w:id="17065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6563424">
      <w:marLeft w:val="0"/>
      <w:marRight w:val="0"/>
      <w:marTop w:val="0"/>
      <w:marBottom w:val="0"/>
      <w:divBdr>
        <w:top w:val="none" w:sz="0" w:space="0" w:color="auto"/>
        <w:left w:val="none" w:sz="0" w:space="0" w:color="auto"/>
        <w:bottom w:val="none" w:sz="0" w:space="0" w:color="auto"/>
        <w:right w:val="none" w:sz="0" w:space="0" w:color="auto"/>
      </w:divBdr>
    </w:div>
    <w:div w:id="1706563425">
      <w:marLeft w:val="0"/>
      <w:marRight w:val="0"/>
      <w:marTop w:val="0"/>
      <w:marBottom w:val="0"/>
      <w:divBdr>
        <w:top w:val="none" w:sz="0" w:space="0" w:color="auto"/>
        <w:left w:val="none" w:sz="0" w:space="0" w:color="auto"/>
        <w:bottom w:val="none" w:sz="0" w:space="0" w:color="auto"/>
        <w:right w:val="none" w:sz="0" w:space="0" w:color="auto"/>
      </w:divBdr>
    </w:div>
    <w:div w:id="1706563426">
      <w:marLeft w:val="0"/>
      <w:marRight w:val="0"/>
      <w:marTop w:val="0"/>
      <w:marBottom w:val="0"/>
      <w:divBdr>
        <w:top w:val="none" w:sz="0" w:space="0" w:color="auto"/>
        <w:left w:val="none" w:sz="0" w:space="0" w:color="auto"/>
        <w:bottom w:val="none" w:sz="0" w:space="0" w:color="auto"/>
        <w:right w:val="none" w:sz="0" w:space="0" w:color="auto"/>
      </w:divBdr>
    </w:div>
    <w:div w:id="1706563427">
      <w:marLeft w:val="0"/>
      <w:marRight w:val="0"/>
      <w:marTop w:val="0"/>
      <w:marBottom w:val="0"/>
      <w:divBdr>
        <w:top w:val="none" w:sz="0" w:space="0" w:color="auto"/>
        <w:left w:val="none" w:sz="0" w:space="0" w:color="auto"/>
        <w:bottom w:val="none" w:sz="0" w:space="0" w:color="auto"/>
        <w:right w:val="none" w:sz="0" w:space="0" w:color="auto"/>
      </w:divBdr>
    </w:div>
    <w:div w:id="1706563428">
      <w:marLeft w:val="0"/>
      <w:marRight w:val="0"/>
      <w:marTop w:val="0"/>
      <w:marBottom w:val="0"/>
      <w:divBdr>
        <w:top w:val="none" w:sz="0" w:space="0" w:color="auto"/>
        <w:left w:val="none" w:sz="0" w:space="0" w:color="auto"/>
        <w:bottom w:val="none" w:sz="0" w:space="0" w:color="auto"/>
        <w:right w:val="none" w:sz="0" w:space="0" w:color="auto"/>
      </w:divBdr>
    </w:div>
    <w:div w:id="1706563429">
      <w:marLeft w:val="0"/>
      <w:marRight w:val="0"/>
      <w:marTop w:val="0"/>
      <w:marBottom w:val="0"/>
      <w:divBdr>
        <w:top w:val="none" w:sz="0" w:space="0" w:color="auto"/>
        <w:left w:val="none" w:sz="0" w:space="0" w:color="auto"/>
        <w:bottom w:val="none" w:sz="0" w:space="0" w:color="auto"/>
        <w:right w:val="none" w:sz="0" w:space="0" w:color="auto"/>
      </w:divBdr>
    </w:div>
    <w:div w:id="1706563430">
      <w:marLeft w:val="0"/>
      <w:marRight w:val="0"/>
      <w:marTop w:val="0"/>
      <w:marBottom w:val="0"/>
      <w:divBdr>
        <w:top w:val="none" w:sz="0" w:space="0" w:color="auto"/>
        <w:left w:val="none" w:sz="0" w:space="0" w:color="auto"/>
        <w:bottom w:val="none" w:sz="0" w:space="0" w:color="auto"/>
        <w:right w:val="none" w:sz="0" w:space="0" w:color="auto"/>
      </w:divBdr>
    </w:div>
    <w:div w:id="1706563431">
      <w:marLeft w:val="0"/>
      <w:marRight w:val="0"/>
      <w:marTop w:val="0"/>
      <w:marBottom w:val="0"/>
      <w:divBdr>
        <w:top w:val="none" w:sz="0" w:space="0" w:color="auto"/>
        <w:left w:val="none" w:sz="0" w:space="0" w:color="auto"/>
        <w:bottom w:val="none" w:sz="0" w:space="0" w:color="auto"/>
        <w:right w:val="none" w:sz="0" w:space="0" w:color="auto"/>
      </w:divBdr>
    </w:div>
    <w:div w:id="1706563432">
      <w:marLeft w:val="0"/>
      <w:marRight w:val="0"/>
      <w:marTop w:val="0"/>
      <w:marBottom w:val="0"/>
      <w:divBdr>
        <w:top w:val="none" w:sz="0" w:space="0" w:color="auto"/>
        <w:left w:val="none" w:sz="0" w:space="0" w:color="auto"/>
        <w:bottom w:val="none" w:sz="0" w:space="0" w:color="auto"/>
        <w:right w:val="none" w:sz="0" w:space="0" w:color="auto"/>
      </w:divBdr>
    </w:div>
    <w:div w:id="1706563446">
      <w:marLeft w:val="0"/>
      <w:marRight w:val="0"/>
      <w:marTop w:val="0"/>
      <w:marBottom w:val="0"/>
      <w:divBdr>
        <w:top w:val="none" w:sz="0" w:space="0" w:color="auto"/>
        <w:left w:val="none" w:sz="0" w:space="0" w:color="auto"/>
        <w:bottom w:val="none" w:sz="0" w:space="0" w:color="auto"/>
        <w:right w:val="none" w:sz="0" w:space="0" w:color="auto"/>
      </w:divBdr>
    </w:div>
    <w:div w:id="1706563450">
      <w:marLeft w:val="0"/>
      <w:marRight w:val="0"/>
      <w:marTop w:val="0"/>
      <w:marBottom w:val="0"/>
      <w:divBdr>
        <w:top w:val="none" w:sz="0" w:space="0" w:color="auto"/>
        <w:left w:val="none" w:sz="0" w:space="0" w:color="auto"/>
        <w:bottom w:val="none" w:sz="0" w:space="0" w:color="auto"/>
        <w:right w:val="none" w:sz="0" w:space="0" w:color="auto"/>
      </w:divBdr>
    </w:div>
    <w:div w:id="1706563451">
      <w:marLeft w:val="0"/>
      <w:marRight w:val="0"/>
      <w:marTop w:val="0"/>
      <w:marBottom w:val="0"/>
      <w:divBdr>
        <w:top w:val="none" w:sz="0" w:space="0" w:color="auto"/>
        <w:left w:val="none" w:sz="0" w:space="0" w:color="auto"/>
        <w:bottom w:val="none" w:sz="0" w:space="0" w:color="auto"/>
        <w:right w:val="none" w:sz="0" w:space="0" w:color="auto"/>
      </w:divBdr>
    </w:div>
    <w:div w:id="1706563467">
      <w:marLeft w:val="0"/>
      <w:marRight w:val="0"/>
      <w:marTop w:val="0"/>
      <w:marBottom w:val="0"/>
      <w:divBdr>
        <w:top w:val="none" w:sz="0" w:space="0" w:color="auto"/>
        <w:left w:val="none" w:sz="0" w:space="0" w:color="auto"/>
        <w:bottom w:val="none" w:sz="0" w:space="0" w:color="auto"/>
        <w:right w:val="none" w:sz="0" w:space="0" w:color="auto"/>
      </w:divBdr>
    </w:div>
    <w:div w:id="1706563469">
      <w:marLeft w:val="0"/>
      <w:marRight w:val="0"/>
      <w:marTop w:val="0"/>
      <w:marBottom w:val="0"/>
      <w:divBdr>
        <w:top w:val="none" w:sz="0" w:space="0" w:color="auto"/>
        <w:left w:val="none" w:sz="0" w:space="0" w:color="auto"/>
        <w:bottom w:val="none" w:sz="0" w:space="0" w:color="auto"/>
        <w:right w:val="none" w:sz="0" w:space="0" w:color="auto"/>
      </w:divBdr>
      <w:divsChild>
        <w:div w:id="1706563481">
          <w:marLeft w:val="0"/>
          <w:marRight w:val="1"/>
          <w:marTop w:val="0"/>
          <w:marBottom w:val="0"/>
          <w:divBdr>
            <w:top w:val="none" w:sz="0" w:space="0" w:color="auto"/>
            <w:left w:val="none" w:sz="0" w:space="0" w:color="auto"/>
            <w:bottom w:val="none" w:sz="0" w:space="0" w:color="auto"/>
            <w:right w:val="none" w:sz="0" w:space="0" w:color="auto"/>
          </w:divBdr>
          <w:divsChild>
            <w:div w:id="1706563498">
              <w:marLeft w:val="0"/>
              <w:marRight w:val="0"/>
              <w:marTop w:val="0"/>
              <w:marBottom w:val="0"/>
              <w:divBdr>
                <w:top w:val="none" w:sz="0" w:space="0" w:color="auto"/>
                <w:left w:val="none" w:sz="0" w:space="0" w:color="auto"/>
                <w:bottom w:val="none" w:sz="0" w:space="0" w:color="auto"/>
                <w:right w:val="none" w:sz="0" w:space="0" w:color="auto"/>
              </w:divBdr>
              <w:divsChild>
                <w:div w:id="1706563525">
                  <w:marLeft w:val="0"/>
                  <w:marRight w:val="1"/>
                  <w:marTop w:val="0"/>
                  <w:marBottom w:val="0"/>
                  <w:divBdr>
                    <w:top w:val="none" w:sz="0" w:space="0" w:color="auto"/>
                    <w:left w:val="none" w:sz="0" w:space="0" w:color="auto"/>
                    <w:bottom w:val="none" w:sz="0" w:space="0" w:color="auto"/>
                    <w:right w:val="none" w:sz="0" w:space="0" w:color="auto"/>
                  </w:divBdr>
                  <w:divsChild>
                    <w:div w:id="1706563549">
                      <w:marLeft w:val="0"/>
                      <w:marRight w:val="0"/>
                      <w:marTop w:val="0"/>
                      <w:marBottom w:val="0"/>
                      <w:divBdr>
                        <w:top w:val="none" w:sz="0" w:space="0" w:color="auto"/>
                        <w:left w:val="none" w:sz="0" w:space="0" w:color="auto"/>
                        <w:bottom w:val="none" w:sz="0" w:space="0" w:color="auto"/>
                        <w:right w:val="none" w:sz="0" w:space="0" w:color="auto"/>
                      </w:divBdr>
                      <w:divsChild>
                        <w:div w:id="1706563536">
                          <w:marLeft w:val="0"/>
                          <w:marRight w:val="0"/>
                          <w:marTop w:val="0"/>
                          <w:marBottom w:val="0"/>
                          <w:divBdr>
                            <w:top w:val="none" w:sz="0" w:space="0" w:color="auto"/>
                            <w:left w:val="none" w:sz="0" w:space="0" w:color="auto"/>
                            <w:bottom w:val="none" w:sz="0" w:space="0" w:color="auto"/>
                            <w:right w:val="none" w:sz="0" w:space="0" w:color="auto"/>
                          </w:divBdr>
                          <w:divsChild>
                            <w:div w:id="1706563543">
                              <w:marLeft w:val="0"/>
                              <w:marRight w:val="0"/>
                              <w:marTop w:val="120"/>
                              <w:marBottom w:val="360"/>
                              <w:divBdr>
                                <w:top w:val="none" w:sz="0" w:space="0" w:color="auto"/>
                                <w:left w:val="none" w:sz="0" w:space="0" w:color="auto"/>
                                <w:bottom w:val="none" w:sz="0" w:space="0" w:color="auto"/>
                                <w:right w:val="none" w:sz="0" w:space="0" w:color="auto"/>
                              </w:divBdr>
                              <w:divsChild>
                                <w:div w:id="1706563565">
                                  <w:marLeft w:val="0"/>
                                  <w:marRight w:val="0"/>
                                  <w:marTop w:val="0"/>
                                  <w:marBottom w:val="0"/>
                                  <w:divBdr>
                                    <w:top w:val="none" w:sz="0" w:space="0" w:color="auto"/>
                                    <w:left w:val="none" w:sz="0" w:space="0" w:color="auto"/>
                                    <w:bottom w:val="none" w:sz="0" w:space="0" w:color="auto"/>
                                    <w:right w:val="none" w:sz="0" w:space="0" w:color="auto"/>
                                  </w:divBdr>
                                  <w:divsChild>
                                    <w:div w:id="170656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6563471">
      <w:marLeft w:val="0"/>
      <w:marRight w:val="0"/>
      <w:marTop w:val="0"/>
      <w:marBottom w:val="0"/>
      <w:divBdr>
        <w:top w:val="none" w:sz="0" w:space="0" w:color="auto"/>
        <w:left w:val="none" w:sz="0" w:space="0" w:color="auto"/>
        <w:bottom w:val="none" w:sz="0" w:space="0" w:color="auto"/>
        <w:right w:val="none" w:sz="0" w:space="0" w:color="auto"/>
      </w:divBdr>
    </w:div>
    <w:div w:id="1706563477">
      <w:marLeft w:val="0"/>
      <w:marRight w:val="0"/>
      <w:marTop w:val="0"/>
      <w:marBottom w:val="0"/>
      <w:divBdr>
        <w:top w:val="none" w:sz="0" w:space="0" w:color="auto"/>
        <w:left w:val="none" w:sz="0" w:space="0" w:color="auto"/>
        <w:bottom w:val="none" w:sz="0" w:space="0" w:color="auto"/>
        <w:right w:val="none" w:sz="0" w:space="0" w:color="auto"/>
      </w:divBdr>
    </w:div>
    <w:div w:id="1706563478">
      <w:marLeft w:val="0"/>
      <w:marRight w:val="0"/>
      <w:marTop w:val="0"/>
      <w:marBottom w:val="0"/>
      <w:divBdr>
        <w:top w:val="none" w:sz="0" w:space="0" w:color="auto"/>
        <w:left w:val="none" w:sz="0" w:space="0" w:color="auto"/>
        <w:bottom w:val="none" w:sz="0" w:space="0" w:color="auto"/>
        <w:right w:val="none" w:sz="0" w:space="0" w:color="auto"/>
      </w:divBdr>
    </w:div>
    <w:div w:id="1706563496">
      <w:marLeft w:val="0"/>
      <w:marRight w:val="0"/>
      <w:marTop w:val="0"/>
      <w:marBottom w:val="0"/>
      <w:divBdr>
        <w:top w:val="none" w:sz="0" w:space="0" w:color="auto"/>
        <w:left w:val="none" w:sz="0" w:space="0" w:color="auto"/>
        <w:bottom w:val="none" w:sz="0" w:space="0" w:color="auto"/>
        <w:right w:val="none" w:sz="0" w:space="0" w:color="auto"/>
      </w:divBdr>
      <w:divsChild>
        <w:div w:id="1706563559">
          <w:marLeft w:val="0"/>
          <w:marRight w:val="1"/>
          <w:marTop w:val="0"/>
          <w:marBottom w:val="0"/>
          <w:divBdr>
            <w:top w:val="none" w:sz="0" w:space="0" w:color="auto"/>
            <w:left w:val="none" w:sz="0" w:space="0" w:color="auto"/>
            <w:bottom w:val="none" w:sz="0" w:space="0" w:color="auto"/>
            <w:right w:val="none" w:sz="0" w:space="0" w:color="auto"/>
          </w:divBdr>
          <w:divsChild>
            <w:div w:id="1706563533">
              <w:marLeft w:val="0"/>
              <w:marRight w:val="0"/>
              <w:marTop w:val="0"/>
              <w:marBottom w:val="0"/>
              <w:divBdr>
                <w:top w:val="none" w:sz="0" w:space="0" w:color="auto"/>
                <w:left w:val="none" w:sz="0" w:space="0" w:color="auto"/>
                <w:bottom w:val="none" w:sz="0" w:space="0" w:color="auto"/>
                <w:right w:val="none" w:sz="0" w:space="0" w:color="auto"/>
              </w:divBdr>
              <w:divsChild>
                <w:div w:id="1706563464">
                  <w:marLeft w:val="0"/>
                  <w:marRight w:val="1"/>
                  <w:marTop w:val="0"/>
                  <w:marBottom w:val="0"/>
                  <w:divBdr>
                    <w:top w:val="none" w:sz="0" w:space="0" w:color="auto"/>
                    <w:left w:val="none" w:sz="0" w:space="0" w:color="auto"/>
                    <w:bottom w:val="none" w:sz="0" w:space="0" w:color="auto"/>
                    <w:right w:val="none" w:sz="0" w:space="0" w:color="auto"/>
                  </w:divBdr>
                  <w:divsChild>
                    <w:div w:id="1706563514">
                      <w:marLeft w:val="0"/>
                      <w:marRight w:val="0"/>
                      <w:marTop w:val="0"/>
                      <w:marBottom w:val="0"/>
                      <w:divBdr>
                        <w:top w:val="none" w:sz="0" w:space="0" w:color="auto"/>
                        <w:left w:val="none" w:sz="0" w:space="0" w:color="auto"/>
                        <w:bottom w:val="none" w:sz="0" w:space="0" w:color="auto"/>
                        <w:right w:val="none" w:sz="0" w:space="0" w:color="auto"/>
                      </w:divBdr>
                      <w:divsChild>
                        <w:div w:id="1706563530">
                          <w:marLeft w:val="0"/>
                          <w:marRight w:val="0"/>
                          <w:marTop w:val="0"/>
                          <w:marBottom w:val="0"/>
                          <w:divBdr>
                            <w:top w:val="none" w:sz="0" w:space="0" w:color="auto"/>
                            <w:left w:val="none" w:sz="0" w:space="0" w:color="auto"/>
                            <w:bottom w:val="none" w:sz="0" w:space="0" w:color="auto"/>
                            <w:right w:val="none" w:sz="0" w:space="0" w:color="auto"/>
                          </w:divBdr>
                          <w:divsChild>
                            <w:div w:id="1706563547">
                              <w:marLeft w:val="0"/>
                              <w:marRight w:val="0"/>
                              <w:marTop w:val="120"/>
                              <w:marBottom w:val="360"/>
                              <w:divBdr>
                                <w:top w:val="none" w:sz="0" w:space="0" w:color="auto"/>
                                <w:left w:val="none" w:sz="0" w:space="0" w:color="auto"/>
                                <w:bottom w:val="none" w:sz="0" w:space="0" w:color="auto"/>
                                <w:right w:val="none" w:sz="0" w:space="0" w:color="auto"/>
                              </w:divBdr>
                              <w:divsChild>
                                <w:div w:id="1706563452">
                                  <w:marLeft w:val="0"/>
                                  <w:marRight w:val="0"/>
                                  <w:marTop w:val="0"/>
                                  <w:marBottom w:val="0"/>
                                  <w:divBdr>
                                    <w:top w:val="none" w:sz="0" w:space="0" w:color="auto"/>
                                    <w:left w:val="none" w:sz="0" w:space="0" w:color="auto"/>
                                    <w:bottom w:val="none" w:sz="0" w:space="0" w:color="auto"/>
                                    <w:right w:val="none" w:sz="0" w:space="0" w:color="auto"/>
                                  </w:divBdr>
                                </w:div>
                                <w:div w:id="170656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563501">
      <w:marLeft w:val="0"/>
      <w:marRight w:val="0"/>
      <w:marTop w:val="0"/>
      <w:marBottom w:val="0"/>
      <w:divBdr>
        <w:top w:val="none" w:sz="0" w:space="0" w:color="auto"/>
        <w:left w:val="none" w:sz="0" w:space="0" w:color="auto"/>
        <w:bottom w:val="none" w:sz="0" w:space="0" w:color="auto"/>
        <w:right w:val="none" w:sz="0" w:space="0" w:color="auto"/>
      </w:divBdr>
    </w:div>
    <w:div w:id="1706563503">
      <w:marLeft w:val="0"/>
      <w:marRight w:val="0"/>
      <w:marTop w:val="0"/>
      <w:marBottom w:val="0"/>
      <w:divBdr>
        <w:top w:val="none" w:sz="0" w:space="0" w:color="auto"/>
        <w:left w:val="none" w:sz="0" w:space="0" w:color="auto"/>
        <w:bottom w:val="none" w:sz="0" w:space="0" w:color="auto"/>
        <w:right w:val="none" w:sz="0" w:space="0" w:color="auto"/>
      </w:divBdr>
      <w:divsChild>
        <w:div w:id="1706563470">
          <w:marLeft w:val="0"/>
          <w:marRight w:val="0"/>
          <w:marTop w:val="0"/>
          <w:marBottom w:val="0"/>
          <w:divBdr>
            <w:top w:val="none" w:sz="0" w:space="0" w:color="auto"/>
            <w:left w:val="none" w:sz="0" w:space="0" w:color="auto"/>
            <w:bottom w:val="none" w:sz="0" w:space="0" w:color="auto"/>
            <w:right w:val="none" w:sz="0" w:space="0" w:color="auto"/>
          </w:divBdr>
          <w:divsChild>
            <w:div w:id="1706563488">
              <w:marLeft w:val="0"/>
              <w:marRight w:val="0"/>
              <w:marTop w:val="0"/>
              <w:marBottom w:val="0"/>
              <w:divBdr>
                <w:top w:val="none" w:sz="0" w:space="0" w:color="auto"/>
                <w:left w:val="none" w:sz="0" w:space="0" w:color="auto"/>
                <w:bottom w:val="none" w:sz="0" w:space="0" w:color="auto"/>
                <w:right w:val="none" w:sz="0" w:space="0" w:color="auto"/>
              </w:divBdr>
              <w:divsChild>
                <w:div w:id="1706563539">
                  <w:marLeft w:val="0"/>
                  <w:marRight w:val="0"/>
                  <w:marTop w:val="0"/>
                  <w:marBottom w:val="0"/>
                  <w:divBdr>
                    <w:top w:val="none" w:sz="0" w:space="0" w:color="auto"/>
                    <w:left w:val="none" w:sz="0" w:space="0" w:color="auto"/>
                    <w:bottom w:val="none" w:sz="0" w:space="0" w:color="auto"/>
                    <w:right w:val="none" w:sz="0" w:space="0" w:color="auto"/>
                  </w:divBdr>
                  <w:divsChild>
                    <w:div w:id="1706563485">
                      <w:marLeft w:val="0"/>
                      <w:marRight w:val="0"/>
                      <w:marTop w:val="0"/>
                      <w:marBottom w:val="0"/>
                      <w:divBdr>
                        <w:top w:val="none" w:sz="0" w:space="0" w:color="auto"/>
                        <w:left w:val="none" w:sz="0" w:space="0" w:color="auto"/>
                        <w:bottom w:val="none" w:sz="0" w:space="0" w:color="auto"/>
                        <w:right w:val="none" w:sz="0" w:space="0" w:color="auto"/>
                      </w:divBdr>
                      <w:divsChild>
                        <w:div w:id="1706563457">
                          <w:marLeft w:val="0"/>
                          <w:marRight w:val="0"/>
                          <w:marTop w:val="0"/>
                          <w:marBottom w:val="0"/>
                          <w:divBdr>
                            <w:top w:val="none" w:sz="0" w:space="0" w:color="auto"/>
                            <w:left w:val="none" w:sz="0" w:space="0" w:color="auto"/>
                            <w:bottom w:val="none" w:sz="0" w:space="0" w:color="auto"/>
                            <w:right w:val="none" w:sz="0" w:space="0" w:color="auto"/>
                          </w:divBdr>
                          <w:divsChild>
                            <w:div w:id="1706563575">
                              <w:marLeft w:val="0"/>
                              <w:marRight w:val="0"/>
                              <w:marTop w:val="0"/>
                              <w:marBottom w:val="0"/>
                              <w:divBdr>
                                <w:top w:val="none" w:sz="0" w:space="0" w:color="auto"/>
                                <w:left w:val="none" w:sz="0" w:space="0" w:color="auto"/>
                                <w:bottom w:val="none" w:sz="0" w:space="0" w:color="auto"/>
                                <w:right w:val="none" w:sz="0" w:space="0" w:color="auto"/>
                              </w:divBdr>
                              <w:divsChild>
                                <w:div w:id="1706563531">
                                  <w:marLeft w:val="-150"/>
                                  <w:marRight w:val="-150"/>
                                  <w:marTop w:val="0"/>
                                  <w:marBottom w:val="0"/>
                                  <w:divBdr>
                                    <w:top w:val="none" w:sz="0" w:space="0" w:color="auto"/>
                                    <w:left w:val="none" w:sz="0" w:space="0" w:color="auto"/>
                                    <w:bottom w:val="none" w:sz="0" w:space="0" w:color="auto"/>
                                    <w:right w:val="none" w:sz="0" w:space="0" w:color="auto"/>
                                  </w:divBdr>
                                  <w:divsChild>
                                    <w:div w:id="1706563440">
                                      <w:marLeft w:val="0"/>
                                      <w:marRight w:val="0"/>
                                      <w:marTop w:val="0"/>
                                      <w:marBottom w:val="0"/>
                                      <w:divBdr>
                                        <w:top w:val="none" w:sz="0" w:space="0" w:color="auto"/>
                                        <w:left w:val="none" w:sz="0" w:space="0" w:color="auto"/>
                                        <w:bottom w:val="none" w:sz="0" w:space="0" w:color="auto"/>
                                        <w:right w:val="none" w:sz="0" w:space="0" w:color="auto"/>
                                      </w:divBdr>
                                      <w:divsChild>
                                        <w:div w:id="1706563521">
                                          <w:marLeft w:val="0"/>
                                          <w:marRight w:val="0"/>
                                          <w:marTop w:val="0"/>
                                          <w:marBottom w:val="0"/>
                                          <w:divBdr>
                                            <w:top w:val="none" w:sz="0" w:space="0" w:color="auto"/>
                                            <w:left w:val="none" w:sz="0" w:space="0" w:color="auto"/>
                                            <w:bottom w:val="none" w:sz="0" w:space="0" w:color="auto"/>
                                            <w:right w:val="none" w:sz="0" w:space="0" w:color="auto"/>
                                          </w:divBdr>
                                          <w:divsChild>
                                            <w:div w:id="1706563466">
                                              <w:marLeft w:val="-150"/>
                                              <w:marRight w:val="-150"/>
                                              <w:marTop w:val="0"/>
                                              <w:marBottom w:val="0"/>
                                              <w:divBdr>
                                                <w:top w:val="none" w:sz="0" w:space="0" w:color="auto"/>
                                                <w:left w:val="none" w:sz="0" w:space="0" w:color="auto"/>
                                                <w:bottom w:val="none" w:sz="0" w:space="0" w:color="auto"/>
                                                <w:right w:val="none" w:sz="0" w:space="0" w:color="auto"/>
                                              </w:divBdr>
                                              <w:divsChild>
                                                <w:div w:id="1706563548">
                                                  <w:marLeft w:val="0"/>
                                                  <w:marRight w:val="0"/>
                                                  <w:marTop w:val="0"/>
                                                  <w:marBottom w:val="0"/>
                                                  <w:divBdr>
                                                    <w:top w:val="none" w:sz="0" w:space="0" w:color="auto"/>
                                                    <w:left w:val="none" w:sz="0" w:space="0" w:color="auto"/>
                                                    <w:bottom w:val="none" w:sz="0" w:space="0" w:color="auto"/>
                                                    <w:right w:val="none" w:sz="0" w:space="0" w:color="auto"/>
                                                  </w:divBdr>
                                                  <w:divsChild>
                                                    <w:div w:id="1706563519">
                                                      <w:marLeft w:val="0"/>
                                                      <w:marRight w:val="0"/>
                                                      <w:marTop w:val="0"/>
                                                      <w:marBottom w:val="0"/>
                                                      <w:divBdr>
                                                        <w:top w:val="none" w:sz="0" w:space="0" w:color="auto"/>
                                                        <w:left w:val="none" w:sz="0" w:space="0" w:color="auto"/>
                                                        <w:bottom w:val="none" w:sz="0" w:space="0" w:color="auto"/>
                                                        <w:right w:val="none" w:sz="0" w:space="0" w:color="auto"/>
                                                      </w:divBdr>
                                                      <w:divsChild>
                                                        <w:div w:id="1706563480">
                                                          <w:marLeft w:val="0"/>
                                                          <w:marRight w:val="0"/>
                                                          <w:marTop w:val="0"/>
                                                          <w:marBottom w:val="0"/>
                                                          <w:divBdr>
                                                            <w:top w:val="none" w:sz="0" w:space="0" w:color="auto"/>
                                                            <w:left w:val="none" w:sz="0" w:space="0" w:color="auto"/>
                                                            <w:bottom w:val="none" w:sz="0" w:space="0" w:color="auto"/>
                                                            <w:right w:val="none" w:sz="0" w:space="0" w:color="auto"/>
                                                          </w:divBdr>
                                                          <w:divsChild>
                                                            <w:div w:id="1706563576">
                                                              <w:marLeft w:val="0"/>
                                                              <w:marRight w:val="0"/>
                                                              <w:marTop w:val="0"/>
                                                              <w:marBottom w:val="0"/>
                                                              <w:divBdr>
                                                                <w:top w:val="none" w:sz="0" w:space="0" w:color="auto"/>
                                                                <w:left w:val="none" w:sz="0" w:space="0" w:color="auto"/>
                                                                <w:bottom w:val="none" w:sz="0" w:space="0" w:color="auto"/>
                                                                <w:right w:val="none" w:sz="0" w:space="0" w:color="auto"/>
                                                              </w:divBdr>
                                                              <w:divsChild>
                                                                <w:div w:id="1706563473">
                                                                  <w:marLeft w:val="0"/>
                                                                  <w:marRight w:val="0"/>
                                                                  <w:marTop w:val="0"/>
                                                                  <w:marBottom w:val="0"/>
                                                                  <w:divBdr>
                                                                    <w:top w:val="none" w:sz="0" w:space="0" w:color="auto"/>
                                                                    <w:left w:val="none" w:sz="0" w:space="0" w:color="auto"/>
                                                                    <w:bottom w:val="none" w:sz="0" w:space="0" w:color="auto"/>
                                                                    <w:right w:val="none" w:sz="0" w:space="0" w:color="auto"/>
                                                                  </w:divBdr>
                                                                  <w:divsChild>
                                                                    <w:div w:id="1706563449">
                                                                      <w:marLeft w:val="0"/>
                                                                      <w:marRight w:val="0"/>
                                                                      <w:marTop w:val="0"/>
                                                                      <w:marBottom w:val="0"/>
                                                                      <w:divBdr>
                                                                        <w:top w:val="none" w:sz="0" w:space="0" w:color="auto"/>
                                                                        <w:left w:val="none" w:sz="0" w:space="0" w:color="auto"/>
                                                                        <w:bottom w:val="none" w:sz="0" w:space="0" w:color="auto"/>
                                                                        <w:right w:val="none" w:sz="0" w:space="0" w:color="auto"/>
                                                                      </w:divBdr>
                                                                      <w:divsChild>
                                                                        <w:div w:id="1706563441">
                                                                          <w:marLeft w:val="0"/>
                                                                          <w:marRight w:val="0"/>
                                                                          <w:marTop w:val="0"/>
                                                                          <w:marBottom w:val="0"/>
                                                                          <w:divBdr>
                                                                            <w:top w:val="none" w:sz="0" w:space="0" w:color="auto"/>
                                                                            <w:left w:val="none" w:sz="0" w:space="0" w:color="auto"/>
                                                                            <w:bottom w:val="none" w:sz="0" w:space="0" w:color="auto"/>
                                                                            <w:right w:val="none" w:sz="0" w:space="0" w:color="auto"/>
                                                                          </w:divBdr>
                                                                          <w:divsChild>
                                                                            <w:div w:id="1706563573">
                                                                              <w:marLeft w:val="0"/>
                                                                              <w:marRight w:val="0"/>
                                                                              <w:marTop w:val="0"/>
                                                                              <w:marBottom w:val="0"/>
                                                                              <w:divBdr>
                                                                                <w:top w:val="none" w:sz="0" w:space="0" w:color="auto"/>
                                                                                <w:left w:val="none" w:sz="0" w:space="0" w:color="auto"/>
                                                                                <w:bottom w:val="none" w:sz="0" w:space="0" w:color="auto"/>
                                                                                <w:right w:val="none" w:sz="0" w:space="0" w:color="auto"/>
                                                                              </w:divBdr>
                                                                            </w:div>
                                                                          </w:divsChild>
                                                                        </w:div>
                                                                        <w:div w:id="1706563445">
                                                                          <w:marLeft w:val="0"/>
                                                                          <w:marRight w:val="0"/>
                                                                          <w:marTop w:val="0"/>
                                                                          <w:marBottom w:val="0"/>
                                                                          <w:divBdr>
                                                                            <w:top w:val="none" w:sz="0" w:space="0" w:color="auto"/>
                                                                            <w:left w:val="none" w:sz="0" w:space="0" w:color="auto"/>
                                                                            <w:bottom w:val="none" w:sz="0" w:space="0" w:color="auto"/>
                                                                            <w:right w:val="none" w:sz="0" w:space="0" w:color="auto"/>
                                                                          </w:divBdr>
                                                                          <w:divsChild>
                                                                            <w:div w:id="1706563434">
                                                                              <w:marLeft w:val="0"/>
                                                                              <w:marRight w:val="0"/>
                                                                              <w:marTop w:val="0"/>
                                                                              <w:marBottom w:val="0"/>
                                                                              <w:divBdr>
                                                                                <w:top w:val="none" w:sz="0" w:space="0" w:color="auto"/>
                                                                                <w:left w:val="none" w:sz="0" w:space="0" w:color="auto"/>
                                                                                <w:bottom w:val="none" w:sz="0" w:space="0" w:color="auto"/>
                                                                                <w:right w:val="none" w:sz="0" w:space="0" w:color="auto"/>
                                                                              </w:divBdr>
                                                                            </w:div>
                                                                          </w:divsChild>
                                                                        </w:div>
                                                                        <w:div w:id="1706563448">
                                                                          <w:marLeft w:val="0"/>
                                                                          <w:marRight w:val="0"/>
                                                                          <w:marTop w:val="0"/>
                                                                          <w:marBottom w:val="0"/>
                                                                          <w:divBdr>
                                                                            <w:top w:val="none" w:sz="0" w:space="0" w:color="auto"/>
                                                                            <w:left w:val="none" w:sz="0" w:space="0" w:color="auto"/>
                                                                            <w:bottom w:val="none" w:sz="0" w:space="0" w:color="auto"/>
                                                                            <w:right w:val="none" w:sz="0" w:space="0" w:color="auto"/>
                                                                          </w:divBdr>
                                                                          <w:divsChild>
                                                                            <w:div w:id="1706563507">
                                                                              <w:marLeft w:val="0"/>
                                                                              <w:marRight w:val="0"/>
                                                                              <w:marTop w:val="0"/>
                                                                              <w:marBottom w:val="0"/>
                                                                              <w:divBdr>
                                                                                <w:top w:val="none" w:sz="0" w:space="0" w:color="auto"/>
                                                                                <w:left w:val="none" w:sz="0" w:space="0" w:color="auto"/>
                                                                                <w:bottom w:val="none" w:sz="0" w:space="0" w:color="auto"/>
                                                                                <w:right w:val="none" w:sz="0" w:space="0" w:color="auto"/>
                                                                              </w:divBdr>
                                                                            </w:div>
                                                                          </w:divsChild>
                                                                        </w:div>
                                                                        <w:div w:id="1706563479">
                                                                          <w:marLeft w:val="0"/>
                                                                          <w:marRight w:val="0"/>
                                                                          <w:marTop w:val="0"/>
                                                                          <w:marBottom w:val="0"/>
                                                                          <w:divBdr>
                                                                            <w:top w:val="none" w:sz="0" w:space="0" w:color="auto"/>
                                                                            <w:left w:val="none" w:sz="0" w:space="0" w:color="auto"/>
                                                                            <w:bottom w:val="none" w:sz="0" w:space="0" w:color="auto"/>
                                                                            <w:right w:val="none" w:sz="0" w:space="0" w:color="auto"/>
                                                                          </w:divBdr>
                                                                          <w:divsChild>
                                                                            <w:div w:id="1706563456">
                                                                              <w:marLeft w:val="0"/>
                                                                              <w:marRight w:val="0"/>
                                                                              <w:marTop w:val="0"/>
                                                                              <w:marBottom w:val="0"/>
                                                                              <w:divBdr>
                                                                                <w:top w:val="none" w:sz="0" w:space="0" w:color="auto"/>
                                                                                <w:left w:val="none" w:sz="0" w:space="0" w:color="auto"/>
                                                                                <w:bottom w:val="none" w:sz="0" w:space="0" w:color="auto"/>
                                                                                <w:right w:val="none" w:sz="0" w:space="0" w:color="auto"/>
                                                                              </w:divBdr>
                                                                            </w:div>
                                                                          </w:divsChild>
                                                                        </w:div>
                                                                        <w:div w:id="1706563550">
                                                                          <w:marLeft w:val="0"/>
                                                                          <w:marRight w:val="0"/>
                                                                          <w:marTop w:val="0"/>
                                                                          <w:marBottom w:val="0"/>
                                                                          <w:divBdr>
                                                                            <w:top w:val="none" w:sz="0" w:space="0" w:color="auto"/>
                                                                            <w:left w:val="none" w:sz="0" w:space="0" w:color="auto"/>
                                                                            <w:bottom w:val="none" w:sz="0" w:space="0" w:color="auto"/>
                                                                            <w:right w:val="none" w:sz="0" w:space="0" w:color="auto"/>
                                                                          </w:divBdr>
                                                                          <w:divsChild>
                                                                            <w:div w:id="1706563529">
                                                                              <w:marLeft w:val="0"/>
                                                                              <w:marRight w:val="0"/>
                                                                              <w:marTop w:val="0"/>
                                                                              <w:marBottom w:val="0"/>
                                                                              <w:divBdr>
                                                                                <w:top w:val="none" w:sz="0" w:space="0" w:color="auto"/>
                                                                                <w:left w:val="none" w:sz="0" w:space="0" w:color="auto"/>
                                                                                <w:bottom w:val="none" w:sz="0" w:space="0" w:color="auto"/>
                                                                                <w:right w:val="none" w:sz="0" w:space="0" w:color="auto"/>
                                                                              </w:divBdr>
                                                                            </w:div>
                                                                          </w:divsChild>
                                                                        </w:div>
                                                                        <w:div w:id="1706563564">
                                                                          <w:marLeft w:val="0"/>
                                                                          <w:marRight w:val="0"/>
                                                                          <w:marTop w:val="0"/>
                                                                          <w:marBottom w:val="0"/>
                                                                          <w:divBdr>
                                                                            <w:top w:val="none" w:sz="0" w:space="0" w:color="auto"/>
                                                                            <w:left w:val="none" w:sz="0" w:space="0" w:color="auto"/>
                                                                            <w:bottom w:val="none" w:sz="0" w:space="0" w:color="auto"/>
                                                                            <w:right w:val="none" w:sz="0" w:space="0" w:color="auto"/>
                                                                          </w:divBdr>
                                                                          <w:divsChild>
                                                                            <w:div w:id="17065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563506">
      <w:marLeft w:val="0"/>
      <w:marRight w:val="0"/>
      <w:marTop w:val="0"/>
      <w:marBottom w:val="0"/>
      <w:divBdr>
        <w:top w:val="none" w:sz="0" w:space="0" w:color="auto"/>
        <w:left w:val="none" w:sz="0" w:space="0" w:color="auto"/>
        <w:bottom w:val="none" w:sz="0" w:space="0" w:color="auto"/>
        <w:right w:val="none" w:sz="0" w:space="0" w:color="auto"/>
      </w:divBdr>
    </w:div>
    <w:div w:id="1706563511">
      <w:marLeft w:val="0"/>
      <w:marRight w:val="0"/>
      <w:marTop w:val="0"/>
      <w:marBottom w:val="0"/>
      <w:divBdr>
        <w:top w:val="none" w:sz="0" w:space="0" w:color="auto"/>
        <w:left w:val="none" w:sz="0" w:space="0" w:color="auto"/>
        <w:bottom w:val="none" w:sz="0" w:space="0" w:color="auto"/>
        <w:right w:val="none" w:sz="0" w:space="0" w:color="auto"/>
      </w:divBdr>
    </w:div>
    <w:div w:id="1706563512">
      <w:marLeft w:val="0"/>
      <w:marRight w:val="0"/>
      <w:marTop w:val="0"/>
      <w:marBottom w:val="0"/>
      <w:divBdr>
        <w:top w:val="none" w:sz="0" w:space="0" w:color="auto"/>
        <w:left w:val="none" w:sz="0" w:space="0" w:color="auto"/>
        <w:bottom w:val="none" w:sz="0" w:space="0" w:color="auto"/>
        <w:right w:val="none" w:sz="0" w:space="0" w:color="auto"/>
      </w:divBdr>
    </w:div>
    <w:div w:id="1706563518">
      <w:marLeft w:val="0"/>
      <w:marRight w:val="0"/>
      <w:marTop w:val="0"/>
      <w:marBottom w:val="0"/>
      <w:divBdr>
        <w:top w:val="none" w:sz="0" w:space="0" w:color="auto"/>
        <w:left w:val="none" w:sz="0" w:space="0" w:color="auto"/>
        <w:bottom w:val="none" w:sz="0" w:space="0" w:color="auto"/>
        <w:right w:val="none" w:sz="0" w:space="0" w:color="auto"/>
      </w:divBdr>
    </w:div>
    <w:div w:id="1706563523">
      <w:marLeft w:val="0"/>
      <w:marRight w:val="0"/>
      <w:marTop w:val="0"/>
      <w:marBottom w:val="0"/>
      <w:divBdr>
        <w:top w:val="none" w:sz="0" w:space="0" w:color="auto"/>
        <w:left w:val="none" w:sz="0" w:space="0" w:color="auto"/>
        <w:bottom w:val="none" w:sz="0" w:space="0" w:color="auto"/>
        <w:right w:val="none" w:sz="0" w:space="0" w:color="auto"/>
      </w:divBdr>
    </w:div>
    <w:div w:id="1706563524">
      <w:marLeft w:val="0"/>
      <w:marRight w:val="0"/>
      <w:marTop w:val="0"/>
      <w:marBottom w:val="0"/>
      <w:divBdr>
        <w:top w:val="none" w:sz="0" w:space="0" w:color="auto"/>
        <w:left w:val="none" w:sz="0" w:space="0" w:color="auto"/>
        <w:bottom w:val="none" w:sz="0" w:space="0" w:color="auto"/>
        <w:right w:val="none" w:sz="0" w:space="0" w:color="auto"/>
      </w:divBdr>
    </w:div>
    <w:div w:id="1706563526">
      <w:marLeft w:val="0"/>
      <w:marRight w:val="0"/>
      <w:marTop w:val="0"/>
      <w:marBottom w:val="0"/>
      <w:divBdr>
        <w:top w:val="none" w:sz="0" w:space="0" w:color="auto"/>
        <w:left w:val="none" w:sz="0" w:space="0" w:color="auto"/>
        <w:bottom w:val="none" w:sz="0" w:space="0" w:color="auto"/>
        <w:right w:val="none" w:sz="0" w:space="0" w:color="auto"/>
      </w:divBdr>
    </w:div>
    <w:div w:id="1706563534">
      <w:marLeft w:val="0"/>
      <w:marRight w:val="0"/>
      <w:marTop w:val="0"/>
      <w:marBottom w:val="0"/>
      <w:divBdr>
        <w:top w:val="none" w:sz="0" w:space="0" w:color="auto"/>
        <w:left w:val="none" w:sz="0" w:space="0" w:color="auto"/>
        <w:bottom w:val="none" w:sz="0" w:space="0" w:color="auto"/>
        <w:right w:val="none" w:sz="0" w:space="0" w:color="auto"/>
      </w:divBdr>
    </w:div>
    <w:div w:id="1706563535">
      <w:marLeft w:val="0"/>
      <w:marRight w:val="0"/>
      <w:marTop w:val="0"/>
      <w:marBottom w:val="0"/>
      <w:divBdr>
        <w:top w:val="none" w:sz="0" w:space="0" w:color="auto"/>
        <w:left w:val="none" w:sz="0" w:space="0" w:color="auto"/>
        <w:bottom w:val="none" w:sz="0" w:space="0" w:color="auto"/>
        <w:right w:val="none" w:sz="0" w:space="0" w:color="auto"/>
      </w:divBdr>
    </w:div>
    <w:div w:id="1706563538">
      <w:marLeft w:val="0"/>
      <w:marRight w:val="0"/>
      <w:marTop w:val="0"/>
      <w:marBottom w:val="0"/>
      <w:divBdr>
        <w:top w:val="none" w:sz="0" w:space="0" w:color="auto"/>
        <w:left w:val="none" w:sz="0" w:space="0" w:color="auto"/>
        <w:bottom w:val="none" w:sz="0" w:space="0" w:color="auto"/>
        <w:right w:val="none" w:sz="0" w:space="0" w:color="auto"/>
      </w:divBdr>
    </w:div>
    <w:div w:id="1706563540">
      <w:marLeft w:val="0"/>
      <w:marRight w:val="0"/>
      <w:marTop w:val="0"/>
      <w:marBottom w:val="0"/>
      <w:divBdr>
        <w:top w:val="none" w:sz="0" w:space="0" w:color="auto"/>
        <w:left w:val="none" w:sz="0" w:space="0" w:color="auto"/>
        <w:bottom w:val="none" w:sz="0" w:space="0" w:color="auto"/>
        <w:right w:val="none" w:sz="0" w:space="0" w:color="auto"/>
      </w:divBdr>
      <w:divsChild>
        <w:div w:id="1706563569">
          <w:marLeft w:val="0"/>
          <w:marRight w:val="0"/>
          <w:marTop w:val="34"/>
          <w:marBottom w:val="34"/>
          <w:divBdr>
            <w:top w:val="none" w:sz="0" w:space="0" w:color="auto"/>
            <w:left w:val="none" w:sz="0" w:space="0" w:color="auto"/>
            <w:bottom w:val="none" w:sz="0" w:space="0" w:color="auto"/>
            <w:right w:val="none" w:sz="0" w:space="0" w:color="auto"/>
          </w:divBdr>
        </w:div>
      </w:divsChild>
    </w:div>
    <w:div w:id="1706563541">
      <w:marLeft w:val="0"/>
      <w:marRight w:val="0"/>
      <w:marTop w:val="0"/>
      <w:marBottom w:val="0"/>
      <w:divBdr>
        <w:top w:val="none" w:sz="0" w:space="0" w:color="auto"/>
        <w:left w:val="none" w:sz="0" w:space="0" w:color="auto"/>
        <w:bottom w:val="none" w:sz="0" w:space="0" w:color="auto"/>
        <w:right w:val="none" w:sz="0" w:space="0" w:color="auto"/>
      </w:divBdr>
    </w:div>
    <w:div w:id="1706563542">
      <w:marLeft w:val="0"/>
      <w:marRight w:val="0"/>
      <w:marTop w:val="0"/>
      <w:marBottom w:val="0"/>
      <w:divBdr>
        <w:top w:val="none" w:sz="0" w:space="0" w:color="auto"/>
        <w:left w:val="none" w:sz="0" w:space="0" w:color="auto"/>
        <w:bottom w:val="none" w:sz="0" w:space="0" w:color="auto"/>
        <w:right w:val="none" w:sz="0" w:space="0" w:color="auto"/>
      </w:divBdr>
    </w:div>
    <w:div w:id="1706563544">
      <w:marLeft w:val="0"/>
      <w:marRight w:val="0"/>
      <w:marTop w:val="0"/>
      <w:marBottom w:val="0"/>
      <w:divBdr>
        <w:top w:val="none" w:sz="0" w:space="0" w:color="auto"/>
        <w:left w:val="none" w:sz="0" w:space="0" w:color="auto"/>
        <w:bottom w:val="none" w:sz="0" w:space="0" w:color="auto"/>
        <w:right w:val="none" w:sz="0" w:space="0" w:color="auto"/>
      </w:divBdr>
      <w:divsChild>
        <w:div w:id="1706563433">
          <w:marLeft w:val="0"/>
          <w:marRight w:val="0"/>
          <w:marTop w:val="0"/>
          <w:marBottom w:val="0"/>
          <w:divBdr>
            <w:top w:val="none" w:sz="0" w:space="0" w:color="auto"/>
            <w:left w:val="none" w:sz="0" w:space="0" w:color="auto"/>
            <w:bottom w:val="none" w:sz="0" w:space="0" w:color="auto"/>
            <w:right w:val="none" w:sz="0" w:space="0" w:color="auto"/>
          </w:divBdr>
          <w:divsChild>
            <w:div w:id="1706563489">
              <w:marLeft w:val="0"/>
              <w:marRight w:val="0"/>
              <w:marTop w:val="0"/>
              <w:marBottom w:val="0"/>
              <w:divBdr>
                <w:top w:val="none" w:sz="0" w:space="0" w:color="auto"/>
                <w:left w:val="none" w:sz="0" w:space="0" w:color="auto"/>
                <w:bottom w:val="none" w:sz="0" w:space="0" w:color="auto"/>
                <w:right w:val="none" w:sz="0" w:space="0" w:color="auto"/>
              </w:divBdr>
              <w:divsChild>
                <w:div w:id="1706563499">
                  <w:marLeft w:val="0"/>
                  <w:marRight w:val="0"/>
                  <w:marTop w:val="0"/>
                  <w:marBottom w:val="0"/>
                  <w:divBdr>
                    <w:top w:val="none" w:sz="0" w:space="0" w:color="auto"/>
                    <w:left w:val="none" w:sz="0" w:space="0" w:color="auto"/>
                    <w:bottom w:val="none" w:sz="0" w:space="0" w:color="auto"/>
                    <w:right w:val="none" w:sz="0" w:space="0" w:color="auto"/>
                  </w:divBdr>
                  <w:divsChild>
                    <w:div w:id="1706563438">
                      <w:marLeft w:val="0"/>
                      <w:marRight w:val="0"/>
                      <w:marTop w:val="0"/>
                      <w:marBottom w:val="0"/>
                      <w:divBdr>
                        <w:top w:val="none" w:sz="0" w:space="0" w:color="auto"/>
                        <w:left w:val="none" w:sz="0" w:space="0" w:color="auto"/>
                        <w:bottom w:val="none" w:sz="0" w:space="0" w:color="auto"/>
                        <w:right w:val="none" w:sz="0" w:space="0" w:color="auto"/>
                      </w:divBdr>
                      <w:divsChild>
                        <w:div w:id="1706563463">
                          <w:marLeft w:val="0"/>
                          <w:marRight w:val="0"/>
                          <w:marTop w:val="0"/>
                          <w:marBottom w:val="0"/>
                          <w:divBdr>
                            <w:top w:val="none" w:sz="0" w:space="0" w:color="auto"/>
                            <w:left w:val="none" w:sz="0" w:space="0" w:color="auto"/>
                            <w:bottom w:val="none" w:sz="0" w:space="0" w:color="auto"/>
                            <w:right w:val="none" w:sz="0" w:space="0" w:color="auto"/>
                          </w:divBdr>
                          <w:divsChild>
                            <w:div w:id="1706563472">
                              <w:marLeft w:val="0"/>
                              <w:marRight w:val="0"/>
                              <w:marTop w:val="0"/>
                              <w:marBottom w:val="0"/>
                              <w:divBdr>
                                <w:top w:val="none" w:sz="0" w:space="0" w:color="auto"/>
                                <w:left w:val="none" w:sz="0" w:space="0" w:color="auto"/>
                                <w:bottom w:val="none" w:sz="0" w:space="0" w:color="auto"/>
                                <w:right w:val="none" w:sz="0" w:space="0" w:color="auto"/>
                              </w:divBdr>
                              <w:divsChild>
                                <w:div w:id="1706563475">
                                  <w:marLeft w:val="-150"/>
                                  <w:marRight w:val="-150"/>
                                  <w:marTop w:val="0"/>
                                  <w:marBottom w:val="0"/>
                                  <w:divBdr>
                                    <w:top w:val="none" w:sz="0" w:space="0" w:color="auto"/>
                                    <w:left w:val="none" w:sz="0" w:space="0" w:color="auto"/>
                                    <w:bottom w:val="none" w:sz="0" w:space="0" w:color="auto"/>
                                    <w:right w:val="none" w:sz="0" w:space="0" w:color="auto"/>
                                  </w:divBdr>
                                  <w:divsChild>
                                    <w:div w:id="1706563551">
                                      <w:marLeft w:val="0"/>
                                      <w:marRight w:val="0"/>
                                      <w:marTop w:val="0"/>
                                      <w:marBottom w:val="0"/>
                                      <w:divBdr>
                                        <w:top w:val="none" w:sz="0" w:space="0" w:color="auto"/>
                                        <w:left w:val="none" w:sz="0" w:space="0" w:color="auto"/>
                                        <w:bottom w:val="none" w:sz="0" w:space="0" w:color="auto"/>
                                        <w:right w:val="none" w:sz="0" w:space="0" w:color="auto"/>
                                      </w:divBdr>
                                      <w:divsChild>
                                        <w:div w:id="1706563437">
                                          <w:marLeft w:val="0"/>
                                          <w:marRight w:val="0"/>
                                          <w:marTop w:val="0"/>
                                          <w:marBottom w:val="0"/>
                                          <w:divBdr>
                                            <w:top w:val="none" w:sz="0" w:space="0" w:color="auto"/>
                                            <w:left w:val="none" w:sz="0" w:space="0" w:color="auto"/>
                                            <w:bottom w:val="none" w:sz="0" w:space="0" w:color="auto"/>
                                            <w:right w:val="none" w:sz="0" w:space="0" w:color="auto"/>
                                          </w:divBdr>
                                          <w:divsChild>
                                            <w:div w:id="1706563461">
                                              <w:marLeft w:val="-150"/>
                                              <w:marRight w:val="-150"/>
                                              <w:marTop w:val="0"/>
                                              <w:marBottom w:val="0"/>
                                              <w:divBdr>
                                                <w:top w:val="none" w:sz="0" w:space="0" w:color="auto"/>
                                                <w:left w:val="none" w:sz="0" w:space="0" w:color="auto"/>
                                                <w:bottom w:val="none" w:sz="0" w:space="0" w:color="auto"/>
                                                <w:right w:val="none" w:sz="0" w:space="0" w:color="auto"/>
                                              </w:divBdr>
                                              <w:divsChild>
                                                <w:div w:id="1706563493">
                                                  <w:marLeft w:val="0"/>
                                                  <w:marRight w:val="0"/>
                                                  <w:marTop w:val="0"/>
                                                  <w:marBottom w:val="0"/>
                                                  <w:divBdr>
                                                    <w:top w:val="none" w:sz="0" w:space="0" w:color="auto"/>
                                                    <w:left w:val="none" w:sz="0" w:space="0" w:color="auto"/>
                                                    <w:bottom w:val="none" w:sz="0" w:space="0" w:color="auto"/>
                                                    <w:right w:val="none" w:sz="0" w:space="0" w:color="auto"/>
                                                  </w:divBdr>
                                                  <w:divsChild>
                                                    <w:div w:id="1706563486">
                                                      <w:marLeft w:val="0"/>
                                                      <w:marRight w:val="0"/>
                                                      <w:marTop w:val="0"/>
                                                      <w:marBottom w:val="0"/>
                                                      <w:divBdr>
                                                        <w:top w:val="none" w:sz="0" w:space="0" w:color="auto"/>
                                                        <w:left w:val="none" w:sz="0" w:space="0" w:color="auto"/>
                                                        <w:bottom w:val="none" w:sz="0" w:space="0" w:color="auto"/>
                                                        <w:right w:val="none" w:sz="0" w:space="0" w:color="auto"/>
                                                      </w:divBdr>
                                                      <w:divsChild>
                                                        <w:div w:id="1706563566">
                                                          <w:marLeft w:val="0"/>
                                                          <w:marRight w:val="0"/>
                                                          <w:marTop w:val="0"/>
                                                          <w:marBottom w:val="0"/>
                                                          <w:divBdr>
                                                            <w:top w:val="none" w:sz="0" w:space="0" w:color="auto"/>
                                                            <w:left w:val="none" w:sz="0" w:space="0" w:color="auto"/>
                                                            <w:bottom w:val="none" w:sz="0" w:space="0" w:color="auto"/>
                                                            <w:right w:val="none" w:sz="0" w:space="0" w:color="auto"/>
                                                          </w:divBdr>
                                                          <w:divsChild>
                                                            <w:div w:id="1706563567">
                                                              <w:marLeft w:val="0"/>
                                                              <w:marRight w:val="0"/>
                                                              <w:marTop w:val="0"/>
                                                              <w:marBottom w:val="0"/>
                                                              <w:divBdr>
                                                                <w:top w:val="none" w:sz="0" w:space="0" w:color="auto"/>
                                                                <w:left w:val="none" w:sz="0" w:space="0" w:color="auto"/>
                                                                <w:bottom w:val="none" w:sz="0" w:space="0" w:color="auto"/>
                                                                <w:right w:val="none" w:sz="0" w:space="0" w:color="auto"/>
                                                              </w:divBdr>
                                                              <w:divsChild>
                                                                <w:div w:id="17065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6563553">
      <w:marLeft w:val="0"/>
      <w:marRight w:val="0"/>
      <w:marTop w:val="0"/>
      <w:marBottom w:val="0"/>
      <w:divBdr>
        <w:top w:val="none" w:sz="0" w:space="0" w:color="auto"/>
        <w:left w:val="none" w:sz="0" w:space="0" w:color="auto"/>
        <w:bottom w:val="none" w:sz="0" w:space="0" w:color="auto"/>
        <w:right w:val="none" w:sz="0" w:space="0" w:color="auto"/>
      </w:divBdr>
      <w:divsChild>
        <w:div w:id="1706563465">
          <w:marLeft w:val="0"/>
          <w:marRight w:val="0"/>
          <w:marTop w:val="0"/>
          <w:marBottom w:val="0"/>
          <w:divBdr>
            <w:top w:val="none" w:sz="0" w:space="0" w:color="auto"/>
            <w:left w:val="none" w:sz="0" w:space="0" w:color="auto"/>
            <w:bottom w:val="none" w:sz="0" w:space="0" w:color="auto"/>
            <w:right w:val="none" w:sz="0" w:space="0" w:color="auto"/>
          </w:divBdr>
          <w:divsChild>
            <w:div w:id="1706563515">
              <w:marLeft w:val="0"/>
              <w:marRight w:val="0"/>
              <w:marTop w:val="0"/>
              <w:marBottom w:val="0"/>
              <w:divBdr>
                <w:top w:val="none" w:sz="0" w:space="0" w:color="auto"/>
                <w:left w:val="none" w:sz="0" w:space="0" w:color="auto"/>
                <w:bottom w:val="none" w:sz="0" w:space="0" w:color="auto"/>
                <w:right w:val="none" w:sz="0" w:space="0" w:color="auto"/>
              </w:divBdr>
              <w:divsChild>
                <w:div w:id="1706563462">
                  <w:marLeft w:val="0"/>
                  <w:marRight w:val="0"/>
                  <w:marTop w:val="0"/>
                  <w:marBottom w:val="0"/>
                  <w:divBdr>
                    <w:top w:val="none" w:sz="0" w:space="0" w:color="auto"/>
                    <w:left w:val="none" w:sz="0" w:space="0" w:color="auto"/>
                    <w:bottom w:val="none" w:sz="0" w:space="0" w:color="auto"/>
                    <w:right w:val="none" w:sz="0" w:space="0" w:color="auto"/>
                  </w:divBdr>
                  <w:divsChild>
                    <w:div w:id="1706563454">
                      <w:marLeft w:val="0"/>
                      <w:marRight w:val="0"/>
                      <w:marTop w:val="0"/>
                      <w:marBottom w:val="0"/>
                      <w:divBdr>
                        <w:top w:val="none" w:sz="0" w:space="0" w:color="auto"/>
                        <w:left w:val="none" w:sz="0" w:space="0" w:color="auto"/>
                        <w:bottom w:val="none" w:sz="0" w:space="0" w:color="auto"/>
                        <w:right w:val="none" w:sz="0" w:space="0" w:color="auto"/>
                      </w:divBdr>
                      <w:divsChild>
                        <w:div w:id="1706563482">
                          <w:marLeft w:val="0"/>
                          <w:marRight w:val="0"/>
                          <w:marTop w:val="0"/>
                          <w:marBottom w:val="0"/>
                          <w:divBdr>
                            <w:top w:val="none" w:sz="0" w:space="0" w:color="auto"/>
                            <w:left w:val="none" w:sz="0" w:space="0" w:color="auto"/>
                            <w:bottom w:val="none" w:sz="0" w:space="0" w:color="auto"/>
                            <w:right w:val="none" w:sz="0" w:space="0" w:color="auto"/>
                          </w:divBdr>
                          <w:divsChild>
                            <w:div w:id="1706563459">
                              <w:marLeft w:val="0"/>
                              <w:marRight w:val="0"/>
                              <w:marTop w:val="0"/>
                              <w:marBottom w:val="0"/>
                              <w:divBdr>
                                <w:top w:val="none" w:sz="0" w:space="0" w:color="auto"/>
                                <w:left w:val="none" w:sz="0" w:space="0" w:color="auto"/>
                                <w:bottom w:val="none" w:sz="0" w:space="0" w:color="auto"/>
                                <w:right w:val="none" w:sz="0" w:space="0" w:color="auto"/>
                              </w:divBdr>
                              <w:divsChild>
                                <w:div w:id="1706563491">
                                  <w:marLeft w:val="-150"/>
                                  <w:marRight w:val="-150"/>
                                  <w:marTop w:val="0"/>
                                  <w:marBottom w:val="0"/>
                                  <w:divBdr>
                                    <w:top w:val="none" w:sz="0" w:space="0" w:color="auto"/>
                                    <w:left w:val="none" w:sz="0" w:space="0" w:color="auto"/>
                                    <w:bottom w:val="none" w:sz="0" w:space="0" w:color="auto"/>
                                    <w:right w:val="none" w:sz="0" w:space="0" w:color="auto"/>
                                  </w:divBdr>
                                  <w:divsChild>
                                    <w:div w:id="1706563495">
                                      <w:marLeft w:val="0"/>
                                      <w:marRight w:val="0"/>
                                      <w:marTop w:val="0"/>
                                      <w:marBottom w:val="0"/>
                                      <w:divBdr>
                                        <w:top w:val="none" w:sz="0" w:space="0" w:color="auto"/>
                                        <w:left w:val="none" w:sz="0" w:space="0" w:color="auto"/>
                                        <w:bottom w:val="none" w:sz="0" w:space="0" w:color="auto"/>
                                        <w:right w:val="none" w:sz="0" w:space="0" w:color="auto"/>
                                      </w:divBdr>
                                      <w:divsChild>
                                        <w:div w:id="1706563552">
                                          <w:marLeft w:val="0"/>
                                          <w:marRight w:val="0"/>
                                          <w:marTop w:val="0"/>
                                          <w:marBottom w:val="0"/>
                                          <w:divBdr>
                                            <w:top w:val="none" w:sz="0" w:space="0" w:color="auto"/>
                                            <w:left w:val="none" w:sz="0" w:space="0" w:color="auto"/>
                                            <w:bottom w:val="none" w:sz="0" w:space="0" w:color="auto"/>
                                            <w:right w:val="none" w:sz="0" w:space="0" w:color="auto"/>
                                          </w:divBdr>
                                          <w:divsChild>
                                            <w:div w:id="1706563439">
                                              <w:marLeft w:val="-150"/>
                                              <w:marRight w:val="-150"/>
                                              <w:marTop w:val="0"/>
                                              <w:marBottom w:val="0"/>
                                              <w:divBdr>
                                                <w:top w:val="none" w:sz="0" w:space="0" w:color="auto"/>
                                                <w:left w:val="none" w:sz="0" w:space="0" w:color="auto"/>
                                                <w:bottom w:val="none" w:sz="0" w:space="0" w:color="auto"/>
                                                <w:right w:val="none" w:sz="0" w:space="0" w:color="auto"/>
                                              </w:divBdr>
                                              <w:divsChild>
                                                <w:div w:id="1706563476">
                                                  <w:marLeft w:val="0"/>
                                                  <w:marRight w:val="0"/>
                                                  <w:marTop w:val="0"/>
                                                  <w:marBottom w:val="0"/>
                                                  <w:divBdr>
                                                    <w:top w:val="none" w:sz="0" w:space="0" w:color="auto"/>
                                                    <w:left w:val="none" w:sz="0" w:space="0" w:color="auto"/>
                                                    <w:bottom w:val="none" w:sz="0" w:space="0" w:color="auto"/>
                                                    <w:right w:val="none" w:sz="0" w:space="0" w:color="auto"/>
                                                  </w:divBdr>
                                                  <w:divsChild>
                                                    <w:div w:id="1706563578">
                                                      <w:marLeft w:val="0"/>
                                                      <w:marRight w:val="0"/>
                                                      <w:marTop w:val="0"/>
                                                      <w:marBottom w:val="0"/>
                                                      <w:divBdr>
                                                        <w:top w:val="none" w:sz="0" w:space="0" w:color="auto"/>
                                                        <w:left w:val="none" w:sz="0" w:space="0" w:color="auto"/>
                                                        <w:bottom w:val="none" w:sz="0" w:space="0" w:color="auto"/>
                                                        <w:right w:val="none" w:sz="0" w:space="0" w:color="auto"/>
                                                      </w:divBdr>
                                                      <w:divsChild>
                                                        <w:div w:id="1706563516">
                                                          <w:marLeft w:val="0"/>
                                                          <w:marRight w:val="0"/>
                                                          <w:marTop w:val="0"/>
                                                          <w:marBottom w:val="0"/>
                                                          <w:divBdr>
                                                            <w:top w:val="none" w:sz="0" w:space="0" w:color="auto"/>
                                                            <w:left w:val="none" w:sz="0" w:space="0" w:color="auto"/>
                                                            <w:bottom w:val="none" w:sz="0" w:space="0" w:color="auto"/>
                                                            <w:right w:val="none" w:sz="0" w:space="0" w:color="auto"/>
                                                          </w:divBdr>
                                                          <w:divsChild>
                                                            <w:div w:id="1706563510">
                                                              <w:marLeft w:val="0"/>
                                                              <w:marRight w:val="0"/>
                                                              <w:marTop w:val="0"/>
                                                              <w:marBottom w:val="0"/>
                                                              <w:divBdr>
                                                                <w:top w:val="none" w:sz="0" w:space="0" w:color="auto"/>
                                                                <w:left w:val="none" w:sz="0" w:space="0" w:color="auto"/>
                                                                <w:bottom w:val="none" w:sz="0" w:space="0" w:color="auto"/>
                                                                <w:right w:val="none" w:sz="0" w:space="0" w:color="auto"/>
                                                              </w:divBdr>
                                                              <w:divsChild>
                                                                <w:div w:id="1706563502">
                                                                  <w:marLeft w:val="0"/>
                                                                  <w:marRight w:val="0"/>
                                                                  <w:marTop w:val="0"/>
                                                                  <w:marBottom w:val="0"/>
                                                                  <w:divBdr>
                                                                    <w:top w:val="none" w:sz="0" w:space="0" w:color="auto"/>
                                                                    <w:left w:val="none" w:sz="0" w:space="0" w:color="auto"/>
                                                                    <w:bottom w:val="none" w:sz="0" w:space="0" w:color="auto"/>
                                                                    <w:right w:val="none" w:sz="0" w:space="0" w:color="auto"/>
                                                                  </w:divBdr>
                                                                  <w:divsChild>
                                                                    <w:div w:id="1706563556">
                                                                      <w:marLeft w:val="0"/>
                                                                      <w:marRight w:val="0"/>
                                                                      <w:marTop w:val="0"/>
                                                                      <w:marBottom w:val="0"/>
                                                                      <w:divBdr>
                                                                        <w:top w:val="none" w:sz="0" w:space="0" w:color="auto"/>
                                                                        <w:left w:val="none" w:sz="0" w:space="0" w:color="auto"/>
                                                                        <w:bottom w:val="none" w:sz="0" w:space="0" w:color="auto"/>
                                                                        <w:right w:val="none" w:sz="0" w:space="0" w:color="auto"/>
                                                                      </w:divBdr>
                                                                      <w:divsChild>
                                                                        <w:div w:id="1706563455">
                                                                          <w:marLeft w:val="0"/>
                                                                          <w:marRight w:val="0"/>
                                                                          <w:marTop w:val="0"/>
                                                                          <w:marBottom w:val="0"/>
                                                                          <w:divBdr>
                                                                            <w:top w:val="none" w:sz="0" w:space="0" w:color="auto"/>
                                                                            <w:left w:val="none" w:sz="0" w:space="0" w:color="auto"/>
                                                                            <w:bottom w:val="none" w:sz="0" w:space="0" w:color="auto"/>
                                                                            <w:right w:val="none" w:sz="0" w:space="0" w:color="auto"/>
                                                                          </w:divBdr>
                                                                          <w:divsChild>
                                                                            <w:div w:id="1706563545">
                                                                              <w:marLeft w:val="0"/>
                                                                              <w:marRight w:val="0"/>
                                                                              <w:marTop w:val="0"/>
                                                                              <w:marBottom w:val="0"/>
                                                                              <w:divBdr>
                                                                                <w:top w:val="none" w:sz="0" w:space="0" w:color="auto"/>
                                                                                <w:left w:val="none" w:sz="0" w:space="0" w:color="auto"/>
                                                                                <w:bottom w:val="none" w:sz="0" w:space="0" w:color="auto"/>
                                                                                <w:right w:val="none" w:sz="0" w:space="0" w:color="auto"/>
                                                                              </w:divBdr>
                                                                            </w:div>
                                                                          </w:divsChild>
                                                                        </w:div>
                                                                        <w:div w:id="1706563487">
                                                                          <w:marLeft w:val="0"/>
                                                                          <w:marRight w:val="0"/>
                                                                          <w:marTop w:val="0"/>
                                                                          <w:marBottom w:val="0"/>
                                                                          <w:divBdr>
                                                                            <w:top w:val="none" w:sz="0" w:space="0" w:color="auto"/>
                                                                            <w:left w:val="none" w:sz="0" w:space="0" w:color="auto"/>
                                                                            <w:bottom w:val="none" w:sz="0" w:space="0" w:color="auto"/>
                                                                            <w:right w:val="none" w:sz="0" w:space="0" w:color="auto"/>
                                                                          </w:divBdr>
                                                                        </w:div>
                                                                        <w:div w:id="1706563490">
                                                                          <w:marLeft w:val="0"/>
                                                                          <w:marRight w:val="0"/>
                                                                          <w:marTop w:val="0"/>
                                                                          <w:marBottom w:val="0"/>
                                                                          <w:divBdr>
                                                                            <w:top w:val="none" w:sz="0" w:space="0" w:color="auto"/>
                                                                            <w:left w:val="none" w:sz="0" w:space="0" w:color="auto"/>
                                                                            <w:bottom w:val="none" w:sz="0" w:space="0" w:color="auto"/>
                                                                            <w:right w:val="none" w:sz="0" w:space="0" w:color="auto"/>
                                                                          </w:divBdr>
                                                                          <w:divsChild>
                                                                            <w:div w:id="1706563497">
                                                                              <w:marLeft w:val="0"/>
                                                                              <w:marRight w:val="0"/>
                                                                              <w:marTop w:val="0"/>
                                                                              <w:marBottom w:val="0"/>
                                                                              <w:divBdr>
                                                                                <w:top w:val="none" w:sz="0" w:space="0" w:color="auto"/>
                                                                                <w:left w:val="none" w:sz="0" w:space="0" w:color="auto"/>
                                                                                <w:bottom w:val="none" w:sz="0" w:space="0" w:color="auto"/>
                                                                                <w:right w:val="none" w:sz="0" w:space="0" w:color="auto"/>
                                                                              </w:divBdr>
                                                                            </w:div>
                                                                          </w:divsChild>
                                                                        </w:div>
                                                                        <w:div w:id="1706563513">
                                                                          <w:marLeft w:val="0"/>
                                                                          <w:marRight w:val="0"/>
                                                                          <w:marTop w:val="0"/>
                                                                          <w:marBottom w:val="0"/>
                                                                          <w:divBdr>
                                                                            <w:top w:val="none" w:sz="0" w:space="0" w:color="auto"/>
                                                                            <w:left w:val="none" w:sz="0" w:space="0" w:color="auto"/>
                                                                            <w:bottom w:val="none" w:sz="0" w:space="0" w:color="auto"/>
                                                                            <w:right w:val="none" w:sz="0" w:space="0" w:color="auto"/>
                                                                          </w:divBdr>
                                                                          <w:divsChild>
                                                                            <w:div w:id="1706563492">
                                                                              <w:marLeft w:val="0"/>
                                                                              <w:marRight w:val="0"/>
                                                                              <w:marTop w:val="0"/>
                                                                              <w:marBottom w:val="0"/>
                                                                              <w:divBdr>
                                                                                <w:top w:val="none" w:sz="0" w:space="0" w:color="auto"/>
                                                                                <w:left w:val="none" w:sz="0" w:space="0" w:color="auto"/>
                                                                                <w:bottom w:val="none" w:sz="0" w:space="0" w:color="auto"/>
                                                                                <w:right w:val="none" w:sz="0" w:space="0" w:color="auto"/>
                                                                              </w:divBdr>
                                                                            </w:div>
                                                                          </w:divsChild>
                                                                        </w:div>
                                                                        <w:div w:id="1706563558">
                                                                          <w:marLeft w:val="0"/>
                                                                          <w:marRight w:val="0"/>
                                                                          <w:marTop w:val="0"/>
                                                                          <w:marBottom w:val="0"/>
                                                                          <w:divBdr>
                                                                            <w:top w:val="none" w:sz="0" w:space="0" w:color="auto"/>
                                                                            <w:left w:val="none" w:sz="0" w:space="0" w:color="auto"/>
                                                                            <w:bottom w:val="none" w:sz="0" w:space="0" w:color="auto"/>
                                                                            <w:right w:val="none" w:sz="0" w:space="0" w:color="auto"/>
                                                                          </w:divBdr>
                                                                          <w:divsChild>
                                                                            <w:div w:id="1706563517">
                                                                              <w:marLeft w:val="0"/>
                                                                              <w:marRight w:val="0"/>
                                                                              <w:marTop w:val="0"/>
                                                                              <w:marBottom w:val="0"/>
                                                                              <w:divBdr>
                                                                                <w:top w:val="none" w:sz="0" w:space="0" w:color="auto"/>
                                                                                <w:left w:val="none" w:sz="0" w:space="0" w:color="auto"/>
                                                                                <w:bottom w:val="none" w:sz="0" w:space="0" w:color="auto"/>
                                                                                <w:right w:val="none" w:sz="0" w:space="0" w:color="auto"/>
                                                                              </w:divBdr>
                                                                            </w:div>
                                                                          </w:divsChild>
                                                                        </w:div>
                                                                        <w:div w:id="1706563562">
                                                                          <w:marLeft w:val="0"/>
                                                                          <w:marRight w:val="0"/>
                                                                          <w:marTop w:val="0"/>
                                                                          <w:marBottom w:val="0"/>
                                                                          <w:divBdr>
                                                                            <w:top w:val="none" w:sz="0" w:space="0" w:color="auto"/>
                                                                            <w:left w:val="none" w:sz="0" w:space="0" w:color="auto"/>
                                                                            <w:bottom w:val="none" w:sz="0" w:space="0" w:color="auto"/>
                                                                            <w:right w:val="none" w:sz="0" w:space="0" w:color="auto"/>
                                                                          </w:divBdr>
                                                                          <w:divsChild>
                                                                            <w:div w:id="17065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563557">
      <w:marLeft w:val="0"/>
      <w:marRight w:val="0"/>
      <w:marTop w:val="0"/>
      <w:marBottom w:val="0"/>
      <w:divBdr>
        <w:top w:val="none" w:sz="0" w:space="0" w:color="auto"/>
        <w:left w:val="none" w:sz="0" w:space="0" w:color="auto"/>
        <w:bottom w:val="none" w:sz="0" w:space="0" w:color="auto"/>
        <w:right w:val="none" w:sz="0" w:space="0" w:color="auto"/>
      </w:divBdr>
      <w:divsChild>
        <w:div w:id="1706563560">
          <w:marLeft w:val="0"/>
          <w:marRight w:val="0"/>
          <w:marTop w:val="120"/>
          <w:marBottom w:val="360"/>
          <w:divBdr>
            <w:top w:val="none" w:sz="0" w:space="0" w:color="auto"/>
            <w:left w:val="none" w:sz="0" w:space="0" w:color="auto"/>
            <w:bottom w:val="none" w:sz="0" w:space="0" w:color="auto"/>
            <w:right w:val="none" w:sz="0" w:space="0" w:color="auto"/>
          </w:divBdr>
          <w:divsChild>
            <w:div w:id="17065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3563">
      <w:marLeft w:val="0"/>
      <w:marRight w:val="0"/>
      <w:marTop w:val="0"/>
      <w:marBottom w:val="0"/>
      <w:divBdr>
        <w:top w:val="none" w:sz="0" w:space="0" w:color="auto"/>
        <w:left w:val="none" w:sz="0" w:space="0" w:color="auto"/>
        <w:bottom w:val="none" w:sz="0" w:space="0" w:color="auto"/>
        <w:right w:val="none" w:sz="0" w:space="0" w:color="auto"/>
      </w:divBdr>
      <w:divsChild>
        <w:div w:id="1706563447">
          <w:marLeft w:val="0"/>
          <w:marRight w:val="1"/>
          <w:marTop w:val="0"/>
          <w:marBottom w:val="0"/>
          <w:divBdr>
            <w:top w:val="none" w:sz="0" w:space="0" w:color="auto"/>
            <w:left w:val="none" w:sz="0" w:space="0" w:color="auto"/>
            <w:bottom w:val="none" w:sz="0" w:space="0" w:color="auto"/>
            <w:right w:val="none" w:sz="0" w:space="0" w:color="auto"/>
          </w:divBdr>
          <w:divsChild>
            <w:div w:id="1706563571">
              <w:marLeft w:val="0"/>
              <w:marRight w:val="0"/>
              <w:marTop w:val="0"/>
              <w:marBottom w:val="0"/>
              <w:divBdr>
                <w:top w:val="none" w:sz="0" w:space="0" w:color="auto"/>
                <w:left w:val="none" w:sz="0" w:space="0" w:color="auto"/>
                <w:bottom w:val="none" w:sz="0" w:space="0" w:color="auto"/>
                <w:right w:val="none" w:sz="0" w:space="0" w:color="auto"/>
              </w:divBdr>
              <w:divsChild>
                <w:div w:id="1706563494">
                  <w:marLeft w:val="0"/>
                  <w:marRight w:val="1"/>
                  <w:marTop w:val="0"/>
                  <w:marBottom w:val="0"/>
                  <w:divBdr>
                    <w:top w:val="none" w:sz="0" w:space="0" w:color="auto"/>
                    <w:left w:val="none" w:sz="0" w:space="0" w:color="auto"/>
                    <w:bottom w:val="none" w:sz="0" w:space="0" w:color="auto"/>
                    <w:right w:val="none" w:sz="0" w:space="0" w:color="auto"/>
                  </w:divBdr>
                  <w:divsChild>
                    <w:div w:id="1706563528">
                      <w:marLeft w:val="0"/>
                      <w:marRight w:val="0"/>
                      <w:marTop w:val="0"/>
                      <w:marBottom w:val="0"/>
                      <w:divBdr>
                        <w:top w:val="none" w:sz="0" w:space="0" w:color="auto"/>
                        <w:left w:val="none" w:sz="0" w:space="0" w:color="auto"/>
                        <w:bottom w:val="none" w:sz="0" w:space="0" w:color="auto"/>
                        <w:right w:val="none" w:sz="0" w:space="0" w:color="auto"/>
                      </w:divBdr>
                      <w:divsChild>
                        <w:div w:id="1706563453">
                          <w:marLeft w:val="0"/>
                          <w:marRight w:val="0"/>
                          <w:marTop w:val="0"/>
                          <w:marBottom w:val="0"/>
                          <w:divBdr>
                            <w:top w:val="none" w:sz="0" w:space="0" w:color="auto"/>
                            <w:left w:val="none" w:sz="0" w:space="0" w:color="auto"/>
                            <w:bottom w:val="none" w:sz="0" w:space="0" w:color="auto"/>
                            <w:right w:val="none" w:sz="0" w:space="0" w:color="auto"/>
                          </w:divBdr>
                          <w:divsChild>
                            <w:div w:id="1706563435">
                              <w:marLeft w:val="0"/>
                              <w:marRight w:val="0"/>
                              <w:marTop w:val="120"/>
                              <w:marBottom w:val="360"/>
                              <w:divBdr>
                                <w:top w:val="none" w:sz="0" w:space="0" w:color="auto"/>
                                <w:left w:val="none" w:sz="0" w:space="0" w:color="auto"/>
                                <w:bottom w:val="none" w:sz="0" w:space="0" w:color="auto"/>
                                <w:right w:val="none" w:sz="0" w:space="0" w:color="auto"/>
                              </w:divBdr>
                              <w:divsChild>
                                <w:div w:id="1706563520">
                                  <w:marLeft w:val="0"/>
                                  <w:marRight w:val="0"/>
                                  <w:marTop w:val="0"/>
                                  <w:marBottom w:val="0"/>
                                  <w:divBdr>
                                    <w:top w:val="none" w:sz="0" w:space="0" w:color="auto"/>
                                    <w:left w:val="none" w:sz="0" w:space="0" w:color="auto"/>
                                    <w:bottom w:val="none" w:sz="0" w:space="0" w:color="auto"/>
                                    <w:right w:val="none" w:sz="0" w:space="0" w:color="auto"/>
                                  </w:divBdr>
                                </w:div>
                                <w:div w:id="17065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3460">
                          <w:marLeft w:val="0"/>
                          <w:marRight w:val="0"/>
                          <w:marTop w:val="0"/>
                          <w:marBottom w:val="0"/>
                          <w:divBdr>
                            <w:top w:val="none" w:sz="0" w:space="0" w:color="auto"/>
                            <w:left w:val="none" w:sz="0" w:space="0" w:color="auto"/>
                            <w:bottom w:val="none" w:sz="0" w:space="0" w:color="auto"/>
                            <w:right w:val="none" w:sz="0" w:space="0" w:color="auto"/>
                          </w:divBdr>
                          <w:divsChild>
                            <w:div w:id="170656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563572">
      <w:marLeft w:val="0"/>
      <w:marRight w:val="0"/>
      <w:marTop w:val="0"/>
      <w:marBottom w:val="0"/>
      <w:divBdr>
        <w:top w:val="none" w:sz="0" w:space="0" w:color="auto"/>
        <w:left w:val="none" w:sz="0" w:space="0" w:color="auto"/>
        <w:bottom w:val="none" w:sz="0" w:space="0" w:color="auto"/>
        <w:right w:val="none" w:sz="0" w:space="0" w:color="auto"/>
      </w:divBdr>
      <w:divsChild>
        <w:div w:id="1706563474">
          <w:marLeft w:val="0"/>
          <w:marRight w:val="0"/>
          <w:marTop w:val="34"/>
          <w:marBottom w:val="34"/>
          <w:divBdr>
            <w:top w:val="none" w:sz="0" w:space="0" w:color="auto"/>
            <w:left w:val="none" w:sz="0" w:space="0" w:color="auto"/>
            <w:bottom w:val="none" w:sz="0" w:space="0" w:color="auto"/>
            <w:right w:val="none" w:sz="0" w:space="0" w:color="auto"/>
          </w:divBdr>
        </w:div>
      </w:divsChild>
    </w:div>
    <w:div w:id="1706563574">
      <w:marLeft w:val="0"/>
      <w:marRight w:val="0"/>
      <w:marTop w:val="0"/>
      <w:marBottom w:val="0"/>
      <w:divBdr>
        <w:top w:val="none" w:sz="0" w:space="0" w:color="auto"/>
        <w:left w:val="none" w:sz="0" w:space="0" w:color="auto"/>
        <w:bottom w:val="none" w:sz="0" w:space="0" w:color="auto"/>
        <w:right w:val="none" w:sz="0" w:space="0" w:color="auto"/>
      </w:divBdr>
    </w:div>
    <w:div w:id="1706563577">
      <w:marLeft w:val="0"/>
      <w:marRight w:val="0"/>
      <w:marTop w:val="0"/>
      <w:marBottom w:val="0"/>
      <w:divBdr>
        <w:top w:val="none" w:sz="0" w:space="0" w:color="auto"/>
        <w:left w:val="none" w:sz="0" w:space="0" w:color="auto"/>
        <w:bottom w:val="none" w:sz="0" w:space="0" w:color="auto"/>
        <w:right w:val="none" w:sz="0" w:space="0" w:color="auto"/>
      </w:divBdr>
    </w:div>
    <w:div w:id="1706563579">
      <w:marLeft w:val="0"/>
      <w:marRight w:val="0"/>
      <w:marTop w:val="0"/>
      <w:marBottom w:val="0"/>
      <w:divBdr>
        <w:top w:val="none" w:sz="0" w:space="0" w:color="auto"/>
        <w:left w:val="none" w:sz="0" w:space="0" w:color="auto"/>
        <w:bottom w:val="none" w:sz="0" w:space="0" w:color="auto"/>
        <w:right w:val="none" w:sz="0" w:space="0" w:color="auto"/>
      </w:divBdr>
      <w:divsChild>
        <w:div w:id="1706563546">
          <w:marLeft w:val="0"/>
          <w:marRight w:val="0"/>
          <w:marTop w:val="0"/>
          <w:marBottom w:val="0"/>
          <w:divBdr>
            <w:top w:val="none" w:sz="0" w:space="0" w:color="auto"/>
            <w:left w:val="none" w:sz="0" w:space="0" w:color="auto"/>
            <w:bottom w:val="none" w:sz="0" w:space="0" w:color="auto"/>
            <w:right w:val="none" w:sz="0" w:space="0" w:color="auto"/>
          </w:divBdr>
          <w:divsChild>
            <w:div w:id="1706563443">
              <w:marLeft w:val="0"/>
              <w:marRight w:val="0"/>
              <w:marTop w:val="0"/>
              <w:marBottom w:val="0"/>
              <w:divBdr>
                <w:top w:val="none" w:sz="0" w:space="0" w:color="auto"/>
                <w:left w:val="none" w:sz="0" w:space="0" w:color="auto"/>
                <w:bottom w:val="none" w:sz="0" w:space="0" w:color="auto"/>
                <w:right w:val="none" w:sz="0" w:space="0" w:color="auto"/>
              </w:divBdr>
              <w:divsChild>
                <w:div w:id="1706563436">
                  <w:marLeft w:val="0"/>
                  <w:marRight w:val="0"/>
                  <w:marTop w:val="0"/>
                  <w:marBottom w:val="0"/>
                  <w:divBdr>
                    <w:top w:val="none" w:sz="0" w:space="0" w:color="auto"/>
                    <w:left w:val="none" w:sz="0" w:space="0" w:color="auto"/>
                    <w:bottom w:val="none" w:sz="0" w:space="0" w:color="auto"/>
                    <w:right w:val="none" w:sz="0" w:space="0" w:color="auto"/>
                  </w:divBdr>
                  <w:divsChild>
                    <w:div w:id="1706563522">
                      <w:marLeft w:val="0"/>
                      <w:marRight w:val="0"/>
                      <w:marTop w:val="0"/>
                      <w:marBottom w:val="0"/>
                      <w:divBdr>
                        <w:top w:val="none" w:sz="0" w:space="0" w:color="auto"/>
                        <w:left w:val="none" w:sz="0" w:space="0" w:color="auto"/>
                        <w:bottom w:val="none" w:sz="0" w:space="0" w:color="auto"/>
                        <w:right w:val="none" w:sz="0" w:space="0" w:color="auto"/>
                      </w:divBdr>
                      <w:divsChild>
                        <w:div w:id="1706563505">
                          <w:marLeft w:val="0"/>
                          <w:marRight w:val="0"/>
                          <w:marTop w:val="0"/>
                          <w:marBottom w:val="0"/>
                          <w:divBdr>
                            <w:top w:val="none" w:sz="0" w:space="0" w:color="auto"/>
                            <w:left w:val="none" w:sz="0" w:space="0" w:color="auto"/>
                            <w:bottom w:val="none" w:sz="0" w:space="0" w:color="auto"/>
                            <w:right w:val="none" w:sz="0" w:space="0" w:color="auto"/>
                          </w:divBdr>
                          <w:divsChild>
                            <w:div w:id="1706563508">
                              <w:marLeft w:val="0"/>
                              <w:marRight w:val="0"/>
                              <w:marTop w:val="0"/>
                              <w:marBottom w:val="0"/>
                              <w:divBdr>
                                <w:top w:val="none" w:sz="0" w:space="0" w:color="auto"/>
                                <w:left w:val="none" w:sz="0" w:space="0" w:color="auto"/>
                                <w:bottom w:val="none" w:sz="0" w:space="0" w:color="auto"/>
                                <w:right w:val="none" w:sz="0" w:space="0" w:color="auto"/>
                              </w:divBdr>
                              <w:divsChild>
                                <w:div w:id="1706563468">
                                  <w:marLeft w:val="-150"/>
                                  <w:marRight w:val="-150"/>
                                  <w:marTop w:val="0"/>
                                  <w:marBottom w:val="0"/>
                                  <w:divBdr>
                                    <w:top w:val="none" w:sz="0" w:space="0" w:color="auto"/>
                                    <w:left w:val="none" w:sz="0" w:space="0" w:color="auto"/>
                                    <w:bottom w:val="none" w:sz="0" w:space="0" w:color="auto"/>
                                    <w:right w:val="none" w:sz="0" w:space="0" w:color="auto"/>
                                  </w:divBdr>
                                  <w:divsChild>
                                    <w:div w:id="1706563458">
                                      <w:marLeft w:val="0"/>
                                      <w:marRight w:val="0"/>
                                      <w:marTop w:val="0"/>
                                      <w:marBottom w:val="0"/>
                                      <w:divBdr>
                                        <w:top w:val="none" w:sz="0" w:space="0" w:color="auto"/>
                                        <w:left w:val="none" w:sz="0" w:space="0" w:color="auto"/>
                                        <w:bottom w:val="none" w:sz="0" w:space="0" w:color="auto"/>
                                        <w:right w:val="none" w:sz="0" w:space="0" w:color="auto"/>
                                      </w:divBdr>
                                      <w:divsChild>
                                        <w:div w:id="1706563568">
                                          <w:marLeft w:val="0"/>
                                          <w:marRight w:val="0"/>
                                          <w:marTop w:val="0"/>
                                          <w:marBottom w:val="0"/>
                                          <w:divBdr>
                                            <w:top w:val="none" w:sz="0" w:space="0" w:color="auto"/>
                                            <w:left w:val="none" w:sz="0" w:space="0" w:color="auto"/>
                                            <w:bottom w:val="none" w:sz="0" w:space="0" w:color="auto"/>
                                            <w:right w:val="none" w:sz="0" w:space="0" w:color="auto"/>
                                          </w:divBdr>
                                          <w:divsChild>
                                            <w:div w:id="1706563570">
                                              <w:marLeft w:val="-150"/>
                                              <w:marRight w:val="-150"/>
                                              <w:marTop w:val="0"/>
                                              <w:marBottom w:val="0"/>
                                              <w:divBdr>
                                                <w:top w:val="none" w:sz="0" w:space="0" w:color="auto"/>
                                                <w:left w:val="none" w:sz="0" w:space="0" w:color="auto"/>
                                                <w:bottom w:val="none" w:sz="0" w:space="0" w:color="auto"/>
                                                <w:right w:val="none" w:sz="0" w:space="0" w:color="auto"/>
                                              </w:divBdr>
                                              <w:divsChild>
                                                <w:div w:id="1706563444">
                                                  <w:marLeft w:val="0"/>
                                                  <w:marRight w:val="0"/>
                                                  <w:marTop w:val="0"/>
                                                  <w:marBottom w:val="0"/>
                                                  <w:divBdr>
                                                    <w:top w:val="none" w:sz="0" w:space="0" w:color="auto"/>
                                                    <w:left w:val="none" w:sz="0" w:space="0" w:color="auto"/>
                                                    <w:bottom w:val="none" w:sz="0" w:space="0" w:color="auto"/>
                                                    <w:right w:val="none" w:sz="0" w:space="0" w:color="auto"/>
                                                  </w:divBdr>
                                                  <w:divsChild>
                                                    <w:div w:id="1706563484">
                                                      <w:marLeft w:val="0"/>
                                                      <w:marRight w:val="0"/>
                                                      <w:marTop w:val="0"/>
                                                      <w:marBottom w:val="0"/>
                                                      <w:divBdr>
                                                        <w:top w:val="none" w:sz="0" w:space="0" w:color="auto"/>
                                                        <w:left w:val="none" w:sz="0" w:space="0" w:color="auto"/>
                                                        <w:bottom w:val="none" w:sz="0" w:space="0" w:color="auto"/>
                                                        <w:right w:val="none" w:sz="0" w:space="0" w:color="auto"/>
                                                      </w:divBdr>
                                                      <w:divsChild>
                                                        <w:div w:id="1706563509">
                                                          <w:marLeft w:val="0"/>
                                                          <w:marRight w:val="0"/>
                                                          <w:marTop w:val="0"/>
                                                          <w:marBottom w:val="0"/>
                                                          <w:divBdr>
                                                            <w:top w:val="none" w:sz="0" w:space="0" w:color="auto"/>
                                                            <w:left w:val="none" w:sz="0" w:space="0" w:color="auto"/>
                                                            <w:bottom w:val="none" w:sz="0" w:space="0" w:color="auto"/>
                                                            <w:right w:val="none" w:sz="0" w:space="0" w:color="auto"/>
                                                          </w:divBdr>
                                                          <w:divsChild>
                                                            <w:div w:id="1706563554">
                                                              <w:marLeft w:val="0"/>
                                                              <w:marRight w:val="0"/>
                                                              <w:marTop w:val="0"/>
                                                              <w:marBottom w:val="0"/>
                                                              <w:divBdr>
                                                                <w:top w:val="none" w:sz="0" w:space="0" w:color="auto"/>
                                                                <w:left w:val="none" w:sz="0" w:space="0" w:color="auto"/>
                                                                <w:bottom w:val="none" w:sz="0" w:space="0" w:color="auto"/>
                                                                <w:right w:val="none" w:sz="0" w:space="0" w:color="auto"/>
                                                              </w:divBdr>
                                                              <w:divsChild>
                                                                <w:div w:id="170656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6563580">
      <w:marLeft w:val="0"/>
      <w:marRight w:val="0"/>
      <w:marTop w:val="0"/>
      <w:marBottom w:val="0"/>
      <w:divBdr>
        <w:top w:val="none" w:sz="0" w:space="0" w:color="auto"/>
        <w:left w:val="none" w:sz="0" w:space="0" w:color="auto"/>
        <w:bottom w:val="none" w:sz="0" w:space="0" w:color="auto"/>
        <w:right w:val="none" w:sz="0" w:space="0" w:color="auto"/>
      </w:divBdr>
    </w:div>
    <w:div w:id="1706563581">
      <w:marLeft w:val="0"/>
      <w:marRight w:val="0"/>
      <w:marTop w:val="0"/>
      <w:marBottom w:val="0"/>
      <w:divBdr>
        <w:top w:val="none" w:sz="0" w:space="0" w:color="auto"/>
        <w:left w:val="none" w:sz="0" w:space="0" w:color="auto"/>
        <w:bottom w:val="none" w:sz="0" w:space="0" w:color="auto"/>
        <w:right w:val="none" w:sz="0" w:space="0" w:color="auto"/>
      </w:divBdr>
    </w:div>
    <w:div w:id="1706563582">
      <w:marLeft w:val="0"/>
      <w:marRight w:val="0"/>
      <w:marTop w:val="0"/>
      <w:marBottom w:val="0"/>
      <w:divBdr>
        <w:top w:val="none" w:sz="0" w:space="0" w:color="auto"/>
        <w:left w:val="none" w:sz="0" w:space="0" w:color="auto"/>
        <w:bottom w:val="none" w:sz="0" w:space="0" w:color="auto"/>
        <w:right w:val="none" w:sz="0" w:space="0" w:color="auto"/>
      </w:divBdr>
    </w:div>
    <w:div w:id="1706563583">
      <w:marLeft w:val="0"/>
      <w:marRight w:val="0"/>
      <w:marTop w:val="0"/>
      <w:marBottom w:val="0"/>
      <w:divBdr>
        <w:top w:val="none" w:sz="0" w:space="0" w:color="auto"/>
        <w:left w:val="none" w:sz="0" w:space="0" w:color="auto"/>
        <w:bottom w:val="none" w:sz="0" w:space="0" w:color="auto"/>
        <w:right w:val="none" w:sz="0" w:space="0" w:color="auto"/>
      </w:divBdr>
    </w:div>
    <w:div w:id="1706563584">
      <w:marLeft w:val="0"/>
      <w:marRight w:val="0"/>
      <w:marTop w:val="0"/>
      <w:marBottom w:val="0"/>
      <w:divBdr>
        <w:top w:val="none" w:sz="0" w:space="0" w:color="auto"/>
        <w:left w:val="none" w:sz="0" w:space="0" w:color="auto"/>
        <w:bottom w:val="none" w:sz="0" w:space="0" w:color="auto"/>
        <w:right w:val="none" w:sz="0" w:space="0" w:color="auto"/>
      </w:divBdr>
    </w:div>
    <w:div w:id="1706563585">
      <w:marLeft w:val="0"/>
      <w:marRight w:val="0"/>
      <w:marTop w:val="0"/>
      <w:marBottom w:val="0"/>
      <w:divBdr>
        <w:top w:val="none" w:sz="0" w:space="0" w:color="auto"/>
        <w:left w:val="none" w:sz="0" w:space="0" w:color="auto"/>
        <w:bottom w:val="none" w:sz="0" w:space="0" w:color="auto"/>
        <w:right w:val="none" w:sz="0" w:space="0" w:color="auto"/>
      </w:divBdr>
    </w:div>
    <w:div w:id="1706563586">
      <w:marLeft w:val="0"/>
      <w:marRight w:val="0"/>
      <w:marTop w:val="0"/>
      <w:marBottom w:val="0"/>
      <w:divBdr>
        <w:top w:val="none" w:sz="0" w:space="0" w:color="auto"/>
        <w:left w:val="none" w:sz="0" w:space="0" w:color="auto"/>
        <w:bottom w:val="none" w:sz="0" w:space="0" w:color="auto"/>
        <w:right w:val="none" w:sz="0" w:space="0" w:color="auto"/>
      </w:divBdr>
    </w:div>
    <w:div w:id="1706563587">
      <w:marLeft w:val="0"/>
      <w:marRight w:val="0"/>
      <w:marTop w:val="0"/>
      <w:marBottom w:val="0"/>
      <w:divBdr>
        <w:top w:val="none" w:sz="0" w:space="0" w:color="auto"/>
        <w:left w:val="none" w:sz="0" w:space="0" w:color="auto"/>
        <w:bottom w:val="none" w:sz="0" w:space="0" w:color="auto"/>
        <w:right w:val="none" w:sz="0" w:space="0" w:color="auto"/>
      </w:divBdr>
    </w:div>
    <w:div w:id="1706563601">
      <w:marLeft w:val="0"/>
      <w:marRight w:val="0"/>
      <w:marTop w:val="0"/>
      <w:marBottom w:val="0"/>
      <w:divBdr>
        <w:top w:val="none" w:sz="0" w:space="0" w:color="auto"/>
        <w:left w:val="none" w:sz="0" w:space="0" w:color="auto"/>
        <w:bottom w:val="none" w:sz="0" w:space="0" w:color="auto"/>
        <w:right w:val="none" w:sz="0" w:space="0" w:color="auto"/>
      </w:divBdr>
    </w:div>
    <w:div w:id="1706563605">
      <w:marLeft w:val="0"/>
      <w:marRight w:val="0"/>
      <w:marTop w:val="0"/>
      <w:marBottom w:val="0"/>
      <w:divBdr>
        <w:top w:val="none" w:sz="0" w:space="0" w:color="auto"/>
        <w:left w:val="none" w:sz="0" w:space="0" w:color="auto"/>
        <w:bottom w:val="none" w:sz="0" w:space="0" w:color="auto"/>
        <w:right w:val="none" w:sz="0" w:space="0" w:color="auto"/>
      </w:divBdr>
    </w:div>
    <w:div w:id="1706563606">
      <w:marLeft w:val="0"/>
      <w:marRight w:val="0"/>
      <w:marTop w:val="0"/>
      <w:marBottom w:val="0"/>
      <w:divBdr>
        <w:top w:val="none" w:sz="0" w:space="0" w:color="auto"/>
        <w:left w:val="none" w:sz="0" w:space="0" w:color="auto"/>
        <w:bottom w:val="none" w:sz="0" w:space="0" w:color="auto"/>
        <w:right w:val="none" w:sz="0" w:space="0" w:color="auto"/>
      </w:divBdr>
    </w:div>
    <w:div w:id="1706563622">
      <w:marLeft w:val="0"/>
      <w:marRight w:val="0"/>
      <w:marTop w:val="0"/>
      <w:marBottom w:val="0"/>
      <w:divBdr>
        <w:top w:val="none" w:sz="0" w:space="0" w:color="auto"/>
        <w:left w:val="none" w:sz="0" w:space="0" w:color="auto"/>
        <w:bottom w:val="none" w:sz="0" w:space="0" w:color="auto"/>
        <w:right w:val="none" w:sz="0" w:space="0" w:color="auto"/>
      </w:divBdr>
    </w:div>
    <w:div w:id="1706563624">
      <w:marLeft w:val="0"/>
      <w:marRight w:val="0"/>
      <w:marTop w:val="0"/>
      <w:marBottom w:val="0"/>
      <w:divBdr>
        <w:top w:val="none" w:sz="0" w:space="0" w:color="auto"/>
        <w:left w:val="none" w:sz="0" w:space="0" w:color="auto"/>
        <w:bottom w:val="none" w:sz="0" w:space="0" w:color="auto"/>
        <w:right w:val="none" w:sz="0" w:space="0" w:color="auto"/>
      </w:divBdr>
      <w:divsChild>
        <w:div w:id="1706563636">
          <w:marLeft w:val="0"/>
          <w:marRight w:val="1"/>
          <w:marTop w:val="0"/>
          <w:marBottom w:val="0"/>
          <w:divBdr>
            <w:top w:val="none" w:sz="0" w:space="0" w:color="auto"/>
            <w:left w:val="none" w:sz="0" w:space="0" w:color="auto"/>
            <w:bottom w:val="none" w:sz="0" w:space="0" w:color="auto"/>
            <w:right w:val="none" w:sz="0" w:space="0" w:color="auto"/>
          </w:divBdr>
          <w:divsChild>
            <w:div w:id="1706563653">
              <w:marLeft w:val="0"/>
              <w:marRight w:val="0"/>
              <w:marTop w:val="0"/>
              <w:marBottom w:val="0"/>
              <w:divBdr>
                <w:top w:val="none" w:sz="0" w:space="0" w:color="auto"/>
                <w:left w:val="none" w:sz="0" w:space="0" w:color="auto"/>
                <w:bottom w:val="none" w:sz="0" w:space="0" w:color="auto"/>
                <w:right w:val="none" w:sz="0" w:space="0" w:color="auto"/>
              </w:divBdr>
              <w:divsChild>
                <w:div w:id="1706563680">
                  <w:marLeft w:val="0"/>
                  <w:marRight w:val="1"/>
                  <w:marTop w:val="0"/>
                  <w:marBottom w:val="0"/>
                  <w:divBdr>
                    <w:top w:val="none" w:sz="0" w:space="0" w:color="auto"/>
                    <w:left w:val="none" w:sz="0" w:space="0" w:color="auto"/>
                    <w:bottom w:val="none" w:sz="0" w:space="0" w:color="auto"/>
                    <w:right w:val="none" w:sz="0" w:space="0" w:color="auto"/>
                  </w:divBdr>
                  <w:divsChild>
                    <w:div w:id="1706563704">
                      <w:marLeft w:val="0"/>
                      <w:marRight w:val="0"/>
                      <w:marTop w:val="0"/>
                      <w:marBottom w:val="0"/>
                      <w:divBdr>
                        <w:top w:val="none" w:sz="0" w:space="0" w:color="auto"/>
                        <w:left w:val="none" w:sz="0" w:space="0" w:color="auto"/>
                        <w:bottom w:val="none" w:sz="0" w:space="0" w:color="auto"/>
                        <w:right w:val="none" w:sz="0" w:space="0" w:color="auto"/>
                      </w:divBdr>
                      <w:divsChild>
                        <w:div w:id="1706563691">
                          <w:marLeft w:val="0"/>
                          <w:marRight w:val="0"/>
                          <w:marTop w:val="0"/>
                          <w:marBottom w:val="0"/>
                          <w:divBdr>
                            <w:top w:val="none" w:sz="0" w:space="0" w:color="auto"/>
                            <w:left w:val="none" w:sz="0" w:space="0" w:color="auto"/>
                            <w:bottom w:val="none" w:sz="0" w:space="0" w:color="auto"/>
                            <w:right w:val="none" w:sz="0" w:space="0" w:color="auto"/>
                          </w:divBdr>
                          <w:divsChild>
                            <w:div w:id="1706563698">
                              <w:marLeft w:val="0"/>
                              <w:marRight w:val="0"/>
                              <w:marTop w:val="120"/>
                              <w:marBottom w:val="360"/>
                              <w:divBdr>
                                <w:top w:val="none" w:sz="0" w:space="0" w:color="auto"/>
                                <w:left w:val="none" w:sz="0" w:space="0" w:color="auto"/>
                                <w:bottom w:val="none" w:sz="0" w:space="0" w:color="auto"/>
                                <w:right w:val="none" w:sz="0" w:space="0" w:color="auto"/>
                              </w:divBdr>
                              <w:divsChild>
                                <w:div w:id="1706563720">
                                  <w:marLeft w:val="0"/>
                                  <w:marRight w:val="0"/>
                                  <w:marTop w:val="0"/>
                                  <w:marBottom w:val="0"/>
                                  <w:divBdr>
                                    <w:top w:val="none" w:sz="0" w:space="0" w:color="auto"/>
                                    <w:left w:val="none" w:sz="0" w:space="0" w:color="auto"/>
                                    <w:bottom w:val="none" w:sz="0" w:space="0" w:color="auto"/>
                                    <w:right w:val="none" w:sz="0" w:space="0" w:color="auto"/>
                                  </w:divBdr>
                                  <w:divsChild>
                                    <w:div w:id="170656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6563626">
      <w:marLeft w:val="0"/>
      <w:marRight w:val="0"/>
      <w:marTop w:val="0"/>
      <w:marBottom w:val="0"/>
      <w:divBdr>
        <w:top w:val="none" w:sz="0" w:space="0" w:color="auto"/>
        <w:left w:val="none" w:sz="0" w:space="0" w:color="auto"/>
        <w:bottom w:val="none" w:sz="0" w:space="0" w:color="auto"/>
        <w:right w:val="none" w:sz="0" w:space="0" w:color="auto"/>
      </w:divBdr>
    </w:div>
    <w:div w:id="1706563632">
      <w:marLeft w:val="0"/>
      <w:marRight w:val="0"/>
      <w:marTop w:val="0"/>
      <w:marBottom w:val="0"/>
      <w:divBdr>
        <w:top w:val="none" w:sz="0" w:space="0" w:color="auto"/>
        <w:left w:val="none" w:sz="0" w:space="0" w:color="auto"/>
        <w:bottom w:val="none" w:sz="0" w:space="0" w:color="auto"/>
        <w:right w:val="none" w:sz="0" w:space="0" w:color="auto"/>
      </w:divBdr>
    </w:div>
    <w:div w:id="1706563633">
      <w:marLeft w:val="0"/>
      <w:marRight w:val="0"/>
      <w:marTop w:val="0"/>
      <w:marBottom w:val="0"/>
      <w:divBdr>
        <w:top w:val="none" w:sz="0" w:space="0" w:color="auto"/>
        <w:left w:val="none" w:sz="0" w:space="0" w:color="auto"/>
        <w:bottom w:val="none" w:sz="0" w:space="0" w:color="auto"/>
        <w:right w:val="none" w:sz="0" w:space="0" w:color="auto"/>
      </w:divBdr>
    </w:div>
    <w:div w:id="1706563651">
      <w:marLeft w:val="0"/>
      <w:marRight w:val="0"/>
      <w:marTop w:val="0"/>
      <w:marBottom w:val="0"/>
      <w:divBdr>
        <w:top w:val="none" w:sz="0" w:space="0" w:color="auto"/>
        <w:left w:val="none" w:sz="0" w:space="0" w:color="auto"/>
        <w:bottom w:val="none" w:sz="0" w:space="0" w:color="auto"/>
        <w:right w:val="none" w:sz="0" w:space="0" w:color="auto"/>
      </w:divBdr>
      <w:divsChild>
        <w:div w:id="1706563714">
          <w:marLeft w:val="0"/>
          <w:marRight w:val="1"/>
          <w:marTop w:val="0"/>
          <w:marBottom w:val="0"/>
          <w:divBdr>
            <w:top w:val="none" w:sz="0" w:space="0" w:color="auto"/>
            <w:left w:val="none" w:sz="0" w:space="0" w:color="auto"/>
            <w:bottom w:val="none" w:sz="0" w:space="0" w:color="auto"/>
            <w:right w:val="none" w:sz="0" w:space="0" w:color="auto"/>
          </w:divBdr>
          <w:divsChild>
            <w:div w:id="1706563688">
              <w:marLeft w:val="0"/>
              <w:marRight w:val="0"/>
              <w:marTop w:val="0"/>
              <w:marBottom w:val="0"/>
              <w:divBdr>
                <w:top w:val="none" w:sz="0" w:space="0" w:color="auto"/>
                <w:left w:val="none" w:sz="0" w:space="0" w:color="auto"/>
                <w:bottom w:val="none" w:sz="0" w:space="0" w:color="auto"/>
                <w:right w:val="none" w:sz="0" w:space="0" w:color="auto"/>
              </w:divBdr>
              <w:divsChild>
                <w:div w:id="1706563619">
                  <w:marLeft w:val="0"/>
                  <w:marRight w:val="1"/>
                  <w:marTop w:val="0"/>
                  <w:marBottom w:val="0"/>
                  <w:divBdr>
                    <w:top w:val="none" w:sz="0" w:space="0" w:color="auto"/>
                    <w:left w:val="none" w:sz="0" w:space="0" w:color="auto"/>
                    <w:bottom w:val="none" w:sz="0" w:space="0" w:color="auto"/>
                    <w:right w:val="none" w:sz="0" w:space="0" w:color="auto"/>
                  </w:divBdr>
                  <w:divsChild>
                    <w:div w:id="1706563669">
                      <w:marLeft w:val="0"/>
                      <w:marRight w:val="0"/>
                      <w:marTop w:val="0"/>
                      <w:marBottom w:val="0"/>
                      <w:divBdr>
                        <w:top w:val="none" w:sz="0" w:space="0" w:color="auto"/>
                        <w:left w:val="none" w:sz="0" w:space="0" w:color="auto"/>
                        <w:bottom w:val="none" w:sz="0" w:space="0" w:color="auto"/>
                        <w:right w:val="none" w:sz="0" w:space="0" w:color="auto"/>
                      </w:divBdr>
                      <w:divsChild>
                        <w:div w:id="1706563685">
                          <w:marLeft w:val="0"/>
                          <w:marRight w:val="0"/>
                          <w:marTop w:val="0"/>
                          <w:marBottom w:val="0"/>
                          <w:divBdr>
                            <w:top w:val="none" w:sz="0" w:space="0" w:color="auto"/>
                            <w:left w:val="none" w:sz="0" w:space="0" w:color="auto"/>
                            <w:bottom w:val="none" w:sz="0" w:space="0" w:color="auto"/>
                            <w:right w:val="none" w:sz="0" w:space="0" w:color="auto"/>
                          </w:divBdr>
                          <w:divsChild>
                            <w:div w:id="1706563702">
                              <w:marLeft w:val="0"/>
                              <w:marRight w:val="0"/>
                              <w:marTop w:val="120"/>
                              <w:marBottom w:val="360"/>
                              <w:divBdr>
                                <w:top w:val="none" w:sz="0" w:space="0" w:color="auto"/>
                                <w:left w:val="none" w:sz="0" w:space="0" w:color="auto"/>
                                <w:bottom w:val="none" w:sz="0" w:space="0" w:color="auto"/>
                                <w:right w:val="none" w:sz="0" w:space="0" w:color="auto"/>
                              </w:divBdr>
                              <w:divsChild>
                                <w:div w:id="1706563607">
                                  <w:marLeft w:val="0"/>
                                  <w:marRight w:val="0"/>
                                  <w:marTop w:val="0"/>
                                  <w:marBottom w:val="0"/>
                                  <w:divBdr>
                                    <w:top w:val="none" w:sz="0" w:space="0" w:color="auto"/>
                                    <w:left w:val="none" w:sz="0" w:space="0" w:color="auto"/>
                                    <w:bottom w:val="none" w:sz="0" w:space="0" w:color="auto"/>
                                    <w:right w:val="none" w:sz="0" w:space="0" w:color="auto"/>
                                  </w:divBdr>
                                </w:div>
                                <w:div w:id="170656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563656">
      <w:marLeft w:val="0"/>
      <w:marRight w:val="0"/>
      <w:marTop w:val="0"/>
      <w:marBottom w:val="0"/>
      <w:divBdr>
        <w:top w:val="none" w:sz="0" w:space="0" w:color="auto"/>
        <w:left w:val="none" w:sz="0" w:space="0" w:color="auto"/>
        <w:bottom w:val="none" w:sz="0" w:space="0" w:color="auto"/>
        <w:right w:val="none" w:sz="0" w:space="0" w:color="auto"/>
      </w:divBdr>
    </w:div>
    <w:div w:id="1706563658">
      <w:marLeft w:val="0"/>
      <w:marRight w:val="0"/>
      <w:marTop w:val="0"/>
      <w:marBottom w:val="0"/>
      <w:divBdr>
        <w:top w:val="none" w:sz="0" w:space="0" w:color="auto"/>
        <w:left w:val="none" w:sz="0" w:space="0" w:color="auto"/>
        <w:bottom w:val="none" w:sz="0" w:space="0" w:color="auto"/>
        <w:right w:val="none" w:sz="0" w:space="0" w:color="auto"/>
      </w:divBdr>
      <w:divsChild>
        <w:div w:id="1706563625">
          <w:marLeft w:val="0"/>
          <w:marRight w:val="0"/>
          <w:marTop w:val="0"/>
          <w:marBottom w:val="0"/>
          <w:divBdr>
            <w:top w:val="none" w:sz="0" w:space="0" w:color="auto"/>
            <w:left w:val="none" w:sz="0" w:space="0" w:color="auto"/>
            <w:bottom w:val="none" w:sz="0" w:space="0" w:color="auto"/>
            <w:right w:val="none" w:sz="0" w:space="0" w:color="auto"/>
          </w:divBdr>
          <w:divsChild>
            <w:div w:id="1706563643">
              <w:marLeft w:val="0"/>
              <w:marRight w:val="0"/>
              <w:marTop w:val="0"/>
              <w:marBottom w:val="0"/>
              <w:divBdr>
                <w:top w:val="none" w:sz="0" w:space="0" w:color="auto"/>
                <w:left w:val="none" w:sz="0" w:space="0" w:color="auto"/>
                <w:bottom w:val="none" w:sz="0" w:space="0" w:color="auto"/>
                <w:right w:val="none" w:sz="0" w:space="0" w:color="auto"/>
              </w:divBdr>
              <w:divsChild>
                <w:div w:id="1706563694">
                  <w:marLeft w:val="0"/>
                  <w:marRight w:val="0"/>
                  <w:marTop w:val="0"/>
                  <w:marBottom w:val="0"/>
                  <w:divBdr>
                    <w:top w:val="none" w:sz="0" w:space="0" w:color="auto"/>
                    <w:left w:val="none" w:sz="0" w:space="0" w:color="auto"/>
                    <w:bottom w:val="none" w:sz="0" w:space="0" w:color="auto"/>
                    <w:right w:val="none" w:sz="0" w:space="0" w:color="auto"/>
                  </w:divBdr>
                  <w:divsChild>
                    <w:div w:id="1706563640">
                      <w:marLeft w:val="0"/>
                      <w:marRight w:val="0"/>
                      <w:marTop w:val="0"/>
                      <w:marBottom w:val="0"/>
                      <w:divBdr>
                        <w:top w:val="none" w:sz="0" w:space="0" w:color="auto"/>
                        <w:left w:val="none" w:sz="0" w:space="0" w:color="auto"/>
                        <w:bottom w:val="none" w:sz="0" w:space="0" w:color="auto"/>
                        <w:right w:val="none" w:sz="0" w:space="0" w:color="auto"/>
                      </w:divBdr>
                      <w:divsChild>
                        <w:div w:id="1706563612">
                          <w:marLeft w:val="0"/>
                          <w:marRight w:val="0"/>
                          <w:marTop w:val="0"/>
                          <w:marBottom w:val="0"/>
                          <w:divBdr>
                            <w:top w:val="none" w:sz="0" w:space="0" w:color="auto"/>
                            <w:left w:val="none" w:sz="0" w:space="0" w:color="auto"/>
                            <w:bottom w:val="none" w:sz="0" w:space="0" w:color="auto"/>
                            <w:right w:val="none" w:sz="0" w:space="0" w:color="auto"/>
                          </w:divBdr>
                          <w:divsChild>
                            <w:div w:id="1706563730">
                              <w:marLeft w:val="0"/>
                              <w:marRight w:val="0"/>
                              <w:marTop w:val="0"/>
                              <w:marBottom w:val="0"/>
                              <w:divBdr>
                                <w:top w:val="none" w:sz="0" w:space="0" w:color="auto"/>
                                <w:left w:val="none" w:sz="0" w:space="0" w:color="auto"/>
                                <w:bottom w:val="none" w:sz="0" w:space="0" w:color="auto"/>
                                <w:right w:val="none" w:sz="0" w:space="0" w:color="auto"/>
                              </w:divBdr>
                              <w:divsChild>
                                <w:div w:id="1706563686">
                                  <w:marLeft w:val="-150"/>
                                  <w:marRight w:val="-150"/>
                                  <w:marTop w:val="0"/>
                                  <w:marBottom w:val="0"/>
                                  <w:divBdr>
                                    <w:top w:val="none" w:sz="0" w:space="0" w:color="auto"/>
                                    <w:left w:val="none" w:sz="0" w:space="0" w:color="auto"/>
                                    <w:bottom w:val="none" w:sz="0" w:space="0" w:color="auto"/>
                                    <w:right w:val="none" w:sz="0" w:space="0" w:color="auto"/>
                                  </w:divBdr>
                                  <w:divsChild>
                                    <w:div w:id="1706563595">
                                      <w:marLeft w:val="0"/>
                                      <w:marRight w:val="0"/>
                                      <w:marTop w:val="0"/>
                                      <w:marBottom w:val="0"/>
                                      <w:divBdr>
                                        <w:top w:val="none" w:sz="0" w:space="0" w:color="auto"/>
                                        <w:left w:val="none" w:sz="0" w:space="0" w:color="auto"/>
                                        <w:bottom w:val="none" w:sz="0" w:space="0" w:color="auto"/>
                                        <w:right w:val="none" w:sz="0" w:space="0" w:color="auto"/>
                                      </w:divBdr>
                                      <w:divsChild>
                                        <w:div w:id="1706563676">
                                          <w:marLeft w:val="0"/>
                                          <w:marRight w:val="0"/>
                                          <w:marTop w:val="0"/>
                                          <w:marBottom w:val="0"/>
                                          <w:divBdr>
                                            <w:top w:val="none" w:sz="0" w:space="0" w:color="auto"/>
                                            <w:left w:val="none" w:sz="0" w:space="0" w:color="auto"/>
                                            <w:bottom w:val="none" w:sz="0" w:space="0" w:color="auto"/>
                                            <w:right w:val="none" w:sz="0" w:space="0" w:color="auto"/>
                                          </w:divBdr>
                                          <w:divsChild>
                                            <w:div w:id="1706563621">
                                              <w:marLeft w:val="-150"/>
                                              <w:marRight w:val="-150"/>
                                              <w:marTop w:val="0"/>
                                              <w:marBottom w:val="0"/>
                                              <w:divBdr>
                                                <w:top w:val="none" w:sz="0" w:space="0" w:color="auto"/>
                                                <w:left w:val="none" w:sz="0" w:space="0" w:color="auto"/>
                                                <w:bottom w:val="none" w:sz="0" w:space="0" w:color="auto"/>
                                                <w:right w:val="none" w:sz="0" w:space="0" w:color="auto"/>
                                              </w:divBdr>
                                              <w:divsChild>
                                                <w:div w:id="1706563703">
                                                  <w:marLeft w:val="0"/>
                                                  <w:marRight w:val="0"/>
                                                  <w:marTop w:val="0"/>
                                                  <w:marBottom w:val="0"/>
                                                  <w:divBdr>
                                                    <w:top w:val="none" w:sz="0" w:space="0" w:color="auto"/>
                                                    <w:left w:val="none" w:sz="0" w:space="0" w:color="auto"/>
                                                    <w:bottom w:val="none" w:sz="0" w:space="0" w:color="auto"/>
                                                    <w:right w:val="none" w:sz="0" w:space="0" w:color="auto"/>
                                                  </w:divBdr>
                                                  <w:divsChild>
                                                    <w:div w:id="1706563674">
                                                      <w:marLeft w:val="0"/>
                                                      <w:marRight w:val="0"/>
                                                      <w:marTop w:val="0"/>
                                                      <w:marBottom w:val="0"/>
                                                      <w:divBdr>
                                                        <w:top w:val="none" w:sz="0" w:space="0" w:color="auto"/>
                                                        <w:left w:val="none" w:sz="0" w:space="0" w:color="auto"/>
                                                        <w:bottom w:val="none" w:sz="0" w:space="0" w:color="auto"/>
                                                        <w:right w:val="none" w:sz="0" w:space="0" w:color="auto"/>
                                                      </w:divBdr>
                                                      <w:divsChild>
                                                        <w:div w:id="1706563635">
                                                          <w:marLeft w:val="0"/>
                                                          <w:marRight w:val="0"/>
                                                          <w:marTop w:val="0"/>
                                                          <w:marBottom w:val="0"/>
                                                          <w:divBdr>
                                                            <w:top w:val="none" w:sz="0" w:space="0" w:color="auto"/>
                                                            <w:left w:val="none" w:sz="0" w:space="0" w:color="auto"/>
                                                            <w:bottom w:val="none" w:sz="0" w:space="0" w:color="auto"/>
                                                            <w:right w:val="none" w:sz="0" w:space="0" w:color="auto"/>
                                                          </w:divBdr>
                                                          <w:divsChild>
                                                            <w:div w:id="1706563731">
                                                              <w:marLeft w:val="0"/>
                                                              <w:marRight w:val="0"/>
                                                              <w:marTop w:val="0"/>
                                                              <w:marBottom w:val="0"/>
                                                              <w:divBdr>
                                                                <w:top w:val="none" w:sz="0" w:space="0" w:color="auto"/>
                                                                <w:left w:val="none" w:sz="0" w:space="0" w:color="auto"/>
                                                                <w:bottom w:val="none" w:sz="0" w:space="0" w:color="auto"/>
                                                                <w:right w:val="none" w:sz="0" w:space="0" w:color="auto"/>
                                                              </w:divBdr>
                                                              <w:divsChild>
                                                                <w:div w:id="1706563628">
                                                                  <w:marLeft w:val="0"/>
                                                                  <w:marRight w:val="0"/>
                                                                  <w:marTop w:val="0"/>
                                                                  <w:marBottom w:val="0"/>
                                                                  <w:divBdr>
                                                                    <w:top w:val="none" w:sz="0" w:space="0" w:color="auto"/>
                                                                    <w:left w:val="none" w:sz="0" w:space="0" w:color="auto"/>
                                                                    <w:bottom w:val="none" w:sz="0" w:space="0" w:color="auto"/>
                                                                    <w:right w:val="none" w:sz="0" w:space="0" w:color="auto"/>
                                                                  </w:divBdr>
                                                                  <w:divsChild>
                                                                    <w:div w:id="1706563604">
                                                                      <w:marLeft w:val="0"/>
                                                                      <w:marRight w:val="0"/>
                                                                      <w:marTop w:val="0"/>
                                                                      <w:marBottom w:val="0"/>
                                                                      <w:divBdr>
                                                                        <w:top w:val="none" w:sz="0" w:space="0" w:color="auto"/>
                                                                        <w:left w:val="none" w:sz="0" w:space="0" w:color="auto"/>
                                                                        <w:bottom w:val="none" w:sz="0" w:space="0" w:color="auto"/>
                                                                        <w:right w:val="none" w:sz="0" w:space="0" w:color="auto"/>
                                                                      </w:divBdr>
                                                                      <w:divsChild>
                                                                        <w:div w:id="1706563596">
                                                                          <w:marLeft w:val="0"/>
                                                                          <w:marRight w:val="0"/>
                                                                          <w:marTop w:val="0"/>
                                                                          <w:marBottom w:val="0"/>
                                                                          <w:divBdr>
                                                                            <w:top w:val="none" w:sz="0" w:space="0" w:color="auto"/>
                                                                            <w:left w:val="none" w:sz="0" w:space="0" w:color="auto"/>
                                                                            <w:bottom w:val="none" w:sz="0" w:space="0" w:color="auto"/>
                                                                            <w:right w:val="none" w:sz="0" w:space="0" w:color="auto"/>
                                                                          </w:divBdr>
                                                                          <w:divsChild>
                                                                            <w:div w:id="1706563728">
                                                                              <w:marLeft w:val="0"/>
                                                                              <w:marRight w:val="0"/>
                                                                              <w:marTop w:val="0"/>
                                                                              <w:marBottom w:val="0"/>
                                                                              <w:divBdr>
                                                                                <w:top w:val="none" w:sz="0" w:space="0" w:color="auto"/>
                                                                                <w:left w:val="none" w:sz="0" w:space="0" w:color="auto"/>
                                                                                <w:bottom w:val="none" w:sz="0" w:space="0" w:color="auto"/>
                                                                                <w:right w:val="none" w:sz="0" w:space="0" w:color="auto"/>
                                                                              </w:divBdr>
                                                                            </w:div>
                                                                          </w:divsChild>
                                                                        </w:div>
                                                                        <w:div w:id="1706563600">
                                                                          <w:marLeft w:val="0"/>
                                                                          <w:marRight w:val="0"/>
                                                                          <w:marTop w:val="0"/>
                                                                          <w:marBottom w:val="0"/>
                                                                          <w:divBdr>
                                                                            <w:top w:val="none" w:sz="0" w:space="0" w:color="auto"/>
                                                                            <w:left w:val="none" w:sz="0" w:space="0" w:color="auto"/>
                                                                            <w:bottom w:val="none" w:sz="0" w:space="0" w:color="auto"/>
                                                                            <w:right w:val="none" w:sz="0" w:space="0" w:color="auto"/>
                                                                          </w:divBdr>
                                                                          <w:divsChild>
                                                                            <w:div w:id="1706563589">
                                                                              <w:marLeft w:val="0"/>
                                                                              <w:marRight w:val="0"/>
                                                                              <w:marTop w:val="0"/>
                                                                              <w:marBottom w:val="0"/>
                                                                              <w:divBdr>
                                                                                <w:top w:val="none" w:sz="0" w:space="0" w:color="auto"/>
                                                                                <w:left w:val="none" w:sz="0" w:space="0" w:color="auto"/>
                                                                                <w:bottom w:val="none" w:sz="0" w:space="0" w:color="auto"/>
                                                                                <w:right w:val="none" w:sz="0" w:space="0" w:color="auto"/>
                                                                              </w:divBdr>
                                                                            </w:div>
                                                                          </w:divsChild>
                                                                        </w:div>
                                                                        <w:div w:id="1706563603">
                                                                          <w:marLeft w:val="0"/>
                                                                          <w:marRight w:val="0"/>
                                                                          <w:marTop w:val="0"/>
                                                                          <w:marBottom w:val="0"/>
                                                                          <w:divBdr>
                                                                            <w:top w:val="none" w:sz="0" w:space="0" w:color="auto"/>
                                                                            <w:left w:val="none" w:sz="0" w:space="0" w:color="auto"/>
                                                                            <w:bottom w:val="none" w:sz="0" w:space="0" w:color="auto"/>
                                                                            <w:right w:val="none" w:sz="0" w:space="0" w:color="auto"/>
                                                                          </w:divBdr>
                                                                          <w:divsChild>
                                                                            <w:div w:id="1706563662">
                                                                              <w:marLeft w:val="0"/>
                                                                              <w:marRight w:val="0"/>
                                                                              <w:marTop w:val="0"/>
                                                                              <w:marBottom w:val="0"/>
                                                                              <w:divBdr>
                                                                                <w:top w:val="none" w:sz="0" w:space="0" w:color="auto"/>
                                                                                <w:left w:val="none" w:sz="0" w:space="0" w:color="auto"/>
                                                                                <w:bottom w:val="none" w:sz="0" w:space="0" w:color="auto"/>
                                                                                <w:right w:val="none" w:sz="0" w:space="0" w:color="auto"/>
                                                                              </w:divBdr>
                                                                            </w:div>
                                                                          </w:divsChild>
                                                                        </w:div>
                                                                        <w:div w:id="1706563634">
                                                                          <w:marLeft w:val="0"/>
                                                                          <w:marRight w:val="0"/>
                                                                          <w:marTop w:val="0"/>
                                                                          <w:marBottom w:val="0"/>
                                                                          <w:divBdr>
                                                                            <w:top w:val="none" w:sz="0" w:space="0" w:color="auto"/>
                                                                            <w:left w:val="none" w:sz="0" w:space="0" w:color="auto"/>
                                                                            <w:bottom w:val="none" w:sz="0" w:space="0" w:color="auto"/>
                                                                            <w:right w:val="none" w:sz="0" w:space="0" w:color="auto"/>
                                                                          </w:divBdr>
                                                                          <w:divsChild>
                                                                            <w:div w:id="1706563611">
                                                                              <w:marLeft w:val="0"/>
                                                                              <w:marRight w:val="0"/>
                                                                              <w:marTop w:val="0"/>
                                                                              <w:marBottom w:val="0"/>
                                                                              <w:divBdr>
                                                                                <w:top w:val="none" w:sz="0" w:space="0" w:color="auto"/>
                                                                                <w:left w:val="none" w:sz="0" w:space="0" w:color="auto"/>
                                                                                <w:bottom w:val="none" w:sz="0" w:space="0" w:color="auto"/>
                                                                                <w:right w:val="none" w:sz="0" w:space="0" w:color="auto"/>
                                                                              </w:divBdr>
                                                                            </w:div>
                                                                          </w:divsChild>
                                                                        </w:div>
                                                                        <w:div w:id="1706563705">
                                                                          <w:marLeft w:val="0"/>
                                                                          <w:marRight w:val="0"/>
                                                                          <w:marTop w:val="0"/>
                                                                          <w:marBottom w:val="0"/>
                                                                          <w:divBdr>
                                                                            <w:top w:val="none" w:sz="0" w:space="0" w:color="auto"/>
                                                                            <w:left w:val="none" w:sz="0" w:space="0" w:color="auto"/>
                                                                            <w:bottom w:val="none" w:sz="0" w:space="0" w:color="auto"/>
                                                                            <w:right w:val="none" w:sz="0" w:space="0" w:color="auto"/>
                                                                          </w:divBdr>
                                                                          <w:divsChild>
                                                                            <w:div w:id="1706563684">
                                                                              <w:marLeft w:val="0"/>
                                                                              <w:marRight w:val="0"/>
                                                                              <w:marTop w:val="0"/>
                                                                              <w:marBottom w:val="0"/>
                                                                              <w:divBdr>
                                                                                <w:top w:val="none" w:sz="0" w:space="0" w:color="auto"/>
                                                                                <w:left w:val="none" w:sz="0" w:space="0" w:color="auto"/>
                                                                                <w:bottom w:val="none" w:sz="0" w:space="0" w:color="auto"/>
                                                                                <w:right w:val="none" w:sz="0" w:space="0" w:color="auto"/>
                                                                              </w:divBdr>
                                                                            </w:div>
                                                                          </w:divsChild>
                                                                        </w:div>
                                                                        <w:div w:id="1706563719">
                                                                          <w:marLeft w:val="0"/>
                                                                          <w:marRight w:val="0"/>
                                                                          <w:marTop w:val="0"/>
                                                                          <w:marBottom w:val="0"/>
                                                                          <w:divBdr>
                                                                            <w:top w:val="none" w:sz="0" w:space="0" w:color="auto"/>
                                                                            <w:left w:val="none" w:sz="0" w:space="0" w:color="auto"/>
                                                                            <w:bottom w:val="none" w:sz="0" w:space="0" w:color="auto"/>
                                                                            <w:right w:val="none" w:sz="0" w:space="0" w:color="auto"/>
                                                                          </w:divBdr>
                                                                          <w:divsChild>
                                                                            <w:div w:id="170656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563661">
      <w:marLeft w:val="0"/>
      <w:marRight w:val="0"/>
      <w:marTop w:val="0"/>
      <w:marBottom w:val="0"/>
      <w:divBdr>
        <w:top w:val="none" w:sz="0" w:space="0" w:color="auto"/>
        <w:left w:val="none" w:sz="0" w:space="0" w:color="auto"/>
        <w:bottom w:val="none" w:sz="0" w:space="0" w:color="auto"/>
        <w:right w:val="none" w:sz="0" w:space="0" w:color="auto"/>
      </w:divBdr>
    </w:div>
    <w:div w:id="1706563666">
      <w:marLeft w:val="0"/>
      <w:marRight w:val="0"/>
      <w:marTop w:val="0"/>
      <w:marBottom w:val="0"/>
      <w:divBdr>
        <w:top w:val="none" w:sz="0" w:space="0" w:color="auto"/>
        <w:left w:val="none" w:sz="0" w:space="0" w:color="auto"/>
        <w:bottom w:val="none" w:sz="0" w:space="0" w:color="auto"/>
        <w:right w:val="none" w:sz="0" w:space="0" w:color="auto"/>
      </w:divBdr>
    </w:div>
    <w:div w:id="1706563667">
      <w:marLeft w:val="0"/>
      <w:marRight w:val="0"/>
      <w:marTop w:val="0"/>
      <w:marBottom w:val="0"/>
      <w:divBdr>
        <w:top w:val="none" w:sz="0" w:space="0" w:color="auto"/>
        <w:left w:val="none" w:sz="0" w:space="0" w:color="auto"/>
        <w:bottom w:val="none" w:sz="0" w:space="0" w:color="auto"/>
        <w:right w:val="none" w:sz="0" w:space="0" w:color="auto"/>
      </w:divBdr>
    </w:div>
    <w:div w:id="1706563673">
      <w:marLeft w:val="0"/>
      <w:marRight w:val="0"/>
      <w:marTop w:val="0"/>
      <w:marBottom w:val="0"/>
      <w:divBdr>
        <w:top w:val="none" w:sz="0" w:space="0" w:color="auto"/>
        <w:left w:val="none" w:sz="0" w:space="0" w:color="auto"/>
        <w:bottom w:val="none" w:sz="0" w:space="0" w:color="auto"/>
        <w:right w:val="none" w:sz="0" w:space="0" w:color="auto"/>
      </w:divBdr>
    </w:div>
    <w:div w:id="1706563678">
      <w:marLeft w:val="0"/>
      <w:marRight w:val="0"/>
      <w:marTop w:val="0"/>
      <w:marBottom w:val="0"/>
      <w:divBdr>
        <w:top w:val="none" w:sz="0" w:space="0" w:color="auto"/>
        <w:left w:val="none" w:sz="0" w:space="0" w:color="auto"/>
        <w:bottom w:val="none" w:sz="0" w:space="0" w:color="auto"/>
        <w:right w:val="none" w:sz="0" w:space="0" w:color="auto"/>
      </w:divBdr>
    </w:div>
    <w:div w:id="1706563679">
      <w:marLeft w:val="0"/>
      <w:marRight w:val="0"/>
      <w:marTop w:val="0"/>
      <w:marBottom w:val="0"/>
      <w:divBdr>
        <w:top w:val="none" w:sz="0" w:space="0" w:color="auto"/>
        <w:left w:val="none" w:sz="0" w:space="0" w:color="auto"/>
        <w:bottom w:val="none" w:sz="0" w:space="0" w:color="auto"/>
        <w:right w:val="none" w:sz="0" w:space="0" w:color="auto"/>
      </w:divBdr>
    </w:div>
    <w:div w:id="1706563681">
      <w:marLeft w:val="0"/>
      <w:marRight w:val="0"/>
      <w:marTop w:val="0"/>
      <w:marBottom w:val="0"/>
      <w:divBdr>
        <w:top w:val="none" w:sz="0" w:space="0" w:color="auto"/>
        <w:left w:val="none" w:sz="0" w:space="0" w:color="auto"/>
        <w:bottom w:val="none" w:sz="0" w:space="0" w:color="auto"/>
        <w:right w:val="none" w:sz="0" w:space="0" w:color="auto"/>
      </w:divBdr>
    </w:div>
    <w:div w:id="1706563689">
      <w:marLeft w:val="0"/>
      <w:marRight w:val="0"/>
      <w:marTop w:val="0"/>
      <w:marBottom w:val="0"/>
      <w:divBdr>
        <w:top w:val="none" w:sz="0" w:space="0" w:color="auto"/>
        <w:left w:val="none" w:sz="0" w:space="0" w:color="auto"/>
        <w:bottom w:val="none" w:sz="0" w:space="0" w:color="auto"/>
        <w:right w:val="none" w:sz="0" w:space="0" w:color="auto"/>
      </w:divBdr>
    </w:div>
    <w:div w:id="1706563690">
      <w:marLeft w:val="0"/>
      <w:marRight w:val="0"/>
      <w:marTop w:val="0"/>
      <w:marBottom w:val="0"/>
      <w:divBdr>
        <w:top w:val="none" w:sz="0" w:space="0" w:color="auto"/>
        <w:left w:val="none" w:sz="0" w:space="0" w:color="auto"/>
        <w:bottom w:val="none" w:sz="0" w:space="0" w:color="auto"/>
        <w:right w:val="none" w:sz="0" w:space="0" w:color="auto"/>
      </w:divBdr>
    </w:div>
    <w:div w:id="1706563693">
      <w:marLeft w:val="0"/>
      <w:marRight w:val="0"/>
      <w:marTop w:val="0"/>
      <w:marBottom w:val="0"/>
      <w:divBdr>
        <w:top w:val="none" w:sz="0" w:space="0" w:color="auto"/>
        <w:left w:val="none" w:sz="0" w:space="0" w:color="auto"/>
        <w:bottom w:val="none" w:sz="0" w:space="0" w:color="auto"/>
        <w:right w:val="none" w:sz="0" w:space="0" w:color="auto"/>
      </w:divBdr>
    </w:div>
    <w:div w:id="1706563695">
      <w:marLeft w:val="0"/>
      <w:marRight w:val="0"/>
      <w:marTop w:val="0"/>
      <w:marBottom w:val="0"/>
      <w:divBdr>
        <w:top w:val="none" w:sz="0" w:space="0" w:color="auto"/>
        <w:left w:val="none" w:sz="0" w:space="0" w:color="auto"/>
        <w:bottom w:val="none" w:sz="0" w:space="0" w:color="auto"/>
        <w:right w:val="none" w:sz="0" w:space="0" w:color="auto"/>
      </w:divBdr>
      <w:divsChild>
        <w:div w:id="1706563724">
          <w:marLeft w:val="0"/>
          <w:marRight w:val="0"/>
          <w:marTop w:val="34"/>
          <w:marBottom w:val="34"/>
          <w:divBdr>
            <w:top w:val="none" w:sz="0" w:space="0" w:color="auto"/>
            <w:left w:val="none" w:sz="0" w:space="0" w:color="auto"/>
            <w:bottom w:val="none" w:sz="0" w:space="0" w:color="auto"/>
            <w:right w:val="none" w:sz="0" w:space="0" w:color="auto"/>
          </w:divBdr>
        </w:div>
      </w:divsChild>
    </w:div>
    <w:div w:id="1706563696">
      <w:marLeft w:val="0"/>
      <w:marRight w:val="0"/>
      <w:marTop w:val="0"/>
      <w:marBottom w:val="0"/>
      <w:divBdr>
        <w:top w:val="none" w:sz="0" w:space="0" w:color="auto"/>
        <w:left w:val="none" w:sz="0" w:space="0" w:color="auto"/>
        <w:bottom w:val="none" w:sz="0" w:space="0" w:color="auto"/>
        <w:right w:val="none" w:sz="0" w:space="0" w:color="auto"/>
      </w:divBdr>
    </w:div>
    <w:div w:id="1706563697">
      <w:marLeft w:val="0"/>
      <w:marRight w:val="0"/>
      <w:marTop w:val="0"/>
      <w:marBottom w:val="0"/>
      <w:divBdr>
        <w:top w:val="none" w:sz="0" w:space="0" w:color="auto"/>
        <w:left w:val="none" w:sz="0" w:space="0" w:color="auto"/>
        <w:bottom w:val="none" w:sz="0" w:space="0" w:color="auto"/>
        <w:right w:val="none" w:sz="0" w:space="0" w:color="auto"/>
      </w:divBdr>
    </w:div>
    <w:div w:id="1706563699">
      <w:marLeft w:val="0"/>
      <w:marRight w:val="0"/>
      <w:marTop w:val="0"/>
      <w:marBottom w:val="0"/>
      <w:divBdr>
        <w:top w:val="none" w:sz="0" w:space="0" w:color="auto"/>
        <w:left w:val="none" w:sz="0" w:space="0" w:color="auto"/>
        <w:bottom w:val="none" w:sz="0" w:space="0" w:color="auto"/>
        <w:right w:val="none" w:sz="0" w:space="0" w:color="auto"/>
      </w:divBdr>
      <w:divsChild>
        <w:div w:id="1706563588">
          <w:marLeft w:val="0"/>
          <w:marRight w:val="0"/>
          <w:marTop w:val="0"/>
          <w:marBottom w:val="0"/>
          <w:divBdr>
            <w:top w:val="none" w:sz="0" w:space="0" w:color="auto"/>
            <w:left w:val="none" w:sz="0" w:space="0" w:color="auto"/>
            <w:bottom w:val="none" w:sz="0" w:space="0" w:color="auto"/>
            <w:right w:val="none" w:sz="0" w:space="0" w:color="auto"/>
          </w:divBdr>
          <w:divsChild>
            <w:div w:id="1706563644">
              <w:marLeft w:val="0"/>
              <w:marRight w:val="0"/>
              <w:marTop w:val="0"/>
              <w:marBottom w:val="0"/>
              <w:divBdr>
                <w:top w:val="none" w:sz="0" w:space="0" w:color="auto"/>
                <w:left w:val="none" w:sz="0" w:space="0" w:color="auto"/>
                <w:bottom w:val="none" w:sz="0" w:space="0" w:color="auto"/>
                <w:right w:val="none" w:sz="0" w:space="0" w:color="auto"/>
              </w:divBdr>
              <w:divsChild>
                <w:div w:id="1706563654">
                  <w:marLeft w:val="0"/>
                  <w:marRight w:val="0"/>
                  <w:marTop w:val="0"/>
                  <w:marBottom w:val="0"/>
                  <w:divBdr>
                    <w:top w:val="none" w:sz="0" w:space="0" w:color="auto"/>
                    <w:left w:val="none" w:sz="0" w:space="0" w:color="auto"/>
                    <w:bottom w:val="none" w:sz="0" w:space="0" w:color="auto"/>
                    <w:right w:val="none" w:sz="0" w:space="0" w:color="auto"/>
                  </w:divBdr>
                  <w:divsChild>
                    <w:div w:id="1706563593">
                      <w:marLeft w:val="0"/>
                      <w:marRight w:val="0"/>
                      <w:marTop w:val="0"/>
                      <w:marBottom w:val="0"/>
                      <w:divBdr>
                        <w:top w:val="none" w:sz="0" w:space="0" w:color="auto"/>
                        <w:left w:val="none" w:sz="0" w:space="0" w:color="auto"/>
                        <w:bottom w:val="none" w:sz="0" w:space="0" w:color="auto"/>
                        <w:right w:val="none" w:sz="0" w:space="0" w:color="auto"/>
                      </w:divBdr>
                      <w:divsChild>
                        <w:div w:id="1706563618">
                          <w:marLeft w:val="0"/>
                          <w:marRight w:val="0"/>
                          <w:marTop w:val="0"/>
                          <w:marBottom w:val="0"/>
                          <w:divBdr>
                            <w:top w:val="none" w:sz="0" w:space="0" w:color="auto"/>
                            <w:left w:val="none" w:sz="0" w:space="0" w:color="auto"/>
                            <w:bottom w:val="none" w:sz="0" w:space="0" w:color="auto"/>
                            <w:right w:val="none" w:sz="0" w:space="0" w:color="auto"/>
                          </w:divBdr>
                          <w:divsChild>
                            <w:div w:id="1706563627">
                              <w:marLeft w:val="0"/>
                              <w:marRight w:val="0"/>
                              <w:marTop w:val="0"/>
                              <w:marBottom w:val="0"/>
                              <w:divBdr>
                                <w:top w:val="none" w:sz="0" w:space="0" w:color="auto"/>
                                <w:left w:val="none" w:sz="0" w:space="0" w:color="auto"/>
                                <w:bottom w:val="none" w:sz="0" w:space="0" w:color="auto"/>
                                <w:right w:val="none" w:sz="0" w:space="0" w:color="auto"/>
                              </w:divBdr>
                              <w:divsChild>
                                <w:div w:id="1706563630">
                                  <w:marLeft w:val="-150"/>
                                  <w:marRight w:val="-150"/>
                                  <w:marTop w:val="0"/>
                                  <w:marBottom w:val="0"/>
                                  <w:divBdr>
                                    <w:top w:val="none" w:sz="0" w:space="0" w:color="auto"/>
                                    <w:left w:val="none" w:sz="0" w:space="0" w:color="auto"/>
                                    <w:bottom w:val="none" w:sz="0" w:space="0" w:color="auto"/>
                                    <w:right w:val="none" w:sz="0" w:space="0" w:color="auto"/>
                                  </w:divBdr>
                                  <w:divsChild>
                                    <w:div w:id="1706563706">
                                      <w:marLeft w:val="0"/>
                                      <w:marRight w:val="0"/>
                                      <w:marTop w:val="0"/>
                                      <w:marBottom w:val="0"/>
                                      <w:divBdr>
                                        <w:top w:val="none" w:sz="0" w:space="0" w:color="auto"/>
                                        <w:left w:val="none" w:sz="0" w:space="0" w:color="auto"/>
                                        <w:bottom w:val="none" w:sz="0" w:space="0" w:color="auto"/>
                                        <w:right w:val="none" w:sz="0" w:space="0" w:color="auto"/>
                                      </w:divBdr>
                                      <w:divsChild>
                                        <w:div w:id="1706563592">
                                          <w:marLeft w:val="0"/>
                                          <w:marRight w:val="0"/>
                                          <w:marTop w:val="0"/>
                                          <w:marBottom w:val="0"/>
                                          <w:divBdr>
                                            <w:top w:val="none" w:sz="0" w:space="0" w:color="auto"/>
                                            <w:left w:val="none" w:sz="0" w:space="0" w:color="auto"/>
                                            <w:bottom w:val="none" w:sz="0" w:space="0" w:color="auto"/>
                                            <w:right w:val="none" w:sz="0" w:space="0" w:color="auto"/>
                                          </w:divBdr>
                                          <w:divsChild>
                                            <w:div w:id="1706563616">
                                              <w:marLeft w:val="-150"/>
                                              <w:marRight w:val="-150"/>
                                              <w:marTop w:val="0"/>
                                              <w:marBottom w:val="0"/>
                                              <w:divBdr>
                                                <w:top w:val="none" w:sz="0" w:space="0" w:color="auto"/>
                                                <w:left w:val="none" w:sz="0" w:space="0" w:color="auto"/>
                                                <w:bottom w:val="none" w:sz="0" w:space="0" w:color="auto"/>
                                                <w:right w:val="none" w:sz="0" w:space="0" w:color="auto"/>
                                              </w:divBdr>
                                              <w:divsChild>
                                                <w:div w:id="1706563648">
                                                  <w:marLeft w:val="0"/>
                                                  <w:marRight w:val="0"/>
                                                  <w:marTop w:val="0"/>
                                                  <w:marBottom w:val="0"/>
                                                  <w:divBdr>
                                                    <w:top w:val="none" w:sz="0" w:space="0" w:color="auto"/>
                                                    <w:left w:val="none" w:sz="0" w:space="0" w:color="auto"/>
                                                    <w:bottom w:val="none" w:sz="0" w:space="0" w:color="auto"/>
                                                    <w:right w:val="none" w:sz="0" w:space="0" w:color="auto"/>
                                                  </w:divBdr>
                                                  <w:divsChild>
                                                    <w:div w:id="1706563641">
                                                      <w:marLeft w:val="0"/>
                                                      <w:marRight w:val="0"/>
                                                      <w:marTop w:val="0"/>
                                                      <w:marBottom w:val="0"/>
                                                      <w:divBdr>
                                                        <w:top w:val="none" w:sz="0" w:space="0" w:color="auto"/>
                                                        <w:left w:val="none" w:sz="0" w:space="0" w:color="auto"/>
                                                        <w:bottom w:val="none" w:sz="0" w:space="0" w:color="auto"/>
                                                        <w:right w:val="none" w:sz="0" w:space="0" w:color="auto"/>
                                                      </w:divBdr>
                                                      <w:divsChild>
                                                        <w:div w:id="1706563721">
                                                          <w:marLeft w:val="0"/>
                                                          <w:marRight w:val="0"/>
                                                          <w:marTop w:val="0"/>
                                                          <w:marBottom w:val="0"/>
                                                          <w:divBdr>
                                                            <w:top w:val="none" w:sz="0" w:space="0" w:color="auto"/>
                                                            <w:left w:val="none" w:sz="0" w:space="0" w:color="auto"/>
                                                            <w:bottom w:val="none" w:sz="0" w:space="0" w:color="auto"/>
                                                            <w:right w:val="none" w:sz="0" w:space="0" w:color="auto"/>
                                                          </w:divBdr>
                                                          <w:divsChild>
                                                            <w:div w:id="1706563722">
                                                              <w:marLeft w:val="0"/>
                                                              <w:marRight w:val="0"/>
                                                              <w:marTop w:val="0"/>
                                                              <w:marBottom w:val="0"/>
                                                              <w:divBdr>
                                                                <w:top w:val="none" w:sz="0" w:space="0" w:color="auto"/>
                                                                <w:left w:val="none" w:sz="0" w:space="0" w:color="auto"/>
                                                                <w:bottom w:val="none" w:sz="0" w:space="0" w:color="auto"/>
                                                                <w:right w:val="none" w:sz="0" w:space="0" w:color="auto"/>
                                                              </w:divBdr>
                                                              <w:divsChild>
                                                                <w:div w:id="17065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6563708">
      <w:marLeft w:val="0"/>
      <w:marRight w:val="0"/>
      <w:marTop w:val="0"/>
      <w:marBottom w:val="0"/>
      <w:divBdr>
        <w:top w:val="none" w:sz="0" w:space="0" w:color="auto"/>
        <w:left w:val="none" w:sz="0" w:space="0" w:color="auto"/>
        <w:bottom w:val="none" w:sz="0" w:space="0" w:color="auto"/>
        <w:right w:val="none" w:sz="0" w:space="0" w:color="auto"/>
      </w:divBdr>
      <w:divsChild>
        <w:div w:id="1706563620">
          <w:marLeft w:val="0"/>
          <w:marRight w:val="0"/>
          <w:marTop w:val="0"/>
          <w:marBottom w:val="0"/>
          <w:divBdr>
            <w:top w:val="none" w:sz="0" w:space="0" w:color="auto"/>
            <w:left w:val="none" w:sz="0" w:space="0" w:color="auto"/>
            <w:bottom w:val="none" w:sz="0" w:space="0" w:color="auto"/>
            <w:right w:val="none" w:sz="0" w:space="0" w:color="auto"/>
          </w:divBdr>
          <w:divsChild>
            <w:div w:id="1706563670">
              <w:marLeft w:val="0"/>
              <w:marRight w:val="0"/>
              <w:marTop w:val="0"/>
              <w:marBottom w:val="0"/>
              <w:divBdr>
                <w:top w:val="none" w:sz="0" w:space="0" w:color="auto"/>
                <w:left w:val="none" w:sz="0" w:space="0" w:color="auto"/>
                <w:bottom w:val="none" w:sz="0" w:space="0" w:color="auto"/>
                <w:right w:val="none" w:sz="0" w:space="0" w:color="auto"/>
              </w:divBdr>
              <w:divsChild>
                <w:div w:id="1706563617">
                  <w:marLeft w:val="0"/>
                  <w:marRight w:val="0"/>
                  <w:marTop w:val="0"/>
                  <w:marBottom w:val="0"/>
                  <w:divBdr>
                    <w:top w:val="none" w:sz="0" w:space="0" w:color="auto"/>
                    <w:left w:val="none" w:sz="0" w:space="0" w:color="auto"/>
                    <w:bottom w:val="none" w:sz="0" w:space="0" w:color="auto"/>
                    <w:right w:val="none" w:sz="0" w:space="0" w:color="auto"/>
                  </w:divBdr>
                  <w:divsChild>
                    <w:div w:id="1706563609">
                      <w:marLeft w:val="0"/>
                      <w:marRight w:val="0"/>
                      <w:marTop w:val="0"/>
                      <w:marBottom w:val="0"/>
                      <w:divBdr>
                        <w:top w:val="none" w:sz="0" w:space="0" w:color="auto"/>
                        <w:left w:val="none" w:sz="0" w:space="0" w:color="auto"/>
                        <w:bottom w:val="none" w:sz="0" w:space="0" w:color="auto"/>
                        <w:right w:val="none" w:sz="0" w:space="0" w:color="auto"/>
                      </w:divBdr>
                      <w:divsChild>
                        <w:div w:id="1706563637">
                          <w:marLeft w:val="0"/>
                          <w:marRight w:val="0"/>
                          <w:marTop w:val="0"/>
                          <w:marBottom w:val="0"/>
                          <w:divBdr>
                            <w:top w:val="none" w:sz="0" w:space="0" w:color="auto"/>
                            <w:left w:val="none" w:sz="0" w:space="0" w:color="auto"/>
                            <w:bottom w:val="none" w:sz="0" w:space="0" w:color="auto"/>
                            <w:right w:val="none" w:sz="0" w:space="0" w:color="auto"/>
                          </w:divBdr>
                          <w:divsChild>
                            <w:div w:id="1706563614">
                              <w:marLeft w:val="0"/>
                              <w:marRight w:val="0"/>
                              <w:marTop w:val="0"/>
                              <w:marBottom w:val="0"/>
                              <w:divBdr>
                                <w:top w:val="none" w:sz="0" w:space="0" w:color="auto"/>
                                <w:left w:val="none" w:sz="0" w:space="0" w:color="auto"/>
                                <w:bottom w:val="none" w:sz="0" w:space="0" w:color="auto"/>
                                <w:right w:val="none" w:sz="0" w:space="0" w:color="auto"/>
                              </w:divBdr>
                              <w:divsChild>
                                <w:div w:id="1706563646">
                                  <w:marLeft w:val="-150"/>
                                  <w:marRight w:val="-150"/>
                                  <w:marTop w:val="0"/>
                                  <w:marBottom w:val="0"/>
                                  <w:divBdr>
                                    <w:top w:val="none" w:sz="0" w:space="0" w:color="auto"/>
                                    <w:left w:val="none" w:sz="0" w:space="0" w:color="auto"/>
                                    <w:bottom w:val="none" w:sz="0" w:space="0" w:color="auto"/>
                                    <w:right w:val="none" w:sz="0" w:space="0" w:color="auto"/>
                                  </w:divBdr>
                                  <w:divsChild>
                                    <w:div w:id="1706563650">
                                      <w:marLeft w:val="0"/>
                                      <w:marRight w:val="0"/>
                                      <w:marTop w:val="0"/>
                                      <w:marBottom w:val="0"/>
                                      <w:divBdr>
                                        <w:top w:val="none" w:sz="0" w:space="0" w:color="auto"/>
                                        <w:left w:val="none" w:sz="0" w:space="0" w:color="auto"/>
                                        <w:bottom w:val="none" w:sz="0" w:space="0" w:color="auto"/>
                                        <w:right w:val="none" w:sz="0" w:space="0" w:color="auto"/>
                                      </w:divBdr>
                                      <w:divsChild>
                                        <w:div w:id="1706563707">
                                          <w:marLeft w:val="0"/>
                                          <w:marRight w:val="0"/>
                                          <w:marTop w:val="0"/>
                                          <w:marBottom w:val="0"/>
                                          <w:divBdr>
                                            <w:top w:val="none" w:sz="0" w:space="0" w:color="auto"/>
                                            <w:left w:val="none" w:sz="0" w:space="0" w:color="auto"/>
                                            <w:bottom w:val="none" w:sz="0" w:space="0" w:color="auto"/>
                                            <w:right w:val="none" w:sz="0" w:space="0" w:color="auto"/>
                                          </w:divBdr>
                                          <w:divsChild>
                                            <w:div w:id="1706563594">
                                              <w:marLeft w:val="-150"/>
                                              <w:marRight w:val="-150"/>
                                              <w:marTop w:val="0"/>
                                              <w:marBottom w:val="0"/>
                                              <w:divBdr>
                                                <w:top w:val="none" w:sz="0" w:space="0" w:color="auto"/>
                                                <w:left w:val="none" w:sz="0" w:space="0" w:color="auto"/>
                                                <w:bottom w:val="none" w:sz="0" w:space="0" w:color="auto"/>
                                                <w:right w:val="none" w:sz="0" w:space="0" w:color="auto"/>
                                              </w:divBdr>
                                              <w:divsChild>
                                                <w:div w:id="1706563631">
                                                  <w:marLeft w:val="0"/>
                                                  <w:marRight w:val="0"/>
                                                  <w:marTop w:val="0"/>
                                                  <w:marBottom w:val="0"/>
                                                  <w:divBdr>
                                                    <w:top w:val="none" w:sz="0" w:space="0" w:color="auto"/>
                                                    <w:left w:val="none" w:sz="0" w:space="0" w:color="auto"/>
                                                    <w:bottom w:val="none" w:sz="0" w:space="0" w:color="auto"/>
                                                    <w:right w:val="none" w:sz="0" w:space="0" w:color="auto"/>
                                                  </w:divBdr>
                                                  <w:divsChild>
                                                    <w:div w:id="1706563733">
                                                      <w:marLeft w:val="0"/>
                                                      <w:marRight w:val="0"/>
                                                      <w:marTop w:val="0"/>
                                                      <w:marBottom w:val="0"/>
                                                      <w:divBdr>
                                                        <w:top w:val="none" w:sz="0" w:space="0" w:color="auto"/>
                                                        <w:left w:val="none" w:sz="0" w:space="0" w:color="auto"/>
                                                        <w:bottom w:val="none" w:sz="0" w:space="0" w:color="auto"/>
                                                        <w:right w:val="none" w:sz="0" w:space="0" w:color="auto"/>
                                                      </w:divBdr>
                                                      <w:divsChild>
                                                        <w:div w:id="1706563671">
                                                          <w:marLeft w:val="0"/>
                                                          <w:marRight w:val="0"/>
                                                          <w:marTop w:val="0"/>
                                                          <w:marBottom w:val="0"/>
                                                          <w:divBdr>
                                                            <w:top w:val="none" w:sz="0" w:space="0" w:color="auto"/>
                                                            <w:left w:val="none" w:sz="0" w:space="0" w:color="auto"/>
                                                            <w:bottom w:val="none" w:sz="0" w:space="0" w:color="auto"/>
                                                            <w:right w:val="none" w:sz="0" w:space="0" w:color="auto"/>
                                                          </w:divBdr>
                                                          <w:divsChild>
                                                            <w:div w:id="1706563665">
                                                              <w:marLeft w:val="0"/>
                                                              <w:marRight w:val="0"/>
                                                              <w:marTop w:val="0"/>
                                                              <w:marBottom w:val="0"/>
                                                              <w:divBdr>
                                                                <w:top w:val="none" w:sz="0" w:space="0" w:color="auto"/>
                                                                <w:left w:val="none" w:sz="0" w:space="0" w:color="auto"/>
                                                                <w:bottom w:val="none" w:sz="0" w:space="0" w:color="auto"/>
                                                                <w:right w:val="none" w:sz="0" w:space="0" w:color="auto"/>
                                                              </w:divBdr>
                                                              <w:divsChild>
                                                                <w:div w:id="1706563657">
                                                                  <w:marLeft w:val="0"/>
                                                                  <w:marRight w:val="0"/>
                                                                  <w:marTop w:val="0"/>
                                                                  <w:marBottom w:val="0"/>
                                                                  <w:divBdr>
                                                                    <w:top w:val="none" w:sz="0" w:space="0" w:color="auto"/>
                                                                    <w:left w:val="none" w:sz="0" w:space="0" w:color="auto"/>
                                                                    <w:bottom w:val="none" w:sz="0" w:space="0" w:color="auto"/>
                                                                    <w:right w:val="none" w:sz="0" w:space="0" w:color="auto"/>
                                                                  </w:divBdr>
                                                                  <w:divsChild>
                                                                    <w:div w:id="1706563711">
                                                                      <w:marLeft w:val="0"/>
                                                                      <w:marRight w:val="0"/>
                                                                      <w:marTop w:val="0"/>
                                                                      <w:marBottom w:val="0"/>
                                                                      <w:divBdr>
                                                                        <w:top w:val="none" w:sz="0" w:space="0" w:color="auto"/>
                                                                        <w:left w:val="none" w:sz="0" w:space="0" w:color="auto"/>
                                                                        <w:bottom w:val="none" w:sz="0" w:space="0" w:color="auto"/>
                                                                        <w:right w:val="none" w:sz="0" w:space="0" w:color="auto"/>
                                                                      </w:divBdr>
                                                                      <w:divsChild>
                                                                        <w:div w:id="1706563610">
                                                                          <w:marLeft w:val="0"/>
                                                                          <w:marRight w:val="0"/>
                                                                          <w:marTop w:val="0"/>
                                                                          <w:marBottom w:val="0"/>
                                                                          <w:divBdr>
                                                                            <w:top w:val="none" w:sz="0" w:space="0" w:color="auto"/>
                                                                            <w:left w:val="none" w:sz="0" w:space="0" w:color="auto"/>
                                                                            <w:bottom w:val="none" w:sz="0" w:space="0" w:color="auto"/>
                                                                            <w:right w:val="none" w:sz="0" w:space="0" w:color="auto"/>
                                                                          </w:divBdr>
                                                                          <w:divsChild>
                                                                            <w:div w:id="1706563700">
                                                                              <w:marLeft w:val="0"/>
                                                                              <w:marRight w:val="0"/>
                                                                              <w:marTop w:val="0"/>
                                                                              <w:marBottom w:val="0"/>
                                                                              <w:divBdr>
                                                                                <w:top w:val="none" w:sz="0" w:space="0" w:color="auto"/>
                                                                                <w:left w:val="none" w:sz="0" w:space="0" w:color="auto"/>
                                                                                <w:bottom w:val="none" w:sz="0" w:space="0" w:color="auto"/>
                                                                                <w:right w:val="none" w:sz="0" w:space="0" w:color="auto"/>
                                                                              </w:divBdr>
                                                                            </w:div>
                                                                          </w:divsChild>
                                                                        </w:div>
                                                                        <w:div w:id="1706563642">
                                                                          <w:marLeft w:val="0"/>
                                                                          <w:marRight w:val="0"/>
                                                                          <w:marTop w:val="0"/>
                                                                          <w:marBottom w:val="0"/>
                                                                          <w:divBdr>
                                                                            <w:top w:val="none" w:sz="0" w:space="0" w:color="auto"/>
                                                                            <w:left w:val="none" w:sz="0" w:space="0" w:color="auto"/>
                                                                            <w:bottom w:val="none" w:sz="0" w:space="0" w:color="auto"/>
                                                                            <w:right w:val="none" w:sz="0" w:space="0" w:color="auto"/>
                                                                          </w:divBdr>
                                                                        </w:div>
                                                                        <w:div w:id="1706563645">
                                                                          <w:marLeft w:val="0"/>
                                                                          <w:marRight w:val="0"/>
                                                                          <w:marTop w:val="0"/>
                                                                          <w:marBottom w:val="0"/>
                                                                          <w:divBdr>
                                                                            <w:top w:val="none" w:sz="0" w:space="0" w:color="auto"/>
                                                                            <w:left w:val="none" w:sz="0" w:space="0" w:color="auto"/>
                                                                            <w:bottom w:val="none" w:sz="0" w:space="0" w:color="auto"/>
                                                                            <w:right w:val="none" w:sz="0" w:space="0" w:color="auto"/>
                                                                          </w:divBdr>
                                                                          <w:divsChild>
                                                                            <w:div w:id="1706563652">
                                                                              <w:marLeft w:val="0"/>
                                                                              <w:marRight w:val="0"/>
                                                                              <w:marTop w:val="0"/>
                                                                              <w:marBottom w:val="0"/>
                                                                              <w:divBdr>
                                                                                <w:top w:val="none" w:sz="0" w:space="0" w:color="auto"/>
                                                                                <w:left w:val="none" w:sz="0" w:space="0" w:color="auto"/>
                                                                                <w:bottom w:val="none" w:sz="0" w:space="0" w:color="auto"/>
                                                                                <w:right w:val="none" w:sz="0" w:space="0" w:color="auto"/>
                                                                              </w:divBdr>
                                                                            </w:div>
                                                                          </w:divsChild>
                                                                        </w:div>
                                                                        <w:div w:id="1706563668">
                                                                          <w:marLeft w:val="0"/>
                                                                          <w:marRight w:val="0"/>
                                                                          <w:marTop w:val="0"/>
                                                                          <w:marBottom w:val="0"/>
                                                                          <w:divBdr>
                                                                            <w:top w:val="none" w:sz="0" w:space="0" w:color="auto"/>
                                                                            <w:left w:val="none" w:sz="0" w:space="0" w:color="auto"/>
                                                                            <w:bottom w:val="none" w:sz="0" w:space="0" w:color="auto"/>
                                                                            <w:right w:val="none" w:sz="0" w:space="0" w:color="auto"/>
                                                                          </w:divBdr>
                                                                          <w:divsChild>
                                                                            <w:div w:id="1706563647">
                                                                              <w:marLeft w:val="0"/>
                                                                              <w:marRight w:val="0"/>
                                                                              <w:marTop w:val="0"/>
                                                                              <w:marBottom w:val="0"/>
                                                                              <w:divBdr>
                                                                                <w:top w:val="none" w:sz="0" w:space="0" w:color="auto"/>
                                                                                <w:left w:val="none" w:sz="0" w:space="0" w:color="auto"/>
                                                                                <w:bottom w:val="none" w:sz="0" w:space="0" w:color="auto"/>
                                                                                <w:right w:val="none" w:sz="0" w:space="0" w:color="auto"/>
                                                                              </w:divBdr>
                                                                            </w:div>
                                                                          </w:divsChild>
                                                                        </w:div>
                                                                        <w:div w:id="1706563713">
                                                                          <w:marLeft w:val="0"/>
                                                                          <w:marRight w:val="0"/>
                                                                          <w:marTop w:val="0"/>
                                                                          <w:marBottom w:val="0"/>
                                                                          <w:divBdr>
                                                                            <w:top w:val="none" w:sz="0" w:space="0" w:color="auto"/>
                                                                            <w:left w:val="none" w:sz="0" w:space="0" w:color="auto"/>
                                                                            <w:bottom w:val="none" w:sz="0" w:space="0" w:color="auto"/>
                                                                            <w:right w:val="none" w:sz="0" w:space="0" w:color="auto"/>
                                                                          </w:divBdr>
                                                                          <w:divsChild>
                                                                            <w:div w:id="1706563672">
                                                                              <w:marLeft w:val="0"/>
                                                                              <w:marRight w:val="0"/>
                                                                              <w:marTop w:val="0"/>
                                                                              <w:marBottom w:val="0"/>
                                                                              <w:divBdr>
                                                                                <w:top w:val="none" w:sz="0" w:space="0" w:color="auto"/>
                                                                                <w:left w:val="none" w:sz="0" w:space="0" w:color="auto"/>
                                                                                <w:bottom w:val="none" w:sz="0" w:space="0" w:color="auto"/>
                                                                                <w:right w:val="none" w:sz="0" w:space="0" w:color="auto"/>
                                                                              </w:divBdr>
                                                                            </w:div>
                                                                          </w:divsChild>
                                                                        </w:div>
                                                                        <w:div w:id="1706563717">
                                                                          <w:marLeft w:val="0"/>
                                                                          <w:marRight w:val="0"/>
                                                                          <w:marTop w:val="0"/>
                                                                          <w:marBottom w:val="0"/>
                                                                          <w:divBdr>
                                                                            <w:top w:val="none" w:sz="0" w:space="0" w:color="auto"/>
                                                                            <w:left w:val="none" w:sz="0" w:space="0" w:color="auto"/>
                                                                            <w:bottom w:val="none" w:sz="0" w:space="0" w:color="auto"/>
                                                                            <w:right w:val="none" w:sz="0" w:space="0" w:color="auto"/>
                                                                          </w:divBdr>
                                                                          <w:divsChild>
                                                                            <w:div w:id="17065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563712">
      <w:marLeft w:val="0"/>
      <w:marRight w:val="0"/>
      <w:marTop w:val="0"/>
      <w:marBottom w:val="0"/>
      <w:divBdr>
        <w:top w:val="none" w:sz="0" w:space="0" w:color="auto"/>
        <w:left w:val="none" w:sz="0" w:space="0" w:color="auto"/>
        <w:bottom w:val="none" w:sz="0" w:space="0" w:color="auto"/>
        <w:right w:val="none" w:sz="0" w:space="0" w:color="auto"/>
      </w:divBdr>
      <w:divsChild>
        <w:div w:id="1706563715">
          <w:marLeft w:val="0"/>
          <w:marRight w:val="0"/>
          <w:marTop w:val="120"/>
          <w:marBottom w:val="360"/>
          <w:divBdr>
            <w:top w:val="none" w:sz="0" w:space="0" w:color="auto"/>
            <w:left w:val="none" w:sz="0" w:space="0" w:color="auto"/>
            <w:bottom w:val="none" w:sz="0" w:space="0" w:color="auto"/>
            <w:right w:val="none" w:sz="0" w:space="0" w:color="auto"/>
          </w:divBdr>
          <w:divsChild>
            <w:div w:id="170656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3718">
      <w:marLeft w:val="0"/>
      <w:marRight w:val="0"/>
      <w:marTop w:val="0"/>
      <w:marBottom w:val="0"/>
      <w:divBdr>
        <w:top w:val="none" w:sz="0" w:space="0" w:color="auto"/>
        <w:left w:val="none" w:sz="0" w:space="0" w:color="auto"/>
        <w:bottom w:val="none" w:sz="0" w:space="0" w:color="auto"/>
        <w:right w:val="none" w:sz="0" w:space="0" w:color="auto"/>
      </w:divBdr>
      <w:divsChild>
        <w:div w:id="1706563602">
          <w:marLeft w:val="0"/>
          <w:marRight w:val="1"/>
          <w:marTop w:val="0"/>
          <w:marBottom w:val="0"/>
          <w:divBdr>
            <w:top w:val="none" w:sz="0" w:space="0" w:color="auto"/>
            <w:left w:val="none" w:sz="0" w:space="0" w:color="auto"/>
            <w:bottom w:val="none" w:sz="0" w:space="0" w:color="auto"/>
            <w:right w:val="none" w:sz="0" w:space="0" w:color="auto"/>
          </w:divBdr>
          <w:divsChild>
            <w:div w:id="1706563726">
              <w:marLeft w:val="0"/>
              <w:marRight w:val="0"/>
              <w:marTop w:val="0"/>
              <w:marBottom w:val="0"/>
              <w:divBdr>
                <w:top w:val="none" w:sz="0" w:space="0" w:color="auto"/>
                <w:left w:val="none" w:sz="0" w:space="0" w:color="auto"/>
                <w:bottom w:val="none" w:sz="0" w:space="0" w:color="auto"/>
                <w:right w:val="none" w:sz="0" w:space="0" w:color="auto"/>
              </w:divBdr>
              <w:divsChild>
                <w:div w:id="1706563649">
                  <w:marLeft w:val="0"/>
                  <w:marRight w:val="1"/>
                  <w:marTop w:val="0"/>
                  <w:marBottom w:val="0"/>
                  <w:divBdr>
                    <w:top w:val="none" w:sz="0" w:space="0" w:color="auto"/>
                    <w:left w:val="none" w:sz="0" w:space="0" w:color="auto"/>
                    <w:bottom w:val="none" w:sz="0" w:space="0" w:color="auto"/>
                    <w:right w:val="none" w:sz="0" w:space="0" w:color="auto"/>
                  </w:divBdr>
                  <w:divsChild>
                    <w:div w:id="1706563683">
                      <w:marLeft w:val="0"/>
                      <w:marRight w:val="0"/>
                      <w:marTop w:val="0"/>
                      <w:marBottom w:val="0"/>
                      <w:divBdr>
                        <w:top w:val="none" w:sz="0" w:space="0" w:color="auto"/>
                        <w:left w:val="none" w:sz="0" w:space="0" w:color="auto"/>
                        <w:bottom w:val="none" w:sz="0" w:space="0" w:color="auto"/>
                        <w:right w:val="none" w:sz="0" w:space="0" w:color="auto"/>
                      </w:divBdr>
                      <w:divsChild>
                        <w:div w:id="1706563608">
                          <w:marLeft w:val="0"/>
                          <w:marRight w:val="0"/>
                          <w:marTop w:val="0"/>
                          <w:marBottom w:val="0"/>
                          <w:divBdr>
                            <w:top w:val="none" w:sz="0" w:space="0" w:color="auto"/>
                            <w:left w:val="none" w:sz="0" w:space="0" w:color="auto"/>
                            <w:bottom w:val="none" w:sz="0" w:space="0" w:color="auto"/>
                            <w:right w:val="none" w:sz="0" w:space="0" w:color="auto"/>
                          </w:divBdr>
                          <w:divsChild>
                            <w:div w:id="1706563590">
                              <w:marLeft w:val="0"/>
                              <w:marRight w:val="0"/>
                              <w:marTop w:val="120"/>
                              <w:marBottom w:val="360"/>
                              <w:divBdr>
                                <w:top w:val="none" w:sz="0" w:space="0" w:color="auto"/>
                                <w:left w:val="none" w:sz="0" w:space="0" w:color="auto"/>
                                <w:bottom w:val="none" w:sz="0" w:space="0" w:color="auto"/>
                                <w:right w:val="none" w:sz="0" w:space="0" w:color="auto"/>
                              </w:divBdr>
                              <w:divsChild>
                                <w:div w:id="1706563675">
                                  <w:marLeft w:val="0"/>
                                  <w:marRight w:val="0"/>
                                  <w:marTop w:val="0"/>
                                  <w:marBottom w:val="0"/>
                                  <w:divBdr>
                                    <w:top w:val="none" w:sz="0" w:space="0" w:color="auto"/>
                                    <w:left w:val="none" w:sz="0" w:space="0" w:color="auto"/>
                                    <w:bottom w:val="none" w:sz="0" w:space="0" w:color="auto"/>
                                    <w:right w:val="none" w:sz="0" w:space="0" w:color="auto"/>
                                  </w:divBdr>
                                </w:div>
                                <w:div w:id="170656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3615">
                          <w:marLeft w:val="0"/>
                          <w:marRight w:val="0"/>
                          <w:marTop w:val="0"/>
                          <w:marBottom w:val="0"/>
                          <w:divBdr>
                            <w:top w:val="none" w:sz="0" w:space="0" w:color="auto"/>
                            <w:left w:val="none" w:sz="0" w:space="0" w:color="auto"/>
                            <w:bottom w:val="none" w:sz="0" w:space="0" w:color="auto"/>
                            <w:right w:val="none" w:sz="0" w:space="0" w:color="auto"/>
                          </w:divBdr>
                          <w:divsChild>
                            <w:div w:id="170656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563727">
      <w:marLeft w:val="0"/>
      <w:marRight w:val="0"/>
      <w:marTop w:val="0"/>
      <w:marBottom w:val="0"/>
      <w:divBdr>
        <w:top w:val="none" w:sz="0" w:space="0" w:color="auto"/>
        <w:left w:val="none" w:sz="0" w:space="0" w:color="auto"/>
        <w:bottom w:val="none" w:sz="0" w:space="0" w:color="auto"/>
        <w:right w:val="none" w:sz="0" w:space="0" w:color="auto"/>
      </w:divBdr>
      <w:divsChild>
        <w:div w:id="1706563629">
          <w:marLeft w:val="0"/>
          <w:marRight w:val="0"/>
          <w:marTop w:val="34"/>
          <w:marBottom w:val="34"/>
          <w:divBdr>
            <w:top w:val="none" w:sz="0" w:space="0" w:color="auto"/>
            <w:left w:val="none" w:sz="0" w:space="0" w:color="auto"/>
            <w:bottom w:val="none" w:sz="0" w:space="0" w:color="auto"/>
            <w:right w:val="none" w:sz="0" w:space="0" w:color="auto"/>
          </w:divBdr>
        </w:div>
      </w:divsChild>
    </w:div>
    <w:div w:id="1706563729">
      <w:marLeft w:val="0"/>
      <w:marRight w:val="0"/>
      <w:marTop w:val="0"/>
      <w:marBottom w:val="0"/>
      <w:divBdr>
        <w:top w:val="none" w:sz="0" w:space="0" w:color="auto"/>
        <w:left w:val="none" w:sz="0" w:space="0" w:color="auto"/>
        <w:bottom w:val="none" w:sz="0" w:space="0" w:color="auto"/>
        <w:right w:val="none" w:sz="0" w:space="0" w:color="auto"/>
      </w:divBdr>
    </w:div>
    <w:div w:id="1706563732">
      <w:marLeft w:val="0"/>
      <w:marRight w:val="0"/>
      <w:marTop w:val="0"/>
      <w:marBottom w:val="0"/>
      <w:divBdr>
        <w:top w:val="none" w:sz="0" w:space="0" w:color="auto"/>
        <w:left w:val="none" w:sz="0" w:space="0" w:color="auto"/>
        <w:bottom w:val="none" w:sz="0" w:space="0" w:color="auto"/>
        <w:right w:val="none" w:sz="0" w:space="0" w:color="auto"/>
      </w:divBdr>
    </w:div>
    <w:div w:id="1706563734">
      <w:marLeft w:val="0"/>
      <w:marRight w:val="0"/>
      <w:marTop w:val="0"/>
      <w:marBottom w:val="0"/>
      <w:divBdr>
        <w:top w:val="none" w:sz="0" w:space="0" w:color="auto"/>
        <w:left w:val="none" w:sz="0" w:space="0" w:color="auto"/>
        <w:bottom w:val="none" w:sz="0" w:space="0" w:color="auto"/>
        <w:right w:val="none" w:sz="0" w:space="0" w:color="auto"/>
      </w:divBdr>
      <w:divsChild>
        <w:div w:id="1706563701">
          <w:marLeft w:val="0"/>
          <w:marRight w:val="0"/>
          <w:marTop w:val="0"/>
          <w:marBottom w:val="0"/>
          <w:divBdr>
            <w:top w:val="none" w:sz="0" w:space="0" w:color="auto"/>
            <w:left w:val="none" w:sz="0" w:space="0" w:color="auto"/>
            <w:bottom w:val="none" w:sz="0" w:space="0" w:color="auto"/>
            <w:right w:val="none" w:sz="0" w:space="0" w:color="auto"/>
          </w:divBdr>
          <w:divsChild>
            <w:div w:id="1706563598">
              <w:marLeft w:val="0"/>
              <w:marRight w:val="0"/>
              <w:marTop w:val="0"/>
              <w:marBottom w:val="0"/>
              <w:divBdr>
                <w:top w:val="none" w:sz="0" w:space="0" w:color="auto"/>
                <w:left w:val="none" w:sz="0" w:space="0" w:color="auto"/>
                <w:bottom w:val="none" w:sz="0" w:space="0" w:color="auto"/>
                <w:right w:val="none" w:sz="0" w:space="0" w:color="auto"/>
              </w:divBdr>
              <w:divsChild>
                <w:div w:id="1706563591">
                  <w:marLeft w:val="0"/>
                  <w:marRight w:val="0"/>
                  <w:marTop w:val="0"/>
                  <w:marBottom w:val="0"/>
                  <w:divBdr>
                    <w:top w:val="none" w:sz="0" w:space="0" w:color="auto"/>
                    <w:left w:val="none" w:sz="0" w:space="0" w:color="auto"/>
                    <w:bottom w:val="none" w:sz="0" w:space="0" w:color="auto"/>
                    <w:right w:val="none" w:sz="0" w:space="0" w:color="auto"/>
                  </w:divBdr>
                  <w:divsChild>
                    <w:div w:id="1706563677">
                      <w:marLeft w:val="0"/>
                      <w:marRight w:val="0"/>
                      <w:marTop w:val="0"/>
                      <w:marBottom w:val="0"/>
                      <w:divBdr>
                        <w:top w:val="none" w:sz="0" w:space="0" w:color="auto"/>
                        <w:left w:val="none" w:sz="0" w:space="0" w:color="auto"/>
                        <w:bottom w:val="none" w:sz="0" w:space="0" w:color="auto"/>
                        <w:right w:val="none" w:sz="0" w:space="0" w:color="auto"/>
                      </w:divBdr>
                      <w:divsChild>
                        <w:div w:id="1706563660">
                          <w:marLeft w:val="0"/>
                          <w:marRight w:val="0"/>
                          <w:marTop w:val="0"/>
                          <w:marBottom w:val="0"/>
                          <w:divBdr>
                            <w:top w:val="none" w:sz="0" w:space="0" w:color="auto"/>
                            <w:left w:val="none" w:sz="0" w:space="0" w:color="auto"/>
                            <w:bottom w:val="none" w:sz="0" w:space="0" w:color="auto"/>
                            <w:right w:val="none" w:sz="0" w:space="0" w:color="auto"/>
                          </w:divBdr>
                          <w:divsChild>
                            <w:div w:id="1706563663">
                              <w:marLeft w:val="0"/>
                              <w:marRight w:val="0"/>
                              <w:marTop w:val="0"/>
                              <w:marBottom w:val="0"/>
                              <w:divBdr>
                                <w:top w:val="none" w:sz="0" w:space="0" w:color="auto"/>
                                <w:left w:val="none" w:sz="0" w:space="0" w:color="auto"/>
                                <w:bottom w:val="none" w:sz="0" w:space="0" w:color="auto"/>
                                <w:right w:val="none" w:sz="0" w:space="0" w:color="auto"/>
                              </w:divBdr>
                              <w:divsChild>
                                <w:div w:id="1706563623">
                                  <w:marLeft w:val="-150"/>
                                  <w:marRight w:val="-150"/>
                                  <w:marTop w:val="0"/>
                                  <w:marBottom w:val="0"/>
                                  <w:divBdr>
                                    <w:top w:val="none" w:sz="0" w:space="0" w:color="auto"/>
                                    <w:left w:val="none" w:sz="0" w:space="0" w:color="auto"/>
                                    <w:bottom w:val="none" w:sz="0" w:space="0" w:color="auto"/>
                                    <w:right w:val="none" w:sz="0" w:space="0" w:color="auto"/>
                                  </w:divBdr>
                                  <w:divsChild>
                                    <w:div w:id="1706563613">
                                      <w:marLeft w:val="0"/>
                                      <w:marRight w:val="0"/>
                                      <w:marTop w:val="0"/>
                                      <w:marBottom w:val="0"/>
                                      <w:divBdr>
                                        <w:top w:val="none" w:sz="0" w:space="0" w:color="auto"/>
                                        <w:left w:val="none" w:sz="0" w:space="0" w:color="auto"/>
                                        <w:bottom w:val="none" w:sz="0" w:space="0" w:color="auto"/>
                                        <w:right w:val="none" w:sz="0" w:space="0" w:color="auto"/>
                                      </w:divBdr>
                                      <w:divsChild>
                                        <w:div w:id="1706563723">
                                          <w:marLeft w:val="0"/>
                                          <w:marRight w:val="0"/>
                                          <w:marTop w:val="0"/>
                                          <w:marBottom w:val="0"/>
                                          <w:divBdr>
                                            <w:top w:val="none" w:sz="0" w:space="0" w:color="auto"/>
                                            <w:left w:val="none" w:sz="0" w:space="0" w:color="auto"/>
                                            <w:bottom w:val="none" w:sz="0" w:space="0" w:color="auto"/>
                                            <w:right w:val="none" w:sz="0" w:space="0" w:color="auto"/>
                                          </w:divBdr>
                                          <w:divsChild>
                                            <w:div w:id="1706563725">
                                              <w:marLeft w:val="-150"/>
                                              <w:marRight w:val="-150"/>
                                              <w:marTop w:val="0"/>
                                              <w:marBottom w:val="0"/>
                                              <w:divBdr>
                                                <w:top w:val="none" w:sz="0" w:space="0" w:color="auto"/>
                                                <w:left w:val="none" w:sz="0" w:space="0" w:color="auto"/>
                                                <w:bottom w:val="none" w:sz="0" w:space="0" w:color="auto"/>
                                                <w:right w:val="none" w:sz="0" w:space="0" w:color="auto"/>
                                              </w:divBdr>
                                              <w:divsChild>
                                                <w:div w:id="1706563599">
                                                  <w:marLeft w:val="0"/>
                                                  <w:marRight w:val="0"/>
                                                  <w:marTop w:val="0"/>
                                                  <w:marBottom w:val="0"/>
                                                  <w:divBdr>
                                                    <w:top w:val="none" w:sz="0" w:space="0" w:color="auto"/>
                                                    <w:left w:val="none" w:sz="0" w:space="0" w:color="auto"/>
                                                    <w:bottom w:val="none" w:sz="0" w:space="0" w:color="auto"/>
                                                    <w:right w:val="none" w:sz="0" w:space="0" w:color="auto"/>
                                                  </w:divBdr>
                                                  <w:divsChild>
                                                    <w:div w:id="1706563639">
                                                      <w:marLeft w:val="0"/>
                                                      <w:marRight w:val="0"/>
                                                      <w:marTop w:val="0"/>
                                                      <w:marBottom w:val="0"/>
                                                      <w:divBdr>
                                                        <w:top w:val="none" w:sz="0" w:space="0" w:color="auto"/>
                                                        <w:left w:val="none" w:sz="0" w:space="0" w:color="auto"/>
                                                        <w:bottom w:val="none" w:sz="0" w:space="0" w:color="auto"/>
                                                        <w:right w:val="none" w:sz="0" w:space="0" w:color="auto"/>
                                                      </w:divBdr>
                                                      <w:divsChild>
                                                        <w:div w:id="1706563664">
                                                          <w:marLeft w:val="0"/>
                                                          <w:marRight w:val="0"/>
                                                          <w:marTop w:val="0"/>
                                                          <w:marBottom w:val="0"/>
                                                          <w:divBdr>
                                                            <w:top w:val="none" w:sz="0" w:space="0" w:color="auto"/>
                                                            <w:left w:val="none" w:sz="0" w:space="0" w:color="auto"/>
                                                            <w:bottom w:val="none" w:sz="0" w:space="0" w:color="auto"/>
                                                            <w:right w:val="none" w:sz="0" w:space="0" w:color="auto"/>
                                                          </w:divBdr>
                                                          <w:divsChild>
                                                            <w:div w:id="1706563709">
                                                              <w:marLeft w:val="0"/>
                                                              <w:marRight w:val="0"/>
                                                              <w:marTop w:val="0"/>
                                                              <w:marBottom w:val="0"/>
                                                              <w:divBdr>
                                                                <w:top w:val="none" w:sz="0" w:space="0" w:color="auto"/>
                                                                <w:left w:val="none" w:sz="0" w:space="0" w:color="auto"/>
                                                                <w:bottom w:val="none" w:sz="0" w:space="0" w:color="auto"/>
                                                                <w:right w:val="none" w:sz="0" w:space="0" w:color="auto"/>
                                                              </w:divBdr>
                                                              <w:divsChild>
                                                                <w:div w:id="17065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6563735">
      <w:marLeft w:val="0"/>
      <w:marRight w:val="0"/>
      <w:marTop w:val="0"/>
      <w:marBottom w:val="0"/>
      <w:divBdr>
        <w:top w:val="none" w:sz="0" w:space="0" w:color="auto"/>
        <w:left w:val="none" w:sz="0" w:space="0" w:color="auto"/>
        <w:bottom w:val="none" w:sz="0" w:space="0" w:color="auto"/>
        <w:right w:val="none" w:sz="0" w:space="0" w:color="auto"/>
      </w:divBdr>
    </w:div>
    <w:div w:id="1706563736">
      <w:marLeft w:val="0"/>
      <w:marRight w:val="0"/>
      <w:marTop w:val="0"/>
      <w:marBottom w:val="0"/>
      <w:divBdr>
        <w:top w:val="none" w:sz="0" w:space="0" w:color="auto"/>
        <w:left w:val="none" w:sz="0" w:space="0" w:color="auto"/>
        <w:bottom w:val="none" w:sz="0" w:space="0" w:color="auto"/>
        <w:right w:val="none" w:sz="0" w:space="0" w:color="auto"/>
      </w:divBdr>
    </w:div>
    <w:div w:id="1706563737">
      <w:marLeft w:val="0"/>
      <w:marRight w:val="0"/>
      <w:marTop w:val="0"/>
      <w:marBottom w:val="0"/>
      <w:divBdr>
        <w:top w:val="none" w:sz="0" w:space="0" w:color="auto"/>
        <w:left w:val="none" w:sz="0" w:space="0" w:color="auto"/>
        <w:bottom w:val="none" w:sz="0" w:space="0" w:color="auto"/>
        <w:right w:val="none" w:sz="0" w:space="0" w:color="auto"/>
      </w:divBdr>
    </w:div>
    <w:div w:id="1706563738">
      <w:marLeft w:val="0"/>
      <w:marRight w:val="0"/>
      <w:marTop w:val="0"/>
      <w:marBottom w:val="0"/>
      <w:divBdr>
        <w:top w:val="none" w:sz="0" w:space="0" w:color="auto"/>
        <w:left w:val="none" w:sz="0" w:space="0" w:color="auto"/>
        <w:bottom w:val="none" w:sz="0" w:space="0" w:color="auto"/>
        <w:right w:val="none" w:sz="0" w:space="0" w:color="auto"/>
      </w:divBdr>
    </w:div>
    <w:div w:id="17065637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6273</Words>
  <Characters>35762</Characters>
  <Application>Microsoft Office Word</Application>
  <DocSecurity>0</DocSecurity>
  <Lines>298</Lines>
  <Paragraphs>83</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41952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2019-09-22T06:05:00Z</cp:lastPrinted>
  <dcterms:created xsi:type="dcterms:W3CDTF">2020-03-04T01:48:00Z</dcterms:created>
  <dcterms:modified xsi:type="dcterms:W3CDTF">2020-03-05T04:54:00Z</dcterms:modified>
</cp:coreProperties>
</file>