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95" w:rsidRPr="000366BE" w:rsidRDefault="000738A3" w:rsidP="00D53342">
      <w:pPr>
        <w:adjustRightInd w:val="0"/>
        <w:snapToGrid w:val="0"/>
        <w:spacing w:line="360" w:lineRule="auto"/>
        <w:jc w:val="both"/>
        <w:rPr>
          <w:rFonts w:ascii="Book Antiqua" w:hAnsi="Book Antiqua"/>
          <w:i/>
          <w:lang w:val="en-GB"/>
        </w:rPr>
      </w:pPr>
      <w:r w:rsidRPr="000366BE">
        <w:rPr>
          <w:rFonts w:ascii="Book Antiqua" w:hAnsi="Book Antiqua"/>
          <w:b/>
          <w:lang w:val="en-GB"/>
        </w:rPr>
        <w:t>Name of Journal</w:t>
      </w:r>
      <w:r w:rsidRPr="000366BE">
        <w:rPr>
          <w:rFonts w:ascii="Book Antiqua" w:hAnsi="Book Antiqua"/>
          <w:lang w:val="en-GB"/>
        </w:rPr>
        <w:t xml:space="preserve">: </w:t>
      </w:r>
      <w:r w:rsidRPr="000366BE">
        <w:rPr>
          <w:rFonts w:ascii="Book Antiqua" w:hAnsi="Book Antiqua"/>
          <w:i/>
          <w:lang w:val="en-GB"/>
        </w:rPr>
        <w:t>World Journal of Gastrointestinal Oncology</w:t>
      </w:r>
    </w:p>
    <w:p w:rsidR="00976095" w:rsidRPr="000366BE" w:rsidRDefault="00976095" w:rsidP="00D53342">
      <w:pPr>
        <w:adjustRightInd w:val="0"/>
        <w:snapToGrid w:val="0"/>
        <w:spacing w:line="360" w:lineRule="auto"/>
        <w:jc w:val="both"/>
        <w:rPr>
          <w:rFonts w:ascii="Book Antiqua" w:hAnsi="Book Antiqua"/>
          <w:i/>
          <w:lang w:val="en-GB"/>
        </w:rPr>
      </w:pPr>
      <w:r w:rsidRPr="000366BE">
        <w:rPr>
          <w:rFonts w:ascii="Book Antiqua" w:hAnsi="Book Antiqua" w:cs="Arial"/>
          <w:b/>
          <w:color w:val="222222"/>
          <w:shd w:val="clear" w:color="auto" w:fill="FFFFFF"/>
        </w:rPr>
        <w:t xml:space="preserve">Manuscript NO: </w:t>
      </w:r>
      <w:r w:rsidRPr="000366BE">
        <w:rPr>
          <w:rFonts w:ascii="Book Antiqua" w:eastAsia="宋体" w:hAnsi="Book Antiqua" w:cs="Arial"/>
          <w:color w:val="222222"/>
          <w:shd w:val="clear" w:color="auto" w:fill="FFFFFF"/>
          <w:lang w:eastAsia="zh-CN"/>
        </w:rPr>
        <w:t>52557</w:t>
      </w:r>
    </w:p>
    <w:p w:rsidR="00976095" w:rsidRPr="000366BE" w:rsidRDefault="00976095" w:rsidP="00D53342">
      <w:pPr>
        <w:adjustRightInd w:val="0"/>
        <w:snapToGrid w:val="0"/>
        <w:spacing w:line="360" w:lineRule="auto"/>
        <w:jc w:val="both"/>
        <w:rPr>
          <w:rFonts w:ascii="Book Antiqua" w:hAnsi="Book Antiqua"/>
          <w:b/>
          <w:lang w:val="en-GB"/>
        </w:rPr>
      </w:pPr>
      <w:bookmarkStart w:id="0" w:name="OLE_LINK3"/>
      <w:r w:rsidRPr="000366BE">
        <w:rPr>
          <w:rFonts w:ascii="Book Antiqua" w:hAnsi="Book Antiqua"/>
          <w:b/>
          <w:color w:val="000000"/>
          <w:shd w:val="clear" w:color="auto" w:fill="FFFFFF"/>
        </w:rPr>
        <w:t>Manuscript Type</w:t>
      </w:r>
      <w:r w:rsidRPr="000366BE">
        <w:rPr>
          <w:rFonts w:ascii="Book Antiqua" w:hAnsi="Book Antiqua"/>
          <w:b/>
          <w:color w:val="000000"/>
        </w:rPr>
        <w:t>:</w:t>
      </w:r>
      <w:bookmarkEnd w:id="0"/>
      <w:r w:rsidRPr="000366BE">
        <w:rPr>
          <w:rFonts w:ascii="Book Antiqua" w:eastAsia="宋体" w:hAnsi="Book Antiqua" w:cs="Arial"/>
          <w:b/>
          <w:color w:val="222222"/>
          <w:shd w:val="clear" w:color="auto" w:fill="FFFFFF"/>
          <w:lang w:eastAsia="zh-CN"/>
        </w:rPr>
        <w:t xml:space="preserve"> </w:t>
      </w:r>
      <w:r w:rsidRPr="000366BE">
        <w:rPr>
          <w:rFonts w:ascii="Book Antiqua" w:hAnsi="Book Antiqua"/>
        </w:rPr>
        <w:t>ORIGINAL ARTICLE</w:t>
      </w:r>
    </w:p>
    <w:p w:rsidR="00976095" w:rsidRPr="000366BE" w:rsidRDefault="00976095" w:rsidP="00D53342">
      <w:pPr>
        <w:adjustRightInd w:val="0"/>
        <w:snapToGrid w:val="0"/>
        <w:spacing w:line="360" w:lineRule="auto"/>
        <w:jc w:val="both"/>
        <w:rPr>
          <w:rFonts w:ascii="Book Antiqua" w:eastAsia="幼圆" w:hAnsi="Book Antiqua"/>
          <w:b/>
          <w:i/>
        </w:rPr>
      </w:pPr>
    </w:p>
    <w:p w:rsidR="00976095" w:rsidRPr="000366BE" w:rsidRDefault="00976095" w:rsidP="00D53342">
      <w:pPr>
        <w:adjustRightInd w:val="0"/>
        <w:snapToGrid w:val="0"/>
        <w:spacing w:line="360" w:lineRule="auto"/>
        <w:jc w:val="both"/>
        <w:rPr>
          <w:rFonts w:ascii="Book Antiqua" w:hAnsi="Book Antiqua"/>
          <w:b/>
          <w:lang w:val="en-GB"/>
        </w:rPr>
      </w:pPr>
      <w:r w:rsidRPr="000366BE">
        <w:rPr>
          <w:rFonts w:ascii="Book Antiqua" w:eastAsia="幼圆" w:hAnsi="Book Antiqua"/>
          <w:b/>
          <w:i/>
        </w:rPr>
        <w:t>Retrospective Study</w:t>
      </w:r>
    </w:p>
    <w:p w:rsidR="000738A3" w:rsidRPr="000366BE" w:rsidRDefault="000738A3" w:rsidP="00D53342">
      <w:pPr>
        <w:adjustRightInd w:val="0"/>
        <w:snapToGrid w:val="0"/>
        <w:spacing w:line="360" w:lineRule="auto"/>
        <w:jc w:val="both"/>
        <w:rPr>
          <w:rFonts w:ascii="Book Antiqua" w:hAnsi="Book Antiqua"/>
          <w:b/>
          <w:lang w:val="en-GB"/>
        </w:rPr>
      </w:pPr>
      <w:bookmarkStart w:id="1" w:name="OLE_LINK2"/>
      <w:bookmarkStart w:id="2" w:name="OLE_LINK5"/>
      <w:r w:rsidRPr="000366BE">
        <w:rPr>
          <w:rFonts w:ascii="Book Antiqua" w:hAnsi="Book Antiqua"/>
          <w:b/>
          <w:lang w:val="en-GB"/>
        </w:rPr>
        <w:t>Circulating cytokines and outcome in metastatic colorectal cancer patients treated with regorafenib</w:t>
      </w:r>
    </w:p>
    <w:bookmarkEnd w:id="1"/>
    <w:bookmarkEnd w:id="2"/>
    <w:p w:rsidR="000738A3" w:rsidRPr="000366BE" w:rsidRDefault="000738A3" w:rsidP="00D53342">
      <w:pPr>
        <w:adjustRightInd w:val="0"/>
        <w:snapToGrid w:val="0"/>
        <w:spacing w:line="360" w:lineRule="auto"/>
        <w:jc w:val="both"/>
        <w:rPr>
          <w:rFonts w:ascii="Book Antiqua" w:hAnsi="Book Antiqua"/>
          <w:i/>
          <w:lang w:val="en-GB"/>
        </w:rPr>
      </w:pPr>
    </w:p>
    <w:p w:rsidR="00976095" w:rsidRPr="000366BE" w:rsidRDefault="00976095" w:rsidP="00D53342">
      <w:pPr>
        <w:adjustRightInd w:val="0"/>
        <w:snapToGrid w:val="0"/>
        <w:spacing w:line="360" w:lineRule="auto"/>
        <w:jc w:val="both"/>
        <w:rPr>
          <w:rFonts w:ascii="Book Antiqua" w:hAnsi="Book Antiqua"/>
        </w:rPr>
      </w:pPr>
      <w:r w:rsidRPr="000366BE">
        <w:rPr>
          <w:rFonts w:ascii="Book Antiqua" w:hAnsi="Book Antiqua"/>
        </w:rPr>
        <w:t xml:space="preserve">Ricci V </w:t>
      </w:r>
      <w:r w:rsidRPr="000366BE">
        <w:rPr>
          <w:rFonts w:ascii="Book Antiqua" w:hAnsi="Book Antiqua"/>
          <w:i/>
        </w:rPr>
        <w:t>et al</w:t>
      </w:r>
      <w:r w:rsidRPr="000366BE">
        <w:rPr>
          <w:rFonts w:ascii="Book Antiqua" w:hAnsi="Book Antiqua"/>
        </w:rPr>
        <w:t xml:space="preserve">. </w:t>
      </w:r>
      <w:bookmarkStart w:id="3" w:name="OLE_LINK7"/>
      <w:bookmarkStart w:id="4" w:name="OLE_LINK9"/>
      <w:bookmarkStart w:id="5" w:name="OLE_LINK10"/>
      <w:r w:rsidRPr="000366BE">
        <w:rPr>
          <w:rFonts w:ascii="Book Antiqua" w:hAnsi="Book Antiqua"/>
        </w:rPr>
        <w:t>Circulating cytokines</w:t>
      </w:r>
      <w:bookmarkEnd w:id="3"/>
      <w:r w:rsidRPr="000366BE">
        <w:rPr>
          <w:rFonts w:ascii="Book Antiqua" w:hAnsi="Book Antiqua"/>
        </w:rPr>
        <w:t xml:space="preserve"> and outcome in regorafenib treated mCRC patients</w:t>
      </w:r>
    </w:p>
    <w:bookmarkEnd w:id="4"/>
    <w:bookmarkEnd w:id="5"/>
    <w:p w:rsidR="00976095" w:rsidRPr="000366BE" w:rsidRDefault="00976095" w:rsidP="00D53342">
      <w:pPr>
        <w:adjustRightInd w:val="0"/>
        <w:snapToGrid w:val="0"/>
        <w:spacing w:line="360" w:lineRule="auto"/>
        <w:jc w:val="both"/>
        <w:rPr>
          <w:rFonts w:ascii="Book Antiqua" w:hAnsi="Book Antiqua"/>
        </w:rPr>
      </w:pPr>
    </w:p>
    <w:p w:rsidR="000738A3" w:rsidRPr="000366BE" w:rsidRDefault="00976095" w:rsidP="00D53342">
      <w:pPr>
        <w:adjustRightInd w:val="0"/>
        <w:snapToGrid w:val="0"/>
        <w:spacing w:line="360" w:lineRule="auto"/>
        <w:jc w:val="both"/>
        <w:rPr>
          <w:rFonts w:ascii="Book Antiqua" w:hAnsi="Book Antiqua"/>
        </w:rPr>
      </w:pPr>
      <w:r w:rsidRPr="000366BE">
        <w:rPr>
          <w:rFonts w:ascii="Book Antiqua" w:hAnsi="Book Antiqua"/>
        </w:rPr>
        <w:t>Vincenzo Ricci</w:t>
      </w:r>
      <w:r w:rsidR="000738A3" w:rsidRPr="000366BE">
        <w:rPr>
          <w:rFonts w:ascii="Book Antiqua" w:hAnsi="Book Antiqua"/>
        </w:rPr>
        <w:t xml:space="preserve">, </w:t>
      </w:r>
      <w:r w:rsidRPr="000366BE">
        <w:rPr>
          <w:rFonts w:ascii="Book Antiqua" w:hAnsi="Book Antiqua"/>
        </w:rPr>
        <w:t>Cristina Granetto</w:t>
      </w:r>
      <w:r w:rsidR="000738A3" w:rsidRPr="000366BE">
        <w:rPr>
          <w:rFonts w:ascii="Book Antiqua" w:hAnsi="Book Antiqua" w:cs="TimesNewRomanPSMT"/>
          <w:lang w:eastAsia="it-IT"/>
        </w:rPr>
        <w:t xml:space="preserve">, </w:t>
      </w:r>
      <w:r w:rsidRPr="000366BE">
        <w:rPr>
          <w:rFonts w:ascii="Book Antiqua" w:hAnsi="Book Antiqua"/>
        </w:rPr>
        <w:t>Antonella Falletta</w:t>
      </w:r>
      <w:r w:rsidR="000738A3" w:rsidRPr="000366BE">
        <w:rPr>
          <w:rFonts w:ascii="Book Antiqua" w:hAnsi="Book Antiqua"/>
        </w:rPr>
        <w:t xml:space="preserve">, </w:t>
      </w:r>
      <w:r w:rsidRPr="000366BE">
        <w:rPr>
          <w:rFonts w:ascii="Book Antiqua" w:hAnsi="Book Antiqua"/>
        </w:rPr>
        <w:t>Matteo Paccagnella</w:t>
      </w:r>
      <w:r w:rsidR="000738A3" w:rsidRPr="000366BE">
        <w:rPr>
          <w:rFonts w:ascii="Book Antiqua" w:hAnsi="Book Antiqua"/>
        </w:rPr>
        <w:t xml:space="preserve">, </w:t>
      </w:r>
      <w:r w:rsidRPr="000366BE">
        <w:rPr>
          <w:rFonts w:ascii="Book Antiqua" w:hAnsi="Book Antiqua"/>
        </w:rPr>
        <w:t>Andrea Abbona</w:t>
      </w:r>
      <w:r w:rsidR="000738A3" w:rsidRPr="000366BE">
        <w:rPr>
          <w:rFonts w:ascii="Book Antiqua" w:hAnsi="Book Antiqua"/>
        </w:rPr>
        <w:t xml:space="preserve">, </w:t>
      </w:r>
      <w:r w:rsidRPr="000366BE">
        <w:rPr>
          <w:rFonts w:ascii="Book Antiqua" w:hAnsi="Book Antiqua"/>
        </w:rPr>
        <w:t>Elena Fea</w:t>
      </w:r>
      <w:r w:rsidR="000738A3" w:rsidRPr="000366BE">
        <w:rPr>
          <w:rFonts w:ascii="Book Antiqua" w:hAnsi="Book Antiqua"/>
        </w:rPr>
        <w:t xml:space="preserve">, </w:t>
      </w:r>
      <w:r w:rsidRPr="000366BE">
        <w:rPr>
          <w:rFonts w:ascii="Book Antiqua" w:hAnsi="Book Antiqua"/>
        </w:rPr>
        <w:t>Teresa Fabozzi</w:t>
      </w:r>
      <w:r w:rsidR="000738A3" w:rsidRPr="000366BE">
        <w:rPr>
          <w:rFonts w:ascii="Book Antiqua" w:hAnsi="Book Antiqua"/>
        </w:rPr>
        <w:t xml:space="preserve">, </w:t>
      </w:r>
      <w:bookmarkStart w:id="6" w:name="OLE_LINK6"/>
      <w:r w:rsidRPr="000366BE">
        <w:rPr>
          <w:rFonts w:ascii="Book Antiqua" w:hAnsi="Book Antiqua"/>
        </w:rPr>
        <w:t>Cristiana Lo Nigro</w:t>
      </w:r>
      <w:r w:rsidR="000738A3" w:rsidRPr="000366BE">
        <w:rPr>
          <w:rFonts w:ascii="Book Antiqua" w:hAnsi="Book Antiqua"/>
        </w:rPr>
        <w:t>,</w:t>
      </w:r>
      <w:bookmarkEnd w:id="6"/>
      <w:r w:rsidR="000738A3" w:rsidRPr="000366BE">
        <w:rPr>
          <w:rFonts w:ascii="Book Antiqua" w:hAnsi="Book Antiqua"/>
        </w:rPr>
        <w:t xml:space="preserve"> </w:t>
      </w:r>
      <w:r w:rsidRPr="000366BE">
        <w:rPr>
          <w:rFonts w:ascii="Book Antiqua" w:hAnsi="Book Antiqua"/>
        </w:rPr>
        <w:t>Marco Carlo Merlano</w:t>
      </w:r>
    </w:p>
    <w:p w:rsidR="000738A3" w:rsidRPr="000366BE" w:rsidRDefault="000738A3" w:rsidP="00D53342">
      <w:pPr>
        <w:adjustRightInd w:val="0"/>
        <w:snapToGrid w:val="0"/>
        <w:spacing w:line="360" w:lineRule="auto"/>
        <w:jc w:val="both"/>
        <w:rPr>
          <w:rFonts w:ascii="Book Antiqua" w:hAnsi="Book Antiqua"/>
          <w:i/>
        </w:rPr>
      </w:pPr>
    </w:p>
    <w:p w:rsidR="000738A3" w:rsidRPr="000366BE" w:rsidRDefault="00976095" w:rsidP="00D53342">
      <w:pPr>
        <w:adjustRightInd w:val="0"/>
        <w:snapToGrid w:val="0"/>
        <w:spacing w:line="360" w:lineRule="auto"/>
        <w:jc w:val="both"/>
        <w:rPr>
          <w:rFonts w:ascii="Book Antiqua" w:hAnsi="Book Antiqua"/>
          <w:lang w:val="en-GB"/>
        </w:rPr>
      </w:pPr>
      <w:r w:rsidRPr="000366BE">
        <w:rPr>
          <w:rFonts w:ascii="Book Antiqua" w:hAnsi="Book Antiqua"/>
          <w:b/>
        </w:rPr>
        <w:t>Vincenzo Ricci,</w:t>
      </w:r>
      <w:r w:rsidR="000738A3" w:rsidRPr="000366BE">
        <w:rPr>
          <w:rFonts w:ascii="Book Antiqua" w:hAnsi="Book Antiqua"/>
          <w:b/>
          <w:lang w:val="en-GB"/>
        </w:rPr>
        <w:t xml:space="preserve"> </w:t>
      </w:r>
      <w:r w:rsidRPr="000366BE">
        <w:rPr>
          <w:rFonts w:ascii="Book Antiqua" w:hAnsi="Book Antiqua"/>
          <w:b/>
        </w:rPr>
        <w:t>Cristina Granetto</w:t>
      </w:r>
      <w:r w:rsidRPr="000366BE">
        <w:rPr>
          <w:rFonts w:ascii="Book Antiqua" w:hAnsi="Book Antiqua" w:cs="TimesNewRomanPSMT"/>
          <w:b/>
          <w:lang w:eastAsia="it-IT"/>
        </w:rPr>
        <w:t>,</w:t>
      </w:r>
      <w:r w:rsidR="000738A3" w:rsidRPr="000366BE">
        <w:rPr>
          <w:rFonts w:ascii="Book Antiqua" w:hAnsi="Book Antiqua"/>
          <w:b/>
          <w:lang w:val="en-GB"/>
        </w:rPr>
        <w:t xml:space="preserve"> </w:t>
      </w:r>
      <w:r w:rsidRPr="000366BE">
        <w:rPr>
          <w:rFonts w:ascii="Book Antiqua" w:hAnsi="Book Antiqua"/>
          <w:b/>
        </w:rPr>
        <w:t>Elena Fea,</w:t>
      </w:r>
      <w:r w:rsidR="000738A3" w:rsidRPr="000366BE">
        <w:rPr>
          <w:rFonts w:ascii="Book Antiqua" w:hAnsi="Book Antiqua" w:cs="TimesNewRomanPSMT"/>
          <w:b/>
          <w:lang w:val="en-GB" w:eastAsia="it-IT"/>
        </w:rPr>
        <w:t xml:space="preserve"> </w:t>
      </w:r>
      <w:r w:rsidRPr="000366BE">
        <w:rPr>
          <w:rFonts w:ascii="Book Antiqua" w:hAnsi="Book Antiqua"/>
          <w:b/>
        </w:rPr>
        <w:t>Marco Carlo Merlano</w:t>
      </w:r>
      <w:r w:rsidR="000738A3" w:rsidRPr="000366BE">
        <w:rPr>
          <w:rFonts w:ascii="Book Antiqua" w:hAnsi="Book Antiqua" w:cs="TimesNewRomanPSMT"/>
          <w:b/>
          <w:lang w:val="en-GB" w:eastAsia="it-IT"/>
        </w:rPr>
        <w:t xml:space="preserve">, </w:t>
      </w:r>
      <w:r w:rsidR="000738A3" w:rsidRPr="000366BE">
        <w:rPr>
          <w:rFonts w:ascii="Book Antiqua" w:hAnsi="Book Antiqua"/>
          <w:lang w:val="en-GB"/>
        </w:rPr>
        <w:t xml:space="preserve">Medical Oncology and Laboratory of Translational Oncology, Oncology Department, S. Croce </w:t>
      </w:r>
      <w:r w:rsidR="007A0566" w:rsidRPr="000366BE">
        <w:rPr>
          <w:rFonts w:ascii="Book Antiqua" w:hAnsi="Book Antiqua"/>
          <w:lang w:val="en-GB"/>
        </w:rPr>
        <w:t xml:space="preserve">and </w:t>
      </w:r>
      <w:r w:rsidR="000738A3" w:rsidRPr="000366BE">
        <w:rPr>
          <w:rFonts w:ascii="Book Antiqua" w:hAnsi="Book Antiqua"/>
          <w:lang w:val="en-GB"/>
        </w:rPr>
        <w:t>Carle Teaching Hospital Cuneo, Cuneo</w:t>
      </w:r>
      <w:r w:rsidR="007A0566" w:rsidRPr="000366BE">
        <w:rPr>
          <w:rFonts w:ascii="Book Antiqua" w:hAnsi="Book Antiqua"/>
          <w:lang w:val="en-GB"/>
        </w:rPr>
        <w:t xml:space="preserve"> 12100</w:t>
      </w:r>
      <w:r w:rsidR="000738A3" w:rsidRPr="000366BE">
        <w:rPr>
          <w:rFonts w:ascii="Book Antiqua" w:hAnsi="Book Antiqua"/>
          <w:lang w:val="en-GB"/>
        </w:rPr>
        <w:t>, Italy</w:t>
      </w:r>
    </w:p>
    <w:p w:rsidR="000738A3" w:rsidRPr="000366BE" w:rsidRDefault="000738A3" w:rsidP="00D53342">
      <w:pPr>
        <w:adjustRightInd w:val="0"/>
        <w:snapToGrid w:val="0"/>
        <w:spacing w:line="360" w:lineRule="auto"/>
        <w:jc w:val="both"/>
        <w:rPr>
          <w:rFonts w:ascii="Book Antiqua" w:hAnsi="Book Antiqua" w:cs="TimesNewRomanPSMT"/>
          <w:b/>
          <w:lang w:val="en-GB" w:eastAsia="it-IT"/>
        </w:rPr>
      </w:pPr>
    </w:p>
    <w:p w:rsidR="000738A3" w:rsidRPr="000366BE" w:rsidRDefault="00976095" w:rsidP="00D53342">
      <w:pPr>
        <w:adjustRightInd w:val="0"/>
        <w:snapToGrid w:val="0"/>
        <w:spacing w:line="360" w:lineRule="auto"/>
        <w:jc w:val="both"/>
        <w:rPr>
          <w:rFonts w:ascii="Book Antiqua" w:hAnsi="Book Antiqua"/>
        </w:rPr>
      </w:pPr>
      <w:r w:rsidRPr="000366BE">
        <w:rPr>
          <w:rFonts w:ascii="Book Antiqua" w:hAnsi="Book Antiqua"/>
          <w:b/>
        </w:rPr>
        <w:t>Antonella Falletta, Matteo Paccagnella, Andrea Abbona</w:t>
      </w:r>
      <w:r w:rsidR="000738A3" w:rsidRPr="000366BE">
        <w:rPr>
          <w:rFonts w:ascii="Book Antiqua" w:hAnsi="Book Antiqua"/>
          <w:b/>
          <w:lang w:eastAsia="it-IT"/>
        </w:rPr>
        <w:t xml:space="preserve">, </w:t>
      </w:r>
      <w:r w:rsidRPr="000366BE">
        <w:rPr>
          <w:rFonts w:ascii="Book Antiqua" w:hAnsi="Book Antiqua"/>
          <w:b/>
        </w:rPr>
        <w:t>Marco Carlo Merlano</w:t>
      </w:r>
      <w:r w:rsidR="000738A3" w:rsidRPr="000366BE">
        <w:rPr>
          <w:rFonts w:ascii="Book Antiqua" w:hAnsi="Book Antiqua"/>
          <w:b/>
          <w:lang w:eastAsia="it-IT"/>
        </w:rPr>
        <w:t>,</w:t>
      </w:r>
      <w:r w:rsidR="000738A3" w:rsidRPr="000366BE">
        <w:rPr>
          <w:rFonts w:ascii="Book Antiqua" w:hAnsi="Book Antiqua"/>
          <w:lang w:eastAsia="it-IT"/>
        </w:rPr>
        <w:t xml:space="preserve"> Ar</w:t>
      </w:r>
      <w:r w:rsidR="000738A3" w:rsidRPr="000366BE">
        <w:rPr>
          <w:rFonts w:ascii="Book Antiqua" w:hAnsi="Book Antiqua"/>
        </w:rPr>
        <w:t>co Cuneo Foundation, Cuneo</w:t>
      </w:r>
      <w:r w:rsidR="007A0566" w:rsidRPr="000366BE">
        <w:rPr>
          <w:rFonts w:ascii="Book Antiqua" w:hAnsi="Book Antiqua"/>
        </w:rPr>
        <w:t xml:space="preserve"> 12100</w:t>
      </w:r>
      <w:r w:rsidR="000738A3" w:rsidRPr="000366BE">
        <w:rPr>
          <w:rFonts w:ascii="Book Antiqua" w:hAnsi="Book Antiqua"/>
        </w:rPr>
        <w:t xml:space="preserve">, </w:t>
      </w:r>
      <w:r w:rsidR="00316A20" w:rsidRPr="000366BE">
        <w:rPr>
          <w:rFonts w:ascii="Book Antiqua" w:hAnsi="Book Antiqua"/>
        </w:rPr>
        <w:t>Italy</w:t>
      </w:r>
    </w:p>
    <w:p w:rsidR="000738A3" w:rsidRPr="000366BE" w:rsidRDefault="000738A3" w:rsidP="00D53342">
      <w:pPr>
        <w:adjustRightInd w:val="0"/>
        <w:snapToGrid w:val="0"/>
        <w:spacing w:line="360" w:lineRule="auto"/>
        <w:jc w:val="both"/>
        <w:rPr>
          <w:rFonts w:ascii="Book Antiqua" w:hAnsi="Book Antiqua"/>
        </w:rPr>
      </w:pPr>
    </w:p>
    <w:p w:rsidR="000738A3" w:rsidRPr="000366BE" w:rsidRDefault="00976095" w:rsidP="00D53342">
      <w:pPr>
        <w:adjustRightInd w:val="0"/>
        <w:snapToGrid w:val="0"/>
        <w:spacing w:line="360" w:lineRule="auto"/>
        <w:jc w:val="both"/>
        <w:rPr>
          <w:rFonts w:ascii="Book Antiqua" w:hAnsi="Book Antiqua"/>
        </w:rPr>
      </w:pPr>
      <w:r w:rsidRPr="000366BE">
        <w:rPr>
          <w:rFonts w:ascii="Book Antiqua" w:hAnsi="Book Antiqua"/>
          <w:b/>
        </w:rPr>
        <w:t>Teresa Fabozzi,</w:t>
      </w:r>
      <w:r w:rsidR="000738A3" w:rsidRPr="000366BE">
        <w:rPr>
          <w:rFonts w:ascii="Book Antiqua" w:hAnsi="Book Antiqua"/>
          <w:b/>
          <w:lang w:eastAsia="it-IT"/>
        </w:rPr>
        <w:t xml:space="preserve"> </w:t>
      </w:r>
      <w:r w:rsidR="000738A3" w:rsidRPr="000366BE">
        <w:rPr>
          <w:rFonts w:ascii="Book Antiqua" w:hAnsi="Book Antiqua"/>
        </w:rPr>
        <w:t>Medical Oncology, S.</w:t>
      </w:r>
      <w:r w:rsidR="007A0566" w:rsidRPr="000366BE">
        <w:rPr>
          <w:rFonts w:ascii="Book Antiqua" w:hAnsi="Book Antiqua"/>
        </w:rPr>
        <w:t xml:space="preserve"> </w:t>
      </w:r>
      <w:r w:rsidR="000738A3" w:rsidRPr="000366BE">
        <w:rPr>
          <w:rFonts w:ascii="Book Antiqua" w:hAnsi="Book Antiqua"/>
        </w:rPr>
        <w:t xml:space="preserve">G. Bosco Hospital, </w:t>
      </w:r>
      <w:bookmarkStart w:id="7" w:name="OLE_LINK8"/>
      <w:r w:rsidR="000738A3" w:rsidRPr="000366BE">
        <w:rPr>
          <w:rFonts w:ascii="Book Antiqua" w:hAnsi="Book Antiqua"/>
        </w:rPr>
        <w:t>Torino</w:t>
      </w:r>
      <w:bookmarkEnd w:id="7"/>
      <w:r w:rsidR="007A0566" w:rsidRPr="000366BE">
        <w:rPr>
          <w:rFonts w:ascii="Book Antiqua" w:hAnsi="Book Antiqua"/>
        </w:rPr>
        <w:t xml:space="preserve"> 10154</w:t>
      </w:r>
      <w:r w:rsidR="000738A3" w:rsidRPr="000366BE">
        <w:rPr>
          <w:rFonts w:ascii="Book Antiqua" w:hAnsi="Book Antiqua"/>
        </w:rPr>
        <w:t xml:space="preserve">, </w:t>
      </w:r>
      <w:r w:rsidR="00316A20" w:rsidRPr="000366BE">
        <w:rPr>
          <w:rFonts w:ascii="Book Antiqua" w:hAnsi="Book Antiqua"/>
        </w:rPr>
        <w:t>Italy</w:t>
      </w:r>
    </w:p>
    <w:p w:rsidR="000738A3" w:rsidRPr="000366BE" w:rsidRDefault="000738A3" w:rsidP="00D53342">
      <w:pPr>
        <w:adjustRightInd w:val="0"/>
        <w:snapToGrid w:val="0"/>
        <w:spacing w:line="360" w:lineRule="auto"/>
        <w:jc w:val="both"/>
        <w:rPr>
          <w:rFonts w:ascii="Book Antiqua" w:hAnsi="Book Antiqua"/>
        </w:rPr>
      </w:pPr>
    </w:p>
    <w:p w:rsidR="000738A3" w:rsidRPr="000366BE" w:rsidRDefault="00976095" w:rsidP="00D53342">
      <w:pPr>
        <w:adjustRightInd w:val="0"/>
        <w:snapToGrid w:val="0"/>
        <w:spacing w:line="360" w:lineRule="auto"/>
        <w:jc w:val="both"/>
        <w:rPr>
          <w:rFonts w:ascii="Book Antiqua" w:hAnsi="Book Antiqua"/>
        </w:rPr>
      </w:pPr>
      <w:r w:rsidRPr="000366BE">
        <w:rPr>
          <w:rFonts w:ascii="Book Antiqua" w:hAnsi="Book Antiqua"/>
          <w:b/>
        </w:rPr>
        <w:t>Cristiana Lo Nigro,</w:t>
      </w:r>
      <w:r w:rsidR="000738A3" w:rsidRPr="000366BE">
        <w:rPr>
          <w:rFonts w:ascii="Book Antiqua" w:hAnsi="Book Antiqua"/>
        </w:rPr>
        <w:t xml:space="preserve"> Laboratory, S. Croce </w:t>
      </w:r>
      <w:r w:rsidR="007A0566" w:rsidRPr="000366BE">
        <w:rPr>
          <w:rFonts w:ascii="Book Antiqua" w:hAnsi="Book Antiqua"/>
        </w:rPr>
        <w:t xml:space="preserve">and </w:t>
      </w:r>
      <w:r w:rsidR="000738A3" w:rsidRPr="000366BE">
        <w:rPr>
          <w:rFonts w:ascii="Book Antiqua" w:hAnsi="Book Antiqua"/>
        </w:rPr>
        <w:t>Carle Teaching Hospital Cuneo, Cuneo</w:t>
      </w:r>
      <w:r w:rsidR="007A0566" w:rsidRPr="000366BE">
        <w:rPr>
          <w:rFonts w:ascii="Book Antiqua" w:hAnsi="Book Antiqua"/>
        </w:rPr>
        <w:t xml:space="preserve"> 12100</w:t>
      </w:r>
      <w:r w:rsidR="000738A3" w:rsidRPr="000366BE">
        <w:rPr>
          <w:rFonts w:ascii="Book Antiqua" w:hAnsi="Book Antiqua"/>
        </w:rPr>
        <w:t xml:space="preserve">, </w:t>
      </w:r>
      <w:r w:rsidR="00316A20" w:rsidRPr="000366BE">
        <w:rPr>
          <w:rFonts w:ascii="Book Antiqua" w:hAnsi="Book Antiqua"/>
        </w:rPr>
        <w:t>Italy</w:t>
      </w:r>
    </w:p>
    <w:p w:rsidR="00976095" w:rsidRPr="000366BE" w:rsidRDefault="00976095" w:rsidP="00D53342">
      <w:pPr>
        <w:adjustRightInd w:val="0"/>
        <w:snapToGrid w:val="0"/>
        <w:spacing w:line="360" w:lineRule="auto"/>
        <w:jc w:val="both"/>
        <w:rPr>
          <w:rFonts w:ascii="Book Antiqua" w:hAnsi="Book Antiqua"/>
        </w:rPr>
      </w:pP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cs="Arial"/>
          <w:b/>
          <w:color w:val="000000"/>
          <w:shd w:val="clear" w:color="auto" w:fill="FFFFFF"/>
          <w:lang w:val="en-GB"/>
        </w:rPr>
        <w:t xml:space="preserve">Author contributions: </w:t>
      </w:r>
      <w:r w:rsidRPr="000366BE">
        <w:rPr>
          <w:rFonts w:ascii="Book Antiqua" w:hAnsi="Book Antiqua"/>
          <w:lang w:val="en-GB"/>
        </w:rPr>
        <w:t>Ricci</w:t>
      </w:r>
      <w:r w:rsidR="007A0566" w:rsidRPr="000366BE">
        <w:rPr>
          <w:rFonts w:ascii="Book Antiqua" w:hAnsi="Book Antiqua"/>
          <w:lang w:val="en-GB"/>
        </w:rPr>
        <w:t xml:space="preserve"> V</w:t>
      </w:r>
      <w:r w:rsidRPr="000366BE">
        <w:rPr>
          <w:rFonts w:ascii="Book Antiqua" w:hAnsi="Book Antiqua"/>
          <w:lang w:val="en-GB"/>
        </w:rPr>
        <w:t xml:space="preserve"> and </w:t>
      </w:r>
      <w:proofErr w:type="spellStart"/>
      <w:r w:rsidRPr="000366BE">
        <w:rPr>
          <w:rFonts w:ascii="Book Antiqua" w:hAnsi="Book Antiqua"/>
          <w:lang w:val="en-GB"/>
        </w:rPr>
        <w:t>Merlano</w:t>
      </w:r>
      <w:proofErr w:type="spellEnd"/>
      <w:r w:rsidR="007A0566" w:rsidRPr="000366BE">
        <w:rPr>
          <w:rFonts w:ascii="Book Antiqua" w:hAnsi="Book Antiqua"/>
          <w:lang w:val="en-GB"/>
        </w:rPr>
        <w:t xml:space="preserve"> MC</w:t>
      </w:r>
      <w:r w:rsidRPr="000366BE">
        <w:rPr>
          <w:rFonts w:ascii="Book Antiqua" w:hAnsi="Book Antiqua"/>
          <w:lang w:val="en-GB"/>
        </w:rPr>
        <w:t xml:space="preserve"> designed the research; Ricci</w:t>
      </w:r>
      <w:r w:rsidR="007A0566" w:rsidRPr="000366BE">
        <w:rPr>
          <w:rFonts w:ascii="Book Antiqua" w:hAnsi="Book Antiqua"/>
          <w:lang w:val="en-GB"/>
        </w:rPr>
        <w:t xml:space="preserve"> V</w:t>
      </w:r>
      <w:r w:rsidRPr="000366BE">
        <w:rPr>
          <w:rFonts w:ascii="Book Antiqua" w:hAnsi="Book Antiqua"/>
          <w:lang w:val="en-GB"/>
        </w:rPr>
        <w:t xml:space="preserve">, </w:t>
      </w:r>
      <w:proofErr w:type="spellStart"/>
      <w:r w:rsidRPr="000366BE">
        <w:rPr>
          <w:rFonts w:ascii="Book Antiqua" w:hAnsi="Book Antiqua"/>
          <w:lang w:val="en-GB"/>
        </w:rPr>
        <w:t>Granetto</w:t>
      </w:r>
      <w:proofErr w:type="spellEnd"/>
      <w:r w:rsidR="007A0566" w:rsidRPr="000366BE">
        <w:rPr>
          <w:rFonts w:ascii="Book Antiqua" w:hAnsi="Book Antiqua"/>
          <w:lang w:val="en-GB"/>
        </w:rPr>
        <w:t xml:space="preserve"> C</w:t>
      </w:r>
      <w:r w:rsidRPr="000366BE">
        <w:rPr>
          <w:rFonts w:ascii="Book Antiqua" w:hAnsi="Book Antiqua"/>
          <w:lang w:val="en-GB"/>
        </w:rPr>
        <w:t xml:space="preserve"> and </w:t>
      </w:r>
      <w:proofErr w:type="spellStart"/>
      <w:r w:rsidRPr="000366BE">
        <w:rPr>
          <w:rFonts w:ascii="Book Antiqua" w:hAnsi="Book Antiqua"/>
          <w:lang w:val="en-GB"/>
        </w:rPr>
        <w:t>Fea</w:t>
      </w:r>
      <w:proofErr w:type="spellEnd"/>
      <w:r w:rsidR="007A0566" w:rsidRPr="000366BE">
        <w:rPr>
          <w:rFonts w:ascii="Book Antiqua" w:hAnsi="Book Antiqua"/>
          <w:lang w:val="en-GB"/>
        </w:rPr>
        <w:t xml:space="preserve"> E</w:t>
      </w:r>
      <w:r w:rsidRPr="000366BE">
        <w:rPr>
          <w:rFonts w:ascii="Book Antiqua" w:hAnsi="Book Antiqua"/>
          <w:lang w:val="en-GB"/>
        </w:rPr>
        <w:t xml:space="preserve"> enrolled the patients; </w:t>
      </w:r>
      <w:proofErr w:type="spellStart"/>
      <w:r w:rsidRPr="000366BE">
        <w:rPr>
          <w:rFonts w:ascii="Book Antiqua" w:hAnsi="Book Antiqua"/>
          <w:lang w:val="en-GB"/>
        </w:rPr>
        <w:t>Fabozzi</w:t>
      </w:r>
      <w:proofErr w:type="spellEnd"/>
      <w:r w:rsidR="007A0566" w:rsidRPr="000366BE">
        <w:rPr>
          <w:rFonts w:ascii="Book Antiqua" w:hAnsi="Book Antiqua"/>
          <w:lang w:val="en-GB"/>
        </w:rPr>
        <w:t xml:space="preserve"> T</w:t>
      </w:r>
      <w:r w:rsidRPr="000366BE">
        <w:rPr>
          <w:rFonts w:ascii="Book Antiqua" w:hAnsi="Book Antiqua"/>
          <w:lang w:val="en-GB"/>
        </w:rPr>
        <w:t xml:space="preserve">, </w:t>
      </w:r>
      <w:proofErr w:type="spellStart"/>
      <w:r w:rsidRPr="000366BE">
        <w:rPr>
          <w:rFonts w:ascii="Book Antiqua" w:hAnsi="Book Antiqua"/>
          <w:lang w:val="en-GB"/>
        </w:rPr>
        <w:t>Granetto</w:t>
      </w:r>
      <w:proofErr w:type="spellEnd"/>
      <w:r w:rsidR="007A0566" w:rsidRPr="000366BE">
        <w:rPr>
          <w:rFonts w:ascii="Book Antiqua" w:hAnsi="Book Antiqua"/>
          <w:lang w:val="en-GB"/>
        </w:rPr>
        <w:t xml:space="preserve"> C</w:t>
      </w:r>
      <w:r w:rsidRPr="000366BE">
        <w:rPr>
          <w:rFonts w:ascii="Book Antiqua" w:hAnsi="Book Antiqua"/>
          <w:lang w:val="en-GB"/>
        </w:rPr>
        <w:t xml:space="preserve"> and Lo Nigro</w:t>
      </w:r>
      <w:r w:rsidR="007A0566" w:rsidRPr="000366BE">
        <w:rPr>
          <w:rFonts w:ascii="Book Antiqua" w:hAnsi="Book Antiqua"/>
          <w:lang w:val="en-GB"/>
        </w:rPr>
        <w:t xml:space="preserve"> C</w:t>
      </w:r>
      <w:r w:rsidRPr="000366BE">
        <w:rPr>
          <w:rFonts w:ascii="Book Antiqua" w:hAnsi="Book Antiqua"/>
          <w:lang w:val="en-GB"/>
        </w:rPr>
        <w:t xml:space="preserve"> revised the manuscript; </w:t>
      </w:r>
      <w:proofErr w:type="spellStart"/>
      <w:r w:rsidRPr="000366BE">
        <w:rPr>
          <w:rFonts w:ascii="Book Antiqua" w:hAnsi="Book Antiqua"/>
          <w:lang w:val="en-GB"/>
        </w:rPr>
        <w:t>Falletta</w:t>
      </w:r>
      <w:proofErr w:type="spellEnd"/>
      <w:r w:rsidR="007A0566" w:rsidRPr="000366BE">
        <w:rPr>
          <w:rFonts w:ascii="Book Antiqua" w:hAnsi="Book Antiqua"/>
          <w:lang w:val="en-GB"/>
        </w:rPr>
        <w:t xml:space="preserve"> A</w:t>
      </w:r>
      <w:r w:rsidRPr="000366BE">
        <w:rPr>
          <w:rFonts w:ascii="Book Antiqua" w:hAnsi="Book Antiqua"/>
          <w:lang w:val="en-GB"/>
        </w:rPr>
        <w:t xml:space="preserve">, </w:t>
      </w:r>
      <w:proofErr w:type="spellStart"/>
      <w:r w:rsidRPr="000366BE">
        <w:rPr>
          <w:rFonts w:ascii="Book Antiqua" w:hAnsi="Book Antiqua"/>
          <w:lang w:val="en-GB"/>
        </w:rPr>
        <w:t>Paccagnella</w:t>
      </w:r>
      <w:proofErr w:type="spellEnd"/>
      <w:r w:rsidR="007A0566" w:rsidRPr="000366BE">
        <w:rPr>
          <w:rFonts w:ascii="Book Antiqua" w:hAnsi="Book Antiqua"/>
          <w:lang w:val="en-GB"/>
        </w:rPr>
        <w:t xml:space="preserve"> M</w:t>
      </w:r>
      <w:r w:rsidRPr="000366BE">
        <w:rPr>
          <w:rFonts w:ascii="Book Antiqua" w:hAnsi="Book Antiqua"/>
          <w:lang w:val="en-GB"/>
        </w:rPr>
        <w:t xml:space="preserve"> and </w:t>
      </w:r>
      <w:proofErr w:type="spellStart"/>
      <w:r w:rsidRPr="000366BE">
        <w:rPr>
          <w:rFonts w:ascii="Book Antiqua" w:hAnsi="Book Antiqua"/>
          <w:lang w:val="en-GB"/>
        </w:rPr>
        <w:t>Abbona</w:t>
      </w:r>
      <w:proofErr w:type="spellEnd"/>
      <w:r w:rsidR="007A0566" w:rsidRPr="000366BE">
        <w:rPr>
          <w:rFonts w:ascii="Book Antiqua" w:hAnsi="Book Antiqua"/>
          <w:lang w:val="en-GB"/>
        </w:rPr>
        <w:t xml:space="preserve"> A</w:t>
      </w:r>
      <w:r w:rsidRPr="000366BE">
        <w:rPr>
          <w:rFonts w:ascii="Book Antiqua" w:hAnsi="Book Antiqua"/>
          <w:lang w:val="en-GB"/>
        </w:rPr>
        <w:t xml:space="preserve"> performed the research; Lo Nigro</w:t>
      </w:r>
      <w:r w:rsidR="007A0566" w:rsidRPr="000366BE">
        <w:rPr>
          <w:rFonts w:ascii="Book Antiqua" w:hAnsi="Book Antiqua"/>
          <w:lang w:val="en-GB"/>
        </w:rPr>
        <w:t xml:space="preserve"> C collected the samples; </w:t>
      </w:r>
      <w:proofErr w:type="spellStart"/>
      <w:r w:rsidRPr="000366BE">
        <w:rPr>
          <w:rFonts w:ascii="Book Antiqua" w:hAnsi="Book Antiqua"/>
          <w:lang w:val="en-GB"/>
        </w:rPr>
        <w:t>Falletta</w:t>
      </w:r>
      <w:proofErr w:type="spellEnd"/>
      <w:r w:rsidR="007A0566" w:rsidRPr="000366BE">
        <w:rPr>
          <w:rFonts w:ascii="Book Antiqua" w:hAnsi="Book Antiqua"/>
          <w:lang w:val="en-GB"/>
        </w:rPr>
        <w:t xml:space="preserve"> A</w:t>
      </w:r>
      <w:r w:rsidRPr="000366BE">
        <w:rPr>
          <w:rFonts w:ascii="Book Antiqua" w:hAnsi="Book Antiqua"/>
          <w:lang w:val="en-GB"/>
        </w:rPr>
        <w:t>, Ricci</w:t>
      </w:r>
      <w:r w:rsidR="007A0566" w:rsidRPr="000366BE">
        <w:rPr>
          <w:rFonts w:ascii="Book Antiqua" w:hAnsi="Book Antiqua"/>
          <w:lang w:val="en-GB"/>
        </w:rPr>
        <w:t xml:space="preserve"> V</w:t>
      </w:r>
      <w:r w:rsidRPr="000366BE">
        <w:rPr>
          <w:rFonts w:ascii="Book Antiqua" w:hAnsi="Book Antiqua"/>
          <w:lang w:val="en-GB"/>
        </w:rPr>
        <w:t xml:space="preserve"> and </w:t>
      </w:r>
      <w:proofErr w:type="spellStart"/>
      <w:r w:rsidRPr="000366BE">
        <w:rPr>
          <w:rFonts w:ascii="Book Antiqua" w:hAnsi="Book Antiqua"/>
          <w:lang w:val="en-GB"/>
        </w:rPr>
        <w:t>Fabozzi</w:t>
      </w:r>
      <w:proofErr w:type="spellEnd"/>
      <w:r w:rsidR="007A0566" w:rsidRPr="000366BE">
        <w:rPr>
          <w:rFonts w:ascii="Book Antiqua" w:hAnsi="Book Antiqua"/>
          <w:lang w:val="en-GB"/>
        </w:rPr>
        <w:t xml:space="preserve"> T</w:t>
      </w:r>
      <w:r w:rsidRPr="000366BE">
        <w:rPr>
          <w:rFonts w:ascii="Book Antiqua" w:hAnsi="Book Antiqua"/>
          <w:lang w:val="en-GB"/>
        </w:rPr>
        <w:t xml:space="preserve"> wrote the paper and </w:t>
      </w:r>
      <w:proofErr w:type="spellStart"/>
      <w:r w:rsidRPr="000366BE">
        <w:rPr>
          <w:rFonts w:ascii="Book Antiqua" w:hAnsi="Book Antiqua"/>
          <w:lang w:val="en-GB"/>
        </w:rPr>
        <w:t>Paccagnella</w:t>
      </w:r>
      <w:proofErr w:type="spellEnd"/>
      <w:r w:rsidR="007A0566" w:rsidRPr="000366BE">
        <w:rPr>
          <w:rFonts w:ascii="Book Antiqua" w:hAnsi="Book Antiqua"/>
          <w:lang w:val="en-GB"/>
        </w:rPr>
        <w:t xml:space="preserve"> M</w:t>
      </w:r>
      <w:r w:rsidRPr="000366BE">
        <w:rPr>
          <w:rFonts w:ascii="Book Antiqua" w:hAnsi="Book Antiqua"/>
          <w:lang w:val="en-GB"/>
        </w:rPr>
        <w:t xml:space="preserve"> </w:t>
      </w:r>
      <w:proofErr w:type="spellStart"/>
      <w:r w:rsidRPr="000366BE">
        <w:rPr>
          <w:rFonts w:ascii="Book Antiqua" w:hAnsi="Book Antiqua"/>
          <w:lang w:val="en-GB"/>
        </w:rPr>
        <w:t>analyzed</w:t>
      </w:r>
      <w:proofErr w:type="spellEnd"/>
      <w:r w:rsidRPr="000366BE">
        <w:rPr>
          <w:rFonts w:ascii="Book Antiqua" w:hAnsi="Book Antiqua"/>
          <w:lang w:val="en-GB"/>
        </w:rPr>
        <w:t xml:space="preserve"> the data; </w:t>
      </w:r>
      <w:proofErr w:type="spellStart"/>
      <w:r w:rsidRPr="000366BE">
        <w:rPr>
          <w:rFonts w:ascii="Book Antiqua" w:hAnsi="Book Antiqua"/>
          <w:lang w:val="en-GB"/>
        </w:rPr>
        <w:t>Merlano</w:t>
      </w:r>
      <w:proofErr w:type="spellEnd"/>
      <w:r w:rsidR="007A0566" w:rsidRPr="000366BE">
        <w:rPr>
          <w:rFonts w:ascii="Book Antiqua" w:hAnsi="Book Antiqua"/>
          <w:lang w:val="en-GB"/>
        </w:rPr>
        <w:t xml:space="preserve"> MC</w:t>
      </w:r>
      <w:r w:rsidRPr="000366BE">
        <w:rPr>
          <w:rFonts w:ascii="Book Antiqua" w:hAnsi="Book Antiqua"/>
          <w:lang w:val="en-GB"/>
        </w:rPr>
        <w:t xml:space="preserve"> revised the manuscript for important intellectual content.</w:t>
      </w:r>
    </w:p>
    <w:p w:rsidR="000738A3" w:rsidRPr="000366BE" w:rsidRDefault="000738A3" w:rsidP="00D53342">
      <w:pPr>
        <w:adjustRightInd w:val="0"/>
        <w:snapToGrid w:val="0"/>
        <w:spacing w:line="360" w:lineRule="auto"/>
        <w:jc w:val="both"/>
        <w:rPr>
          <w:rFonts w:ascii="Book Antiqua" w:hAnsi="Book Antiqua"/>
          <w:lang w:val="en-GB"/>
        </w:rPr>
      </w:pPr>
    </w:p>
    <w:p w:rsidR="00F1263F" w:rsidRPr="000366BE" w:rsidRDefault="000738A3" w:rsidP="00D53342">
      <w:pPr>
        <w:adjustRightInd w:val="0"/>
        <w:snapToGrid w:val="0"/>
        <w:spacing w:line="360" w:lineRule="auto"/>
        <w:jc w:val="both"/>
        <w:rPr>
          <w:rStyle w:val="a4"/>
          <w:rFonts w:ascii="Book Antiqua" w:hAnsi="Book Antiqua" w:cs="Arial"/>
          <w:shd w:val="clear" w:color="auto" w:fill="FFFFFF"/>
          <w:lang w:val="en-GB"/>
        </w:rPr>
      </w:pPr>
      <w:r w:rsidRPr="000366BE">
        <w:rPr>
          <w:rFonts w:ascii="Book Antiqua" w:hAnsi="Book Antiqua" w:cs="Arial"/>
          <w:b/>
          <w:color w:val="000000"/>
          <w:shd w:val="clear" w:color="auto" w:fill="FFFFFF"/>
          <w:lang w:val="en-GB"/>
        </w:rPr>
        <w:t xml:space="preserve">Corresponding author: Vincenzo Ricci, </w:t>
      </w:r>
      <w:r w:rsidR="007A0566" w:rsidRPr="000366BE">
        <w:rPr>
          <w:rFonts w:ascii="Book Antiqua" w:hAnsi="Book Antiqua" w:cs="Arial"/>
          <w:b/>
          <w:color w:val="000000"/>
          <w:shd w:val="clear" w:color="auto" w:fill="FFFFFF"/>
          <w:lang w:val="en-GB"/>
        </w:rPr>
        <w:t>MD, Doctor,</w:t>
      </w:r>
      <w:r w:rsidRPr="000366BE">
        <w:rPr>
          <w:rFonts w:ascii="Book Antiqua" w:hAnsi="Book Antiqua" w:cs="Arial"/>
          <w:color w:val="000000"/>
          <w:shd w:val="clear" w:color="auto" w:fill="FFFFFF"/>
          <w:lang w:val="en-GB"/>
        </w:rPr>
        <w:t xml:space="preserve"> </w:t>
      </w:r>
      <w:r w:rsidR="007A0566" w:rsidRPr="000366BE">
        <w:rPr>
          <w:rFonts w:ascii="Book Antiqua" w:hAnsi="Book Antiqua" w:cs="Arial"/>
          <w:color w:val="000000"/>
          <w:shd w:val="clear" w:color="auto" w:fill="FFFFFF"/>
          <w:lang w:val="en-GB"/>
        </w:rPr>
        <w:t>Medical Oncology and Laboratory of Translational Oncology, Oncology Department,</w:t>
      </w:r>
      <w:r w:rsidRPr="000366BE">
        <w:rPr>
          <w:rFonts w:ascii="Book Antiqua" w:hAnsi="Book Antiqua" w:cs="Arial"/>
          <w:color w:val="000000"/>
          <w:shd w:val="clear" w:color="auto" w:fill="FFFFFF"/>
          <w:lang w:val="en-GB"/>
        </w:rPr>
        <w:t xml:space="preserve"> S. Croce </w:t>
      </w:r>
      <w:r w:rsidR="007A0566" w:rsidRPr="000366BE">
        <w:rPr>
          <w:rFonts w:ascii="Book Antiqua" w:hAnsi="Book Antiqua" w:cs="Arial"/>
          <w:color w:val="000000"/>
          <w:shd w:val="clear" w:color="auto" w:fill="FFFFFF"/>
          <w:lang w:val="en-GB"/>
        </w:rPr>
        <w:t xml:space="preserve">and </w:t>
      </w:r>
      <w:r w:rsidRPr="000366BE">
        <w:rPr>
          <w:rFonts w:ascii="Book Antiqua" w:hAnsi="Book Antiqua" w:cs="Arial"/>
          <w:color w:val="000000"/>
          <w:shd w:val="clear" w:color="auto" w:fill="FFFFFF"/>
          <w:lang w:val="en-GB"/>
        </w:rPr>
        <w:t xml:space="preserve">Carle Teaching Hospital, </w:t>
      </w:r>
      <w:bookmarkStart w:id="8" w:name="OLE_LINK30"/>
      <w:bookmarkStart w:id="9" w:name="OLE_LINK31"/>
      <w:r w:rsidR="00F1263F" w:rsidRPr="000366BE">
        <w:rPr>
          <w:rFonts w:ascii="Book Antiqua" w:hAnsi="Book Antiqua" w:cs="Arial"/>
          <w:color w:val="000000"/>
          <w:shd w:val="clear" w:color="auto" w:fill="FFFFFF"/>
          <w:lang w:val="en-GB"/>
        </w:rPr>
        <w:t>Via A. Carle 5,</w:t>
      </w:r>
      <w:bookmarkEnd w:id="8"/>
      <w:bookmarkEnd w:id="9"/>
      <w:r w:rsidRPr="000366BE">
        <w:rPr>
          <w:rFonts w:ascii="Book Antiqua" w:hAnsi="Book Antiqua" w:cs="Arial"/>
          <w:color w:val="000000"/>
          <w:shd w:val="clear" w:color="auto" w:fill="FFFFFF"/>
          <w:lang w:val="en-GB"/>
        </w:rPr>
        <w:t xml:space="preserve"> </w:t>
      </w:r>
      <w:bookmarkStart w:id="10" w:name="OLE_LINK32"/>
      <w:bookmarkStart w:id="11" w:name="OLE_LINK33"/>
      <w:r w:rsidRPr="000366BE">
        <w:rPr>
          <w:rFonts w:ascii="Book Antiqua" w:hAnsi="Book Antiqua" w:cs="Arial"/>
          <w:color w:val="000000"/>
          <w:shd w:val="clear" w:color="auto" w:fill="FFFFFF"/>
          <w:lang w:val="en-GB"/>
        </w:rPr>
        <w:t>Cuneo</w:t>
      </w:r>
      <w:r w:rsidR="00F1263F" w:rsidRPr="000366BE">
        <w:rPr>
          <w:rFonts w:ascii="Book Antiqua" w:hAnsi="Book Antiqua" w:cs="Arial"/>
          <w:color w:val="000000"/>
          <w:shd w:val="clear" w:color="auto" w:fill="FFFFFF"/>
          <w:lang w:val="en-GB"/>
        </w:rPr>
        <w:t xml:space="preserve"> 12100</w:t>
      </w:r>
      <w:bookmarkEnd w:id="10"/>
      <w:bookmarkEnd w:id="11"/>
      <w:r w:rsidRPr="000366BE">
        <w:rPr>
          <w:rFonts w:ascii="Book Antiqua" w:hAnsi="Book Antiqua" w:cs="Arial"/>
          <w:color w:val="000000"/>
          <w:shd w:val="clear" w:color="auto" w:fill="FFFFFF"/>
          <w:lang w:val="en-GB"/>
        </w:rPr>
        <w:t>,</w:t>
      </w:r>
      <w:r w:rsidR="00F1263F" w:rsidRPr="000366BE">
        <w:rPr>
          <w:rFonts w:ascii="Book Antiqua" w:hAnsi="Book Antiqua"/>
        </w:rPr>
        <w:t xml:space="preserve"> </w:t>
      </w:r>
      <w:r w:rsidRPr="000366BE">
        <w:rPr>
          <w:rFonts w:ascii="Book Antiqua" w:hAnsi="Book Antiqua" w:cs="Arial"/>
          <w:color w:val="000000"/>
          <w:shd w:val="clear" w:color="auto" w:fill="FFFFFF"/>
          <w:lang w:val="en-GB"/>
        </w:rPr>
        <w:t>Italy</w:t>
      </w:r>
      <w:r w:rsidR="00976095" w:rsidRPr="000366BE">
        <w:rPr>
          <w:rFonts w:ascii="Book Antiqua" w:eastAsia="宋体" w:hAnsi="Book Antiqua" w:cs="Arial"/>
          <w:color w:val="000000"/>
          <w:shd w:val="clear" w:color="auto" w:fill="FFFFFF"/>
          <w:lang w:val="en-GB" w:eastAsia="zh-CN"/>
        </w:rPr>
        <w:t>.</w:t>
      </w:r>
      <w:r w:rsidR="00F10DFB" w:rsidRPr="000366BE">
        <w:rPr>
          <w:rFonts w:ascii="Book Antiqua" w:hAnsi="Book Antiqua" w:cs="Arial"/>
          <w:shd w:val="clear" w:color="auto" w:fill="FFFFFF"/>
          <w:lang w:val="en-GB"/>
        </w:rPr>
        <w:t xml:space="preserve"> </w:t>
      </w:r>
      <w:r w:rsidRPr="000366BE">
        <w:rPr>
          <w:rFonts w:ascii="Book Antiqua" w:hAnsi="Book Antiqua" w:cs="Arial"/>
          <w:shd w:val="clear" w:color="auto" w:fill="FFFFFF"/>
          <w:lang w:val="en-GB"/>
        </w:rPr>
        <w:t>vincenzoricci22@libero.it</w:t>
      </w:r>
    </w:p>
    <w:p w:rsidR="00F1263F" w:rsidRPr="000366BE" w:rsidRDefault="00F1263F" w:rsidP="00D53342">
      <w:pPr>
        <w:adjustRightInd w:val="0"/>
        <w:snapToGrid w:val="0"/>
        <w:spacing w:line="360" w:lineRule="auto"/>
        <w:jc w:val="both"/>
        <w:rPr>
          <w:rStyle w:val="a4"/>
          <w:rFonts w:ascii="Book Antiqua" w:hAnsi="Book Antiqua" w:cs="Arial"/>
          <w:shd w:val="clear" w:color="auto" w:fill="FFFFFF"/>
          <w:lang w:val="en-GB"/>
        </w:rPr>
      </w:pPr>
    </w:p>
    <w:p w:rsidR="00F1263F" w:rsidRPr="000366BE" w:rsidRDefault="00F1263F" w:rsidP="00D53342">
      <w:pPr>
        <w:adjustRightInd w:val="0"/>
        <w:snapToGrid w:val="0"/>
        <w:spacing w:line="360" w:lineRule="auto"/>
        <w:jc w:val="both"/>
        <w:rPr>
          <w:rFonts w:ascii="Book Antiqua" w:hAnsi="Book Antiqua" w:cs="Arial"/>
          <w:color w:val="0000FF"/>
          <w:u w:val="single"/>
          <w:shd w:val="clear" w:color="auto" w:fill="FFFFFF"/>
          <w:lang w:val="en-GB"/>
        </w:rPr>
      </w:pPr>
      <w:r w:rsidRPr="000366BE">
        <w:rPr>
          <w:rFonts w:ascii="Book Antiqua" w:hAnsi="Book Antiqua"/>
          <w:b/>
        </w:rPr>
        <w:t xml:space="preserve">Received: </w:t>
      </w:r>
      <w:r w:rsidRPr="000366BE">
        <w:rPr>
          <w:rFonts w:ascii="Book Antiqua" w:hAnsi="Book Antiqua"/>
        </w:rPr>
        <w:t>November</w:t>
      </w:r>
      <w:r w:rsidRPr="000366BE">
        <w:rPr>
          <w:rFonts w:ascii="Book Antiqua" w:eastAsia="宋体" w:hAnsi="Book Antiqua"/>
          <w:lang w:eastAsia="zh-CN"/>
        </w:rPr>
        <w:t xml:space="preserve"> 14, 2019</w:t>
      </w:r>
    </w:p>
    <w:p w:rsidR="00F1263F" w:rsidRPr="000366BE" w:rsidRDefault="00F1263F" w:rsidP="00D53342">
      <w:pPr>
        <w:adjustRightInd w:val="0"/>
        <w:snapToGrid w:val="0"/>
        <w:spacing w:line="360" w:lineRule="auto"/>
        <w:jc w:val="both"/>
        <w:rPr>
          <w:rFonts w:ascii="Book Antiqua" w:hAnsi="Book Antiqua" w:cs="Arial"/>
          <w:color w:val="0000FF"/>
          <w:u w:val="single"/>
          <w:shd w:val="clear" w:color="auto" w:fill="FFFFFF"/>
          <w:lang w:val="en-GB"/>
        </w:rPr>
      </w:pPr>
      <w:r w:rsidRPr="000366BE">
        <w:rPr>
          <w:rFonts w:ascii="Book Antiqua" w:hAnsi="Book Antiqua"/>
          <w:b/>
        </w:rPr>
        <w:t xml:space="preserve">Revised: </w:t>
      </w:r>
      <w:r w:rsidRPr="000366BE">
        <w:rPr>
          <w:rFonts w:ascii="Book Antiqua" w:hAnsi="Book Antiqua"/>
        </w:rPr>
        <w:t xml:space="preserve">February 7, 2020 </w:t>
      </w:r>
    </w:p>
    <w:p w:rsidR="00F1263F" w:rsidRPr="000366BE" w:rsidRDefault="00F1263F" w:rsidP="00D53342">
      <w:pPr>
        <w:adjustRightInd w:val="0"/>
        <w:snapToGrid w:val="0"/>
        <w:spacing w:line="360" w:lineRule="auto"/>
        <w:jc w:val="both"/>
        <w:rPr>
          <w:rFonts w:ascii="Book Antiqua" w:hAnsi="Book Antiqua" w:cs="Arial"/>
          <w:color w:val="0000FF"/>
          <w:u w:val="single"/>
          <w:shd w:val="clear" w:color="auto" w:fill="FFFFFF"/>
          <w:lang w:val="en-GB"/>
        </w:rPr>
      </w:pPr>
      <w:r w:rsidRPr="000366BE">
        <w:rPr>
          <w:rFonts w:ascii="Book Antiqua" w:hAnsi="Book Antiqua"/>
          <w:b/>
        </w:rPr>
        <w:t xml:space="preserve">Accepted: </w:t>
      </w:r>
      <w:r w:rsidR="00316A20" w:rsidRPr="000366BE">
        <w:rPr>
          <w:rFonts w:ascii="Book Antiqua" w:hAnsi="Book Antiqua"/>
        </w:rPr>
        <w:t>February 17, 2020</w:t>
      </w:r>
    </w:p>
    <w:p w:rsidR="00F1263F" w:rsidRPr="000366BE" w:rsidRDefault="00F1263F" w:rsidP="00D53342">
      <w:pPr>
        <w:adjustRightInd w:val="0"/>
        <w:snapToGrid w:val="0"/>
        <w:spacing w:line="360" w:lineRule="auto"/>
        <w:jc w:val="both"/>
        <w:rPr>
          <w:rFonts w:ascii="Book Antiqua" w:hAnsi="Book Antiqua" w:cs="Arial"/>
          <w:color w:val="0000FF"/>
          <w:u w:val="single"/>
          <w:shd w:val="clear" w:color="auto" w:fill="FFFFFF"/>
          <w:lang w:val="en-GB"/>
        </w:rPr>
      </w:pPr>
      <w:r w:rsidRPr="000366BE">
        <w:rPr>
          <w:rFonts w:ascii="Book Antiqua" w:hAnsi="Book Antiqua"/>
          <w:b/>
        </w:rPr>
        <w:t>Published online:</w:t>
      </w:r>
      <w:r w:rsidR="00DA6EE7" w:rsidRPr="000366BE">
        <w:rPr>
          <w:rFonts w:ascii="Book Antiqua" w:hAnsi="Book Antiqua"/>
        </w:rPr>
        <w:t xml:space="preserve"> March</w:t>
      </w:r>
      <w:r w:rsidR="00DA6EE7" w:rsidRPr="000366BE">
        <w:rPr>
          <w:rFonts w:ascii="Book Antiqua" w:hAnsi="Book Antiqua" w:hint="eastAsia"/>
        </w:rPr>
        <w:t xml:space="preserve"> 15, 2020</w:t>
      </w:r>
    </w:p>
    <w:p w:rsidR="000738A3" w:rsidRPr="000366BE" w:rsidRDefault="00F1263F" w:rsidP="00D53342">
      <w:pPr>
        <w:adjustRightInd w:val="0"/>
        <w:snapToGrid w:val="0"/>
        <w:spacing w:line="360" w:lineRule="auto"/>
        <w:jc w:val="both"/>
        <w:rPr>
          <w:rFonts w:ascii="Book Antiqua" w:hAnsi="Book Antiqua" w:cs="Arial"/>
          <w:b/>
          <w:color w:val="000000"/>
          <w:shd w:val="clear" w:color="auto" w:fill="FFFFFF"/>
          <w:lang w:val="en-GB"/>
        </w:rPr>
      </w:pPr>
      <w:r w:rsidRPr="000366BE">
        <w:rPr>
          <w:rFonts w:ascii="Book Antiqua" w:hAnsi="Book Antiqua" w:cs="Arial"/>
          <w:b/>
          <w:color w:val="000000"/>
          <w:shd w:val="clear" w:color="auto" w:fill="FFFFFF"/>
          <w:lang w:val="en-GB"/>
        </w:rPr>
        <w:br w:type="page"/>
      </w:r>
      <w:r w:rsidR="000738A3" w:rsidRPr="000366BE">
        <w:rPr>
          <w:rFonts w:ascii="Book Antiqua" w:hAnsi="Book Antiqua"/>
          <w:b/>
          <w:lang w:val="en-US"/>
        </w:rPr>
        <w:t>Abstract</w:t>
      </w:r>
    </w:p>
    <w:p w:rsidR="000738A3" w:rsidRPr="000366BE" w:rsidRDefault="00976095" w:rsidP="00D53342">
      <w:pPr>
        <w:adjustRightInd w:val="0"/>
        <w:snapToGrid w:val="0"/>
        <w:spacing w:line="360" w:lineRule="auto"/>
        <w:jc w:val="both"/>
        <w:rPr>
          <w:rFonts w:ascii="Book Antiqua" w:hAnsi="Book Antiqua"/>
          <w:lang w:val="en-US"/>
        </w:rPr>
      </w:pPr>
      <w:r w:rsidRPr="000366BE">
        <w:rPr>
          <w:rFonts w:ascii="Book Antiqua" w:hAnsi="Book Antiqua"/>
          <w:lang w:val="en-US"/>
        </w:rPr>
        <w:t>BACKGROUND</w:t>
      </w:r>
    </w:p>
    <w:p w:rsidR="000738A3" w:rsidRPr="000366BE" w:rsidRDefault="000738A3" w:rsidP="00D53342">
      <w:pPr>
        <w:adjustRightInd w:val="0"/>
        <w:snapToGrid w:val="0"/>
        <w:spacing w:line="360" w:lineRule="auto"/>
        <w:jc w:val="both"/>
        <w:rPr>
          <w:rFonts w:ascii="Book Antiqua" w:hAnsi="Book Antiqua"/>
          <w:lang w:val="en-US"/>
        </w:rPr>
      </w:pPr>
      <w:r w:rsidRPr="000366BE">
        <w:rPr>
          <w:rFonts w:ascii="Book Antiqua" w:hAnsi="Book Antiqua"/>
          <w:lang w:val="en-GB"/>
        </w:rPr>
        <w:t xml:space="preserve">Regorafenib is an oral small-molecule </w:t>
      </w:r>
      <w:proofErr w:type="spellStart"/>
      <w:r w:rsidRPr="000366BE">
        <w:rPr>
          <w:rFonts w:ascii="Book Antiqua" w:hAnsi="Book Antiqua"/>
          <w:lang w:val="en-GB"/>
        </w:rPr>
        <w:t>multikinase</w:t>
      </w:r>
      <w:proofErr w:type="spellEnd"/>
      <w:r w:rsidRPr="000366BE">
        <w:rPr>
          <w:rFonts w:ascii="Book Antiqua" w:hAnsi="Book Antiqua"/>
          <w:lang w:val="en-GB"/>
        </w:rPr>
        <w:t xml:space="preserve"> inhibitor approved in third or later line of treatment for patients with metastatic colorectal cancer (mCRC). Regorafenib has shown significa</w:t>
      </w:r>
      <w:r w:rsidR="00F1263F" w:rsidRPr="000366BE">
        <w:rPr>
          <w:rFonts w:ascii="Book Antiqua" w:hAnsi="Book Antiqua"/>
          <w:lang w:val="en-GB"/>
        </w:rPr>
        <w:t>nt benefits in overall survival</w:t>
      </w:r>
      <w:r w:rsidRPr="000366BE">
        <w:rPr>
          <w:rFonts w:ascii="Book Antiqua" w:hAnsi="Book Antiqua"/>
          <w:lang w:val="en-GB"/>
        </w:rPr>
        <w:t xml:space="preserve"> and progression free surviva</w:t>
      </w:r>
      <w:r w:rsidR="00F1263F" w:rsidRPr="000366BE">
        <w:rPr>
          <w:rFonts w:ascii="Book Antiqua" w:hAnsi="Book Antiqua"/>
          <w:lang w:val="en-GB"/>
        </w:rPr>
        <w:t>l</w:t>
      </w:r>
      <w:r w:rsidRPr="000366BE">
        <w:rPr>
          <w:rFonts w:ascii="Book Antiqua" w:hAnsi="Book Antiqua"/>
          <w:lang w:val="en-GB"/>
        </w:rPr>
        <w:t xml:space="preserve"> in two phase III trials compared to placebo in </w:t>
      </w:r>
      <w:r w:rsidR="00F1263F" w:rsidRPr="000366BE">
        <w:rPr>
          <w:rFonts w:ascii="Book Antiqua" w:hAnsi="Book Antiqua"/>
          <w:lang w:val="en-US"/>
        </w:rPr>
        <w:t>patients</w:t>
      </w:r>
      <w:r w:rsidRPr="000366BE">
        <w:rPr>
          <w:rFonts w:ascii="Book Antiqua" w:hAnsi="Book Antiqua"/>
          <w:lang w:val="en-US"/>
        </w:rPr>
        <w:t xml:space="preserve"> with mCRC who had progressed on previous therapy.</w:t>
      </w:r>
    </w:p>
    <w:p w:rsidR="000738A3" w:rsidRPr="000366BE" w:rsidRDefault="000738A3" w:rsidP="00D53342">
      <w:pPr>
        <w:adjustRightInd w:val="0"/>
        <w:snapToGrid w:val="0"/>
        <w:spacing w:line="360" w:lineRule="auto"/>
        <w:jc w:val="both"/>
        <w:rPr>
          <w:rFonts w:ascii="Book Antiqua" w:hAnsi="Book Antiqua"/>
          <w:lang w:val="en-US"/>
        </w:rPr>
      </w:pPr>
    </w:p>
    <w:p w:rsidR="000738A3" w:rsidRPr="000366BE" w:rsidRDefault="000738A3" w:rsidP="00D53342">
      <w:pPr>
        <w:adjustRightInd w:val="0"/>
        <w:snapToGrid w:val="0"/>
        <w:spacing w:line="360" w:lineRule="auto"/>
        <w:jc w:val="both"/>
        <w:rPr>
          <w:rFonts w:ascii="Book Antiqua" w:hAnsi="Book Antiqua"/>
          <w:lang w:val="en-US"/>
        </w:rPr>
      </w:pPr>
      <w:r w:rsidRPr="000366BE">
        <w:rPr>
          <w:rFonts w:ascii="Book Antiqua" w:hAnsi="Book Antiqua"/>
          <w:lang w:val="en-US"/>
        </w:rPr>
        <w:t>AIM</w:t>
      </w:r>
    </w:p>
    <w:p w:rsidR="000738A3" w:rsidRPr="000366BE" w:rsidRDefault="00F1263F" w:rsidP="00D53342">
      <w:pPr>
        <w:adjustRightInd w:val="0"/>
        <w:snapToGrid w:val="0"/>
        <w:spacing w:line="360" w:lineRule="auto"/>
        <w:jc w:val="both"/>
        <w:rPr>
          <w:rFonts w:ascii="Book Antiqua" w:hAnsi="Book Antiqua"/>
          <w:lang w:val="en-GB"/>
        </w:rPr>
      </w:pPr>
      <w:r w:rsidRPr="000366BE">
        <w:rPr>
          <w:rFonts w:ascii="Book Antiqua" w:hAnsi="Book Antiqua"/>
          <w:lang w:val="en-GB"/>
        </w:rPr>
        <w:t xml:space="preserve">To </w:t>
      </w:r>
      <w:r w:rsidR="000738A3" w:rsidRPr="000366BE">
        <w:rPr>
          <w:rFonts w:ascii="Book Antiqua" w:hAnsi="Book Antiqua"/>
          <w:lang w:val="en-GB"/>
        </w:rPr>
        <w:t>identify an immune profile that might specifically correlate with the outcome in patients treated with regorafenib.</w:t>
      </w:r>
    </w:p>
    <w:p w:rsidR="000738A3" w:rsidRPr="000366BE" w:rsidRDefault="000738A3" w:rsidP="00D53342">
      <w:pPr>
        <w:adjustRightInd w:val="0"/>
        <w:snapToGrid w:val="0"/>
        <w:spacing w:line="360" w:lineRule="auto"/>
        <w:jc w:val="both"/>
        <w:rPr>
          <w:rFonts w:ascii="Book Antiqua" w:hAnsi="Book Antiqua"/>
          <w:lang w:val="en-GB"/>
        </w:rPr>
      </w:pP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METHODS</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 xml:space="preserve">Blood samples were collected from 17 patients before </w:t>
      </w:r>
      <w:r w:rsidR="00316A20" w:rsidRPr="000366BE">
        <w:rPr>
          <w:rFonts w:ascii="Book Antiqua" w:hAnsi="Book Antiqua"/>
          <w:lang w:val="en-GB"/>
        </w:rPr>
        <w:t>treatment</w:t>
      </w:r>
      <w:r w:rsidRPr="000366BE">
        <w:rPr>
          <w:rFonts w:ascii="Book Antiqua" w:hAnsi="Book Antiqua"/>
          <w:lang w:val="en-GB"/>
        </w:rPr>
        <w:t xml:space="preserve"> with regorafenib and from 6 healthy volunteers. The proteins evaluated (TNF-α, TGF-β, VEGF, CCL-2, CCL-4, and CCL-5) were selected on the basis of their roles in angiogenesis and colorectal cancer pathogenesis.</w:t>
      </w:r>
    </w:p>
    <w:p w:rsidR="000738A3" w:rsidRPr="000366BE" w:rsidRDefault="000738A3" w:rsidP="00D53342">
      <w:pPr>
        <w:adjustRightInd w:val="0"/>
        <w:snapToGrid w:val="0"/>
        <w:spacing w:line="360" w:lineRule="auto"/>
        <w:jc w:val="both"/>
        <w:rPr>
          <w:rFonts w:ascii="Book Antiqua" w:hAnsi="Book Antiqua"/>
          <w:lang w:val="en-GB"/>
        </w:rPr>
      </w:pPr>
    </w:p>
    <w:p w:rsidR="000738A3" w:rsidRPr="000366BE" w:rsidRDefault="00F1263F" w:rsidP="00D53342">
      <w:pPr>
        <w:adjustRightInd w:val="0"/>
        <w:snapToGrid w:val="0"/>
        <w:spacing w:line="360" w:lineRule="auto"/>
        <w:jc w:val="both"/>
        <w:rPr>
          <w:rFonts w:ascii="Book Antiqua" w:hAnsi="Book Antiqua"/>
          <w:lang w:val="en-GB"/>
        </w:rPr>
      </w:pPr>
      <w:r w:rsidRPr="000366BE">
        <w:rPr>
          <w:rFonts w:ascii="Book Antiqua" w:hAnsi="Book Antiqua"/>
          <w:lang w:val="en-GB"/>
        </w:rPr>
        <w:t>RESULTS</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bCs/>
          <w:lang w:val="en-US"/>
        </w:rPr>
        <w:t>We found that TNF-α</w:t>
      </w:r>
      <w:r w:rsidRPr="000366BE">
        <w:rPr>
          <w:rFonts w:ascii="Book Antiqua" w:hAnsi="Book Antiqua"/>
          <w:lang w:val="en-US"/>
        </w:rPr>
        <w:t xml:space="preserve"> basal level was significantly higher in </w:t>
      </w:r>
      <w:r w:rsidRPr="000366BE">
        <w:rPr>
          <w:rFonts w:ascii="Book Antiqua" w:hAnsi="Book Antiqua"/>
          <w:lang w:val="en-GB"/>
        </w:rPr>
        <w:t xml:space="preserve">mCRC </w:t>
      </w:r>
      <w:r w:rsidRPr="000366BE">
        <w:rPr>
          <w:rFonts w:ascii="Book Antiqua" w:hAnsi="Book Antiqua"/>
          <w:lang w:val="en-US"/>
        </w:rPr>
        <w:t xml:space="preserve">patients compared to healthy individuals. Non </w:t>
      </w:r>
      <w:r w:rsidRPr="000366BE">
        <w:rPr>
          <w:rFonts w:ascii="Book Antiqua" w:hAnsi="Book Antiqua"/>
          <w:lang w:val="en-GB"/>
        </w:rPr>
        <w:t xml:space="preserve">Responder (NR) patients </w:t>
      </w:r>
      <w:r w:rsidRPr="000366BE">
        <w:rPr>
          <w:rFonts w:ascii="Book Antiqua" w:hAnsi="Book Antiqua"/>
          <w:lang w:val="en-US"/>
        </w:rPr>
        <w:t>showing progression of disease (</w:t>
      </w:r>
      <w:r w:rsidRPr="000366BE">
        <w:rPr>
          <w:rFonts w:ascii="Book Antiqua" w:hAnsi="Book Antiqua"/>
          <w:i/>
          <w:lang w:val="en-US"/>
        </w:rPr>
        <w:t>n</w:t>
      </w:r>
      <w:r w:rsidR="00F1263F" w:rsidRPr="000366BE">
        <w:rPr>
          <w:rFonts w:ascii="Book Antiqua" w:hAnsi="Book Antiqua"/>
          <w:lang w:val="en-US"/>
        </w:rPr>
        <w:t xml:space="preserve"> </w:t>
      </w:r>
      <w:r w:rsidRPr="000366BE">
        <w:rPr>
          <w:rFonts w:ascii="Book Antiqua" w:hAnsi="Book Antiqua"/>
          <w:lang w:val="en-US"/>
        </w:rPr>
        <w:t>=</w:t>
      </w:r>
      <w:r w:rsidR="00F1263F" w:rsidRPr="000366BE">
        <w:rPr>
          <w:rFonts w:ascii="Book Antiqua" w:hAnsi="Book Antiqua"/>
          <w:lang w:val="en-US"/>
        </w:rPr>
        <w:t xml:space="preserve"> </w:t>
      </w:r>
      <w:r w:rsidRPr="000366BE">
        <w:rPr>
          <w:rFonts w:ascii="Book Antiqua" w:hAnsi="Book Antiqua"/>
          <w:lang w:val="en-US"/>
        </w:rPr>
        <w:t xml:space="preserve">12) had higher basal level of </w:t>
      </w:r>
      <w:r w:rsidRPr="000366BE">
        <w:rPr>
          <w:rFonts w:ascii="Book Antiqua" w:hAnsi="Book Antiqua"/>
          <w:lang w:val="en-GB"/>
        </w:rPr>
        <w:t>TGF-β</w:t>
      </w:r>
      <w:r w:rsidRPr="000366BE">
        <w:rPr>
          <w:rFonts w:ascii="Book Antiqua" w:hAnsi="Book Antiqua"/>
          <w:lang w:val="en-US"/>
        </w:rPr>
        <w:t xml:space="preserve">, </w:t>
      </w:r>
      <w:r w:rsidRPr="000366BE">
        <w:rPr>
          <w:rFonts w:ascii="Book Antiqua" w:hAnsi="Book Antiqua"/>
          <w:bCs/>
          <w:lang w:val="en-US"/>
        </w:rPr>
        <w:t xml:space="preserve">TNF-α, </w:t>
      </w:r>
      <w:r w:rsidRPr="000366BE">
        <w:rPr>
          <w:rFonts w:ascii="Book Antiqua" w:hAnsi="Book Antiqua"/>
          <w:lang w:val="en-US"/>
        </w:rPr>
        <w:t>VEGF</w:t>
      </w:r>
      <w:r w:rsidRPr="000366BE">
        <w:rPr>
          <w:rFonts w:ascii="Book Antiqua" w:hAnsi="Book Antiqua"/>
          <w:lang w:val="en-GB"/>
        </w:rPr>
        <w:t xml:space="preserve">, </w:t>
      </w:r>
      <w:r w:rsidRPr="000366BE">
        <w:rPr>
          <w:rFonts w:ascii="Book Antiqua" w:hAnsi="Book Antiqua"/>
          <w:bCs/>
          <w:lang w:val="en-US"/>
        </w:rPr>
        <w:t xml:space="preserve">CCL-2 </w:t>
      </w:r>
      <w:r w:rsidRPr="000366BE">
        <w:rPr>
          <w:rFonts w:ascii="Book Antiqua" w:hAnsi="Book Antiqua"/>
          <w:lang w:val="en-GB"/>
        </w:rPr>
        <w:t>and CCL-5 compared to Responder (R) patients (complete response CR</w:t>
      </w:r>
      <w:r w:rsidR="00F1263F" w:rsidRPr="000366BE">
        <w:rPr>
          <w:rFonts w:ascii="Book Antiqua" w:hAnsi="Book Antiqua"/>
          <w:lang w:val="en-GB"/>
        </w:rPr>
        <w:t>,</w:t>
      </w:r>
      <w:r w:rsidRPr="000366BE">
        <w:rPr>
          <w:rFonts w:ascii="Book Antiqua" w:hAnsi="Book Antiqua"/>
          <w:lang w:val="en-GB"/>
        </w:rPr>
        <w:t xml:space="preserve"> </w:t>
      </w:r>
      <w:r w:rsidRPr="000366BE">
        <w:rPr>
          <w:rFonts w:ascii="Book Antiqua" w:hAnsi="Book Antiqua"/>
          <w:i/>
          <w:lang w:val="en-GB"/>
        </w:rPr>
        <w:t>n</w:t>
      </w:r>
      <w:r w:rsidR="00F1263F" w:rsidRPr="000366BE">
        <w:rPr>
          <w:rFonts w:ascii="Book Antiqua" w:hAnsi="Book Antiqua"/>
          <w:lang w:val="en-GB"/>
        </w:rPr>
        <w:t xml:space="preserve"> </w:t>
      </w:r>
      <w:r w:rsidRPr="000366BE">
        <w:rPr>
          <w:rFonts w:ascii="Book Antiqua" w:hAnsi="Book Antiqua"/>
          <w:lang w:val="en-GB"/>
        </w:rPr>
        <w:t>=</w:t>
      </w:r>
      <w:r w:rsidR="00F1263F" w:rsidRPr="000366BE">
        <w:rPr>
          <w:rFonts w:ascii="Book Antiqua" w:hAnsi="Book Antiqua"/>
          <w:lang w:val="en-GB"/>
        </w:rPr>
        <w:t xml:space="preserve"> </w:t>
      </w:r>
      <w:r w:rsidRPr="000366BE">
        <w:rPr>
          <w:rFonts w:ascii="Book Antiqua" w:hAnsi="Book Antiqua"/>
          <w:lang w:val="en-GB"/>
        </w:rPr>
        <w:t>1</w:t>
      </w:r>
      <w:r w:rsidR="00F1263F" w:rsidRPr="000366BE">
        <w:rPr>
          <w:rFonts w:ascii="Book Antiqua" w:hAnsi="Book Antiqua"/>
          <w:lang w:val="en-GB"/>
        </w:rPr>
        <w:t>;</w:t>
      </w:r>
      <w:r w:rsidRPr="000366BE">
        <w:rPr>
          <w:rFonts w:ascii="Book Antiqua" w:hAnsi="Book Antiqua"/>
          <w:lang w:val="en-GB"/>
        </w:rPr>
        <w:t xml:space="preserve"> partial response PR</w:t>
      </w:r>
      <w:r w:rsidR="00F1263F" w:rsidRPr="000366BE">
        <w:rPr>
          <w:rFonts w:ascii="Book Antiqua" w:hAnsi="Book Antiqua"/>
          <w:lang w:val="en-GB"/>
        </w:rPr>
        <w:t>,</w:t>
      </w:r>
      <w:r w:rsidRPr="000366BE">
        <w:rPr>
          <w:rFonts w:ascii="Book Antiqua" w:hAnsi="Book Antiqua"/>
          <w:lang w:val="en-GB"/>
        </w:rPr>
        <w:t xml:space="preserve"> </w:t>
      </w:r>
      <w:r w:rsidRPr="000366BE">
        <w:rPr>
          <w:rFonts w:ascii="Book Antiqua" w:hAnsi="Book Antiqua"/>
          <w:i/>
          <w:lang w:val="en-GB"/>
        </w:rPr>
        <w:t>n</w:t>
      </w:r>
      <w:r w:rsidR="00F1263F" w:rsidRPr="000366BE">
        <w:rPr>
          <w:rFonts w:ascii="Book Antiqua" w:hAnsi="Book Antiqua"/>
          <w:lang w:val="en-GB"/>
        </w:rPr>
        <w:t xml:space="preserve"> </w:t>
      </w:r>
      <w:r w:rsidRPr="000366BE">
        <w:rPr>
          <w:rFonts w:ascii="Book Antiqua" w:hAnsi="Book Antiqua"/>
          <w:lang w:val="en-GB"/>
        </w:rPr>
        <w:t>=</w:t>
      </w:r>
      <w:r w:rsidR="00F1263F" w:rsidRPr="000366BE">
        <w:rPr>
          <w:rFonts w:ascii="Book Antiqua" w:hAnsi="Book Antiqua"/>
          <w:lang w:val="en-GB"/>
        </w:rPr>
        <w:t xml:space="preserve"> </w:t>
      </w:r>
      <w:r w:rsidRPr="000366BE">
        <w:rPr>
          <w:rFonts w:ascii="Book Antiqua" w:hAnsi="Book Antiqua"/>
          <w:lang w:val="en-GB"/>
        </w:rPr>
        <w:t>1</w:t>
      </w:r>
      <w:r w:rsidR="00F1263F" w:rsidRPr="000366BE">
        <w:rPr>
          <w:rFonts w:ascii="Book Antiqua" w:hAnsi="Book Antiqua"/>
          <w:lang w:val="en-GB"/>
        </w:rPr>
        <w:t>;</w:t>
      </w:r>
      <w:r w:rsidRPr="000366BE">
        <w:rPr>
          <w:rFonts w:ascii="Book Antiqua" w:hAnsi="Book Antiqua"/>
          <w:lang w:val="en-GB"/>
        </w:rPr>
        <w:t xml:space="preserve"> Stable Disease SD</w:t>
      </w:r>
      <w:r w:rsidR="00F1263F" w:rsidRPr="000366BE">
        <w:rPr>
          <w:rFonts w:ascii="Book Antiqua" w:hAnsi="Book Antiqua"/>
          <w:lang w:val="en-GB"/>
        </w:rPr>
        <w:t>,</w:t>
      </w:r>
      <w:r w:rsidRPr="000366BE">
        <w:rPr>
          <w:rFonts w:ascii="Book Antiqua" w:hAnsi="Book Antiqua"/>
          <w:lang w:val="en-GB"/>
        </w:rPr>
        <w:t xml:space="preserve"> </w:t>
      </w:r>
      <w:r w:rsidRPr="000366BE">
        <w:rPr>
          <w:rFonts w:ascii="Book Antiqua" w:hAnsi="Book Antiqua"/>
          <w:i/>
          <w:lang w:val="en-GB"/>
        </w:rPr>
        <w:t>n</w:t>
      </w:r>
      <w:r w:rsidR="00F1263F" w:rsidRPr="000366BE">
        <w:rPr>
          <w:rFonts w:ascii="Book Antiqua" w:hAnsi="Book Antiqua"/>
          <w:lang w:val="en-GB"/>
        </w:rPr>
        <w:t xml:space="preserve"> </w:t>
      </w:r>
      <w:r w:rsidRPr="000366BE">
        <w:rPr>
          <w:rFonts w:ascii="Book Antiqua" w:hAnsi="Book Antiqua"/>
          <w:lang w:val="en-GB"/>
        </w:rPr>
        <w:t>=</w:t>
      </w:r>
      <w:r w:rsidR="00F1263F" w:rsidRPr="000366BE">
        <w:rPr>
          <w:rFonts w:ascii="Book Antiqua" w:hAnsi="Book Antiqua"/>
          <w:lang w:val="en-GB"/>
        </w:rPr>
        <w:t xml:space="preserve"> </w:t>
      </w:r>
      <w:r w:rsidRPr="000366BE">
        <w:rPr>
          <w:rFonts w:ascii="Book Antiqua" w:hAnsi="Book Antiqua"/>
          <w:lang w:val="en-GB"/>
        </w:rPr>
        <w:t>3)</w:t>
      </w:r>
      <w:r w:rsidRPr="000366BE">
        <w:rPr>
          <w:rFonts w:ascii="Book Antiqua" w:hAnsi="Book Antiqua"/>
          <w:lang w:val="en-US"/>
        </w:rPr>
        <w:t xml:space="preserve">. On the contrary, plasma basal level of </w:t>
      </w:r>
      <w:r w:rsidRPr="000366BE">
        <w:rPr>
          <w:rFonts w:ascii="Book Antiqua" w:hAnsi="Book Antiqua"/>
          <w:lang w:val="en-GB"/>
        </w:rPr>
        <w:t xml:space="preserve">CCL-4 was higher in </w:t>
      </w:r>
      <w:r w:rsidRPr="000366BE">
        <w:rPr>
          <w:rFonts w:ascii="Book Antiqua" w:hAnsi="Book Antiqua"/>
          <w:lang w:val="en-US"/>
        </w:rPr>
        <w:t xml:space="preserve">R </w:t>
      </w:r>
      <w:r w:rsidRPr="000366BE">
        <w:rPr>
          <w:rFonts w:ascii="Book Antiqua" w:hAnsi="Book Antiqua"/>
          <w:lang w:val="en-GB"/>
        </w:rPr>
        <w:t xml:space="preserve">compared to NR patients. High values of TGF-β and TNF-α negatively correlated with </w:t>
      </w:r>
      <w:r w:rsidR="00F1263F" w:rsidRPr="000366BE">
        <w:rPr>
          <w:rFonts w:ascii="Book Antiqua" w:hAnsi="Book Antiqua"/>
          <w:lang w:val="en-GB"/>
        </w:rPr>
        <w:t>progression free survival</w:t>
      </w:r>
      <w:r w:rsidRPr="000366BE">
        <w:rPr>
          <w:rFonts w:ascii="Book Antiqua" w:hAnsi="Book Antiqua"/>
          <w:lang w:val="en-GB"/>
        </w:rPr>
        <w:t>.</w:t>
      </w:r>
    </w:p>
    <w:p w:rsidR="000738A3" w:rsidRPr="000366BE" w:rsidRDefault="000738A3" w:rsidP="00D53342">
      <w:pPr>
        <w:adjustRightInd w:val="0"/>
        <w:snapToGrid w:val="0"/>
        <w:spacing w:line="360" w:lineRule="auto"/>
        <w:jc w:val="both"/>
        <w:rPr>
          <w:rFonts w:ascii="Book Antiqua" w:hAnsi="Book Antiqua"/>
          <w:lang w:val="en-GB"/>
        </w:rPr>
      </w:pPr>
    </w:p>
    <w:p w:rsidR="000738A3" w:rsidRPr="000366BE" w:rsidRDefault="00F1263F" w:rsidP="00D53342">
      <w:pPr>
        <w:adjustRightInd w:val="0"/>
        <w:snapToGrid w:val="0"/>
        <w:spacing w:line="360" w:lineRule="auto"/>
        <w:jc w:val="both"/>
        <w:rPr>
          <w:rFonts w:ascii="Book Antiqua" w:hAnsi="Book Antiqua"/>
          <w:lang w:val="en-US"/>
        </w:rPr>
      </w:pPr>
      <w:r w:rsidRPr="000366BE">
        <w:rPr>
          <w:rFonts w:ascii="Book Antiqua" w:hAnsi="Book Antiqua"/>
          <w:lang w:val="en-US"/>
        </w:rPr>
        <w:t>CONCLUSION</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These results suggest a cytokine signature potentially able to discriminate between R and NR patients to treatment with regorafenib.</w:t>
      </w:r>
    </w:p>
    <w:p w:rsidR="000738A3" w:rsidRPr="000366BE" w:rsidRDefault="000738A3" w:rsidP="00D53342">
      <w:pPr>
        <w:adjustRightInd w:val="0"/>
        <w:snapToGrid w:val="0"/>
        <w:spacing w:line="360" w:lineRule="auto"/>
        <w:jc w:val="both"/>
        <w:rPr>
          <w:rFonts w:ascii="Book Antiqua" w:hAnsi="Book Antiqua"/>
          <w:b/>
          <w:lang w:val="en-GB"/>
        </w:rPr>
      </w:pPr>
    </w:p>
    <w:p w:rsidR="000738A3" w:rsidRPr="000366BE" w:rsidRDefault="000738A3" w:rsidP="00D53342">
      <w:pPr>
        <w:adjustRightInd w:val="0"/>
        <w:snapToGrid w:val="0"/>
        <w:spacing w:line="360" w:lineRule="auto"/>
        <w:jc w:val="both"/>
        <w:rPr>
          <w:rFonts w:ascii="Book Antiqua" w:hAnsi="Book Antiqua" w:cs="Arial"/>
          <w:color w:val="000000"/>
          <w:shd w:val="clear" w:color="auto" w:fill="FFFFFF"/>
          <w:lang w:val="en-GB"/>
        </w:rPr>
      </w:pPr>
      <w:r w:rsidRPr="000366BE">
        <w:rPr>
          <w:rFonts w:ascii="Book Antiqua" w:hAnsi="Book Antiqua" w:cs="Arial"/>
          <w:b/>
          <w:color w:val="000000"/>
          <w:shd w:val="clear" w:color="auto" w:fill="FFFFFF"/>
          <w:lang w:val="en-GB"/>
        </w:rPr>
        <w:t>Key words</w:t>
      </w:r>
      <w:r w:rsidRPr="000366BE">
        <w:rPr>
          <w:rFonts w:ascii="Book Antiqua" w:hAnsi="Book Antiqua" w:cs="Arial"/>
          <w:color w:val="000000"/>
          <w:shd w:val="clear" w:color="auto" w:fill="FFFFFF"/>
          <w:lang w:val="en-GB"/>
        </w:rPr>
        <w:t xml:space="preserve">: </w:t>
      </w:r>
      <w:bookmarkStart w:id="12" w:name="OLE_LINK12"/>
      <w:bookmarkStart w:id="13" w:name="OLE_LINK13"/>
      <w:r w:rsidR="00F1263F" w:rsidRPr="000366BE">
        <w:rPr>
          <w:rFonts w:ascii="Book Antiqua" w:hAnsi="Book Antiqua" w:cs="Arial"/>
          <w:color w:val="000000"/>
          <w:shd w:val="clear" w:color="auto" w:fill="FFFFFF"/>
          <w:lang w:val="en-GB"/>
        </w:rPr>
        <w:t xml:space="preserve">Colorectal </w:t>
      </w:r>
      <w:r w:rsidRPr="000366BE">
        <w:rPr>
          <w:rFonts w:ascii="Book Antiqua" w:hAnsi="Book Antiqua" w:cs="Arial"/>
          <w:color w:val="000000"/>
          <w:shd w:val="clear" w:color="auto" w:fill="FFFFFF"/>
          <w:lang w:val="en-GB"/>
        </w:rPr>
        <w:t>cancer</w:t>
      </w:r>
      <w:bookmarkEnd w:id="12"/>
      <w:bookmarkEnd w:id="13"/>
      <w:r w:rsidRPr="000366BE">
        <w:rPr>
          <w:rFonts w:ascii="Book Antiqua" w:hAnsi="Book Antiqua" w:cs="Arial"/>
          <w:color w:val="000000"/>
          <w:shd w:val="clear" w:color="auto" w:fill="FFFFFF"/>
          <w:lang w:val="en-GB"/>
        </w:rPr>
        <w:t xml:space="preserve">; </w:t>
      </w:r>
      <w:bookmarkStart w:id="14" w:name="OLE_LINK14"/>
      <w:bookmarkStart w:id="15" w:name="OLE_LINK15"/>
      <w:proofErr w:type="spellStart"/>
      <w:r w:rsidR="00F1263F" w:rsidRPr="000366BE">
        <w:rPr>
          <w:rFonts w:ascii="Book Antiqua" w:hAnsi="Book Antiqua"/>
          <w:lang w:val="en-GB"/>
        </w:rPr>
        <w:t>Multikinase</w:t>
      </w:r>
      <w:proofErr w:type="spellEnd"/>
      <w:r w:rsidR="00F1263F" w:rsidRPr="000366BE">
        <w:rPr>
          <w:rFonts w:ascii="Book Antiqua" w:hAnsi="Book Antiqua"/>
          <w:lang w:val="en-GB"/>
        </w:rPr>
        <w:t xml:space="preserve"> </w:t>
      </w:r>
      <w:r w:rsidRPr="000366BE">
        <w:rPr>
          <w:rFonts w:ascii="Book Antiqua" w:hAnsi="Book Antiqua"/>
          <w:lang w:val="en-GB"/>
        </w:rPr>
        <w:t>inhibitor</w:t>
      </w:r>
      <w:bookmarkEnd w:id="14"/>
      <w:bookmarkEnd w:id="15"/>
      <w:r w:rsidRPr="000366BE">
        <w:rPr>
          <w:rFonts w:ascii="Book Antiqua" w:hAnsi="Book Antiqua" w:cs="Arial"/>
          <w:color w:val="000000"/>
          <w:shd w:val="clear" w:color="auto" w:fill="FFFFFF"/>
          <w:lang w:val="en-GB"/>
        </w:rPr>
        <w:t xml:space="preserve">; </w:t>
      </w:r>
      <w:bookmarkStart w:id="16" w:name="OLE_LINK16"/>
      <w:bookmarkStart w:id="17" w:name="OLE_LINK17"/>
      <w:r w:rsidR="00F1263F" w:rsidRPr="000366BE">
        <w:rPr>
          <w:rFonts w:ascii="Book Antiqua" w:hAnsi="Book Antiqua"/>
          <w:bCs/>
          <w:lang w:val="en-US"/>
        </w:rPr>
        <w:t>Cytokines</w:t>
      </w:r>
      <w:bookmarkEnd w:id="16"/>
      <w:bookmarkEnd w:id="17"/>
      <w:r w:rsidRPr="000366BE">
        <w:rPr>
          <w:rFonts w:ascii="Book Antiqua" w:hAnsi="Book Antiqua" w:cs="Arial"/>
          <w:color w:val="000000"/>
          <w:shd w:val="clear" w:color="auto" w:fill="FFFFFF"/>
          <w:lang w:val="en-GB"/>
        </w:rPr>
        <w:t xml:space="preserve">; </w:t>
      </w:r>
      <w:bookmarkStart w:id="18" w:name="OLE_LINK18"/>
      <w:bookmarkStart w:id="19" w:name="OLE_LINK19"/>
      <w:r w:rsidR="00F1263F" w:rsidRPr="000366BE">
        <w:rPr>
          <w:rFonts w:ascii="Book Antiqua" w:hAnsi="Book Antiqua"/>
          <w:lang w:val="en-GB"/>
        </w:rPr>
        <w:t>Angiogenesis</w:t>
      </w:r>
    </w:p>
    <w:bookmarkEnd w:id="18"/>
    <w:bookmarkEnd w:id="19"/>
    <w:p w:rsidR="000738A3" w:rsidRPr="000366BE" w:rsidRDefault="000738A3" w:rsidP="00D53342">
      <w:pPr>
        <w:adjustRightInd w:val="0"/>
        <w:snapToGrid w:val="0"/>
        <w:spacing w:line="360" w:lineRule="auto"/>
        <w:jc w:val="both"/>
        <w:rPr>
          <w:rFonts w:ascii="Book Antiqua" w:hAnsi="Book Antiqua"/>
          <w:b/>
          <w:lang w:val="en-GB"/>
        </w:rPr>
      </w:pPr>
    </w:p>
    <w:p w:rsidR="000366BE" w:rsidRDefault="000366BE" w:rsidP="00D53342">
      <w:pPr>
        <w:adjustRightInd w:val="0"/>
        <w:snapToGrid w:val="0"/>
        <w:spacing w:line="360" w:lineRule="auto"/>
        <w:jc w:val="both"/>
        <w:rPr>
          <w:rFonts w:ascii="Book Antiqua" w:eastAsiaTheme="minorEastAsia" w:hAnsi="Book Antiqua" w:hint="eastAsia"/>
          <w:iCs/>
          <w:lang w:eastAsia="zh-CN"/>
        </w:rPr>
      </w:pPr>
      <w:r>
        <w:rPr>
          <w:rFonts w:ascii="Book Antiqua" w:eastAsiaTheme="minorEastAsia" w:hAnsi="Book Antiqua" w:hint="eastAsia"/>
          <w:lang w:eastAsia="zh-CN"/>
        </w:rPr>
        <w:t xml:space="preserve">Citation: </w:t>
      </w:r>
      <w:r w:rsidR="00980347" w:rsidRPr="000366BE">
        <w:rPr>
          <w:rFonts w:ascii="Book Antiqua" w:hAnsi="Book Antiqua"/>
        </w:rPr>
        <w:t>Ricci V, Granetto C</w:t>
      </w:r>
      <w:r w:rsidR="00980347" w:rsidRPr="000366BE">
        <w:rPr>
          <w:rFonts w:ascii="Book Antiqua" w:hAnsi="Book Antiqua" w:cs="TimesNewRomanPSMT"/>
          <w:lang w:eastAsia="it-IT"/>
        </w:rPr>
        <w:t xml:space="preserve">, </w:t>
      </w:r>
      <w:r w:rsidR="00980347" w:rsidRPr="000366BE">
        <w:rPr>
          <w:rFonts w:ascii="Book Antiqua" w:hAnsi="Book Antiqua"/>
        </w:rPr>
        <w:t xml:space="preserve">Falletta A, Paccagnella M, Abbona A, Fea E, Fabozzi T, Lo Nigro C, Merlano MC. </w:t>
      </w:r>
      <w:r w:rsidR="00980347" w:rsidRPr="000366BE">
        <w:rPr>
          <w:rFonts w:ascii="Book Antiqua" w:hAnsi="Book Antiqua"/>
          <w:lang w:val="en-GB"/>
        </w:rPr>
        <w:t xml:space="preserve">Circulating cytokines and outcome in metastatic colorectal cancer patients treated with regorafenib. </w:t>
      </w:r>
      <w:r w:rsidR="00980347" w:rsidRPr="000366BE">
        <w:rPr>
          <w:rFonts w:ascii="Book Antiqua" w:hAnsi="Book Antiqua"/>
          <w:i/>
          <w:lang w:val="en-GB"/>
        </w:rPr>
        <w:t xml:space="preserve">World J </w:t>
      </w:r>
      <w:proofErr w:type="spellStart"/>
      <w:r w:rsidR="00980347" w:rsidRPr="000366BE">
        <w:rPr>
          <w:rFonts w:ascii="Book Antiqua" w:hAnsi="Book Antiqua"/>
          <w:i/>
          <w:lang w:val="en-GB"/>
        </w:rPr>
        <w:t>Gastrointest</w:t>
      </w:r>
      <w:proofErr w:type="spellEnd"/>
      <w:r w:rsidR="00980347" w:rsidRPr="000366BE">
        <w:rPr>
          <w:rFonts w:ascii="Book Antiqua" w:hAnsi="Book Antiqua"/>
          <w:i/>
          <w:lang w:val="en-GB"/>
        </w:rPr>
        <w:t xml:space="preserve"> </w:t>
      </w:r>
      <w:proofErr w:type="spellStart"/>
      <w:r w:rsidR="00980347" w:rsidRPr="000366BE">
        <w:rPr>
          <w:rFonts w:ascii="Book Antiqua" w:hAnsi="Book Antiqua"/>
          <w:i/>
          <w:lang w:val="en-GB"/>
        </w:rPr>
        <w:t>Oncol</w:t>
      </w:r>
      <w:proofErr w:type="spellEnd"/>
      <w:r w:rsidR="00980347" w:rsidRPr="000366BE">
        <w:rPr>
          <w:rFonts w:ascii="Book Antiqua" w:hAnsi="Book Antiqua"/>
          <w:i/>
          <w:lang w:val="en-GB"/>
        </w:rPr>
        <w:t xml:space="preserve"> </w:t>
      </w:r>
      <w:r w:rsidR="00DA6EE7" w:rsidRPr="000366BE">
        <w:rPr>
          <w:rFonts w:ascii="Book Antiqua" w:hAnsi="Book Antiqua"/>
          <w:iCs/>
        </w:rPr>
        <w:t>20</w:t>
      </w:r>
      <w:r w:rsidR="00DA6EE7" w:rsidRPr="000366BE">
        <w:rPr>
          <w:rFonts w:ascii="Book Antiqua" w:hAnsi="Book Antiqua" w:hint="eastAsia"/>
          <w:iCs/>
        </w:rPr>
        <w:t>20</w:t>
      </w:r>
      <w:r w:rsidR="00DA6EE7" w:rsidRPr="000366BE">
        <w:rPr>
          <w:rFonts w:ascii="Book Antiqua" w:hAnsi="Book Antiqua"/>
          <w:iCs/>
        </w:rPr>
        <w:t>; 1</w:t>
      </w:r>
      <w:r w:rsidR="00DA6EE7" w:rsidRPr="000366BE">
        <w:rPr>
          <w:rFonts w:ascii="Book Antiqua" w:hAnsi="Book Antiqua" w:hint="eastAsia"/>
          <w:iCs/>
        </w:rPr>
        <w:t>2</w:t>
      </w:r>
      <w:r w:rsidR="00DA6EE7" w:rsidRPr="000366BE">
        <w:rPr>
          <w:rFonts w:ascii="Book Antiqua" w:hAnsi="Book Antiqua"/>
          <w:iCs/>
        </w:rPr>
        <w:t>(</w:t>
      </w:r>
      <w:r w:rsidR="00DA6EE7" w:rsidRPr="000366BE">
        <w:rPr>
          <w:rFonts w:ascii="Book Antiqua" w:hAnsi="Book Antiqua" w:hint="eastAsia"/>
          <w:iCs/>
        </w:rPr>
        <w:t>3</w:t>
      </w:r>
      <w:r w:rsidR="00DA6EE7" w:rsidRPr="000366BE">
        <w:rPr>
          <w:rFonts w:ascii="Book Antiqua" w:hAnsi="Book Antiqua"/>
          <w:iCs/>
        </w:rPr>
        <w:t xml:space="preserve">): </w:t>
      </w:r>
      <w:r>
        <w:rPr>
          <w:rFonts w:ascii="Book Antiqua" w:eastAsia="等线" w:hAnsi="Book Antiqua" w:hint="eastAsia"/>
          <w:iCs/>
          <w:lang w:eastAsia="zh-CN"/>
        </w:rPr>
        <w:t>301</w:t>
      </w:r>
      <w:r w:rsidR="00DA6EE7" w:rsidRPr="000366BE">
        <w:rPr>
          <w:rFonts w:ascii="Book Antiqua" w:hAnsi="Book Antiqua"/>
          <w:iCs/>
        </w:rPr>
        <w:t>-</w:t>
      </w:r>
      <w:r>
        <w:rPr>
          <w:rFonts w:ascii="Book Antiqua" w:eastAsia="等线" w:hAnsi="Book Antiqua" w:hint="eastAsia"/>
          <w:iCs/>
          <w:lang w:eastAsia="zh-CN"/>
        </w:rPr>
        <w:t>310</w:t>
      </w:r>
    </w:p>
    <w:p w:rsidR="000366BE" w:rsidRDefault="00DA6EE7" w:rsidP="00D53342">
      <w:pPr>
        <w:adjustRightInd w:val="0"/>
        <w:snapToGrid w:val="0"/>
        <w:spacing w:line="360" w:lineRule="auto"/>
        <w:jc w:val="both"/>
        <w:rPr>
          <w:rFonts w:ascii="Book Antiqua" w:eastAsiaTheme="minorEastAsia" w:hAnsi="Book Antiqua" w:hint="eastAsia"/>
          <w:iCs/>
          <w:lang w:eastAsia="zh-CN"/>
        </w:rPr>
      </w:pPr>
      <w:r w:rsidRPr="000366BE">
        <w:rPr>
          <w:rFonts w:ascii="Book Antiqua" w:hAnsi="Book Antiqua"/>
          <w:iCs/>
        </w:rPr>
        <w:t xml:space="preserve">URL: </w:t>
      </w:r>
      <w:r w:rsidR="000366BE">
        <w:rPr>
          <w:rFonts w:ascii="Book Antiqua" w:hAnsi="Book Antiqua"/>
          <w:iCs/>
        </w:rPr>
        <w:fldChar w:fldCharType="begin"/>
      </w:r>
      <w:r w:rsidR="000366BE">
        <w:rPr>
          <w:rFonts w:ascii="Book Antiqua" w:hAnsi="Book Antiqua"/>
          <w:iCs/>
        </w:rPr>
        <w:instrText xml:space="preserve"> HYPERLINK "</w:instrText>
      </w:r>
      <w:r w:rsidR="000366BE" w:rsidRPr="000366BE">
        <w:rPr>
          <w:rFonts w:ascii="Book Antiqua" w:hAnsi="Book Antiqua"/>
          <w:iCs/>
        </w:rPr>
        <w:instrText>https://www.wjgnet.com/</w:instrText>
      </w:r>
      <w:r w:rsidR="000366BE" w:rsidRPr="000366BE">
        <w:rPr>
          <w:rFonts w:ascii="Book Antiqua" w:hAnsi="Book Antiqua"/>
          <w:shd w:val="clear" w:color="auto" w:fill="FFFFFF"/>
        </w:rPr>
        <w:instrText>1948-5204</w:instrText>
      </w:r>
      <w:r w:rsidR="000366BE" w:rsidRPr="000366BE">
        <w:rPr>
          <w:rFonts w:ascii="Book Antiqua" w:hAnsi="Book Antiqua"/>
          <w:iCs/>
        </w:rPr>
        <w:instrText>/full/v1</w:instrText>
      </w:r>
      <w:r w:rsidR="000366BE" w:rsidRPr="000366BE">
        <w:rPr>
          <w:rFonts w:ascii="Book Antiqua" w:hAnsi="Book Antiqua" w:hint="eastAsia"/>
          <w:iCs/>
        </w:rPr>
        <w:instrText>2</w:instrText>
      </w:r>
      <w:r w:rsidR="000366BE" w:rsidRPr="000366BE">
        <w:rPr>
          <w:rFonts w:ascii="Book Antiqua" w:hAnsi="Book Antiqua"/>
          <w:iCs/>
        </w:rPr>
        <w:instrText>/i</w:instrText>
      </w:r>
      <w:r w:rsidR="000366BE" w:rsidRPr="000366BE">
        <w:rPr>
          <w:rFonts w:ascii="Book Antiqua" w:hAnsi="Book Antiqua" w:hint="eastAsia"/>
          <w:iCs/>
        </w:rPr>
        <w:instrText>3</w:instrText>
      </w:r>
      <w:r w:rsidR="000366BE" w:rsidRPr="000366BE">
        <w:rPr>
          <w:rFonts w:ascii="Book Antiqua" w:hAnsi="Book Antiqua"/>
          <w:iCs/>
        </w:rPr>
        <w:instrText>/</w:instrText>
      </w:r>
      <w:r w:rsidR="000366BE" w:rsidRPr="000366BE">
        <w:rPr>
          <w:rFonts w:ascii="Book Antiqua" w:eastAsia="等线" w:hAnsi="Book Antiqua" w:hint="eastAsia"/>
          <w:iCs/>
          <w:lang w:eastAsia="zh-CN"/>
        </w:rPr>
        <w:instrText>301</w:instrText>
      </w:r>
      <w:r w:rsidR="000366BE" w:rsidRPr="000366BE">
        <w:rPr>
          <w:rFonts w:ascii="Book Antiqua" w:hAnsi="Book Antiqua"/>
          <w:iCs/>
        </w:rPr>
        <w:instrText>.htm</w:instrText>
      </w:r>
      <w:r w:rsidR="000366BE">
        <w:rPr>
          <w:rFonts w:ascii="Book Antiqua" w:hAnsi="Book Antiqua"/>
          <w:iCs/>
        </w:rPr>
        <w:instrText xml:space="preserve">" </w:instrText>
      </w:r>
      <w:r w:rsidR="000366BE">
        <w:rPr>
          <w:rFonts w:ascii="Book Antiqua" w:hAnsi="Book Antiqua"/>
          <w:iCs/>
        </w:rPr>
        <w:fldChar w:fldCharType="separate"/>
      </w:r>
      <w:r w:rsidR="000366BE" w:rsidRPr="00E3058E">
        <w:rPr>
          <w:rStyle w:val="a4"/>
          <w:rFonts w:ascii="Book Antiqua" w:hAnsi="Book Antiqua"/>
          <w:iCs/>
        </w:rPr>
        <w:t>https://www.wjgnet.com/</w:t>
      </w:r>
      <w:r w:rsidR="000366BE" w:rsidRPr="00E3058E">
        <w:rPr>
          <w:rStyle w:val="a4"/>
          <w:rFonts w:ascii="Book Antiqua" w:hAnsi="Book Antiqua"/>
          <w:shd w:val="clear" w:color="auto" w:fill="FFFFFF"/>
        </w:rPr>
        <w:t>1948-5204</w:t>
      </w:r>
      <w:r w:rsidR="000366BE" w:rsidRPr="00E3058E">
        <w:rPr>
          <w:rStyle w:val="a4"/>
          <w:rFonts w:ascii="Book Antiqua" w:hAnsi="Book Antiqua"/>
          <w:iCs/>
        </w:rPr>
        <w:t>/full/v1</w:t>
      </w:r>
      <w:r w:rsidR="000366BE" w:rsidRPr="00E3058E">
        <w:rPr>
          <w:rStyle w:val="a4"/>
          <w:rFonts w:ascii="Book Antiqua" w:hAnsi="Book Antiqua" w:hint="eastAsia"/>
          <w:iCs/>
        </w:rPr>
        <w:t>2</w:t>
      </w:r>
      <w:r w:rsidR="000366BE" w:rsidRPr="00E3058E">
        <w:rPr>
          <w:rStyle w:val="a4"/>
          <w:rFonts w:ascii="Book Antiqua" w:hAnsi="Book Antiqua"/>
          <w:iCs/>
        </w:rPr>
        <w:t>/i</w:t>
      </w:r>
      <w:r w:rsidR="000366BE" w:rsidRPr="00E3058E">
        <w:rPr>
          <w:rStyle w:val="a4"/>
          <w:rFonts w:ascii="Book Antiqua" w:hAnsi="Book Antiqua" w:hint="eastAsia"/>
          <w:iCs/>
        </w:rPr>
        <w:t>3</w:t>
      </w:r>
      <w:r w:rsidR="000366BE" w:rsidRPr="00E3058E">
        <w:rPr>
          <w:rStyle w:val="a4"/>
          <w:rFonts w:ascii="Book Antiqua" w:hAnsi="Book Antiqua"/>
          <w:iCs/>
        </w:rPr>
        <w:t>/</w:t>
      </w:r>
      <w:r w:rsidR="000366BE" w:rsidRPr="00E3058E">
        <w:rPr>
          <w:rStyle w:val="a4"/>
          <w:rFonts w:ascii="Book Antiqua" w:eastAsia="等线" w:hAnsi="Book Antiqua" w:hint="eastAsia"/>
          <w:iCs/>
          <w:lang w:eastAsia="zh-CN"/>
        </w:rPr>
        <w:t>301</w:t>
      </w:r>
      <w:r w:rsidR="000366BE" w:rsidRPr="00E3058E">
        <w:rPr>
          <w:rStyle w:val="a4"/>
          <w:rFonts w:ascii="Book Antiqua" w:hAnsi="Book Antiqua"/>
          <w:iCs/>
        </w:rPr>
        <w:t>.htm</w:t>
      </w:r>
      <w:r w:rsidR="000366BE">
        <w:rPr>
          <w:rFonts w:ascii="Book Antiqua" w:hAnsi="Book Antiqua"/>
          <w:iCs/>
        </w:rPr>
        <w:fldChar w:fldCharType="end"/>
      </w:r>
    </w:p>
    <w:p w:rsidR="00980347" w:rsidRPr="000366BE" w:rsidRDefault="00DA6EE7" w:rsidP="00D53342">
      <w:pPr>
        <w:adjustRightInd w:val="0"/>
        <w:snapToGrid w:val="0"/>
        <w:spacing w:line="360" w:lineRule="auto"/>
        <w:jc w:val="both"/>
        <w:rPr>
          <w:rFonts w:ascii="Book Antiqua" w:hAnsi="Book Antiqua"/>
          <w:lang w:val="en-GB" w:eastAsia="zh-CN"/>
        </w:rPr>
      </w:pPr>
      <w:r w:rsidRPr="000366BE">
        <w:rPr>
          <w:rFonts w:ascii="Book Antiqua" w:hAnsi="Book Antiqua"/>
          <w:iCs/>
        </w:rPr>
        <w:t>DOI: https://dx.doi.org/</w:t>
      </w:r>
      <w:r w:rsidRPr="000366BE">
        <w:rPr>
          <w:rFonts w:ascii="Book Antiqua" w:hAnsi="Book Antiqua" w:cs="宋体"/>
        </w:rPr>
        <w:t>10.4251</w:t>
      </w:r>
      <w:r w:rsidRPr="000366BE">
        <w:rPr>
          <w:rFonts w:ascii="Book Antiqua" w:hAnsi="Book Antiqua"/>
          <w:iCs/>
        </w:rPr>
        <w:t>/wjgo.v1</w:t>
      </w:r>
      <w:r w:rsidRPr="000366BE">
        <w:rPr>
          <w:rFonts w:ascii="Book Antiqua" w:hAnsi="Book Antiqua" w:hint="eastAsia"/>
          <w:iCs/>
        </w:rPr>
        <w:t>2</w:t>
      </w:r>
      <w:r w:rsidRPr="000366BE">
        <w:rPr>
          <w:rFonts w:ascii="Book Antiqua" w:hAnsi="Book Antiqua"/>
          <w:iCs/>
        </w:rPr>
        <w:t>.i</w:t>
      </w:r>
      <w:r w:rsidRPr="000366BE">
        <w:rPr>
          <w:rFonts w:ascii="Book Antiqua" w:hAnsi="Book Antiqua" w:hint="eastAsia"/>
          <w:iCs/>
        </w:rPr>
        <w:t>3</w:t>
      </w:r>
      <w:r w:rsidRPr="000366BE">
        <w:rPr>
          <w:rFonts w:ascii="Book Antiqua" w:hAnsi="Book Antiqua"/>
          <w:iCs/>
        </w:rPr>
        <w:t>.</w:t>
      </w:r>
      <w:r w:rsidR="000366BE">
        <w:rPr>
          <w:rFonts w:ascii="Book Antiqua" w:eastAsia="等线" w:hAnsi="Book Antiqua" w:hint="eastAsia"/>
          <w:iCs/>
          <w:lang w:eastAsia="zh-CN"/>
        </w:rPr>
        <w:t>301</w:t>
      </w:r>
      <w:bookmarkStart w:id="20" w:name="_GoBack"/>
      <w:bookmarkEnd w:id="20"/>
    </w:p>
    <w:p w:rsidR="00980347" w:rsidRPr="000366BE" w:rsidRDefault="00980347" w:rsidP="00D53342">
      <w:pPr>
        <w:adjustRightInd w:val="0"/>
        <w:snapToGrid w:val="0"/>
        <w:spacing w:line="360" w:lineRule="auto"/>
        <w:jc w:val="both"/>
        <w:rPr>
          <w:rFonts w:ascii="Book Antiqua" w:hAnsi="Book Antiqua"/>
          <w:lang w:val="en-GB"/>
        </w:rPr>
      </w:pPr>
    </w:p>
    <w:p w:rsidR="00980347" w:rsidRPr="000366BE" w:rsidRDefault="000738A3" w:rsidP="00D53342">
      <w:pPr>
        <w:adjustRightInd w:val="0"/>
        <w:snapToGrid w:val="0"/>
        <w:spacing w:line="360" w:lineRule="auto"/>
        <w:jc w:val="both"/>
        <w:rPr>
          <w:rFonts w:ascii="Book Antiqua" w:hAnsi="Book Antiqua"/>
          <w:b/>
          <w:lang w:val="en-US"/>
        </w:rPr>
      </w:pPr>
      <w:r w:rsidRPr="000366BE">
        <w:rPr>
          <w:rFonts w:ascii="Book Antiqua" w:hAnsi="Book Antiqua"/>
          <w:b/>
          <w:lang w:val="en-US"/>
        </w:rPr>
        <w:t xml:space="preserve">Core tip: </w:t>
      </w:r>
      <w:bookmarkStart w:id="21" w:name="OLE_LINK11"/>
      <w:r w:rsidRPr="000366BE">
        <w:rPr>
          <w:rFonts w:ascii="Book Antiqua" w:hAnsi="Book Antiqua" w:cs="Arial"/>
          <w:lang w:val="en-GB"/>
        </w:rPr>
        <w:t>We</w:t>
      </w:r>
      <w:r w:rsidRPr="000366BE">
        <w:rPr>
          <w:rFonts w:ascii="Book Antiqua" w:hAnsi="Book Antiqua"/>
          <w:lang w:val="en-GB"/>
        </w:rPr>
        <w:t xml:space="preserve"> </w:t>
      </w:r>
      <w:proofErr w:type="spellStart"/>
      <w:r w:rsidRPr="000366BE">
        <w:rPr>
          <w:rFonts w:ascii="Book Antiqua" w:hAnsi="Book Antiqua"/>
          <w:lang w:val="en-GB"/>
        </w:rPr>
        <w:t>analyzed</w:t>
      </w:r>
      <w:proofErr w:type="spellEnd"/>
      <w:r w:rsidRPr="000366BE">
        <w:rPr>
          <w:rFonts w:ascii="Book Antiqua" w:hAnsi="Book Antiqua"/>
          <w:lang w:val="en-GB"/>
        </w:rPr>
        <w:t xml:space="preserve"> levels of specific cytokines in plasma of </w:t>
      </w:r>
      <w:r w:rsidR="00F1263F" w:rsidRPr="000366BE">
        <w:rPr>
          <w:rFonts w:ascii="Book Antiqua" w:hAnsi="Book Antiqua"/>
          <w:lang w:val="en-GB"/>
        </w:rPr>
        <w:t>metastatic colorectal cancer</w:t>
      </w:r>
      <w:r w:rsidRPr="000366BE">
        <w:rPr>
          <w:rFonts w:ascii="Book Antiqua" w:hAnsi="Book Antiqua"/>
          <w:lang w:val="en-GB"/>
        </w:rPr>
        <w:t xml:space="preserve"> patients before treatment with regorafenib. Our aim was to identify biomarkers useful to select </w:t>
      </w:r>
      <w:r w:rsidR="00F1263F" w:rsidRPr="000366BE">
        <w:rPr>
          <w:rFonts w:ascii="Book Antiqua" w:hAnsi="Book Antiqua"/>
          <w:lang w:val="en-GB"/>
        </w:rPr>
        <w:t>metastatic colorectal cancer</w:t>
      </w:r>
      <w:r w:rsidRPr="000366BE">
        <w:rPr>
          <w:rFonts w:ascii="Book Antiqua" w:hAnsi="Book Antiqua"/>
          <w:lang w:val="en-GB"/>
        </w:rPr>
        <w:t xml:space="preserve"> responder patients and an immune profile potentially correlated with the outcome.</w:t>
      </w:r>
    </w:p>
    <w:bookmarkEnd w:id="21"/>
    <w:p w:rsidR="00980347" w:rsidRPr="000366BE" w:rsidRDefault="00980347" w:rsidP="00D53342">
      <w:pPr>
        <w:adjustRightInd w:val="0"/>
        <w:snapToGrid w:val="0"/>
        <w:spacing w:line="360" w:lineRule="auto"/>
        <w:jc w:val="both"/>
        <w:rPr>
          <w:rFonts w:ascii="Book Antiqua" w:hAnsi="Book Antiqua"/>
          <w:b/>
          <w:lang w:val="en-US"/>
        </w:rPr>
      </w:pPr>
      <w:r w:rsidRPr="000366BE">
        <w:rPr>
          <w:rFonts w:ascii="Book Antiqua" w:hAnsi="Book Antiqua"/>
          <w:b/>
          <w:lang w:val="en-US"/>
        </w:rPr>
        <w:br w:type="page"/>
      </w:r>
      <w:r w:rsidRPr="000366BE">
        <w:rPr>
          <w:rFonts w:ascii="Book Antiqua" w:hAnsi="Book Antiqua"/>
          <w:b/>
          <w:u w:val="single"/>
        </w:rPr>
        <w:t>INTRODUCTION</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US"/>
        </w:rPr>
        <w:t>C</w:t>
      </w:r>
      <w:proofErr w:type="spellStart"/>
      <w:r w:rsidRPr="000366BE">
        <w:rPr>
          <w:rFonts w:ascii="Book Antiqua" w:hAnsi="Book Antiqua"/>
          <w:lang w:val="en-GB"/>
        </w:rPr>
        <w:t>olorectal</w:t>
      </w:r>
      <w:proofErr w:type="spellEnd"/>
      <w:r w:rsidRPr="000366BE">
        <w:rPr>
          <w:rFonts w:ascii="Book Antiqua" w:hAnsi="Book Antiqua"/>
          <w:lang w:val="en-GB"/>
        </w:rPr>
        <w:t xml:space="preserve"> cancer </w:t>
      </w:r>
      <w:r w:rsidR="0073054C" w:rsidRPr="000366BE">
        <w:rPr>
          <w:rFonts w:ascii="Book Antiqua" w:eastAsia="宋体" w:hAnsi="Book Antiqua" w:hint="eastAsia"/>
          <w:lang w:val="en-GB" w:eastAsia="zh-CN"/>
        </w:rPr>
        <w:t>(</w:t>
      </w:r>
      <w:r w:rsidR="0073054C" w:rsidRPr="000366BE">
        <w:rPr>
          <w:rFonts w:ascii="Book Antiqua" w:hAnsi="Book Antiqua"/>
          <w:lang w:val="en-GB"/>
        </w:rPr>
        <w:t>CRC</w:t>
      </w:r>
      <w:r w:rsidR="0073054C" w:rsidRPr="000366BE">
        <w:rPr>
          <w:rFonts w:ascii="Book Antiqua" w:eastAsia="宋体" w:hAnsi="Book Antiqua" w:hint="eastAsia"/>
          <w:lang w:val="en-GB" w:eastAsia="zh-CN"/>
        </w:rPr>
        <w:t xml:space="preserve">) </w:t>
      </w:r>
      <w:r w:rsidRPr="000366BE">
        <w:rPr>
          <w:rFonts w:ascii="Book Antiqua" w:hAnsi="Book Antiqua"/>
          <w:lang w:val="en-GB"/>
        </w:rPr>
        <w:t>is one of the leading causes of cancer-related death and the third most commonly diagnosed</w:t>
      </w:r>
      <w:r w:rsidR="00980347" w:rsidRPr="000366BE">
        <w:rPr>
          <w:rFonts w:ascii="Book Antiqua" w:hAnsi="Book Antiqua"/>
          <w:lang w:val="en-GB"/>
        </w:rPr>
        <w:t xml:space="preserve"> cancer in humans in the </w:t>
      </w:r>
      <w:proofErr w:type="gramStart"/>
      <w:r w:rsidR="00980347" w:rsidRPr="000366BE">
        <w:rPr>
          <w:rFonts w:ascii="Book Antiqua" w:hAnsi="Book Antiqua"/>
          <w:lang w:val="en-GB"/>
        </w:rPr>
        <w:t>world</w:t>
      </w:r>
      <w:r w:rsidRPr="000366BE">
        <w:rPr>
          <w:rFonts w:ascii="Book Antiqua" w:hAnsi="Book Antiqua"/>
          <w:vertAlign w:val="superscript"/>
          <w:lang w:val="en-GB"/>
        </w:rPr>
        <w:t>[</w:t>
      </w:r>
      <w:proofErr w:type="gramEnd"/>
      <w:r w:rsidRPr="000366BE">
        <w:rPr>
          <w:rFonts w:ascii="Book Antiqua" w:hAnsi="Book Antiqua"/>
          <w:vertAlign w:val="superscript"/>
          <w:lang w:val="en-GB"/>
        </w:rPr>
        <w:t>1]</w:t>
      </w:r>
      <w:r w:rsidR="00980347" w:rsidRPr="000366BE">
        <w:rPr>
          <w:rFonts w:ascii="Book Antiqua" w:hAnsi="Book Antiqua"/>
          <w:lang w:val="en-GB"/>
        </w:rPr>
        <w:t>.</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For many years treatment of metastatic </w:t>
      </w:r>
      <w:r w:rsidR="0073054C" w:rsidRPr="000366BE">
        <w:rPr>
          <w:rFonts w:ascii="Book Antiqua" w:hAnsi="Book Antiqua"/>
          <w:lang w:val="en-GB"/>
        </w:rPr>
        <w:t>CRC</w:t>
      </w:r>
      <w:r w:rsidRPr="000366BE">
        <w:rPr>
          <w:rFonts w:ascii="Book Antiqua" w:hAnsi="Book Antiqua"/>
          <w:lang w:val="en-GB"/>
        </w:rPr>
        <w:t xml:space="preserve"> (mCRC) consisted mainly</w:t>
      </w:r>
      <w:r w:rsidR="00D53342" w:rsidRPr="000366BE">
        <w:rPr>
          <w:rFonts w:ascii="Book Antiqua" w:hAnsi="Book Antiqua"/>
          <w:lang w:val="en-GB"/>
        </w:rPr>
        <w:t xml:space="preserve"> of single agent 5-fluorouracil</w:t>
      </w:r>
      <w:r w:rsidRPr="000366BE">
        <w:rPr>
          <w:rFonts w:ascii="Book Antiqua" w:hAnsi="Book Antiqua"/>
          <w:lang w:val="en-GB"/>
        </w:rPr>
        <w:t xml:space="preserve"> but the addition of irinotecan and oxaliplatin to </w:t>
      </w:r>
      <w:r w:rsidR="00D53342" w:rsidRPr="000366BE">
        <w:rPr>
          <w:rFonts w:ascii="Book Antiqua" w:hAnsi="Book Antiqua"/>
          <w:lang w:val="en-GB"/>
        </w:rPr>
        <w:t>5-fluorouracil</w:t>
      </w:r>
      <w:r w:rsidRPr="000366BE">
        <w:rPr>
          <w:rFonts w:ascii="Book Antiqua" w:hAnsi="Book Antiqua"/>
          <w:lang w:val="en-GB"/>
        </w:rPr>
        <w:t xml:space="preserve"> increased the median progression free survival (PFS) to 8 </w:t>
      </w:r>
      <w:proofErr w:type="spellStart"/>
      <w:r w:rsidRPr="000366BE">
        <w:rPr>
          <w:rFonts w:ascii="Book Antiqua" w:hAnsi="Book Antiqua"/>
          <w:lang w:val="en-GB"/>
        </w:rPr>
        <w:t>mo</w:t>
      </w:r>
      <w:proofErr w:type="spellEnd"/>
      <w:r w:rsidRPr="000366BE">
        <w:rPr>
          <w:rFonts w:ascii="Book Antiqua" w:hAnsi="Book Antiqua"/>
          <w:vertAlign w:val="superscript"/>
          <w:lang w:val="en-GB"/>
        </w:rPr>
        <w:t>[2]</w:t>
      </w:r>
      <w:r w:rsidRPr="000366BE">
        <w:rPr>
          <w:rFonts w:ascii="Book Antiqua" w:hAnsi="Book Antiqua"/>
          <w:lang w:val="en-GB"/>
        </w:rPr>
        <w:t>, which further improved with the later addition of</w:t>
      </w:r>
      <w:r w:rsidR="00980347" w:rsidRPr="000366BE">
        <w:rPr>
          <w:rFonts w:ascii="Book Antiqua" w:hAnsi="Book Antiqua"/>
          <w:lang w:val="en-GB"/>
        </w:rPr>
        <w:t xml:space="preserve"> the vascular endothelial growth factor (VEGF) and EGFR inhibitors</w:t>
      </w:r>
      <w:r w:rsidRPr="000366BE">
        <w:rPr>
          <w:rFonts w:ascii="Book Antiqua" w:hAnsi="Book Antiqua"/>
          <w:vertAlign w:val="superscript"/>
          <w:lang w:val="en-GB"/>
        </w:rPr>
        <w:t>[3]</w:t>
      </w:r>
      <w:r w:rsidRPr="000366BE">
        <w:rPr>
          <w:rFonts w:ascii="Book Antiqua" w:hAnsi="Book Antiqua"/>
          <w:lang w:val="en-GB"/>
        </w:rPr>
        <w:t>.</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Regorafenib is an oral </w:t>
      </w:r>
      <w:proofErr w:type="spellStart"/>
      <w:r w:rsidRPr="000366BE">
        <w:rPr>
          <w:rFonts w:ascii="Book Antiqua" w:hAnsi="Book Antiqua"/>
          <w:lang w:val="en-GB"/>
        </w:rPr>
        <w:t>multikinase</w:t>
      </w:r>
      <w:proofErr w:type="spellEnd"/>
      <w:r w:rsidRPr="000366BE">
        <w:rPr>
          <w:rFonts w:ascii="Book Antiqua" w:hAnsi="Book Antiqua"/>
          <w:lang w:val="en-GB"/>
        </w:rPr>
        <w:t xml:space="preserve"> inhibitor that inhibits the activity of vascular endothelial growth factor receptor 1, 2, 3 (VEGFR-1,-2,-3), tyrosine kinase receptor with immunoglobulin-like and EGF-like domains 2 (TIE2), platelet-derived growth factor receptors, fibroblast growth factor</w:t>
      </w:r>
      <w:r w:rsidRPr="000366BE">
        <w:rPr>
          <w:rStyle w:val="a8"/>
          <w:rFonts w:ascii="Book Antiqua" w:hAnsi="Book Antiqua" w:cs="Arial"/>
          <w:b/>
          <w:bCs/>
          <w:i w:val="0"/>
          <w:shd w:val="clear" w:color="auto" w:fill="FFFFFF"/>
          <w:lang w:val="en-GB"/>
        </w:rPr>
        <w:t xml:space="preserve"> </w:t>
      </w:r>
      <w:r w:rsidRPr="000366BE">
        <w:rPr>
          <w:rFonts w:ascii="Book Antiqua" w:hAnsi="Book Antiqua"/>
          <w:lang w:val="en-GB"/>
        </w:rPr>
        <w:t>receptors and onco</w:t>
      </w:r>
      <w:r w:rsidR="00980347" w:rsidRPr="000366BE">
        <w:rPr>
          <w:rFonts w:ascii="Book Antiqua" w:hAnsi="Book Antiqua"/>
          <w:lang w:val="en-GB"/>
        </w:rPr>
        <w:t>genic receptor tyrosine kinases</w:t>
      </w:r>
      <w:r w:rsidRPr="000366BE">
        <w:rPr>
          <w:rFonts w:ascii="Book Antiqua" w:hAnsi="Book Antiqua"/>
          <w:lang w:val="en-GB"/>
        </w:rPr>
        <w:t xml:space="preserve"> (KIT, RET, RAF-1, BRAF, BRAF</w:t>
      </w:r>
      <w:r w:rsidRPr="000366BE">
        <w:rPr>
          <w:rFonts w:ascii="Book Antiqua" w:hAnsi="Book Antiqua"/>
          <w:vertAlign w:val="superscript"/>
          <w:lang w:val="en-GB"/>
        </w:rPr>
        <w:t>V600E</w:t>
      </w:r>
      <w:r w:rsidR="00980347" w:rsidRPr="000366BE">
        <w:rPr>
          <w:rFonts w:ascii="Book Antiqua" w:hAnsi="Book Antiqua"/>
          <w:lang w:val="en-GB"/>
        </w:rPr>
        <w:t>)</w:t>
      </w:r>
      <w:r w:rsidRPr="000366BE">
        <w:rPr>
          <w:rFonts w:ascii="Book Antiqua" w:hAnsi="Book Antiqua"/>
          <w:vertAlign w:val="superscript"/>
          <w:lang w:val="en-GB"/>
        </w:rPr>
        <w:t>[4]</w:t>
      </w:r>
      <w:r w:rsidRPr="000366BE">
        <w:rPr>
          <w:rFonts w:ascii="Book Antiqua" w:hAnsi="Book Antiqua"/>
          <w:lang w:val="en-GB"/>
        </w:rPr>
        <w:t xml:space="preserve">. Regorafenib monotherapy significantly increased overall survival (OS) and PFS in the CORRECT and the CONCUR trials, </w:t>
      </w:r>
      <w:r w:rsidRPr="000366BE">
        <w:rPr>
          <w:rFonts w:ascii="Book Antiqua" w:hAnsi="Book Antiqua"/>
          <w:shd w:val="clear" w:color="auto" w:fill="FFFFFF"/>
          <w:lang w:val="en-GB"/>
        </w:rPr>
        <w:t xml:space="preserve">which compared regorafenib treatment to </w:t>
      </w:r>
      <w:proofErr w:type="gramStart"/>
      <w:r w:rsidRPr="000366BE">
        <w:rPr>
          <w:rFonts w:ascii="Book Antiqua" w:hAnsi="Book Antiqua"/>
          <w:shd w:val="clear" w:color="auto" w:fill="FFFFFF"/>
          <w:lang w:val="en-GB"/>
        </w:rPr>
        <w:t>placebo</w:t>
      </w:r>
      <w:r w:rsidR="00DE65A5" w:rsidRPr="000366BE">
        <w:rPr>
          <w:rFonts w:ascii="Book Antiqua" w:hAnsi="Book Antiqua"/>
          <w:vertAlign w:val="superscript"/>
          <w:lang w:val="en-GB"/>
        </w:rPr>
        <w:t>[</w:t>
      </w:r>
      <w:proofErr w:type="gramEnd"/>
      <w:r w:rsidR="00DE65A5" w:rsidRPr="000366BE">
        <w:rPr>
          <w:rFonts w:ascii="Book Antiqua" w:hAnsi="Book Antiqua"/>
          <w:vertAlign w:val="superscript"/>
          <w:lang w:val="en-GB"/>
        </w:rPr>
        <w:t>5,</w:t>
      </w:r>
      <w:r w:rsidRPr="000366BE">
        <w:rPr>
          <w:rFonts w:ascii="Book Antiqua" w:hAnsi="Book Antiqua"/>
          <w:vertAlign w:val="superscript"/>
          <w:lang w:val="en-GB"/>
        </w:rPr>
        <w:t>6]</w:t>
      </w:r>
      <w:r w:rsidRPr="000366BE">
        <w:rPr>
          <w:rFonts w:ascii="Book Antiqua" w:hAnsi="Book Antiqua"/>
          <w:lang w:val="en-GB"/>
        </w:rPr>
        <w:t>.</w:t>
      </w:r>
    </w:p>
    <w:p w:rsidR="000738A3" w:rsidRPr="000366BE" w:rsidRDefault="000738A3" w:rsidP="00D53342">
      <w:pPr>
        <w:adjustRightInd w:val="0"/>
        <w:snapToGrid w:val="0"/>
        <w:spacing w:line="360" w:lineRule="auto"/>
        <w:ind w:firstLineChars="100" w:firstLine="240"/>
        <w:jc w:val="both"/>
        <w:rPr>
          <w:rFonts w:ascii="Book Antiqua" w:hAnsi="Book Antiqua"/>
          <w:shd w:val="clear" w:color="auto" w:fill="FFFFFF"/>
          <w:lang w:val="en-GB"/>
        </w:rPr>
      </w:pPr>
      <w:r w:rsidRPr="000366BE">
        <w:rPr>
          <w:rFonts w:ascii="Book Antiqua" w:hAnsi="Book Antiqua"/>
          <w:shd w:val="clear" w:color="auto" w:fill="FFFFFF"/>
          <w:lang w:val="en-GB"/>
        </w:rPr>
        <w:t xml:space="preserve">Cytokine levels could be potentially useful in monitoring disease progression and treatment outcome. </w:t>
      </w:r>
      <w:proofErr w:type="spellStart"/>
      <w:r w:rsidRPr="000366BE">
        <w:rPr>
          <w:rFonts w:ascii="Book Antiqua" w:hAnsi="Book Antiqua"/>
          <w:bCs/>
          <w:lang w:val="en-GB"/>
        </w:rPr>
        <w:t>Suenaga</w:t>
      </w:r>
      <w:proofErr w:type="spellEnd"/>
      <w:r w:rsidRPr="000366BE">
        <w:rPr>
          <w:rFonts w:ascii="Book Antiqua" w:hAnsi="Book Antiqua"/>
          <w:bCs/>
          <w:lang w:val="en-GB"/>
        </w:rPr>
        <w:t xml:space="preserve"> </w:t>
      </w:r>
      <w:r w:rsidRPr="000366BE">
        <w:rPr>
          <w:rFonts w:ascii="Book Antiqua" w:hAnsi="Book Antiqua"/>
          <w:bCs/>
          <w:i/>
          <w:lang w:val="en-GB"/>
        </w:rPr>
        <w:t xml:space="preserve">et </w:t>
      </w:r>
      <w:proofErr w:type="gramStart"/>
      <w:r w:rsidRPr="000366BE">
        <w:rPr>
          <w:rFonts w:ascii="Book Antiqua" w:hAnsi="Book Antiqua"/>
          <w:bCs/>
          <w:i/>
          <w:lang w:val="en-GB"/>
        </w:rPr>
        <w:t>al</w:t>
      </w:r>
      <w:r w:rsidR="00DE65A5" w:rsidRPr="000366BE">
        <w:rPr>
          <w:rFonts w:ascii="Book Antiqua" w:hAnsi="Book Antiqua"/>
          <w:bCs/>
          <w:vertAlign w:val="superscript"/>
          <w:lang w:val="en-GB"/>
        </w:rPr>
        <w:t>[</w:t>
      </w:r>
      <w:proofErr w:type="gramEnd"/>
      <w:r w:rsidR="00DE65A5" w:rsidRPr="000366BE">
        <w:rPr>
          <w:rFonts w:ascii="Book Antiqua" w:hAnsi="Book Antiqua"/>
          <w:bCs/>
          <w:vertAlign w:val="superscript"/>
          <w:lang w:val="en-GB"/>
        </w:rPr>
        <w:t>7]</w:t>
      </w:r>
      <w:r w:rsidRPr="000366BE">
        <w:rPr>
          <w:rFonts w:ascii="Book Antiqua" w:hAnsi="Book Antiqua"/>
          <w:bCs/>
          <w:lang w:val="en-GB"/>
        </w:rPr>
        <w:t xml:space="preserve"> demonstrated that baseline serum CCL-5 and VEGF-A levels may act as potential predictive markers for survival or treatment-specific toxicities in mCRC patients receiving regorafenib</w:t>
      </w:r>
      <w:r w:rsidR="00DE65A5" w:rsidRPr="000366BE">
        <w:rPr>
          <w:rFonts w:ascii="Book Antiqua" w:hAnsi="Book Antiqua"/>
          <w:shd w:val="clear" w:color="auto" w:fill="FFFFFF"/>
          <w:lang w:val="en-GB"/>
        </w:rPr>
        <w:t xml:space="preserve"> in salvage-line setting</w:t>
      </w:r>
      <w:r w:rsidRPr="000366BE">
        <w:rPr>
          <w:rFonts w:ascii="Book Antiqua" w:hAnsi="Book Antiqua"/>
          <w:shd w:val="clear" w:color="auto" w:fill="FFFFFF"/>
          <w:lang w:val="en-GB"/>
        </w:rPr>
        <w:t>.</w:t>
      </w:r>
    </w:p>
    <w:p w:rsidR="000738A3" w:rsidRPr="000366BE" w:rsidRDefault="000738A3" w:rsidP="00D53342">
      <w:pPr>
        <w:autoSpaceDE w:val="0"/>
        <w:autoSpaceDN w:val="0"/>
        <w:adjustRightInd w:val="0"/>
        <w:snapToGrid w:val="0"/>
        <w:spacing w:line="360" w:lineRule="auto"/>
        <w:ind w:firstLineChars="100" w:firstLine="240"/>
        <w:jc w:val="both"/>
        <w:rPr>
          <w:rFonts w:ascii="Book Antiqua" w:hAnsi="Book Antiqua"/>
          <w:bCs/>
          <w:lang w:val="en-GB"/>
        </w:rPr>
      </w:pPr>
      <w:r w:rsidRPr="000366BE">
        <w:rPr>
          <w:rFonts w:ascii="Book Antiqua" w:hAnsi="Book Antiqua"/>
          <w:bCs/>
          <w:lang w:val="en-GB"/>
        </w:rPr>
        <w:t>TGF-β is a multifunctional polypeptide promoting angiogenesis and expression of cell adhesion proteins, and inhibiting growth of epithelial and immune cells. High plasma levels of TGF-β were associated wit</w:t>
      </w:r>
      <w:r w:rsidR="00DE65A5" w:rsidRPr="000366BE">
        <w:rPr>
          <w:rFonts w:ascii="Book Antiqua" w:hAnsi="Book Antiqua"/>
          <w:bCs/>
          <w:lang w:val="en-GB"/>
        </w:rPr>
        <w:t xml:space="preserve">h progression of </w:t>
      </w:r>
      <w:proofErr w:type="gramStart"/>
      <w:r w:rsidR="00DE65A5" w:rsidRPr="000366BE">
        <w:rPr>
          <w:rFonts w:ascii="Book Antiqua" w:hAnsi="Book Antiqua"/>
          <w:bCs/>
          <w:lang w:val="en-GB"/>
        </w:rPr>
        <w:t>disease</w:t>
      </w:r>
      <w:r w:rsidRPr="000366BE">
        <w:rPr>
          <w:rFonts w:ascii="Book Antiqua" w:hAnsi="Book Antiqua"/>
          <w:bCs/>
          <w:vertAlign w:val="superscript"/>
          <w:lang w:val="en-GB"/>
        </w:rPr>
        <w:t>[</w:t>
      </w:r>
      <w:proofErr w:type="gramEnd"/>
      <w:r w:rsidRPr="000366BE">
        <w:rPr>
          <w:rFonts w:ascii="Book Antiqua" w:hAnsi="Book Antiqua"/>
          <w:bCs/>
          <w:vertAlign w:val="superscript"/>
          <w:lang w:val="en-GB"/>
        </w:rPr>
        <w:t>8]</w:t>
      </w:r>
      <w:r w:rsidRPr="000366BE">
        <w:rPr>
          <w:rFonts w:ascii="Book Antiqua" w:hAnsi="Book Antiqua"/>
          <w:bCs/>
          <w:lang w:val="en-GB"/>
        </w:rPr>
        <w:t>.</w:t>
      </w:r>
    </w:p>
    <w:p w:rsidR="000738A3" w:rsidRPr="000366BE" w:rsidRDefault="000738A3" w:rsidP="00D53342">
      <w:pPr>
        <w:autoSpaceDE w:val="0"/>
        <w:autoSpaceDN w:val="0"/>
        <w:adjustRightInd w:val="0"/>
        <w:snapToGrid w:val="0"/>
        <w:spacing w:line="360" w:lineRule="auto"/>
        <w:ind w:firstLineChars="100" w:firstLine="240"/>
        <w:jc w:val="both"/>
        <w:rPr>
          <w:rFonts w:ascii="Book Antiqua" w:eastAsia="MS Mincho" w:hAnsi="Book Antiqua"/>
          <w:lang w:val="en-GB" w:eastAsia="ja-JP"/>
        </w:rPr>
      </w:pPr>
      <w:r w:rsidRPr="000366BE">
        <w:rPr>
          <w:rFonts w:ascii="Book Antiqua" w:hAnsi="Book Antiqua"/>
          <w:lang w:val="en-GB"/>
        </w:rPr>
        <w:t xml:space="preserve">TNF-α might serve as a predictive marker for treatment efficacy and clinical outcome. </w:t>
      </w:r>
      <w:r w:rsidRPr="000366BE">
        <w:rPr>
          <w:rStyle w:val="aa"/>
          <w:rFonts w:ascii="Book Antiqua" w:hAnsi="Book Antiqua"/>
          <w:sz w:val="24"/>
          <w:lang w:val="en-US"/>
        </w:rPr>
        <w:t>O</w:t>
      </w:r>
      <w:proofErr w:type="spellStart"/>
      <w:r w:rsidRPr="000366BE">
        <w:rPr>
          <w:rFonts w:ascii="Book Antiqua" w:hAnsi="Book Antiqua"/>
          <w:lang w:val="en-GB" w:eastAsia="ja-JP"/>
        </w:rPr>
        <w:t>lsen</w:t>
      </w:r>
      <w:proofErr w:type="spellEnd"/>
      <w:r w:rsidRPr="000366BE">
        <w:rPr>
          <w:rFonts w:ascii="Book Antiqua" w:hAnsi="Book Antiqua"/>
          <w:lang w:val="en-GB" w:eastAsia="ja-JP"/>
        </w:rPr>
        <w:t xml:space="preserve"> </w:t>
      </w:r>
      <w:r w:rsidRPr="000366BE">
        <w:rPr>
          <w:rFonts w:ascii="Book Antiqua" w:hAnsi="Book Antiqua"/>
          <w:i/>
          <w:lang w:val="en-GB" w:eastAsia="ja-JP"/>
        </w:rPr>
        <w:t xml:space="preserve">et </w:t>
      </w:r>
      <w:proofErr w:type="gramStart"/>
      <w:r w:rsidRPr="000366BE">
        <w:rPr>
          <w:rFonts w:ascii="Book Antiqua" w:hAnsi="Book Antiqua"/>
          <w:i/>
          <w:lang w:val="en-GB" w:eastAsia="ja-JP"/>
        </w:rPr>
        <w:t>al</w:t>
      </w:r>
      <w:r w:rsidR="00DE65A5" w:rsidRPr="000366BE">
        <w:rPr>
          <w:rFonts w:ascii="Book Antiqua" w:hAnsi="Book Antiqua"/>
          <w:vertAlign w:val="superscript"/>
          <w:lang w:val="en-GB" w:eastAsia="ja-JP"/>
        </w:rPr>
        <w:t>[</w:t>
      </w:r>
      <w:proofErr w:type="gramEnd"/>
      <w:r w:rsidR="00DE65A5" w:rsidRPr="000366BE">
        <w:rPr>
          <w:rFonts w:ascii="Book Antiqua" w:hAnsi="Book Antiqua"/>
          <w:vertAlign w:val="superscript"/>
          <w:lang w:val="en-GB" w:eastAsia="ja-JP"/>
        </w:rPr>
        <w:t>9]</w:t>
      </w:r>
      <w:r w:rsidRPr="000366BE">
        <w:rPr>
          <w:rFonts w:ascii="Book Antiqua" w:hAnsi="Book Antiqua"/>
          <w:lang w:val="en-GB" w:eastAsia="ja-JP"/>
        </w:rPr>
        <w:t xml:space="preserve"> demonstrated that </w:t>
      </w:r>
      <w:r w:rsidRPr="000366BE">
        <w:rPr>
          <w:rFonts w:ascii="Book Antiqua" w:hAnsi="Book Antiqua"/>
          <w:lang w:val="en-GB" w:eastAsia="it-IT"/>
        </w:rPr>
        <w:t>higher levels of</w:t>
      </w:r>
      <w:r w:rsidRPr="000366BE">
        <w:rPr>
          <w:rFonts w:ascii="Book Antiqua" w:hAnsi="Book Antiqua" w:cs="Verdana"/>
          <w:lang w:val="en-GB" w:eastAsia="it-IT"/>
        </w:rPr>
        <w:t xml:space="preserve"> </w:t>
      </w:r>
      <w:r w:rsidRPr="000366BE">
        <w:rPr>
          <w:rFonts w:ascii="Book Antiqua" w:eastAsia="MS Mincho" w:hAnsi="Book Antiqua"/>
          <w:lang w:val="en-GB" w:eastAsia="ja-JP"/>
        </w:rPr>
        <w:t>TNF-</w:t>
      </w:r>
      <w:r w:rsidRPr="000366BE">
        <w:rPr>
          <w:rFonts w:ascii="Book Antiqua" w:eastAsia="MS Mincho" w:hAnsi="Book Antiqua"/>
          <w:lang w:eastAsia="ja-JP"/>
        </w:rPr>
        <w:t>α</w:t>
      </w:r>
      <w:r w:rsidRPr="000366BE">
        <w:rPr>
          <w:rFonts w:ascii="Book Antiqua" w:eastAsia="MS Mincho" w:hAnsi="Book Antiqua"/>
          <w:lang w:val="en-GB" w:eastAsia="ja-JP"/>
        </w:rPr>
        <w:t>, as well as of other cytokines, are associated with a worse prognosis and mortality in CRC patients.</w:t>
      </w:r>
    </w:p>
    <w:p w:rsidR="000738A3" w:rsidRPr="000366BE" w:rsidRDefault="000738A3" w:rsidP="00D53342">
      <w:pPr>
        <w:adjustRightInd w:val="0"/>
        <w:snapToGrid w:val="0"/>
        <w:spacing w:line="360" w:lineRule="auto"/>
        <w:ind w:firstLineChars="100" w:firstLine="240"/>
        <w:jc w:val="both"/>
        <w:rPr>
          <w:rFonts w:ascii="Book Antiqua" w:hAnsi="Book Antiqua"/>
          <w:bCs/>
          <w:lang w:val="en-US"/>
        </w:rPr>
      </w:pPr>
      <w:r w:rsidRPr="000366BE">
        <w:rPr>
          <w:rFonts w:ascii="Book Antiqua" w:hAnsi="Book Antiqua"/>
          <w:bCs/>
          <w:lang w:val="en-US"/>
        </w:rPr>
        <w:t>The expression of CCL-2, also known as monocyte chemotactic protein 1, in colorectal cancer cells is strictly related to advanced tumor stage, accumulation of tumor-associated macrophages</w:t>
      </w:r>
      <w:r w:rsidR="00DE65A5" w:rsidRPr="000366BE">
        <w:rPr>
          <w:rFonts w:ascii="Book Antiqua" w:hAnsi="Book Antiqua"/>
          <w:bCs/>
          <w:lang w:val="en-US"/>
        </w:rPr>
        <w:t xml:space="preserve">, and negative </w:t>
      </w:r>
      <w:proofErr w:type="gramStart"/>
      <w:r w:rsidR="00DE65A5" w:rsidRPr="000366BE">
        <w:rPr>
          <w:rFonts w:ascii="Book Antiqua" w:hAnsi="Book Antiqua"/>
          <w:bCs/>
          <w:lang w:val="en-US"/>
        </w:rPr>
        <w:t>prognosis</w:t>
      </w:r>
      <w:r w:rsidR="00DE65A5" w:rsidRPr="000366BE">
        <w:rPr>
          <w:rFonts w:ascii="Book Antiqua" w:hAnsi="Book Antiqua"/>
          <w:bCs/>
          <w:vertAlign w:val="superscript"/>
          <w:lang w:val="en-US"/>
        </w:rPr>
        <w:t>[</w:t>
      </w:r>
      <w:proofErr w:type="gramEnd"/>
      <w:r w:rsidR="00DE65A5" w:rsidRPr="000366BE">
        <w:rPr>
          <w:rFonts w:ascii="Book Antiqua" w:hAnsi="Book Antiqua"/>
          <w:bCs/>
          <w:vertAlign w:val="superscript"/>
          <w:lang w:val="en-US"/>
        </w:rPr>
        <w:t>10,</w:t>
      </w:r>
      <w:r w:rsidRPr="000366BE">
        <w:rPr>
          <w:rFonts w:ascii="Book Antiqua" w:hAnsi="Book Antiqua"/>
          <w:bCs/>
          <w:vertAlign w:val="superscript"/>
          <w:lang w:val="en-US"/>
        </w:rPr>
        <w:t>11]</w:t>
      </w:r>
      <w:r w:rsidR="00DE65A5" w:rsidRPr="000366BE">
        <w:rPr>
          <w:rFonts w:ascii="Book Antiqua" w:hAnsi="Book Antiqua"/>
          <w:bCs/>
          <w:lang w:val="en-US"/>
        </w:rPr>
        <w:t>.</w:t>
      </w:r>
    </w:p>
    <w:p w:rsidR="000738A3" w:rsidRPr="000366BE" w:rsidRDefault="000738A3" w:rsidP="00D53342">
      <w:pPr>
        <w:adjustRightInd w:val="0"/>
        <w:snapToGrid w:val="0"/>
        <w:spacing w:line="360" w:lineRule="auto"/>
        <w:ind w:firstLineChars="100" w:firstLine="240"/>
        <w:jc w:val="both"/>
        <w:rPr>
          <w:rFonts w:ascii="Book Antiqua" w:hAnsi="Book Antiqua"/>
          <w:bCs/>
          <w:lang w:val="en-GB"/>
        </w:rPr>
      </w:pPr>
      <w:r w:rsidRPr="000366BE">
        <w:rPr>
          <w:rFonts w:ascii="Book Antiqua" w:hAnsi="Book Antiqua"/>
          <w:bCs/>
          <w:lang w:val="en-US"/>
        </w:rPr>
        <w:t>Several reports demonstrated that the releasing of CCL-5 (also known as RANTES) promotes cancer cell invasiveness and decreases antitumor immunity by recruitment of C-C chemokine receptor type 5 (CCR-5)</w:t>
      </w:r>
      <w:r w:rsidRPr="000366BE">
        <w:rPr>
          <w:rFonts w:ascii="Book Antiqua" w:hAnsi="Book Antiqua"/>
          <w:bCs/>
          <w:vertAlign w:val="superscript"/>
          <w:lang w:val="en-US"/>
        </w:rPr>
        <w:t xml:space="preserve">+ </w:t>
      </w:r>
      <w:r w:rsidR="00DE65A5" w:rsidRPr="000366BE">
        <w:rPr>
          <w:rFonts w:ascii="Book Antiqua" w:hAnsi="Book Antiqua"/>
          <w:bCs/>
          <w:lang w:val="en-US"/>
        </w:rPr>
        <w:t>T-regulatory cells</w:t>
      </w:r>
      <w:r w:rsidRPr="000366BE">
        <w:rPr>
          <w:rFonts w:ascii="Book Antiqua" w:hAnsi="Book Antiqua"/>
          <w:bCs/>
          <w:vertAlign w:val="superscript"/>
          <w:lang w:val="en-US"/>
        </w:rPr>
        <w:t>[12]</w:t>
      </w:r>
      <w:r w:rsidRPr="000366BE">
        <w:rPr>
          <w:rFonts w:ascii="Book Antiqua" w:hAnsi="Book Antiqua"/>
          <w:bCs/>
          <w:lang w:val="en-US"/>
        </w:rPr>
        <w:t xml:space="preserve">. The interaction between CCL-5 and its receptor also participates in VEGF up-regulation in the osteosarcoma </w:t>
      </w:r>
      <w:proofErr w:type="gramStart"/>
      <w:r w:rsidR="00DE65A5" w:rsidRPr="000366BE">
        <w:rPr>
          <w:rFonts w:ascii="Book Antiqua" w:hAnsi="Book Antiqua"/>
          <w:bCs/>
          <w:lang w:val="en-US"/>
        </w:rPr>
        <w:t>microenvironment</w:t>
      </w:r>
      <w:r w:rsidRPr="000366BE">
        <w:rPr>
          <w:rFonts w:ascii="Book Antiqua" w:hAnsi="Book Antiqua"/>
          <w:bCs/>
          <w:vertAlign w:val="superscript"/>
          <w:lang w:val="en-US"/>
        </w:rPr>
        <w:t>[</w:t>
      </w:r>
      <w:proofErr w:type="gramEnd"/>
      <w:r w:rsidRPr="000366BE">
        <w:rPr>
          <w:rFonts w:ascii="Book Antiqua" w:hAnsi="Book Antiqua"/>
          <w:bCs/>
          <w:vertAlign w:val="superscript"/>
          <w:lang w:val="en-US"/>
        </w:rPr>
        <w:t>13]</w:t>
      </w:r>
      <w:r w:rsidRPr="000366BE">
        <w:rPr>
          <w:rFonts w:ascii="Book Antiqua" w:hAnsi="Book Antiqua"/>
          <w:bCs/>
          <w:lang w:val="en-US"/>
        </w:rPr>
        <w:t>.</w:t>
      </w:r>
    </w:p>
    <w:p w:rsidR="000738A3" w:rsidRPr="000366BE" w:rsidRDefault="000738A3" w:rsidP="00D53342">
      <w:pPr>
        <w:autoSpaceDE w:val="0"/>
        <w:autoSpaceDN w:val="0"/>
        <w:adjustRightInd w:val="0"/>
        <w:snapToGrid w:val="0"/>
        <w:spacing w:line="360" w:lineRule="auto"/>
        <w:ind w:firstLineChars="100" w:firstLine="240"/>
        <w:jc w:val="both"/>
        <w:rPr>
          <w:rFonts w:ascii="Book Antiqua" w:hAnsi="Book Antiqua" w:cs="Verdana"/>
          <w:lang w:val="en-GB" w:eastAsia="it-IT"/>
        </w:rPr>
      </w:pPr>
      <w:r w:rsidRPr="000366BE">
        <w:rPr>
          <w:rFonts w:ascii="Book Antiqua" w:hAnsi="Book Antiqua"/>
          <w:lang w:val="en-GB"/>
        </w:rPr>
        <w:t xml:space="preserve">CCL-4 is a chemokine released by a variety of immune and epithelial cells that interacts with CCR-5 to attract macrophages, T cells and, most important, immature dendritic cells (DCs) whose presence is essential for the activation of immune response. </w:t>
      </w:r>
      <w:r w:rsidRPr="000366BE">
        <w:rPr>
          <w:rFonts w:ascii="Book Antiqua" w:hAnsi="Book Antiqua"/>
          <w:bCs/>
          <w:lang w:val="en-US"/>
        </w:rPr>
        <w:t xml:space="preserve">Unlike the two above mentioned chemokines, </w:t>
      </w:r>
      <w:r w:rsidRPr="000366BE">
        <w:rPr>
          <w:rFonts w:ascii="Book Antiqua" w:hAnsi="Book Antiqua"/>
          <w:lang w:val="en-GB"/>
        </w:rPr>
        <w:t xml:space="preserve">high serum levels of </w:t>
      </w:r>
      <w:r w:rsidRPr="000366BE">
        <w:rPr>
          <w:rFonts w:ascii="Book Antiqua" w:hAnsi="Book Antiqua"/>
          <w:bCs/>
          <w:lang w:val="en-US"/>
        </w:rPr>
        <w:t xml:space="preserve">CCL-4 in CRC patients are </w:t>
      </w:r>
      <w:r w:rsidRPr="000366BE">
        <w:rPr>
          <w:rFonts w:ascii="Book Antiqua" w:hAnsi="Book Antiqua"/>
          <w:lang w:val="en-GB"/>
        </w:rPr>
        <w:t>associated with</w:t>
      </w:r>
      <w:r w:rsidR="00DE65A5" w:rsidRPr="000366BE">
        <w:rPr>
          <w:rFonts w:ascii="Book Antiqua" w:hAnsi="Book Antiqua"/>
          <w:lang w:val="en-GB"/>
        </w:rPr>
        <w:t xml:space="preserve"> improved disease free survival</w:t>
      </w:r>
      <w:r w:rsidRPr="000366BE">
        <w:rPr>
          <w:rFonts w:ascii="Book Antiqua" w:hAnsi="Book Antiqua"/>
          <w:lang w:val="en-GB"/>
        </w:rPr>
        <w:t xml:space="preserve"> and this might be related to increased recruitment of Th</w:t>
      </w:r>
      <w:r w:rsidRPr="000366BE">
        <w:rPr>
          <w:rFonts w:ascii="Book Antiqua" w:hAnsi="Book Antiqua"/>
          <w:bCs/>
          <w:lang w:val="en-US"/>
        </w:rPr>
        <w:t>1</w:t>
      </w:r>
      <w:r w:rsidRPr="000366BE">
        <w:rPr>
          <w:rFonts w:ascii="Book Antiqua" w:hAnsi="Book Antiqua"/>
          <w:lang w:val="en-GB"/>
        </w:rPr>
        <w:t xml:space="preserve"> cells, which frequently express CCR-5</w:t>
      </w:r>
      <w:r w:rsidRPr="000366BE">
        <w:rPr>
          <w:rFonts w:ascii="Book Antiqua" w:hAnsi="Book Antiqua"/>
          <w:vertAlign w:val="superscript"/>
          <w:lang w:val="en-GB"/>
        </w:rPr>
        <w:t>[14]</w:t>
      </w:r>
      <w:r w:rsidRPr="000366BE">
        <w:rPr>
          <w:rFonts w:ascii="Book Antiqua" w:hAnsi="Book Antiqua"/>
          <w:lang w:val="en-GB"/>
        </w:rPr>
        <w:t>.</w:t>
      </w:r>
    </w:p>
    <w:p w:rsidR="00DE65A5"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In this “proof of concept” study we </w:t>
      </w:r>
      <w:proofErr w:type="spellStart"/>
      <w:r w:rsidRPr="000366BE">
        <w:rPr>
          <w:rFonts w:ascii="Book Antiqua" w:hAnsi="Book Antiqua"/>
          <w:lang w:val="en-GB"/>
        </w:rPr>
        <w:t>analyzed</w:t>
      </w:r>
      <w:proofErr w:type="spellEnd"/>
      <w:r w:rsidRPr="000366BE">
        <w:rPr>
          <w:rFonts w:ascii="Book Antiqua" w:hAnsi="Book Antiqua"/>
          <w:lang w:val="en-GB"/>
        </w:rPr>
        <w:t xml:space="preserve"> the level of all these soluble cytokines in the plasma of mCRC patients before treatment with regorafenib, with the aim to identify biomarkers potentially useful to select mCRC patients who could benefit from regorafenib therapy.</w:t>
      </w:r>
    </w:p>
    <w:p w:rsidR="00DE65A5" w:rsidRPr="000366BE" w:rsidRDefault="00DE65A5" w:rsidP="00D53342">
      <w:pPr>
        <w:adjustRightInd w:val="0"/>
        <w:snapToGrid w:val="0"/>
        <w:spacing w:line="360" w:lineRule="auto"/>
        <w:jc w:val="both"/>
        <w:rPr>
          <w:rFonts w:ascii="Book Antiqua" w:hAnsi="Book Antiqua"/>
          <w:lang w:val="en-GB"/>
        </w:rPr>
      </w:pPr>
    </w:p>
    <w:p w:rsidR="00DE65A5" w:rsidRPr="000366BE" w:rsidRDefault="00DE65A5" w:rsidP="00D53342">
      <w:pPr>
        <w:adjustRightInd w:val="0"/>
        <w:snapToGrid w:val="0"/>
        <w:spacing w:line="360" w:lineRule="auto"/>
        <w:jc w:val="both"/>
        <w:rPr>
          <w:rFonts w:ascii="Book Antiqua" w:hAnsi="Book Antiqua"/>
          <w:b/>
          <w:u w:val="single"/>
          <w:lang w:val="en-GB"/>
        </w:rPr>
      </w:pPr>
      <w:r w:rsidRPr="000366BE">
        <w:rPr>
          <w:rFonts w:ascii="Book Antiqua" w:hAnsi="Book Antiqua"/>
          <w:b/>
          <w:u w:val="single"/>
          <w:lang w:val="en-GB"/>
        </w:rPr>
        <w:t>MATERIALS AND METHODS</w:t>
      </w:r>
    </w:p>
    <w:p w:rsidR="000738A3" w:rsidRPr="000366BE" w:rsidRDefault="000738A3" w:rsidP="00D53342">
      <w:pPr>
        <w:adjustRightInd w:val="0"/>
        <w:snapToGrid w:val="0"/>
        <w:spacing w:line="360" w:lineRule="auto"/>
        <w:jc w:val="both"/>
        <w:rPr>
          <w:rFonts w:ascii="Book Antiqua" w:hAnsi="Book Antiqua"/>
          <w:b/>
          <w:i/>
          <w:lang w:val="en-GB"/>
        </w:rPr>
      </w:pPr>
      <w:r w:rsidRPr="000366BE">
        <w:rPr>
          <w:rFonts w:ascii="Book Antiqua" w:hAnsi="Book Antiqua"/>
          <w:b/>
          <w:i/>
          <w:lang w:val="en-GB"/>
        </w:rPr>
        <w:t>Study design</w:t>
      </w:r>
    </w:p>
    <w:p w:rsidR="000738A3" w:rsidRPr="000366BE" w:rsidRDefault="000738A3" w:rsidP="00D53342">
      <w:pPr>
        <w:adjustRightInd w:val="0"/>
        <w:snapToGrid w:val="0"/>
        <w:spacing w:line="360" w:lineRule="auto"/>
        <w:jc w:val="both"/>
        <w:rPr>
          <w:rFonts w:ascii="Book Antiqua" w:hAnsi="Book Antiqua"/>
          <w:shd w:val="clear" w:color="auto" w:fill="FFFFFF"/>
          <w:lang w:val="en-GB"/>
        </w:rPr>
      </w:pPr>
      <w:r w:rsidRPr="000366BE">
        <w:rPr>
          <w:rFonts w:ascii="Book Antiqua" w:hAnsi="Book Antiqua"/>
          <w:lang w:val="en-GB"/>
        </w:rPr>
        <w:t xml:space="preserve">This exploratory study was performed in a single centre. The aim of the study was to evaluate the role of specific biomarkers potentially involved in the clinical activity of regorafenib: TNF-α, TGF-β, VEGF, CCL-2, CCL-4 and CCL-5. </w:t>
      </w:r>
      <w:r w:rsidRPr="000366BE">
        <w:rPr>
          <w:rFonts w:ascii="Book Antiqua" w:eastAsia="MS Mincho" w:hAnsi="Book Antiqua"/>
          <w:lang w:val="en-GB" w:eastAsia="ja-JP"/>
        </w:rPr>
        <w:t>The selected cytokines were measured at baseline as described below</w:t>
      </w:r>
      <w:r w:rsidRPr="000366BE">
        <w:rPr>
          <w:rFonts w:ascii="Book Antiqua" w:hAnsi="Book Antiqua"/>
          <w:lang w:val="en-GB"/>
        </w:rPr>
        <w:t xml:space="preserve"> and the clinical outcome of each patient was correlated to the cytokines profile. </w:t>
      </w:r>
      <w:r w:rsidRPr="000366BE">
        <w:rPr>
          <w:rFonts w:ascii="Book Antiqua" w:hAnsi="Book Antiqua"/>
          <w:shd w:val="clear" w:color="auto" w:fill="FFFFFF"/>
          <w:lang w:val="en-GB"/>
        </w:rPr>
        <w:t>Six healthy volunteers (2 men a</w:t>
      </w:r>
      <w:r w:rsidR="00DE65A5" w:rsidRPr="000366BE">
        <w:rPr>
          <w:rFonts w:ascii="Book Antiqua" w:hAnsi="Book Antiqua"/>
          <w:shd w:val="clear" w:color="auto" w:fill="FFFFFF"/>
          <w:lang w:val="en-GB"/>
        </w:rPr>
        <w:t xml:space="preserve">nd 4 women) were also </w:t>
      </w:r>
      <w:proofErr w:type="spellStart"/>
      <w:r w:rsidR="00DE65A5" w:rsidRPr="000366BE">
        <w:rPr>
          <w:rFonts w:ascii="Book Antiqua" w:hAnsi="Book Antiqua"/>
          <w:shd w:val="clear" w:color="auto" w:fill="FFFFFF"/>
          <w:lang w:val="en-GB"/>
        </w:rPr>
        <w:t>analyzed</w:t>
      </w:r>
      <w:proofErr w:type="spellEnd"/>
      <w:r w:rsidR="00DE65A5" w:rsidRPr="000366BE">
        <w:rPr>
          <w:rFonts w:ascii="Book Antiqua" w:hAnsi="Book Antiqua"/>
          <w:shd w:val="clear" w:color="auto" w:fill="FFFFFF"/>
          <w:lang w:val="en-GB"/>
        </w:rPr>
        <w:t xml:space="preserve">. </w:t>
      </w:r>
      <w:r w:rsidRPr="000366BE">
        <w:rPr>
          <w:rFonts w:ascii="Book Antiqua" w:hAnsi="Book Antiqua"/>
          <w:shd w:val="clear" w:color="auto" w:fill="FFFFFF"/>
          <w:lang w:val="en-GB"/>
        </w:rPr>
        <w:t xml:space="preserve">Patients were treated following standard clinical practice and followed accordingly. </w:t>
      </w:r>
    </w:p>
    <w:p w:rsidR="000738A3" w:rsidRPr="000366BE" w:rsidRDefault="000738A3" w:rsidP="00D53342">
      <w:pPr>
        <w:adjustRightInd w:val="0"/>
        <w:snapToGrid w:val="0"/>
        <w:spacing w:line="360" w:lineRule="auto"/>
        <w:ind w:firstLineChars="100" w:firstLine="240"/>
        <w:jc w:val="both"/>
        <w:rPr>
          <w:rFonts w:ascii="Book Antiqua" w:eastAsia="MS Mincho" w:hAnsi="Book Antiqua"/>
          <w:lang w:val="en-GB" w:eastAsia="ja-JP"/>
        </w:rPr>
      </w:pPr>
      <w:r w:rsidRPr="000366BE">
        <w:rPr>
          <w:rFonts w:ascii="Book Antiqua" w:hAnsi="Book Antiqua"/>
          <w:lang w:val="en-GB"/>
        </w:rPr>
        <w:t xml:space="preserve">All enrolled patients </w:t>
      </w:r>
      <w:r w:rsidRPr="000366BE">
        <w:rPr>
          <w:rFonts w:ascii="Book Antiqua" w:hAnsi="Book Antiqua"/>
          <w:shd w:val="clear" w:color="auto" w:fill="FFFFFF"/>
          <w:lang w:val="en-GB"/>
        </w:rPr>
        <w:t>signed an informed consent for the storage and analysis of their biological material</w:t>
      </w:r>
      <w:r w:rsidRPr="000366BE">
        <w:rPr>
          <w:rFonts w:ascii="Book Antiqua" w:hAnsi="Book Antiqua"/>
          <w:lang w:val="en-GB"/>
        </w:rPr>
        <w:t xml:space="preserve"> approved by the local ethical committee (</w:t>
      </w:r>
      <w:proofErr w:type="spellStart"/>
      <w:r w:rsidRPr="000366BE">
        <w:rPr>
          <w:rFonts w:ascii="Book Antiqua" w:hAnsi="Book Antiqua"/>
          <w:lang w:val="en-GB"/>
        </w:rPr>
        <w:t>prot</w:t>
      </w:r>
      <w:proofErr w:type="spellEnd"/>
      <w:r w:rsidRPr="000366BE">
        <w:rPr>
          <w:rFonts w:ascii="Book Antiqua" w:hAnsi="Book Antiqua"/>
          <w:lang w:val="en-GB"/>
        </w:rPr>
        <w:t xml:space="preserve"> n° 24347; August</w:t>
      </w:r>
      <w:r w:rsidR="00DE65A5" w:rsidRPr="000366BE">
        <w:rPr>
          <w:rFonts w:ascii="Book Antiqua" w:hAnsi="Book Antiqua"/>
          <w:lang w:val="en-GB"/>
        </w:rPr>
        <w:t xml:space="preserve"> 7, </w:t>
      </w:r>
      <w:r w:rsidRPr="000366BE">
        <w:rPr>
          <w:rFonts w:ascii="Book Antiqua" w:hAnsi="Book Antiqua"/>
          <w:lang w:val="en-GB"/>
        </w:rPr>
        <w:t>2015).</w:t>
      </w:r>
    </w:p>
    <w:p w:rsidR="000738A3" w:rsidRPr="000366BE" w:rsidRDefault="000738A3" w:rsidP="00D53342">
      <w:pPr>
        <w:adjustRightInd w:val="0"/>
        <w:snapToGrid w:val="0"/>
        <w:spacing w:line="360" w:lineRule="auto"/>
        <w:jc w:val="both"/>
        <w:rPr>
          <w:rFonts w:ascii="Book Antiqua" w:hAnsi="Book Antiqua"/>
          <w:b/>
          <w:lang w:val="en-GB"/>
        </w:rPr>
      </w:pPr>
    </w:p>
    <w:p w:rsidR="000738A3" w:rsidRPr="000366BE" w:rsidRDefault="000738A3" w:rsidP="00D53342">
      <w:pPr>
        <w:adjustRightInd w:val="0"/>
        <w:snapToGrid w:val="0"/>
        <w:spacing w:line="360" w:lineRule="auto"/>
        <w:jc w:val="both"/>
        <w:rPr>
          <w:rFonts w:ascii="Book Antiqua" w:hAnsi="Book Antiqua"/>
          <w:b/>
          <w:i/>
          <w:lang w:val="en-GB"/>
        </w:rPr>
      </w:pPr>
      <w:r w:rsidRPr="000366BE">
        <w:rPr>
          <w:rFonts w:ascii="Book Antiqua" w:hAnsi="Book Antiqua"/>
          <w:b/>
          <w:i/>
          <w:lang w:val="en-GB"/>
        </w:rPr>
        <w:t>Blood samples</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 xml:space="preserve">We enrolled in the present study 17 mCRC patients treated at the Oncology Department, S. Croce </w:t>
      </w:r>
      <w:r w:rsidR="00DE65A5" w:rsidRPr="000366BE">
        <w:rPr>
          <w:rFonts w:ascii="Book Antiqua" w:hAnsi="Book Antiqua"/>
          <w:lang w:val="en-GB"/>
        </w:rPr>
        <w:t>and</w:t>
      </w:r>
      <w:r w:rsidRPr="000366BE">
        <w:rPr>
          <w:rFonts w:ascii="Book Antiqua" w:hAnsi="Book Antiqua"/>
          <w:lang w:val="en-GB"/>
        </w:rPr>
        <w:t xml:space="preserve"> Carle Teaching Hospital in Cuneo from April 2016 to June 2018. </w:t>
      </w:r>
      <w:r w:rsidRPr="000366BE">
        <w:rPr>
          <w:rFonts w:ascii="Book Antiqua" w:hAnsi="Book Antiqua"/>
          <w:shd w:val="clear" w:color="auto" w:fill="FFFFFF"/>
          <w:lang w:val="en-GB"/>
        </w:rPr>
        <w:t xml:space="preserve">All patients received 160 mg regorafenib </w:t>
      </w:r>
      <w:r w:rsidRPr="000366BE">
        <w:rPr>
          <w:rFonts w:ascii="Book Antiqua" w:hAnsi="Book Antiqua"/>
          <w:lang w:val="en-GB"/>
        </w:rPr>
        <w:t xml:space="preserve">once a day for 3 </w:t>
      </w:r>
      <w:proofErr w:type="spellStart"/>
      <w:r w:rsidRPr="000366BE">
        <w:rPr>
          <w:rFonts w:ascii="Book Antiqua" w:hAnsi="Book Antiqua"/>
          <w:lang w:val="en-GB"/>
        </w:rPr>
        <w:t>w</w:t>
      </w:r>
      <w:r w:rsidR="00DE65A5" w:rsidRPr="000366BE">
        <w:rPr>
          <w:rFonts w:ascii="Book Antiqua" w:hAnsi="Book Antiqua"/>
          <w:lang w:val="en-GB"/>
        </w:rPr>
        <w:t>k</w:t>
      </w:r>
      <w:proofErr w:type="spellEnd"/>
      <w:r w:rsidR="00DE65A5" w:rsidRPr="000366BE">
        <w:rPr>
          <w:rFonts w:ascii="Book Antiqua" w:hAnsi="Book Antiqua"/>
          <w:lang w:val="en-GB"/>
        </w:rPr>
        <w:t xml:space="preserve">, followed by 1 </w:t>
      </w:r>
      <w:proofErr w:type="spellStart"/>
      <w:r w:rsidR="00DE65A5" w:rsidRPr="000366BE">
        <w:rPr>
          <w:rFonts w:ascii="Book Antiqua" w:hAnsi="Book Antiqua"/>
          <w:lang w:val="en-GB"/>
        </w:rPr>
        <w:t>w</w:t>
      </w:r>
      <w:r w:rsidRPr="000366BE">
        <w:rPr>
          <w:rFonts w:ascii="Book Antiqua" w:hAnsi="Book Antiqua"/>
          <w:lang w:val="en-GB"/>
        </w:rPr>
        <w:t>k</w:t>
      </w:r>
      <w:proofErr w:type="spellEnd"/>
      <w:r w:rsidRPr="000366BE">
        <w:rPr>
          <w:rFonts w:ascii="Book Antiqua" w:hAnsi="Book Antiqua"/>
          <w:lang w:val="en-GB"/>
        </w:rPr>
        <w:t xml:space="preserve"> treatment free. </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Blood samples were collected into EDTA vacutainer tubes</w:t>
      </w:r>
      <w:r w:rsidRPr="000366BE" w:rsidDel="00727A52">
        <w:rPr>
          <w:rFonts w:ascii="Book Antiqua" w:hAnsi="Book Antiqua"/>
          <w:lang w:val="en-GB"/>
        </w:rPr>
        <w:t xml:space="preserve"> </w:t>
      </w:r>
      <w:r w:rsidRPr="000366BE">
        <w:rPr>
          <w:rFonts w:ascii="Book Antiqua" w:hAnsi="Book Antiqua"/>
          <w:lang w:val="en-GB"/>
        </w:rPr>
        <w:t>at baseline immediately before the first administration of regorafenib. Plasma samples were obtained through centrifugation step and</w:t>
      </w:r>
      <w:r w:rsidRPr="000366BE">
        <w:rPr>
          <w:rFonts w:ascii="Book Antiqua" w:hAnsi="Book Antiqua"/>
          <w:shd w:val="clear" w:color="auto" w:fill="FFFFFF"/>
          <w:lang w:val="en-GB"/>
        </w:rPr>
        <w:t xml:space="preserve"> </w:t>
      </w:r>
      <w:r w:rsidRPr="000366BE">
        <w:rPr>
          <w:rFonts w:ascii="Book Antiqua" w:hAnsi="Book Antiqua"/>
          <w:lang w:val="en-GB"/>
        </w:rPr>
        <w:t xml:space="preserve">stored in aliquots </w:t>
      </w:r>
      <w:r w:rsidRPr="000366BE">
        <w:rPr>
          <w:rFonts w:ascii="Book Antiqua" w:hAnsi="Book Antiqua"/>
          <w:shd w:val="clear" w:color="auto" w:fill="FFFFFF"/>
          <w:lang w:val="en-GB"/>
        </w:rPr>
        <w:t>at −80</w:t>
      </w:r>
      <w:r w:rsidRPr="000366BE">
        <w:rPr>
          <w:shd w:val="clear" w:color="auto" w:fill="FFFFFF"/>
          <w:lang w:val="en-GB"/>
        </w:rPr>
        <w:t> </w:t>
      </w:r>
      <w:r w:rsidRPr="000366BE">
        <w:rPr>
          <w:rFonts w:ascii="Book Antiqua" w:hAnsi="Book Antiqua" w:cs="Book Antiqua"/>
          <w:shd w:val="clear" w:color="auto" w:fill="FFFFFF"/>
          <w:lang w:val="en-GB"/>
        </w:rPr>
        <w:t>°</w:t>
      </w:r>
      <w:r w:rsidRPr="000366BE">
        <w:rPr>
          <w:rFonts w:ascii="Book Antiqua" w:hAnsi="Book Antiqua"/>
          <w:shd w:val="clear" w:color="auto" w:fill="FFFFFF"/>
          <w:lang w:val="en-GB"/>
        </w:rPr>
        <w:t xml:space="preserve">C </w:t>
      </w:r>
      <w:r w:rsidRPr="000366BE">
        <w:rPr>
          <w:rFonts w:ascii="Book Antiqua" w:hAnsi="Book Antiqua"/>
          <w:lang w:val="en-GB"/>
        </w:rPr>
        <w:t xml:space="preserve">in the Biobank of the Oncology Department </w:t>
      </w:r>
      <w:r w:rsidRPr="000366BE">
        <w:rPr>
          <w:rFonts w:ascii="Book Antiqua" w:hAnsi="Book Antiqua"/>
          <w:shd w:val="clear" w:color="auto" w:fill="FFFFFF"/>
          <w:lang w:val="en-GB"/>
        </w:rPr>
        <w:t>until use.</w:t>
      </w:r>
    </w:p>
    <w:p w:rsidR="000738A3" w:rsidRPr="000366BE" w:rsidRDefault="000738A3" w:rsidP="00D53342">
      <w:pPr>
        <w:adjustRightInd w:val="0"/>
        <w:snapToGrid w:val="0"/>
        <w:spacing w:line="360" w:lineRule="auto"/>
        <w:jc w:val="both"/>
        <w:rPr>
          <w:rFonts w:ascii="Book Antiqua" w:hAnsi="Book Antiqua"/>
          <w:lang w:val="en-GB"/>
        </w:rPr>
      </w:pPr>
    </w:p>
    <w:p w:rsidR="000738A3" w:rsidRPr="000366BE" w:rsidRDefault="000738A3" w:rsidP="00D53342">
      <w:pPr>
        <w:adjustRightInd w:val="0"/>
        <w:snapToGrid w:val="0"/>
        <w:spacing w:line="360" w:lineRule="auto"/>
        <w:jc w:val="both"/>
        <w:rPr>
          <w:rFonts w:ascii="Book Antiqua" w:hAnsi="Book Antiqua"/>
          <w:b/>
          <w:i/>
          <w:shd w:val="clear" w:color="auto" w:fill="FFFFFF"/>
          <w:lang w:val="en-GB"/>
        </w:rPr>
      </w:pPr>
      <w:r w:rsidRPr="000366BE">
        <w:rPr>
          <w:rFonts w:ascii="Book Antiqua" w:hAnsi="Book Antiqua"/>
          <w:b/>
          <w:i/>
          <w:shd w:val="clear" w:color="auto" w:fill="FFFFFF"/>
          <w:lang w:val="en-GB"/>
        </w:rPr>
        <w:t>Patient characteristics</w:t>
      </w:r>
    </w:p>
    <w:p w:rsidR="000738A3" w:rsidRPr="000366BE" w:rsidRDefault="000738A3" w:rsidP="00D53342">
      <w:pPr>
        <w:adjustRightInd w:val="0"/>
        <w:snapToGrid w:val="0"/>
        <w:spacing w:line="360" w:lineRule="auto"/>
        <w:jc w:val="both"/>
        <w:rPr>
          <w:rFonts w:ascii="Book Antiqua" w:hAnsi="Book Antiqua"/>
          <w:shd w:val="clear" w:color="auto" w:fill="FFFFFF"/>
          <w:lang w:val="en-GB"/>
        </w:rPr>
      </w:pPr>
      <w:r w:rsidRPr="000366BE">
        <w:rPr>
          <w:rFonts w:ascii="Book Antiqua" w:hAnsi="Book Antiqua"/>
          <w:shd w:val="clear" w:color="auto" w:fill="FFFFFF"/>
          <w:lang w:val="en-GB"/>
        </w:rPr>
        <w:t xml:space="preserve">The mCRC cohort consisted of 53% males and 47% females. Median age was 63 (52 to 77 years). </w:t>
      </w:r>
      <w:r w:rsidRPr="000366BE">
        <w:rPr>
          <w:rFonts w:ascii="Book Antiqua" w:hAnsi="Book Antiqua"/>
          <w:lang w:val="en-GB"/>
        </w:rPr>
        <w:t xml:space="preserve">In 53% of the cases, the tumour was located in the colon (3 right </w:t>
      </w:r>
      <w:proofErr w:type="gramStart"/>
      <w:r w:rsidRPr="000366BE">
        <w:rPr>
          <w:rFonts w:ascii="Book Antiqua" w:hAnsi="Book Antiqua"/>
          <w:lang w:val="en-GB"/>
        </w:rPr>
        <w:t>colon</w:t>
      </w:r>
      <w:proofErr w:type="gramEnd"/>
      <w:r w:rsidRPr="000366BE">
        <w:rPr>
          <w:rFonts w:ascii="Book Antiqua" w:hAnsi="Book Antiqua"/>
          <w:lang w:val="en-GB"/>
        </w:rPr>
        <w:t xml:space="preserve"> and 6 left colon) and in 47% in the rectum</w:t>
      </w:r>
      <w:r w:rsidRPr="000366BE">
        <w:rPr>
          <w:rFonts w:ascii="Book Antiqua" w:hAnsi="Book Antiqua"/>
          <w:shd w:val="clear" w:color="auto" w:fill="FFFFFF"/>
          <w:lang w:val="en-GB"/>
        </w:rPr>
        <w:t>.</w:t>
      </w:r>
    </w:p>
    <w:p w:rsidR="000738A3" w:rsidRPr="000366BE" w:rsidRDefault="000738A3" w:rsidP="00D53342">
      <w:pPr>
        <w:adjustRightInd w:val="0"/>
        <w:snapToGrid w:val="0"/>
        <w:spacing w:line="360" w:lineRule="auto"/>
        <w:ind w:firstLineChars="100" w:firstLine="240"/>
        <w:jc w:val="both"/>
        <w:rPr>
          <w:rFonts w:ascii="Book Antiqua" w:hAnsi="Book Antiqua"/>
          <w:shd w:val="clear" w:color="auto" w:fill="FFFFFF"/>
          <w:lang w:val="en-GB"/>
        </w:rPr>
      </w:pPr>
      <w:r w:rsidRPr="000366BE">
        <w:rPr>
          <w:rFonts w:ascii="Book Antiqua" w:hAnsi="Book Antiqua"/>
          <w:shd w:val="clear" w:color="auto" w:fill="FFFFFF"/>
          <w:lang w:val="en-GB"/>
        </w:rPr>
        <w:t xml:space="preserve">The mCRC group included 82% of patients at third-line treatment, 12% of patients at fourth-line treatment, and 6% of patients at fifth-line treatment line. </w:t>
      </w:r>
      <w:r w:rsidRPr="000366BE">
        <w:rPr>
          <w:rFonts w:ascii="Book Antiqua" w:hAnsi="Book Antiqua"/>
          <w:lang w:val="en-GB"/>
        </w:rPr>
        <w:t xml:space="preserve">RAS mutations were detected in </w:t>
      </w:r>
      <w:r w:rsidR="00FE4C46" w:rsidRPr="000366BE">
        <w:rPr>
          <w:rFonts w:ascii="Book Antiqua" w:hAnsi="Book Antiqua"/>
          <w:shd w:val="clear" w:color="auto" w:fill="FFFFFF"/>
          <w:lang w:val="en-GB"/>
        </w:rPr>
        <w:t xml:space="preserve">76% of the cases. </w:t>
      </w:r>
      <w:r w:rsidRPr="000366BE">
        <w:rPr>
          <w:rFonts w:ascii="Book Antiqua" w:hAnsi="Book Antiqua"/>
          <w:shd w:val="clear" w:color="auto" w:fill="FFFFFF"/>
          <w:lang w:val="en-GB"/>
        </w:rPr>
        <w:t>Patients’</w:t>
      </w:r>
      <w:r w:rsidR="00DE65A5" w:rsidRPr="000366BE">
        <w:rPr>
          <w:rFonts w:ascii="Book Antiqua" w:hAnsi="Book Antiqua"/>
          <w:shd w:val="clear" w:color="auto" w:fill="FFFFFF"/>
          <w:lang w:val="en-GB"/>
        </w:rPr>
        <w:t xml:space="preserve"> </w:t>
      </w:r>
      <w:r w:rsidRPr="000366BE">
        <w:rPr>
          <w:rFonts w:ascii="Book Antiqua" w:hAnsi="Book Antiqua"/>
          <w:shd w:val="clear" w:color="auto" w:fill="FFFFFF"/>
          <w:lang w:val="en-GB"/>
        </w:rPr>
        <w:t>main characteristics are reported in Table 1.</w:t>
      </w:r>
    </w:p>
    <w:p w:rsidR="000738A3" w:rsidRPr="000366BE" w:rsidRDefault="000738A3" w:rsidP="00D53342">
      <w:pPr>
        <w:adjustRightInd w:val="0"/>
        <w:snapToGrid w:val="0"/>
        <w:spacing w:line="360" w:lineRule="auto"/>
        <w:jc w:val="both"/>
        <w:rPr>
          <w:rFonts w:ascii="Book Antiqua" w:hAnsi="Book Antiqua"/>
          <w:shd w:val="clear" w:color="auto" w:fill="FFFFFF"/>
          <w:lang w:val="en-GB"/>
        </w:rPr>
      </w:pPr>
    </w:p>
    <w:p w:rsidR="000738A3" w:rsidRPr="000366BE" w:rsidRDefault="000738A3" w:rsidP="00D53342">
      <w:pPr>
        <w:adjustRightInd w:val="0"/>
        <w:snapToGrid w:val="0"/>
        <w:spacing w:line="360" w:lineRule="auto"/>
        <w:jc w:val="both"/>
        <w:rPr>
          <w:rFonts w:ascii="Book Antiqua" w:hAnsi="Book Antiqua"/>
          <w:b/>
          <w:i/>
          <w:lang w:val="en-GB"/>
        </w:rPr>
      </w:pPr>
      <w:r w:rsidRPr="000366BE">
        <w:rPr>
          <w:rFonts w:ascii="Book Antiqua" w:hAnsi="Book Antiqua"/>
          <w:b/>
          <w:i/>
          <w:lang w:val="en-GB"/>
        </w:rPr>
        <w:t>Analysis method</w:t>
      </w:r>
    </w:p>
    <w:p w:rsidR="000738A3" w:rsidRPr="000366BE" w:rsidRDefault="000738A3" w:rsidP="00D53342">
      <w:pPr>
        <w:adjustRightInd w:val="0"/>
        <w:snapToGrid w:val="0"/>
        <w:spacing w:line="360" w:lineRule="auto"/>
        <w:jc w:val="both"/>
        <w:rPr>
          <w:rFonts w:ascii="Book Antiqua" w:hAnsi="Book Antiqua"/>
          <w:b/>
          <w:i/>
          <w:lang w:val="en-GB"/>
        </w:rPr>
      </w:pPr>
      <w:r w:rsidRPr="000366BE">
        <w:rPr>
          <w:rFonts w:ascii="Book Antiqua" w:hAnsi="Book Antiqua"/>
          <w:lang w:val="en-GB"/>
        </w:rPr>
        <w:t>Plasma levels of six cytokines were evaluated with ELISA kits from R</w:t>
      </w:r>
      <w:r w:rsidR="00DE65A5" w:rsidRPr="000366BE">
        <w:rPr>
          <w:rFonts w:ascii="Book Antiqua" w:hAnsi="Book Antiqua"/>
          <w:lang w:val="en-GB"/>
        </w:rPr>
        <w:t xml:space="preserve"> and </w:t>
      </w:r>
      <w:r w:rsidRPr="000366BE">
        <w:rPr>
          <w:rFonts w:ascii="Book Antiqua" w:hAnsi="Book Antiqua"/>
          <w:lang w:val="en-GB"/>
        </w:rPr>
        <w:t xml:space="preserve">D Systems (TNF-α, TGF-β, VEGF, CCL-4 and CCL-5) and Invitrogen (CCL-2). For TGF-β analysis, the samples were incubated with 1 N HCL for 10 min followed by with 1.2 N </w:t>
      </w:r>
      <w:proofErr w:type="spellStart"/>
      <w:r w:rsidRPr="000366BE">
        <w:rPr>
          <w:rFonts w:ascii="Book Antiqua" w:hAnsi="Book Antiqua"/>
          <w:lang w:val="en-GB"/>
        </w:rPr>
        <w:t>NaOH</w:t>
      </w:r>
      <w:proofErr w:type="spellEnd"/>
      <w:r w:rsidRPr="000366BE">
        <w:rPr>
          <w:rFonts w:ascii="Book Antiqua" w:hAnsi="Book Antiqua"/>
          <w:lang w:val="en-GB"/>
        </w:rPr>
        <w:t xml:space="preserve">/0.5 </w:t>
      </w:r>
      <w:proofErr w:type="spellStart"/>
      <w:r w:rsidR="0072672F" w:rsidRPr="000366BE">
        <w:rPr>
          <w:rFonts w:ascii="Book Antiqua" w:eastAsia="宋体" w:hAnsi="Book Antiqua" w:hint="eastAsia"/>
          <w:lang w:val="en-GB" w:eastAsia="zh-CN"/>
        </w:rPr>
        <w:t>mol</w:t>
      </w:r>
      <w:proofErr w:type="spellEnd"/>
      <w:r w:rsidR="0072672F" w:rsidRPr="000366BE">
        <w:rPr>
          <w:rFonts w:ascii="Book Antiqua" w:eastAsia="宋体" w:hAnsi="Book Antiqua" w:hint="eastAsia"/>
          <w:lang w:val="en-GB" w:eastAsia="zh-CN"/>
        </w:rPr>
        <w:t>/L</w:t>
      </w:r>
      <w:r w:rsidRPr="000366BE">
        <w:rPr>
          <w:rFonts w:ascii="Book Antiqua" w:hAnsi="Book Antiqua"/>
          <w:lang w:val="en-GB"/>
        </w:rPr>
        <w:t xml:space="preserve"> HEPES prior to perform the assay, in order to activate the latent TGF-β to the </w:t>
      </w:r>
      <w:proofErr w:type="spellStart"/>
      <w:r w:rsidRPr="000366BE">
        <w:rPr>
          <w:rFonts w:ascii="Book Antiqua" w:hAnsi="Book Antiqua"/>
          <w:lang w:val="en-GB"/>
        </w:rPr>
        <w:t>immunoreactive</w:t>
      </w:r>
      <w:proofErr w:type="spellEnd"/>
      <w:r w:rsidRPr="000366BE">
        <w:rPr>
          <w:rFonts w:ascii="Book Antiqua" w:hAnsi="Book Antiqua"/>
          <w:lang w:val="en-GB"/>
        </w:rPr>
        <w:t xml:space="preserve"> form. The ELISA assay employs the quantitative sandwich enzyme immunoassay technique. Analysis was performed according to the manufacturer's protocol. In brief, 100 </w:t>
      </w:r>
      <w:proofErr w:type="spellStart"/>
      <w:r w:rsidRPr="000366BE">
        <w:rPr>
          <w:rFonts w:ascii="Book Antiqua" w:hAnsi="Book Antiqua"/>
          <w:lang w:val="en-GB"/>
        </w:rPr>
        <w:t>μL</w:t>
      </w:r>
      <w:proofErr w:type="spellEnd"/>
      <w:r w:rsidRPr="000366BE">
        <w:rPr>
          <w:rFonts w:ascii="Book Antiqua" w:hAnsi="Book Antiqua"/>
          <w:lang w:val="en-GB"/>
        </w:rPr>
        <w:t xml:space="preserve"> of sample was used and incubated for two hours in a 96 well plate, coated with antibody against each cytokine. After washing, 200 </w:t>
      </w:r>
      <w:proofErr w:type="spellStart"/>
      <w:r w:rsidRPr="000366BE">
        <w:rPr>
          <w:rFonts w:ascii="Book Antiqua" w:hAnsi="Book Antiqua"/>
          <w:lang w:val="en-GB"/>
        </w:rPr>
        <w:t>μL</w:t>
      </w:r>
      <w:proofErr w:type="spellEnd"/>
      <w:r w:rsidRPr="000366BE">
        <w:rPr>
          <w:rFonts w:ascii="Book Antiqua" w:hAnsi="Book Antiqua"/>
          <w:lang w:val="en-GB"/>
        </w:rPr>
        <w:t xml:space="preserve"> of horseradish peroxidise-conjugated antibody was added to each well and incubated for one/two hours. After further washing, a substrate solution was added. Optical density was determined by reading the absorbance with a plate reader (</w:t>
      </w:r>
      <w:proofErr w:type="spellStart"/>
      <w:r w:rsidRPr="000366BE">
        <w:rPr>
          <w:rFonts w:ascii="Book Antiqua" w:hAnsi="Book Antiqua"/>
          <w:lang w:val="en-GB"/>
        </w:rPr>
        <w:t>Multiscan</w:t>
      </w:r>
      <w:proofErr w:type="spellEnd"/>
      <w:r w:rsidRPr="000366BE">
        <w:rPr>
          <w:rFonts w:ascii="Book Antiqua" w:hAnsi="Book Antiqua"/>
          <w:lang w:val="en-GB"/>
        </w:rPr>
        <w:t xml:space="preserve"> Ascent, </w:t>
      </w:r>
      <w:proofErr w:type="spellStart"/>
      <w:r w:rsidRPr="000366BE">
        <w:rPr>
          <w:rFonts w:ascii="Book Antiqua" w:hAnsi="Book Antiqua"/>
          <w:lang w:val="en-GB"/>
        </w:rPr>
        <w:t>Thermo</w:t>
      </w:r>
      <w:proofErr w:type="spellEnd"/>
      <w:r w:rsidRPr="000366BE">
        <w:rPr>
          <w:rFonts w:ascii="Book Antiqua" w:hAnsi="Book Antiqua"/>
          <w:lang w:val="en-GB"/>
        </w:rPr>
        <w:t xml:space="preserve"> fisher</w:t>
      </w:r>
      <w:r w:rsidRPr="000366BE">
        <w:rPr>
          <w:rFonts w:ascii="Book Antiqua" w:hAnsi="Book Antiqua"/>
          <w:vertAlign w:val="superscript"/>
          <w:lang w:val="en-GB"/>
        </w:rPr>
        <w:t>®</w:t>
      </w:r>
      <w:r w:rsidRPr="000366BE">
        <w:rPr>
          <w:rFonts w:ascii="Book Antiqua" w:hAnsi="Book Antiqua"/>
          <w:lang w:val="en-GB"/>
        </w:rPr>
        <w:t xml:space="preserve">) at 450 nm. Patient samples, standards and controls were assayed in triplicate, and the average values were recorded. The protein concentrations were expressed in </w:t>
      </w:r>
      <w:proofErr w:type="spellStart"/>
      <w:r w:rsidRPr="000366BE">
        <w:rPr>
          <w:rFonts w:ascii="Book Antiqua" w:hAnsi="Book Antiqua"/>
          <w:lang w:val="en-GB"/>
        </w:rPr>
        <w:t>pg</w:t>
      </w:r>
      <w:proofErr w:type="spellEnd"/>
      <w:r w:rsidRPr="000366BE">
        <w:rPr>
          <w:rFonts w:ascii="Book Antiqua" w:hAnsi="Book Antiqua"/>
          <w:lang w:val="en-GB"/>
        </w:rPr>
        <w:t>/</w:t>
      </w:r>
      <w:proofErr w:type="spellStart"/>
      <w:r w:rsidRPr="000366BE">
        <w:rPr>
          <w:rFonts w:ascii="Book Antiqua" w:hAnsi="Book Antiqua"/>
          <w:lang w:val="en-GB"/>
        </w:rPr>
        <w:t>mL.</w:t>
      </w:r>
      <w:proofErr w:type="spellEnd"/>
      <w:r w:rsidRPr="000366BE">
        <w:rPr>
          <w:rFonts w:ascii="Book Antiqua" w:hAnsi="Book Antiqua"/>
          <w:lang w:val="en-GB"/>
        </w:rPr>
        <w:t xml:space="preserve"> CCL-2 was evaluated with uncoated ELISA using Corning </w:t>
      </w:r>
      <w:proofErr w:type="spellStart"/>
      <w:r w:rsidRPr="000366BE">
        <w:rPr>
          <w:rFonts w:ascii="Book Antiqua" w:hAnsi="Book Antiqua"/>
          <w:lang w:val="en-GB"/>
        </w:rPr>
        <w:t>Costar</w:t>
      </w:r>
      <w:proofErr w:type="spellEnd"/>
      <w:r w:rsidRPr="000366BE">
        <w:rPr>
          <w:rFonts w:ascii="Book Antiqua" w:hAnsi="Book Antiqua"/>
          <w:lang w:val="en-GB"/>
        </w:rPr>
        <w:t xml:space="preserve"> 9018 plates. Plates were incubated overnight at 4°C with the capture antibody anti-human CCL-2 overnight 4 °C. The assay was then carried out as described above.</w:t>
      </w:r>
    </w:p>
    <w:p w:rsidR="000738A3" w:rsidRPr="000366BE" w:rsidRDefault="000738A3" w:rsidP="00D53342">
      <w:pPr>
        <w:adjustRightInd w:val="0"/>
        <w:snapToGrid w:val="0"/>
        <w:spacing w:line="360" w:lineRule="auto"/>
        <w:jc w:val="both"/>
        <w:rPr>
          <w:rFonts w:ascii="Book Antiqua" w:hAnsi="Book Antiqua"/>
          <w:b/>
          <w:lang w:val="en-GB"/>
        </w:rPr>
      </w:pPr>
    </w:p>
    <w:p w:rsidR="000738A3" w:rsidRPr="000366BE" w:rsidRDefault="00DE65A5" w:rsidP="00D53342">
      <w:pPr>
        <w:adjustRightInd w:val="0"/>
        <w:snapToGrid w:val="0"/>
        <w:spacing w:line="360" w:lineRule="auto"/>
        <w:jc w:val="both"/>
        <w:rPr>
          <w:rFonts w:ascii="Book Antiqua" w:hAnsi="Book Antiqua"/>
          <w:b/>
          <w:i/>
          <w:lang w:val="en-GB"/>
        </w:rPr>
      </w:pPr>
      <w:r w:rsidRPr="000366BE">
        <w:rPr>
          <w:rFonts w:ascii="Book Antiqua" w:hAnsi="Book Antiqua"/>
          <w:b/>
          <w:i/>
          <w:lang w:val="en-GB"/>
        </w:rPr>
        <w:t>Statistical analysis</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 xml:space="preserve">Differences in the medians were tested by the Mann–Whitney </w:t>
      </w:r>
      <w:r w:rsidRPr="000366BE">
        <w:rPr>
          <w:rFonts w:ascii="Book Antiqua" w:hAnsi="Book Antiqua"/>
          <w:i/>
          <w:iCs/>
          <w:lang w:val="en-GB"/>
        </w:rPr>
        <w:t>U</w:t>
      </w:r>
      <w:r w:rsidRPr="000366BE">
        <w:rPr>
          <w:rFonts w:ascii="Book Antiqua" w:hAnsi="Book Antiqua"/>
          <w:lang w:val="en-GB"/>
        </w:rPr>
        <w:t xml:space="preserve"> test. In order to find the optimal cut-off point at baseline, which might help in predicting survival, the receiver operating characteristic curve (ROC) analysis was performed. The cut-off was defined as the point on the ROC curve with the largest average sensitivity and specificity. Subgroups divided using the cut-off </w:t>
      </w:r>
      <w:proofErr w:type="gramStart"/>
      <w:r w:rsidRPr="000366BE">
        <w:rPr>
          <w:rFonts w:ascii="Book Antiqua" w:hAnsi="Book Antiqua"/>
          <w:lang w:val="en-GB"/>
        </w:rPr>
        <w:t>value were</w:t>
      </w:r>
      <w:proofErr w:type="gramEnd"/>
      <w:r w:rsidRPr="000366BE">
        <w:rPr>
          <w:rFonts w:ascii="Book Antiqua" w:hAnsi="Book Antiqua"/>
          <w:lang w:val="en-GB"/>
        </w:rPr>
        <w:t xml:space="preserve"> compared for PFS and OS. PFS was defined as the interval between the date of starting regorafenib treatment and the date of confirming disease progression, last follow-up or death. OS was calculated from the date of starting regorafenib treatment and the date of death or last follow-up.</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PFS and OS were estimated by the Kaplan-Meier method and they were compared using the log-rank test, with predictive or prognostic factors being identified by univariate analysis. It was not possible to perform the Cox analysis due to the small number of patients.</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Correlation analysis was used to describe the relationship between PFS and basal TGF-β and TNF-α </w:t>
      </w:r>
      <w:proofErr w:type="gramStart"/>
      <w:r w:rsidRPr="000366BE">
        <w:rPr>
          <w:rFonts w:ascii="Book Antiqua" w:hAnsi="Book Antiqua"/>
          <w:lang w:val="en-GB"/>
        </w:rPr>
        <w:t>levels</w:t>
      </w:r>
      <w:proofErr w:type="gramEnd"/>
      <w:r w:rsidRPr="000366BE">
        <w:rPr>
          <w:rFonts w:ascii="Book Antiqua" w:hAnsi="Book Antiqua"/>
          <w:lang w:val="en-GB"/>
        </w:rPr>
        <w:t xml:space="preserve"> and was performed using the Spearman test.</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The statistical analyses were carried out using SPSS software version 24.0 (IBM Corporation, Armonk, NY, U</w:t>
      </w:r>
      <w:r w:rsidR="00DE65A5" w:rsidRPr="000366BE">
        <w:rPr>
          <w:rFonts w:ascii="Book Antiqua" w:hAnsi="Book Antiqua"/>
          <w:lang w:val="en-GB"/>
        </w:rPr>
        <w:t xml:space="preserve">nited </w:t>
      </w:r>
      <w:r w:rsidRPr="000366BE">
        <w:rPr>
          <w:rFonts w:ascii="Book Antiqua" w:hAnsi="Book Antiqua"/>
          <w:lang w:val="en-GB"/>
        </w:rPr>
        <w:t>S</w:t>
      </w:r>
      <w:r w:rsidR="00DE65A5" w:rsidRPr="000366BE">
        <w:rPr>
          <w:rFonts w:ascii="Book Antiqua" w:hAnsi="Book Antiqua"/>
          <w:lang w:val="en-GB"/>
        </w:rPr>
        <w:t>tates</w:t>
      </w:r>
      <w:r w:rsidRPr="000366BE">
        <w:rPr>
          <w:rFonts w:ascii="Book Antiqua" w:hAnsi="Book Antiqua"/>
          <w:lang w:val="en-GB"/>
        </w:rPr>
        <w:t xml:space="preserve">) and </w:t>
      </w:r>
      <w:r w:rsidRPr="000366BE">
        <w:rPr>
          <w:rFonts w:ascii="Book Antiqua" w:hAnsi="Book Antiqua" w:cs="HhjhntAdvTT3713a231"/>
          <w:lang w:val="en-GB"/>
        </w:rPr>
        <w:t xml:space="preserve">GraphPad Software </w:t>
      </w:r>
      <w:r w:rsidRPr="000366BE">
        <w:rPr>
          <w:rFonts w:ascii="Book Antiqua" w:hAnsi="Book Antiqua"/>
          <w:lang w:val="en-GB"/>
        </w:rPr>
        <w:t xml:space="preserve">5.0 </w:t>
      </w:r>
      <w:r w:rsidRPr="000366BE">
        <w:rPr>
          <w:rFonts w:ascii="Book Antiqua" w:hAnsi="Book Antiqua" w:cs="HhjhntAdvTT3713a231"/>
          <w:lang w:val="en-GB"/>
        </w:rPr>
        <w:t>(San Diego, CA, U</w:t>
      </w:r>
      <w:r w:rsidR="00DE65A5" w:rsidRPr="000366BE">
        <w:rPr>
          <w:rFonts w:ascii="Book Antiqua" w:hAnsi="Book Antiqua" w:cs="HhjhntAdvTT3713a231"/>
          <w:lang w:val="en-GB"/>
        </w:rPr>
        <w:t xml:space="preserve">nited </w:t>
      </w:r>
      <w:r w:rsidRPr="000366BE">
        <w:rPr>
          <w:rFonts w:ascii="Book Antiqua" w:hAnsi="Book Antiqua" w:cs="HhjhntAdvTT3713a231"/>
          <w:lang w:val="en-GB"/>
        </w:rPr>
        <w:t>S</w:t>
      </w:r>
      <w:r w:rsidR="00DE65A5" w:rsidRPr="000366BE">
        <w:rPr>
          <w:rFonts w:ascii="Book Antiqua" w:hAnsi="Book Antiqua" w:cs="HhjhntAdvTT3713a231"/>
          <w:lang w:val="en-GB"/>
        </w:rPr>
        <w:t>tates</w:t>
      </w:r>
      <w:r w:rsidRPr="000366BE">
        <w:rPr>
          <w:rFonts w:ascii="Book Antiqua" w:hAnsi="Book Antiqua" w:cs="HhjhntAdvTT3713a231"/>
          <w:lang w:val="en-GB"/>
        </w:rPr>
        <w:t>).</w:t>
      </w:r>
      <w:r w:rsidRPr="000366BE">
        <w:rPr>
          <w:rFonts w:ascii="Book Antiqua" w:hAnsi="Book Antiqua"/>
          <w:lang w:val="en-GB"/>
        </w:rPr>
        <w:t xml:space="preserve"> </w:t>
      </w:r>
      <w:r w:rsidRPr="000366BE">
        <w:rPr>
          <w:rFonts w:ascii="Book Antiqua" w:hAnsi="Book Antiqua"/>
          <w:i/>
          <w:lang w:val="en-GB"/>
        </w:rPr>
        <w:t>P</w:t>
      </w:r>
      <w:r w:rsidRPr="000366BE">
        <w:rPr>
          <w:rFonts w:ascii="Book Antiqua" w:hAnsi="Book Antiqua"/>
          <w:lang w:val="en-GB"/>
        </w:rPr>
        <w:t xml:space="preserve"> &lt; 0.05 was considered to indicate statistical significance.</w:t>
      </w:r>
    </w:p>
    <w:p w:rsidR="000738A3" w:rsidRPr="000366BE" w:rsidRDefault="000738A3" w:rsidP="00D53342">
      <w:pPr>
        <w:adjustRightInd w:val="0"/>
        <w:snapToGrid w:val="0"/>
        <w:spacing w:line="360" w:lineRule="auto"/>
        <w:jc w:val="both"/>
        <w:rPr>
          <w:rFonts w:ascii="Book Antiqua" w:hAnsi="Book Antiqua"/>
          <w:b/>
          <w:lang w:val="en-GB"/>
        </w:rPr>
      </w:pPr>
    </w:p>
    <w:p w:rsidR="00DE65A5" w:rsidRPr="000366BE" w:rsidRDefault="00DE65A5" w:rsidP="00D53342">
      <w:pPr>
        <w:adjustRightInd w:val="0"/>
        <w:snapToGrid w:val="0"/>
        <w:spacing w:line="360" w:lineRule="auto"/>
        <w:jc w:val="both"/>
        <w:rPr>
          <w:rFonts w:ascii="Book Antiqua" w:hAnsi="Book Antiqua"/>
          <w:b/>
          <w:u w:val="single"/>
        </w:rPr>
      </w:pPr>
      <w:r w:rsidRPr="000366BE">
        <w:rPr>
          <w:rFonts w:ascii="Book Antiqua" w:hAnsi="Book Antiqua"/>
          <w:b/>
          <w:u w:val="single"/>
        </w:rPr>
        <w:t>RESULTS</w:t>
      </w:r>
    </w:p>
    <w:p w:rsidR="000738A3" w:rsidRPr="000366BE" w:rsidRDefault="000738A3" w:rsidP="00D53342">
      <w:pPr>
        <w:adjustRightInd w:val="0"/>
        <w:snapToGrid w:val="0"/>
        <w:spacing w:line="360" w:lineRule="auto"/>
        <w:jc w:val="both"/>
        <w:rPr>
          <w:rFonts w:ascii="Book Antiqua" w:hAnsi="Book Antiqua"/>
          <w:b/>
          <w:i/>
          <w:lang w:val="en-GB"/>
        </w:rPr>
      </w:pPr>
      <w:r w:rsidRPr="000366BE">
        <w:rPr>
          <w:rFonts w:ascii="Book Antiqua" w:hAnsi="Book Antiqua"/>
          <w:b/>
          <w:i/>
          <w:lang w:val="en-GB"/>
        </w:rPr>
        <w:t>Correlation between basa</w:t>
      </w:r>
      <w:r w:rsidR="00DE65A5" w:rsidRPr="000366BE">
        <w:rPr>
          <w:rFonts w:ascii="Book Antiqua" w:hAnsi="Book Antiqua"/>
          <w:b/>
          <w:i/>
          <w:lang w:val="en-GB"/>
        </w:rPr>
        <w:t>l cytokines levels and response</w:t>
      </w:r>
    </w:p>
    <w:p w:rsidR="000738A3" w:rsidRPr="000366BE" w:rsidRDefault="000738A3" w:rsidP="00D53342">
      <w:pPr>
        <w:adjustRightInd w:val="0"/>
        <w:snapToGrid w:val="0"/>
        <w:spacing w:line="360" w:lineRule="auto"/>
        <w:jc w:val="both"/>
        <w:rPr>
          <w:rFonts w:ascii="Book Antiqua" w:hAnsi="Book Antiqua"/>
          <w:bCs/>
          <w:lang w:val="en-US"/>
        </w:rPr>
      </w:pPr>
      <w:r w:rsidRPr="000366BE">
        <w:rPr>
          <w:rFonts w:ascii="Book Antiqua" w:hAnsi="Book Antiqua"/>
          <w:lang w:val="en-US"/>
        </w:rPr>
        <w:t xml:space="preserve">Patients population was divided into two groups according to the best response to regorafenib treatment </w:t>
      </w:r>
      <w:r w:rsidRPr="000366BE">
        <w:rPr>
          <w:rFonts w:ascii="Book Antiqua" w:hAnsi="Book Antiqua"/>
          <w:shd w:val="clear" w:color="auto" w:fill="FFFFFF"/>
          <w:lang w:val="en-GB"/>
        </w:rPr>
        <w:t xml:space="preserve">by instrumental evaluation every 3 </w:t>
      </w:r>
      <w:proofErr w:type="spellStart"/>
      <w:r w:rsidRPr="000366BE">
        <w:rPr>
          <w:rFonts w:ascii="Book Antiqua" w:hAnsi="Book Antiqua"/>
          <w:shd w:val="clear" w:color="auto" w:fill="FFFFFF"/>
          <w:lang w:val="en-GB"/>
        </w:rPr>
        <w:t>mo</w:t>
      </w:r>
      <w:proofErr w:type="spellEnd"/>
      <w:r w:rsidRPr="000366BE">
        <w:rPr>
          <w:rFonts w:ascii="Book Antiqua" w:hAnsi="Book Antiqua"/>
          <w:lang w:val="en-US"/>
        </w:rPr>
        <w:t>. The 12 Non Responder (NR) patients</w:t>
      </w:r>
      <w:r w:rsidR="00DE65A5" w:rsidRPr="000366BE">
        <w:rPr>
          <w:rFonts w:ascii="Book Antiqua" w:hAnsi="Book Antiqua"/>
          <w:lang w:val="en-US"/>
        </w:rPr>
        <w:t xml:space="preserve"> showed disease progression</w:t>
      </w:r>
      <w:r w:rsidRPr="000366BE">
        <w:rPr>
          <w:rFonts w:ascii="Book Antiqua" w:hAnsi="Book Antiqua"/>
          <w:lang w:val="en-US"/>
        </w:rPr>
        <w:t>. The 5 Responder (R) patients showed either complete response (CR</w:t>
      </w:r>
      <w:r w:rsidR="00C060E7" w:rsidRPr="000366BE">
        <w:rPr>
          <w:rFonts w:ascii="Book Antiqua" w:hAnsi="Book Antiqua"/>
          <w:lang w:val="en-US"/>
        </w:rPr>
        <w:t>,</w:t>
      </w:r>
      <w:r w:rsidRPr="000366BE">
        <w:rPr>
          <w:rFonts w:ascii="Book Antiqua" w:hAnsi="Book Antiqua"/>
          <w:lang w:val="en-US"/>
        </w:rPr>
        <w:t xml:space="preserve"> </w:t>
      </w:r>
      <w:r w:rsidRPr="000366BE">
        <w:rPr>
          <w:rFonts w:ascii="Book Antiqua" w:hAnsi="Book Antiqua"/>
          <w:i/>
          <w:lang w:val="en-US"/>
        </w:rPr>
        <w:t>n</w:t>
      </w:r>
      <w:r w:rsidR="00DE65A5" w:rsidRPr="000366BE">
        <w:rPr>
          <w:rFonts w:ascii="Book Antiqua" w:hAnsi="Book Antiqua"/>
          <w:lang w:val="en-US"/>
        </w:rPr>
        <w:t xml:space="preserve"> </w:t>
      </w:r>
      <w:r w:rsidRPr="000366BE">
        <w:rPr>
          <w:rFonts w:ascii="Book Antiqua" w:hAnsi="Book Antiqua"/>
          <w:lang w:val="en-US"/>
        </w:rPr>
        <w:t>=</w:t>
      </w:r>
      <w:r w:rsidR="00DE65A5" w:rsidRPr="000366BE">
        <w:rPr>
          <w:rFonts w:ascii="Book Antiqua" w:hAnsi="Book Antiqua"/>
          <w:lang w:val="en-US"/>
        </w:rPr>
        <w:t xml:space="preserve"> </w:t>
      </w:r>
      <w:r w:rsidRPr="000366BE">
        <w:rPr>
          <w:rFonts w:ascii="Book Antiqua" w:hAnsi="Book Antiqua"/>
          <w:lang w:val="en-US"/>
        </w:rPr>
        <w:t>1), partial response (PR</w:t>
      </w:r>
      <w:r w:rsidR="00C060E7" w:rsidRPr="000366BE">
        <w:rPr>
          <w:rFonts w:ascii="Book Antiqua" w:hAnsi="Book Antiqua"/>
          <w:lang w:val="en-US"/>
        </w:rPr>
        <w:t>,</w:t>
      </w:r>
      <w:r w:rsidRPr="000366BE">
        <w:rPr>
          <w:rFonts w:ascii="Book Antiqua" w:hAnsi="Book Antiqua"/>
          <w:lang w:val="en-US"/>
        </w:rPr>
        <w:t xml:space="preserve"> </w:t>
      </w:r>
      <w:r w:rsidRPr="000366BE">
        <w:rPr>
          <w:rFonts w:ascii="Book Antiqua" w:hAnsi="Book Antiqua"/>
          <w:i/>
          <w:lang w:val="en-US"/>
        </w:rPr>
        <w:t>n</w:t>
      </w:r>
      <w:r w:rsidR="00DE65A5" w:rsidRPr="000366BE">
        <w:rPr>
          <w:rFonts w:ascii="Book Antiqua" w:hAnsi="Book Antiqua"/>
          <w:lang w:val="en-US"/>
        </w:rPr>
        <w:t xml:space="preserve"> </w:t>
      </w:r>
      <w:r w:rsidRPr="000366BE">
        <w:rPr>
          <w:rFonts w:ascii="Book Antiqua" w:hAnsi="Book Antiqua"/>
          <w:lang w:val="en-US"/>
        </w:rPr>
        <w:t>=</w:t>
      </w:r>
      <w:r w:rsidR="00DE65A5" w:rsidRPr="000366BE">
        <w:rPr>
          <w:rFonts w:ascii="Book Antiqua" w:hAnsi="Book Antiqua"/>
          <w:lang w:val="en-US"/>
        </w:rPr>
        <w:t xml:space="preserve"> </w:t>
      </w:r>
      <w:r w:rsidRPr="000366BE">
        <w:rPr>
          <w:rFonts w:ascii="Book Antiqua" w:hAnsi="Book Antiqua"/>
          <w:lang w:val="en-US"/>
        </w:rPr>
        <w:t>1) or stable disease (SD</w:t>
      </w:r>
      <w:r w:rsidR="00C060E7" w:rsidRPr="000366BE">
        <w:rPr>
          <w:rFonts w:ascii="Book Antiqua" w:hAnsi="Book Antiqua"/>
          <w:lang w:val="en-US"/>
        </w:rPr>
        <w:t>,</w:t>
      </w:r>
      <w:r w:rsidRPr="000366BE">
        <w:rPr>
          <w:rFonts w:ascii="Book Antiqua" w:hAnsi="Book Antiqua"/>
          <w:lang w:val="en-US"/>
        </w:rPr>
        <w:t xml:space="preserve"> </w:t>
      </w:r>
      <w:r w:rsidRPr="000366BE">
        <w:rPr>
          <w:rFonts w:ascii="Book Antiqua" w:hAnsi="Book Antiqua"/>
          <w:i/>
          <w:lang w:val="en-US"/>
        </w:rPr>
        <w:t>n</w:t>
      </w:r>
      <w:r w:rsidR="00DE65A5" w:rsidRPr="000366BE">
        <w:rPr>
          <w:rFonts w:ascii="Book Antiqua" w:hAnsi="Book Antiqua"/>
          <w:lang w:val="en-US"/>
        </w:rPr>
        <w:t xml:space="preserve"> </w:t>
      </w:r>
      <w:r w:rsidRPr="000366BE">
        <w:rPr>
          <w:rFonts w:ascii="Book Antiqua" w:hAnsi="Book Antiqua"/>
          <w:lang w:val="en-US"/>
        </w:rPr>
        <w:t>=</w:t>
      </w:r>
      <w:r w:rsidR="00DE65A5" w:rsidRPr="000366BE">
        <w:rPr>
          <w:rFonts w:ascii="Book Antiqua" w:hAnsi="Book Antiqua"/>
          <w:lang w:val="en-US"/>
        </w:rPr>
        <w:t xml:space="preserve"> </w:t>
      </w:r>
      <w:r w:rsidRPr="000366BE">
        <w:rPr>
          <w:rFonts w:ascii="Book Antiqua" w:hAnsi="Book Antiqua"/>
          <w:lang w:val="en-US"/>
        </w:rPr>
        <w:t>3).</w:t>
      </w:r>
    </w:p>
    <w:p w:rsidR="000738A3" w:rsidRPr="000366BE" w:rsidRDefault="000738A3" w:rsidP="00D53342">
      <w:pPr>
        <w:adjustRightInd w:val="0"/>
        <w:snapToGrid w:val="0"/>
        <w:spacing w:line="360" w:lineRule="auto"/>
        <w:ind w:firstLineChars="100" w:firstLine="240"/>
        <w:jc w:val="both"/>
        <w:rPr>
          <w:rFonts w:ascii="Book Antiqua" w:hAnsi="Book Antiqua"/>
          <w:bCs/>
          <w:lang w:val="en-US"/>
        </w:rPr>
      </w:pPr>
      <w:r w:rsidRPr="000366BE">
        <w:rPr>
          <w:rFonts w:ascii="Book Antiqua" w:hAnsi="Book Antiqua"/>
          <w:bCs/>
          <w:lang w:val="en-US"/>
        </w:rPr>
        <w:t xml:space="preserve">We measured cytokine levels in all the mCRC patients. We found that the plasma </w:t>
      </w:r>
      <w:r w:rsidRPr="000366BE">
        <w:rPr>
          <w:rFonts w:ascii="Book Antiqua" w:hAnsi="Book Antiqua"/>
          <w:lang w:val="en-US"/>
        </w:rPr>
        <w:t xml:space="preserve">basal level of </w:t>
      </w:r>
      <w:r w:rsidRPr="000366BE">
        <w:rPr>
          <w:rFonts w:ascii="Book Antiqua" w:hAnsi="Book Antiqua"/>
          <w:bCs/>
          <w:lang w:val="en-US"/>
        </w:rPr>
        <w:t>TNF-α was significantly higher in NR compared to R patients (</w:t>
      </w:r>
      <w:r w:rsidRPr="000366BE">
        <w:rPr>
          <w:rFonts w:ascii="Book Antiqua" w:hAnsi="Book Antiqua"/>
          <w:bCs/>
          <w:i/>
          <w:caps/>
          <w:lang w:val="en-US"/>
        </w:rPr>
        <w:t xml:space="preserve">p </w:t>
      </w:r>
      <w:r w:rsidR="00C060E7" w:rsidRPr="000366BE">
        <w:rPr>
          <w:rFonts w:ascii="Book Antiqua" w:hAnsi="Book Antiqua"/>
          <w:bCs/>
          <w:lang w:val="en-US"/>
        </w:rPr>
        <w:t xml:space="preserve">= 0.011). </w:t>
      </w:r>
    </w:p>
    <w:p w:rsidR="000738A3" w:rsidRPr="000366BE" w:rsidRDefault="000738A3" w:rsidP="00D53342">
      <w:pPr>
        <w:adjustRightInd w:val="0"/>
        <w:snapToGrid w:val="0"/>
        <w:spacing w:line="360" w:lineRule="auto"/>
        <w:ind w:firstLineChars="100" w:firstLine="240"/>
        <w:jc w:val="both"/>
        <w:rPr>
          <w:rFonts w:ascii="Book Antiqua" w:hAnsi="Book Antiqua"/>
          <w:bCs/>
          <w:lang w:val="en-US"/>
        </w:rPr>
      </w:pPr>
      <w:r w:rsidRPr="000366BE">
        <w:rPr>
          <w:rFonts w:ascii="Book Antiqua" w:hAnsi="Book Antiqua"/>
          <w:lang w:val="en-GB"/>
        </w:rPr>
        <w:t xml:space="preserve">Also TGF-β was significantly higher </w:t>
      </w:r>
      <w:r w:rsidRPr="000366BE">
        <w:rPr>
          <w:rFonts w:ascii="Book Antiqua" w:hAnsi="Book Antiqua"/>
          <w:lang w:val="en-US"/>
        </w:rPr>
        <w:t xml:space="preserve">in NR </w:t>
      </w:r>
      <w:r w:rsidRPr="000366BE">
        <w:rPr>
          <w:rFonts w:ascii="Book Antiqua" w:hAnsi="Book Antiqua"/>
          <w:lang w:val="en-GB"/>
        </w:rPr>
        <w:t>compared to R patients (</w:t>
      </w:r>
      <w:r w:rsidRPr="000366BE">
        <w:rPr>
          <w:rFonts w:ascii="Book Antiqua" w:hAnsi="Book Antiqua"/>
          <w:i/>
          <w:lang w:val="en-GB"/>
        </w:rPr>
        <w:t>P</w:t>
      </w:r>
      <w:r w:rsidRPr="000366BE">
        <w:rPr>
          <w:rFonts w:ascii="Book Antiqua" w:hAnsi="Book Antiqua"/>
          <w:lang w:val="en-GB"/>
        </w:rPr>
        <w:t xml:space="preserve"> = 0.031). </w:t>
      </w:r>
    </w:p>
    <w:p w:rsidR="000738A3" w:rsidRPr="000366BE" w:rsidRDefault="000738A3" w:rsidP="00D53342">
      <w:pPr>
        <w:adjustRightInd w:val="0"/>
        <w:snapToGrid w:val="0"/>
        <w:spacing w:line="360" w:lineRule="auto"/>
        <w:ind w:firstLineChars="100" w:firstLine="240"/>
        <w:jc w:val="both"/>
        <w:rPr>
          <w:rFonts w:ascii="Book Antiqua" w:hAnsi="Book Antiqua"/>
          <w:bCs/>
          <w:lang w:val="en-US"/>
        </w:rPr>
      </w:pPr>
      <w:r w:rsidRPr="000366BE">
        <w:rPr>
          <w:rFonts w:ascii="Book Antiqua" w:hAnsi="Book Antiqua"/>
          <w:lang w:val="en-GB"/>
        </w:rPr>
        <w:t>NR patients had a higher median level of VEGF with respect to R, but only the difference between NR and healthy controls was significant (</w:t>
      </w:r>
      <w:r w:rsidRPr="000366BE">
        <w:rPr>
          <w:rFonts w:ascii="Book Antiqua" w:hAnsi="Book Antiqua"/>
          <w:i/>
          <w:lang w:val="en-GB"/>
        </w:rPr>
        <w:t>P</w:t>
      </w:r>
      <w:r w:rsidRPr="000366BE">
        <w:rPr>
          <w:rFonts w:ascii="Book Antiqua" w:hAnsi="Book Antiqua"/>
          <w:lang w:val="en-GB"/>
        </w:rPr>
        <w:t xml:space="preserve"> = 0.044). </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The CCL-2 plasma level showed a trend similar to VEGF: </w:t>
      </w:r>
      <w:r w:rsidR="00C060E7" w:rsidRPr="000366BE">
        <w:rPr>
          <w:rFonts w:ascii="Book Antiqua" w:hAnsi="Book Antiqua"/>
          <w:lang w:val="en-GB"/>
        </w:rPr>
        <w:t xml:space="preserve">Higher </w:t>
      </w:r>
      <w:r w:rsidRPr="000366BE">
        <w:rPr>
          <w:rFonts w:ascii="Book Antiqua" w:hAnsi="Book Antiqua"/>
          <w:lang w:val="en-GB"/>
        </w:rPr>
        <w:t xml:space="preserve">in NR </w:t>
      </w:r>
      <w:r w:rsidRPr="000366BE">
        <w:rPr>
          <w:rFonts w:ascii="Book Antiqua" w:hAnsi="Book Antiqua"/>
          <w:i/>
          <w:lang w:val="en-GB"/>
        </w:rPr>
        <w:t>vs</w:t>
      </w:r>
      <w:r w:rsidRPr="000366BE">
        <w:rPr>
          <w:rFonts w:ascii="Book Antiqua" w:hAnsi="Book Antiqua"/>
          <w:lang w:val="en-GB"/>
        </w:rPr>
        <w:t xml:space="preserve"> R patients, but significantly higher only between NR and healthy controls (</w:t>
      </w:r>
      <w:r w:rsidRPr="000366BE">
        <w:rPr>
          <w:rFonts w:ascii="Book Antiqua" w:hAnsi="Book Antiqua"/>
          <w:i/>
          <w:lang w:val="en-GB"/>
        </w:rPr>
        <w:t>P</w:t>
      </w:r>
      <w:r w:rsidRPr="000366BE">
        <w:rPr>
          <w:rFonts w:ascii="Book Antiqua" w:hAnsi="Book Antiqua"/>
          <w:lang w:val="en-GB"/>
        </w:rPr>
        <w:t xml:space="preserve"> = 0.035). </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CCL-4 basal level, on the contrary, showed an opposite </w:t>
      </w:r>
      <w:proofErr w:type="gramStart"/>
      <w:r w:rsidRPr="000366BE">
        <w:rPr>
          <w:rFonts w:ascii="Book Antiqua" w:hAnsi="Book Antiqua"/>
          <w:lang w:val="en-GB"/>
        </w:rPr>
        <w:t>trend,</w:t>
      </w:r>
      <w:proofErr w:type="gramEnd"/>
      <w:r w:rsidRPr="000366BE">
        <w:rPr>
          <w:rFonts w:ascii="Book Antiqua" w:hAnsi="Book Antiqua"/>
          <w:lang w:val="en-GB"/>
        </w:rPr>
        <w:t xml:space="preserve"> in particular NR had lower median value than R. </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The levels of CCL-5 did not show any differe</w:t>
      </w:r>
      <w:r w:rsidR="00C060E7" w:rsidRPr="000366BE">
        <w:rPr>
          <w:rFonts w:ascii="Book Antiqua" w:hAnsi="Book Antiqua"/>
          <w:lang w:val="en-GB"/>
        </w:rPr>
        <w:t>nce among all the three groups (</w:t>
      </w:r>
      <w:r w:rsidRPr="000366BE">
        <w:rPr>
          <w:rFonts w:ascii="Book Antiqua" w:hAnsi="Book Antiqua"/>
          <w:lang w:val="en-GB"/>
        </w:rPr>
        <w:t>Figure 1</w:t>
      </w:r>
      <w:r w:rsidR="00C060E7" w:rsidRPr="000366BE">
        <w:rPr>
          <w:rFonts w:ascii="Book Antiqua" w:hAnsi="Book Antiqua"/>
          <w:lang w:val="en-GB"/>
        </w:rPr>
        <w:t>)</w:t>
      </w:r>
      <w:r w:rsidRPr="000366BE">
        <w:rPr>
          <w:rFonts w:ascii="Book Antiqua" w:hAnsi="Book Antiqua"/>
          <w:lang w:val="en-GB"/>
        </w:rPr>
        <w:t>.</w:t>
      </w:r>
    </w:p>
    <w:p w:rsidR="000738A3" w:rsidRPr="000366BE" w:rsidRDefault="000738A3" w:rsidP="00D53342">
      <w:pPr>
        <w:adjustRightInd w:val="0"/>
        <w:snapToGrid w:val="0"/>
        <w:spacing w:line="360" w:lineRule="auto"/>
        <w:jc w:val="both"/>
        <w:rPr>
          <w:rFonts w:ascii="Book Antiqua" w:hAnsi="Book Antiqua"/>
          <w:b/>
          <w:lang w:val="en-GB"/>
        </w:rPr>
      </w:pPr>
    </w:p>
    <w:p w:rsidR="000738A3" w:rsidRPr="000366BE" w:rsidRDefault="000738A3" w:rsidP="00D53342">
      <w:pPr>
        <w:adjustRightInd w:val="0"/>
        <w:snapToGrid w:val="0"/>
        <w:spacing w:line="360" w:lineRule="auto"/>
        <w:jc w:val="both"/>
        <w:rPr>
          <w:rFonts w:ascii="Book Antiqua" w:hAnsi="Book Antiqua"/>
          <w:i/>
          <w:lang w:val="en-GB"/>
        </w:rPr>
      </w:pPr>
      <w:r w:rsidRPr="000366BE">
        <w:rPr>
          <w:rFonts w:ascii="Book Antiqua" w:hAnsi="Book Antiqua"/>
          <w:b/>
          <w:i/>
          <w:lang w:val="en-GB"/>
        </w:rPr>
        <w:t>Correlations between</w:t>
      </w:r>
      <w:r w:rsidRPr="000366BE">
        <w:rPr>
          <w:rFonts w:ascii="Book Antiqua" w:hAnsi="Book Antiqua"/>
          <w:bCs/>
          <w:i/>
          <w:lang w:val="en-US"/>
        </w:rPr>
        <w:t xml:space="preserve"> </w:t>
      </w:r>
      <w:r w:rsidRPr="000366BE">
        <w:rPr>
          <w:rFonts w:ascii="Book Antiqua" w:hAnsi="Book Antiqua"/>
          <w:b/>
          <w:bCs/>
          <w:i/>
          <w:lang w:val="en-US"/>
        </w:rPr>
        <w:t>TNF-α,</w:t>
      </w:r>
      <w:r w:rsidRPr="000366BE">
        <w:rPr>
          <w:rFonts w:ascii="Book Antiqua" w:hAnsi="Book Antiqua"/>
          <w:b/>
          <w:i/>
          <w:lang w:val="en-GB"/>
        </w:rPr>
        <w:t xml:space="preserve"> TGF-β levels and PFS</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 xml:space="preserve">We further investigated the possible association between basal cytokine levels and PFS. </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bCs/>
          <w:lang w:val="en-US"/>
        </w:rPr>
        <w:t xml:space="preserve">TNF-α </w:t>
      </w:r>
      <w:r w:rsidRPr="000366BE">
        <w:rPr>
          <w:rFonts w:ascii="Book Antiqua" w:hAnsi="Book Antiqua"/>
          <w:lang w:val="en-GB"/>
        </w:rPr>
        <w:t>(</w:t>
      </w:r>
      <w:proofErr w:type="spellStart"/>
      <w:r w:rsidRPr="000366BE">
        <w:rPr>
          <w:rFonts w:ascii="Book Antiqua" w:hAnsi="Book Antiqua"/>
          <w:i/>
          <w:lang w:val="en-US"/>
        </w:rPr>
        <w:t>r</w:t>
      </w:r>
      <w:r w:rsidRPr="000366BE">
        <w:rPr>
          <w:rFonts w:ascii="Book Antiqua" w:hAnsi="Book Antiqua"/>
          <w:vertAlign w:val="subscript"/>
          <w:lang w:val="en-US"/>
        </w:rPr>
        <w:t>s</w:t>
      </w:r>
      <w:proofErr w:type="spellEnd"/>
      <w:r w:rsidR="00C060E7" w:rsidRPr="000366BE">
        <w:rPr>
          <w:rFonts w:ascii="Book Antiqua" w:hAnsi="Book Antiqua"/>
          <w:vertAlign w:val="subscript"/>
          <w:lang w:val="en-US"/>
        </w:rPr>
        <w:t xml:space="preserve"> </w:t>
      </w:r>
      <w:r w:rsidR="00C060E7" w:rsidRPr="000366BE">
        <w:rPr>
          <w:rFonts w:ascii="Book Antiqua" w:hAnsi="Book Antiqua"/>
          <w:lang w:val="en-US"/>
        </w:rPr>
        <w:t xml:space="preserve">= </w:t>
      </w:r>
      <w:r w:rsidRPr="000366BE">
        <w:rPr>
          <w:rFonts w:ascii="Book Antiqua" w:hAnsi="Book Antiqua"/>
          <w:lang w:val="en-US"/>
        </w:rPr>
        <w:t xml:space="preserve">-0.51, </w:t>
      </w:r>
      <w:r w:rsidRPr="000366BE">
        <w:rPr>
          <w:rFonts w:ascii="Book Antiqua" w:hAnsi="Book Antiqua"/>
          <w:i/>
          <w:lang w:val="en-GB"/>
        </w:rPr>
        <w:t>P</w:t>
      </w:r>
      <w:r w:rsidRPr="000366BE">
        <w:rPr>
          <w:rFonts w:ascii="Book Antiqua" w:hAnsi="Book Antiqua"/>
          <w:lang w:val="en-GB"/>
        </w:rPr>
        <w:t xml:space="preserve"> = 0.033) and TGF-β (</w:t>
      </w:r>
      <w:proofErr w:type="spellStart"/>
      <w:r w:rsidRPr="000366BE">
        <w:rPr>
          <w:rFonts w:ascii="Book Antiqua" w:hAnsi="Book Antiqua"/>
          <w:i/>
          <w:lang w:val="en-US"/>
        </w:rPr>
        <w:t>r</w:t>
      </w:r>
      <w:r w:rsidRPr="000366BE">
        <w:rPr>
          <w:rFonts w:ascii="Book Antiqua" w:hAnsi="Book Antiqua"/>
          <w:vertAlign w:val="subscript"/>
          <w:lang w:val="en-US"/>
        </w:rPr>
        <w:t>s</w:t>
      </w:r>
      <w:proofErr w:type="spellEnd"/>
      <w:r w:rsidR="00C060E7" w:rsidRPr="000366BE">
        <w:rPr>
          <w:rFonts w:ascii="Book Antiqua" w:hAnsi="Book Antiqua"/>
          <w:vertAlign w:val="subscript"/>
          <w:lang w:val="en-US"/>
        </w:rPr>
        <w:t xml:space="preserve"> </w:t>
      </w:r>
      <w:r w:rsidRPr="000366BE">
        <w:rPr>
          <w:rFonts w:ascii="Book Antiqua" w:hAnsi="Book Antiqua"/>
          <w:lang w:val="en-US"/>
        </w:rPr>
        <w:t xml:space="preserve">= </w:t>
      </w:r>
      <w:r w:rsidR="00C060E7" w:rsidRPr="000366BE">
        <w:rPr>
          <w:rFonts w:ascii="Book Antiqua" w:hAnsi="Book Antiqua"/>
          <w:lang w:val="en-US"/>
        </w:rPr>
        <w:t>-</w:t>
      </w:r>
      <w:r w:rsidRPr="000366BE">
        <w:rPr>
          <w:rFonts w:ascii="Book Antiqua" w:hAnsi="Book Antiqua"/>
          <w:lang w:val="en-US"/>
        </w:rPr>
        <w:t xml:space="preserve">0.52, </w:t>
      </w:r>
      <w:r w:rsidRPr="000366BE">
        <w:rPr>
          <w:rFonts w:ascii="Book Antiqua" w:hAnsi="Book Antiqua"/>
          <w:i/>
          <w:lang w:val="en-GB"/>
        </w:rPr>
        <w:t>P</w:t>
      </w:r>
      <w:r w:rsidRPr="000366BE">
        <w:rPr>
          <w:rFonts w:ascii="Book Antiqua" w:hAnsi="Book Antiqua"/>
          <w:lang w:val="en-GB"/>
        </w:rPr>
        <w:t xml:space="preserve"> = 0.038) negatively correlated with PFS in the patient cohort </w:t>
      </w:r>
      <w:r w:rsidR="00C060E7" w:rsidRPr="000366BE">
        <w:rPr>
          <w:rFonts w:ascii="Book Antiqua" w:hAnsi="Book Antiqua"/>
          <w:lang w:val="en-GB"/>
        </w:rPr>
        <w:t>(Figure 2</w:t>
      </w:r>
      <w:r w:rsidRPr="000366BE">
        <w:rPr>
          <w:rFonts w:ascii="Book Antiqua" w:hAnsi="Book Antiqua"/>
          <w:lang w:val="en-GB"/>
        </w:rPr>
        <w:t>A and B</w:t>
      </w:r>
      <w:r w:rsidR="00C060E7" w:rsidRPr="000366BE">
        <w:rPr>
          <w:rFonts w:ascii="Book Antiqua" w:hAnsi="Book Antiqua"/>
          <w:lang w:val="en-GB"/>
        </w:rPr>
        <w:t>)</w:t>
      </w:r>
      <w:r w:rsidRPr="000366BE">
        <w:rPr>
          <w:rFonts w:ascii="Book Antiqua" w:hAnsi="Book Antiqua"/>
          <w:lang w:val="en-GB"/>
        </w:rPr>
        <w:t xml:space="preserve">. </w:t>
      </w:r>
    </w:p>
    <w:p w:rsidR="000738A3" w:rsidRPr="000366BE" w:rsidRDefault="000738A3" w:rsidP="00D53342">
      <w:pPr>
        <w:adjustRightInd w:val="0"/>
        <w:snapToGrid w:val="0"/>
        <w:spacing w:line="360" w:lineRule="auto"/>
        <w:ind w:firstLineChars="100" w:firstLine="240"/>
        <w:jc w:val="both"/>
        <w:rPr>
          <w:rFonts w:ascii="Book Antiqua" w:hAnsi="Book Antiqua"/>
          <w:lang w:val="en-US"/>
        </w:rPr>
      </w:pPr>
      <w:r w:rsidRPr="000366BE">
        <w:rPr>
          <w:rFonts w:ascii="Book Antiqua" w:hAnsi="Book Antiqua"/>
          <w:lang w:val="en-US"/>
        </w:rPr>
        <w:t xml:space="preserve">Furthermore there was a positive correlation between </w:t>
      </w:r>
      <w:r w:rsidRPr="000366BE">
        <w:rPr>
          <w:rFonts w:ascii="Book Antiqua" w:hAnsi="Book Antiqua"/>
          <w:bCs/>
          <w:lang w:val="en-US"/>
        </w:rPr>
        <w:t xml:space="preserve">TNF-α and </w:t>
      </w:r>
      <w:r w:rsidRPr="000366BE">
        <w:rPr>
          <w:rFonts w:ascii="Book Antiqua" w:hAnsi="Book Antiqua"/>
          <w:lang w:val="en-GB"/>
        </w:rPr>
        <w:t xml:space="preserve">TGF-β </w:t>
      </w:r>
      <w:r w:rsidRPr="000366BE">
        <w:rPr>
          <w:rFonts w:ascii="Book Antiqua" w:hAnsi="Book Antiqua"/>
          <w:bCs/>
          <w:lang w:val="en-US"/>
        </w:rPr>
        <w:t xml:space="preserve">basal values of all the </w:t>
      </w:r>
      <w:proofErr w:type="spellStart"/>
      <w:r w:rsidRPr="000366BE">
        <w:rPr>
          <w:rFonts w:ascii="Book Antiqua" w:hAnsi="Book Antiqua"/>
          <w:bCs/>
          <w:lang w:val="en-US"/>
        </w:rPr>
        <w:t>mCRC</w:t>
      </w:r>
      <w:proofErr w:type="spellEnd"/>
      <w:r w:rsidRPr="000366BE">
        <w:rPr>
          <w:rFonts w:ascii="Book Antiqua" w:hAnsi="Book Antiqua"/>
          <w:bCs/>
          <w:lang w:val="en-US"/>
        </w:rPr>
        <w:t xml:space="preserve"> patients </w:t>
      </w:r>
      <w:r w:rsidRPr="000366BE">
        <w:rPr>
          <w:rFonts w:ascii="Book Antiqua" w:hAnsi="Book Antiqua"/>
          <w:lang w:val="en-GB"/>
        </w:rPr>
        <w:t>(</w:t>
      </w:r>
      <w:proofErr w:type="spellStart"/>
      <w:r w:rsidRPr="000366BE">
        <w:rPr>
          <w:rFonts w:ascii="Book Antiqua" w:hAnsi="Book Antiqua"/>
          <w:i/>
          <w:lang w:val="en-US"/>
        </w:rPr>
        <w:t>r</w:t>
      </w:r>
      <w:r w:rsidRPr="000366BE">
        <w:rPr>
          <w:rFonts w:ascii="Book Antiqua" w:hAnsi="Book Antiqua"/>
          <w:vertAlign w:val="subscript"/>
          <w:lang w:val="en-US"/>
        </w:rPr>
        <w:t>s</w:t>
      </w:r>
      <w:proofErr w:type="spellEnd"/>
      <w:r w:rsidR="00C060E7" w:rsidRPr="000366BE">
        <w:rPr>
          <w:rFonts w:ascii="Book Antiqua" w:hAnsi="Book Antiqua"/>
          <w:vertAlign w:val="subscript"/>
          <w:lang w:val="en-US"/>
        </w:rPr>
        <w:t xml:space="preserve"> </w:t>
      </w:r>
      <w:r w:rsidRPr="000366BE">
        <w:rPr>
          <w:rFonts w:ascii="Book Antiqua" w:hAnsi="Book Antiqua"/>
          <w:lang w:val="en-US"/>
        </w:rPr>
        <w:t xml:space="preserve">= 0.53, </w:t>
      </w:r>
      <w:r w:rsidRPr="000366BE">
        <w:rPr>
          <w:rFonts w:ascii="Book Antiqua" w:hAnsi="Book Antiqua"/>
          <w:i/>
          <w:lang w:val="en-GB"/>
        </w:rPr>
        <w:t>P</w:t>
      </w:r>
      <w:r w:rsidRPr="000366BE">
        <w:rPr>
          <w:rFonts w:ascii="Book Antiqua" w:hAnsi="Book Antiqua"/>
          <w:lang w:val="en-GB"/>
        </w:rPr>
        <w:t xml:space="preserve"> = 0.028)</w:t>
      </w:r>
      <w:bookmarkStart w:id="22" w:name="OLE_LINK4"/>
      <w:r w:rsidRPr="000366BE">
        <w:rPr>
          <w:rFonts w:ascii="Book Antiqua" w:hAnsi="Book Antiqua"/>
          <w:lang w:val="en-GB"/>
        </w:rPr>
        <w:t xml:space="preserve"> </w:t>
      </w:r>
      <w:r w:rsidR="00C060E7" w:rsidRPr="000366BE">
        <w:rPr>
          <w:rFonts w:ascii="Book Antiqua" w:hAnsi="Book Antiqua"/>
          <w:lang w:val="en-GB"/>
        </w:rPr>
        <w:t>(Figure 2</w:t>
      </w:r>
      <w:r w:rsidRPr="000366BE">
        <w:rPr>
          <w:rFonts w:ascii="Book Antiqua" w:hAnsi="Book Antiqua"/>
          <w:lang w:val="en-GB"/>
        </w:rPr>
        <w:t>C</w:t>
      </w:r>
      <w:bookmarkEnd w:id="22"/>
      <w:r w:rsidR="00C060E7" w:rsidRPr="000366BE">
        <w:rPr>
          <w:rFonts w:ascii="Book Antiqua" w:hAnsi="Book Antiqua"/>
          <w:lang w:val="en-GB"/>
        </w:rPr>
        <w:t>)</w:t>
      </w:r>
      <w:r w:rsidRPr="000366BE">
        <w:rPr>
          <w:rFonts w:ascii="Book Antiqua" w:hAnsi="Book Antiqua"/>
          <w:lang w:val="en-GB"/>
        </w:rPr>
        <w:t>.</w:t>
      </w:r>
      <w:r w:rsidRPr="000366BE">
        <w:rPr>
          <w:rFonts w:ascii="Book Antiqua" w:hAnsi="Book Antiqua"/>
          <w:lang w:val="en-US"/>
        </w:rPr>
        <w:t xml:space="preserve"> </w:t>
      </w:r>
    </w:p>
    <w:p w:rsidR="000738A3" w:rsidRPr="000366BE" w:rsidRDefault="000738A3" w:rsidP="00D53342">
      <w:pPr>
        <w:adjustRightInd w:val="0"/>
        <w:snapToGrid w:val="0"/>
        <w:spacing w:line="360" w:lineRule="auto"/>
        <w:ind w:firstLineChars="100" w:firstLine="240"/>
        <w:jc w:val="both"/>
        <w:rPr>
          <w:rFonts w:ascii="Book Antiqua" w:hAnsi="Book Antiqua"/>
          <w:lang w:val="en-US"/>
        </w:rPr>
      </w:pPr>
      <w:r w:rsidRPr="000366BE">
        <w:rPr>
          <w:rFonts w:ascii="Book Antiqua" w:hAnsi="Book Antiqua"/>
          <w:lang w:val="en-US"/>
        </w:rPr>
        <w:t>Instead there was no significant difference among the other cytokines at baseline and between them each of them and PFS.</w:t>
      </w:r>
    </w:p>
    <w:p w:rsidR="000738A3" w:rsidRPr="000366BE" w:rsidRDefault="000738A3" w:rsidP="00D53342">
      <w:pPr>
        <w:adjustRightInd w:val="0"/>
        <w:snapToGrid w:val="0"/>
        <w:spacing w:line="360" w:lineRule="auto"/>
        <w:jc w:val="both"/>
        <w:rPr>
          <w:rFonts w:ascii="Book Antiqua" w:hAnsi="Book Antiqua"/>
          <w:b/>
          <w:lang w:val="en-US"/>
        </w:rPr>
      </w:pPr>
    </w:p>
    <w:p w:rsidR="000738A3" w:rsidRPr="000366BE" w:rsidRDefault="000738A3" w:rsidP="00D53342">
      <w:pPr>
        <w:adjustRightInd w:val="0"/>
        <w:snapToGrid w:val="0"/>
        <w:spacing w:line="360" w:lineRule="auto"/>
        <w:jc w:val="both"/>
        <w:rPr>
          <w:rFonts w:ascii="Book Antiqua" w:hAnsi="Book Antiqua"/>
          <w:b/>
          <w:i/>
          <w:lang w:val="en-US"/>
        </w:rPr>
      </w:pPr>
      <w:r w:rsidRPr="000366BE">
        <w:rPr>
          <w:rFonts w:ascii="Book Antiqua" w:hAnsi="Book Antiqua"/>
          <w:b/>
          <w:i/>
          <w:lang w:val="en-US"/>
        </w:rPr>
        <w:t>RO</w:t>
      </w:r>
      <w:r w:rsidR="00FE4C46" w:rsidRPr="000366BE">
        <w:rPr>
          <w:rFonts w:ascii="Book Antiqua" w:hAnsi="Book Antiqua"/>
          <w:b/>
          <w:i/>
          <w:lang w:val="en-US"/>
        </w:rPr>
        <w:t xml:space="preserve">C and Cox analysis, PFS and OS </w:t>
      </w:r>
      <w:r w:rsidRPr="000366BE">
        <w:rPr>
          <w:rFonts w:ascii="Book Antiqua" w:hAnsi="Book Antiqua"/>
          <w:b/>
          <w:i/>
          <w:lang w:val="en-US"/>
        </w:rPr>
        <w:t>Kaplan-Meier curves</w:t>
      </w:r>
    </w:p>
    <w:p w:rsidR="000738A3" w:rsidRPr="000366BE" w:rsidRDefault="00C060E7" w:rsidP="00D53342">
      <w:pPr>
        <w:adjustRightInd w:val="0"/>
        <w:snapToGrid w:val="0"/>
        <w:spacing w:line="360" w:lineRule="auto"/>
        <w:jc w:val="both"/>
        <w:rPr>
          <w:rFonts w:ascii="Book Antiqua" w:hAnsi="Book Antiqua"/>
          <w:lang w:val="en-GB"/>
        </w:rPr>
      </w:pPr>
      <w:r w:rsidRPr="000366BE">
        <w:rPr>
          <w:rFonts w:ascii="Book Antiqua" w:hAnsi="Book Antiqua"/>
          <w:lang w:val="en-GB"/>
        </w:rPr>
        <w:t xml:space="preserve">Median PFS was 2.97 </w:t>
      </w:r>
      <w:proofErr w:type="spellStart"/>
      <w:r w:rsidRPr="000366BE">
        <w:rPr>
          <w:rFonts w:ascii="Book Antiqua" w:hAnsi="Book Antiqua"/>
          <w:lang w:val="en-GB"/>
        </w:rPr>
        <w:t>mo</w:t>
      </w:r>
      <w:proofErr w:type="spellEnd"/>
      <w:r w:rsidRPr="000366BE">
        <w:rPr>
          <w:rFonts w:ascii="Book Antiqua" w:hAnsi="Book Antiqua"/>
          <w:lang w:val="en-GB"/>
        </w:rPr>
        <w:t xml:space="preserve"> [95%</w:t>
      </w:r>
      <w:r w:rsidRPr="000366BE">
        <w:rPr>
          <w:rFonts w:ascii="Book Antiqua" w:hAnsi="Book Antiqua"/>
        </w:rPr>
        <w:t xml:space="preserve"> </w:t>
      </w:r>
      <w:r w:rsidRPr="000366BE">
        <w:rPr>
          <w:rFonts w:ascii="Book Antiqua" w:hAnsi="Book Antiqua"/>
          <w:lang w:val="en-GB"/>
        </w:rPr>
        <w:t>confidence interval (</w:t>
      </w:r>
      <w:r w:rsidR="000738A3" w:rsidRPr="000366BE">
        <w:rPr>
          <w:rFonts w:ascii="Book Antiqua" w:hAnsi="Book Antiqua"/>
          <w:lang w:val="en-GB"/>
        </w:rPr>
        <w:t>CI</w:t>
      </w:r>
      <w:r w:rsidRPr="000366BE">
        <w:rPr>
          <w:rFonts w:ascii="Book Antiqua" w:hAnsi="Book Antiqua"/>
          <w:lang w:val="en-GB"/>
        </w:rPr>
        <w:t>)</w:t>
      </w:r>
      <w:r w:rsidR="000738A3" w:rsidRPr="000366BE">
        <w:rPr>
          <w:rFonts w:ascii="Book Antiqua" w:hAnsi="Book Antiqua"/>
          <w:lang w:val="en-GB"/>
        </w:rPr>
        <w:t xml:space="preserve">: 2.384–3.549 </w:t>
      </w:r>
      <w:proofErr w:type="spellStart"/>
      <w:r w:rsidR="000738A3" w:rsidRPr="000366BE">
        <w:rPr>
          <w:rFonts w:ascii="Book Antiqua" w:hAnsi="Book Antiqua"/>
          <w:lang w:val="en-GB"/>
        </w:rPr>
        <w:t>mo</w:t>
      </w:r>
      <w:proofErr w:type="spellEnd"/>
      <w:r w:rsidRPr="000366BE">
        <w:rPr>
          <w:rFonts w:ascii="Book Antiqua" w:hAnsi="Book Antiqua"/>
          <w:lang w:val="en-GB"/>
        </w:rPr>
        <w:t>]</w:t>
      </w:r>
      <w:r w:rsidR="000738A3" w:rsidRPr="000366BE">
        <w:rPr>
          <w:rFonts w:ascii="Book Antiqua" w:hAnsi="Book Antiqua"/>
          <w:lang w:val="en-GB"/>
        </w:rPr>
        <w:t xml:space="preserve">, median OS was 9.03 </w:t>
      </w:r>
      <w:proofErr w:type="spellStart"/>
      <w:r w:rsidR="000738A3" w:rsidRPr="000366BE">
        <w:rPr>
          <w:rFonts w:ascii="Book Antiqua" w:hAnsi="Book Antiqua"/>
          <w:lang w:val="en-GB"/>
        </w:rPr>
        <w:t>mo</w:t>
      </w:r>
      <w:proofErr w:type="spellEnd"/>
      <w:r w:rsidRPr="000366BE">
        <w:rPr>
          <w:rFonts w:ascii="Book Antiqua" w:hAnsi="Book Antiqua"/>
          <w:lang w:val="en-GB"/>
        </w:rPr>
        <w:t xml:space="preserve"> (95%</w:t>
      </w:r>
      <w:r w:rsidR="000738A3" w:rsidRPr="000366BE">
        <w:rPr>
          <w:rFonts w:ascii="Book Antiqua" w:hAnsi="Book Antiqua"/>
          <w:lang w:val="en-GB"/>
        </w:rPr>
        <w:t xml:space="preserve">CI: 6.704–11.356 </w:t>
      </w:r>
      <w:proofErr w:type="spellStart"/>
      <w:r w:rsidR="000738A3" w:rsidRPr="000366BE">
        <w:rPr>
          <w:rFonts w:ascii="Book Antiqua" w:hAnsi="Book Antiqua"/>
          <w:lang w:val="en-GB"/>
        </w:rPr>
        <w:t>mo</w:t>
      </w:r>
      <w:proofErr w:type="spellEnd"/>
      <w:r w:rsidR="000738A3" w:rsidRPr="000366BE">
        <w:rPr>
          <w:rFonts w:ascii="Book Antiqua" w:hAnsi="Book Antiqua"/>
          <w:lang w:val="en-GB"/>
        </w:rPr>
        <w:t>).</w:t>
      </w:r>
      <w:r w:rsidR="000738A3" w:rsidRPr="000366BE">
        <w:rPr>
          <w:rFonts w:ascii="Book Antiqua" w:hAnsi="Book Antiqua"/>
          <w:shd w:val="clear" w:color="auto" w:fill="FFFFFF"/>
          <w:lang w:val="en-GB"/>
        </w:rPr>
        <w:t xml:space="preserve"> Median follow-up was 6.60 </w:t>
      </w:r>
      <w:proofErr w:type="spellStart"/>
      <w:proofErr w:type="gramStart"/>
      <w:r w:rsidR="000738A3" w:rsidRPr="000366BE">
        <w:rPr>
          <w:rFonts w:ascii="Book Antiqua" w:hAnsi="Book Antiqua"/>
          <w:shd w:val="clear" w:color="auto" w:fill="FFFFFF"/>
          <w:lang w:val="en-GB"/>
        </w:rPr>
        <w:t>mo</w:t>
      </w:r>
      <w:proofErr w:type="spellEnd"/>
      <w:proofErr w:type="gramEnd"/>
      <w:r w:rsidRPr="000366BE">
        <w:rPr>
          <w:rFonts w:ascii="Book Antiqua" w:hAnsi="Book Antiqua"/>
          <w:shd w:val="clear" w:color="auto" w:fill="FFFFFF"/>
          <w:lang w:val="en-GB"/>
        </w:rPr>
        <w:t xml:space="preserve"> </w:t>
      </w:r>
      <w:r w:rsidR="000738A3" w:rsidRPr="000366BE">
        <w:rPr>
          <w:rFonts w:ascii="Book Antiqua" w:hAnsi="Book Antiqua"/>
          <w:shd w:val="clear" w:color="auto" w:fill="FFFFFF"/>
          <w:lang w:val="en-GB"/>
        </w:rPr>
        <w:t>(</w:t>
      </w:r>
      <w:r w:rsidRPr="000366BE">
        <w:rPr>
          <w:rFonts w:ascii="Book Antiqua" w:hAnsi="Book Antiqua"/>
          <w:lang w:val="en-GB"/>
        </w:rPr>
        <w:t xml:space="preserve">95%CI: 5.285–7.915 </w:t>
      </w:r>
      <w:proofErr w:type="spellStart"/>
      <w:r w:rsidRPr="000366BE">
        <w:rPr>
          <w:rFonts w:ascii="Book Antiqua" w:hAnsi="Book Antiqua"/>
          <w:lang w:val="en-GB"/>
        </w:rPr>
        <w:t>mo</w:t>
      </w:r>
      <w:proofErr w:type="spellEnd"/>
      <w:r w:rsidR="000738A3" w:rsidRPr="000366BE">
        <w:rPr>
          <w:rFonts w:ascii="Book Antiqua" w:hAnsi="Book Antiqua"/>
          <w:lang w:val="en-GB"/>
        </w:rPr>
        <w:t>)</w:t>
      </w:r>
      <w:r w:rsidR="000738A3" w:rsidRPr="000366BE">
        <w:rPr>
          <w:rFonts w:ascii="Book Antiqua" w:hAnsi="Book Antiqua"/>
          <w:shd w:val="clear" w:color="auto" w:fill="FFFFFF"/>
          <w:lang w:val="en-GB"/>
        </w:rPr>
        <w:t>.</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Using the ROC analysis </w:t>
      </w:r>
      <w:r w:rsidR="00C060E7" w:rsidRPr="000366BE">
        <w:rPr>
          <w:rFonts w:ascii="Book Antiqua" w:hAnsi="Book Antiqua"/>
          <w:lang w:val="en-GB"/>
        </w:rPr>
        <w:t>(Figure 3</w:t>
      </w:r>
      <w:r w:rsidRPr="000366BE">
        <w:rPr>
          <w:rFonts w:ascii="Book Antiqua" w:hAnsi="Book Antiqua"/>
          <w:lang w:val="en-GB"/>
        </w:rPr>
        <w:t>A</w:t>
      </w:r>
      <w:r w:rsidR="00C060E7" w:rsidRPr="000366BE">
        <w:rPr>
          <w:rFonts w:ascii="Book Antiqua" w:hAnsi="Book Antiqua"/>
          <w:lang w:val="en-GB"/>
        </w:rPr>
        <w:t>)</w:t>
      </w:r>
      <w:r w:rsidRPr="000366BE">
        <w:rPr>
          <w:rFonts w:ascii="Book Antiqua" w:hAnsi="Book Antiqua"/>
          <w:lang w:val="en-GB"/>
        </w:rPr>
        <w:t xml:space="preserve"> we identified a cut-off value of 7.41 </w:t>
      </w:r>
      <w:proofErr w:type="spellStart"/>
      <w:r w:rsidRPr="000366BE">
        <w:rPr>
          <w:rFonts w:ascii="Book Antiqua" w:hAnsi="Book Antiqua"/>
          <w:lang w:val="en-GB"/>
        </w:rPr>
        <w:t>pg</w:t>
      </w:r>
      <w:proofErr w:type="spellEnd"/>
      <w:r w:rsidRPr="000366BE">
        <w:rPr>
          <w:rFonts w:ascii="Book Antiqua" w:hAnsi="Book Antiqua"/>
          <w:lang w:val="en-GB"/>
        </w:rPr>
        <w:t xml:space="preserve">/mL for </w:t>
      </w:r>
      <w:r w:rsidRPr="000366BE">
        <w:rPr>
          <w:rFonts w:ascii="Book Antiqua" w:hAnsi="Book Antiqua"/>
          <w:bCs/>
          <w:lang w:val="en-US"/>
        </w:rPr>
        <w:t>TNF-α basal level (AUC</w:t>
      </w:r>
      <w:r w:rsidR="00C060E7" w:rsidRPr="000366BE">
        <w:rPr>
          <w:rFonts w:ascii="Book Antiqua" w:hAnsi="Book Antiqua"/>
          <w:bCs/>
          <w:lang w:val="en-US"/>
        </w:rPr>
        <w:t xml:space="preserve">: 0.908, 95%CI: </w:t>
      </w:r>
      <w:r w:rsidRPr="000366BE">
        <w:rPr>
          <w:rFonts w:ascii="Book Antiqua" w:hAnsi="Book Antiqua"/>
          <w:bCs/>
          <w:lang w:val="en-US"/>
        </w:rPr>
        <w:t xml:space="preserve">0.758-1.000, </w:t>
      </w:r>
      <w:r w:rsidRPr="000366BE">
        <w:rPr>
          <w:rFonts w:ascii="Book Antiqua" w:hAnsi="Book Antiqua"/>
          <w:i/>
          <w:lang w:val="en-GB"/>
        </w:rPr>
        <w:t>P</w:t>
      </w:r>
      <w:r w:rsidRPr="000366BE">
        <w:rPr>
          <w:rFonts w:ascii="Book Antiqua" w:hAnsi="Book Antiqua"/>
          <w:lang w:val="en-GB"/>
        </w:rPr>
        <w:t xml:space="preserve"> = 0.010). Then, using this cut-off value we clustered all patients into two groups, observing a higher PFS (5.20 </w:t>
      </w:r>
      <w:proofErr w:type="spellStart"/>
      <w:r w:rsidRPr="000366BE">
        <w:rPr>
          <w:rFonts w:ascii="Book Antiqua" w:hAnsi="Book Antiqua"/>
          <w:lang w:val="en-GB"/>
        </w:rPr>
        <w:t>mo</w:t>
      </w:r>
      <w:proofErr w:type="spellEnd"/>
      <w:r w:rsidR="00C060E7" w:rsidRPr="000366BE">
        <w:rPr>
          <w:rFonts w:ascii="Book Antiqua" w:hAnsi="Book Antiqua"/>
          <w:lang w:val="en-GB"/>
        </w:rPr>
        <w:t xml:space="preserve">, 95%CI: 4.198-6.202 </w:t>
      </w:r>
      <w:r w:rsidR="00C060E7" w:rsidRPr="000366BE">
        <w:rPr>
          <w:rFonts w:ascii="Book Antiqua" w:hAnsi="Book Antiqua"/>
          <w:i/>
          <w:lang w:val="en-GB"/>
        </w:rPr>
        <w:t>vs</w:t>
      </w:r>
      <w:r w:rsidRPr="000366BE">
        <w:rPr>
          <w:rFonts w:ascii="Book Antiqua" w:hAnsi="Book Antiqua"/>
          <w:lang w:val="en-GB"/>
        </w:rPr>
        <w:t xml:space="preserve"> 2.60 </w:t>
      </w:r>
      <w:proofErr w:type="spellStart"/>
      <w:r w:rsidRPr="000366BE">
        <w:rPr>
          <w:rFonts w:ascii="Book Antiqua" w:hAnsi="Book Antiqua"/>
          <w:lang w:val="en-GB"/>
        </w:rPr>
        <w:t>mo</w:t>
      </w:r>
      <w:proofErr w:type="spellEnd"/>
      <w:r w:rsidR="00C060E7" w:rsidRPr="000366BE">
        <w:rPr>
          <w:rFonts w:ascii="Book Antiqua" w:hAnsi="Book Antiqua"/>
          <w:lang w:val="en-GB"/>
        </w:rPr>
        <w:t>, 95%</w:t>
      </w:r>
      <w:r w:rsidRPr="000366BE">
        <w:rPr>
          <w:rFonts w:ascii="Book Antiqua" w:hAnsi="Book Antiqua"/>
          <w:lang w:val="en-GB"/>
        </w:rPr>
        <w:t xml:space="preserve">CI: 2.284-2.850, </w:t>
      </w:r>
      <w:r w:rsidRPr="000366BE">
        <w:rPr>
          <w:rFonts w:ascii="Book Antiqua" w:hAnsi="Book Antiqua"/>
          <w:i/>
          <w:lang w:val="en-GB"/>
        </w:rPr>
        <w:t>P =</w:t>
      </w:r>
      <w:r w:rsidRPr="000366BE">
        <w:rPr>
          <w:rFonts w:ascii="Book Antiqua" w:hAnsi="Book Antiqua"/>
          <w:lang w:val="en-GB"/>
        </w:rPr>
        <w:t xml:space="preserve"> 0.005) in patients with baseline </w:t>
      </w:r>
      <w:r w:rsidRPr="000366BE">
        <w:rPr>
          <w:rFonts w:ascii="Book Antiqua" w:hAnsi="Book Antiqua"/>
          <w:bCs/>
          <w:lang w:val="en-US"/>
        </w:rPr>
        <w:t xml:space="preserve">TNF-α </w:t>
      </w:r>
      <w:r w:rsidRPr="000366BE">
        <w:rPr>
          <w:rFonts w:ascii="Book Antiqua" w:hAnsi="Book Antiqua"/>
          <w:lang w:val="en-GB"/>
        </w:rPr>
        <w:t xml:space="preserve">below the cut-off point </w:t>
      </w:r>
      <w:r w:rsidR="00C060E7" w:rsidRPr="000366BE">
        <w:rPr>
          <w:rFonts w:ascii="Book Antiqua" w:hAnsi="Book Antiqua"/>
          <w:lang w:val="en-GB"/>
        </w:rPr>
        <w:t>(Figure 3</w:t>
      </w:r>
      <w:r w:rsidRPr="000366BE">
        <w:rPr>
          <w:rFonts w:ascii="Book Antiqua" w:hAnsi="Book Antiqua"/>
          <w:lang w:val="en-GB"/>
        </w:rPr>
        <w:t>B</w:t>
      </w:r>
      <w:r w:rsidR="00C060E7" w:rsidRPr="000366BE">
        <w:rPr>
          <w:rFonts w:ascii="Book Antiqua" w:hAnsi="Book Antiqua"/>
          <w:lang w:val="en-GB"/>
        </w:rPr>
        <w:t>)</w:t>
      </w:r>
      <w:r w:rsidRPr="000366BE">
        <w:rPr>
          <w:rFonts w:ascii="Book Antiqua" w:hAnsi="Book Antiqua"/>
          <w:lang w:val="en-GB"/>
        </w:rPr>
        <w:t xml:space="preserve">. </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We also observed in the same patients a better OS (16.60 </w:t>
      </w:r>
      <w:proofErr w:type="spellStart"/>
      <w:r w:rsidRPr="000366BE">
        <w:rPr>
          <w:rFonts w:ascii="Book Antiqua" w:hAnsi="Book Antiqua"/>
          <w:lang w:val="en-GB"/>
        </w:rPr>
        <w:t>mo</w:t>
      </w:r>
      <w:proofErr w:type="spellEnd"/>
      <w:r w:rsidR="00C060E7" w:rsidRPr="000366BE">
        <w:rPr>
          <w:rFonts w:ascii="Book Antiqua" w:hAnsi="Book Antiqua"/>
          <w:lang w:val="en-GB"/>
        </w:rPr>
        <w:t xml:space="preserve"> 95%</w:t>
      </w:r>
      <w:r w:rsidRPr="000366BE">
        <w:rPr>
          <w:rFonts w:ascii="Book Antiqua" w:hAnsi="Book Antiqua"/>
          <w:lang w:val="en-GB"/>
        </w:rPr>
        <w:t>CI:</w:t>
      </w:r>
      <w:r w:rsidR="00C060E7" w:rsidRPr="000366BE">
        <w:rPr>
          <w:rFonts w:ascii="Book Antiqua" w:hAnsi="Book Antiqua"/>
          <w:lang w:val="en-GB"/>
        </w:rPr>
        <w:t xml:space="preserve"> 16.171-17.029 </w:t>
      </w:r>
      <w:r w:rsidR="00C060E7" w:rsidRPr="000366BE">
        <w:rPr>
          <w:rFonts w:ascii="Book Antiqua" w:hAnsi="Book Antiqua"/>
          <w:i/>
          <w:lang w:val="en-GB"/>
        </w:rPr>
        <w:t>vs</w:t>
      </w:r>
      <w:r w:rsidRPr="000366BE">
        <w:rPr>
          <w:rFonts w:ascii="Book Antiqua" w:hAnsi="Book Antiqua"/>
          <w:lang w:val="en-GB"/>
        </w:rPr>
        <w:t xml:space="preserve"> 7.30 </w:t>
      </w:r>
      <w:proofErr w:type="spellStart"/>
      <w:r w:rsidRPr="000366BE">
        <w:rPr>
          <w:rFonts w:ascii="Book Antiqua" w:hAnsi="Book Antiqua"/>
          <w:lang w:val="en-GB"/>
        </w:rPr>
        <w:t>mo</w:t>
      </w:r>
      <w:proofErr w:type="spellEnd"/>
      <w:r w:rsidR="00C060E7" w:rsidRPr="000366BE">
        <w:rPr>
          <w:rFonts w:ascii="Book Antiqua" w:hAnsi="Book Antiqua"/>
          <w:lang w:val="en-GB"/>
        </w:rPr>
        <w:t>, 95%</w:t>
      </w:r>
      <w:r w:rsidRPr="000366BE">
        <w:rPr>
          <w:rFonts w:ascii="Book Antiqua" w:hAnsi="Book Antiqua"/>
          <w:lang w:val="en-GB"/>
        </w:rPr>
        <w:t xml:space="preserve">CI: 1.440-13.220, </w:t>
      </w:r>
      <w:r w:rsidRPr="000366BE">
        <w:rPr>
          <w:rFonts w:ascii="Book Antiqua" w:hAnsi="Book Antiqua"/>
          <w:i/>
          <w:lang w:val="en-GB"/>
        </w:rPr>
        <w:t>P</w:t>
      </w:r>
      <w:r w:rsidRPr="000366BE">
        <w:rPr>
          <w:rFonts w:ascii="Book Antiqua" w:hAnsi="Book Antiqua"/>
          <w:lang w:val="en-GB"/>
        </w:rPr>
        <w:t xml:space="preserve"> = 0.010) </w:t>
      </w:r>
      <w:r w:rsidR="00C060E7" w:rsidRPr="000366BE">
        <w:rPr>
          <w:rFonts w:ascii="Book Antiqua" w:hAnsi="Book Antiqua"/>
          <w:lang w:val="en-GB"/>
        </w:rPr>
        <w:t>(Figure 3</w:t>
      </w:r>
      <w:r w:rsidRPr="000366BE">
        <w:rPr>
          <w:rFonts w:ascii="Book Antiqua" w:hAnsi="Book Antiqua"/>
          <w:lang w:val="en-GB"/>
        </w:rPr>
        <w:t>C</w:t>
      </w:r>
      <w:r w:rsidR="00C060E7" w:rsidRPr="000366BE">
        <w:rPr>
          <w:rFonts w:ascii="Book Antiqua" w:hAnsi="Book Antiqua"/>
          <w:lang w:val="en-GB"/>
        </w:rPr>
        <w:t>)</w:t>
      </w:r>
      <w:r w:rsidRPr="000366BE">
        <w:rPr>
          <w:rFonts w:ascii="Book Antiqua" w:hAnsi="Book Antiqua"/>
          <w:lang w:val="en-GB"/>
        </w:rPr>
        <w:t xml:space="preserve">. </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There was no significant difference in PFS and OS according to the ROC analysis for the other cytokines (data not shown).</w:t>
      </w:r>
    </w:p>
    <w:p w:rsidR="000738A3" w:rsidRPr="000366BE" w:rsidRDefault="000738A3" w:rsidP="00D53342">
      <w:pPr>
        <w:adjustRightInd w:val="0"/>
        <w:snapToGrid w:val="0"/>
        <w:spacing w:line="360" w:lineRule="auto"/>
        <w:ind w:firstLineChars="100" w:firstLine="240"/>
        <w:jc w:val="both"/>
        <w:rPr>
          <w:rFonts w:ascii="Book Antiqua" w:hAnsi="Book Antiqua"/>
          <w:color w:val="000000"/>
          <w:shd w:val="clear" w:color="auto" w:fill="FFFFFF"/>
          <w:lang w:val="en-GB"/>
        </w:rPr>
      </w:pPr>
      <w:r w:rsidRPr="000366BE">
        <w:rPr>
          <w:rFonts w:ascii="Book Antiqua" w:hAnsi="Book Antiqua"/>
          <w:color w:val="000000"/>
          <w:shd w:val="clear" w:color="auto" w:fill="FFFFFF"/>
          <w:lang w:val="en-GB"/>
        </w:rPr>
        <w:t xml:space="preserve">Moreover, using the univariate Cox analysis, we observed that patients with plasma basal levels of TNF-α ≥ 7.41 </w:t>
      </w:r>
      <w:proofErr w:type="spellStart"/>
      <w:r w:rsidRPr="000366BE">
        <w:rPr>
          <w:rFonts w:ascii="Book Antiqua" w:hAnsi="Book Antiqua"/>
          <w:color w:val="000000"/>
          <w:shd w:val="clear" w:color="auto" w:fill="FFFFFF"/>
          <w:lang w:val="en-GB"/>
        </w:rPr>
        <w:t>pg</w:t>
      </w:r>
      <w:proofErr w:type="spellEnd"/>
      <w:r w:rsidRPr="000366BE">
        <w:rPr>
          <w:rFonts w:ascii="Book Antiqua" w:hAnsi="Book Antiqua"/>
          <w:color w:val="000000"/>
          <w:shd w:val="clear" w:color="auto" w:fill="FFFFFF"/>
          <w:lang w:val="en-GB"/>
        </w:rPr>
        <w:t>/mL had a significant increased risk to get progression disease compared to those with plasma basal levels of TNF</w:t>
      </w:r>
      <w:r w:rsidR="00C060E7" w:rsidRPr="000366BE">
        <w:rPr>
          <w:rFonts w:ascii="Book Antiqua" w:hAnsi="Book Antiqua"/>
          <w:color w:val="000000"/>
          <w:shd w:val="clear" w:color="auto" w:fill="FFFFFF"/>
          <w:lang w:val="en-GB"/>
        </w:rPr>
        <w:t xml:space="preserve">-α &lt; 7.41 </w:t>
      </w:r>
      <w:proofErr w:type="spellStart"/>
      <w:r w:rsidR="00C060E7" w:rsidRPr="000366BE">
        <w:rPr>
          <w:rFonts w:ascii="Book Antiqua" w:hAnsi="Book Antiqua"/>
          <w:color w:val="000000"/>
          <w:shd w:val="clear" w:color="auto" w:fill="FFFFFF"/>
          <w:lang w:val="en-GB"/>
        </w:rPr>
        <w:t>pg</w:t>
      </w:r>
      <w:proofErr w:type="spellEnd"/>
      <w:r w:rsidR="00C060E7" w:rsidRPr="000366BE">
        <w:rPr>
          <w:rFonts w:ascii="Book Antiqua" w:hAnsi="Book Antiqua"/>
          <w:color w:val="000000"/>
          <w:shd w:val="clear" w:color="auto" w:fill="FFFFFF"/>
          <w:lang w:val="en-GB"/>
        </w:rPr>
        <w:t>/mL (HR: 7.203, 95%</w:t>
      </w:r>
      <w:r w:rsidRPr="000366BE">
        <w:rPr>
          <w:rFonts w:ascii="Book Antiqua" w:hAnsi="Book Antiqua"/>
          <w:color w:val="000000"/>
          <w:shd w:val="clear" w:color="auto" w:fill="FFFFFF"/>
          <w:lang w:val="en-GB"/>
        </w:rPr>
        <w:t xml:space="preserve">CI: 1.531–33.882, </w:t>
      </w:r>
      <w:r w:rsidRPr="000366BE">
        <w:rPr>
          <w:rFonts w:ascii="Book Antiqua" w:hAnsi="Book Antiqua"/>
          <w:i/>
          <w:color w:val="000000"/>
          <w:shd w:val="clear" w:color="auto" w:fill="FFFFFF"/>
          <w:lang w:val="en-GB"/>
        </w:rPr>
        <w:t>P</w:t>
      </w:r>
      <w:r w:rsidR="00C060E7" w:rsidRPr="000366BE">
        <w:rPr>
          <w:rFonts w:ascii="Book Antiqua" w:hAnsi="Book Antiqua"/>
          <w:i/>
          <w:color w:val="000000"/>
          <w:shd w:val="clear" w:color="auto" w:fill="FFFFFF"/>
          <w:lang w:val="en-GB"/>
        </w:rPr>
        <w:t xml:space="preserve"> </w:t>
      </w:r>
      <w:r w:rsidRPr="000366BE">
        <w:rPr>
          <w:rFonts w:ascii="Book Antiqua" w:hAnsi="Book Antiqua"/>
          <w:color w:val="000000"/>
          <w:shd w:val="clear" w:color="auto" w:fill="FFFFFF"/>
          <w:lang w:val="en-GB"/>
        </w:rPr>
        <w:t xml:space="preserve">= 0.012) </w:t>
      </w:r>
      <w:r w:rsidR="00C060E7" w:rsidRPr="000366BE">
        <w:rPr>
          <w:rFonts w:ascii="Book Antiqua" w:hAnsi="Book Antiqua"/>
          <w:color w:val="000000"/>
          <w:shd w:val="clear" w:color="auto" w:fill="FFFFFF"/>
          <w:lang w:val="en-GB"/>
        </w:rPr>
        <w:t>(</w:t>
      </w:r>
      <w:r w:rsidRPr="000366BE">
        <w:rPr>
          <w:rFonts w:ascii="Book Antiqua" w:hAnsi="Book Antiqua"/>
          <w:color w:val="000000"/>
          <w:shd w:val="clear" w:color="auto" w:fill="FFFFFF"/>
          <w:lang w:val="en-GB"/>
        </w:rPr>
        <w:t>Figure 4</w:t>
      </w:r>
      <w:r w:rsidR="00C060E7" w:rsidRPr="000366BE">
        <w:rPr>
          <w:rFonts w:ascii="Book Antiqua" w:hAnsi="Book Antiqua"/>
          <w:color w:val="000000"/>
          <w:shd w:val="clear" w:color="auto" w:fill="FFFFFF"/>
          <w:lang w:val="en-GB"/>
        </w:rPr>
        <w:t>).</w:t>
      </w:r>
    </w:p>
    <w:p w:rsidR="000738A3" w:rsidRPr="000366BE" w:rsidRDefault="000738A3" w:rsidP="00D53342">
      <w:pPr>
        <w:adjustRightInd w:val="0"/>
        <w:snapToGrid w:val="0"/>
        <w:spacing w:line="360" w:lineRule="auto"/>
        <w:jc w:val="both"/>
        <w:rPr>
          <w:rFonts w:ascii="Book Antiqua" w:hAnsi="Book Antiqua"/>
          <w:b/>
          <w:lang w:val="en-GB"/>
        </w:rPr>
      </w:pPr>
    </w:p>
    <w:p w:rsidR="000738A3" w:rsidRPr="000366BE" w:rsidRDefault="000738A3" w:rsidP="00D53342">
      <w:pPr>
        <w:adjustRightInd w:val="0"/>
        <w:snapToGrid w:val="0"/>
        <w:spacing w:line="360" w:lineRule="auto"/>
        <w:jc w:val="both"/>
        <w:rPr>
          <w:rFonts w:ascii="Book Antiqua" w:hAnsi="Book Antiqua"/>
          <w:b/>
          <w:u w:val="single"/>
          <w:lang w:val="en-GB"/>
        </w:rPr>
      </w:pPr>
      <w:r w:rsidRPr="000366BE">
        <w:rPr>
          <w:rFonts w:ascii="Book Antiqua" w:hAnsi="Book Antiqua"/>
          <w:b/>
          <w:u w:val="single"/>
          <w:lang w:val="en-GB"/>
        </w:rPr>
        <w:t>DISCUSSION</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Our data show that patients that do not benefit from regorafenib might be identified by basal values of TNF-α and TGF-β before treatment.</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TNF-α promotes cancer invasion and angiogenesis associated with ep</w:t>
      </w:r>
      <w:r w:rsidR="00C060E7" w:rsidRPr="000366BE">
        <w:rPr>
          <w:rFonts w:ascii="Book Antiqua" w:hAnsi="Book Antiqua"/>
          <w:lang w:val="en-GB"/>
        </w:rPr>
        <w:t>ithelial-mesenchymal transition</w:t>
      </w:r>
      <w:r w:rsidRPr="000366BE">
        <w:rPr>
          <w:rFonts w:ascii="Book Antiqua" w:hAnsi="Book Antiqua"/>
          <w:lang w:val="en-GB"/>
        </w:rPr>
        <w:t xml:space="preserve"> through the involvemen</w:t>
      </w:r>
      <w:r w:rsidR="00C060E7" w:rsidRPr="000366BE">
        <w:rPr>
          <w:rFonts w:ascii="Book Antiqua" w:hAnsi="Book Antiqua"/>
          <w:lang w:val="en-GB"/>
        </w:rPr>
        <w:t>t of canonical NF-</w:t>
      </w:r>
      <w:proofErr w:type="spellStart"/>
      <w:r w:rsidR="00C060E7" w:rsidRPr="000366BE">
        <w:rPr>
          <w:rFonts w:ascii="Book Antiqua" w:hAnsi="Book Antiqua"/>
          <w:lang w:val="en-GB"/>
        </w:rPr>
        <w:t>κB</w:t>
      </w:r>
      <w:proofErr w:type="spellEnd"/>
      <w:r w:rsidR="00C060E7" w:rsidRPr="000366BE">
        <w:rPr>
          <w:rFonts w:ascii="Book Antiqua" w:hAnsi="Book Antiqua"/>
          <w:lang w:val="en-GB"/>
        </w:rPr>
        <w:t xml:space="preserve"> </w:t>
      </w:r>
      <w:proofErr w:type="gramStart"/>
      <w:r w:rsidR="00C060E7" w:rsidRPr="000366BE">
        <w:rPr>
          <w:rFonts w:ascii="Book Antiqua" w:hAnsi="Book Antiqua"/>
          <w:lang w:val="en-GB"/>
        </w:rPr>
        <w:t>signalling</w:t>
      </w:r>
      <w:r w:rsidRPr="000366BE">
        <w:rPr>
          <w:rFonts w:ascii="Book Antiqua" w:hAnsi="Book Antiqua"/>
          <w:vertAlign w:val="superscript"/>
          <w:lang w:val="en-GB"/>
        </w:rPr>
        <w:t>[</w:t>
      </w:r>
      <w:proofErr w:type="gramEnd"/>
      <w:r w:rsidRPr="000366BE">
        <w:rPr>
          <w:rFonts w:ascii="Book Antiqua" w:hAnsi="Book Antiqua"/>
          <w:vertAlign w:val="superscript"/>
          <w:lang w:val="en-GB"/>
        </w:rPr>
        <w:t>15]</w:t>
      </w:r>
      <w:r w:rsidRPr="000366BE">
        <w:rPr>
          <w:rFonts w:ascii="Book Antiqua" w:hAnsi="Book Antiqua"/>
          <w:lang w:val="en-GB"/>
        </w:rPr>
        <w:t>.</w:t>
      </w:r>
      <w:r w:rsidRPr="000366BE">
        <w:rPr>
          <w:rFonts w:ascii="Book Antiqua" w:hAnsi="Book Antiqua"/>
          <w:spacing w:val="-5"/>
          <w:lang w:val="en-GB" w:eastAsia="en-US"/>
        </w:rPr>
        <w:t xml:space="preserve"> </w:t>
      </w:r>
      <w:r w:rsidRPr="000366BE">
        <w:rPr>
          <w:rFonts w:ascii="Book Antiqua" w:hAnsi="Book Antiqua"/>
          <w:lang w:val="en-GB"/>
        </w:rPr>
        <w:t xml:space="preserve">Moreover TNF-α is also expressed at higher levels in various pre-neoplastic and tumor tissues. Furthermore, the increased TNF-α expression level in pre-cancerous and tumor cells is associated with the progression of malignant diseases such as chronic lymphocytic </w:t>
      </w:r>
      <w:proofErr w:type="spellStart"/>
      <w:r w:rsidRPr="000366BE">
        <w:rPr>
          <w:rFonts w:ascii="Book Antiqua" w:hAnsi="Book Antiqua"/>
          <w:lang w:val="en-GB"/>
        </w:rPr>
        <w:t>leukemia</w:t>
      </w:r>
      <w:proofErr w:type="spellEnd"/>
      <w:r w:rsidRPr="000366BE">
        <w:rPr>
          <w:rFonts w:ascii="Book Antiqua" w:hAnsi="Book Antiqua"/>
          <w:lang w:val="en-GB"/>
        </w:rPr>
        <w:t xml:space="preserve">, Barrett's adenocarcinoma, prostate cancer, breast cancer, and cervical </w:t>
      </w:r>
      <w:proofErr w:type="gramStart"/>
      <w:r w:rsidRPr="000366BE">
        <w:rPr>
          <w:rFonts w:ascii="Book Antiqua" w:hAnsi="Book Antiqua"/>
          <w:lang w:val="en-GB"/>
        </w:rPr>
        <w:t>carcinoma</w:t>
      </w:r>
      <w:r w:rsidRPr="000366BE">
        <w:rPr>
          <w:rFonts w:ascii="Book Antiqua" w:hAnsi="Book Antiqua"/>
          <w:vertAlign w:val="superscript"/>
          <w:lang w:val="en-GB"/>
        </w:rPr>
        <w:t>[</w:t>
      </w:r>
      <w:proofErr w:type="gramEnd"/>
      <w:r w:rsidRPr="000366BE">
        <w:rPr>
          <w:rFonts w:ascii="Book Antiqua" w:hAnsi="Book Antiqua"/>
          <w:vertAlign w:val="superscript"/>
          <w:lang w:val="en-GB"/>
        </w:rPr>
        <w:t>16-18]</w:t>
      </w:r>
      <w:r w:rsidRPr="000366BE">
        <w:rPr>
          <w:rFonts w:ascii="Book Antiqua" w:hAnsi="Book Antiqua"/>
          <w:lang w:val="en-GB"/>
        </w:rPr>
        <w:t>.</w:t>
      </w:r>
    </w:p>
    <w:p w:rsidR="000738A3" w:rsidRPr="000366BE" w:rsidRDefault="00C060E7"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High plasma levels of TNF-α </w:t>
      </w:r>
      <w:r w:rsidR="000738A3" w:rsidRPr="000366BE">
        <w:rPr>
          <w:rFonts w:ascii="Book Antiqua" w:hAnsi="Book Antiqua"/>
          <w:lang w:val="en-GB"/>
        </w:rPr>
        <w:t xml:space="preserve">are associated to an increased risk of </w:t>
      </w:r>
      <w:r w:rsidRPr="000366BE">
        <w:rPr>
          <w:rFonts w:ascii="Book Antiqua" w:hAnsi="Book Antiqua"/>
          <w:lang w:val="en-GB"/>
        </w:rPr>
        <w:t xml:space="preserve">recurrence and mortality in </w:t>
      </w:r>
      <w:proofErr w:type="gramStart"/>
      <w:r w:rsidRPr="000366BE">
        <w:rPr>
          <w:rFonts w:ascii="Book Antiqua" w:hAnsi="Book Antiqua"/>
          <w:lang w:val="en-GB"/>
        </w:rPr>
        <w:t>CRC</w:t>
      </w:r>
      <w:r w:rsidR="000738A3" w:rsidRPr="000366BE">
        <w:rPr>
          <w:rFonts w:ascii="Book Antiqua" w:hAnsi="Book Antiqua"/>
          <w:vertAlign w:val="superscript"/>
          <w:lang w:val="en-GB"/>
        </w:rPr>
        <w:t>[</w:t>
      </w:r>
      <w:proofErr w:type="gramEnd"/>
      <w:r w:rsidR="000738A3" w:rsidRPr="000366BE">
        <w:rPr>
          <w:rFonts w:ascii="Book Antiqua" w:hAnsi="Book Antiqua"/>
          <w:vertAlign w:val="superscript"/>
          <w:lang w:val="en-GB"/>
        </w:rPr>
        <w:t>9]</w:t>
      </w:r>
      <w:r w:rsidR="000738A3" w:rsidRPr="000366BE">
        <w:rPr>
          <w:rFonts w:ascii="Book Antiqua" w:hAnsi="Book Antiqua"/>
          <w:lang w:val="en-GB"/>
        </w:rPr>
        <w:t>. These findings indicate that TNF-α could be used as an indicator of cancer risk, prognosis and therapy response for cancer patients. Our results support its negative predictive role in regorafenib treatment.</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High plasma levels of TGF-β</w:t>
      </w:r>
      <w:r w:rsidRPr="000366BE">
        <w:rPr>
          <w:rFonts w:ascii="Book Antiqua" w:hAnsi="Book Antiqua"/>
          <w:lang w:val="en-US"/>
        </w:rPr>
        <w:t xml:space="preserve"> are associated to </w:t>
      </w:r>
      <w:r w:rsidRPr="000366BE">
        <w:rPr>
          <w:rFonts w:ascii="Book Antiqua" w:hAnsi="Book Antiqua"/>
          <w:lang w:val="en-GB"/>
        </w:rPr>
        <w:t>mRNA over-expression in colon cancer tissues and</w:t>
      </w:r>
      <w:r w:rsidR="00C060E7" w:rsidRPr="000366BE">
        <w:rPr>
          <w:rFonts w:ascii="Book Antiqua" w:hAnsi="Book Antiqua"/>
          <w:lang w:val="en-GB"/>
        </w:rPr>
        <w:t xml:space="preserve"> related to disease </w:t>
      </w:r>
      <w:proofErr w:type="gramStart"/>
      <w:r w:rsidR="00C060E7" w:rsidRPr="000366BE">
        <w:rPr>
          <w:rFonts w:ascii="Book Antiqua" w:hAnsi="Book Antiqua"/>
          <w:lang w:val="en-GB"/>
        </w:rPr>
        <w:t>progression</w:t>
      </w:r>
      <w:r w:rsidRPr="000366BE">
        <w:rPr>
          <w:rFonts w:ascii="Book Antiqua" w:hAnsi="Book Antiqua"/>
          <w:vertAlign w:val="superscript"/>
          <w:lang w:val="en-GB"/>
        </w:rPr>
        <w:t>[</w:t>
      </w:r>
      <w:proofErr w:type="gramEnd"/>
      <w:r w:rsidRPr="000366BE">
        <w:rPr>
          <w:rFonts w:ascii="Book Antiqua" w:hAnsi="Book Antiqua"/>
          <w:vertAlign w:val="superscript"/>
          <w:lang w:val="en-GB"/>
        </w:rPr>
        <w:t>8]</w:t>
      </w:r>
      <w:r w:rsidRPr="000366BE">
        <w:rPr>
          <w:rFonts w:ascii="Book Antiqua" w:hAnsi="Book Antiqua"/>
          <w:lang w:val="en-GB"/>
        </w:rPr>
        <w:t xml:space="preserve">. Numerous studies also demonstrated that TGF-β production by tumour cells might promote tumor growth and immune </w:t>
      </w:r>
      <w:r w:rsidR="00C060E7" w:rsidRPr="000366BE">
        <w:rPr>
          <w:rFonts w:ascii="Book Antiqua" w:hAnsi="Book Antiqua"/>
          <w:lang w:val="en-GB"/>
        </w:rPr>
        <w:t xml:space="preserve">escape and enhance </w:t>
      </w:r>
      <w:proofErr w:type="gramStart"/>
      <w:r w:rsidR="00C060E7" w:rsidRPr="000366BE">
        <w:rPr>
          <w:rFonts w:ascii="Book Antiqua" w:hAnsi="Book Antiqua"/>
          <w:lang w:val="en-GB"/>
        </w:rPr>
        <w:t>angiogenesis</w:t>
      </w:r>
      <w:r w:rsidRPr="000366BE">
        <w:rPr>
          <w:rFonts w:ascii="Book Antiqua" w:hAnsi="Book Antiqua"/>
          <w:vertAlign w:val="superscript"/>
          <w:lang w:val="en-GB"/>
        </w:rPr>
        <w:t>[</w:t>
      </w:r>
      <w:proofErr w:type="gramEnd"/>
      <w:r w:rsidRPr="000366BE">
        <w:rPr>
          <w:rFonts w:ascii="Book Antiqua" w:hAnsi="Book Antiqua"/>
          <w:vertAlign w:val="superscript"/>
          <w:lang w:val="en-GB"/>
        </w:rPr>
        <w:t>19-21]</w:t>
      </w:r>
      <w:r w:rsidR="00C060E7" w:rsidRPr="000366BE">
        <w:rPr>
          <w:rFonts w:ascii="Book Antiqua" w:hAnsi="Book Antiqua"/>
          <w:shd w:val="clear" w:color="auto" w:fill="FFFFFF"/>
          <w:lang w:val="en-GB"/>
        </w:rPr>
        <w:t xml:space="preserve">. </w:t>
      </w:r>
      <w:r w:rsidRPr="000366BE">
        <w:rPr>
          <w:rFonts w:ascii="Book Antiqua" w:hAnsi="Book Antiqua"/>
          <w:shd w:val="clear" w:color="auto" w:fill="FFFFFF"/>
          <w:lang w:val="en-GB"/>
        </w:rPr>
        <w:t>Moreover, tumor development removes a cell growth inhibitory signal and increases the amount of TGF-</w:t>
      </w:r>
      <w:r w:rsidRPr="000366BE">
        <w:rPr>
          <w:rFonts w:ascii="Book Antiqua" w:hAnsi="Book Antiqua"/>
          <w:shd w:val="clear" w:color="auto" w:fill="FFFFFF"/>
        </w:rPr>
        <w:t>β</w:t>
      </w:r>
      <w:r w:rsidRPr="000366BE">
        <w:rPr>
          <w:rFonts w:ascii="Book Antiqua" w:hAnsi="Book Antiqua"/>
          <w:shd w:val="clear" w:color="auto" w:fill="FFFFFF"/>
          <w:lang w:val="en-GB"/>
        </w:rPr>
        <w:t xml:space="preserve"> in t</w:t>
      </w:r>
      <w:r w:rsidR="00C060E7" w:rsidRPr="000366BE">
        <w:rPr>
          <w:rFonts w:ascii="Book Antiqua" w:hAnsi="Book Antiqua"/>
          <w:shd w:val="clear" w:color="auto" w:fill="FFFFFF"/>
          <w:lang w:val="en-GB"/>
        </w:rPr>
        <w:t xml:space="preserve">he tumor </w:t>
      </w:r>
      <w:proofErr w:type="gramStart"/>
      <w:r w:rsidR="00C060E7" w:rsidRPr="000366BE">
        <w:rPr>
          <w:rFonts w:ascii="Book Antiqua" w:hAnsi="Book Antiqua"/>
          <w:shd w:val="clear" w:color="auto" w:fill="FFFFFF"/>
          <w:lang w:val="en-GB"/>
        </w:rPr>
        <w:t>microenvironment</w:t>
      </w:r>
      <w:r w:rsidRPr="000366BE">
        <w:rPr>
          <w:rFonts w:ascii="Book Antiqua" w:hAnsi="Book Antiqua"/>
          <w:shd w:val="clear" w:color="auto" w:fill="FFFFFF"/>
          <w:vertAlign w:val="superscript"/>
          <w:lang w:val="en-GB"/>
        </w:rPr>
        <w:t>[</w:t>
      </w:r>
      <w:proofErr w:type="gramEnd"/>
      <w:r w:rsidRPr="000366BE">
        <w:rPr>
          <w:rFonts w:ascii="Book Antiqua" w:hAnsi="Book Antiqua"/>
          <w:shd w:val="clear" w:color="auto" w:fill="FFFFFF"/>
          <w:vertAlign w:val="superscript"/>
          <w:lang w:val="en-GB"/>
        </w:rPr>
        <w:t>22]</w:t>
      </w:r>
      <w:r w:rsidRPr="000366BE">
        <w:rPr>
          <w:rFonts w:ascii="Book Antiqua" w:hAnsi="Book Antiqua"/>
          <w:shd w:val="clear" w:color="auto" w:fill="FFFFFF"/>
          <w:lang w:val="en-GB"/>
        </w:rPr>
        <w:t>.</w:t>
      </w:r>
      <w:r w:rsidRPr="000366BE">
        <w:rPr>
          <w:rFonts w:ascii="Book Antiqua" w:hAnsi="Book Antiqua"/>
          <w:lang w:val="en-GB"/>
        </w:rPr>
        <w:t xml:space="preserve"> We found that the lower plasmatic levels of TGF-β</w:t>
      </w:r>
      <w:r w:rsidRPr="000366BE">
        <w:rPr>
          <w:rFonts w:ascii="Book Antiqua" w:hAnsi="Book Antiqua"/>
          <w:lang w:val="en-US"/>
        </w:rPr>
        <w:t xml:space="preserve"> are associated to longer PFS.</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VEGF plays a key role in angiogenic process. Previous studies reported that colon cancer patients have high levels of VEGF c</w:t>
      </w:r>
      <w:r w:rsidR="00C060E7" w:rsidRPr="000366BE">
        <w:rPr>
          <w:rFonts w:ascii="Book Antiqua" w:hAnsi="Book Antiqua"/>
          <w:lang w:val="en-GB"/>
        </w:rPr>
        <w:t xml:space="preserve">ompared to a healthy </w:t>
      </w:r>
      <w:proofErr w:type="gramStart"/>
      <w:r w:rsidR="00C060E7" w:rsidRPr="000366BE">
        <w:rPr>
          <w:rFonts w:ascii="Book Antiqua" w:hAnsi="Book Antiqua"/>
          <w:lang w:val="en-GB"/>
        </w:rPr>
        <w:t>population</w:t>
      </w:r>
      <w:r w:rsidRPr="000366BE">
        <w:rPr>
          <w:rFonts w:ascii="Book Antiqua" w:hAnsi="Book Antiqua"/>
          <w:vertAlign w:val="superscript"/>
          <w:lang w:val="en-GB"/>
        </w:rPr>
        <w:t>[</w:t>
      </w:r>
      <w:proofErr w:type="gramEnd"/>
      <w:r w:rsidRPr="000366BE">
        <w:rPr>
          <w:rFonts w:ascii="Book Antiqua" w:hAnsi="Book Antiqua"/>
          <w:vertAlign w:val="superscript"/>
          <w:lang w:val="en-GB"/>
        </w:rPr>
        <w:t>23]</w:t>
      </w:r>
      <w:r w:rsidRPr="000366BE">
        <w:rPr>
          <w:rFonts w:ascii="Book Antiqua" w:hAnsi="Book Antiqua"/>
          <w:lang w:val="en-GB"/>
        </w:rPr>
        <w:t xml:space="preserve"> and that VEGF expression is</w:t>
      </w:r>
      <w:r w:rsidR="00C060E7" w:rsidRPr="000366BE">
        <w:rPr>
          <w:rFonts w:ascii="Book Antiqua" w:hAnsi="Book Antiqua"/>
          <w:lang w:val="en-GB"/>
        </w:rPr>
        <w:t xml:space="preserve"> associated with poor prognosis</w:t>
      </w:r>
      <w:r w:rsidRPr="000366BE">
        <w:rPr>
          <w:rFonts w:ascii="Book Antiqua" w:hAnsi="Book Antiqua"/>
          <w:vertAlign w:val="superscript"/>
          <w:lang w:val="en-GB"/>
        </w:rPr>
        <w:t>[24]</w:t>
      </w:r>
      <w:r w:rsidRPr="000366BE">
        <w:rPr>
          <w:rFonts w:ascii="Book Antiqua" w:hAnsi="Book Antiqua"/>
          <w:lang w:val="en-GB"/>
        </w:rPr>
        <w:t>. Also our results show a higher basal value of VEGF in NR compared to a healthy population.</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bCs/>
          <w:lang w:val="en-US"/>
        </w:rPr>
        <w:t xml:space="preserve">CCL-2, </w:t>
      </w:r>
      <w:r w:rsidRPr="000366BE">
        <w:rPr>
          <w:rFonts w:ascii="Book Antiqua" w:hAnsi="Book Antiqua"/>
          <w:lang w:val="en-GB"/>
        </w:rPr>
        <w:t>CCL-4 and CCL-5 are small peptides structurally and functionally similar to growth factors which are able to induce leukocyte migration along a chemical gradient. The complex network of these chemokines and their receptors promote</w:t>
      </w:r>
      <w:r w:rsidR="00C060E7" w:rsidRPr="000366BE">
        <w:rPr>
          <w:rFonts w:ascii="Book Antiqua" w:hAnsi="Book Antiqua"/>
          <w:lang w:val="en-GB"/>
        </w:rPr>
        <w:t xml:space="preserve">s carcinogenesis and </w:t>
      </w:r>
      <w:proofErr w:type="gramStart"/>
      <w:r w:rsidR="00C060E7" w:rsidRPr="000366BE">
        <w:rPr>
          <w:rFonts w:ascii="Book Antiqua" w:hAnsi="Book Antiqua"/>
          <w:lang w:val="en-GB"/>
        </w:rPr>
        <w:t>metastasis</w:t>
      </w:r>
      <w:r w:rsidRPr="000366BE">
        <w:rPr>
          <w:rFonts w:ascii="Book Antiqua" w:hAnsi="Book Antiqua"/>
          <w:vertAlign w:val="superscript"/>
          <w:lang w:val="en-GB"/>
        </w:rPr>
        <w:t>[</w:t>
      </w:r>
      <w:proofErr w:type="gramEnd"/>
      <w:r w:rsidRPr="000366BE">
        <w:rPr>
          <w:rFonts w:ascii="Book Antiqua" w:hAnsi="Book Antiqua"/>
          <w:vertAlign w:val="superscript"/>
          <w:lang w:val="en-GB"/>
        </w:rPr>
        <w:t>25]</w:t>
      </w:r>
      <w:r w:rsidRPr="000366BE">
        <w:rPr>
          <w:rFonts w:ascii="Book Antiqua" w:hAnsi="Book Antiqua"/>
          <w:lang w:val="en-GB"/>
        </w:rPr>
        <w:t>.</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The expression of CCL-2 correlates with lymph node metastasis and predicts the risk of liver </w:t>
      </w:r>
      <w:proofErr w:type="gramStart"/>
      <w:r w:rsidRPr="000366BE">
        <w:rPr>
          <w:rFonts w:ascii="Book Antiqua" w:hAnsi="Book Antiqua"/>
          <w:lang w:val="en-GB"/>
        </w:rPr>
        <w:t>met</w:t>
      </w:r>
      <w:r w:rsidR="00C060E7" w:rsidRPr="000366BE">
        <w:rPr>
          <w:rFonts w:ascii="Book Antiqua" w:hAnsi="Book Antiqua"/>
          <w:lang w:val="en-GB"/>
        </w:rPr>
        <w:t>astasis</w:t>
      </w:r>
      <w:r w:rsidRPr="000366BE">
        <w:rPr>
          <w:rFonts w:ascii="Book Antiqua" w:hAnsi="Book Antiqua"/>
          <w:vertAlign w:val="superscript"/>
          <w:lang w:val="en-GB"/>
        </w:rPr>
        <w:t>[</w:t>
      </w:r>
      <w:proofErr w:type="gramEnd"/>
      <w:r w:rsidRPr="000366BE">
        <w:rPr>
          <w:rFonts w:ascii="Book Antiqua" w:hAnsi="Book Antiqua"/>
          <w:vertAlign w:val="superscript"/>
          <w:lang w:val="en-GB"/>
        </w:rPr>
        <w:t>10]</w:t>
      </w:r>
      <w:r w:rsidRPr="000366BE">
        <w:rPr>
          <w:rFonts w:ascii="Book Antiqua" w:hAnsi="Book Antiqua"/>
          <w:lang w:val="en-GB"/>
        </w:rPr>
        <w:t>. Indeed, we found that CCL-2 is significantly higher in NR than in healthy controls.</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CCL-4 is involved in the recruitment of CD103</w:t>
      </w:r>
      <w:r w:rsidRPr="000366BE">
        <w:rPr>
          <w:rFonts w:ascii="Book Antiqua" w:hAnsi="Book Antiqua"/>
          <w:vertAlign w:val="superscript"/>
          <w:lang w:val="en-GB"/>
        </w:rPr>
        <w:t>+</w:t>
      </w:r>
      <w:r w:rsidRPr="000366BE">
        <w:rPr>
          <w:rFonts w:ascii="Book Antiqua" w:hAnsi="Book Antiqua"/>
          <w:lang w:val="en-GB"/>
        </w:rPr>
        <w:t>-</w:t>
      </w:r>
      <w:r w:rsidR="00DE65A5" w:rsidRPr="000366BE">
        <w:rPr>
          <w:rFonts w:ascii="Book Antiqua" w:hAnsi="Book Antiqua"/>
          <w:lang w:val="en-GB"/>
        </w:rPr>
        <w:t>DCs</w:t>
      </w:r>
      <w:r w:rsidRPr="000366BE">
        <w:rPr>
          <w:rFonts w:ascii="Book Antiqua" w:hAnsi="Book Antiqua"/>
          <w:lang w:val="en-GB"/>
        </w:rPr>
        <w:t>. The failure of Batf3-dependent recruitment CD103</w:t>
      </w:r>
      <w:r w:rsidRPr="000366BE">
        <w:rPr>
          <w:rFonts w:ascii="Book Antiqua" w:hAnsi="Book Antiqua"/>
          <w:vertAlign w:val="superscript"/>
          <w:lang w:val="en-GB"/>
        </w:rPr>
        <w:t>+</w:t>
      </w:r>
      <w:r w:rsidRPr="000366BE">
        <w:rPr>
          <w:rFonts w:ascii="Book Antiqua" w:hAnsi="Book Antiqua"/>
          <w:lang w:val="en-GB"/>
        </w:rPr>
        <w:t xml:space="preserve">-DCs together with the activation of </w:t>
      </w:r>
      <w:proofErr w:type="spellStart"/>
      <w:r w:rsidRPr="000366BE">
        <w:rPr>
          <w:rFonts w:ascii="Book Antiqua" w:hAnsi="Book Antiqua"/>
          <w:lang w:val="en-GB"/>
        </w:rPr>
        <w:t>Wnt</w:t>
      </w:r>
      <w:proofErr w:type="spellEnd"/>
      <w:r w:rsidRPr="000366BE">
        <w:rPr>
          <w:rFonts w:ascii="Book Antiqua" w:hAnsi="Book Antiqua"/>
          <w:lang w:val="en-GB"/>
        </w:rPr>
        <w:t xml:space="preserve">/β-catenin pathway is a cause of non-T </w:t>
      </w:r>
      <w:r w:rsidR="00C060E7" w:rsidRPr="000366BE">
        <w:rPr>
          <w:rFonts w:ascii="Book Antiqua" w:hAnsi="Book Antiqua"/>
          <w:lang w:val="en-GB"/>
        </w:rPr>
        <w:t xml:space="preserve">cell-inflamed tumor </w:t>
      </w:r>
      <w:proofErr w:type="gramStart"/>
      <w:r w:rsidR="00C060E7" w:rsidRPr="000366BE">
        <w:rPr>
          <w:rFonts w:ascii="Book Antiqua" w:hAnsi="Book Antiqua"/>
          <w:lang w:val="en-GB"/>
        </w:rPr>
        <w:t>development</w:t>
      </w:r>
      <w:r w:rsidRPr="000366BE">
        <w:rPr>
          <w:rFonts w:ascii="Book Antiqua" w:hAnsi="Book Antiqua"/>
          <w:vertAlign w:val="superscript"/>
          <w:lang w:val="en-GB"/>
        </w:rPr>
        <w:t>[</w:t>
      </w:r>
      <w:proofErr w:type="gramEnd"/>
      <w:r w:rsidRPr="000366BE">
        <w:rPr>
          <w:rFonts w:ascii="Book Antiqua" w:hAnsi="Book Antiqua"/>
          <w:vertAlign w:val="superscript"/>
          <w:lang w:val="en-GB"/>
        </w:rPr>
        <w:t>26]</w:t>
      </w:r>
      <w:r w:rsidRPr="000366BE">
        <w:rPr>
          <w:rFonts w:ascii="Book Antiqua" w:hAnsi="Book Antiqua"/>
          <w:lang w:val="en-GB"/>
        </w:rPr>
        <w:t>. We found a difference between NR and R, even if no statistical significance was reached.</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CCL-5 promotes angiogenesis of endothelial cells, chemotaxis and tumor angiogenesis by VEGF production in h</w:t>
      </w:r>
      <w:r w:rsidR="00C060E7" w:rsidRPr="000366BE">
        <w:rPr>
          <w:rFonts w:ascii="Book Antiqua" w:hAnsi="Book Antiqua"/>
          <w:lang w:val="en-GB"/>
        </w:rPr>
        <w:t xml:space="preserve">uman cancer </w:t>
      </w:r>
      <w:proofErr w:type="gramStart"/>
      <w:r w:rsidR="00C060E7" w:rsidRPr="000366BE">
        <w:rPr>
          <w:rFonts w:ascii="Book Antiqua" w:hAnsi="Book Antiqua"/>
          <w:lang w:val="en-GB"/>
        </w:rPr>
        <w:t>cells</w:t>
      </w:r>
      <w:r w:rsidRPr="000366BE">
        <w:rPr>
          <w:rFonts w:ascii="Book Antiqua" w:hAnsi="Book Antiqua"/>
          <w:vertAlign w:val="superscript"/>
          <w:lang w:val="en-GB"/>
        </w:rPr>
        <w:t>[</w:t>
      </w:r>
      <w:proofErr w:type="gramEnd"/>
      <w:r w:rsidRPr="000366BE">
        <w:rPr>
          <w:rFonts w:ascii="Book Antiqua" w:hAnsi="Book Antiqua"/>
          <w:vertAlign w:val="superscript"/>
          <w:lang w:val="en-GB"/>
        </w:rPr>
        <w:t>12]</w:t>
      </w:r>
      <w:r w:rsidRPr="000366BE">
        <w:rPr>
          <w:rFonts w:ascii="Book Antiqua" w:hAnsi="Book Antiqua"/>
          <w:lang w:val="en-GB"/>
        </w:rPr>
        <w:t xml:space="preserve">. Our results do not show any difference in the distribution of this cytokine. Comparing our results with those of the </w:t>
      </w:r>
      <w:proofErr w:type="spellStart"/>
      <w:r w:rsidRPr="000366BE">
        <w:rPr>
          <w:rFonts w:ascii="Book Antiqua" w:hAnsi="Book Antiqua"/>
          <w:lang w:val="en-GB"/>
        </w:rPr>
        <w:t>Suenaga</w:t>
      </w:r>
      <w:proofErr w:type="spellEnd"/>
      <w:r w:rsidRPr="000366BE">
        <w:rPr>
          <w:rFonts w:ascii="Book Antiqua" w:hAnsi="Book Antiqua"/>
          <w:lang w:val="en-GB"/>
        </w:rPr>
        <w:t xml:space="preserve"> </w:t>
      </w:r>
      <w:r w:rsidRPr="000366BE">
        <w:rPr>
          <w:rFonts w:ascii="Book Antiqua" w:hAnsi="Book Antiqua"/>
          <w:i/>
          <w:lang w:val="en-GB"/>
        </w:rPr>
        <w:t xml:space="preserve">et </w:t>
      </w:r>
      <w:proofErr w:type="gramStart"/>
      <w:r w:rsidRPr="000366BE">
        <w:rPr>
          <w:rFonts w:ascii="Book Antiqua" w:hAnsi="Book Antiqua"/>
          <w:i/>
          <w:lang w:val="en-GB"/>
        </w:rPr>
        <w:t>al</w:t>
      </w:r>
      <w:r w:rsidR="00C060E7" w:rsidRPr="000366BE">
        <w:rPr>
          <w:rFonts w:ascii="Book Antiqua" w:hAnsi="Book Antiqua"/>
          <w:vertAlign w:val="superscript"/>
          <w:lang w:val="en-GB"/>
        </w:rPr>
        <w:t>[</w:t>
      </w:r>
      <w:proofErr w:type="gramEnd"/>
      <w:r w:rsidR="00C060E7" w:rsidRPr="000366BE">
        <w:rPr>
          <w:rFonts w:ascii="Book Antiqua" w:hAnsi="Book Antiqua"/>
          <w:vertAlign w:val="superscript"/>
          <w:lang w:val="en-GB"/>
        </w:rPr>
        <w:t>7]</w:t>
      </w:r>
      <w:r w:rsidRPr="000366BE">
        <w:rPr>
          <w:rFonts w:ascii="Book Antiqua" w:hAnsi="Book Antiqua"/>
          <w:lang w:val="en-GB"/>
        </w:rPr>
        <w:t xml:space="preserve"> study, the discrepancy in the levels of CCL-5 in the patients could be attributed to the cytokine analysis, which in our case was performed on serum samples instead of plasma samples which may contain platelet contamination. </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We found that R mCRC patients are characterized by low basal values of TGF-β</w:t>
      </w:r>
      <w:r w:rsidRPr="000366BE">
        <w:rPr>
          <w:rFonts w:ascii="Book Antiqua" w:hAnsi="Book Antiqua"/>
          <w:lang w:val="en-US"/>
        </w:rPr>
        <w:t xml:space="preserve">, </w:t>
      </w:r>
      <w:r w:rsidRPr="000366BE">
        <w:rPr>
          <w:rFonts w:ascii="Book Antiqua" w:hAnsi="Book Antiqua"/>
          <w:bCs/>
          <w:lang w:val="en-US"/>
        </w:rPr>
        <w:t xml:space="preserve">TNF-α, </w:t>
      </w:r>
      <w:r w:rsidRPr="000366BE">
        <w:rPr>
          <w:rFonts w:ascii="Book Antiqua" w:hAnsi="Book Antiqua"/>
          <w:lang w:val="en-US"/>
        </w:rPr>
        <w:t>VEGF</w:t>
      </w:r>
      <w:r w:rsidRPr="000366BE">
        <w:rPr>
          <w:rFonts w:ascii="Book Antiqua" w:hAnsi="Book Antiqua"/>
          <w:lang w:val="en-GB"/>
        </w:rPr>
        <w:t xml:space="preserve">, </w:t>
      </w:r>
      <w:r w:rsidRPr="000366BE">
        <w:rPr>
          <w:rFonts w:ascii="Book Antiqua" w:hAnsi="Book Antiqua"/>
          <w:bCs/>
          <w:lang w:val="en-US"/>
        </w:rPr>
        <w:t xml:space="preserve">CCL-2 </w:t>
      </w:r>
      <w:r w:rsidRPr="000366BE">
        <w:rPr>
          <w:rFonts w:ascii="Book Antiqua" w:hAnsi="Book Antiqua"/>
          <w:lang w:val="en-GB"/>
        </w:rPr>
        <w:t>and high levels of CCL-4 compared to NR patients, even if the high CCL-4 median value in the R group is due to the very high value of one patient.</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In general, the cytokine profile of R is similar to that of healthy volunteers.</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This observation suggests that R have an active immune system and this aspect could be the rea</w:t>
      </w:r>
      <w:r w:rsidR="00D53342" w:rsidRPr="000366BE">
        <w:rPr>
          <w:rFonts w:ascii="Book Antiqua" w:hAnsi="Book Antiqua"/>
          <w:lang w:val="en-GB"/>
        </w:rPr>
        <w:t xml:space="preserve">l difference between R and NR. </w:t>
      </w:r>
      <w:r w:rsidRPr="000366BE">
        <w:rPr>
          <w:rFonts w:ascii="Book Antiqua" w:hAnsi="Book Antiqua"/>
          <w:lang w:val="en-GB"/>
        </w:rPr>
        <w:t>Of course, our study is ham</w:t>
      </w:r>
      <w:r w:rsidR="00D53342" w:rsidRPr="000366BE">
        <w:rPr>
          <w:rFonts w:ascii="Book Antiqua" w:hAnsi="Book Antiqua"/>
          <w:lang w:val="en-GB"/>
        </w:rPr>
        <w:t>pered by important limitations.</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First of all, the number of patie</w:t>
      </w:r>
      <w:r w:rsidR="00D53342" w:rsidRPr="000366BE">
        <w:rPr>
          <w:rFonts w:ascii="Book Antiqua" w:hAnsi="Book Antiqua"/>
          <w:lang w:val="en-GB"/>
        </w:rPr>
        <w:t>nts precludes any Cox analysis.</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Another limitation is the lack of longitudinal analysis which precludes the possibility to distinguish between the prognostic or predictive role of this signature. However, since the purpose of our research work is to find predictive markers of treatment response, it is reasonable to take in considerati</w:t>
      </w:r>
      <w:r w:rsidR="00D53342" w:rsidRPr="000366BE">
        <w:rPr>
          <w:rFonts w:ascii="Book Antiqua" w:hAnsi="Book Antiqua"/>
          <w:lang w:val="en-GB"/>
        </w:rPr>
        <w:t xml:space="preserve">on only basal cytokine values. </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We are now leading a new study with the same experimental conditions but a different drug with the aim to verify the prognostic role, rather than predicti</w:t>
      </w:r>
      <w:r w:rsidR="00D53342" w:rsidRPr="000366BE">
        <w:rPr>
          <w:rFonts w:ascii="Book Antiqua" w:hAnsi="Book Antiqua"/>
          <w:lang w:val="en-GB"/>
        </w:rPr>
        <w:t xml:space="preserve">ve, of the proposed signature. </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It would also be of interest to explore different tumor types to verify the hypothesis that the true value of our signature is to identify patients with a better prognosis due to a functional immune system.</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shd w:val="clear" w:color="auto" w:fill="FFFFFF"/>
          <w:lang w:val="en-GB"/>
        </w:rPr>
        <w:t>On this basis, following a prospective study with a greater number of patients, we could identify a</w:t>
      </w:r>
      <w:r w:rsidRPr="000366BE">
        <w:rPr>
          <w:rFonts w:ascii="Book Antiqua" w:hAnsi="Book Antiqua"/>
          <w:lang w:val="en-GB"/>
        </w:rPr>
        <w:t xml:space="preserve"> potential score, which might </w:t>
      </w:r>
      <w:r w:rsidRPr="000366BE">
        <w:rPr>
          <w:rFonts w:ascii="Book Antiqua" w:hAnsi="Book Antiqua"/>
          <w:shd w:val="clear" w:color="auto" w:fill="FFFFFF"/>
          <w:lang w:val="en-GB"/>
        </w:rPr>
        <w:t xml:space="preserve">select a </w:t>
      </w:r>
      <w:r w:rsidRPr="000366BE">
        <w:rPr>
          <w:rFonts w:ascii="Book Antiqua" w:hAnsi="Book Antiqua"/>
          <w:lang w:val="en-GB"/>
        </w:rPr>
        <w:t>baseline cytokines profile</w:t>
      </w:r>
      <w:r w:rsidRPr="000366BE">
        <w:rPr>
          <w:rFonts w:ascii="Book Antiqua" w:hAnsi="Book Antiqua"/>
          <w:shd w:val="clear" w:color="auto" w:fill="FFFFFF"/>
          <w:lang w:val="en-GB"/>
        </w:rPr>
        <w:t xml:space="preserve"> able to identify NR patients who will not benefit from treatment with regorafenib. Also it might be a useful tool to drive decision-making process in daily clinical practice.</w:t>
      </w:r>
    </w:p>
    <w:p w:rsidR="000738A3" w:rsidRPr="000366BE" w:rsidRDefault="000738A3" w:rsidP="00D53342">
      <w:pPr>
        <w:adjustRightInd w:val="0"/>
        <w:snapToGrid w:val="0"/>
        <w:spacing w:line="360" w:lineRule="auto"/>
        <w:ind w:firstLineChars="100" w:firstLine="240"/>
        <w:jc w:val="both"/>
        <w:rPr>
          <w:rFonts w:ascii="Book Antiqua" w:hAnsi="Book Antiqua"/>
          <w:shd w:val="clear" w:color="auto" w:fill="FFFFFF"/>
          <w:lang w:val="en-GB"/>
        </w:rPr>
      </w:pPr>
      <w:r w:rsidRPr="000366BE">
        <w:rPr>
          <w:rFonts w:ascii="Book Antiqua" w:hAnsi="Book Antiqua"/>
          <w:shd w:val="clear" w:color="auto" w:fill="FFFFFF"/>
          <w:lang w:val="en-GB"/>
        </w:rPr>
        <w:t xml:space="preserve">The main limitation of the study is the small population of </w:t>
      </w:r>
      <w:proofErr w:type="spellStart"/>
      <w:r w:rsidRPr="000366BE">
        <w:rPr>
          <w:rFonts w:ascii="Book Antiqua" w:hAnsi="Book Antiqua"/>
          <w:shd w:val="clear" w:color="auto" w:fill="FFFFFF"/>
          <w:lang w:val="en-GB"/>
        </w:rPr>
        <w:t>mCRC</w:t>
      </w:r>
      <w:proofErr w:type="spellEnd"/>
      <w:r w:rsidRPr="000366BE">
        <w:rPr>
          <w:rFonts w:ascii="Book Antiqua" w:hAnsi="Book Antiqua"/>
          <w:shd w:val="clear" w:color="auto" w:fill="FFFFFF"/>
          <w:lang w:val="en-GB"/>
        </w:rPr>
        <w:t xml:space="preserve"> patients </w:t>
      </w:r>
      <w:proofErr w:type="spellStart"/>
      <w:r w:rsidRPr="000366BE">
        <w:rPr>
          <w:rFonts w:ascii="Book Antiqua" w:hAnsi="Book Antiqua"/>
          <w:shd w:val="clear" w:color="auto" w:fill="FFFFFF"/>
          <w:lang w:val="en-GB"/>
        </w:rPr>
        <w:t>analyzed</w:t>
      </w:r>
      <w:proofErr w:type="spellEnd"/>
      <w:r w:rsidRPr="000366BE">
        <w:rPr>
          <w:rFonts w:ascii="Book Antiqua" w:hAnsi="Book Antiqua"/>
          <w:shd w:val="clear" w:color="auto" w:fill="FFFFFF"/>
          <w:lang w:val="en-GB"/>
        </w:rPr>
        <w:t>. A validation in a larger patient population is strongly recommended.</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shd w:val="clear" w:color="auto" w:fill="FFFFFF"/>
          <w:lang w:val="en-GB"/>
        </w:rPr>
        <w:t>In addition, the same signature should be evaluated also in patients receiving other treatments, and then the possibility that this could represent a prognostic tool should be considered.</w:t>
      </w:r>
    </w:p>
    <w:p w:rsidR="000738A3" w:rsidRPr="000366BE" w:rsidRDefault="000738A3" w:rsidP="00D53342">
      <w:pPr>
        <w:adjustRightInd w:val="0"/>
        <w:snapToGrid w:val="0"/>
        <w:spacing w:line="360" w:lineRule="auto"/>
        <w:ind w:firstLineChars="100" w:firstLine="240"/>
        <w:jc w:val="both"/>
        <w:rPr>
          <w:rFonts w:ascii="Book Antiqua" w:hAnsi="Book Antiqua"/>
          <w:lang w:val="en-GB"/>
        </w:rPr>
      </w:pPr>
      <w:r w:rsidRPr="000366BE">
        <w:rPr>
          <w:rFonts w:ascii="Book Antiqua" w:hAnsi="Book Antiqua"/>
          <w:lang w:val="en-GB"/>
        </w:rPr>
        <w:t xml:space="preserve">In conclusion, taken together all these observations suggest that patients having high basal levels of TNF-α and TGF-β show a poor prognosis and, probably, will be less </w:t>
      </w:r>
      <w:proofErr w:type="gramStart"/>
      <w:r w:rsidRPr="000366BE">
        <w:rPr>
          <w:rFonts w:ascii="Book Antiqua" w:hAnsi="Book Antiqua"/>
          <w:lang w:val="en-GB"/>
        </w:rPr>
        <w:t>respondent</w:t>
      </w:r>
      <w:proofErr w:type="gramEnd"/>
      <w:r w:rsidRPr="000366BE">
        <w:rPr>
          <w:rFonts w:ascii="Book Antiqua" w:hAnsi="Book Antiqua"/>
          <w:lang w:val="en-GB"/>
        </w:rPr>
        <w:t xml:space="preserve"> to the regorafenib therapy. If our data is confirmed, it will be possible to identify NR mCRC patients in order to avoid ineffective treatments.</w:t>
      </w:r>
      <w:r w:rsidR="00D53342" w:rsidRPr="000366BE">
        <w:rPr>
          <w:rFonts w:ascii="Book Antiqua" w:hAnsi="Book Antiqua"/>
          <w:lang w:val="en-GB"/>
        </w:rPr>
        <w:t xml:space="preserve"> </w:t>
      </w:r>
      <w:r w:rsidRPr="000366BE">
        <w:rPr>
          <w:rFonts w:ascii="Book Antiqua" w:hAnsi="Book Antiqua"/>
          <w:lang w:val="en-GB"/>
        </w:rPr>
        <w:t>We are aware that our population is small and data should be verified on larger and independent series of patients. It might also be of interest to extend analysis to other cytokine and cell populations not considered in our study.</w:t>
      </w:r>
    </w:p>
    <w:p w:rsidR="000738A3" w:rsidRPr="000366BE" w:rsidRDefault="000738A3" w:rsidP="00D53342">
      <w:pPr>
        <w:adjustRightInd w:val="0"/>
        <w:snapToGrid w:val="0"/>
        <w:spacing w:line="360" w:lineRule="auto"/>
        <w:jc w:val="both"/>
        <w:rPr>
          <w:rFonts w:ascii="Book Antiqua" w:hAnsi="Book Antiqua"/>
          <w:b/>
          <w:lang w:val="en-GB"/>
        </w:rPr>
      </w:pPr>
    </w:p>
    <w:p w:rsidR="00D53342" w:rsidRPr="000366BE" w:rsidRDefault="00D53342" w:rsidP="00D53342">
      <w:pPr>
        <w:adjustRightInd w:val="0"/>
        <w:snapToGrid w:val="0"/>
        <w:spacing w:line="360" w:lineRule="auto"/>
        <w:jc w:val="both"/>
        <w:rPr>
          <w:rFonts w:ascii="Book Antiqua" w:eastAsia="宋体" w:hAnsi="Book Antiqua"/>
          <w:b/>
          <w:color w:val="000000"/>
          <w:u w:val="single"/>
          <w:lang w:eastAsia="zh-CN"/>
        </w:rPr>
      </w:pPr>
      <w:r w:rsidRPr="000366BE">
        <w:rPr>
          <w:rFonts w:ascii="Book Antiqua" w:hAnsi="Book Antiqua"/>
          <w:b/>
          <w:color w:val="000000"/>
          <w:u w:val="single"/>
        </w:rPr>
        <w:t>ARTICLE HIGHLIGHTS</w:t>
      </w:r>
    </w:p>
    <w:p w:rsidR="000738A3" w:rsidRPr="000366BE" w:rsidRDefault="000738A3" w:rsidP="00D53342">
      <w:pPr>
        <w:adjustRightInd w:val="0"/>
        <w:snapToGrid w:val="0"/>
        <w:spacing w:line="360" w:lineRule="auto"/>
        <w:jc w:val="both"/>
        <w:rPr>
          <w:rFonts w:ascii="Book Antiqua" w:hAnsi="Book Antiqua" w:cs="Arial"/>
          <w:lang w:val="en-GB"/>
        </w:rPr>
      </w:pPr>
      <w:r w:rsidRPr="000366BE">
        <w:rPr>
          <w:rFonts w:ascii="Book Antiqua" w:hAnsi="Book Antiqua" w:cs="Arial"/>
          <w:b/>
          <w:i/>
          <w:lang w:val="en-GB"/>
        </w:rPr>
        <w:t>Research background</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US"/>
        </w:rPr>
        <w:t>C</w:t>
      </w:r>
      <w:proofErr w:type="spellStart"/>
      <w:r w:rsidRPr="000366BE">
        <w:rPr>
          <w:rFonts w:ascii="Book Antiqua" w:hAnsi="Book Antiqua"/>
          <w:lang w:val="en-GB"/>
        </w:rPr>
        <w:t>olorectal</w:t>
      </w:r>
      <w:proofErr w:type="spellEnd"/>
      <w:r w:rsidRPr="000366BE">
        <w:rPr>
          <w:rFonts w:ascii="Book Antiqua" w:hAnsi="Book Antiqua"/>
          <w:lang w:val="en-GB"/>
        </w:rPr>
        <w:t xml:space="preserve"> cancer is one of the leading causes of cancer-related death and the third most commonly diagnosed cancer in humans in the world. For many years 5-fluorouracil was the only active drug for treatment of metastatic </w:t>
      </w:r>
      <w:r w:rsidRPr="000366BE">
        <w:rPr>
          <w:rFonts w:ascii="Book Antiqua" w:hAnsi="Book Antiqua"/>
          <w:lang w:val="en-US"/>
        </w:rPr>
        <w:t>c</w:t>
      </w:r>
      <w:proofErr w:type="spellStart"/>
      <w:r w:rsidRPr="000366BE">
        <w:rPr>
          <w:rFonts w:ascii="Book Antiqua" w:hAnsi="Book Antiqua"/>
          <w:lang w:val="en-GB"/>
        </w:rPr>
        <w:t>olorectal</w:t>
      </w:r>
      <w:proofErr w:type="spellEnd"/>
      <w:r w:rsidRPr="000366BE">
        <w:rPr>
          <w:rFonts w:ascii="Book Antiqua" w:hAnsi="Book Antiqua"/>
          <w:lang w:val="en-GB"/>
        </w:rPr>
        <w:t xml:space="preserve"> cancer (</w:t>
      </w:r>
      <w:proofErr w:type="spellStart"/>
      <w:r w:rsidRPr="000366BE">
        <w:rPr>
          <w:rFonts w:ascii="Book Antiqua" w:hAnsi="Book Antiqua"/>
          <w:lang w:val="en-GB"/>
        </w:rPr>
        <w:t>mCRC</w:t>
      </w:r>
      <w:proofErr w:type="spellEnd"/>
      <w:r w:rsidRPr="000366BE">
        <w:rPr>
          <w:rFonts w:ascii="Book Antiqua" w:hAnsi="Book Antiqua"/>
          <w:lang w:val="en-GB"/>
        </w:rPr>
        <w:t xml:space="preserve">). The addition of irinotecan and oxaliplatin to </w:t>
      </w:r>
      <w:r w:rsidR="00D53342" w:rsidRPr="000366BE">
        <w:rPr>
          <w:rFonts w:ascii="Book Antiqua" w:hAnsi="Book Antiqua"/>
          <w:lang w:val="en-GB"/>
        </w:rPr>
        <w:t>5-fluorouracil</w:t>
      </w:r>
      <w:r w:rsidRPr="000366BE">
        <w:rPr>
          <w:rFonts w:ascii="Book Antiqua" w:hAnsi="Book Antiqua"/>
          <w:lang w:val="en-GB"/>
        </w:rPr>
        <w:t xml:space="preserve"> increased the median progression free survival (PFS), which further improved with the later addition of targe</w:t>
      </w:r>
      <w:r w:rsidR="00D53342" w:rsidRPr="000366BE">
        <w:rPr>
          <w:rFonts w:ascii="Book Antiqua" w:hAnsi="Book Antiqua"/>
          <w:lang w:val="en-GB"/>
        </w:rPr>
        <w:t xml:space="preserve">t therapies. </w:t>
      </w:r>
      <w:r w:rsidRPr="000366BE">
        <w:rPr>
          <w:rFonts w:ascii="Book Antiqua" w:hAnsi="Book Antiqua"/>
          <w:lang w:val="en-GB"/>
        </w:rPr>
        <w:t xml:space="preserve">Regorafenib is a multi-kinase inhibitor targeting VEGFR1-3, TIE2, </w:t>
      </w:r>
      <w:r w:rsidR="00980347" w:rsidRPr="000366BE">
        <w:rPr>
          <w:rFonts w:ascii="Book Antiqua" w:hAnsi="Book Antiqua"/>
          <w:lang w:val="en-GB"/>
        </w:rPr>
        <w:t>fibroblast growth factor</w:t>
      </w:r>
      <w:r w:rsidR="00980347" w:rsidRPr="000366BE">
        <w:rPr>
          <w:rStyle w:val="a8"/>
          <w:rFonts w:ascii="Book Antiqua" w:hAnsi="Book Antiqua" w:cs="Arial"/>
          <w:b/>
          <w:bCs/>
          <w:i w:val="0"/>
          <w:shd w:val="clear" w:color="auto" w:fill="FFFFFF"/>
          <w:lang w:val="en-GB"/>
        </w:rPr>
        <w:t xml:space="preserve"> </w:t>
      </w:r>
      <w:r w:rsidR="00980347" w:rsidRPr="000366BE">
        <w:rPr>
          <w:rFonts w:ascii="Book Antiqua" w:hAnsi="Book Antiqua"/>
          <w:lang w:val="en-GB"/>
        </w:rPr>
        <w:t xml:space="preserve">receptors </w:t>
      </w:r>
      <w:r w:rsidRPr="000366BE">
        <w:rPr>
          <w:rFonts w:ascii="Book Antiqua" w:hAnsi="Book Antiqua"/>
          <w:lang w:val="en-GB"/>
        </w:rPr>
        <w:t xml:space="preserve">1 and </w:t>
      </w:r>
      <w:r w:rsidR="00980347" w:rsidRPr="000366BE">
        <w:rPr>
          <w:rFonts w:ascii="Book Antiqua" w:hAnsi="Book Antiqua"/>
          <w:lang w:val="en-GB"/>
        </w:rPr>
        <w:t xml:space="preserve">platelet-derived growth factor receptors </w:t>
      </w:r>
      <w:r w:rsidRPr="000366BE">
        <w:rPr>
          <w:rFonts w:ascii="Book Antiqua" w:hAnsi="Book Antiqua"/>
          <w:lang w:val="en-GB"/>
        </w:rPr>
        <w:t>β, c-KIT, RET, c-RAF/RAF-1, BRAF V600E mutant. It can be used after failure of conventional tr</w:t>
      </w:r>
      <w:r w:rsidR="00D53342" w:rsidRPr="000366BE">
        <w:rPr>
          <w:rFonts w:ascii="Book Antiqua" w:hAnsi="Book Antiqua"/>
          <w:lang w:val="en-GB"/>
        </w:rPr>
        <w:t>eatment options.</w:t>
      </w:r>
    </w:p>
    <w:p w:rsidR="000738A3" w:rsidRPr="000366BE" w:rsidRDefault="000738A3" w:rsidP="00D53342">
      <w:pPr>
        <w:adjustRightInd w:val="0"/>
        <w:snapToGrid w:val="0"/>
        <w:spacing w:line="360" w:lineRule="auto"/>
        <w:jc w:val="both"/>
        <w:rPr>
          <w:rFonts w:ascii="Book Antiqua" w:hAnsi="Book Antiqua" w:cs="Arial"/>
          <w:lang w:val="en-GB"/>
        </w:rPr>
      </w:pPr>
    </w:p>
    <w:p w:rsidR="000738A3" w:rsidRPr="000366BE" w:rsidRDefault="000738A3" w:rsidP="00D53342">
      <w:pPr>
        <w:adjustRightInd w:val="0"/>
        <w:snapToGrid w:val="0"/>
        <w:spacing w:line="360" w:lineRule="auto"/>
        <w:jc w:val="both"/>
        <w:rPr>
          <w:rFonts w:ascii="Book Antiqua" w:hAnsi="Book Antiqua" w:cs="Arial"/>
          <w:lang w:val="en-GB"/>
        </w:rPr>
      </w:pPr>
      <w:r w:rsidRPr="000366BE">
        <w:rPr>
          <w:rFonts w:ascii="Book Antiqua" w:hAnsi="Book Antiqua" w:cs="Arial"/>
          <w:b/>
          <w:i/>
          <w:lang w:val="en-GB"/>
        </w:rPr>
        <w:t>Research motivation</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 xml:space="preserve">In previous studies, regorafenib monotherapy showed the ability to improve PFS and </w:t>
      </w:r>
      <w:r w:rsidR="00D53342" w:rsidRPr="000366BE">
        <w:rPr>
          <w:rFonts w:ascii="Book Antiqua" w:hAnsi="Book Antiqua"/>
          <w:lang w:val="en-GB"/>
        </w:rPr>
        <w:t>overall survival</w:t>
      </w:r>
      <w:r w:rsidRPr="000366BE">
        <w:rPr>
          <w:rFonts w:ascii="Book Antiqua" w:hAnsi="Book Antiqua"/>
          <w:lang w:val="en-GB"/>
        </w:rPr>
        <w:t xml:space="preserve"> in a subset of mCRC patients. However, no appropriate biomarkers are currently available.</w:t>
      </w:r>
      <w:r w:rsidR="00D53342" w:rsidRPr="000366BE">
        <w:rPr>
          <w:rFonts w:ascii="Book Antiqua" w:hAnsi="Book Antiqua"/>
          <w:lang w:val="en-GB"/>
        </w:rPr>
        <w:t xml:space="preserve"> </w:t>
      </w:r>
      <w:r w:rsidRPr="000366BE">
        <w:rPr>
          <w:rFonts w:ascii="Book Antiqua" w:hAnsi="Book Antiqua"/>
          <w:lang w:val="en-GB"/>
        </w:rPr>
        <w:t xml:space="preserve">We </w:t>
      </w:r>
      <w:proofErr w:type="spellStart"/>
      <w:r w:rsidRPr="000366BE">
        <w:rPr>
          <w:rFonts w:ascii="Book Antiqua" w:hAnsi="Book Antiqua"/>
          <w:lang w:val="en-GB"/>
        </w:rPr>
        <w:t>analyzed</w:t>
      </w:r>
      <w:proofErr w:type="spellEnd"/>
      <w:r w:rsidRPr="000366BE">
        <w:rPr>
          <w:rFonts w:ascii="Book Antiqua" w:hAnsi="Book Antiqua"/>
          <w:lang w:val="en-GB"/>
        </w:rPr>
        <w:t xml:space="preserve"> the levels of many cytokines involved in angiogenesis and CRC pathogenesis, in plasma of mCRC patients before treatment with regorafenib. Our purpose was to identify potential biomarkers to select patients most likely to respond to regorafenib.</w:t>
      </w:r>
    </w:p>
    <w:p w:rsidR="000738A3" w:rsidRPr="000366BE" w:rsidRDefault="000738A3" w:rsidP="00D53342">
      <w:pPr>
        <w:adjustRightInd w:val="0"/>
        <w:snapToGrid w:val="0"/>
        <w:spacing w:line="360" w:lineRule="auto"/>
        <w:jc w:val="both"/>
        <w:rPr>
          <w:rFonts w:ascii="Book Antiqua" w:hAnsi="Book Antiqua" w:cs="Arial"/>
          <w:lang w:val="en-GB"/>
        </w:rPr>
      </w:pPr>
    </w:p>
    <w:p w:rsidR="000738A3" w:rsidRPr="000366BE" w:rsidRDefault="000738A3" w:rsidP="00D53342">
      <w:pPr>
        <w:adjustRightInd w:val="0"/>
        <w:snapToGrid w:val="0"/>
        <w:spacing w:line="360" w:lineRule="auto"/>
        <w:jc w:val="both"/>
        <w:rPr>
          <w:rFonts w:ascii="Book Antiqua" w:hAnsi="Book Antiqua" w:cs="Arial"/>
          <w:lang w:val="en-GB"/>
        </w:rPr>
      </w:pPr>
      <w:r w:rsidRPr="000366BE">
        <w:rPr>
          <w:rFonts w:ascii="Book Antiqua" w:hAnsi="Book Antiqua" w:cs="Arial"/>
          <w:b/>
          <w:i/>
          <w:lang w:val="en-GB"/>
        </w:rPr>
        <w:t>Research objectives</w:t>
      </w:r>
    </w:p>
    <w:p w:rsidR="000738A3" w:rsidRPr="000366BE" w:rsidRDefault="000738A3" w:rsidP="00D53342">
      <w:pPr>
        <w:pStyle w:val="HTML"/>
        <w:adjustRightInd w:val="0"/>
        <w:snapToGrid w:val="0"/>
        <w:spacing w:line="360" w:lineRule="auto"/>
        <w:jc w:val="both"/>
        <w:rPr>
          <w:rFonts w:ascii="Book Antiqua" w:hAnsi="Book Antiqua" w:cs="Times New Roman"/>
          <w:sz w:val="24"/>
          <w:szCs w:val="24"/>
          <w:lang w:val="en-GB"/>
        </w:rPr>
      </w:pPr>
      <w:r w:rsidRPr="000366BE">
        <w:rPr>
          <w:rFonts w:ascii="Book Antiqua" w:hAnsi="Book Antiqua" w:cs="Times New Roman"/>
          <w:sz w:val="24"/>
          <w:szCs w:val="24"/>
          <w:lang w:val="en-GB"/>
        </w:rPr>
        <w:t>The aim of our study is to identify biomarkers useful to select mCRC patients for treatment with regorafenib and, possibly, an immune profile potentially correlated with the clinical outcome.</w:t>
      </w:r>
    </w:p>
    <w:p w:rsidR="00D53342" w:rsidRPr="000366BE" w:rsidRDefault="000738A3" w:rsidP="00D53342">
      <w:pPr>
        <w:adjustRightInd w:val="0"/>
        <w:snapToGrid w:val="0"/>
        <w:spacing w:line="360" w:lineRule="auto"/>
        <w:jc w:val="both"/>
        <w:rPr>
          <w:rFonts w:ascii="Book Antiqua" w:hAnsi="Book Antiqua" w:cs="Arial"/>
          <w:lang w:val="en-GB"/>
        </w:rPr>
      </w:pPr>
      <w:r w:rsidRPr="000366BE">
        <w:rPr>
          <w:rFonts w:ascii="Book Antiqua" w:hAnsi="Book Antiqua" w:cs="Arial"/>
          <w:lang w:val="en-GB"/>
        </w:rPr>
        <w:t xml:space="preserve"> </w:t>
      </w:r>
    </w:p>
    <w:p w:rsidR="000738A3" w:rsidRPr="000366BE" w:rsidRDefault="000738A3" w:rsidP="00D53342">
      <w:pPr>
        <w:adjustRightInd w:val="0"/>
        <w:snapToGrid w:val="0"/>
        <w:spacing w:line="360" w:lineRule="auto"/>
        <w:jc w:val="both"/>
        <w:rPr>
          <w:rFonts w:ascii="Book Antiqua" w:hAnsi="Book Antiqua" w:cs="Arial"/>
          <w:lang w:val="en-GB"/>
        </w:rPr>
      </w:pPr>
      <w:r w:rsidRPr="000366BE">
        <w:rPr>
          <w:rFonts w:ascii="Book Antiqua" w:hAnsi="Book Antiqua" w:cs="Arial"/>
          <w:b/>
          <w:i/>
          <w:lang w:val="en-GB"/>
        </w:rPr>
        <w:t>Research methods</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 xml:space="preserve">We collected blood samples of mCRC patients before starting regorafenib therapy for the evaluation of circulating TNF-α, TGF-β, VEGF, CCL-2, CCL-4, and CCL-5. </w:t>
      </w:r>
      <w:r w:rsidRPr="000366BE">
        <w:rPr>
          <w:rFonts w:ascii="Book Antiqua" w:eastAsia="MS Mincho" w:hAnsi="Book Antiqua"/>
          <w:lang w:val="en-GB" w:eastAsia="ja-JP"/>
        </w:rPr>
        <w:t xml:space="preserve">The cytokines were measured at baseline </w:t>
      </w:r>
      <w:r w:rsidRPr="000366BE">
        <w:rPr>
          <w:rFonts w:ascii="Book Antiqua" w:hAnsi="Book Antiqua"/>
          <w:lang w:val="en-GB"/>
        </w:rPr>
        <w:t xml:space="preserve">using ELISA tests and the clinical outcome of each patient was correlated to the cytokines profile. We also </w:t>
      </w:r>
      <w:proofErr w:type="spellStart"/>
      <w:r w:rsidRPr="000366BE">
        <w:rPr>
          <w:rFonts w:ascii="Book Antiqua" w:hAnsi="Book Antiqua"/>
          <w:lang w:val="en-GB"/>
        </w:rPr>
        <w:t>analyzed</w:t>
      </w:r>
      <w:proofErr w:type="spellEnd"/>
      <w:r w:rsidRPr="000366BE">
        <w:rPr>
          <w:rFonts w:ascii="Book Antiqua" w:hAnsi="Book Antiqua"/>
          <w:lang w:val="en-GB"/>
        </w:rPr>
        <w:t xml:space="preserve"> the same cytokines levels in </w:t>
      </w:r>
      <w:r w:rsidRPr="000366BE">
        <w:rPr>
          <w:rFonts w:ascii="Book Antiqua" w:hAnsi="Book Antiqua"/>
          <w:shd w:val="clear" w:color="auto" w:fill="FFFFFF"/>
          <w:lang w:val="en-GB"/>
        </w:rPr>
        <w:t>six healthy volunteers.</w:t>
      </w:r>
    </w:p>
    <w:p w:rsidR="000738A3" w:rsidRPr="000366BE" w:rsidRDefault="000738A3" w:rsidP="00D53342">
      <w:pPr>
        <w:adjustRightInd w:val="0"/>
        <w:snapToGrid w:val="0"/>
        <w:spacing w:line="360" w:lineRule="auto"/>
        <w:jc w:val="both"/>
        <w:rPr>
          <w:rFonts w:ascii="Book Antiqua" w:hAnsi="Book Antiqua" w:cs="Arial"/>
          <w:lang w:val="en-GB"/>
        </w:rPr>
      </w:pPr>
    </w:p>
    <w:p w:rsidR="000738A3" w:rsidRPr="000366BE" w:rsidRDefault="000738A3" w:rsidP="00D53342">
      <w:pPr>
        <w:adjustRightInd w:val="0"/>
        <w:snapToGrid w:val="0"/>
        <w:spacing w:line="360" w:lineRule="auto"/>
        <w:jc w:val="both"/>
        <w:rPr>
          <w:rFonts w:ascii="Book Antiqua" w:hAnsi="Book Antiqua" w:cs="Arial"/>
          <w:lang w:val="en-GB"/>
        </w:rPr>
      </w:pPr>
      <w:r w:rsidRPr="000366BE">
        <w:rPr>
          <w:rFonts w:ascii="Book Antiqua" w:hAnsi="Book Antiqua" w:cs="Arial"/>
          <w:b/>
          <w:i/>
          <w:lang w:val="en-GB"/>
        </w:rPr>
        <w:t>Research results</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 xml:space="preserve">We found higher basal levels of TNF-α, TGF-β, VEGF, CCL-2 and CCL-5 in non-responders (NR; patients </w:t>
      </w:r>
      <w:r w:rsidRPr="000366BE">
        <w:rPr>
          <w:rFonts w:ascii="Book Antiqua" w:hAnsi="Book Antiqua"/>
          <w:lang w:val="en-US"/>
        </w:rPr>
        <w:t xml:space="preserve">showing progression of disease, </w:t>
      </w:r>
      <w:r w:rsidRPr="000366BE">
        <w:rPr>
          <w:rFonts w:ascii="Book Antiqua" w:hAnsi="Book Antiqua"/>
          <w:i/>
          <w:lang w:val="en-US"/>
        </w:rPr>
        <w:t>n</w:t>
      </w:r>
      <w:r w:rsidR="00D53342" w:rsidRPr="000366BE">
        <w:rPr>
          <w:rFonts w:ascii="Book Antiqua" w:hAnsi="Book Antiqua"/>
          <w:lang w:val="en-US"/>
        </w:rPr>
        <w:t xml:space="preserve"> </w:t>
      </w:r>
      <w:r w:rsidRPr="000366BE">
        <w:rPr>
          <w:rFonts w:ascii="Book Antiqua" w:hAnsi="Book Antiqua"/>
          <w:lang w:val="en-US"/>
        </w:rPr>
        <w:t>=</w:t>
      </w:r>
      <w:r w:rsidR="00D53342" w:rsidRPr="000366BE">
        <w:rPr>
          <w:rFonts w:ascii="Book Antiqua" w:hAnsi="Book Antiqua"/>
          <w:lang w:val="en-US"/>
        </w:rPr>
        <w:t xml:space="preserve"> </w:t>
      </w:r>
      <w:r w:rsidRPr="000366BE">
        <w:rPr>
          <w:rFonts w:ascii="Book Antiqua" w:hAnsi="Book Antiqua"/>
          <w:lang w:val="en-US"/>
        </w:rPr>
        <w:t xml:space="preserve">12) </w:t>
      </w:r>
      <w:r w:rsidRPr="000366BE">
        <w:rPr>
          <w:rFonts w:ascii="Book Antiqua" w:hAnsi="Book Antiqua"/>
          <w:lang w:val="en-GB"/>
        </w:rPr>
        <w:t>compared to those who respond to therapy (complete response CR</w:t>
      </w:r>
      <w:r w:rsidR="00D53342" w:rsidRPr="000366BE">
        <w:rPr>
          <w:rFonts w:ascii="Book Antiqua" w:hAnsi="Book Antiqua"/>
          <w:lang w:val="en-GB"/>
        </w:rPr>
        <w:t>,</w:t>
      </w:r>
      <w:r w:rsidRPr="000366BE">
        <w:rPr>
          <w:rFonts w:ascii="Book Antiqua" w:hAnsi="Book Antiqua"/>
          <w:lang w:val="en-GB"/>
        </w:rPr>
        <w:t xml:space="preserve"> </w:t>
      </w:r>
      <w:r w:rsidRPr="000366BE">
        <w:rPr>
          <w:rFonts w:ascii="Book Antiqua" w:hAnsi="Book Antiqua"/>
          <w:i/>
          <w:lang w:val="en-GB"/>
        </w:rPr>
        <w:t>n</w:t>
      </w:r>
      <w:r w:rsidR="00D53342" w:rsidRPr="000366BE">
        <w:rPr>
          <w:rFonts w:ascii="Book Antiqua" w:hAnsi="Book Antiqua"/>
          <w:lang w:val="en-GB"/>
        </w:rPr>
        <w:t xml:space="preserve"> </w:t>
      </w:r>
      <w:r w:rsidRPr="000366BE">
        <w:rPr>
          <w:rFonts w:ascii="Book Antiqua" w:hAnsi="Book Antiqua"/>
          <w:lang w:val="en-GB"/>
        </w:rPr>
        <w:t>=</w:t>
      </w:r>
      <w:r w:rsidR="00D53342" w:rsidRPr="000366BE">
        <w:rPr>
          <w:rFonts w:ascii="Book Antiqua" w:hAnsi="Book Antiqua"/>
          <w:lang w:val="en-GB"/>
        </w:rPr>
        <w:t xml:space="preserve"> </w:t>
      </w:r>
      <w:r w:rsidRPr="000366BE">
        <w:rPr>
          <w:rFonts w:ascii="Book Antiqua" w:hAnsi="Book Antiqua"/>
          <w:lang w:val="en-GB"/>
        </w:rPr>
        <w:t>1, partial response</w:t>
      </w:r>
      <w:r w:rsidR="00D53342" w:rsidRPr="000366BE">
        <w:rPr>
          <w:rFonts w:ascii="Book Antiqua" w:hAnsi="Book Antiqua"/>
          <w:lang w:val="en-GB"/>
        </w:rPr>
        <w:t xml:space="preserve"> </w:t>
      </w:r>
      <w:r w:rsidRPr="000366BE">
        <w:rPr>
          <w:rFonts w:ascii="Book Antiqua" w:hAnsi="Book Antiqua"/>
          <w:lang w:val="en-GB"/>
        </w:rPr>
        <w:t>PR</w:t>
      </w:r>
      <w:r w:rsidR="00D53342" w:rsidRPr="000366BE">
        <w:rPr>
          <w:rFonts w:ascii="Book Antiqua" w:hAnsi="Book Antiqua"/>
          <w:lang w:val="en-GB"/>
        </w:rPr>
        <w:t>,</w:t>
      </w:r>
      <w:r w:rsidRPr="000366BE">
        <w:rPr>
          <w:rFonts w:ascii="Book Antiqua" w:hAnsi="Book Antiqua"/>
          <w:lang w:val="en-GB"/>
        </w:rPr>
        <w:t xml:space="preserve"> </w:t>
      </w:r>
      <w:r w:rsidRPr="000366BE">
        <w:rPr>
          <w:rFonts w:ascii="Book Antiqua" w:hAnsi="Book Antiqua"/>
          <w:i/>
          <w:lang w:val="en-GB"/>
        </w:rPr>
        <w:t>n</w:t>
      </w:r>
      <w:r w:rsidR="00D53342" w:rsidRPr="000366BE">
        <w:rPr>
          <w:rFonts w:ascii="Book Antiqua" w:hAnsi="Book Antiqua"/>
          <w:lang w:val="en-GB"/>
        </w:rPr>
        <w:t xml:space="preserve"> </w:t>
      </w:r>
      <w:r w:rsidRPr="000366BE">
        <w:rPr>
          <w:rFonts w:ascii="Book Antiqua" w:hAnsi="Book Antiqua"/>
          <w:lang w:val="en-GB"/>
        </w:rPr>
        <w:t>=</w:t>
      </w:r>
      <w:r w:rsidR="00D53342" w:rsidRPr="000366BE">
        <w:rPr>
          <w:rFonts w:ascii="Book Antiqua" w:hAnsi="Book Antiqua"/>
          <w:lang w:val="en-GB"/>
        </w:rPr>
        <w:t xml:space="preserve"> </w:t>
      </w:r>
      <w:r w:rsidRPr="000366BE">
        <w:rPr>
          <w:rFonts w:ascii="Book Antiqua" w:hAnsi="Book Antiqua"/>
          <w:lang w:val="en-GB"/>
        </w:rPr>
        <w:t>1, Stable Disease SD</w:t>
      </w:r>
      <w:r w:rsidR="00D53342" w:rsidRPr="000366BE">
        <w:rPr>
          <w:rFonts w:ascii="Book Antiqua" w:hAnsi="Book Antiqua"/>
          <w:lang w:val="en-GB"/>
        </w:rPr>
        <w:t>,</w:t>
      </w:r>
      <w:r w:rsidRPr="000366BE">
        <w:rPr>
          <w:rFonts w:ascii="Book Antiqua" w:hAnsi="Book Antiqua"/>
          <w:lang w:val="en-GB"/>
        </w:rPr>
        <w:t xml:space="preserve"> </w:t>
      </w:r>
      <w:r w:rsidRPr="000366BE">
        <w:rPr>
          <w:rFonts w:ascii="Book Antiqua" w:hAnsi="Book Antiqua"/>
          <w:i/>
          <w:lang w:val="en-GB"/>
        </w:rPr>
        <w:t>n</w:t>
      </w:r>
      <w:r w:rsidR="00D53342" w:rsidRPr="000366BE">
        <w:rPr>
          <w:rFonts w:ascii="Book Antiqua" w:hAnsi="Book Antiqua"/>
          <w:lang w:val="en-GB"/>
        </w:rPr>
        <w:t xml:space="preserve"> </w:t>
      </w:r>
      <w:r w:rsidRPr="000366BE">
        <w:rPr>
          <w:rFonts w:ascii="Book Antiqua" w:hAnsi="Book Antiqua"/>
          <w:lang w:val="en-GB"/>
        </w:rPr>
        <w:t>=</w:t>
      </w:r>
      <w:r w:rsidR="00D53342" w:rsidRPr="000366BE">
        <w:rPr>
          <w:rFonts w:ascii="Book Antiqua" w:hAnsi="Book Antiqua"/>
          <w:lang w:val="en-GB"/>
        </w:rPr>
        <w:t xml:space="preserve"> </w:t>
      </w:r>
      <w:r w:rsidRPr="000366BE">
        <w:rPr>
          <w:rFonts w:ascii="Book Antiqua" w:hAnsi="Book Antiqua"/>
          <w:lang w:val="en-GB"/>
        </w:rPr>
        <w:t>3), and a reversed trend for CCL-4.</w:t>
      </w:r>
      <w:r w:rsidR="00D53342" w:rsidRPr="000366BE">
        <w:rPr>
          <w:rFonts w:ascii="Book Antiqua" w:hAnsi="Book Antiqua"/>
          <w:lang w:val="en-GB"/>
        </w:rPr>
        <w:t xml:space="preserve"> </w:t>
      </w:r>
      <w:r w:rsidRPr="000366BE">
        <w:rPr>
          <w:rFonts w:ascii="Book Antiqua" w:hAnsi="Book Antiqua"/>
          <w:bCs/>
          <w:lang w:val="en-US"/>
        </w:rPr>
        <w:t>Moreover, we found that CCL-2 and VEGF</w:t>
      </w:r>
      <w:r w:rsidRPr="000366BE">
        <w:rPr>
          <w:rFonts w:ascii="Book Antiqua" w:hAnsi="Book Antiqua"/>
          <w:lang w:val="en-US"/>
        </w:rPr>
        <w:t xml:space="preserve"> basal levels were significantly higher in </w:t>
      </w:r>
      <w:r w:rsidRPr="000366BE">
        <w:rPr>
          <w:rFonts w:ascii="Book Antiqua" w:hAnsi="Book Antiqua"/>
          <w:lang w:val="en-GB"/>
        </w:rPr>
        <w:t xml:space="preserve">NR </w:t>
      </w:r>
      <w:r w:rsidRPr="000366BE">
        <w:rPr>
          <w:rFonts w:ascii="Book Antiqua" w:hAnsi="Book Antiqua"/>
          <w:lang w:val="en-US"/>
        </w:rPr>
        <w:t xml:space="preserve">patients compared to healthy individuals. Furthermore, </w:t>
      </w:r>
      <w:r w:rsidRPr="000366BE">
        <w:rPr>
          <w:rFonts w:ascii="Book Antiqua" w:hAnsi="Book Antiqua"/>
          <w:lang w:val="en-GB"/>
        </w:rPr>
        <w:t>high values of TGF-β and TNF-α negatively correlated with PFS.</w:t>
      </w:r>
      <w:r w:rsidR="00D53342" w:rsidRPr="000366BE">
        <w:rPr>
          <w:rFonts w:ascii="Book Antiqua" w:hAnsi="Book Antiqua"/>
          <w:lang w:val="en-GB"/>
        </w:rPr>
        <w:t xml:space="preserve"> </w:t>
      </w:r>
      <w:r w:rsidRPr="000366BE">
        <w:rPr>
          <w:rFonts w:ascii="Book Antiqua" w:hAnsi="Book Antiqua"/>
          <w:lang w:val="en-GB"/>
        </w:rPr>
        <w:t xml:space="preserve">We further investigated the possible association between basal cytokine levels and PFS and we found that </w:t>
      </w:r>
      <w:r w:rsidRPr="000366BE">
        <w:rPr>
          <w:rFonts w:ascii="Book Antiqua" w:hAnsi="Book Antiqua"/>
          <w:bCs/>
          <w:lang w:val="en-US"/>
        </w:rPr>
        <w:t>TNF-</w:t>
      </w:r>
      <w:proofErr w:type="gramStart"/>
      <w:r w:rsidRPr="000366BE">
        <w:rPr>
          <w:rFonts w:ascii="Book Antiqua" w:hAnsi="Book Antiqua"/>
          <w:bCs/>
          <w:lang w:val="en-US"/>
        </w:rPr>
        <w:t xml:space="preserve">α </w:t>
      </w:r>
      <w:r w:rsidRPr="000366BE">
        <w:rPr>
          <w:rFonts w:ascii="Book Antiqua" w:hAnsi="Book Antiqua"/>
          <w:lang w:val="en-GB"/>
        </w:rPr>
        <w:t>and</w:t>
      </w:r>
      <w:proofErr w:type="gramEnd"/>
      <w:r w:rsidRPr="000366BE">
        <w:rPr>
          <w:rFonts w:ascii="Book Antiqua" w:hAnsi="Book Antiqua"/>
          <w:lang w:val="en-GB"/>
        </w:rPr>
        <w:t xml:space="preserve"> TGF-β negatively correlated with PFS in the patient cohort. Both these basal cytokines </w:t>
      </w:r>
      <w:r w:rsidRPr="000366BE">
        <w:rPr>
          <w:rFonts w:ascii="Book Antiqua" w:hAnsi="Book Antiqua"/>
          <w:lang w:val="en-US"/>
        </w:rPr>
        <w:t xml:space="preserve">positively correlated between them. </w:t>
      </w:r>
    </w:p>
    <w:p w:rsidR="000738A3" w:rsidRPr="000366BE" w:rsidRDefault="000738A3" w:rsidP="00D53342">
      <w:pPr>
        <w:adjustRightInd w:val="0"/>
        <w:snapToGrid w:val="0"/>
        <w:spacing w:line="360" w:lineRule="auto"/>
        <w:jc w:val="both"/>
        <w:rPr>
          <w:rFonts w:ascii="Book Antiqua" w:hAnsi="Book Antiqua" w:cs="Arial"/>
          <w:lang w:val="en-GB"/>
        </w:rPr>
      </w:pPr>
    </w:p>
    <w:p w:rsidR="000738A3" w:rsidRPr="000366BE" w:rsidRDefault="000738A3" w:rsidP="00D53342">
      <w:pPr>
        <w:adjustRightInd w:val="0"/>
        <w:snapToGrid w:val="0"/>
        <w:spacing w:line="360" w:lineRule="auto"/>
        <w:jc w:val="both"/>
        <w:rPr>
          <w:rFonts w:ascii="Book Antiqua" w:hAnsi="Book Antiqua" w:cs="Arial"/>
          <w:lang w:val="en-GB"/>
        </w:rPr>
      </w:pPr>
      <w:r w:rsidRPr="000366BE">
        <w:rPr>
          <w:rFonts w:ascii="Book Antiqua" w:hAnsi="Book Antiqua" w:cs="Arial"/>
          <w:b/>
          <w:i/>
          <w:lang w:val="en-GB"/>
        </w:rPr>
        <w:t>Research conclusions</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lang w:val="en-GB"/>
        </w:rPr>
        <w:t>We realized a cytokine signature which could potentially discriminate between responder and non-responder patients to Regorafenib therapy.</w:t>
      </w:r>
      <w:r w:rsidR="00D53342" w:rsidRPr="000366BE">
        <w:rPr>
          <w:rFonts w:ascii="Book Antiqua" w:hAnsi="Book Antiqua"/>
          <w:lang w:val="en-GB"/>
        </w:rPr>
        <w:t xml:space="preserve"> </w:t>
      </w:r>
      <w:r w:rsidRPr="000366BE">
        <w:rPr>
          <w:rFonts w:ascii="Book Antiqua" w:hAnsi="Book Antiqua"/>
          <w:lang w:val="en-GB"/>
        </w:rPr>
        <w:t xml:space="preserve">If our data is confirmed, it will be possible to drive treatment with regorafenib to </w:t>
      </w:r>
      <w:proofErr w:type="gramStart"/>
      <w:r w:rsidRPr="000366BE">
        <w:rPr>
          <w:rFonts w:ascii="Book Antiqua" w:hAnsi="Book Antiqua"/>
          <w:lang w:val="en-GB"/>
        </w:rPr>
        <w:t>patients</w:t>
      </w:r>
      <w:proofErr w:type="gramEnd"/>
      <w:r w:rsidRPr="000366BE">
        <w:rPr>
          <w:rFonts w:ascii="Book Antiqua" w:hAnsi="Book Antiqua"/>
          <w:lang w:val="en-GB"/>
        </w:rPr>
        <w:t xml:space="preserve"> most likely respond to the drug. </w:t>
      </w:r>
    </w:p>
    <w:p w:rsidR="000738A3" w:rsidRPr="000366BE" w:rsidRDefault="000738A3" w:rsidP="00D53342">
      <w:pPr>
        <w:adjustRightInd w:val="0"/>
        <w:snapToGrid w:val="0"/>
        <w:spacing w:line="360" w:lineRule="auto"/>
        <w:jc w:val="both"/>
        <w:rPr>
          <w:rFonts w:ascii="Book Antiqua" w:hAnsi="Book Antiqua" w:cs="Arial"/>
          <w:lang w:val="en-GB"/>
        </w:rPr>
      </w:pPr>
    </w:p>
    <w:p w:rsidR="000738A3" w:rsidRPr="000366BE" w:rsidRDefault="000738A3" w:rsidP="00D53342">
      <w:pPr>
        <w:adjustRightInd w:val="0"/>
        <w:snapToGrid w:val="0"/>
        <w:spacing w:line="360" w:lineRule="auto"/>
        <w:jc w:val="both"/>
        <w:rPr>
          <w:rFonts w:ascii="Book Antiqua" w:hAnsi="Book Antiqua" w:cs="Arial"/>
          <w:lang w:val="en-GB"/>
        </w:rPr>
      </w:pPr>
      <w:r w:rsidRPr="000366BE">
        <w:rPr>
          <w:rFonts w:ascii="Book Antiqua" w:hAnsi="Book Antiqua" w:cs="Arial"/>
          <w:b/>
          <w:i/>
          <w:lang w:val="en-GB"/>
        </w:rPr>
        <w:t>Research perspectives</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cs="Arial"/>
          <w:lang w:val="en-GB"/>
        </w:rPr>
        <w:t xml:space="preserve">Our </w:t>
      </w:r>
      <w:r w:rsidRPr="000366BE">
        <w:rPr>
          <w:rFonts w:ascii="Book Antiqua" w:hAnsi="Book Antiqua"/>
          <w:lang w:val="en-GB"/>
        </w:rPr>
        <w:t>data should be verified on larger and independent series of patients. It might also be of interest to extend analysis to other cytokines and cells population not determined in our study.</w:t>
      </w:r>
    </w:p>
    <w:p w:rsidR="00D53342" w:rsidRPr="000366BE" w:rsidRDefault="00D53342" w:rsidP="00D53342">
      <w:pPr>
        <w:adjustRightInd w:val="0"/>
        <w:snapToGrid w:val="0"/>
        <w:spacing w:line="360" w:lineRule="auto"/>
        <w:jc w:val="both"/>
        <w:rPr>
          <w:rFonts w:ascii="Book Antiqua" w:hAnsi="Book Antiqua"/>
          <w:b/>
          <w:lang w:val="en-GB"/>
        </w:rPr>
      </w:pPr>
    </w:p>
    <w:p w:rsidR="00D53342" w:rsidRPr="000366BE" w:rsidRDefault="00D53342" w:rsidP="00D53342">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0366BE">
        <w:rPr>
          <w:rStyle w:val="normaltextrun"/>
          <w:rFonts w:ascii="Book Antiqua" w:hAnsi="Book Antiqua" w:cs="Calibri"/>
          <w:b/>
          <w:u w:val="single"/>
        </w:rPr>
        <w:t>ACKNOWLEDGEMENTS</w:t>
      </w:r>
    </w:p>
    <w:p w:rsidR="00D53342" w:rsidRPr="000366BE" w:rsidRDefault="00D53342" w:rsidP="00D53342">
      <w:pPr>
        <w:adjustRightInd w:val="0"/>
        <w:snapToGrid w:val="0"/>
        <w:spacing w:line="360" w:lineRule="auto"/>
        <w:jc w:val="both"/>
        <w:rPr>
          <w:rFonts w:ascii="Book Antiqua" w:eastAsia="宋体" w:hAnsi="Book Antiqua"/>
          <w:lang w:val="en-GB" w:eastAsia="zh-CN"/>
        </w:rPr>
      </w:pPr>
      <w:r w:rsidRPr="000366BE">
        <w:rPr>
          <w:rFonts w:ascii="Book Antiqua" w:hAnsi="Book Antiqua"/>
          <w:lang w:val="en-GB"/>
        </w:rPr>
        <w:t xml:space="preserve">We primarily thank the participating patients, their family members and all physicians and researchers involved in the study. We also thank the Prof G. </w:t>
      </w:r>
      <w:proofErr w:type="spellStart"/>
      <w:r w:rsidRPr="000366BE">
        <w:rPr>
          <w:rFonts w:ascii="Book Antiqua" w:hAnsi="Book Antiqua"/>
          <w:lang w:val="en-GB"/>
        </w:rPr>
        <w:t>Frumento</w:t>
      </w:r>
      <w:proofErr w:type="spellEnd"/>
      <w:r w:rsidRPr="000366BE">
        <w:rPr>
          <w:rFonts w:ascii="Book Antiqua" w:hAnsi="Book Antiqua"/>
          <w:lang w:val="en-GB"/>
        </w:rPr>
        <w:t xml:space="preserve"> and Dr L. Preston for their work review on the paper.</w:t>
      </w:r>
    </w:p>
    <w:p w:rsidR="00244409" w:rsidRPr="000366BE" w:rsidRDefault="00244409" w:rsidP="00D53342">
      <w:pPr>
        <w:adjustRightInd w:val="0"/>
        <w:snapToGrid w:val="0"/>
        <w:spacing w:line="360" w:lineRule="auto"/>
        <w:jc w:val="both"/>
        <w:rPr>
          <w:rFonts w:ascii="Book Antiqua" w:eastAsia="宋体" w:hAnsi="Book Antiqua"/>
          <w:lang w:val="en-GB" w:eastAsia="zh-CN"/>
        </w:rPr>
      </w:pPr>
    </w:p>
    <w:p w:rsidR="000738A3" w:rsidRPr="000366BE" w:rsidRDefault="000738A3" w:rsidP="00D53342">
      <w:pPr>
        <w:adjustRightInd w:val="0"/>
        <w:snapToGrid w:val="0"/>
        <w:spacing w:line="360" w:lineRule="auto"/>
        <w:jc w:val="both"/>
        <w:rPr>
          <w:rFonts w:ascii="Book Antiqua" w:hAnsi="Book Antiqua"/>
          <w:b/>
          <w:lang w:val="en-GB"/>
        </w:rPr>
      </w:pPr>
      <w:r w:rsidRPr="000366BE">
        <w:rPr>
          <w:rFonts w:ascii="Book Antiqua" w:hAnsi="Book Antiqua"/>
          <w:b/>
          <w:lang w:val="en-GB"/>
        </w:rPr>
        <w:t>REFERENCES</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 </w:t>
      </w:r>
      <w:r w:rsidRPr="000366BE">
        <w:rPr>
          <w:rFonts w:ascii="Book Antiqua" w:hAnsi="Book Antiqua"/>
          <w:b/>
        </w:rPr>
        <w:t>Siegel RL</w:t>
      </w:r>
      <w:r w:rsidRPr="000366BE">
        <w:rPr>
          <w:rFonts w:ascii="Book Antiqua" w:hAnsi="Book Antiqua"/>
        </w:rPr>
        <w:t xml:space="preserve">, Miller KD, Jemal A. Cancer statistics, 2019. </w:t>
      </w:r>
      <w:r w:rsidRPr="000366BE">
        <w:rPr>
          <w:rFonts w:ascii="Book Antiqua" w:hAnsi="Book Antiqua"/>
          <w:i/>
        </w:rPr>
        <w:t>CA Cancer J Clin</w:t>
      </w:r>
      <w:r w:rsidRPr="000366BE">
        <w:rPr>
          <w:rFonts w:ascii="Book Antiqua" w:hAnsi="Book Antiqua"/>
        </w:rPr>
        <w:t xml:space="preserve"> 2019; </w:t>
      </w:r>
      <w:r w:rsidRPr="000366BE">
        <w:rPr>
          <w:rFonts w:ascii="Book Antiqua" w:hAnsi="Book Antiqua"/>
          <w:b/>
        </w:rPr>
        <w:t>69</w:t>
      </w:r>
      <w:r w:rsidRPr="000366BE">
        <w:rPr>
          <w:rFonts w:ascii="Book Antiqua" w:hAnsi="Book Antiqua"/>
        </w:rPr>
        <w:t>: 7-34 [PMID: 30620402 DOI: 10.3322/caac.21551]</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2 </w:t>
      </w:r>
      <w:r w:rsidRPr="000366BE">
        <w:rPr>
          <w:rFonts w:ascii="Book Antiqua" w:hAnsi="Book Antiqua"/>
          <w:b/>
        </w:rPr>
        <w:t>Tournigand C</w:t>
      </w:r>
      <w:r w:rsidRPr="000366BE">
        <w:rPr>
          <w:rFonts w:ascii="Book Antiqua" w:hAnsi="Book Antiqua"/>
        </w:rPr>
        <w:t xml:space="preserve">, André T, Achille E, Lledo G, Flesh M, Mery-Mignard D, Quinaux E, Couteau C, Buyse M, Ganem G, Landi B, Colin P, Louvet C, de Gramont A. FOLFIRI followed by FOLFOX6 or the reverse sequence in advanced colorectal cancer: a randomized GERCOR study. </w:t>
      </w:r>
      <w:r w:rsidRPr="000366BE">
        <w:rPr>
          <w:rFonts w:ascii="Book Antiqua" w:hAnsi="Book Antiqua"/>
          <w:i/>
        </w:rPr>
        <w:t>J Clin Oncol</w:t>
      </w:r>
      <w:r w:rsidRPr="000366BE">
        <w:rPr>
          <w:rFonts w:ascii="Book Antiqua" w:hAnsi="Book Antiqua"/>
        </w:rPr>
        <w:t xml:space="preserve"> 2004; </w:t>
      </w:r>
      <w:r w:rsidRPr="000366BE">
        <w:rPr>
          <w:rFonts w:ascii="Book Antiqua" w:hAnsi="Book Antiqua"/>
          <w:b/>
        </w:rPr>
        <w:t>22</w:t>
      </w:r>
      <w:r w:rsidRPr="000366BE">
        <w:rPr>
          <w:rFonts w:ascii="Book Antiqua" w:hAnsi="Book Antiqua"/>
        </w:rPr>
        <w:t>: 229-237 [PMID: 14657227 DOI: 10.1200/JCO.2004.05.113]</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3 </w:t>
      </w:r>
      <w:r w:rsidRPr="000366BE">
        <w:rPr>
          <w:rFonts w:ascii="Book Antiqua" w:hAnsi="Book Antiqua"/>
          <w:b/>
        </w:rPr>
        <w:t>Yamazaki K</w:t>
      </w:r>
      <w:r w:rsidRPr="000366BE">
        <w:rPr>
          <w:rFonts w:ascii="Book Antiqua" w:hAnsi="Book Antiqua"/>
        </w:rPr>
        <w:t xml:space="preserve">, Nagase M, Tamagawa H, Ueda S, Tamura T, Murata K, Eguchi Nakajima T, Baba E, Tsuda M, Moriwaki T, Esaki T, Tsuji Y, Muro K, Taira K, Denda T, Funai S, Shinozaki K, Yamashita H, Sugimoto N, Okuno T, Nishina T, Umeki M, Kurimoto T, Takayama T, Tsuji A, Yoshida M, Hosokawa A, Shibata Y, Suyama K, Okabe M, Suzuki K, Seki N, Kawakami K, Sato M, Fujikawa K, Hirashima T, Shimura T, Taku K, Otsuji T, Tamura F, Shinozaki E, Nakashima K, Hara H, Tsushima T, Ando M, Morita S, Boku N, Hyodo I. Randomized phase III study of bevacizumab plus FOLFIRI and bevacizumab plus mFOLFOX6 as first-line treatment for patients with metastatic colorectal cancer (WJOG4407G). </w:t>
      </w:r>
      <w:r w:rsidRPr="000366BE">
        <w:rPr>
          <w:rFonts w:ascii="Book Antiqua" w:hAnsi="Book Antiqua"/>
          <w:i/>
        </w:rPr>
        <w:t>Ann Oncol</w:t>
      </w:r>
      <w:r w:rsidRPr="000366BE">
        <w:rPr>
          <w:rFonts w:ascii="Book Antiqua" w:hAnsi="Book Antiqua"/>
        </w:rPr>
        <w:t xml:space="preserve"> 2016; </w:t>
      </w:r>
      <w:r w:rsidRPr="000366BE">
        <w:rPr>
          <w:rFonts w:ascii="Book Antiqua" w:hAnsi="Book Antiqua"/>
          <w:b/>
        </w:rPr>
        <w:t>27</w:t>
      </w:r>
      <w:r w:rsidRPr="000366BE">
        <w:rPr>
          <w:rFonts w:ascii="Book Antiqua" w:hAnsi="Book Antiqua"/>
        </w:rPr>
        <w:t>: 1539-1546 [PMID: 27177863 DOI: 10.1093/annonc/mdw206]</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4 </w:t>
      </w:r>
      <w:r w:rsidRPr="000366BE">
        <w:rPr>
          <w:rFonts w:ascii="Book Antiqua" w:hAnsi="Book Antiqua"/>
          <w:b/>
        </w:rPr>
        <w:t>Wilhelm SM</w:t>
      </w:r>
      <w:r w:rsidRPr="000366BE">
        <w:rPr>
          <w:rFonts w:ascii="Book Antiqua" w:hAnsi="Book Antiqua"/>
        </w:rPr>
        <w:t xml:space="preserve">, Dumas J, Adnane L, Lynch M, Carter CA, Schütz G, Thierauch KH, Zopf D. Regorafenib (BAY 73-4506): a new oral multikinase inhibitor of angiogenic, stromal and oncogenic receptor tyrosine kinases with potent preclinical antitumor activity. </w:t>
      </w:r>
      <w:r w:rsidRPr="000366BE">
        <w:rPr>
          <w:rFonts w:ascii="Book Antiqua" w:hAnsi="Book Antiqua"/>
          <w:i/>
        </w:rPr>
        <w:t>Int J Cancer</w:t>
      </w:r>
      <w:r w:rsidRPr="000366BE">
        <w:rPr>
          <w:rFonts w:ascii="Book Antiqua" w:hAnsi="Book Antiqua"/>
        </w:rPr>
        <w:t xml:space="preserve"> 2011; </w:t>
      </w:r>
      <w:r w:rsidRPr="000366BE">
        <w:rPr>
          <w:rFonts w:ascii="Book Antiqua" w:hAnsi="Book Antiqua"/>
          <w:b/>
        </w:rPr>
        <w:t>129</w:t>
      </w:r>
      <w:r w:rsidRPr="000366BE">
        <w:rPr>
          <w:rFonts w:ascii="Book Antiqua" w:hAnsi="Book Antiqua"/>
        </w:rPr>
        <w:t>: 245-255 [PMID: 21170960 DOI: 10.1002/ijc.25864]</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5 </w:t>
      </w:r>
      <w:r w:rsidRPr="000366BE">
        <w:rPr>
          <w:rFonts w:ascii="Book Antiqua" w:hAnsi="Book Antiqua"/>
          <w:b/>
        </w:rPr>
        <w:t>Grothey A</w:t>
      </w:r>
      <w:r w:rsidRPr="000366BE">
        <w:rPr>
          <w:rFonts w:ascii="Book Antiqua" w:hAnsi="Book Antiqua"/>
        </w:rPr>
        <w:t xml:space="preserve">, Van Cutsem E, Sobrero A, Siena S, Falcone A, Ychou M, Humblet Y, Bouché O, Mineur L, Barone C, Adenis A, Tabernero J, Yoshino T, Lenz HJ, Goldberg RM, Sargent DJ, Cihon F, Cupit L, Wagner A, Laurent D; CORRECT Study Group. Regorafenib monotherapy for previously treated metastatic colorectal cancer (CORRECT): an international, multicentre, randomised, placebo-controlled, phase 3 trial. </w:t>
      </w:r>
      <w:r w:rsidRPr="000366BE">
        <w:rPr>
          <w:rFonts w:ascii="Book Antiqua" w:hAnsi="Book Antiqua"/>
          <w:i/>
        </w:rPr>
        <w:t>Lancet</w:t>
      </w:r>
      <w:r w:rsidRPr="000366BE">
        <w:rPr>
          <w:rFonts w:ascii="Book Antiqua" w:hAnsi="Book Antiqua"/>
        </w:rPr>
        <w:t xml:space="preserve"> 2013; </w:t>
      </w:r>
      <w:r w:rsidRPr="000366BE">
        <w:rPr>
          <w:rFonts w:ascii="Book Antiqua" w:hAnsi="Book Antiqua"/>
          <w:b/>
        </w:rPr>
        <w:t>381</w:t>
      </w:r>
      <w:r w:rsidRPr="000366BE">
        <w:rPr>
          <w:rFonts w:ascii="Book Antiqua" w:hAnsi="Book Antiqua"/>
        </w:rPr>
        <w:t>: 303-312 [PMID: 23177514 DOI: 10.1016/S0140-6736(12)61900-X]</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6 </w:t>
      </w:r>
      <w:r w:rsidRPr="000366BE">
        <w:rPr>
          <w:rFonts w:ascii="Book Antiqua" w:hAnsi="Book Antiqua"/>
          <w:b/>
        </w:rPr>
        <w:t>Li J</w:t>
      </w:r>
      <w:r w:rsidRPr="000366BE">
        <w:rPr>
          <w:rFonts w:ascii="Book Antiqua" w:hAnsi="Book Antiqua"/>
        </w:rPr>
        <w:t xml:space="preserve">, Qin S, Xu R, Yau TC, Ma B, Pan H, Xu J, Bai Y, Chi Y, Wang L, Yeh KH, Bi F, Cheng Y, Le AT, Lin JK, Liu T, Ma D, Kappeler C, Kalmus J, Kim TW; CONCUR Investigators. Regorafenib plus best supportive care versus placebo plus best supportive care in Asian patients with previously treated metastatic colorectal cancer (CONCUR): a randomised, double-blind, placebo-controlled, phase 3 trial. </w:t>
      </w:r>
      <w:r w:rsidRPr="000366BE">
        <w:rPr>
          <w:rFonts w:ascii="Book Antiqua" w:hAnsi="Book Antiqua"/>
          <w:i/>
        </w:rPr>
        <w:t>Lancet Oncol</w:t>
      </w:r>
      <w:r w:rsidRPr="000366BE">
        <w:rPr>
          <w:rFonts w:ascii="Book Antiqua" w:hAnsi="Book Antiqua"/>
        </w:rPr>
        <w:t xml:space="preserve"> 2015; </w:t>
      </w:r>
      <w:r w:rsidRPr="000366BE">
        <w:rPr>
          <w:rFonts w:ascii="Book Antiqua" w:hAnsi="Book Antiqua"/>
          <w:b/>
        </w:rPr>
        <w:t>16</w:t>
      </w:r>
      <w:r w:rsidRPr="000366BE">
        <w:rPr>
          <w:rFonts w:ascii="Book Antiqua" w:hAnsi="Book Antiqua"/>
        </w:rPr>
        <w:t>: 619-629 [PMID: 25981818 DOI: 10.1016/S1470-2045(15)70156-7]</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7 </w:t>
      </w:r>
      <w:r w:rsidRPr="000366BE">
        <w:rPr>
          <w:rFonts w:ascii="Book Antiqua" w:hAnsi="Book Antiqua"/>
          <w:b/>
        </w:rPr>
        <w:t>Suenaga M</w:t>
      </w:r>
      <w:r w:rsidRPr="000366BE">
        <w:rPr>
          <w:rFonts w:ascii="Book Antiqua" w:hAnsi="Book Antiqua"/>
        </w:rPr>
        <w:t xml:space="preserve">, Mashima T, Kawata N, Wakatsuki T, Horiike Y, Matsusaka S, Dan S, Shinozaki E, Seimiya H, Mizunuma N, Yamaguchi K, Yamaguchi T. Serum VEGF-A and CCL5 levels as candidate biomarkers for efficacy and toxicity of regorafenib in patients with metastatic colorectal cancer. </w:t>
      </w:r>
      <w:r w:rsidRPr="000366BE">
        <w:rPr>
          <w:rFonts w:ascii="Book Antiqua" w:hAnsi="Book Antiqua"/>
          <w:i/>
        </w:rPr>
        <w:t>Oncotarget</w:t>
      </w:r>
      <w:r w:rsidRPr="000366BE">
        <w:rPr>
          <w:rFonts w:ascii="Book Antiqua" w:hAnsi="Book Antiqua"/>
        </w:rPr>
        <w:t xml:space="preserve"> 2016; </w:t>
      </w:r>
      <w:r w:rsidRPr="000366BE">
        <w:rPr>
          <w:rFonts w:ascii="Book Antiqua" w:hAnsi="Book Antiqua"/>
          <w:b/>
        </w:rPr>
        <w:t>7</w:t>
      </w:r>
      <w:r w:rsidRPr="000366BE">
        <w:rPr>
          <w:rFonts w:ascii="Book Antiqua" w:hAnsi="Book Antiqua"/>
        </w:rPr>
        <w:t>: 34811-34823 [PMID: 27166185 DOI: 10.18632/oncotarget.9187]</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8 </w:t>
      </w:r>
      <w:r w:rsidRPr="000366BE">
        <w:rPr>
          <w:rFonts w:ascii="Book Antiqua" w:hAnsi="Book Antiqua"/>
          <w:b/>
        </w:rPr>
        <w:t>Tsushima H</w:t>
      </w:r>
      <w:r w:rsidRPr="000366BE">
        <w:rPr>
          <w:rFonts w:ascii="Book Antiqua" w:hAnsi="Book Antiqua"/>
        </w:rPr>
        <w:t xml:space="preserve">, Kawata S, Tamura S, Ito N, Shirai Y, Kiso S, Imai Y, Shimomukai H, Nomura Y, Matsuda Y, Matsuzawa Y. High levels of transforming growth factor beta 1 in patients with colorectal cancer: association with disease progression. </w:t>
      </w:r>
      <w:r w:rsidRPr="000366BE">
        <w:rPr>
          <w:rFonts w:ascii="Book Antiqua" w:hAnsi="Book Antiqua"/>
          <w:i/>
        </w:rPr>
        <w:t>Gastroenterology</w:t>
      </w:r>
      <w:r w:rsidRPr="000366BE">
        <w:rPr>
          <w:rFonts w:ascii="Book Antiqua" w:hAnsi="Book Antiqua"/>
        </w:rPr>
        <w:t xml:space="preserve"> 1996; </w:t>
      </w:r>
      <w:r w:rsidRPr="000366BE">
        <w:rPr>
          <w:rFonts w:ascii="Book Antiqua" w:hAnsi="Book Antiqua"/>
          <w:b/>
        </w:rPr>
        <w:t>110</w:t>
      </w:r>
      <w:r w:rsidRPr="000366BE">
        <w:rPr>
          <w:rFonts w:ascii="Book Antiqua" w:hAnsi="Book Antiqua"/>
        </w:rPr>
        <w:t>: 375-382 [PMID: 8566583 DOI: 10.1053/gast.1996.v110.pm8566583]</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9 </w:t>
      </w:r>
      <w:r w:rsidRPr="000366BE">
        <w:rPr>
          <w:rFonts w:ascii="Book Antiqua" w:hAnsi="Book Antiqua"/>
          <w:b/>
        </w:rPr>
        <w:t>Olsen RS</w:t>
      </w:r>
      <w:r w:rsidRPr="000366BE">
        <w:rPr>
          <w:rFonts w:ascii="Book Antiqua" w:hAnsi="Book Antiqua"/>
        </w:rPr>
        <w:t xml:space="preserve">, Nijm J, Andersson RE, Dimberg J, Wågsäter D. Circulating inflammatory factors associated with worse long-term prognosis in colorectal cancer. </w:t>
      </w:r>
      <w:r w:rsidRPr="000366BE">
        <w:rPr>
          <w:rFonts w:ascii="Book Antiqua" w:hAnsi="Book Antiqua"/>
          <w:i/>
        </w:rPr>
        <w:t>World J Gastroenterol</w:t>
      </w:r>
      <w:r w:rsidRPr="000366BE">
        <w:rPr>
          <w:rFonts w:ascii="Book Antiqua" w:hAnsi="Book Antiqua"/>
        </w:rPr>
        <w:t xml:space="preserve"> 2017; </w:t>
      </w:r>
      <w:r w:rsidRPr="000366BE">
        <w:rPr>
          <w:rFonts w:ascii="Book Antiqua" w:hAnsi="Book Antiqua"/>
          <w:b/>
        </w:rPr>
        <w:t>23</w:t>
      </w:r>
      <w:r w:rsidRPr="000366BE">
        <w:rPr>
          <w:rFonts w:ascii="Book Antiqua" w:hAnsi="Book Antiqua"/>
        </w:rPr>
        <w:t>: 6212-6219 [PMID: 28974887 DOI: 10.3748/wjg.v23.i34.6212]</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10 </w:t>
      </w:r>
      <w:r w:rsidRPr="000366BE">
        <w:rPr>
          <w:rFonts w:ascii="Book Antiqua" w:hAnsi="Book Antiqua"/>
          <w:b/>
        </w:rPr>
        <w:t>Bailey C</w:t>
      </w:r>
      <w:r w:rsidRPr="000366BE">
        <w:rPr>
          <w:rFonts w:ascii="Book Antiqua" w:hAnsi="Book Antiqua"/>
        </w:rPr>
        <w:t xml:space="preserve">, Negus R, Morris A, Ziprin P, Goldin R, Allavena P, Peck D, Darzi A. Chemokine expression is associated with the accumulation of tumour associated macrophages (TAMs) and progression in human colorectal cancer. </w:t>
      </w:r>
      <w:r w:rsidRPr="000366BE">
        <w:rPr>
          <w:rFonts w:ascii="Book Antiqua" w:hAnsi="Book Antiqua"/>
          <w:i/>
        </w:rPr>
        <w:t>Clin Exp Metastasis</w:t>
      </w:r>
      <w:r w:rsidRPr="000366BE">
        <w:rPr>
          <w:rFonts w:ascii="Book Antiqua" w:hAnsi="Book Antiqua"/>
        </w:rPr>
        <w:t xml:space="preserve"> 2007; </w:t>
      </w:r>
      <w:r w:rsidRPr="000366BE">
        <w:rPr>
          <w:rFonts w:ascii="Book Antiqua" w:hAnsi="Book Antiqua"/>
          <w:b/>
        </w:rPr>
        <w:t>24</w:t>
      </w:r>
      <w:r w:rsidRPr="000366BE">
        <w:rPr>
          <w:rFonts w:ascii="Book Antiqua" w:hAnsi="Book Antiqua"/>
        </w:rPr>
        <w:t>: 121-130 [PMID: 17390111 DOI: 10.1007/s10585-007-9060-3]</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11 </w:t>
      </w:r>
      <w:r w:rsidRPr="000366BE">
        <w:rPr>
          <w:rFonts w:ascii="Book Antiqua" w:hAnsi="Book Antiqua"/>
          <w:b/>
        </w:rPr>
        <w:t>Hu H</w:t>
      </w:r>
      <w:r w:rsidRPr="000366BE">
        <w:rPr>
          <w:rFonts w:ascii="Book Antiqua" w:hAnsi="Book Antiqua"/>
        </w:rPr>
        <w:t xml:space="preserve">, Sun L, Guo C, Liu Q, Zhou Z, Peng L, Pan J, Yu L, Lou J, Yang Z, Zhao P, Ran Y. Tumor cell-microenvironment interaction models coupled with clinical validation reveal CCL2 and SNCG as two predictors of colorectal cancer hepatic metastasis. </w:t>
      </w:r>
      <w:r w:rsidRPr="000366BE">
        <w:rPr>
          <w:rFonts w:ascii="Book Antiqua" w:hAnsi="Book Antiqua"/>
          <w:i/>
        </w:rPr>
        <w:t>Clin Cancer Res</w:t>
      </w:r>
      <w:r w:rsidRPr="000366BE">
        <w:rPr>
          <w:rFonts w:ascii="Book Antiqua" w:hAnsi="Book Antiqua"/>
        </w:rPr>
        <w:t xml:space="preserve"> 2009; </w:t>
      </w:r>
      <w:r w:rsidRPr="000366BE">
        <w:rPr>
          <w:rFonts w:ascii="Book Antiqua" w:hAnsi="Book Antiqua"/>
          <w:b/>
        </w:rPr>
        <w:t>15</w:t>
      </w:r>
      <w:r w:rsidRPr="000366BE">
        <w:rPr>
          <w:rFonts w:ascii="Book Antiqua" w:hAnsi="Book Antiqua"/>
        </w:rPr>
        <w:t>: 5485-5493 [PMID: 19706805 DOI: 10.1158/1078-0432.CCR-08-2491]</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12 </w:t>
      </w:r>
      <w:r w:rsidRPr="000366BE">
        <w:rPr>
          <w:rFonts w:ascii="Book Antiqua" w:hAnsi="Book Antiqua"/>
          <w:b/>
        </w:rPr>
        <w:t>Itatani Y</w:t>
      </w:r>
      <w:r w:rsidRPr="000366BE">
        <w:rPr>
          <w:rFonts w:ascii="Book Antiqua" w:hAnsi="Book Antiqua"/>
        </w:rPr>
        <w:t xml:space="preserve">, Kawada K, Inamoto S, Yamamoto T, Ogawa R, Taketo MM, Sakai Y. The Role of Chemokines in Promoting Colorectal Cancer Invasion/Metastasis. </w:t>
      </w:r>
      <w:r w:rsidRPr="000366BE">
        <w:rPr>
          <w:rFonts w:ascii="Book Antiqua" w:hAnsi="Book Antiqua"/>
          <w:i/>
        </w:rPr>
        <w:t>Int J Mol Sci</w:t>
      </w:r>
      <w:r w:rsidRPr="000366BE">
        <w:rPr>
          <w:rFonts w:ascii="Book Antiqua" w:hAnsi="Book Antiqua"/>
        </w:rPr>
        <w:t xml:space="preserve"> 2016; </w:t>
      </w:r>
      <w:r w:rsidRPr="000366BE">
        <w:rPr>
          <w:rFonts w:ascii="Book Antiqua" w:hAnsi="Book Antiqua"/>
          <w:b/>
        </w:rPr>
        <w:t>17</w:t>
      </w:r>
      <w:r w:rsidR="00FE4C46" w:rsidRPr="000366BE">
        <w:rPr>
          <w:rFonts w:ascii="Book Antiqua" w:hAnsi="Book Antiqua"/>
        </w:rPr>
        <w:t xml:space="preserve"> </w:t>
      </w:r>
      <w:r w:rsidRPr="000366BE">
        <w:rPr>
          <w:rFonts w:ascii="Book Antiqua" w:hAnsi="Book Antiqua"/>
        </w:rPr>
        <w:t>[PMID: 27136535 DOI: 10.3390/ijms17050643]</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13 </w:t>
      </w:r>
      <w:r w:rsidRPr="000366BE">
        <w:rPr>
          <w:rFonts w:ascii="Book Antiqua" w:hAnsi="Book Antiqua"/>
          <w:b/>
        </w:rPr>
        <w:t>Wang SW</w:t>
      </w:r>
      <w:r w:rsidRPr="000366BE">
        <w:rPr>
          <w:rFonts w:ascii="Book Antiqua" w:hAnsi="Book Antiqua"/>
        </w:rPr>
        <w:t xml:space="preserve">, Liu SC, Sun HL, Huang TY, Chan CH, Yang CY, Yeh HI, Huang YL, Chou WY, Lin YM, Tang CH. CCL5/CCR5 axis induces vascular endothelial growth factor-mediated tumor angiogenesis in human osteosarcoma microenvironment. </w:t>
      </w:r>
      <w:r w:rsidRPr="000366BE">
        <w:rPr>
          <w:rFonts w:ascii="Book Antiqua" w:hAnsi="Book Antiqua"/>
          <w:i/>
        </w:rPr>
        <w:t>Carcinogenesis</w:t>
      </w:r>
      <w:r w:rsidRPr="000366BE">
        <w:rPr>
          <w:rFonts w:ascii="Book Antiqua" w:hAnsi="Book Antiqua"/>
        </w:rPr>
        <w:t xml:space="preserve"> 2015; </w:t>
      </w:r>
      <w:r w:rsidRPr="000366BE">
        <w:rPr>
          <w:rFonts w:ascii="Book Antiqua" w:hAnsi="Book Antiqua"/>
          <w:b/>
        </w:rPr>
        <w:t>36</w:t>
      </w:r>
      <w:r w:rsidRPr="000366BE">
        <w:rPr>
          <w:rFonts w:ascii="Book Antiqua" w:hAnsi="Book Antiqua"/>
        </w:rPr>
        <w:t>: 104-114 [PMID: 25330803 DOI: 10.1093/carcin/bgu218]</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14 </w:t>
      </w:r>
      <w:r w:rsidRPr="000366BE">
        <w:rPr>
          <w:rFonts w:ascii="Book Antiqua" w:hAnsi="Book Antiqua"/>
          <w:b/>
        </w:rPr>
        <w:t>Pfirschke C</w:t>
      </w:r>
      <w:r w:rsidRPr="000366BE">
        <w:rPr>
          <w:rFonts w:ascii="Book Antiqua" w:hAnsi="Book Antiqua"/>
        </w:rPr>
        <w:t xml:space="preserve">, Siwicki M, Liao HW, Pittet MJ. Tumor Microenvironment: No Effector T Cells without Dendritic Cells. </w:t>
      </w:r>
      <w:r w:rsidRPr="000366BE">
        <w:rPr>
          <w:rFonts w:ascii="Book Antiqua" w:hAnsi="Book Antiqua"/>
          <w:i/>
        </w:rPr>
        <w:t>Cancer Cell</w:t>
      </w:r>
      <w:r w:rsidRPr="000366BE">
        <w:rPr>
          <w:rFonts w:ascii="Book Antiqua" w:hAnsi="Book Antiqua"/>
        </w:rPr>
        <w:t xml:space="preserve"> 2017; </w:t>
      </w:r>
      <w:r w:rsidRPr="000366BE">
        <w:rPr>
          <w:rFonts w:ascii="Book Antiqua" w:hAnsi="Book Antiqua"/>
          <w:b/>
        </w:rPr>
        <w:t>31</w:t>
      </w:r>
      <w:r w:rsidRPr="000366BE">
        <w:rPr>
          <w:rFonts w:ascii="Book Antiqua" w:hAnsi="Book Antiqua"/>
        </w:rPr>
        <w:t>: 614-615 [PMID: 28486102 DOI: 10.1016/j.ccell.2017.04.007]</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15 </w:t>
      </w:r>
      <w:r w:rsidRPr="000366BE">
        <w:rPr>
          <w:rFonts w:ascii="Book Antiqua" w:hAnsi="Book Antiqua"/>
          <w:b/>
        </w:rPr>
        <w:t>Li CW</w:t>
      </w:r>
      <w:r w:rsidRPr="000366BE">
        <w:rPr>
          <w:rFonts w:ascii="Book Antiqua" w:hAnsi="Book Antiqua"/>
        </w:rPr>
        <w:t xml:space="preserve">, Xia W, Huo L, Lim SO, Wu Y, Hsu JL, Chao CH, Yamaguchi H, Yang NK, Ding Q, Wang Y, Lai YJ, LaBaff AM, Wu TJ, Lin BR, Yang MH, Hortobagyi GN, Hung MC. Epithelial-mesenchymal transition induced by TNF-α requires NF-κB-mediated transcriptional upregulation of Twist1. </w:t>
      </w:r>
      <w:r w:rsidRPr="000366BE">
        <w:rPr>
          <w:rFonts w:ascii="Book Antiqua" w:hAnsi="Book Antiqua"/>
          <w:i/>
        </w:rPr>
        <w:t>Cancer Res</w:t>
      </w:r>
      <w:r w:rsidRPr="000366BE">
        <w:rPr>
          <w:rFonts w:ascii="Book Antiqua" w:hAnsi="Book Antiqua"/>
        </w:rPr>
        <w:t xml:space="preserve"> 2012; </w:t>
      </w:r>
      <w:r w:rsidRPr="000366BE">
        <w:rPr>
          <w:rFonts w:ascii="Book Antiqua" w:hAnsi="Book Antiqua"/>
          <w:b/>
        </w:rPr>
        <w:t>72</w:t>
      </w:r>
      <w:r w:rsidRPr="000366BE">
        <w:rPr>
          <w:rFonts w:ascii="Book Antiqua" w:hAnsi="Book Antiqua"/>
        </w:rPr>
        <w:t>: 1290-1300 [PMID: 22253230 DOI: 10.1158/0008-5472.CAN-11-3123]</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16 </w:t>
      </w:r>
      <w:r w:rsidRPr="000366BE">
        <w:rPr>
          <w:rFonts w:ascii="Book Antiqua" w:hAnsi="Book Antiqua"/>
          <w:b/>
        </w:rPr>
        <w:t>Ferrajoli A</w:t>
      </w:r>
      <w:r w:rsidRPr="000366BE">
        <w:rPr>
          <w:rFonts w:ascii="Book Antiqua" w:hAnsi="Book Antiqua"/>
        </w:rPr>
        <w:t xml:space="preserve">, Keating MJ, Manshouri T, Giles FJ, Dey A, Estrov Z, Koller CA, Kurzrock R, Thomas DA, Faderl S, Lerner S, O'Brien S, Albitar M. The clinical significance of tumor necrosis factor-alpha plasma level in patients having chronic lymphocytic leukemia. </w:t>
      </w:r>
      <w:r w:rsidRPr="000366BE">
        <w:rPr>
          <w:rFonts w:ascii="Book Antiqua" w:hAnsi="Book Antiqua"/>
          <w:i/>
        </w:rPr>
        <w:t>Blood</w:t>
      </w:r>
      <w:r w:rsidRPr="000366BE">
        <w:rPr>
          <w:rFonts w:ascii="Book Antiqua" w:hAnsi="Book Antiqua"/>
        </w:rPr>
        <w:t xml:space="preserve"> 2002; </w:t>
      </w:r>
      <w:r w:rsidRPr="000366BE">
        <w:rPr>
          <w:rFonts w:ascii="Book Antiqua" w:hAnsi="Book Antiqua"/>
          <w:b/>
        </w:rPr>
        <w:t>100</w:t>
      </w:r>
      <w:r w:rsidRPr="000366BE">
        <w:rPr>
          <w:rFonts w:ascii="Book Antiqua" w:hAnsi="Book Antiqua"/>
        </w:rPr>
        <w:t>: 1215-1219 [PMID: 12149200]</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17 </w:t>
      </w:r>
      <w:r w:rsidRPr="000366BE">
        <w:rPr>
          <w:rFonts w:ascii="Book Antiqua" w:hAnsi="Book Antiqua"/>
          <w:b/>
        </w:rPr>
        <w:t>Szlosarek PW</w:t>
      </w:r>
      <w:r w:rsidRPr="000366BE">
        <w:rPr>
          <w:rFonts w:ascii="Book Antiqua" w:hAnsi="Book Antiqua"/>
        </w:rPr>
        <w:t xml:space="preserve">, Grimshaw MJ, Kulbe H, Wilson JL, Wilbanks GD, Burke F, Balkwill FR. Expression and regulation of tumor necrosis factor alpha in normal and malignant ovarian epithelium. </w:t>
      </w:r>
      <w:r w:rsidRPr="000366BE">
        <w:rPr>
          <w:rFonts w:ascii="Book Antiqua" w:hAnsi="Book Antiqua"/>
          <w:i/>
        </w:rPr>
        <w:t>Mol Cancer Ther</w:t>
      </w:r>
      <w:r w:rsidRPr="000366BE">
        <w:rPr>
          <w:rFonts w:ascii="Book Antiqua" w:hAnsi="Book Antiqua"/>
        </w:rPr>
        <w:t xml:space="preserve"> 2006; </w:t>
      </w:r>
      <w:r w:rsidRPr="000366BE">
        <w:rPr>
          <w:rFonts w:ascii="Book Antiqua" w:hAnsi="Book Antiqua"/>
          <w:b/>
        </w:rPr>
        <w:t>5</w:t>
      </w:r>
      <w:r w:rsidRPr="000366BE">
        <w:rPr>
          <w:rFonts w:ascii="Book Antiqua" w:hAnsi="Book Antiqua"/>
        </w:rPr>
        <w:t>: 382-390 [PMID: 16505113 DOI: 10.1158/1535-7163.MCT-05-0303]</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18 </w:t>
      </w:r>
      <w:r w:rsidRPr="000366BE">
        <w:rPr>
          <w:rFonts w:ascii="Book Antiqua" w:hAnsi="Book Antiqua"/>
          <w:b/>
        </w:rPr>
        <w:t>Massagué J</w:t>
      </w:r>
      <w:r w:rsidRPr="000366BE">
        <w:rPr>
          <w:rFonts w:ascii="Book Antiqua" w:hAnsi="Book Antiqua"/>
        </w:rPr>
        <w:t xml:space="preserve">. </w:t>
      </w:r>
      <w:bookmarkStart w:id="23" w:name="OLE_LINK34"/>
      <w:bookmarkStart w:id="24" w:name="OLE_LINK35"/>
      <w:r w:rsidRPr="000366BE">
        <w:rPr>
          <w:rFonts w:ascii="Book Antiqua" w:hAnsi="Book Antiqua"/>
        </w:rPr>
        <w:t>TGFβ signalling in context.</w:t>
      </w:r>
      <w:bookmarkEnd w:id="23"/>
      <w:bookmarkEnd w:id="24"/>
      <w:r w:rsidRPr="000366BE">
        <w:rPr>
          <w:rFonts w:ascii="Book Antiqua" w:hAnsi="Book Antiqua"/>
        </w:rPr>
        <w:t xml:space="preserve"> </w:t>
      </w:r>
      <w:r w:rsidRPr="000366BE">
        <w:rPr>
          <w:rFonts w:ascii="Book Antiqua" w:hAnsi="Book Antiqua"/>
          <w:i/>
        </w:rPr>
        <w:t>Nat Rev Mol Cell Biol</w:t>
      </w:r>
      <w:r w:rsidRPr="000366BE">
        <w:rPr>
          <w:rFonts w:ascii="Book Antiqua" w:hAnsi="Book Antiqua"/>
        </w:rPr>
        <w:t xml:space="preserve"> 2012; </w:t>
      </w:r>
      <w:r w:rsidRPr="000366BE">
        <w:rPr>
          <w:rFonts w:ascii="Book Antiqua" w:hAnsi="Book Antiqua"/>
          <w:b/>
        </w:rPr>
        <w:t>13</w:t>
      </w:r>
      <w:r w:rsidRPr="000366BE">
        <w:rPr>
          <w:rFonts w:ascii="Book Antiqua" w:hAnsi="Book Antiqua"/>
        </w:rPr>
        <w:t>: 616-630 [PMID: 22992590 DOI: 10.1038/nrm3434]</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19 </w:t>
      </w:r>
      <w:r w:rsidRPr="000366BE">
        <w:rPr>
          <w:rFonts w:ascii="Book Antiqua" w:hAnsi="Book Antiqua"/>
          <w:b/>
        </w:rPr>
        <w:t>Väyrynen JP</w:t>
      </w:r>
      <w:r w:rsidRPr="000366BE">
        <w:rPr>
          <w:rFonts w:ascii="Book Antiqua" w:hAnsi="Book Antiqua"/>
        </w:rPr>
        <w:t xml:space="preserve">, Kantola T, Väyrynen SA, Klintrup K, Bloigu R, Karhu T, Mäkelä J, Herzig KH, Karttunen TJ, Tuomisto A, Mäkinen MJ. The relationships between serum cytokine levels and tumor infiltrating immune cells and their clinical significance in colorectal cancer. </w:t>
      </w:r>
      <w:r w:rsidRPr="000366BE">
        <w:rPr>
          <w:rFonts w:ascii="Book Antiqua" w:hAnsi="Book Antiqua"/>
          <w:i/>
        </w:rPr>
        <w:t>Int J Cancer</w:t>
      </w:r>
      <w:r w:rsidRPr="000366BE">
        <w:rPr>
          <w:rFonts w:ascii="Book Antiqua" w:hAnsi="Book Antiqua"/>
        </w:rPr>
        <w:t xml:space="preserve"> 2016; </w:t>
      </w:r>
      <w:r w:rsidRPr="000366BE">
        <w:rPr>
          <w:rFonts w:ascii="Book Antiqua" w:hAnsi="Book Antiqua"/>
          <w:b/>
        </w:rPr>
        <w:t>139</w:t>
      </w:r>
      <w:r w:rsidRPr="000366BE">
        <w:rPr>
          <w:rFonts w:ascii="Book Antiqua" w:hAnsi="Book Antiqua"/>
        </w:rPr>
        <w:t>: 112-121 [PMID: 26874795 DOI: 10.1002/ijc.30040]</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20 </w:t>
      </w:r>
      <w:r w:rsidRPr="000366BE">
        <w:rPr>
          <w:rFonts w:ascii="Book Antiqua" w:hAnsi="Book Antiqua"/>
          <w:b/>
        </w:rPr>
        <w:t>Roberts AB</w:t>
      </w:r>
      <w:r w:rsidRPr="000366BE">
        <w:rPr>
          <w:rFonts w:ascii="Book Antiqua" w:hAnsi="Book Antiqua"/>
        </w:rPr>
        <w:t xml:space="preserve">, Thompson NL, Heine U, Flanders C, Sporn MB. Transforming growth factor-beta: possible roles in carcinogenesis. </w:t>
      </w:r>
      <w:r w:rsidRPr="000366BE">
        <w:rPr>
          <w:rFonts w:ascii="Book Antiqua" w:hAnsi="Book Antiqua"/>
          <w:i/>
        </w:rPr>
        <w:t>Br J Cancer</w:t>
      </w:r>
      <w:r w:rsidRPr="000366BE">
        <w:rPr>
          <w:rFonts w:ascii="Book Antiqua" w:hAnsi="Book Antiqua"/>
        </w:rPr>
        <w:t xml:space="preserve"> 1988; </w:t>
      </w:r>
      <w:r w:rsidRPr="000366BE">
        <w:rPr>
          <w:rFonts w:ascii="Book Antiqua" w:hAnsi="Book Antiqua"/>
          <w:b/>
        </w:rPr>
        <w:t>57</w:t>
      </w:r>
      <w:r w:rsidRPr="000366BE">
        <w:rPr>
          <w:rFonts w:ascii="Book Antiqua" w:hAnsi="Book Antiqua"/>
        </w:rPr>
        <w:t>: 594-600 [PMID: 3044431 DOI: 10.1038/bjc.1988.135]</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21 </w:t>
      </w:r>
      <w:r w:rsidRPr="000366BE">
        <w:rPr>
          <w:rFonts w:ascii="Book Antiqua" w:hAnsi="Book Antiqua"/>
          <w:b/>
        </w:rPr>
        <w:t>Roberts AB</w:t>
      </w:r>
      <w:r w:rsidRPr="000366BE">
        <w:rPr>
          <w:rFonts w:ascii="Book Antiqua" w:hAnsi="Book Antiqua"/>
        </w:rPr>
        <w:t xml:space="preserve">, Sporn MB. Physiological actions and clinical applications of transforming growth factor-beta (TGF-beta). </w:t>
      </w:r>
      <w:r w:rsidRPr="000366BE">
        <w:rPr>
          <w:rFonts w:ascii="Book Antiqua" w:hAnsi="Book Antiqua"/>
          <w:i/>
        </w:rPr>
        <w:t>Growth Factors</w:t>
      </w:r>
      <w:r w:rsidRPr="000366BE">
        <w:rPr>
          <w:rFonts w:ascii="Book Antiqua" w:hAnsi="Book Antiqua"/>
        </w:rPr>
        <w:t xml:space="preserve"> 1993; </w:t>
      </w:r>
      <w:r w:rsidRPr="000366BE">
        <w:rPr>
          <w:rFonts w:ascii="Book Antiqua" w:hAnsi="Book Antiqua"/>
          <w:b/>
        </w:rPr>
        <w:t>8</w:t>
      </w:r>
      <w:r w:rsidRPr="000366BE">
        <w:rPr>
          <w:rFonts w:ascii="Book Antiqua" w:hAnsi="Book Antiqua"/>
        </w:rPr>
        <w:t>: 1-9 [PMID: 8448037 DOI: 10.3109/08977199309029129]</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22 </w:t>
      </w:r>
      <w:r w:rsidRPr="000366BE">
        <w:rPr>
          <w:rFonts w:ascii="Book Antiqua" w:hAnsi="Book Antiqua"/>
          <w:b/>
        </w:rPr>
        <w:t>Merlano MC</w:t>
      </w:r>
      <w:r w:rsidRPr="000366BE">
        <w:rPr>
          <w:rFonts w:ascii="Book Antiqua" w:hAnsi="Book Antiqua"/>
        </w:rPr>
        <w:t xml:space="preserve">, Granetto C, Fea E, Ricci V, Garrone O. Heterogeneity of colon cancer: from bench to bedside. </w:t>
      </w:r>
      <w:r w:rsidRPr="000366BE">
        <w:rPr>
          <w:rFonts w:ascii="Book Antiqua" w:hAnsi="Book Antiqua"/>
          <w:i/>
        </w:rPr>
        <w:t>ESMO Open</w:t>
      </w:r>
      <w:r w:rsidRPr="000366BE">
        <w:rPr>
          <w:rFonts w:ascii="Book Antiqua" w:hAnsi="Book Antiqua"/>
        </w:rPr>
        <w:t xml:space="preserve"> 2017; </w:t>
      </w:r>
      <w:r w:rsidRPr="000366BE">
        <w:rPr>
          <w:rFonts w:ascii="Book Antiqua" w:hAnsi="Book Antiqua"/>
          <w:b/>
        </w:rPr>
        <w:t>2</w:t>
      </w:r>
      <w:r w:rsidRPr="000366BE">
        <w:rPr>
          <w:rFonts w:ascii="Book Antiqua" w:hAnsi="Book Antiqua"/>
        </w:rPr>
        <w:t>: e000218 [PMID: 29209524 DOI: 10.1136/esmoopen-2017-000218]</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23 </w:t>
      </w:r>
      <w:r w:rsidRPr="000366BE">
        <w:rPr>
          <w:rFonts w:ascii="Book Antiqua" w:hAnsi="Book Antiqua"/>
          <w:b/>
        </w:rPr>
        <w:t>Kumar H</w:t>
      </w:r>
      <w:r w:rsidRPr="000366BE">
        <w:rPr>
          <w:rFonts w:ascii="Book Antiqua" w:hAnsi="Book Antiqua"/>
        </w:rPr>
        <w:t xml:space="preserve">, Heer K, Lee PW, Duthie GS, MacDonald AW, Greenman J, Kerin MJ, Monson JR. Preoperative serum vascular endothelial growth factor can predict stage in colorectal cancer. </w:t>
      </w:r>
      <w:r w:rsidRPr="000366BE">
        <w:rPr>
          <w:rFonts w:ascii="Book Antiqua" w:hAnsi="Book Antiqua"/>
          <w:i/>
        </w:rPr>
        <w:t>Clin Cancer Res</w:t>
      </w:r>
      <w:r w:rsidRPr="000366BE">
        <w:rPr>
          <w:rFonts w:ascii="Book Antiqua" w:hAnsi="Book Antiqua"/>
        </w:rPr>
        <w:t xml:space="preserve"> 1998; </w:t>
      </w:r>
      <w:r w:rsidRPr="000366BE">
        <w:rPr>
          <w:rFonts w:ascii="Book Antiqua" w:hAnsi="Book Antiqua"/>
          <w:b/>
        </w:rPr>
        <w:t>4</w:t>
      </w:r>
      <w:r w:rsidRPr="000366BE">
        <w:rPr>
          <w:rFonts w:ascii="Book Antiqua" w:hAnsi="Book Antiqua"/>
        </w:rPr>
        <w:t>: 1279-1285 [PMID: 9607588]</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24 </w:t>
      </w:r>
      <w:r w:rsidRPr="000366BE">
        <w:rPr>
          <w:rFonts w:ascii="Book Antiqua" w:hAnsi="Book Antiqua"/>
          <w:b/>
        </w:rPr>
        <w:t>Ferroni P</w:t>
      </w:r>
      <w:r w:rsidRPr="000366BE">
        <w:rPr>
          <w:rFonts w:ascii="Book Antiqua" w:hAnsi="Book Antiqua"/>
        </w:rPr>
        <w:t xml:space="preserve">, Palmirotta R, Spila A, Martini F, Formica V, Portarena I, Del Monte G, Buonomo O, Roselli M, Guadagni F. Prognostic value of carcinoembryonic antigen and vascular endothelial growth factor tumor tissue content in colorectal cancer. </w:t>
      </w:r>
      <w:r w:rsidRPr="000366BE">
        <w:rPr>
          <w:rFonts w:ascii="Book Antiqua" w:hAnsi="Book Antiqua"/>
          <w:i/>
        </w:rPr>
        <w:t>Oncology</w:t>
      </w:r>
      <w:r w:rsidRPr="000366BE">
        <w:rPr>
          <w:rFonts w:ascii="Book Antiqua" w:hAnsi="Book Antiqua"/>
        </w:rPr>
        <w:t xml:space="preserve"> 2006; </w:t>
      </w:r>
      <w:r w:rsidRPr="000366BE">
        <w:rPr>
          <w:rFonts w:ascii="Book Antiqua" w:hAnsi="Book Antiqua"/>
          <w:b/>
        </w:rPr>
        <w:t>71</w:t>
      </w:r>
      <w:r w:rsidRPr="000366BE">
        <w:rPr>
          <w:rFonts w:ascii="Book Antiqua" w:hAnsi="Book Antiqua"/>
        </w:rPr>
        <w:t>: 176-184 [PMID: 17652942 DOI: 10.1159/000106072]</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25 </w:t>
      </w:r>
      <w:r w:rsidRPr="000366BE">
        <w:rPr>
          <w:rFonts w:ascii="Book Antiqua" w:hAnsi="Book Antiqua"/>
          <w:b/>
        </w:rPr>
        <w:t>Balkwill F</w:t>
      </w:r>
      <w:r w:rsidRPr="000366BE">
        <w:rPr>
          <w:rFonts w:ascii="Book Antiqua" w:hAnsi="Book Antiqua"/>
        </w:rPr>
        <w:t xml:space="preserve">. Cancer and the chemokine network. </w:t>
      </w:r>
      <w:r w:rsidRPr="000366BE">
        <w:rPr>
          <w:rFonts w:ascii="Book Antiqua" w:hAnsi="Book Antiqua"/>
          <w:i/>
        </w:rPr>
        <w:t>Nat Rev Cancer</w:t>
      </w:r>
      <w:r w:rsidRPr="000366BE">
        <w:rPr>
          <w:rFonts w:ascii="Book Antiqua" w:hAnsi="Book Antiqua"/>
        </w:rPr>
        <w:t xml:space="preserve"> 2004; </w:t>
      </w:r>
      <w:r w:rsidRPr="000366BE">
        <w:rPr>
          <w:rFonts w:ascii="Book Antiqua" w:hAnsi="Book Antiqua"/>
          <w:b/>
        </w:rPr>
        <w:t>4</w:t>
      </w:r>
      <w:r w:rsidRPr="000366BE">
        <w:rPr>
          <w:rFonts w:ascii="Book Antiqua" w:hAnsi="Book Antiqua"/>
        </w:rPr>
        <w:t>: 540-550 [PMID: 15229479 DOI: 10.1038/nrc1388]</w:t>
      </w:r>
    </w:p>
    <w:p w:rsidR="00D53342" w:rsidRPr="000366BE" w:rsidRDefault="00D53342" w:rsidP="00D53342">
      <w:pPr>
        <w:adjustRightInd w:val="0"/>
        <w:snapToGrid w:val="0"/>
        <w:spacing w:line="360" w:lineRule="auto"/>
        <w:jc w:val="both"/>
        <w:rPr>
          <w:rFonts w:ascii="Book Antiqua" w:hAnsi="Book Antiqua"/>
        </w:rPr>
      </w:pPr>
      <w:r w:rsidRPr="000366BE">
        <w:rPr>
          <w:rFonts w:ascii="Book Antiqua" w:hAnsi="Book Antiqua"/>
        </w:rPr>
        <w:t xml:space="preserve">26 </w:t>
      </w:r>
      <w:r w:rsidRPr="000366BE">
        <w:rPr>
          <w:rFonts w:ascii="Book Antiqua" w:hAnsi="Book Antiqua"/>
          <w:b/>
        </w:rPr>
        <w:t>Spranger S</w:t>
      </w:r>
      <w:r w:rsidRPr="000366BE">
        <w:rPr>
          <w:rFonts w:ascii="Book Antiqua" w:hAnsi="Book Antiqua"/>
        </w:rPr>
        <w:t xml:space="preserve">, Dai D, Horton B, Gajewski TF. Tumor-Residing Batf3 Dendritic Cells Are Required for Effector T Cell Trafficking and Adoptive T Cell Therapy. </w:t>
      </w:r>
      <w:r w:rsidRPr="000366BE">
        <w:rPr>
          <w:rFonts w:ascii="Book Antiqua" w:hAnsi="Book Antiqua"/>
          <w:i/>
        </w:rPr>
        <w:t>Cancer Cell</w:t>
      </w:r>
      <w:r w:rsidRPr="000366BE">
        <w:rPr>
          <w:rFonts w:ascii="Book Antiqua" w:hAnsi="Book Antiqua"/>
        </w:rPr>
        <w:t xml:space="preserve"> 2017; </w:t>
      </w:r>
      <w:r w:rsidRPr="000366BE">
        <w:rPr>
          <w:rFonts w:ascii="Book Antiqua" w:hAnsi="Book Antiqua"/>
          <w:b/>
        </w:rPr>
        <w:t>31</w:t>
      </w:r>
      <w:r w:rsidRPr="000366BE">
        <w:rPr>
          <w:rFonts w:ascii="Book Antiqua" w:hAnsi="Book Antiqua"/>
        </w:rPr>
        <w:t>: 711-723.e4 [PMID: 28486109 DOI: 10.1016/j.ccell.2017.04.003]</w:t>
      </w:r>
    </w:p>
    <w:p w:rsidR="00D53342" w:rsidRPr="000366BE" w:rsidRDefault="00D53342" w:rsidP="00D53342">
      <w:pPr>
        <w:adjustRightInd w:val="0"/>
        <w:snapToGrid w:val="0"/>
        <w:spacing w:line="360" w:lineRule="auto"/>
        <w:jc w:val="both"/>
        <w:rPr>
          <w:rFonts w:ascii="Book Antiqua" w:hAnsi="Book Antiqua"/>
          <w:lang w:val="en-GB"/>
        </w:rPr>
        <w:sectPr w:rsidR="00D53342" w:rsidRPr="000366BE" w:rsidSect="00996217">
          <w:footerReference w:type="even" r:id="rId8"/>
          <w:footerReference w:type="default" r:id="rId9"/>
          <w:pgSz w:w="11906" w:h="16838"/>
          <w:pgMar w:top="1417" w:right="1134" w:bottom="1134" w:left="1134" w:header="708" w:footer="708" w:gutter="0"/>
          <w:cols w:space="708"/>
          <w:docGrid w:linePitch="360"/>
        </w:sectPr>
      </w:pPr>
    </w:p>
    <w:p w:rsidR="00DE655A" w:rsidRPr="000366BE" w:rsidRDefault="00D53342" w:rsidP="00DE655A">
      <w:pPr>
        <w:adjustRightInd w:val="0"/>
        <w:snapToGrid w:val="0"/>
        <w:spacing w:line="360" w:lineRule="auto"/>
        <w:rPr>
          <w:rFonts w:ascii="Book Antiqua" w:hAnsi="Book Antiqua"/>
          <w:b/>
        </w:rPr>
      </w:pPr>
      <w:bookmarkStart w:id="25" w:name="OLE_LINK1"/>
      <w:r w:rsidRPr="000366BE">
        <w:rPr>
          <w:rFonts w:ascii="Book Antiqua" w:hAnsi="Book Antiqua"/>
          <w:lang w:val="en-GB"/>
        </w:rPr>
        <w:br w:type="page"/>
      </w:r>
      <w:r w:rsidR="00DE655A" w:rsidRPr="000366BE">
        <w:rPr>
          <w:rFonts w:ascii="Book Antiqua" w:hAnsi="Book Antiqua"/>
          <w:b/>
        </w:rPr>
        <w:t>Footnotes</w:t>
      </w:r>
    </w:p>
    <w:p w:rsidR="00DE655A" w:rsidRPr="000366BE" w:rsidRDefault="00DE655A" w:rsidP="00DE655A">
      <w:pPr>
        <w:adjustRightInd w:val="0"/>
        <w:snapToGrid w:val="0"/>
        <w:spacing w:line="360" w:lineRule="auto"/>
        <w:rPr>
          <w:rFonts w:ascii="Book Antiqua" w:hAnsi="Book Antiqua"/>
          <w:b/>
        </w:rPr>
      </w:pPr>
      <w:r w:rsidRPr="000366BE">
        <w:rPr>
          <w:rFonts w:ascii="Book Antiqua" w:hAnsi="Book Antiqua"/>
          <w:b/>
        </w:rPr>
        <w:t>Institutional review board statement</w:t>
      </w:r>
      <w:r w:rsidRPr="000366BE">
        <w:rPr>
          <w:rFonts w:ascii="Book Antiqua" w:hAnsi="Book Antiqua"/>
          <w:b/>
          <w:bCs/>
          <w:iCs/>
          <w:color w:val="000000"/>
        </w:rPr>
        <w:t xml:space="preserve">: </w:t>
      </w:r>
      <w:r w:rsidRPr="000366BE">
        <w:rPr>
          <w:rFonts w:ascii="Book Antiqua" w:hAnsi="Book Antiqua"/>
        </w:rPr>
        <w:t>This study was reviewed and approved by the Ethics Committee.</w:t>
      </w:r>
    </w:p>
    <w:p w:rsidR="00DE655A" w:rsidRPr="000366BE" w:rsidRDefault="00DE655A" w:rsidP="00DE655A">
      <w:pPr>
        <w:autoSpaceDE w:val="0"/>
        <w:autoSpaceDN w:val="0"/>
        <w:adjustRightInd w:val="0"/>
        <w:snapToGrid w:val="0"/>
        <w:spacing w:line="360" w:lineRule="auto"/>
        <w:rPr>
          <w:rFonts w:ascii="Book Antiqua" w:hAnsi="Book Antiqua"/>
          <w:bCs/>
          <w:iCs/>
          <w:color w:val="000000"/>
        </w:rPr>
      </w:pPr>
    </w:p>
    <w:p w:rsidR="00DE655A" w:rsidRPr="000366BE" w:rsidRDefault="00DE655A" w:rsidP="00DE655A">
      <w:pPr>
        <w:adjustRightInd w:val="0"/>
        <w:snapToGrid w:val="0"/>
        <w:spacing w:line="360" w:lineRule="auto"/>
        <w:rPr>
          <w:rFonts w:ascii="Book Antiqua" w:hAnsi="Book Antiqua"/>
          <w:b/>
        </w:rPr>
      </w:pPr>
      <w:r w:rsidRPr="000366BE">
        <w:rPr>
          <w:rFonts w:ascii="Book Antiqua" w:hAnsi="Book Antiqua"/>
          <w:b/>
        </w:rPr>
        <w:t>Informed consent statement</w:t>
      </w:r>
      <w:r w:rsidRPr="000366BE">
        <w:rPr>
          <w:rFonts w:ascii="Book Antiqua" w:hAnsi="Book Antiqua"/>
          <w:b/>
          <w:bCs/>
          <w:iCs/>
          <w:color w:val="000000"/>
        </w:rPr>
        <w:t xml:space="preserve">: </w:t>
      </w:r>
      <w:r w:rsidR="00CB1268" w:rsidRPr="000366BE">
        <w:rPr>
          <w:rFonts w:ascii="Book Antiqua" w:hAnsi="Book Antiqua"/>
        </w:rPr>
        <w:t>All study participants, or their legal guardian, provided informed written consent prior to study enrollment.</w:t>
      </w:r>
    </w:p>
    <w:p w:rsidR="00DE655A" w:rsidRPr="000366BE" w:rsidRDefault="00DE655A" w:rsidP="00DE655A">
      <w:pPr>
        <w:autoSpaceDE w:val="0"/>
        <w:autoSpaceDN w:val="0"/>
        <w:adjustRightInd w:val="0"/>
        <w:snapToGrid w:val="0"/>
        <w:spacing w:line="360" w:lineRule="auto"/>
        <w:rPr>
          <w:rFonts w:ascii="Book Antiqua" w:hAnsi="Book Antiqua" w:cs="TimesNewRomanPS-BoldItalicMT"/>
          <w:bCs/>
          <w:iCs/>
          <w:color w:val="000000"/>
        </w:rPr>
      </w:pPr>
    </w:p>
    <w:p w:rsidR="00DE655A" w:rsidRPr="000366BE" w:rsidRDefault="00DE655A" w:rsidP="00DE655A">
      <w:pPr>
        <w:adjustRightInd w:val="0"/>
        <w:snapToGrid w:val="0"/>
        <w:spacing w:line="360" w:lineRule="auto"/>
        <w:rPr>
          <w:rFonts w:ascii="Book Antiqua" w:hAnsi="Book Antiqua"/>
          <w:b/>
        </w:rPr>
      </w:pPr>
      <w:r w:rsidRPr="000366BE">
        <w:rPr>
          <w:rFonts w:ascii="Book Antiqua" w:hAnsi="Book Antiqua"/>
          <w:b/>
        </w:rPr>
        <w:t>Conflict-of-interest statement</w:t>
      </w:r>
      <w:r w:rsidRPr="000366BE">
        <w:rPr>
          <w:rFonts w:ascii="Book Antiqua" w:hAnsi="Book Antiqua" w:cs="TimesNewRomanPS-BoldItalicMT"/>
          <w:b/>
          <w:bCs/>
          <w:iCs/>
          <w:color w:val="000000"/>
        </w:rPr>
        <w:t xml:space="preserve">: </w:t>
      </w:r>
      <w:r w:rsidRPr="000366BE">
        <w:rPr>
          <w:rFonts w:ascii="Book Antiqua" w:hAnsi="Book Antiqua" w:cs="TimesNewRomanPS-BoldItalicMT"/>
          <w:bCs/>
          <w:iCs/>
          <w:color w:val="000000"/>
        </w:rPr>
        <w:t>We have no financial relationships to disclose.</w:t>
      </w:r>
    </w:p>
    <w:p w:rsidR="00DE655A" w:rsidRPr="000366BE" w:rsidRDefault="00DE655A" w:rsidP="00DE655A">
      <w:pPr>
        <w:autoSpaceDE w:val="0"/>
        <w:autoSpaceDN w:val="0"/>
        <w:adjustRightInd w:val="0"/>
        <w:snapToGrid w:val="0"/>
        <w:spacing w:line="360" w:lineRule="auto"/>
        <w:rPr>
          <w:rFonts w:ascii="Book Antiqua" w:hAnsi="Book Antiqua" w:cs="TimesNewRomanPS-BoldItalicMT"/>
          <w:bCs/>
          <w:iCs/>
          <w:color w:val="000000"/>
        </w:rPr>
      </w:pPr>
    </w:p>
    <w:p w:rsidR="00DE655A" w:rsidRPr="000366BE" w:rsidRDefault="00DE655A" w:rsidP="00DE655A">
      <w:pPr>
        <w:adjustRightInd w:val="0"/>
        <w:snapToGrid w:val="0"/>
        <w:spacing w:line="360" w:lineRule="auto"/>
        <w:rPr>
          <w:rFonts w:ascii="Book Antiqua" w:hAnsi="Book Antiqua"/>
          <w:b/>
        </w:rPr>
      </w:pPr>
      <w:r w:rsidRPr="000366BE">
        <w:rPr>
          <w:rFonts w:ascii="Book Antiqua" w:hAnsi="Book Antiqua"/>
          <w:b/>
        </w:rPr>
        <w:t>Data sharing statement</w:t>
      </w:r>
      <w:r w:rsidRPr="000366BE">
        <w:rPr>
          <w:rFonts w:ascii="Book Antiqua" w:hAnsi="Book Antiqua" w:cs="TimesNewRomanPS-BoldItalicMT"/>
          <w:b/>
          <w:bCs/>
          <w:iCs/>
          <w:color w:val="000000"/>
        </w:rPr>
        <w:t>:</w:t>
      </w:r>
      <w:r w:rsidRPr="000366BE">
        <w:rPr>
          <w:rFonts w:ascii="Book Antiqua" w:hAnsi="Book Antiqua"/>
          <w:b/>
        </w:rPr>
        <w:t xml:space="preserve"> </w:t>
      </w:r>
      <w:r w:rsidRPr="000366BE">
        <w:rPr>
          <w:rFonts w:ascii="Book Antiqua" w:hAnsi="Book Antiqua"/>
        </w:rPr>
        <w:t>No additional data are available.</w:t>
      </w:r>
    </w:p>
    <w:p w:rsidR="00DE655A" w:rsidRPr="000366BE" w:rsidRDefault="00DE655A" w:rsidP="00DE655A">
      <w:pPr>
        <w:adjustRightInd w:val="0"/>
        <w:snapToGrid w:val="0"/>
        <w:spacing w:line="360" w:lineRule="auto"/>
        <w:rPr>
          <w:rFonts w:ascii="Book Antiqua" w:hAnsi="Book Antiqua"/>
        </w:rPr>
      </w:pPr>
    </w:p>
    <w:p w:rsidR="00DE655A" w:rsidRPr="000366BE" w:rsidRDefault="00DE655A" w:rsidP="00244409">
      <w:pPr>
        <w:adjustRightInd w:val="0"/>
        <w:snapToGrid w:val="0"/>
        <w:spacing w:line="360" w:lineRule="auto"/>
        <w:jc w:val="both"/>
        <w:rPr>
          <w:rFonts w:ascii="Book Antiqua" w:hAnsi="Book Antiqua" w:cs="宋体"/>
        </w:rPr>
      </w:pPr>
      <w:r w:rsidRPr="000366BE">
        <w:rPr>
          <w:rFonts w:ascii="Book Antiqua" w:hAnsi="Book Antiqua"/>
          <w:b/>
          <w:color w:val="000000"/>
        </w:rPr>
        <w:t>Open-Access:</w:t>
      </w:r>
      <w:r w:rsidRPr="000366BE">
        <w:rPr>
          <w:rFonts w:ascii="Book Antiqua" w:hAnsi="Book Antiqua"/>
          <w:color w:val="000000"/>
        </w:rPr>
        <w:t xml:space="preserve"> This article is an open-access </w:t>
      </w:r>
      <w:r w:rsidRPr="000366BE">
        <w:rPr>
          <w:rFonts w:ascii="Book Antiqua" w:hAnsi="Book Antiqua"/>
        </w:rPr>
        <w:t xml:space="preserve">article that was selected </w:t>
      </w:r>
      <w:r w:rsidRPr="000366BE">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E655A" w:rsidRPr="000366BE" w:rsidRDefault="00DE655A" w:rsidP="00DE655A">
      <w:pPr>
        <w:adjustRightInd w:val="0"/>
        <w:snapToGrid w:val="0"/>
        <w:spacing w:line="360" w:lineRule="auto"/>
        <w:rPr>
          <w:rFonts w:ascii="Book Antiqua" w:eastAsia="宋体" w:hAnsi="Book Antiqua"/>
          <w:lang w:eastAsia="zh-CN"/>
        </w:rPr>
      </w:pPr>
    </w:p>
    <w:p w:rsidR="00DE655A" w:rsidRPr="000366BE" w:rsidRDefault="00DE655A" w:rsidP="00DE655A">
      <w:pPr>
        <w:adjustRightInd w:val="0"/>
        <w:snapToGrid w:val="0"/>
        <w:spacing w:line="360" w:lineRule="auto"/>
        <w:rPr>
          <w:rFonts w:ascii="Book Antiqua" w:hAnsi="Book Antiqua"/>
          <w:bCs/>
          <w:color w:val="000000"/>
          <w:lang w:eastAsia="zh-CN"/>
        </w:rPr>
      </w:pPr>
      <w:r w:rsidRPr="000366BE">
        <w:rPr>
          <w:rFonts w:ascii="Book Antiqua" w:hAnsi="Book Antiqua"/>
          <w:b/>
          <w:color w:val="000000"/>
          <w:lang w:eastAsia="pl-PL"/>
        </w:rPr>
        <w:t>Manuscript source:</w:t>
      </w:r>
      <w:r w:rsidRPr="000366BE">
        <w:rPr>
          <w:rFonts w:ascii="Book Antiqua" w:hAnsi="Book Antiqua"/>
          <w:b/>
          <w:color w:val="000000"/>
          <w:lang w:eastAsia="zh-CN"/>
        </w:rPr>
        <w:t xml:space="preserve"> </w:t>
      </w:r>
      <w:r w:rsidRPr="000366BE">
        <w:rPr>
          <w:rFonts w:ascii="Book Antiqua" w:hAnsi="Book Antiqua"/>
          <w:color w:val="000000"/>
          <w:lang w:eastAsia="pl-PL"/>
        </w:rPr>
        <w:t>Unsolicited manuscript</w:t>
      </w:r>
    </w:p>
    <w:p w:rsidR="00DE655A" w:rsidRPr="000366BE" w:rsidRDefault="00DE655A" w:rsidP="00DE655A">
      <w:pPr>
        <w:adjustRightInd w:val="0"/>
        <w:snapToGrid w:val="0"/>
        <w:spacing w:line="360" w:lineRule="auto"/>
        <w:rPr>
          <w:rFonts w:ascii="Book Antiqua" w:hAnsi="Book Antiqua"/>
          <w:b/>
          <w:lang w:eastAsia="zh-CN"/>
        </w:rPr>
      </w:pPr>
    </w:p>
    <w:p w:rsidR="00DE655A" w:rsidRPr="000366BE" w:rsidRDefault="00DE655A" w:rsidP="00DE655A">
      <w:pPr>
        <w:adjustRightInd w:val="0"/>
        <w:snapToGrid w:val="0"/>
        <w:spacing w:line="360" w:lineRule="auto"/>
        <w:rPr>
          <w:rFonts w:ascii="Book Antiqua" w:eastAsia="宋体" w:hAnsi="Book Antiqua"/>
          <w:b/>
          <w:lang w:eastAsia="zh-CN"/>
        </w:rPr>
      </w:pPr>
      <w:r w:rsidRPr="000366BE">
        <w:rPr>
          <w:rFonts w:ascii="Book Antiqua" w:hAnsi="Book Antiqua"/>
          <w:b/>
        </w:rPr>
        <w:t>Peer-review started:</w:t>
      </w:r>
      <w:r w:rsidRPr="000366BE">
        <w:rPr>
          <w:rFonts w:ascii="Book Antiqua" w:eastAsia="宋体" w:hAnsi="Book Antiqua"/>
          <w:b/>
          <w:lang w:eastAsia="zh-CN"/>
        </w:rPr>
        <w:t xml:space="preserve"> </w:t>
      </w:r>
      <w:r w:rsidR="00CB1268" w:rsidRPr="000366BE">
        <w:rPr>
          <w:rFonts w:ascii="Book Antiqua" w:hAnsi="Book Antiqua"/>
        </w:rPr>
        <w:t>November</w:t>
      </w:r>
      <w:r w:rsidRPr="000366BE">
        <w:rPr>
          <w:rFonts w:ascii="Book Antiqua" w:eastAsia="宋体" w:hAnsi="Book Antiqua"/>
          <w:lang w:eastAsia="zh-CN"/>
        </w:rPr>
        <w:t xml:space="preserve"> </w:t>
      </w:r>
      <w:r w:rsidR="00CB1268" w:rsidRPr="000366BE">
        <w:rPr>
          <w:rFonts w:ascii="Book Antiqua" w:eastAsia="宋体" w:hAnsi="Book Antiqua"/>
          <w:lang w:eastAsia="zh-CN"/>
        </w:rPr>
        <w:t>14</w:t>
      </w:r>
      <w:r w:rsidRPr="000366BE">
        <w:rPr>
          <w:rFonts w:ascii="Book Antiqua" w:eastAsia="宋体" w:hAnsi="Book Antiqua"/>
          <w:lang w:eastAsia="zh-CN"/>
        </w:rPr>
        <w:t>, 201</w:t>
      </w:r>
      <w:r w:rsidR="00CB1268" w:rsidRPr="000366BE">
        <w:rPr>
          <w:rFonts w:ascii="Book Antiqua" w:eastAsia="宋体" w:hAnsi="Book Antiqua"/>
          <w:lang w:eastAsia="zh-CN"/>
        </w:rPr>
        <w:t>9</w:t>
      </w:r>
    </w:p>
    <w:p w:rsidR="00DE655A" w:rsidRPr="000366BE" w:rsidRDefault="00DE655A" w:rsidP="00DE655A">
      <w:pPr>
        <w:adjustRightInd w:val="0"/>
        <w:snapToGrid w:val="0"/>
        <w:spacing w:line="360" w:lineRule="auto"/>
        <w:rPr>
          <w:rFonts w:ascii="Book Antiqua" w:eastAsia="宋体" w:hAnsi="Book Antiqua"/>
          <w:b/>
          <w:lang w:eastAsia="zh-CN"/>
        </w:rPr>
      </w:pPr>
      <w:r w:rsidRPr="000366BE">
        <w:rPr>
          <w:rFonts w:ascii="Book Antiqua" w:hAnsi="Book Antiqua"/>
          <w:b/>
        </w:rPr>
        <w:t>First decision:</w:t>
      </w:r>
      <w:r w:rsidRPr="000366BE">
        <w:rPr>
          <w:rFonts w:ascii="Book Antiqua" w:eastAsia="宋体" w:hAnsi="Book Antiqua"/>
          <w:b/>
          <w:lang w:eastAsia="zh-CN"/>
        </w:rPr>
        <w:t xml:space="preserve"> </w:t>
      </w:r>
      <w:r w:rsidR="00CB1268" w:rsidRPr="000366BE">
        <w:rPr>
          <w:rFonts w:ascii="Book Antiqua" w:hAnsi="Book Antiqua"/>
        </w:rPr>
        <w:t>November</w:t>
      </w:r>
      <w:r w:rsidRPr="000366BE">
        <w:rPr>
          <w:rFonts w:ascii="Book Antiqua" w:eastAsia="宋体" w:hAnsi="Book Antiqua"/>
          <w:lang w:eastAsia="zh-CN"/>
        </w:rPr>
        <w:t xml:space="preserve"> 1</w:t>
      </w:r>
      <w:r w:rsidR="00CB1268" w:rsidRPr="000366BE">
        <w:rPr>
          <w:rFonts w:ascii="Book Antiqua" w:eastAsia="宋体" w:hAnsi="Book Antiqua"/>
          <w:lang w:eastAsia="zh-CN"/>
        </w:rPr>
        <w:t>8</w:t>
      </w:r>
      <w:r w:rsidRPr="000366BE">
        <w:rPr>
          <w:rFonts w:ascii="Book Antiqua" w:eastAsia="宋体" w:hAnsi="Book Antiqua"/>
          <w:lang w:eastAsia="zh-CN"/>
        </w:rPr>
        <w:t>, 20</w:t>
      </w:r>
      <w:r w:rsidR="00CB1268" w:rsidRPr="000366BE">
        <w:rPr>
          <w:rFonts w:ascii="Book Antiqua" w:eastAsia="宋体" w:hAnsi="Book Antiqua"/>
          <w:lang w:eastAsia="zh-CN"/>
        </w:rPr>
        <w:t>19</w:t>
      </w:r>
    </w:p>
    <w:p w:rsidR="00DE655A" w:rsidRPr="000366BE" w:rsidRDefault="00DE655A" w:rsidP="00DE655A">
      <w:pPr>
        <w:adjustRightInd w:val="0"/>
        <w:snapToGrid w:val="0"/>
        <w:spacing w:line="360" w:lineRule="auto"/>
        <w:rPr>
          <w:rFonts w:ascii="Book Antiqua" w:hAnsi="Book Antiqua"/>
          <w:b/>
        </w:rPr>
      </w:pPr>
      <w:r w:rsidRPr="000366BE">
        <w:rPr>
          <w:rFonts w:ascii="Book Antiqua" w:hAnsi="Book Antiqua"/>
          <w:b/>
        </w:rPr>
        <w:t>Article in press:</w:t>
      </w:r>
      <w:r w:rsidR="00DA6EE7" w:rsidRPr="000366BE">
        <w:rPr>
          <w:rFonts w:ascii="Book Antiqua" w:hAnsi="Book Antiqua"/>
        </w:rPr>
        <w:t xml:space="preserve"> February 17, 2020</w:t>
      </w:r>
    </w:p>
    <w:p w:rsidR="00DE655A" w:rsidRPr="000366BE" w:rsidRDefault="00DE655A" w:rsidP="00DE655A">
      <w:pPr>
        <w:adjustRightInd w:val="0"/>
        <w:snapToGrid w:val="0"/>
        <w:spacing w:line="360" w:lineRule="auto"/>
        <w:rPr>
          <w:rFonts w:ascii="Book Antiqua" w:eastAsia="宋体" w:hAnsi="Book Antiqua"/>
          <w:lang w:eastAsia="zh-CN"/>
        </w:rPr>
      </w:pPr>
    </w:p>
    <w:p w:rsidR="00DE655A" w:rsidRPr="000366BE" w:rsidRDefault="00DE655A" w:rsidP="00DE655A">
      <w:pPr>
        <w:adjustRightInd w:val="0"/>
        <w:snapToGrid w:val="0"/>
        <w:spacing w:line="360" w:lineRule="auto"/>
        <w:rPr>
          <w:rFonts w:ascii="Book Antiqua" w:eastAsia="微软雅黑" w:hAnsi="Book Antiqua" w:cs="宋体"/>
          <w:lang w:eastAsia="zh-CN"/>
        </w:rPr>
      </w:pPr>
      <w:r w:rsidRPr="000366BE">
        <w:rPr>
          <w:rFonts w:ascii="Book Antiqua" w:hAnsi="Book Antiqua" w:cs="宋体"/>
          <w:b/>
          <w:lang w:eastAsia="zh-CN"/>
        </w:rPr>
        <w:t xml:space="preserve">Specialty type: </w:t>
      </w:r>
      <w:r w:rsidR="00CB1268" w:rsidRPr="000366BE">
        <w:rPr>
          <w:rFonts w:ascii="Book Antiqua" w:eastAsia="微软雅黑" w:hAnsi="Book Antiqua" w:cs="宋体"/>
          <w:lang w:eastAsia="zh-CN"/>
        </w:rPr>
        <w:t>Oncology</w:t>
      </w:r>
    </w:p>
    <w:p w:rsidR="00DE655A" w:rsidRPr="000366BE" w:rsidRDefault="00DE655A" w:rsidP="00DE655A">
      <w:pPr>
        <w:adjustRightInd w:val="0"/>
        <w:snapToGrid w:val="0"/>
        <w:spacing w:line="360" w:lineRule="auto"/>
        <w:rPr>
          <w:rFonts w:ascii="Book Antiqua" w:eastAsia="宋体" w:hAnsi="Book Antiqua" w:cs="宋体"/>
          <w:lang w:eastAsia="zh-CN"/>
        </w:rPr>
      </w:pPr>
      <w:r w:rsidRPr="000366BE">
        <w:rPr>
          <w:rFonts w:ascii="Book Antiqua" w:hAnsi="Book Antiqua" w:cs="宋体"/>
          <w:b/>
          <w:lang w:eastAsia="zh-CN"/>
        </w:rPr>
        <w:t xml:space="preserve">Country of origin: </w:t>
      </w:r>
      <w:r w:rsidR="00CB1268" w:rsidRPr="000366BE">
        <w:rPr>
          <w:rFonts w:ascii="Book Antiqua" w:eastAsia="宋体" w:hAnsi="Book Antiqua" w:cs="宋体"/>
          <w:lang w:eastAsia="zh-CN"/>
        </w:rPr>
        <w:t>Italy</w:t>
      </w:r>
    </w:p>
    <w:p w:rsidR="00DE655A" w:rsidRPr="000366BE" w:rsidRDefault="00DE655A" w:rsidP="00DE655A">
      <w:pPr>
        <w:adjustRightInd w:val="0"/>
        <w:snapToGrid w:val="0"/>
        <w:spacing w:line="360" w:lineRule="auto"/>
        <w:rPr>
          <w:rFonts w:ascii="Book Antiqua" w:hAnsi="Book Antiqua" w:cs="宋体"/>
          <w:b/>
          <w:lang w:eastAsia="zh-CN"/>
        </w:rPr>
      </w:pPr>
      <w:r w:rsidRPr="000366BE">
        <w:rPr>
          <w:rFonts w:ascii="Book Antiqua" w:hAnsi="Book Antiqua" w:cs="宋体"/>
          <w:b/>
          <w:lang w:eastAsia="zh-CN"/>
        </w:rPr>
        <w:t>Peer-review report classification</w:t>
      </w:r>
    </w:p>
    <w:p w:rsidR="00DE655A" w:rsidRPr="000366BE" w:rsidRDefault="00DE655A" w:rsidP="00DE655A">
      <w:pPr>
        <w:adjustRightInd w:val="0"/>
        <w:snapToGrid w:val="0"/>
        <w:spacing w:line="360" w:lineRule="auto"/>
        <w:rPr>
          <w:rFonts w:ascii="Book Antiqua" w:hAnsi="Book Antiqua" w:cs="宋体"/>
          <w:lang w:eastAsia="zh-CN"/>
        </w:rPr>
      </w:pPr>
      <w:r w:rsidRPr="000366BE">
        <w:rPr>
          <w:rFonts w:ascii="Book Antiqua" w:hAnsi="Book Antiqua" w:cs="宋体"/>
          <w:lang w:eastAsia="zh-CN"/>
        </w:rPr>
        <w:t xml:space="preserve">Grade A (Excellent): </w:t>
      </w:r>
      <w:r w:rsidR="00CB1268" w:rsidRPr="000366BE">
        <w:rPr>
          <w:rFonts w:ascii="Book Antiqua" w:hAnsi="Book Antiqua" w:cs="宋体"/>
          <w:lang w:eastAsia="zh-CN"/>
        </w:rPr>
        <w:t>0</w:t>
      </w:r>
    </w:p>
    <w:p w:rsidR="00DE655A" w:rsidRPr="000366BE" w:rsidRDefault="00DE655A" w:rsidP="00DE655A">
      <w:pPr>
        <w:adjustRightInd w:val="0"/>
        <w:snapToGrid w:val="0"/>
        <w:spacing w:line="360" w:lineRule="auto"/>
        <w:rPr>
          <w:rFonts w:ascii="Book Antiqua" w:eastAsia="宋体" w:hAnsi="Book Antiqua" w:cs="宋体"/>
          <w:lang w:eastAsia="zh-CN"/>
        </w:rPr>
      </w:pPr>
      <w:r w:rsidRPr="000366BE">
        <w:rPr>
          <w:rFonts w:ascii="Book Antiqua" w:hAnsi="Book Antiqua" w:cs="宋体"/>
          <w:lang w:eastAsia="zh-CN"/>
        </w:rPr>
        <w:t xml:space="preserve">Grade B (Very good): </w:t>
      </w:r>
      <w:r w:rsidRPr="000366BE">
        <w:rPr>
          <w:rFonts w:ascii="Book Antiqua" w:eastAsia="宋体" w:hAnsi="Book Antiqua" w:cs="宋体" w:hint="eastAsia"/>
          <w:lang w:eastAsia="zh-CN"/>
        </w:rPr>
        <w:t>B</w:t>
      </w:r>
    </w:p>
    <w:p w:rsidR="00DE655A" w:rsidRPr="000366BE" w:rsidRDefault="00DE655A" w:rsidP="00DE655A">
      <w:pPr>
        <w:adjustRightInd w:val="0"/>
        <w:snapToGrid w:val="0"/>
        <w:spacing w:line="360" w:lineRule="auto"/>
        <w:rPr>
          <w:rFonts w:ascii="Book Antiqua" w:hAnsi="Book Antiqua" w:cs="宋体"/>
          <w:lang w:eastAsia="zh-CN"/>
        </w:rPr>
      </w:pPr>
      <w:r w:rsidRPr="000366BE">
        <w:rPr>
          <w:rFonts w:ascii="Book Antiqua" w:hAnsi="Book Antiqua" w:cs="宋体"/>
          <w:lang w:eastAsia="zh-CN"/>
        </w:rPr>
        <w:t>Grade C (Good): C</w:t>
      </w:r>
    </w:p>
    <w:p w:rsidR="00DE655A" w:rsidRPr="000366BE" w:rsidRDefault="00DE655A" w:rsidP="00DE655A">
      <w:pPr>
        <w:adjustRightInd w:val="0"/>
        <w:snapToGrid w:val="0"/>
        <w:spacing w:line="360" w:lineRule="auto"/>
        <w:rPr>
          <w:rFonts w:ascii="Book Antiqua" w:hAnsi="Book Antiqua" w:cs="宋体"/>
          <w:lang w:eastAsia="zh-CN"/>
        </w:rPr>
      </w:pPr>
      <w:r w:rsidRPr="000366BE">
        <w:rPr>
          <w:rFonts w:ascii="Book Antiqua" w:hAnsi="Book Antiqua" w:cs="宋体"/>
          <w:lang w:eastAsia="zh-CN"/>
        </w:rPr>
        <w:t>Grade D (Fair): 0</w:t>
      </w:r>
    </w:p>
    <w:p w:rsidR="00DE655A" w:rsidRPr="000366BE" w:rsidRDefault="00DE655A" w:rsidP="00DE655A">
      <w:pPr>
        <w:adjustRightInd w:val="0"/>
        <w:snapToGrid w:val="0"/>
        <w:spacing w:line="360" w:lineRule="auto"/>
        <w:rPr>
          <w:rFonts w:ascii="Book Antiqua" w:eastAsia="等线" w:hAnsi="Book Antiqua"/>
          <w:lang w:val="hu-HU" w:eastAsia="zh-CN"/>
        </w:rPr>
      </w:pPr>
      <w:r w:rsidRPr="000366BE">
        <w:rPr>
          <w:rFonts w:ascii="Book Antiqua" w:hAnsi="Book Antiqua" w:cs="宋体"/>
          <w:lang w:eastAsia="zh-CN"/>
        </w:rPr>
        <w:t>Grade E (Poor): 0</w:t>
      </w:r>
    </w:p>
    <w:p w:rsidR="00DE655A" w:rsidRPr="000366BE" w:rsidRDefault="00DE655A" w:rsidP="00DE655A">
      <w:pPr>
        <w:adjustRightInd w:val="0"/>
        <w:snapToGrid w:val="0"/>
        <w:spacing w:line="360" w:lineRule="auto"/>
        <w:rPr>
          <w:rFonts w:ascii="Book Antiqua" w:eastAsia="宋体" w:hAnsi="Book Antiqua"/>
          <w:b/>
          <w:bCs/>
          <w:lang w:val="hu-HU" w:eastAsia="zh-CN"/>
        </w:rPr>
      </w:pPr>
    </w:p>
    <w:p w:rsidR="00DE655A" w:rsidRPr="000366BE" w:rsidRDefault="00DE655A" w:rsidP="00DE655A">
      <w:pPr>
        <w:adjustRightInd w:val="0"/>
        <w:snapToGrid w:val="0"/>
        <w:spacing w:line="360" w:lineRule="auto"/>
        <w:rPr>
          <w:rFonts w:ascii="Book Antiqua" w:eastAsiaTheme="minorEastAsia" w:hAnsi="Book Antiqua"/>
          <w:b/>
          <w:bCs/>
          <w:lang w:eastAsia="zh-CN"/>
        </w:rPr>
      </w:pPr>
      <w:r w:rsidRPr="000366BE">
        <w:rPr>
          <w:rFonts w:ascii="Book Antiqua" w:hAnsi="Book Antiqua"/>
          <w:b/>
          <w:bCs/>
        </w:rPr>
        <w:t xml:space="preserve">P-Reviewer: </w:t>
      </w:r>
      <w:r w:rsidR="00CB1268" w:rsidRPr="000366BE">
        <w:rPr>
          <w:rFonts w:ascii="Book Antiqua" w:hAnsi="Book Antiqua"/>
          <w:bCs/>
        </w:rPr>
        <w:t>Aykan NF,</w:t>
      </w:r>
      <w:r w:rsidR="00CB1268" w:rsidRPr="000366BE">
        <w:t xml:space="preserve"> </w:t>
      </w:r>
      <w:r w:rsidR="00CB1268" w:rsidRPr="000366BE">
        <w:rPr>
          <w:rFonts w:ascii="Book Antiqua" w:hAnsi="Book Antiqua"/>
          <w:bCs/>
        </w:rPr>
        <w:t xml:space="preserve">Lin JM </w:t>
      </w:r>
      <w:r w:rsidRPr="000366BE">
        <w:rPr>
          <w:rFonts w:ascii="Book Antiqua" w:hAnsi="Book Antiqua"/>
          <w:b/>
          <w:bCs/>
        </w:rPr>
        <w:t xml:space="preserve"> S-Editor:</w:t>
      </w:r>
      <w:r w:rsidRPr="000366BE">
        <w:rPr>
          <w:rFonts w:ascii="Book Antiqua" w:hAnsi="Book Antiqua"/>
        </w:rPr>
        <w:t xml:space="preserve"> </w:t>
      </w:r>
      <w:r w:rsidR="00CB1268" w:rsidRPr="000366BE">
        <w:rPr>
          <w:rFonts w:ascii="Book Antiqua" w:eastAsia="宋体" w:hAnsi="Book Antiqua"/>
          <w:lang w:eastAsia="zh-CN"/>
        </w:rPr>
        <w:t>Zhang L</w:t>
      </w:r>
      <w:r w:rsidRPr="000366BE">
        <w:rPr>
          <w:rFonts w:ascii="Book Antiqua" w:hAnsi="Book Antiqua"/>
        </w:rPr>
        <w:t xml:space="preserve"> </w:t>
      </w:r>
      <w:r w:rsidRPr="000366BE">
        <w:rPr>
          <w:rFonts w:ascii="Book Antiqua" w:hAnsi="Book Antiqua"/>
          <w:b/>
          <w:bCs/>
        </w:rPr>
        <w:t>L-Editor:</w:t>
      </w:r>
      <w:r w:rsidRPr="000366BE">
        <w:rPr>
          <w:rFonts w:ascii="Book Antiqua" w:hAnsi="Book Antiqua"/>
        </w:rPr>
        <w:t xml:space="preserve"> </w:t>
      </w:r>
      <w:r w:rsidR="00DA6EE7" w:rsidRPr="000366BE">
        <w:rPr>
          <w:rFonts w:ascii="Book Antiqua" w:eastAsiaTheme="minorEastAsia" w:hAnsi="Book Antiqua" w:hint="eastAsia"/>
          <w:lang w:eastAsia="zh-CN"/>
        </w:rPr>
        <w:t>A</w:t>
      </w:r>
      <w:r w:rsidRPr="000366BE">
        <w:rPr>
          <w:rFonts w:ascii="Book Antiqua" w:hAnsi="Book Antiqua"/>
        </w:rPr>
        <w:t xml:space="preserve"> </w:t>
      </w:r>
      <w:r w:rsidRPr="000366BE">
        <w:rPr>
          <w:rFonts w:ascii="Book Antiqua" w:hAnsi="Book Antiqua"/>
          <w:b/>
          <w:bCs/>
        </w:rPr>
        <w:t>E-Editor:</w:t>
      </w:r>
      <w:r w:rsidR="00DA6EE7" w:rsidRPr="000366BE">
        <w:rPr>
          <w:rFonts w:ascii="Book Antiqua" w:eastAsiaTheme="minorEastAsia" w:hAnsi="Book Antiqua" w:hint="eastAsia"/>
          <w:b/>
          <w:bCs/>
          <w:lang w:eastAsia="zh-CN"/>
        </w:rPr>
        <w:t xml:space="preserve"> </w:t>
      </w:r>
      <w:r w:rsidR="00DA6EE7" w:rsidRPr="000366BE">
        <w:rPr>
          <w:rFonts w:ascii="Book Antiqua" w:eastAsiaTheme="minorEastAsia" w:hAnsi="Book Antiqua" w:hint="eastAsia"/>
          <w:bCs/>
          <w:lang w:eastAsia="zh-CN"/>
        </w:rPr>
        <w:t>Qi L</w:t>
      </w:r>
      <w:r w:rsidR="00DA6EE7" w:rsidRPr="000366BE">
        <w:rPr>
          <w:rFonts w:ascii="Book Antiqua" w:eastAsiaTheme="minorEastAsia" w:hAnsi="Book Antiqua" w:hint="eastAsia"/>
          <w:b/>
          <w:bCs/>
          <w:lang w:eastAsia="zh-CN"/>
        </w:rPr>
        <w:t>L</w:t>
      </w:r>
    </w:p>
    <w:p w:rsidR="00DE655A" w:rsidRPr="000366BE" w:rsidRDefault="00DE655A" w:rsidP="004F4961">
      <w:pPr>
        <w:adjustRightInd w:val="0"/>
        <w:snapToGrid w:val="0"/>
        <w:spacing w:line="360" w:lineRule="auto"/>
        <w:rPr>
          <w:rFonts w:ascii="Book Antiqua" w:hAnsi="Book Antiqua"/>
        </w:rPr>
      </w:pPr>
    </w:p>
    <w:p w:rsidR="00DE655A" w:rsidRPr="000366BE" w:rsidRDefault="00DE655A" w:rsidP="00DE655A">
      <w:pPr>
        <w:adjustRightInd w:val="0"/>
        <w:snapToGrid w:val="0"/>
        <w:spacing w:line="360" w:lineRule="auto"/>
        <w:rPr>
          <w:rFonts w:ascii="Book Antiqua" w:hAnsi="Book Antiqua"/>
          <w:b/>
          <w:lang w:eastAsia="zh-CN"/>
        </w:rPr>
      </w:pPr>
      <w:r w:rsidRPr="000366BE">
        <w:rPr>
          <w:rFonts w:ascii="Book Antiqua" w:hAnsi="Book Antiqua"/>
          <w:lang w:val="en-GB"/>
        </w:rPr>
        <w:br w:type="page"/>
      </w:r>
      <w:r w:rsidRPr="000366BE">
        <w:rPr>
          <w:rFonts w:ascii="Book Antiqua" w:hAnsi="Book Antiqua"/>
          <w:b/>
        </w:rPr>
        <w:t>Figure Legends</w:t>
      </w:r>
    </w:p>
    <w:p w:rsidR="000738A3" w:rsidRPr="000366BE" w:rsidRDefault="00316A20" w:rsidP="00DE655A">
      <w:pPr>
        <w:adjustRightInd w:val="0"/>
        <w:snapToGrid w:val="0"/>
        <w:spacing w:line="360" w:lineRule="auto"/>
        <w:rPr>
          <w:rFonts w:ascii="Book Antiqua" w:hAnsi="Book Antiqua"/>
          <w:b/>
          <w:lang w:val="en-GB"/>
        </w:rPr>
      </w:pPr>
      <w:r w:rsidRPr="000366BE">
        <w:rPr>
          <w:noProof/>
          <w:lang w:val="en-US" w:eastAsia="zh-CN"/>
        </w:rPr>
        <w:drawing>
          <wp:inline distT="0" distB="0" distL="0" distR="0" wp14:anchorId="1FFA1E5C" wp14:editId="596B7F4B">
            <wp:extent cx="5486400" cy="347599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75990"/>
                    </a:xfrm>
                    <a:prstGeom prst="rect">
                      <a:avLst/>
                    </a:prstGeom>
                    <a:noFill/>
                    <a:ln>
                      <a:noFill/>
                    </a:ln>
                  </pic:spPr>
                </pic:pic>
              </a:graphicData>
            </a:graphic>
          </wp:inline>
        </w:drawing>
      </w:r>
    </w:p>
    <w:p w:rsidR="000738A3" w:rsidRPr="000366BE" w:rsidRDefault="000738A3" w:rsidP="00D53342">
      <w:pPr>
        <w:adjustRightInd w:val="0"/>
        <w:snapToGrid w:val="0"/>
        <w:spacing w:line="360" w:lineRule="auto"/>
        <w:jc w:val="both"/>
        <w:rPr>
          <w:rFonts w:ascii="Book Antiqua" w:eastAsia="宋体" w:hAnsi="Book Antiqua"/>
          <w:lang w:val="en-US" w:eastAsia="zh-CN"/>
        </w:rPr>
      </w:pPr>
      <w:proofErr w:type="gramStart"/>
      <w:r w:rsidRPr="000366BE">
        <w:rPr>
          <w:rFonts w:ascii="Book Antiqua" w:hAnsi="Book Antiqua"/>
          <w:b/>
          <w:lang w:val="en-GB"/>
        </w:rPr>
        <w:t>Figure 1</w:t>
      </w:r>
      <w:bookmarkEnd w:id="25"/>
      <w:r w:rsidRPr="000366BE">
        <w:rPr>
          <w:rFonts w:ascii="Book Antiqua" w:hAnsi="Book Antiqua"/>
          <w:lang w:val="en-GB"/>
        </w:rPr>
        <w:t xml:space="preserve"> </w:t>
      </w:r>
      <w:r w:rsidRPr="000366BE">
        <w:rPr>
          <w:rFonts w:ascii="Book Antiqua" w:hAnsi="Book Antiqua"/>
          <w:b/>
          <w:bCs/>
          <w:lang w:val="en-US"/>
        </w:rPr>
        <w:t>Plasma cytokines levels.</w:t>
      </w:r>
      <w:proofErr w:type="gramEnd"/>
      <w:r w:rsidRPr="000366BE">
        <w:rPr>
          <w:rFonts w:ascii="Book Antiqua" w:hAnsi="Book Antiqua"/>
          <w:b/>
          <w:bCs/>
          <w:lang w:val="en-US"/>
        </w:rPr>
        <w:t xml:space="preserve"> </w:t>
      </w:r>
      <w:r w:rsidRPr="000366BE">
        <w:rPr>
          <w:rFonts w:ascii="Book Antiqua" w:hAnsi="Book Antiqua"/>
          <w:lang w:val="en-US"/>
        </w:rPr>
        <w:t>Basal evaluation of 6 cytokines</w:t>
      </w:r>
      <w:r w:rsidRPr="000366BE">
        <w:rPr>
          <w:rFonts w:ascii="Book Antiqua" w:hAnsi="Book Antiqua"/>
          <w:b/>
          <w:bCs/>
          <w:lang w:val="en-US"/>
        </w:rPr>
        <w:t xml:space="preserve"> </w:t>
      </w:r>
      <w:r w:rsidRPr="000366BE">
        <w:rPr>
          <w:rFonts w:ascii="Book Antiqua" w:hAnsi="Book Antiqua"/>
          <w:lang w:val="en-US"/>
        </w:rPr>
        <w:t xml:space="preserve">in </w:t>
      </w:r>
      <w:r w:rsidR="004F4961" w:rsidRPr="000366BE">
        <w:rPr>
          <w:rFonts w:ascii="Book Antiqua" w:hAnsi="Book Antiqua"/>
          <w:lang w:val="en-US"/>
        </w:rPr>
        <w:t xml:space="preserve">non-responder </w:t>
      </w:r>
      <w:r w:rsidRPr="000366BE">
        <w:rPr>
          <w:rFonts w:ascii="Book Antiqua" w:hAnsi="Book Antiqua"/>
          <w:lang w:val="en-US"/>
        </w:rPr>
        <w:t>patients (</w:t>
      </w:r>
      <w:r w:rsidRPr="000366BE">
        <w:rPr>
          <w:rFonts w:ascii="Book Antiqua" w:hAnsi="Book Antiqua"/>
          <w:i/>
          <w:lang w:val="en-US"/>
        </w:rPr>
        <w:t>n</w:t>
      </w:r>
      <w:r w:rsidR="004F4961" w:rsidRPr="000366BE">
        <w:rPr>
          <w:rFonts w:ascii="Book Antiqua" w:hAnsi="Book Antiqua"/>
          <w:lang w:val="en-US"/>
        </w:rPr>
        <w:t xml:space="preserve"> </w:t>
      </w:r>
      <w:r w:rsidRPr="000366BE">
        <w:rPr>
          <w:rFonts w:ascii="Book Antiqua" w:hAnsi="Book Antiqua"/>
          <w:lang w:val="en-US"/>
        </w:rPr>
        <w:t>=</w:t>
      </w:r>
      <w:r w:rsidR="004F4961" w:rsidRPr="000366BE">
        <w:rPr>
          <w:rFonts w:ascii="Book Antiqua" w:hAnsi="Book Antiqua"/>
          <w:lang w:val="en-US"/>
        </w:rPr>
        <w:t xml:space="preserve"> </w:t>
      </w:r>
      <w:r w:rsidRPr="000366BE">
        <w:rPr>
          <w:rFonts w:ascii="Book Antiqua" w:hAnsi="Book Antiqua"/>
          <w:lang w:val="en-US"/>
        </w:rPr>
        <w:t>12), Responder patients (</w:t>
      </w:r>
      <w:r w:rsidRPr="000366BE">
        <w:rPr>
          <w:rFonts w:ascii="Book Antiqua" w:hAnsi="Book Antiqua"/>
          <w:i/>
          <w:lang w:val="en-US"/>
        </w:rPr>
        <w:t>n</w:t>
      </w:r>
      <w:r w:rsidR="004F4961" w:rsidRPr="000366BE">
        <w:rPr>
          <w:rFonts w:ascii="Book Antiqua" w:hAnsi="Book Antiqua"/>
          <w:lang w:val="en-US"/>
        </w:rPr>
        <w:t xml:space="preserve"> </w:t>
      </w:r>
      <w:r w:rsidRPr="000366BE">
        <w:rPr>
          <w:rFonts w:ascii="Book Antiqua" w:hAnsi="Book Antiqua"/>
          <w:lang w:val="en-US"/>
        </w:rPr>
        <w:t>=</w:t>
      </w:r>
      <w:r w:rsidR="004F4961" w:rsidRPr="000366BE">
        <w:rPr>
          <w:rFonts w:ascii="Book Antiqua" w:hAnsi="Book Antiqua"/>
          <w:lang w:val="en-US"/>
        </w:rPr>
        <w:t xml:space="preserve"> </w:t>
      </w:r>
      <w:r w:rsidRPr="000366BE">
        <w:rPr>
          <w:rFonts w:ascii="Book Antiqua" w:hAnsi="Book Antiqua"/>
          <w:lang w:val="en-US"/>
        </w:rPr>
        <w:t>5) and in healthy volunteers (</w:t>
      </w:r>
      <w:r w:rsidRPr="000366BE">
        <w:rPr>
          <w:rFonts w:ascii="Book Antiqua" w:hAnsi="Book Antiqua"/>
          <w:i/>
          <w:lang w:val="en-US"/>
        </w:rPr>
        <w:t>n</w:t>
      </w:r>
      <w:r w:rsidR="004F4961" w:rsidRPr="000366BE">
        <w:rPr>
          <w:rFonts w:ascii="Book Antiqua" w:hAnsi="Book Antiqua"/>
          <w:lang w:val="en-US"/>
        </w:rPr>
        <w:t xml:space="preserve"> </w:t>
      </w:r>
      <w:r w:rsidRPr="000366BE">
        <w:rPr>
          <w:rFonts w:ascii="Book Antiqua" w:hAnsi="Book Antiqua"/>
          <w:lang w:val="en-US"/>
        </w:rPr>
        <w:t>=</w:t>
      </w:r>
      <w:r w:rsidR="004F4961" w:rsidRPr="000366BE">
        <w:rPr>
          <w:rFonts w:ascii="Book Antiqua" w:hAnsi="Book Antiqua"/>
          <w:lang w:val="en-US"/>
        </w:rPr>
        <w:t xml:space="preserve"> </w:t>
      </w:r>
      <w:r w:rsidRPr="000366BE">
        <w:rPr>
          <w:rFonts w:ascii="Book Antiqua" w:hAnsi="Book Antiqua"/>
          <w:lang w:val="en-US"/>
        </w:rPr>
        <w:t xml:space="preserve">6). Cytokine concentration is expressed in </w:t>
      </w:r>
      <w:proofErr w:type="spellStart"/>
      <w:r w:rsidRPr="000366BE">
        <w:rPr>
          <w:rFonts w:ascii="Book Antiqua" w:hAnsi="Book Antiqua"/>
          <w:lang w:val="en-US"/>
        </w:rPr>
        <w:t>pg</w:t>
      </w:r>
      <w:proofErr w:type="spellEnd"/>
      <w:r w:rsidRPr="000366BE">
        <w:rPr>
          <w:rFonts w:ascii="Book Antiqua" w:hAnsi="Book Antiqua"/>
          <w:lang w:val="en-US"/>
        </w:rPr>
        <w:t>/</w:t>
      </w:r>
      <w:proofErr w:type="spellStart"/>
      <w:r w:rsidRPr="000366BE">
        <w:rPr>
          <w:rFonts w:ascii="Book Antiqua" w:hAnsi="Book Antiqua"/>
          <w:lang w:val="en-US"/>
        </w:rPr>
        <w:t>mL.</w:t>
      </w:r>
      <w:proofErr w:type="spellEnd"/>
      <w:r w:rsidRPr="000366BE">
        <w:rPr>
          <w:rFonts w:ascii="Book Antiqua" w:hAnsi="Book Antiqua"/>
          <w:lang w:val="en-US"/>
        </w:rPr>
        <w:t xml:space="preserve"> Data are shown as median </w:t>
      </w:r>
      <w:r w:rsidRPr="000366BE">
        <w:rPr>
          <w:rFonts w:ascii="Book Antiqua" w:hAnsi="Book Antiqua"/>
          <w:lang w:val="en-GB"/>
        </w:rPr>
        <w:t>with range</w:t>
      </w:r>
      <w:r w:rsidR="004F4961" w:rsidRPr="000366BE">
        <w:rPr>
          <w:rFonts w:ascii="Book Antiqua" w:hAnsi="Book Antiqua"/>
          <w:lang w:val="en-US"/>
        </w:rPr>
        <w:t xml:space="preserve">. </w:t>
      </w:r>
      <w:r w:rsidRPr="000366BE">
        <w:rPr>
          <w:rFonts w:ascii="Book Antiqua" w:hAnsi="Book Antiqua"/>
          <w:lang w:val="en-US"/>
        </w:rPr>
        <w:t>The difference in median values was computed using the non</w:t>
      </w:r>
      <w:r w:rsidR="004F4961" w:rsidRPr="000366BE">
        <w:rPr>
          <w:rFonts w:ascii="Book Antiqua" w:hAnsi="Book Antiqua"/>
          <w:lang w:val="en-US"/>
        </w:rPr>
        <w:t>-</w:t>
      </w:r>
      <w:r w:rsidRPr="000366BE">
        <w:rPr>
          <w:rFonts w:ascii="Book Antiqua" w:hAnsi="Book Antiqua"/>
          <w:lang w:val="en-US"/>
        </w:rPr>
        <w:t xml:space="preserve">parametric Mann Whitney </w:t>
      </w:r>
      <w:r w:rsidRPr="000366BE">
        <w:rPr>
          <w:rFonts w:ascii="Book Antiqua" w:hAnsi="Book Antiqua"/>
          <w:i/>
          <w:iCs/>
          <w:lang w:val="en-US"/>
        </w:rPr>
        <w:t>U</w:t>
      </w:r>
      <w:r w:rsidRPr="000366BE">
        <w:rPr>
          <w:rFonts w:ascii="Book Antiqua" w:hAnsi="Book Antiqua"/>
          <w:lang w:val="en-US"/>
        </w:rPr>
        <w:t xml:space="preserve"> test. </w:t>
      </w:r>
      <w:r w:rsidRPr="000366BE">
        <w:rPr>
          <w:rFonts w:ascii="Book Antiqua" w:hAnsi="Book Antiqua"/>
          <w:i/>
          <w:iCs/>
          <w:lang w:val="en-US"/>
        </w:rPr>
        <w:t>P</w:t>
      </w:r>
      <w:r w:rsidR="004F4961" w:rsidRPr="000366BE">
        <w:rPr>
          <w:rFonts w:ascii="Book Antiqua" w:hAnsi="Book Antiqua"/>
          <w:i/>
          <w:iCs/>
          <w:lang w:val="en-US"/>
        </w:rPr>
        <w:t xml:space="preserve"> </w:t>
      </w:r>
      <w:r w:rsidRPr="000366BE">
        <w:rPr>
          <w:rFonts w:ascii="Book Antiqua" w:hAnsi="Book Antiqua"/>
          <w:lang w:val="en-US"/>
        </w:rPr>
        <w:t>&lt;</w:t>
      </w:r>
      <w:r w:rsidR="004F4961" w:rsidRPr="000366BE">
        <w:rPr>
          <w:rFonts w:ascii="Book Antiqua" w:hAnsi="Book Antiqua"/>
          <w:lang w:val="en-US"/>
        </w:rPr>
        <w:t xml:space="preserve"> </w:t>
      </w:r>
      <w:r w:rsidRPr="000366BE">
        <w:rPr>
          <w:rFonts w:ascii="Book Antiqua" w:hAnsi="Book Antiqua"/>
          <w:lang w:val="en-US"/>
        </w:rPr>
        <w:t>0.05 was considered the statistical significance.</w:t>
      </w:r>
      <w:r w:rsidRPr="000366BE">
        <w:rPr>
          <w:rFonts w:ascii="Book Antiqua" w:hAnsi="Book Antiqua" w:cs="Arial"/>
          <w:lang w:val="en-US"/>
        </w:rPr>
        <w:t xml:space="preserve"> </w:t>
      </w:r>
      <w:proofErr w:type="spellStart"/>
      <w:proofErr w:type="gramStart"/>
      <w:r w:rsidR="0042412F" w:rsidRPr="000366BE">
        <w:rPr>
          <w:rFonts w:ascii="Book Antiqua" w:eastAsia="宋体" w:hAnsi="Book Antiqua" w:hint="eastAsia"/>
          <w:vertAlign w:val="superscript"/>
          <w:lang w:val="en-US" w:eastAsia="zh-CN"/>
        </w:rPr>
        <w:t>a</w:t>
      </w:r>
      <w:r w:rsidR="004F4961" w:rsidRPr="000366BE">
        <w:rPr>
          <w:rFonts w:ascii="Book Antiqua" w:hAnsi="Book Antiqua"/>
          <w:i/>
          <w:lang w:val="en-US"/>
        </w:rPr>
        <w:t>P</w:t>
      </w:r>
      <w:proofErr w:type="spellEnd"/>
      <w:proofErr w:type="gramEnd"/>
      <w:r w:rsidR="004F4961" w:rsidRPr="000366BE">
        <w:rPr>
          <w:rFonts w:ascii="Book Antiqua" w:hAnsi="Book Antiqua"/>
          <w:lang w:val="en-US"/>
        </w:rPr>
        <w:t xml:space="preserve"> </w:t>
      </w:r>
      <w:r w:rsidRPr="000366BE">
        <w:rPr>
          <w:rFonts w:ascii="Book Antiqua" w:hAnsi="Book Antiqua"/>
          <w:lang w:val="en-US"/>
        </w:rPr>
        <w:t>&lt;</w:t>
      </w:r>
      <w:r w:rsidR="004F4961" w:rsidRPr="000366BE">
        <w:rPr>
          <w:rFonts w:ascii="Book Antiqua" w:hAnsi="Book Antiqua"/>
          <w:lang w:val="en-US"/>
        </w:rPr>
        <w:t xml:space="preserve"> </w:t>
      </w:r>
      <w:r w:rsidRPr="000366BE">
        <w:rPr>
          <w:rFonts w:ascii="Book Antiqua" w:hAnsi="Book Antiqua"/>
          <w:lang w:val="en-US"/>
        </w:rPr>
        <w:t xml:space="preserve">0.05 NR </w:t>
      </w:r>
      <w:r w:rsidRPr="000366BE">
        <w:rPr>
          <w:rFonts w:ascii="Book Antiqua" w:hAnsi="Book Antiqua"/>
          <w:i/>
          <w:lang w:val="en-US"/>
        </w:rPr>
        <w:t>vs</w:t>
      </w:r>
      <w:r w:rsidR="004F4961" w:rsidRPr="000366BE">
        <w:rPr>
          <w:rFonts w:ascii="Book Antiqua" w:hAnsi="Book Antiqua"/>
          <w:lang w:val="en-US"/>
        </w:rPr>
        <w:t xml:space="preserve"> R; </w:t>
      </w:r>
      <w:proofErr w:type="spellStart"/>
      <w:r w:rsidR="0042412F" w:rsidRPr="000366BE">
        <w:rPr>
          <w:rFonts w:ascii="Book Antiqua" w:eastAsia="宋体" w:hAnsi="Book Antiqua" w:hint="eastAsia"/>
          <w:vertAlign w:val="superscript"/>
          <w:lang w:val="en-US" w:eastAsia="zh-CN"/>
        </w:rPr>
        <w:t>c</w:t>
      </w:r>
      <w:r w:rsidR="004F4961" w:rsidRPr="000366BE">
        <w:rPr>
          <w:rFonts w:ascii="Book Antiqua" w:hAnsi="Book Antiqua"/>
          <w:i/>
          <w:lang w:val="en-US"/>
        </w:rPr>
        <w:t>P</w:t>
      </w:r>
      <w:proofErr w:type="spellEnd"/>
      <w:r w:rsidR="004F4961" w:rsidRPr="000366BE">
        <w:rPr>
          <w:rFonts w:ascii="Book Antiqua" w:hAnsi="Book Antiqua"/>
          <w:lang w:val="en-US"/>
        </w:rPr>
        <w:t xml:space="preserve"> </w:t>
      </w:r>
      <w:r w:rsidRPr="000366BE">
        <w:rPr>
          <w:rFonts w:ascii="Book Antiqua" w:hAnsi="Book Antiqua"/>
          <w:lang w:val="en-US"/>
        </w:rPr>
        <w:t>&lt;</w:t>
      </w:r>
      <w:r w:rsidR="004F4961" w:rsidRPr="000366BE">
        <w:rPr>
          <w:rFonts w:ascii="Book Antiqua" w:hAnsi="Book Antiqua"/>
          <w:lang w:val="en-US"/>
        </w:rPr>
        <w:t xml:space="preserve"> </w:t>
      </w:r>
      <w:r w:rsidRPr="000366BE">
        <w:rPr>
          <w:rFonts w:ascii="Book Antiqua" w:hAnsi="Book Antiqua"/>
          <w:lang w:val="en-US"/>
        </w:rPr>
        <w:t xml:space="preserve">0.05 NR </w:t>
      </w:r>
      <w:r w:rsidRPr="000366BE">
        <w:rPr>
          <w:rFonts w:ascii="Book Antiqua" w:hAnsi="Book Antiqua"/>
          <w:i/>
          <w:lang w:val="en-US"/>
        </w:rPr>
        <w:t>vs</w:t>
      </w:r>
      <w:r w:rsidRPr="000366BE">
        <w:rPr>
          <w:rFonts w:ascii="Book Antiqua" w:hAnsi="Book Antiqua"/>
          <w:lang w:val="en-US"/>
        </w:rPr>
        <w:t xml:space="preserve"> Healthy.</w:t>
      </w:r>
      <w:r w:rsidR="00A3177B" w:rsidRPr="000366BE">
        <w:rPr>
          <w:rFonts w:ascii="Book Antiqua" w:eastAsia="宋体" w:hAnsi="Book Antiqua" w:hint="eastAsia"/>
          <w:lang w:val="en-US" w:eastAsia="zh-CN"/>
        </w:rPr>
        <w:t xml:space="preserve"> </w:t>
      </w:r>
      <w:r w:rsidR="00A3177B" w:rsidRPr="000366BE">
        <w:rPr>
          <w:rFonts w:ascii="Book Antiqua" w:hAnsi="Book Antiqua"/>
          <w:lang w:val="en-US"/>
        </w:rPr>
        <w:t>NR: Non-responder; R: Responder; TNF-α: Tumor necrosis alpha; TGF-β: Transforming growth factor alpha; VEGF: Vascular endothelial growth factor; CCL-2: Chemokine ligand 2; CCL-4: Chemokine ligand 4; CCL-5: Chemokine ligand 5.</w:t>
      </w:r>
    </w:p>
    <w:p w:rsidR="000738A3" w:rsidRPr="000366BE" w:rsidRDefault="004F4961" w:rsidP="00D53342">
      <w:pPr>
        <w:adjustRightInd w:val="0"/>
        <w:snapToGrid w:val="0"/>
        <w:spacing w:line="360" w:lineRule="auto"/>
        <w:jc w:val="both"/>
        <w:rPr>
          <w:rFonts w:ascii="Book Antiqua" w:hAnsi="Book Antiqua"/>
          <w:lang w:val="en-US"/>
        </w:rPr>
      </w:pPr>
      <w:r w:rsidRPr="000366BE">
        <w:rPr>
          <w:rFonts w:ascii="Book Antiqua" w:hAnsi="Book Antiqua"/>
          <w:lang w:val="en-US"/>
        </w:rPr>
        <w:br w:type="page"/>
      </w:r>
      <w:r w:rsidR="00316A20" w:rsidRPr="000366BE">
        <w:rPr>
          <w:noProof/>
          <w:lang w:val="en-US" w:eastAsia="zh-CN"/>
        </w:rPr>
        <w:drawing>
          <wp:inline distT="0" distB="0" distL="0" distR="0" wp14:anchorId="0BFF5237" wp14:editId="5D01C605">
            <wp:extent cx="5486400" cy="21678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67890"/>
                    </a:xfrm>
                    <a:prstGeom prst="rect">
                      <a:avLst/>
                    </a:prstGeom>
                    <a:noFill/>
                    <a:ln>
                      <a:noFill/>
                    </a:ln>
                  </pic:spPr>
                </pic:pic>
              </a:graphicData>
            </a:graphic>
          </wp:inline>
        </w:drawing>
      </w:r>
    </w:p>
    <w:p w:rsidR="000738A3" w:rsidRPr="000366BE" w:rsidRDefault="000738A3" w:rsidP="00D53342">
      <w:pPr>
        <w:adjustRightInd w:val="0"/>
        <w:snapToGrid w:val="0"/>
        <w:spacing w:line="360" w:lineRule="auto"/>
        <w:jc w:val="both"/>
        <w:rPr>
          <w:rFonts w:ascii="Book Antiqua" w:eastAsia="宋体" w:hAnsi="Book Antiqua"/>
          <w:b/>
          <w:bCs/>
          <w:lang w:val="en-US" w:eastAsia="zh-CN"/>
        </w:rPr>
      </w:pPr>
      <w:r w:rsidRPr="000366BE">
        <w:rPr>
          <w:rFonts w:ascii="Book Antiqua" w:hAnsi="Book Antiqua"/>
          <w:b/>
          <w:lang w:val="en-GB"/>
        </w:rPr>
        <w:t>Figure 2</w:t>
      </w:r>
      <w:r w:rsidRPr="000366BE">
        <w:rPr>
          <w:rFonts w:ascii="Book Antiqua" w:hAnsi="Book Antiqua"/>
          <w:lang w:val="en-US"/>
        </w:rPr>
        <w:t xml:space="preserve"> </w:t>
      </w:r>
      <w:r w:rsidRPr="000366BE">
        <w:rPr>
          <w:rFonts w:ascii="Book Antiqua" w:hAnsi="Book Antiqua"/>
          <w:b/>
          <w:bCs/>
          <w:lang w:val="en-US"/>
        </w:rPr>
        <w:t xml:space="preserve">Correlation </w:t>
      </w:r>
      <w:proofErr w:type="gramStart"/>
      <w:r w:rsidRPr="000366BE">
        <w:rPr>
          <w:rFonts w:ascii="Book Antiqua" w:hAnsi="Book Antiqua"/>
          <w:b/>
          <w:bCs/>
          <w:lang w:val="en-US"/>
        </w:rPr>
        <w:t>analysis</w:t>
      </w:r>
      <w:proofErr w:type="gramEnd"/>
      <w:r w:rsidRPr="000366BE">
        <w:rPr>
          <w:rFonts w:ascii="Book Antiqua" w:hAnsi="Book Antiqua"/>
          <w:b/>
          <w:bCs/>
          <w:lang w:val="en-US"/>
        </w:rPr>
        <w:t>.</w:t>
      </w:r>
      <w:r w:rsidR="004F4961" w:rsidRPr="000366BE">
        <w:rPr>
          <w:rFonts w:ascii="Book Antiqua" w:hAnsi="Book Antiqua"/>
          <w:bCs/>
          <w:lang w:val="en-US"/>
        </w:rPr>
        <w:t xml:space="preserve"> A:</w:t>
      </w:r>
      <w:r w:rsidRPr="000366BE">
        <w:rPr>
          <w:rFonts w:ascii="Book Antiqua" w:hAnsi="Book Antiqua"/>
          <w:bCs/>
          <w:lang w:val="en-US"/>
        </w:rPr>
        <w:t xml:space="preserve"> </w:t>
      </w:r>
      <w:r w:rsidRPr="000366BE">
        <w:rPr>
          <w:rFonts w:ascii="Book Antiqua" w:hAnsi="Book Antiqua"/>
          <w:lang w:val="en-US"/>
        </w:rPr>
        <w:t xml:space="preserve">Correlation between </w:t>
      </w:r>
      <w:r w:rsidR="000C41CD" w:rsidRPr="000366BE">
        <w:rPr>
          <w:rFonts w:ascii="Book Antiqua" w:hAnsi="Book Antiqua"/>
          <w:lang w:val="en-US"/>
        </w:rPr>
        <w:t>tumor necrosis alpha</w:t>
      </w:r>
      <w:r w:rsidR="000C41CD" w:rsidRPr="000366BE">
        <w:rPr>
          <w:rFonts w:ascii="Book Antiqua" w:hAnsi="Book Antiqua"/>
          <w:lang w:val="el-GR"/>
        </w:rPr>
        <w:t xml:space="preserve"> </w:t>
      </w:r>
      <w:r w:rsidRPr="000366BE">
        <w:rPr>
          <w:rFonts w:ascii="Book Antiqua" w:hAnsi="Book Antiqua"/>
          <w:lang w:val="en-US"/>
        </w:rPr>
        <w:t xml:space="preserve">and </w:t>
      </w:r>
      <w:r w:rsidR="000C41CD" w:rsidRPr="000366BE">
        <w:rPr>
          <w:rFonts w:ascii="Book Antiqua" w:hAnsi="Book Antiqua"/>
          <w:lang w:val="en-GB"/>
        </w:rPr>
        <w:t>progression free survival</w:t>
      </w:r>
      <w:r w:rsidRPr="000366BE">
        <w:rPr>
          <w:rFonts w:ascii="Book Antiqua" w:hAnsi="Book Antiqua"/>
          <w:lang w:val="en-US"/>
        </w:rPr>
        <w:t xml:space="preserve"> in all </w:t>
      </w:r>
      <w:r w:rsidR="000C41CD" w:rsidRPr="000366BE">
        <w:rPr>
          <w:rFonts w:ascii="Book Antiqua" w:hAnsi="Book Antiqua"/>
          <w:lang w:val="en-GB"/>
        </w:rPr>
        <w:t>metastatic colorectal cancer (mCRC)</w:t>
      </w:r>
      <w:r w:rsidRPr="000366BE">
        <w:rPr>
          <w:rFonts w:ascii="Book Antiqua" w:hAnsi="Book Antiqua"/>
          <w:lang w:val="en-US"/>
        </w:rPr>
        <w:t xml:space="preserve"> patients (</w:t>
      </w:r>
      <w:r w:rsidRPr="000366BE">
        <w:rPr>
          <w:rFonts w:ascii="Book Antiqua" w:hAnsi="Book Antiqua"/>
          <w:i/>
          <w:lang w:val="en-US"/>
        </w:rPr>
        <w:t>n</w:t>
      </w:r>
      <w:r w:rsidR="000C41CD" w:rsidRPr="000366BE">
        <w:rPr>
          <w:rFonts w:ascii="Book Antiqua" w:hAnsi="Book Antiqua"/>
          <w:lang w:val="en-US"/>
        </w:rPr>
        <w:t xml:space="preserve"> </w:t>
      </w:r>
      <w:r w:rsidRPr="000366BE">
        <w:rPr>
          <w:rFonts w:ascii="Book Antiqua" w:hAnsi="Book Antiqua"/>
          <w:lang w:val="en-US"/>
        </w:rPr>
        <w:t>=</w:t>
      </w:r>
      <w:r w:rsidR="000C41CD" w:rsidRPr="000366BE">
        <w:rPr>
          <w:rFonts w:ascii="Book Antiqua" w:hAnsi="Book Antiqua"/>
          <w:lang w:val="en-US"/>
        </w:rPr>
        <w:t xml:space="preserve"> </w:t>
      </w:r>
      <w:r w:rsidRPr="000366BE">
        <w:rPr>
          <w:rFonts w:ascii="Book Antiqua" w:hAnsi="Book Antiqua"/>
          <w:lang w:val="en-US"/>
        </w:rPr>
        <w:t>17) (</w:t>
      </w:r>
      <w:proofErr w:type="spellStart"/>
      <w:r w:rsidRPr="000366BE">
        <w:rPr>
          <w:rFonts w:ascii="Book Antiqua" w:hAnsi="Book Antiqua"/>
          <w:i/>
          <w:lang w:val="en-US"/>
        </w:rPr>
        <w:t>r</w:t>
      </w:r>
      <w:r w:rsidRPr="000366BE">
        <w:rPr>
          <w:rFonts w:ascii="Book Antiqua" w:hAnsi="Book Antiqua"/>
          <w:vertAlign w:val="subscript"/>
          <w:lang w:val="en-US"/>
        </w:rPr>
        <w:t>s</w:t>
      </w:r>
      <w:proofErr w:type="spellEnd"/>
      <w:r w:rsidRPr="000366BE">
        <w:rPr>
          <w:rFonts w:ascii="Book Antiqua" w:hAnsi="Book Antiqua"/>
          <w:lang w:val="en-US"/>
        </w:rPr>
        <w:t xml:space="preserve"> = -0.52, </w:t>
      </w:r>
      <w:r w:rsidRPr="000366BE">
        <w:rPr>
          <w:rFonts w:ascii="Book Antiqua" w:hAnsi="Book Antiqua"/>
          <w:i/>
          <w:iCs/>
          <w:lang w:val="en-US"/>
        </w:rPr>
        <w:t>P</w:t>
      </w:r>
      <w:r w:rsidRPr="000366BE">
        <w:rPr>
          <w:rFonts w:ascii="Book Antiqua" w:hAnsi="Book Antiqua"/>
          <w:lang w:val="en-US"/>
        </w:rPr>
        <w:t xml:space="preserve"> = 0.</w:t>
      </w:r>
      <w:r w:rsidR="000C41CD" w:rsidRPr="000366BE">
        <w:rPr>
          <w:rFonts w:ascii="Book Antiqua" w:hAnsi="Book Antiqua"/>
          <w:lang w:val="en-US"/>
        </w:rPr>
        <w:t>033);</w:t>
      </w:r>
      <w:r w:rsidR="000C41CD" w:rsidRPr="000366BE">
        <w:rPr>
          <w:rFonts w:ascii="Book Antiqua" w:hAnsi="Book Antiqua"/>
          <w:bCs/>
          <w:lang w:val="en-US"/>
        </w:rPr>
        <w:t xml:space="preserve"> B:</w:t>
      </w:r>
      <w:r w:rsidRPr="000366BE">
        <w:rPr>
          <w:rFonts w:ascii="Book Antiqua" w:hAnsi="Book Antiqua"/>
          <w:bCs/>
          <w:lang w:val="en-US"/>
        </w:rPr>
        <w:t xml:space="preserve"> </w:t>
      </w:r>
      <w:r w:rsidRPr="000366BE">
        <w:rPr>
          <w:rFonts w:ascii="Book Antiqua" w:hAnsi="Book Antiqua"/>
          <w:lang w:val="en-US"/>
        </w:rPr>
        <w:t xml:space="preserve">Correlation between </w:t>
      </w:r>
      <w:r w:rsidR="000C41CD" w:rsidRPr="000366BE">
        <w:rPr>
          <w:rFonts w:ascii="Book Antiqua" w:hAnsi="Book Antiqua"/>
          <w:lang w:val="en-US"/>
        </w:rPr>
        <w:t>transforming growth factor alpha</w:t>
      </w:r>
      <w:r w:rsidRPr="000366BE">
        <w:rPr>
          <w:rFonts w:ascii="Book Antiqua" w:hAnsi="Book Antiqua"/>
          <w:lang w:val="en-US"/>
        </w:rPr>
        <w:t xml:space="preserve"> and </w:t>
      </w:r>
      <w:r w:rsidR="000C41CD" w:rsidRPr="000366BE">
        <w:rPr>
          <w:rFonts w:ascii="Book Antiqua" w:hAnsi="Book Antiqua"/>
          <w:lang w:val="en-GB"/>
        </w:rPr>
        <w:t>progression free survival</w:t>
      </w:r>
      <w:r w:rsidRPr="000366BE">
        <w:rPr>
          <w:rFonts w:ascii="Book Antiqua" w:hAnsi="Book Antiqua"/>
          <w:lang w:val="en-US"/>
        </w:rPr>
        <w:t xml:space="preserve"> in all mCRC patients (</w:t>
      </w:r>
      <w:r w:rsidRPr="000366BE">
        <w:rPr>
          <w:rFonts w:ascii="Book Antiqua" w:hAnsi="Book Antiqua"/>
          <w:i/>
          <w:lang w:val="en-US"/>
        </w:rPr>
        <w:t>n</w:t>
      </w:r>
      <w:r w:rsidR="000C41CD" w:rsidRPr="000366BE">
        <w:rPr>
          <w:rFonts w:ascii="Book Antiqua" w:hAnsi="Book Antiqua"/>
          <w:lang w:val="en-US"/>
        </w:rPr>
        <w:t xml:space="preserve"> </w:t>
      </w:r>
      <w:r w:rsidRPr="000366BE">
        <w:rPr>
          <w:rFonts w:ascii="Book Antiqua" w:hAnsi="Book Antiqua"/>
          <w:lang w:val="en-US"/>
        </w:rPr>
        <w:t>=</w:t>
      </w:r>
      <w:r w:rsidR="000C41CD" w:rsidRPr="000366BE">
        <w:rPr>
          <w:rFonts w:ascii="Book Antiqua" w:hAnsi="Book Antiqua"/>
          <w:lang w:val="en-US"/>
        </w:rPr>
        <w:t xml:space="preserve"> </w:t>
      </w:r>
      <w:r w:rsidRPr="000366BE">
        <w:rPr>
          <w:rFonts w:ascii="Book Antiqua" w:hAnsi="Book Antiqua"/>
          <w:lang w:val="en-US"/>
        </w:rPr>
        <w:t>17) (</w:t>
      </w:r>
      <w:proofErr w:type="spellStart"/>
      <w:r w:rsidRPr="000366BE">
        <w:rPr>
          <w:rFonts w:ascii="Book Antiqua" w:hAnsi="Book Antiqua"/>
          <w:i/>
          <w:lang w:val="en-US"/>
        </w:rPr>
        <w:t>r</w:t>
      </w:r>
      <w:r w:rsidRPr="000366BE">
        <w:rPr>
          <w:rFonts w:ascii="Book Antiqua" w:hAnsi="Book Antiqua"/>
          <w:vertAlign w:val="subscript"/>
          <w:lang w:val="en-US"/>
        </w:rPr>
        <w:t>s</w:t>
      </w:r>
      <w:proofErr w:type="spellEnd"/>
      <w:r w:rsidRPr="000366BE">
        <w:rPr>
          <w:rFonts w:ascii="Book Antiqua" w:hAnsi="Book Antiqua"/>
          <w:lang w:val="en-US"/>
        </w:rPr>
        <w:t xml:space="preserve"> = -0.52, </w:t>
      </w:r>
      <w:r w:rsidRPr="000366BE">
        <w:rPr>
          <w:rFonts w:ascii="Book Antiqua" w:hAnsi="Book Antiqua"/>
          <w:i/>
          <w:iCs/>
          <w:lang w:val="en-US"/>
        </w:rPr>
        <w:t>P</w:t>
      </w:r>
      <w:r w:rsidR="000C41CD" w:rsidRPr="000366BE">
        <w:rPr>
          <w:rFonts w:ascii="Book Antiqua" w:hAnsi="Book Antiqua"/>
          <w:lang w:val="en-US"/>
        </w:rPr>
        <w:t xml:space="preserve"> = 0.038);</w:t>
      </w:r>
      <w:r w:rsidR="000C41CD" w:rsidRPr="000366BE">
        <w:rPr>
          <w:rFonts w:ascii="Book Antiqua" w:hAnsi="Book Antiqua"/>
          <w:bCs/>
          <w:lang w:val="en-US"/>
        </w:rPr>
        <w:t xml:space="preserve"> C:</w:t>
      </w:r>
      <w:r w:rsidRPr="000366BE">
        <w:rPr>
          <w:rFonts w:ascii="Book Antiqua" w:hAnsi="Book Antiqua"/>
          <w:bCs/>
          <w:lang w:val="en-US"/>
        </w:rPr>
        <w:t xml:space="preserve"> </w:t>
      </w:r>
      <w:r w:rsidRPr="000366BE">
        <w:rPr>
          <w:rFonts w:ascii="Book Antiqua" w:hAnsi="Book Antiqua"/>
          <w:lang w:val="en-US"/>
        </w:rPr>
        <w:t xml:space="preserve">Correlation between </w:t>
      </w:r>
      <w:r w:rsidR="000C41CD" w:rsidRPr="000366BE">
        <w:rPr>
          <w:rFonts w:ascii="Book Antiqua" w:hAnsi="Book Antiqua"/>
          <w:lang w:val="en-US"/>
        </w:rPr>
        <w:t>tumor necrosis alpha</w:t>
      </w:r>
      <w:r w:rsidRPr="000366BE">
        <w:rPr>
          <w:rFonts w:ascii="Book Antiqua" w:hAnsi="Book Antiqua"/>
          <w:lang w:val="en-GB"/>
        </w:rPr>
        <w:t xml:space="preserve"> </w:t>
      </w:r>
      <w:r w:rsidRPr="000366BE">
        <w:rPr>
          <w:rFonts w:ascii="Book Antiqua" w:hAnsi="Book Antiqua"/>
          <w:lang w:val="en-US"/>
        </w:rPr>
        <w:t xml:space="preserve">and </w:t>
      </w:r>
      <w:r w:rsidR="000C41CD" w:rsidRPr="000366BE">
        <w:rPr>
          <w:rFonts w:ascii="Book Antiqua" w:hAnsi="Book Antiqua"/>
          <w:lang w:val="en-US"/>
        </w:rPr>
        <w:t>transforming growth factor alpha</w:t>
      </w:r>
      <w:r w:rsidRPr="000366BE">
        <w:rPr>
          <w:rFonts w:ascii="Book Antiqua" w:hAnsi="Book Antiqua"/>
          <w:lang w:val="en-US"/>
        </w:rPr>
        <w:t xml:space="preserve"> in all mCRC patients (</w:t>
      </w:r>
      <w:r w:rsidRPr="000366BE">
        <w:rPr>
          <w:rFonts w:ascii="Book Antiqua" w:hAnsi="Book Antiqua"/>
          <w:i/>
          <w:lang w:val="en-US"/>
        </w:rPr>
        <w:t>n</w:t>
      </w:r>
      <w:r w:rsidR="000C41CD" w:rsidRPr="000366BE">
        <w:rPr>
          <w:rFonts w:ascii="Book Antiqua" w:hAnsi="Book Antiqua"/>
          <w:lang w:val="en-US"/>
        </w:rPr>
        <w:t xml:space="preserve"> </w:t>
      </w:r>
      <w:r w:rsidRPr="000366BE">
        <w:rPr>
          <w:rFonts w:ascii="Book Antiqua" w:hAnsi="Book Antiqua"/>
          <w:lang w:val="en-US"/>
        </w:rPr>
        <w:t>=</w:t>
      </w:r>
      <w:r w:rsidR="000C41CD" w:rsidRPr="000366BE">
        <w:rPr>
          <w:rFonts w:ascii="Book Antiqua" w:hAnsi="Book Antiqua"/>
          <w:lang w:val="en-US"/>
        </w:rPr>
        <w:t xml:space="preserve"> </w:t>
      </w:r>
      <w:r w:rsidRPr="000366BE">
        <w:rPr>
          <w:rFonts w:ascii="Book Antiqua" w:hAnsi="Book Antiqua"/>
          <w:lang w:val="en-US"/>
        </w:rPr>
        <w:t>17) (</w:t>
      </w:r>
      <w:proofErr w:type="spellStart"/>
      <w:r w:rsidRPr="000366BE">
        <w:rPr>
          <w:rFonts w:ascii="Book Antiqua" w:hAnsi="Book Antiqua"/>
          <w:i/>
          <w:lang w:val="en-US"/>
        </w:rPr>
        <w:t>r</w:t>
      </w:r>
      <w:r w:rsidRPr="000366BE">
        <w:rPr>
          <w:rFonts w:ascii="Book Antiqua" w:hAnsi="Book Antiqua"/>
          <w:vertAlign w:val="subscript"/>
          <w:lang w:val="en-US"/>
        </w:rPr>
        <w:t>s</w:t>
      </w:r>
      <w:proofErr w:type="spellEnd"/>
      <w:r w:rsidR="000C41CD" w:rsidRPr="000366BE">
        <w:rPr>
          <w:rFonts w:ascii="Book Antiqua" w:hAnsi="Book Antiqua"/>
          <w:lang w:val="en-US"/>
        </w:rPr>
        <w:t xml:space="preserve"> </w:t>
      </w:r>
      <w:r w:rsidRPr="000366BE">
        <w:rPr>
          <w:rFonts w:ascii="Book Antiqua" w:hAnsi="Book Antiqua"/>
          <w:lang w:val="en-US"/>
        </w:rPr>
        <w:t xml:space="preserve">= 0.53, </w:t>
      </w:r>
      <w:r w:rsidRPr="000366BE">
        <w:rPr>
          <w:rFonts w:ascii="Book Antiqua" w:hAnsi="Book Antiqua"/>
          <w:i/>
          <w:iCs/>
          <w:lang w:val="en-US"/>
        </w:rPr>
        <w:t>P</w:t>
      </w:r>
      <w:r w:rsidRPr="000366BE">
        <w:rPr>
          <w:rFonts w:ascii="Book Antiqua" w:hAnsi="Book Antiqua"/>
          <w:lang w:val="en-US"/>
        </w:rPr>
        <w:t xml:space="preserve"> = 0.028).</w:t>
      </w:r>
      <w:r w:rsidR="000C41CD" w:rsidRPr="000366BE">
        <w:rPr>
          <w:rFonts w:ascii="Book Antiqua" w:eastAsia="宋体" w:hAnsi="Book Antiqua" w:hint="eastAsia"/>
          <w:b/>
          <w:bCs/>
          <w:lang w:val="en-US" w:eastAsia="zh-CN"/>
        </w:rPr>
        <w:t xml:space="preserve"> </w:t>
      </w:r>
      <w:r w:rsidRPr="000366BE">
        <w:rPr>
          <w:rFonts w:ascii="Book Antiqua" w:hAnsi="Book Antiqua"/>
          <w:i/>
          <w:iCs/>
          <w:lang w:val="en-US"/>
        </w:rPr>
        <w:t>P</w:t>
      </w:r>
      <w:r w:rsidR="000C41CD" w:rsidRPr="000366BE">
        <w:rPr>
          <w:rFonts w:ascii="Book Antiqua" w:hAnsi="Book Antiqua"/>
          <w:i/>
          <w:iCs/>
          <w:lang w:val="en-US"/>
        </w:rPr>
        <w:t xml:space="preserve"> </w:t>
      </w:r>
      <w:r w:rsidRPr="000366BE">
        <w:rPr>
          <w:rFonts w:ascii="Book Antiqua" w:hAnsi="Book Antiqua"/>
          <w:lang w:val="en-US"/>
        </w:rPr>
        <w:t>&lt;</w:t>
      </w:r>
      <w:r w:rsidR="000C41CD" w:rsidRPr="000366BE">
        <w:rPr>
          <w:rFonts w:ascii="Book Antiqua" w:hAnsi="Book Antiqua"/>
          <w:lang w:val="en-US"/>
        </w:rPr>
        <w:t xml:space="preserve"> </w:t>
      </w:r>
      <w:r w:rsidRPr="000366BE">
        <w:rPr>
          <w:rFonts w:ascii="Book Antiqua" w:hAnsi="Book Antiqua"/>
          <w:lang w:val="en-US"/>
        </w:rPr>
        <w:t xml:space="preserve">0.05 was considered the statistical significance. Each dot represents the value of one </w:t>
      </w:r>
      <w:proofErr w:type="gramStart"/>
      <w:r w:rsidRPr="000366BE">
        <w:rPr>
          <w:rFonts w:ascii="Book Antiqua" w:hAnsi="Book Antiqua"/>
          <w:lang w:val="en-US"/>
        </w:rPr>
        <w:t>patients</w:t>
      </w:r>
      <w:proofErr w:type="gramEnd"/>
      <w:r w:rsidRPr="000366BE">
        <w:rPr>
          <w:rFonts w:ascii="Book Antiqua" w:hAnsi="Book Antiqua"/>
          <w:lang w:val="en-US"/>
        </w:rPr>
        <w:t xml:space="preserve">. </w:t>
      </w:r>
      <w:r w:rsidR="000C41CD" w:rsidRPr="000366BE">
        <w:rPr>
          <w:rFonts w:ascii="Book Antiqua" w:hAnsi="Book Antiqua"/>
          <w:lang w:val="en-US"/>
        </w:rPr>
        <w:t>Transforming growth factor alpha</w:t>
      </w:r>
      <w:r w:rsidRPr="000366BE">
        <w:rPr>
          <w:rFonts w:ascii="Book Antiqua" w:hAnsi="Book Antiqua"/>
          <w:lang w:val="en-US"/>
        </w:rPr>
        <w:t xml:space="preserve"> and </w:t>
      </w:r>
      <w:r w:rsidR="000C41CD" w:rsidRPr="000366BE">
        <w:rPr>
          <w:rFonts w:ascii="Book Antiqua" w:hAnsi="Book Antiqua"/>
          <w:lang w:val="en-US"/>
        </w:rPr>
        <w:t>tumor necrosis alpha</w:t>
      </w:r>
      <w:r w:rsidRPr="000366BE">
        <w:rPr>
          <w:rFonts w:ascii="Book Antiqua" w:hAnsi="Book Antiqua"/>
          <w:lang w:val="en-GB"/>
        </w:rPr>
        <w:t xml:space="preserve"> </w:t>
      </w:r>
      <w:r w:rsidRPr="000366BE">
        <w:rPr>
          <w:rFonts w:ascii="Book Antiqua" w:hAnsi="Book Antiqua"/>
          <w:lang w:val="en-US"/>
        </w:rPr>
        <w:t>are expressed as a concentration (</w:t>
      </w:r>
      <w:proofErr w:type="spellStart"/>
      <w:r w:rsidRPr="000366BE">
        <w:rPr>
          <w:rFonts w:ascii="Book Antiqua" w:hAnsi="Book Antiqua"/>
          <w:lang w:val="en-US"/>
        </w:rPr>
        <w:t>pg</w:t>
      </w:r>
      <w:proofErr w:type="spellEnd"/>
      <w:r w:rsidRPr="000366BE">
        <w:rPr>
          <w:rFonts w:ascii="Book Antiqua" w:hAnsi="Book Antiqua"/>
          <w:lang w:val="en-US"/>
        </w:rPr>
        <w:t xml:space="preserve">/mL). </w:t>
      </w:r>
      <w:r w:rsidR="000C41CD" w:rsidRPr="000366BE">
        <w:rPr>
          <w:rFonts w:ascii="Book Antiqua" w:hAnsi="Book Antiqua"/>
          <w:caps/>
          <w:lang w:val="en-GB"/>
        </w:rPr>
        <w:t>p</w:t>
      </w:r>
      <w:r w:rsidR="000C41CD" w:rsidRPr="000366BE">
        <w:rPr>
          <w:rFonts w:ascii="Book Antiqua" w:hAnsi="Book Antiqua"/>
          <w:lang w:val="en-GB"/>
        </w:rPr>
        <w:t>rogression free survival</w:t>
      </w:r>
      <w:r w:rsidR="000C41CD" w:rsidRPr="000366BE">
        <w:rPr>
          <w:rFonts w:ascii="Book Antiqua" w:hAnsi="Book Antiqua"/>
          <w:lang w:val="en-US"/>
        </w:rPr>
        <w:t xml:space="preserve"> is expressed in months. </w:t>
      </w:r>
      <w:r w:rsidR="00F1258C" w:rsidRPr="000366BE">
        <w:rPr>
          <w:rFonts w:ascii="Book Antiqua" w:hAnsi="Book Antiqua"/>
          <w:lang w:val="en-GB"/>
        </w:rPr>
        <w:t>PFS: Progression free survival;</w:t>
      </w:r>
      <w:r w:rsidR="00F1258C" w:rsidRPr="000366BE">
        <w:rPr>
          <w:rFonts w:ascii="Book Antiqua" w:eastAsia="宋体" w:hAnsi="Book Antiqua" w:hint="eastAsia"/>
          <w:lang w:val="en-GB" w:eastAsia="zh-CN"/>
        </w:rPr>
        <w:t xml:space="preserve"> </w:t>
      </w:r>
      <w:r w:rsidR="000C41CD" w:rsidRPr="000366BE">
        <w:rPr>
          <w:rFonts w:ascii="Book Antiqua" w:hAnsi="Book Antiqua"/>
          <w:lang w:val="en-US"/>
        </w:rPr>
        <w:t>TNF-α: Tumor necrosis alpha; TGF-β: Transforming growth factor alpha.</w:t>
      </w:r>
    </w:p>
    <w:p w:rsidR="000738A3" w:rsidRPr="000366BE" w:rsidRDefault="000C41CD" w:rsidP="00D53342">
      <w:pPr>
        <w:adjustRightInd w:val="0"/>
        <w:snapToGrid w:val="0"/>
        <w:spacing w:line="360" w:lineRule="auto"/>
        <w:jc w:val="both"/>
        <w:rPr>
          <w:rFonts w:eastAsia="宋体"/>
          <w:noProof/>
          <w:lang w:val="en-US" w:eastAsia="zh-CN"/>
        </w:rPr>
      </w:pPr>
      <w:r w:rsidRPr="000366BE">
        <w:rPr>
          <w:rFonts w:ascii="Book Antiqua" w:hAnsi="Book Antiqua"/>
          <w:lang w:val="en-US"/>
        </w:rPr>
        <w:br w:type="page"/>
      </w:r>
      <w:r w:rsidR="00316A20" w:rsidRPr="000366BE">
        <w:rPr>
          <w:noProof/>
          <w:lang w:val="en-US" w:eastAsia="zh-CN"/>
        </w:rPr>
        <w:drawing>
          <wp:inline distT="0" distB="0" distL="0" distR="0" wp14:anchorId="281696F1" wp14:editId="05A96F53">
            <wp:extent cx="2900680" cy="24828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0680" cy="2482850"/>
                    </a:xfrm>
                    <a:prstGeom prst="rect">
                      <a:avLst/>
                    </a:prstGeom>
                    <a:noFill/>
                    <a:ln>
                      <a:noFill/>
                    </a:ln>
                  </pic:spPr>
                </pic:pic>
              </a:graphicData>
            </a:graphic>
          </wp:inline>
        </w:drawing>
      </w:r>
      <w:r w:rsidR="00316A20" w:rsidRPr="000366BE">
        <w:rPr>
          <w:noProof/>
          <w:lang w:val="en-US" w:eastAsia="zh-CN"/>
        </w:rPr>
        <w:drawing>
          <wp:inline distT="0" distB="0" distL="0" distR="0" wp14:anchorId="5020797A" wp14:editId="08E10B40">
            <wp:extent cx="2682875" cy="28943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b="1465"/>
                    <a:stretch>
                      <a:fillRect/>
                    </a:stretch>
                  </pic:blipFill>
                  <pic:spPr bwMode="auto">
                    <a:xfrm>
                      <a:off x="0" y="0"/>
                      <a:ext cx="2682875" cy="2894330"/>
                    </a:xfrm>
                    <a:prstGeom prst="rect">
                      <a:avLst/>
                    </a:prstGeom>
                    <a:noFill/>
                    <a:ln>
                      <a:noFill/>
                    </a:ln>
                  </pic:spPr>
                </pic:pic>
              </a:graphicData>
            </a:graphic>
          </wp:inline>
        </w:drawing>
      </w:r>
    </w:p>
    <w:p w:rsidR="008D2C1C" w:rsidRPr="000366BE" w:rsidRDefault="008D2C1C" w:rsidP="00D53342">
      <w:pPr>
        <w:adjustRightInd w:val="0"/>
        <w:snapToGrid w:val="0"/>
        <w:spacing w:line="360" w:lineRule="auto"/>
        <w:jc w:val="both"/>
        <w:rPr>
          <w:rFonts w:eastAsia="宋体"/>
          <w:b/>
          <w:noProof/>
          <w:lang w:val="en-US" w:eastAsia="zh-CN"/>
        </w:rPr>
      </w:pPr>
      <w:r w:rsidRPr="000366BE">
        <w:rPr>
          <w:rFonts w:eastAsia="宋体" w:hint="eastAsia"/>
          <w:noProof/>
          <w:lang w:val="en-US" w:eastAsia="zh-CN"/>
        </w:rPr>
        <w:t>A                                                                               B</w:t>
      </w:r>
    </w:p>
    <w:p w:rsidR="008D2C1C" w:rsidRPr="000366BE" w:rsidRDefault="00316A20" w:rsidP="00D53342">
      <w:pPr>
        <w:adjustRightInd w:val="0"/>
        <w:snapToGrid w:val="0"/>
        <w:spacing w:line="360" w:lineRule="auto"/>
        <w:jc w:val="both"/>
        <w:rPr>
          <w:rFonts w:eastAsia="宋体"/>
          <w:noProof/>
          <w:lang w:val="en-US" w:eastAsia="zh-CN"/>
        </w:rPr>
      </w:pPr>
      <w:r w:rsidRPr="000366BE">
        <w:rPr>
          <w:noProof/>
          <w:lang w:val="en-US" w:eastAsia="zh-CN"/>
        </w:rPr>
        <w:drawing>
          <wp:inline distT="0" distB="0" distL="0" distR="0" wp14:anchorId="3C794621" wp14:editId="13843C74">
            <wp:extent cx="2658110" cy="2743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8110" cy="2743200"/>
                    </a:xfrm>
                    <a:prstGeom prst="rect">
                      <a:avLst/>
                    </a:prstGeom>
                    <a:noFill/>
                    <a:ln>
                      <a:noFill/>
                    </a:ln>
                  </pic:spPr>
                </pic:pic>
              </a:graphicData>
            </a:graphic>
          </wp:inline>
        </w:drawing>
      </w:r>
    </w:p>
    <w:p w:rsidR="008D2C1C" w:rsidRPr="000366BE" w:rsidRDefault="008D2C1C" w:rsidP="00D53342">
      <w:pPr>
        <w:adjustRightInd w:val="0"/>
        <w:snapToGrid w:val="0"/>
        <w:spacing w:line="360" w:lineRule="auto"/>
        <w:jc w:val="both"/>
        <w:rPr>
          <w:rFonts w:eastAsia="宋体"/>
          <w:noProof/>
          <w:lang w:val="en-US" w:eastAsia="zh-CN"/>
        </w:rPr>
      </w:pPr>
      <w:r w:rsidRPr="000366BE">
        <w:rPr>
          <w:rFonts w:eastAsia="宋体" w:hint="eastAsia"/>
          <w:noProof/>
          <w:lang w:val="en-US" w:eastAsia="zh-CN"/>
        </w:rPr>
        <w:t>C</w:t>
      </w:r>
    </w:p>
    <w:p w:rsidR="000738A3" w:rsidRPr="000366BE" w:rsidRDefault="000738A3" w:rsidP="00D53342">
      <w:pPr>
        <w:adjustRightInd w:val="0"/>
        <w:snapToGrid w:val="0"/>
        <w:spacing w:line="360" w:lineRule="auto"/>
        <w:jc w:val="both"/>
        <w:rPr>
          <w:rFonts w:ascii="Book Antiqua" w:hAnsi="Book Antiqua"/>
          <w:lang w:val="en-GB"/>
        </w:rPr>
      </w:pPr>
      <w:r w:rsidRPr="000366BE">
        <w:rPr>
          <w:rFonts w:ascii="Book Antiqua" w:hAnsi="Book Antiqua"/>
          <w:b/>
          <w:lang w:val="en-GB"/>
        </w:rPr>
        <w:t>Figure 3</w:t>
      </w:r>
      <w:r w:rsidR="000C41CD" w:rsidRPr="000366BE">
        <w:rPr>
          <w:rFonts w:ascii="Book Antiqua" w:hAnsi="Book Antiqua"/>
          <w:lang w:val="en-GB"/>
        </w:rPr>
        <w:t xml:space="preserve"> </w:t>
      </w:r>
      <w:r w:rsidR="000C41CD" w:rsidRPr="000366BE">
        <w:rPr>
          <w:rFonts w:ascii="Book Antiqua" w:hAnsi="Book Antiqua"/>
          <w:b/>
          <w:lang w:val="en-GB"/>
        </w:rPr>
        <w:t>Receiver operating characteristic curve</w:t>
      </w:r>
      <w:r w:rsidRPr="000366BE">
        <w:rPr>
          <w:rFonts w:ascii="Book Antiqua" w:hAnsi="Book Antiqua"/>
          <w:b/>
          <w:lang w:val="en-US"/>
        </w:rPr>
        <w:t xml:space="preserve"> analysis, </w:t>
      </w:r>
      <w:r w:rsidR="000C41CD" w:rsidRPr="000366BE">
        <w:rPr>
          <w:rFonts w:ascii="Book Antiqua" w:hAnsi="Book Antiqua"/>
          <w:b/>
          <w:lang w:val="en-GB"/>
        </w:rPr>
        <w:t>progression free survival</w:t>
      </w:r>
      <w:r w:rsidRPr="000366BE">
        <w:rPr>
          <w:rFonts w:ascii="Book Antiqua" w:hAnsi="Book Antiqua"/>
          <w:b/>
          <w:lang w:val="en-US"/>
        </w:rPr>
        <w:t xml:space="preserve"> and </w:t>
      </w:r>
      <w:r w:rsidR="000C41CD" w:rsidRPr="000366BE">
        <w:rPr>
          <w:rFonts w:ascii="Book Antiqua" w:hAnsi="Book Antiqua"/>
          <w:b/>
          <w:lang w:val="en-GB"/>
        </w:rPr>
        <w:t>overall survival</w:t>
      </w:r>
      <w:r w:rsidRPr="000366BE">
        <w:rPr>
          <w:rFonts w:ascii="Book Antiqua" w:hAnsi="Book Antiqua"/>
          <w:b/>
          <w:lang w:val="en-US"/>
        </w:rPr>
        <w:t xml:space="preserve"> Kaplan-Meier curves. </w:t>
      </w:r>
      <w:r w:rsidRPr="000366BE">
        <w:rPr>
          <w:rFonts w:ascii="Book Antiqua" w:hAnsi="Book Antiqua"/>
          <w:bCs/>
          <w:lang w:val="en-GB"/>
        </w:rPr>
        <w:t>A</w:t>
      </w:r>
      <w:r w:rsidR="000C41CD" w:rsidRPr="000366BE">
        <w:rPr>
          <w:rFonts w:ascii="Book Antiqua" w:hAnsi="Book Antiqua"/>
          <w:lang w:val="en-GB"/>
        </w:rPr>
        <w:t>:</w:t>
      </w:r>
      <w:r w:rsidRPr="000366BE">
        <w:rPr>
          <w:rFonts w:ascii="Book Antiqua" w:hAnsi="Book Antiqua"/>
          <w:lang w:val="en-GB"/>
        </w:rPr>
        <w:t xml:space="preserve"> Receiver</w:t>
      </w:r>
      <w:r w:rsidR="000C41CD" w:rsidRPr="000366BE">
        <w:rPr>
          <w:rFonts w:ascii="Book Antiqua" w:hAnsi="Book Antiqua"/>
          <w:lang w:val="en-GB"/>
        </w:rPr>
        <w:t xml:space="preserve"> operating characteristic curve</w:t>
      </w:r>
      <w:r w:rsidRPr="000366BE">
        <w:rPr>
          <w:rFonts w:ascii="Book Antiqua" w:hAnsi="Book Antiqua"/>
          <w:lang w:val="en-GB"/>
        </w:rPr>
        <w:t xml:space="preserve"> with area unde</w:t>
      </w:r>
      <w:r w:rsidR="000C41CD" w:rsidRPr="000366BE">
        <w:rPr>
          <w:rFonts w:ascii="Book Antiqua" w:hAnsi="Book Antiqua"/>
          <w:lang w:val="en-GB"/>
        </w:rPr>
        <w:t>r the curve (0.908, 95</w:t>
      </w:r>
      <w:r w:rsidR="009F1163" w:rsidRPr="000366BE">
        <w:rPr>
          <w:rFonts w:ascii="Book Antiqua" w:eastAsia="宋体" w:hAnsi="Book Antiqua" w:hint="eastAsia"/>
          <w:lang w:val="en-GB" w:eastAsia="zh-CN"/>
        </w:rPr>
        <w:t>CI</w:t>
      </w:r>
      <w:r w:rsidR="000C41CD" w:rsidRPr="000366BE">
        <w:rPr>
          <w:rFonts w:ascii="Book Antiqua" w:hAnsi="Book Antiqua"/>
          <w:lang w:val="en-GB"/>
        </w:rPr>
        <w:t>:</w:t>
      </w:r>
      <w:r w:rsidRPr="000366BE">
        <w:rPr>
          <w:rFonts w:ascii="Book Antiqua" w:hAnsi="Book Antiqua"/>
          <w:lang w:val="en-GB"/>
        </w:rPr>
        <w:t xml:space="preserve"> 0.758–1.000, </w:t>
      </w:r>
      <w:r w:rsidRPr="000366BE">
        <w:rPr>
          <w:rFonts w:ascii="Book Antiqua" w:hAnsi="Book Antiqua"/>
          <w:i/>
          <w:iCs/>
          <w:lang w:val="en-GB"/>
        </w:rPr>
        <w:t xml:space="preserve">P </w:t>
      </w:r>
      <w:r w:rsidRPr="000366BE">
        <w:rPr>
          <w:rFonts w:ascii="Book Antiqua" w:hAnsi="Book Antiqua"/>
          <w:lang w:val="en-GB"/>
        </w:rPr>
        <w:t>= 0.010) for predicting survival by plasma TNF-α basal levels in patients with metastatic colorectal cancer treated with regorafenib a</w:t>
      </w:r>
      <w:r w:rsidR="00FE4C46" w:rsidRPr="000366BE">
        <w:rPr>
          <w:rFonts w:ascii="Book Antiqua" w:hAnsi="Book Antiqua"/>
          <w:lang w:val="en-GB"/>
        </w:rPr>
        <w:t xml:space="preserve">ccording to the baseline TNF-α </w:t>
      </w:r>
      <w:r w:rsidRPr="000366BE">
        <w:rPr>
          <w:rFonts w:ascii="Book Antiqua" w:hAnsi="Book Antiqua"/>
          <w:lang w:val="en-GB"/>
        </w:rPr>
        <w:t xml:space="preserve">levels ≤ (―, </w:t>
      </w:r>
      <w:r w:rsidRPr="000366BE">
        <w:rPr>
          <w:rFonts w:ascii="Book Antiqua" w:hAnsi="Book Antiqua"/>
          <w:i/>
          <w:lang w:val="en-GB"/>
        </w:rPr>
        <w:t>n</w:t>
      </w:r>
      <w:r w:rsidRPr="000366BE">
        <w:rPr>
          <w:rFonts w:ascii="Book Antiqua" w:hAnsi="Book Antiqua"/>
          <w:lang w:val="en-GB"/>
        </w:rPr>
        <w:t xml:space="preserve"> = 5) or &gt; (―, </w:t>
      </w:r>
      <w:r w:rsidRPr="000366BE">
        <w:rPr>
          <w:rFonts w:ascii="Book Antiqua" w:hAnsi="Book Antiqua"/>
          <w:i/>
          <w:lang w:val="en-GB"/>
        </w:rPr>
        <w:t>n</w:t>
      </w:r>
      <w:r w:rsidRPr="000366BE">
        <w:rPr>
          <w:rFonts w:ascii="Book Antiqua" w:hAnsi="Book Antiqua"/>
          <w:lang w:val="en-GB"/>
        </w:rPr>
        <w:t xml:space="preserve"> = 12) the cut-off value (determined by </w:t>
      </w:r>
      <w:r w:rsidR="000C41CD" w:rsidRPr="000366BE">
        <w:rPr>
          <w:rFonts w:ascii="Book Antiqua" w:hAnsi="Book Antiqua"/>
          <w:lang w:val="en-GB"/>
        </w:rPr>
        <w:t>receiver operating characteristic curve analysis);</w:t>
      </w:r>
      <w:r w:rsidRPr="000366BE">
        <w:rPr>
          <w:rFonts w:ascii="Book Antiqua" w:hAnsi="Book Antiqua"/>
          <w:lang w:val="en-GB"/>
        </w:rPr>
        <w:t xml:space="preserve"> </w:t>
      </w:r>
      <w:r w:rsidRPr="000366BE">
        <w:rPr>
          <w:rFonts w:ascii="Book Antiqua" w:hAnsi="Book Antiqua"/>
          <w:bCs/>
          <w:lang w:val="en-GB"/>
        </w:rPr>
        <w:t>B</w:t>
      </w:r>
      <w:r w:rsidR="000C41CD" w:rsidRPr="000366BE">
        <w:rPr>
          <w:rFonts w:ascii="Book Antiqua" w:hAnsi="Book Antiqua"/>
          <w:lang w:val="en-GB"/>
        </w:rPr>
        <w:t xml:space="preserve">: Progression free survival (5.2 </w:t>
      </w:r>
      <w:r w:rsidR="000C41CD" w:rsidRPr="000366BE">
        <w:rPr>
          <w:rFonts w:ascii="Book Antiqua" w:hAnsi="Book Antiqua"/>
          <w:i/>
          <w:lang w:val="en-GB"/>
        </w:rPr>
        <w:t>vs</w:t>
      </w:r>
      <w:r w:rsidRPr="000366BE">
        <w:rPr>
          <w:rFonts w:ascii="Book Antiqua" w:hAnsi="Book Antiqua"/>
          <w:lang w:val="en-GB"/>
        </w:rPr>
        <w:t xml:space="preserve"> 2.6 </w:t>
      </w:r>
      <w:proofErr w:type="spellStart"/>
      <w:r w:rsidRPr="000366BE">
        <w:rPr>
          <w:rFonts w:ascii="Book Antiqua" w:hAnsi="Book Antiqua"/>
          <w:lang w:val="en-GB"/>
        </w:rPr>
        <w:t>mo</w:t>
      </w:r>
      <w:proofErr w:type="spellEnd"/>
      <w:r w:rsidRPr="000366BE">
        <w:rPr>
          <w:rFonts w:ascii="Book Antiqua" w:hAnsi="Book Antiqua"/>
          <w:lang w:val="en-GB"/>
        </w:rPr>
        <w:t>, Log-rank test,</w:t>
      </w:r>
      <w:r w:rsidRPr="000366BE">
        <w:rPr>
          <w:rFonts w:ascii="Book Antiqua" w:hAnsi="Book Antiqua"/>
          <w:i/>
          <w:iCs/>
          <w:lang w:val="en-GB"/>
        </w:rPr>
        <w:t xml:space="preserve"> P</w:t>
      </w:r>
      <w:r w:rsidRPr="000366BE">
        <w:rPr>
          <w:rFonts w:ascii="Book Antiqua" w:hAnsi="Book Antiqua"/>
          <w:lang w:val="en-GB"/>
        </w:rPr>
        <w:t xml:space="preserve"> = 0.005); one patient in Group A is not sho</w:t>
      </w:r>
      <w:r w:rsidR="00FE4C46" w:rsidRPr="000366BE">
        <w:rPr>
          <w:rFonts w:ascii="Book Antiqua" w:hAnsi="Book Antiqua"/>
          <w:lang w:val="en-GB"/>
        </w:rPr>
        <w:t xml:space="preserve">wn because of </w:t>
      </w:r>
      <w:r w:rsidR="000C41CD" w:rsidRPr="000366BE">
        <w:rPr>
          <w:rFonts w:ascii="Book Antiqua" w:hAnsi="Book Antiqua"/>
          <w:lang w:val="en-GB"/>
        </w:rPr>
        <w:t>a graphic choice;</w:t>
      </w:r>
      <w:r w:rsidRPr="000366BE">
        <w:rPr>
          <w:rFonts w:ascii="Book Antiqua" w:hAnsi="Book Antiqua"/>
          <w:lang w:val="en-GB"/>
        </w:rPr>
        <w:t xml:space="preserve"> </w:t>
      </w:r>
      <w:r w:rsidRPr="000366BE">
        <w:rPr>
          <w:rFonts w:ascii="Book Antiqua" w:hAnsi="Book Antiqua"/>
          <w:bCs/>
          <w:lang w:val="en-GB"/>
        </w:rPr>
        <w:t>C</w:t>
      </w:r>
      <w:r w:rsidR="000C41CD" w:rsidRPr="000366BE">
        <w:rPr>
          <w:rFonts w:ascii="Book Antiqua" w:hAnsi="Book Antiqua"/>
          <w:lang w:val="en-GB"/>
        </w:rPr>
        <w:t xml:space="preserve">: Overall survival (16.6 </w:t>
      </w:r>
      <w:r w:rsidR="000C41CD" w:rsidRPr="000366BE">
        <w:rPr>
          <w:rFonts w:ascii="Book Antiqua" w:hAnsi="Book Antiqua"/>
          <w:i/>
          <w:lang w:val="en-GB"/>
        </w:rPr>
        <w:t>vs</w:t>
      </w:r>
      <w:r w:rsidRPr="000366BE">
        <w:rPr>
          <w:rFonts w:ascii="Book Antiqua" w:hAnsi="Book Antiqua"/>
          <w:lang w:val="en-GB"/>
        </w:rPr>
        <w:t xml:space="preserve"> 7.3 </w:t>
      </w:r>
      <w:proofErr w:type="spellStart"/>
      <w:r w:rsidRPr="000366BE">
        <w:rPr>
          <w:rFonts w:ascii="Book Antiqua" w:hAnsi="Book Antiqua"/>
          <w:lang w:val="en-GB"/>
        </w:rPr>
        <w:t>mo</w:t>
      </w:r>
      <w:proofErr w:type="spellEnd"/>
      <w:r w:rsidRPr="000366BE">
        <w:rPr>
          <w:rFonts w:ascii="Book Antiqua" w:hAnsi="Book Antiqua"/>
          <w:lang w:val="en-GB"/>
        </w:rPr>
        <w:t xml:space="preserve">, Log-rank test, </w:t>
      </w:r>
      <w:r w:rsidRPr="000366BE">
        <w:rPr>
          <w:rFonts w:ascii="Book Antiqua" w:hAnsi="Book Antiqua"/>
          <w:i/>
          <w:iCs/>
          <w:lang w:val="en-GB"/>
        </w:rPr>
        <w:t>P</w:t>
      </w:r>
      <w:r w:rsidRPr="000366BE">
        <w:rPr>
          <w:rFonts w:ascii="Book Antiqua" w:hAnsi="Book Antiqua"/>
          <w:lang w:val="en-GB"/>
        </w:rPr>
        <w:t xml:space="preserve"> = 0.010).</w:t>
      </w:r>
      <w:r w:rsidR="000C41CD" w:rsidRPr="000366BE">
        <w:rPr>
          <w:rFonts w:ascii="Book Antiqua" w:hAnsi="Book Antiqua"/>
          <w:lang w:val="en-GB"/>
        </w:rPr>
        <w:t xml:space="preserve"> PFS:</w:t>
      </w:r>
      <w:r w:rsidR="00FE4C46" w:rsidRPr="000366BE">
        <w:rPr>
          <w:rFonts w:ascii="Book Antiqua" w:hAnsi="Book Antiqua"/>
          <w:lang w:val="en-GB"/>
        </w:rPr>
        <w:t xml:space="preserve"> </w:t>
      </w:r>
      <w:r w:rsidR="000C41CD" w:rsidRPr="000366BE">
        <w:rPr>
          <w:rFonts w:ascii="Book Antiqua" w:hAnsi="Book Antiqua"/>
          <w:lang w:val="en-GB"/>
        </w:rPr>
        <w:t>Progression free survival; OS: Overall survival</w:t>
      </w:r>
      <w:r w:rsidR="006512ED" w:rsidRPr="000366BE">
        <w:rPr>
          <w:rFonts w:ascii="Book Antiqua" w:hAnsi="Book Antiqua"/>
          <w:lang w:val="en-GB"/>
        </w:rPr>
        <w:t xml:space="preserve">; ROC: Receiver operating characteristic; </w:t>
      </w:r>
      <w:r w:rsidR="006512ED" w:rsidRPr="000366BE">
        <w:rPr>
          <w:rFonts w:ascii="Book Antiqua" w:hAnsi="Book Antiqua"/>
          <w:lang w:val="en-US"/>
        </w:rPr>
        <w:t>TNF-α: Tumor necrosis alpha; TGF-β: Transforming growth factor alpha.</w:t>
      </w:r>
    </w:p>
    <w:p w:rsidR="000738A3" w:rsidRPr="000366BE" w:rsidRDefault="006512ED" w:rsidP="00D53342">
      <w:pPr>
        <w:adjustRightInd w:val="0"/>
        <w:snapToGrid w:val="0"/>
        <w:spacing w:line="360" w:lineRule="auto"/>
        <w:jc w:val="both"/>
        <w:rPr>
          <w:rFonts w:ascii="Book Antiqua" w:hAnsi="Book Antiqua"/>
          <w:lang w:val="en-GB"/>
        </w:rPr>
      </w:pPr>
      <w:r w:rsidRPr="000366BE">
        <w:rPr>
          <w:rFonts w:ascii="Book Antiqua" w:hAnsi="Book Antiqua"/>
          <w:lang w:val="en-GB"/>
        </w:rPr>
        <w:br w:type="page"/>
      </w:r>
      <w:r w:rsidR="00316A20" w:rsidRPr="000366BE">
        <w:rPr>
          <w:noProof/>
          <w:lang w:val="en-US" w:eastAsia="zh-CN"/>
        </w:rPr>
        <w:drawing>
          <wp:inline distT="0" distB="0" distL="0" distR="0" wp14:anchorId="530FE729" wp14:editId="2423F281">
            <wp:extent cx="3990975" cy="379666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975" cy="3796665"/>
                    </a:xfrm>
                    <a:prstGeom prst="rect">
                      <a:avLst/>
                    </a:prstGeom>
                    <a:noFill/>
                    <a:ln>
                      <a:noFill/>
                    </a:ln>
                  </pic:spPr>
                </pic:pic>
              </a:graphicData>
            </a:graphic>
          </wp:inline>
        </w:drawing>
      </w:r>
    </w:p>
    <w:p w:rsidR="00AB400C" w:rsidRPr="000366BE" w:rsidRDefault="00AB400C" w:rsidP="00D53342">
      <w:pPr>
        <w:adjustRightInd w:val="0"/>
        <w:snapToGrid w:val="0"/>
        <w:spacing w:line="360" w:lineRule="auto"/>
        <w:jc w:val="both"/>
        <w:rPr>
          <w:rFonts w:ascii="Book Antiqua" w:eastAsia="宋体" w:hAnsi="Book Antiqua"/>
          <w:lang w:val="en-US" w:eastAsia="zh-CN"/>
        </w:rPr>
      </w:pPr>
      <w:r w:rsidRPr="000366BE">
        <w:rPr>
          <w:rFonts w:ascii="Book Antiqua" w:hAnsi="Book Antiqua"/>
          <w:b/>
          <w:bCs/>
          <w:lang w:val="en-US"/>
        </w:rPr>
        <w:t>Figure 4</w:t>
      </w:r>
      <w:r w:rsidR="000738A3" w:rsidRPr="000366BE">
        <w:rPr>
          <w:rFonts w:ascii="Book Antiqua" w:hAnsi="Book Antiqua"/>
          <w:b/>
          <w:bCs/>
          <w:lang w:val="en-US"/>
        </w:rPr>
        <w:t xml:space="preserve"> Univariate Cox </w:t>
      </w:r>
      <w:proofErr w:type="gramStart"/>
      <w:r w:rsidR="000738A3" w:rsidRPr="000366BE">
        <w:rPr>
          <w:rFonts w:ascii="Book Antiqua" w:hAnsi="Book Antiqua"/>
          <w:b/>
          <w:bCs/>
          <w:lang w:val="en-US"/>
        </w:rPr>
        <w:t>analysis</w:t>
      </w:r>
      <w:proofErr w:type="gramEnd"/>
      <w:r w:rsidR="000738A3" w:rsidRPr="000366BE">
        <w:rPr>
          <w:rFonts w:ascii="Book Antiqua" w:hAnsi="Book Antiqua"/>
          <w:b/>
          <w:bCs/>
          <w:lang w:val="en-US"/>
        </w:rPr>
        <w:t xml:space="preserve"> to predict risk of disease progression. </w:t>
      </w:r>
      <w:r w:rsidR="000738A3" w:rsidRPr="000366BE">
        <w:rPr>
          <w:rFonts w:ascii="Book Antiqua" w:hAnsi="Book Antiqua"/>
          <w:lang w:val="en-US"/>
        </w:rPr>
        <w:t xml:space="preserve">Difference between the two survival curves was assessed by long rank test, the </w:t>
      </w:r>
      <w:r w:rsidR="005C6AE1" w:rsidRPr="000366BE">
        <w:rPr>
          <w:rFonts w:ascii="Book Antiqua" w:eastAsia="宋体" w:hAnsi="Book Antiqua" w:hint="eastAsia"/>
          <w:lang w:val="en-US" w:eastAsia="zh-CN"/>
        </w:rPr>
        <w:t>HR</w:t>
      </w:r>
      <w:r w:rsidR="000738A3" w:rsidRPr="000366BE">
        <w:rPr>
          <w:rFonts w:ascii="Book Antiqua" w:hAnsi="Book Antiqua"/>
          <w:lang w:val="en-US"/>
        </w:rPr>
        <w:t xml:space="preserve"> with 95%</w:t>
      </w:r>
      <w:r w:rsidR="005C6AE1" w:rsidRPr="000366BE">
        <w:rPr>
          <w:rFonts w:ascii="Book Antiqua" w:eastAsia="宋体" w:hAnsi="Book Antiqua" w:hint="eastAsia"/>
          <w:lang w:val="en-US" w:eastAsia="zh-CN"/>
        </w:rPr>
        <w:t>CI</w:t>
      </w:r>
      <w:r w:rsidR="000738A3" w:rsidRPr="000366BE">
        <w:rPr>
          <w:rFonts w:ascii="Book Antiqua" w:hAnsi="Book Antiqua"/>
          <w:lang w:val="en-US"/>
        </w:rPr>
        <w:t xml:space="preserve"> was calculated by the Cox regression model</w:t>
      </w:r>
      <w:r w:rsidR="005C6AE1" w:rsidRPr="000366BE">
        <w:rPr>
          <w:rFonts w:ascii="Book Antiqua" w:eastAsia="宋体" w:hAnsi="Book Antiqua" w:hint="eastAsia"/>
          <w:lang w:val="en-US" w:eastAsia="zh-CN"/>
        </w:rPr>
        <w:t xml:space="preserve"> (</w:t>
      </w:r>
      <w:r w:rsidR="005C6AE1" w:rsidRPr="000366BE">
        <w:rPr>
          <w:rFonts w:ascii="Book Antiqua" w:eastAsia="宋体" w:hAnsi="Book Antiqua" w:hint="eastAsia"/>
          <w:lang w:val="en-GB" w:eastAsia="zh-CN"/>
        </w:rPr>
        <w:t xml:space="preserve">HR = </w:t>
      </w:r>
      <w:r w:rsidR="000738A3" w:rsidRPr="000366BE">
        <w:rPr>
          <w:rFonts w:ascii="Book Antiqua" w:hAnsi="Book Antiqua"/>
          <w:lang w:val="en-GB"/>
        </w:rPr>
        <w:t>7.203; 95%</w:t>
      </w:r>
      <w:r w:rsidR="005C6AE1" w:rsidRPr="000366BE">
        <w:rPr>
          <w:rFonts w:ascii="Book Antiqua" w:eastAsia="宋体" w:hAnsi="Book Antiqua" w:hint="eastAsia"/>
          <w:lang w:val="en-GB" w:eastAsia="zh-CN"/>
        </w:rPr>
        <w:t>CI</w:t>
      </w:r>
      <w:r w:rsidR="000738A3" w:rsidRPr="000366BE">
        <w:rPr>
          <w:rFonts w:ascii="Book Antiqua" w:hAnsi="Book Antiqua"/>
          <w:lang w:val="en-GB"/>
        </w:rPr>
        <w:t xml:space="preserve">: 1.531–33.882; </w:t>
      </w:r>
      <w:r w:rsidR="000738A3" w:rsidRPr="000366BE">
        <w:rPr>
          <w:rFonts w:ascii="Book Antiqua" w:hAnsi="Book Antiqua"/>
          <w:i/>
          <w:iCs/>
          <w:lang w:val="en-GB"/>
        </w:rPr>
        <w:t>P</w:t>
      </w:r>
      <w:r w:rsidR="004D1E1B" w:rsidRPr="000366BE">
        <w:rPr>
          <w:rFonts w:ascii="Book Antiqua" w:hAnsi="Book Antiqua"/>
          <w:i/>
          <w:iCs/>
          <w:lang w:val="en-GB"/>
        </w:rPr>
        <w:t xml:space="preserve"> </w:t>
      </w:r>
      <w:r w:rsidR="000738A3" w:rsidRPr="000366BE">
        <w:rPr>
          <w:rFonts w:ascii="Book Antiqua" w:hAnsi="Book Antiqua"/>
          <w:lang w:val="en-GB"/>
        </w:rPr>
        <w:t>= 0.012</w:t>
      </w:r>
      <w:r w:rsidR="005C6AE1" w:rsidRPr="000366BE">
        <w:rPr>
          <w:rFonts w:ascii="Book Antiqua" w:eastAsia="宋体" w:hAnsi="Book Antiqua" w:hint="eastAsia"/>
          <w:lang w:val="en-GB" w:eastAsia="zh-CN"/>
        </w:rPr>
        <w:t>)</w:t>
      </w:r>
      <w:r w:rsidR="000738A3" w:rsidRPr="000366BE">
        <w:rPr>
          <w:rFonts w:ascii="Book Antiqua" w:hAnsi="Book Antiqua"/>
          <w:lang w:val="en-GB"/>
        </w:rPr>
        <w:t xml:space="preserve">. </w:t>
      </w:r>
      <w:r w:rsidR="00542959" w:rsidRPr="000366BE">
        <w:rPr>
          <w:rFonts w:ascii="Book Antiqua" w:eastAsia="宋体" w:hAnsi="Book Antiqua" w:hint="eastAsia"/>
          <w:lang w:val="en-GB" w:eastAsia="zh-CN"/>
        </w:rPr>
        <w:t xml:space="preserve">PFS: </w:t>
      </w:r>
      <w:r w:rsidR="00542959" w:rsidRPr="000366BE">
        <w:rPr>
          <w:rFonts w:ascii="Book Antiqua" w:eastAsia="宋体" w:hAnsi="Book Antiqua"/>
          <w:caps/>
          <w:lang w:val="en-GB" w:eastAsia="zh-CN"/>
        </w:rPr>
        <w:t>p</w:t>
      </w:r>
      <w:r w:rsidR="00542959" w:rsidRPr="000366BE">
        <w:rPr>
          <w:rFonts w:ascii="Book Antiqua" w:eastAsia="宋体" w:hAnsi="Book Antiqua"/>
          <w:lang w:val="en-GB" w:eastAsia="zh-CN"/>
        </w:rPr>
        <w:t>rogression free survival</w:t>
      </w:r>
      <w:r w:rsidR="00542959" w:rsidRPr="000366BE">
        <w:rPr>
          <w:rFonts w:ascii="Book Antiqua" w:eastAsia="宋体" w:hAnsi="Book Antiqua" w:hint="eastAsia"/>
          <w:lang w:val="en-GB" w:eastAsia="zh-CN"/>
        </w:rPr>
        <w:t xml:space="preserve">; </w:t>
      </w:r>
      <w:r w:rsidR="00542959" w:rsidRPr="000366BE">
        <w:rPr>
          <w:rFonts w:ascii="Book Antiqua" w:hAnsi="Book Antiqua"/>
          <w:lang w:val="en-US"/>
        </w:rPr>
        <w:t>TNF-α: Tumor necrosis alpha</w:t>
      </w:r>
      <w:r w:rsidR="00542959" w:rsidRPr="000366BE">
        <w:rPr>
          <w:rFonts w:ascii="Book Antiqua" w:eastAsia="宋体" w:hAnsi="Book Antiqua" w:hint="eastAsia"/>
          <w:lang w:val="en-US" w:eastAsia="zh-CN"/>
        </w:rPr>
        <w:t>.</w:t>
      </w:r>
    </w:p>
    <w:p w:rsidR="00AB400C" w:rsidRPr="000366BE" w:rsidRDefault="00AB400C" w:rsidP="00AB400C">
      <w:pPr>
        <w:adjustRightInd w:val="0"/>
        <w:snapToGrid w:val="0"/>
        <w:spacing w:line="360" w:lineRule="auto"/>
        <w:jc w:val="both"/>
        <w:rPr>
          <w:rFonts w:ascii="Book Antiqua" w:hAnsi="Book Antiqua"/>
          <w:b/>
          <w:lang w:val="en-GB"/>
        </w:rPr>
      </w:pPr>
      <w:r w:rsidRPr="000366BE">
        <w:rPr>
          <w:rFonts w:ascii="Book Antiqua" w:hAnsi="Book Antiqua"/>
          <w:lang w:val="en-US"/>
        </w:rPr>
        <w:br w:type="page"/>
      </w:r>
      <w:r w:rsidRPr="000366BE">
        <w:rPr>
          <w:rFonts w:ascii="Book Antiqua" w:hAnsi="Book Antiqua"/>
          <w:b/>
          <w:bCs/>
          <w:lang w:val="en-US"/>
        </w:rPr>
        <w:t xml:space="preserve">Table 1 </w:t>
      </w:r>
      <w:r w:rsidRPr="000366BE">
        <w:rPr>
          <w:rFonts w:ascii="Book Antiqua" w:hAnsi="Book Antiqua"/>
          <w:b/>
          <w:lang w:val="en-GB"/>
        </w:rPr>
        <w:t>Patient characteristics (</w:t>
      </w:r>
      <w:r w:rsidRPr="000366BE">
        <w:rPr>
          <w:rFonts w:ascii="Book Antiqua" w:hAnsi="Book Antiqua"/>
          <w:b/>
          <w:i/>
          <w:lang w:val="en-GB"/>
        </w:rPr>
        <w:t>n</w:t>
      </w:r>
      <w:r w:rsidRPr="000366BE">
        <w:rPr>
          <w:rFonts w:ascii="Book Antiqua" w:hAnsi="Book Antiqua"/>
          <w:b/>
          <w:lang w:val="en-GB"/>
        </w:rPr>
        <w:t xml:space="preserve"> = 17)</w:t>
      </w:r>
    </w:p>
    <w:tbl>
      <w:tblPr>
        <w:tblW w:w="0" w:type="auto"/>
        <w:tblBorders>
          <w:top w:val="single" w:sz="4" w:space="0" w:color="auto"/>
          <w:bottom w:val="single" w:sz="4" w:space="0" w:color="auto"/>
        </w:tblBorders>
        <w:tblLook w:val="04A0" w:firstRow="1" w:lastRow="0" w:firstColumn="1" w:lastColumn="0" w:noHBand="0" w:noVBand="1"/>
      </w:tblPr>
      <w:tblGrid>
        <w:gridCol w:w="5920"/>
        <w:gridCol w:w="2977"/>
      </w:tblGrid>
      <w:tr w:rsidR="001550E3" w:rsidRPr="000366BE" w:rsidTr="001550E3">
        <w:tc>
          <w:tcPr>
            <w:tcW w:w="5920" w:type="dxa"/>
            <w:tcBorders>
              <w:top w:val="single" w:sz="4" w:space="0" w:color="auto"/>
              <w:bottom w:val="single" w:sz="4" w:space="0" w:color="auto"/>
            </w:tcBorders>
            <w:shd w:val="clear" w:color="auto" w:fill="auto"/>
          </w:tcPr>
          <w:p w:rsidR="005E6745" w:rsidRPr="000366BE" w:rsidRDefault="005E6745" w:rsidP="001550E3">
            <w:pPr>
              <w:adjustRightInd w:val="0"/>
              <w:snapToGrid w:val="0"/>
              <w:spacing w:line="360" w:lineRule="auto"/>
              <w:jc w:val="both"/>
              <w:rPr>
                <w:rFonts w:ascii="Book Antiqua" w:hAnsi="Book Antiqua"/>
                <w:lang w:val="en-GB"/>
              </w:rPr>
            </w:pPr>
            <w:r w:rsidRPr="000366BE">
              <w:rPr>
                <w:rFonts w:ascii="Book Antiqua" w:hAnsi="Book Antiqua"/>
                <w:b/>
                <w:lang w:val="en-GB"/>
              </w:rPr>
              <w:t>Patient characteristics</w:t>
            </w:r>
          </w:p>
        </w:tc>
        <w:tc>
          <w:tcPr>
            <w:tcW w:w="2977" w:type="dxa"/>
            <w:tcBorders>
              <w:top w:val="single" w:sz="4" w:space="0" w:color="auto"/>
              <w:bottom w:val="single" w:sz="4" w:space="0" w:color="auto"/>
            </w:tcBorders>
            <w:shd w:val="clear" w:color="auto" w:fill="auto"/>
          </w:tcPr>
          <w:p w:rsidR="005E6745" w:rsidRPr="000366BE" w:rsidRDefault="005E6745" w:rsidP="001550E3">
            <w:pPr>
              <w:adjustRightInd w:val="0"/>
              <w:snapToGrid w:val="0"/>
              <w:spacing w:line="360" w:lineRule="auto"/>
              <w:jc w:val="both"/>
              <w:rPr>
                <w:rFonts w:ascii="Book Antiqua" w:eastAsia="宋体" w:hAnsi="Book Antiqua"/>
                <w:lang w:val="en-GB" w:eastAsia="zh-CN"/>
              </w:rPr>
            </w:pPr>
            <w:proofErr w:type="gramStart"/>
            <w:r w:rsidRPr="000366BE">
              <w:rPr>
                <w:rFonts w:ascii="Book Antiqua" w:eastAsia="宋体" w:hAnsi="Book Antiqua"/>
                <w:i/>
                <w:lang w:val="en-GB" w:eastAsia="zh-CN"/>
              </w:rPr>
              <w:t>n</w:t>
            </w:r>
            <w:proofErr w:type="gramEnd"/>
            <w:r w:rsidR="002F7DBD" w:rsidRPr="000366BE">
              <w:rPr>
                <w:rFonts w:ascii="Book Antiqua" w:eastAsia="宋体" w:hAnsi="Book Antiqua" w:hint="eastAsia"/>
                <w:i/>
                <w:lang w:val="en-GB" w:eastAsia="zh-CN"/>
              </w:rPr>
              <w:t xml:space="preserve"> </w:t>
            </w:r>
            <w:r w:rsidR="002F7DBD" w:rsidRPr="000366BE">
              <w:rPr>
                <w:rFonts w:ascii="Book Antiqua" w:eastAsia="宋体" w:hAnsi="Book Antiqua" w:hint="eastAsia"/>
                <w:lang w:val="en-GB" w:eastAsia="zh-CN"/>
              </w:rPr>
              <w:t>(%</w:t>
            </w:r>
            <w:r w:rsidRPr="000366BE">
              <w:rPr>
                <w:rFonts w:ascii="Book Antiqua" w:eastAsia="宋体" w:hAnsi="Book Antiqua"/>
                <w:lang w:val="en-GB" w:eastAsia="zh-CN"/>
              </w:rPr>
              <w:t>)</w:t>
            </w:r>
          </w:p>
        </w:tc>
      </w:tr>
      <w:tr w:rsidR="001550E3" w:rsidRPr="000366BE" w:rsidTr="001550E3">
        <w:tc>
          <w:tcPr>
            <w:tcW w:w="5920" w:type="dxa"/>
            <w:tcBorders>
              <w:top w:val="single" w:sz="4" w:space="0" w:color="auto"/>
            </w:tcBorders>
            <w:shd w:val="clear" w:color="auto" w:fill="auto"/>
          </w:tcPr>
          <w:p w:rsidR="005E6745" w:rsidRPr="000366BE" w:rsidRDefault="005E6745" w:rsidP="00F13E0B">
            <w:pPr>
              <w:adjustRightInd w:val="0"/>
              <w:snapToGrid w:val="0"/>
              <w:spacing w:line="360" w:lineRule="auto"/>
              <w:jc w:val="both"/>
              <w:rPr>
                <w:rFonts w:ascii="Book Antiqua" w:hAnsi="Book Antiqua"/>
                <w:lang w:val="en-GB"/>
              </w:rPr>
            </w:pPr>
            <w:r w:rsidRPr="000366BE">
              <w:rPr>
                <w:rFonts w:ascii="Book Antiqua" w:hAnsi="Book Antiqua"/>
                <w:bCs/>
                <w:lang w:val="en-GB"/>
              </w:rPr>
              <w:t xml:space="preserve">Sex </w:t>
            </w:r>
            <w:r w:rsidRPr="000366BE">
              <w:rPr>
                <w:rFonts w:ascii="Book Antiqua" w:hAnsi="Book Antiqua"/>
                <w:lang w:val="en-GB"/>
              </w:rPr>
              <w:t>(</w:t>
            </w:r>
            <w:r w:rsidR="00F13E0B" w:rsidRPr="000366BE">
              <w:rPr>
                <w:rFonts w:ascii="Book Antiqua" w:eastAsiaTheme="minorEastAsia" w:hAnsi="Book Antiqua" w:hint="eastAsia"/>
                <w:lang w:val="en-GB" w:eastAsia="zh-CN"/>
              </w:rPr>
              <w:t>m</w:t>
            </w:r>
            <w:r w:rsidRPr="000366BE">
              <w:rPr>
                <w:rFonts w:ascii="Book Antiqua" w:hAnsi="Book Antiqua"/>
                <w:lang w:val="en-GB"/>
              </w:rPr>
              <w:t>ale/</w:t>
            </w:r>
            <w:r w:rsidR="00F13E0B" w:rsidRPr="000366BE">
              <w:rPr>
                <w:rFonts w:ascii="Book Antiqua" w:eastAsiaTheme="minorEastAsia" w:hAnsi="Book Antiqua" w:hint="eastAsia"/>
                <w:lang w:val="en-GB" w:eastAsia="zh-CN"/>
              </w:rPr>
              <w:t>f</w:t>
            </w:r>
            <w:r w:rsidRPr="000366BE">
              <w:rPr>
                <w:rFonts w:ascii="Book Antiqua" w:hAnsi="Book Antiqua"/>
                <w:lang w:val="en-GB"/>
              </w:rPr>
              <w:t>emale)</w:t>
            </w:r>
          </w:p>
        </w:tc>
        <w:tc>
          <w:tcPr>
            <w:tcW w:w="2977" w:type="dxa"/>
            <w:tcBorders>
              <w:top w:val="single" w:sz="4" w:space="0" w:color="auto"/>
            </w:tcBorders>
            <w:shd w:val="clear" w:color="auto" w:fill="auto"/>
          </w:tcPr>
          <w:p w:rsidR="005E6745" w:rsidRPr="000366BE" w:rsidRDefault="002F7DBD" w:rsidP="002F7DBD">
            <w:pPr>
              <w:adjustRightInd w:val="0"/>
              <w:snapToGrid w:val="0"/>
              <w:spacing w:line="360" w:lineRule="auto"/>
              <w:jc w:val="both"/>
              <w:rPr>
                <w:rFonts w:ascii="Book Antiqua" w:eastAsia="宋体" w:hAnsi="Book Antiqua"/>
                <w:lang w:val="en-GB" w:eastAsia="zh-CN"/>
              </w:rPr>
            </w:pPr>
            <w:r w:rsidRPr="000366BE">
              <w:rPr>
                <w:rFonts w:ascii="Book Antiqua" w:hAnsi="Book Antiqua"/>
                <w:lang w:val="en-GB"/>
              </w:rPr>
              <w:t>9/8</w:t>
            </w:r>
            <w:r w:rsidRPr="000366BE">
              <w:rPr>
                <w:rFonts w:ascii="Book Antiqua" w:eastAsia="宋体" w:hAnsi="Book Antiqua" w:hint="eastAsia"/>
                <w:lang w:val="en-GB" w:eastAsia="zh-CN"/>
              </w:rPr>
              <w:t xml:space="preserve"> (</w:t>
            </w:r>
            <w:r w:rsidR="005E6745" w:rsidRPr="000366BE">
              <w:rPr>
                <w:rFonts w:ascii="Book Antiqua" w:hAnsi="Book Antiqua"/>
                <w:lang w:val="en-GB"/>
              </w:rPr>
              <w:t>53/47</w:t>
            </w:r>
            <w:r w:rsidRPr="000366BE">
              <w:rPr>
                <w:rFonts w:ascii="Book Antiqua" w:eastAsia="宋体" w:hAnsi="Book Antiqua" w:hint="eastAsia"/>
                <w:lang w:val="en-GB" w:eastAsia="zh-CN"/>
              </w:rPr>
              <w:t>)</w:t>
            </w:r>
          </w:p>
        </w:tc>
      </w:tr>
      <w:tr w:rsidR="001550E3" w:rsidRPr="000366BE" w:rsidTr="001550E3">
        <w:tc>
          <w:tcPr>
            <w:tcW w:w="5920" w:type="dxa"/>
            <w:shd w:val="clear" w:color="auto" w:fill="auto"/>
          </w:tcPr>
          <w:p w:rsidR="005E6745" w:rsidRPr="000366BE" w:rsidRDefault="005E6745" w:rsidP="001550E3">
            <w:pPr>
              <w:adjustRightInd w:val="0"/>
              <w:snapToGrid w:val="0"/>
              <w:spacing w:line="360" w:lineRule="auto"/>
              <w:jc w:val="both"/>
              <w:rPr>
                <w:rFonts w:ascii="Book Antiqua" w:hAnsi="Book Antiqua"/>
                <w:lang w:val="en-GB"/>
              </w:rPr>
            </w:pPr>
            <w:r w:rsidRPr="000366BE">
              <w:rPr>
                <w:rFonts w:ascii="Book Antiqua" w:hAnsi="Book Antiqua"/>
                <w:bCs/>
                <w:lang w:val="en-GB"/>
              </w:rPr>
              <w:t>Median age</w:t>
            </w:r>
            <w:r w:rsidRPr="000366BE">
              <w:rPr>
                <w:rFonts w:ascii="Book Antiqua" w:hAnsi="Book Antiqua"/>
                <w:lang w:val="en-GB"/>
              </w:rPr>
              <w:t xml:space="preserve"> (range)</w:t>
            </w:r>
          </w:p>
        </w:tc>
        <w:tc>
          <w:tcPr>
            <w:tcW w:w="2977" w:type="dxa"/>
            <w:shd w:val="clear" w:color="auto" w:fill="auto"/>
          </w:tcPr>
          <w:p w:rsidR="005E6745" w:rsidRPr="000366BE" w:rsidRDefault="005E6745" w:rsidP="001550E3">
            <w:pPr>
              <w:adjustRightInd w:val="0"/>
              <w:snapToGrid w:val="0"/>
              <w:spacing w:line="360" w:lineRule="auto"/>
              <w:jc w:val="both"/>
              <w:rPr>
                <w:rFonts w:ascii="Book Antiqua" w:hAnsi="Book Antiqua"/>
                <w:lang w:val="en-GB"/>
              </w:rPr>
            </w:pPr>
            <w:r w:rsidRPr="000366BE">
              <w:rPr>
                <w:rFonts w:ascii="Book Antiqua" w:hAnsi="Book Antiqua"/>
                <w:lang w:val="en-GB"/>
              </w:rPr>
              <w:t>63 (52-77)</w:t>
            </w:r>
          </w:p>
        </w:tc>
      </w:tr>
      <w:tr w:rsidR="001550E3" w:rsidRPr="000366BE" w:rsidTr="001550E3">
        <w:tc>
          <w:tcPr>
            <w:tcW w:w="5920" w:type="dxa"/>
            <w:shd w:val="clear" w:color="auto" w:fill="auto"/>
          </w:tcPr>
          <w:p w:rsidR="005E6745" w:rsidRPr="000366BE" w:rsidRDefault="005E6745" w:rsidP="001550E3">
            <w:pPr>
              <w:adjustRightInd w:val="0"/>
              <w:snapToGrid w:val="0"/>
              <w:spacing w:line="360" w:lineRule="auto"/>
              <w:jc w:val="both"/>
              <w:rPr>
                <w:rFonts w:ascii="Book Antiqua" w:hAnsi="Book Antiqua"/>
                <w:lang w:val="en-GB"/>
              </w:rPr>
            </w:pPr>
            <w:r w:rsidRPr="000366BE">
              <w:rPr>
                <w:rFonts w:ascii="Book Antiqua" w:hAnsi="Book Antiqua"/>
                <w:bCs/>
                <w:lang w:val="en-GB"/>
              </w:rPr>
              <w:t xml:space="preserve">Primary tumor site </w:t>
            </w:r>
            <w:r w:rsidRPr="000366BE">
              <w:rPr>
                <w:rFonts w:ascii="Book Antiqua" w:hAnsi="Book Antiqua"/>
                <w:lang w:val="en-GB"/>
              </w:rPr>
              <w:t>(colon/rectum)</w:t>
            </w:r>
          </w:p>
        </w:tc>
        <w:tc>
          <w:tcPr>
            <w:tcW w:w="2977" w:type="dxa"/>
            <w:shd w:val="clear" w:color="auto" w:fill="auto"/>
          </w:tcPr>
          <w:p w:rsidR="005E6745" w:rsidRPr="000366BE" w:rsidRDefault="002F7DBD" w:rsidP="001550E3">
            <w:pPr>
              <w:adjustRightInd w:val="0"/>
              <w:snapToGrid w:val="0"/>
              <w:spacing w:line="360" w:lineRule="auto"/>
              <w:jc w:val="both"/>
              <w:rPr>
                <w:rFonts w:ascii="Book Antiqua" w:hAnsi="Book Antiqua"/>
                <w:lang w:val="en-GB"/>
              </w:rPr>
            </w:pPr>
            <w:r w:rsidRPr="000366BE">
              <w:rPr>
                <w:rFonts w:ascii="Book Antiqua" w:hAnsi="Book Antiqua"/>
                <w:lang w:val="en-GB"/>
              </w:rPr>
              <w:t>9/8</w:t>
            </w:r>
            <w:r w:rsidRPr="000366BE">
              <w:rPr>
                <w:rFonts w:ascii="Book Antiqua" w:eastAsia="宋体" w:hAnsi="Book Antiqua" w:hint="eastAsia"/>
                <w:lang w:val="en-GB" w:eastAsia="zh-CN"/>
              </w:rPr>
              <w:t xml:space="preserve"> (</w:t>
            </w:r>
            <w:r w:rsidRPr="000366BE">
              <w:rPr>
                <w:rFonts w:ascii="Book Antiqua" w:hAnsi="Book Antiqua"/>
                <w:lang w:val="en-GB"/>
              </w:rPr>
              <w:t>53/47</w:t>
            </w:r>
            <w:r w:rsidRPr="000366BE">
              <w:rPr>
                <w:rFonts w:ascii="Book Antiqua" w:eastAsia="宋体" w:hAnsi="Book Antiqua" w:hint="eastAsia"/>
                <w:lang w:val="en-GB" w:eastAsia="zh-CN"/>
              </w:rPr>
              <w:t>)</w:t>
            </w:r>
          </w:p>
        </w:tc>
      </w:tr>
      <w:tr w:rsidR="001550E3" w:rsidRPr="000366BE" w:rsidTr="001550E3">
        <w:tc>
          <w:tcPr>
            <w:tcW w:w="5920" w:type="dxa"/>
            <w:shd w:val="clear" w:color="auto" w:fill="auto"/>
          </w:tcPr>
          <w:p w:rsidR="005E6745" w:rsidRPr="000366BE" w:rsidRDefault="005E6745" w:rsidP="001550E3">
            <w:pPr>
              <w:adjustRightInd w:val="0"/>
              <w:snapToGrid w:val="0"/>
              <w:spacing w:line="360" w:lineRule="auto"/>
              <w:jc w:val="both"/>
              <w:rPr>
                <w:rFonts w:ascii="Book Antiqua" w:hAnsi="Book Antiqua"/>
                <w:b/>
                <w:bCs/>
                <w:lang w:val="en-GB"/>
              </w:rPr>
            </w:pPr>
            <w:r w:rsidRPr="000366BE">
              <w:rPr>
                <w:rFonts w:ascii="Book Antiqua" w:hAnsi="Book Antiqua"/>
                <w:bCs/>
                <w:lang w:val="en-GB"/>
              </w:rPr>
              <w:t xml:space="preserve">Number of previous anticancer therapies </w:t>
            </w:r>
            <w:r w:rsidRPr="000366BE">
              <w:rPr>
                <w:rFonts w:ascii="Book Antiqua" w:hAnsi="Book Antiqua"/>
                <w:lang w:val="en-GB"/>
              </w:rPr>
              <w:t>(III/IV/V)</w:t>
            </w:r>
          </w:p>
        </w:tc>
        <w:tc>
          <w:tcPr>
            <w:tcW w:w="2977" w:type="dxa"/>
            <w:shd w:val="clear" w:color="auto" w:fill="auto"/>
            <w:vAlign w:val="center"/>
          </w:tcPr>
          <w:p w:rsidR="005E6745" w:rsidRPr="000366BE" w:rsidRDefault="002F7DBD" w:rsidP="002F7DBD">
            <w:pPr>
              <w:adjustRightInd w:val="0"/>
              <w:snapToGrid w:val="0"/>
              <w:spacing w:line="360" w:lineRule="auto"/>
              <w:jc w:val="both"/>
              <w:rPr>
                <w:rFonts w:ascii="Book Antiqua" w:eastAsia="宋体" w:hAnsi="Book Antiqua"/>
                <w:lang w:val="en-GB" w:eastAsia="zh-CN"/>
              </w:rPr>
            </w:pPr>
            <w:r w:rsidRPr="000366BE">
              <w:rPr>
                <w:rFonts w:ascii="Book Antiqua" w:hAnsi="Book Antiqua"/>
                <w:lang w:val="en-GB"/>
              </w:rPr>
              <w:t>14/2/1</w:t>
            </w:r>
            <w:r w:rsidRPr="000366BE">
              <w:rPr>
                <w:rFonts w:ascii="Book Antiqua" w:eastAsia="宋体" w:hAnsi="Book Antiqua" w:hint="eastAsia"/>
                <w:lang w:val="en-GB" w:eastAsia="zh-CN"/>
              </w:rPr>
              <w:t xml:space="preserve"> (</w:t>
            </w:r>
            <w:r w:rsidR="005E6745" w:rsidRPr="000366BE">
              <w:rPr>
                <w:rFonts w:ascii="Book Antiqua" w:hAnsi="Book Antiqua"/>
                <w:lang w:val="en-GB"/>
              </w:rPr>
              <w:t>82/12/6</w:t>
            </w:r>
            <w:r w:rsidRPr="000366BE">
              <w:rPr>
                <w:rFonts w:ascii="Book Antiqua" w:eastAsia="宋体" w:hAnsi="Book Antiqua" w:hint="eastAsia"/>
                <w:lang w:val="en-GB" w:eastAsia="zh-CN"/>
              </w:rPr>
              <w:t>)</w:t>
            </w:r>
          </w:p>
        </w:tc>
      </w:tr>
      <w:tr w:rsidR="001550E3" w:rsidRPr="001550E3" w:rsidTr="001550E3">
        <w:tc>
          <w:tcPr>
            <w:tcW w:w="5920" w:type="dxa"/>
            <w:shd w:val="clear" w:color="auto" w:fill="auto"/>
          </w:tcPr>
          <w:p w:rsidR="005E6745" w:rsidRPr="000366BE" w:rsidRDefault="00FE4C46" w:rsidP="001550E3">
            <w:pPr>
              <w:adjustRightInd w:val="0"/>
              <w:snapToGrid w:val="0"/>
              <w:spacing w:line="360" w:lineRule="auto"/>
              <w:jc w:val="both"/>
              <w:rPr>
                <w:rFonts w:ascii="Book Antiqua" w:hAnsi="Book Antiqua"/>
                <w:b/>
                <w:bCs/>
                <w:lang w:val="en-GB"/>
              </w:rPr>
            </w:pPr>
            <w:r w:rsidRPr="000366BE">
              <w:rPr>
                <w:rFonts w:ascii="Book Antiqua" w:hAnsi="Book Antiqua"/>
                <w:bCs/>
                <w:lang w:val="en-GB"/>
              </w:rPr>
              <w:t xml:space="preserve">Mutational </w:t>
            </w:r>
            <w:r w:rsidR="005E6745" w:rsidRPr="000366BE">
              <w:rPr>
                <w:rFonts w:ascii="Book Antiqua" w:hAnsi="Book Antiqua"/>
                <w:bCs/>
                <w:lang w:val="en-GB"/>
              </w:rPr>
              <w:t>RAS status</w:t>
            </w:r>
            <w:r w:rsidR="005E6745" w:rsidRPr="000366BE">
              <w:rPr>
                <w:rFonts w:ascii="Book Antiqua" w:hAnsi="Book Antiqua"/>
                <w:b/>
                <w:bCs/>
                <w:lang w:val="en-GB"/>
              </w:rPr>
              <w:t xml:space="preserve"> </w:t>
            </w:r>
            <w:r w:rsidR="005E6745" w:rsidRPr="000366BE">
              <w:rPr>
                <w:rFonts w:ascii="Book Antiqua" w:hAnsi="Book Antiqua"/>
                <w:lang w:val="en-GB"/>
              </w:rPr>
              <w:t>(mutated/wild type)</w:t>
            </w:r>
          </w:p>
        </w:tc>
        <w:tc>
          <w:tcPr>
            <w:tcW w:w="2977" w:type="dxa"/>
            <w:shd w:val="clear" w:color="auto" w:fill="auto"/>
            <w:vAlign w:val="center"/>
          </w:tcPr>
          <w:p w:rsidR="005E6745" w:rsidRPr="001550E3" w:rsidRDefault="002F7DBD" w:rsidP="002F7DBD">
            <w:pPr>
              <w:adjustRightInd w:val="0"/>
              <w:snapToGrid w:val="0"/>
              <w:spacing w:line="360" w:lineRule="auto"/>
              <w:jc w:val="both"/>
              <w:rPr>
                <w:rFonts w:ascii="Book Antiqua" w:hAnsi="Book Antiqua"/>
                <w:lang w:val="en-GB"/>
              </w:rPr>
            </w:pPr>
            <w:r w:rsidRPr="000366BE">
              <w:rPr>
                <w:rFonts w:ascii="Book Antiqua" w:hAnsi="Book Antiqua"/>
                <w:lang w:val="en-GB"/>
              </w:rPr>
              <w:t>13/4</w:t>
            </w:r>
            <w:r w:rsidRPr="000366BE">
              <w:rPr>
                <w:rFonts w:ascii="Book Antiqua" w:eastAsia="宋体" w:hAnsi="Book Antiqua" w:hint="eastAsia"/>
                <w:lang w:val="en-GB" w:eastAsia="zh-CN"/>
              </w:rPr>
              <w:t xml:space="preserve"> (</w:t>
            </w:r>
            <w:r w:rsidR="005E6745" w:rsidRPr="000366BE">
              <w:rPr>
                <w:rFonts w:ascii="Book Antiqua" w:hAnsi="Book Antiqua"/>
                <w:lang w:val="en-GB"/>
              </w:rPr>
              <w:t>76/24)</w:t>
            </w:r>
          </w:p>
        </w:tc>
      </w:tr>
    </w:tbl>
    <w:p w:rsidR="000738A3" w:rsidRPr="00D53342" w:rsidRDefault="000738A3" w:rsidP="00D53342">
      <w:pPr>
        <w:adjustRightInd w:val="0"/>
        <w:snapToGrid w:val="0"/>
        <w:spacing w:line="360" w:lineRule="auto"/>
        <w:jc w:val="both"/>
        <w:rPr>
          <w:rFonts w:ascii="Book Antiqua" w:hAnsi="Book Antiqua"/>
          <w:lang w:val="en-GB"/>
        </w:rPr>
      </w:pPr>
    </w:p>
    <w:p w:rsidR="00AB400C" w:rsidRPr="00D53342" w:rsidRDefault="00AB400C" w:rsidP="00D53342">
      <w:pPr>
        <w:adjustRightInd w:val="0"/>
        <w:snapToGrid w:val="0"/>
        <w:spacing w:line="360" w:lineRule="auto"/>
        <w:jc w:val="both"/>
        <w:rPr>
          <w:rFonts w:ascii="Book Antiqua" w:hAnsi="Book Antiqua"/>
          <w:lang w:val="en-GB"/>
        </w:rPr>
      </w:pPr>
    </w:p>
    <w:sectPr w:rsidR="00AB400C" w:rsidRPr="00D53342" w:rsidSect="0022523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41" w:rsidRDefault="00114041">
      <w:r>
        <w:separator/>
      </w:r>
    </w:p>
  </w:endnote>
  <w:endnote w:type="continuationSeparator" w:id="0">
    <w:p w:rsidR="00114041" w:rsidRDefault="0011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MT">
    <w:panose1 w:val="00000000000000000000"/>
    <w:charset w:val="00"/>
    <w:family w:val="roman"/>
    <w:notTrueType/>
    <w:pitch w:val="variable"/>
    <w:sig w:usb0="E0002AE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hjhntAdvTT3713a23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A5" w:rsidRDefault="00DE65A5" w:rsidP="009259B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5A5" w:rsidRDefault="00DE65A5" w:rsidP="00683AC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A5" w:rsidRDefault="00DE65A5" w:rsidP="009259B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366BE">
      <w:rPr>
        <w:rStyle w:val="a7"/>
        <w:noProof/>
      </w:rPr>
      <w:t>1</w:t>
    </w:r>
    <w:r>
      <w:rPr>
        <w:rStyle w:val="a7"/>
      </w:rPr>
      <w:fldChar w:fldCharType="end"/>
    </w:r>
  </w:p>
  <w:p w:rsidR="00DE65A5" w:rsidRDefault="00DE65A5" w:rsidP="00683AC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41" w:rsidRDefault="00114041">
      <w:r>
        <w:separator/>
      </w:r>
    </w:p>
  </w:footnote>
  <w:footnote w:type="continuationSeparator" w:id="0">
    <w:p w:rsidR="00114041" w:rsidRDefault="00114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297"/>
    <w:multiLevelType w:val="hybridMultilevel"/>
    <w:tmpl w:val="D53AC3A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27A236FC"/>
    <w:multiLevelType w:val="multilevel"/>
    <w:tmpl w:val="4E2668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B66039F"/>
    <w:multiLevelType w:val="hybridMultilevel"/>
    <w:tmpl w:val="42FADFE8"/>
    <w:lvl w:ilvl="0" w:tplc="D70A5A44">
      <w:start w:val="2"/>
      <w:numFmt w:val="bullet"/>
      <w:lvlText w:val=""/>
      <w:lvlJc w:val="left"/>
      <w:pPr>
        <w:tabs>
          <w:tab w:val="num" w:pos="720"/>
        </w:tabs>
        <w:ind w:left="720" w:hanging="360"/>
      </w:pPr>
      <w:rPr>
        <w:rFonts w:ascii="Wingdings" w:eastAsia="Batang"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73E12CE"/>
    <w:multiLevelType w:val="multilevel"/>
    <w:tmpl w:val="2BB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AA"/>
    <w:rsid w:val="00000888"/>
    <w:rsid w:val="00001D7E"/>
    <w:rsid w:val="00003173"/>
    <w:rsid w:val="0000672F"/>
    <w:rsid w:val="00006AD2"/>
    <w:rsid w:val="00007F6F"/>
    <w:rsid w:val="00016B53"/>
    <w:rsid w:val="000179F7"/>
    <w:rsid w:val="00017AE7"/>
    <w:rsid w:val="00017DEA"/>
    <w:rsid w:val="0002091E"/>
    <w:rsid w:val="00025B60"/>
    <w:rsid w:val="00032168"/>
    <w:rsid w:val="000366BE"/>
    <w:rsid w:val="00037741"/>
    <w:rsid w:val="00037E8C"/>
    <w:rsid w:val="000408FB"/>
    <w:rsid w:val="0004405E"/>
    <w:rsid w:val="00045CE1"/>
    <w:rsid w:val="000502A6"/>
    <w:rsid w:val="00053C34"/>
    <w:rsid w:val="00057B1B"/>
    <w:rsid w:val="00062CC2"/>
    <w:rsid w:val="00063CEF"/>
    <w:rsid w:val="000642B1"/>
    <w:rsid w:val="000669AB"/>
    <w:rsid w:val="00066CCA"/>
    <w:rsid w:val="000716EE"/>
    <w:rsid w:val="00071D98"/>
    <w:rsid w:val="000738A3"/>
    <w:rsid w:val="000751D5"/>
    <w:rsid w:val="000861EE"/>
    <w:rsid w:val="00086FC7"/>
    <w:rsid w:val="000910B5"/>
    <w:rsid w:val="00092F96"/>
    <w:rsid w:val="000938CF"/>
    <w:rsid w:val="0009544B"/>
    <w:rsid w:val="00096A85"/>
    <w:rsid w:val="000A19A9"/>
    <w:rsid w:val="000A36CB"/>
    <w:rsid w:val="000A4F22"/>
    <w:rsid w:val="000A7183"/>
    <w:rsid w:val="000B07CE"/>
    <w:rsid w:val="000B2FE5"/>
    <w:rsid w:val="000B389A"/>
    <w:rsid w:val="000C11FC"/>
    <w:rsid w:val="000C41CD"/>
    <w:rsid w:val="000C5309"/>
    <w:rsid w:val="000C7066"/>
    <w:rsid w:val="000D3091"/>
    <w:rsid w:val="000D4873"/>
    <w:rsid w:val="000D6267"/>
    <w:rsid w:val="000D642A"/>
    <w:rsid w:val="000D6F24"/>
    <w:rsid w:val="000D744A"/>
    <w:rsid w:val="000D74E6"/>
    <w:rsid w:val="000E446A"/>
    <w:rsid w:val="000E50DD"/>
    <w:rsid w:val="000E7D34"/>
    <w:rsid w:val="000F193B"/>
    <w:rsid w:val="000F2489"/>
    <w:rsid w:val="000F7687"/>
    <w:rsid w:val="00103091"/>
    <w:rsid w:val="00103F1B"/>
    <w:rsid w:val="001040A6"/>
    <w:rsid w:val="00106903"/>
    <w:rsid w:val="00110243"/>
    <w:rsid w:val="00114041"/>
    <w:rsid w:val="00114597"/>
    <w:rsid w:val="001151CE"/>
    <w:rsid w:val="00116111"/>
    <w:rsid w:val="00116D5F"/>
    <w:rsid w:val="00117AC0"/>
    <w:rsid w:val="00121AEE"/>
    <w:rsid w:val="00122241"/>
    <w:rsid w:val="00124589"/>
    <w:rsid w:val="001266CB"/>
    <w:rsid w:val="001270AA"/>
    <w:rsid w:val="00127BE9"/>
    <w:rsid w:val="001302B4"/>
    <w:rsid w:val="00130753"/>
    <w:rsid w:val="00135436"/>
    <w:rsid w:val="001408DE"/>
    <w:rsid w:val="00141282"/>
    <w:rsid w:val="00151455"/>
    <w:rsid w:val="00152DE2"/>
    <w:rsid w:val="00154B1E"/>
    <w:rsid w:val="001550E3"/>
    <w:rsid w:val="001551C0"/>
    <w:rsid w:val="00155D7B"/>
    <w:rsid w:val="00162240"/>
    <w:rsid w:val="001626C1"/>
    <w:rsid w:val="00164F21"/>
    <w:rsid w:val="00164F9C"/>
    <w:rsid w:val="00173289"/>
    <w:rsid w:val="00177EB8"/>
    <w:rsid w:val="001803BC"/>
    <w:rsid w:val="001822CE"/>
    <w:rsid w:val="0018536F"/>
    <w:rsid w:val="00187A8B"/>
    <w:rsid w:val="001905DE"/>
    <w:rsid w:val="001918B9"/>
    <w:rsid w:val="00192329"/>
    <w:rsid w:val="00192B99"/>
    <w:rsid w:val="00193E25"/>
    <w:rsid w:val="00194D7B"/>
    <w:rsid w:val="001A052A"/>
    <w:rsid w:val="001A31A1"/>
    <w:rsid w:val="001A6F93"/>
    <w:rsid w:val="001B2F20"/>
    <w:rsid w:val="001B52EC"/>
    <w:rsid w:val="001B5BDD"/>
    <w:rsid w:val="001B6D10"/>
    <w:rsid w:val="001C4FF1"/>
    <w:rsid w:val="001C6557"/>
    <w:rsid w:val="001C7402"/>
    <w:rsid w:val="001D190B"/>
    <w:rsid w:val="001D3EB2"/>
    <w:rsid w:val="001D4436"/>
    <w:rsid w:val="001D4A89"/>
    <w:rsid w:val="001E03EC"/>
    <w:rsid w:val="001E3930"/>
    <w:rsid w:val="001E5B37"/>
    <w:rsid w:val="001F15E1"/>
    <w:rsid w:val="001F3881"/>
    <w:rsid w:val="002007FE"/>
    <w:rsid w:val="00201AA4"/>
    <w:rsid w:val="002044B8"/>
    <w:rsid w:val="002057EA"/>
    <w:rsid w:val="00206F3C"/>
    <w:rsid w:val="00207B25"/>
    <w:rsid w:val="00212BC0"/>
    <w:rsid w:val="002139C5"/>
    <w:rsid w:val="00220F7A"/>
    <w:rsid w:val="0022104E"/>
    <w:rsid w:val="00221311"/>
    <w:rsid w:val="00225234"/>
    <w:rsid w:val="002309DD"/>
    <w:rsid w:val="00230B0D"/>
    <w:rsid w:val="00232394"/>
    <w:rsid w:val="00233BF0"/>
    <w:rsid w:val="00234461"/>
    <w:rsid w:val="00234D0A"/>
    <w:rsid w:val="002355D8"/>
    <w:rsid w:val="00236B0B"/>
    <w:rsid w:val="00240542"/>
    <w:rsid w:val="002409A6"/>
    <w:rsid w:val="00244409"/>
    <w:rsid w:val="0024464E"/>
    <w:rsid w:val="00244F03"/>
    <w:rsid w:val="00245FE1"/>
    <w:rsid w:val="00246279"/>
    <w:rsid w:val="00251C4C"/>
    <w:rsid w:val="002543A2"/>
    <w:rsid w:val="00257637"/>
    <w:rsid w:val="00257BBC"/>
    <w:rsid w:val="00263087"/>
    <w:rsid w:val="0026414F"/>
    <w:rsid w:val="00264587"/>
    <w:rsid w:val="00264742"/>
    <w:rsid w:val="0026621D"/>
    <w:rsid w:val="002718B8"/>
    <w:rsid w:val="002735C9"/>
    <w:rsid w:val="00277D51"/>
    <w:rsid w:val="00280255"/>
    <w:rsid w:val="0028055C"/>
    <w:rsid w:val="00280800"/>
    <w:rsid w:val="00280844"/>
    <w:rsid w:val="00282B77"/>
    <w:rsid w:val="0028421E"/>
    <w:rsid w:val="00287497"/>
    <w:rsid w:val="0029018A"/>
    <w:rsid w:val="00292606"/>
    <w:rsid w:val="00293D7E"/>
    <w:rsid w:val="0029438C"/>
    <w:rsid w:val="002951F2"/>
    <w:rsid w:val="002A11F9"/>
    <w:rsid w:val="002A2A1E"/>
    <w:rsid w:val="002A3FC0"/>
    <w:rsid w:val="002B1536"/>
    <w:rsid w:val="002B1DE1"/>
    <w:rsid w:val="002B1FD3"/>
    <w:rsid w:val="002B6DB1"/>
    <w:rsid w:val="002B7C01"/>
    <w:rsid w:val="002C3157"/>
    <w:rsid w:val="002C38D0"/>
    <w:rsid w:val="002C67C9"/>
    <w:rsid w:val="002C7C0B"/>
    <w:rsid w:val="002D12B9"/>
    <w:rsid w:val="002D254B"/>
    <w:rsid w:val="002D3BE0"/>
    <w:rsid w:val="002D3FBC"/>
    <w:rsid w:val="002D4580"/>
    <w:rsid w:val="002E3FA3"/>
    <w:rsid w:val="002F5B63"/>
    <w:rsid w:val="002F7DBD"/>
    <w:rsid w:val="0030520A"/>
    <w:rsid w:val="00305B34"/>
    <w:rsid w:val="00316A20"/>
    <w:rsid w:val="003200E9"/>
    <w:rsid w:val="003205B1"/>
    <w:rsid w:val="003222D2"/>
    <w:rsid w:val="00330438"/>
    <w:rsid w:val="00331867"/>
    <w:rsid w:val="00337668"/>
    <w:rsid w:val="0034095D"/>
    <w:rsid w:val="00341D8B"/>
    <w:rsid w:val="00342339"/>
    <w:rsid w:val="003427DC"/>
    <w:rsid w:val="0034352D"/>
    <w:rsid w:val="003436D4"/>
    <w:rsid w:val="0034485E"/>
    <w:rsid w:val="00344CCD"/>
    <w:rsid w:val="003456E4"/>
    <w:rsid w:val="00345751"/>
    <w:rsid w:val="00350158"/>
    <w:rsid w:val="00351740"/>
    <w:rsid w:val="00352ABC"/>
    <w:rsid w:val="003548A0"/>
    <w:rsid w:val="00362B1C"/>
    <w:rsid w:val="00367C55"/>
    <w:rsid w:val="0037413F"/>
    <w:rsid w:val="00374416"/>
    <w:rsid w:val="00377CB4"/>
    <w:rsid w:val="0038007E"/>
    <w:rsid w:val="00384DE6"/>
    <w:rsid w:val="00385E3B"/>
    <w:rsid w:val="003923E9"/>
    <w:rsid w:val="0039289C"/>
    <w:rsid w:val="00395F91"/>
    <w:rsid w:val="003A792F"/>
    <w:rsid w:val="003B67E7"/>
    <w:rsid w:val="003B6BEF"/>
    <w:rsid w:val="003C5016"/>
    <w:rsid w:val="003C6C6B"/>
    <w:rsid w:val="003C6EB6"/>
    <w:rsid w:val="003D17DE"/>
    <w:rsid w:val="003D7E29"/>
    <w:rsid w:val="003E2E80"/>
    <w:rsid w:val="003E5716"/>
    <w:rsid w:val="003F10B4"/>
    <w:rsid w:val="003F219C"/>
    <w:rsid w:val="003F2B62"/>
    <w:rsid w:val="003F439B"/>
    <w:rsid w:val="003F6909"/>
    <w:rsid w:val="00402968"/>
    <w:rsid w:val="0040376D"/>
    <w:rsid w:val="00407D62"/>
    <w:rsid w:val="0041155C"/>
    <w:rsid w:val="004125DD"/>
    <w:rsid w:val="004134A9"/>
    <w:rsid w:val="004141DF"/>
    <w:rsid w:val="00417FD1"/>
    <w:rsid w:val="004226C5"/>
    <w:rsid w:val="0042412F"/>
    <w:rsid w:val="00435275"/>
    <w:rsid w:val="004352E6"/>
    <w:rsid w:val="0044017A"/>
    <w:rsid w:val="0044213B"/>
    <w:rsid w:val="004421D8"/>
    <w:rsid w:val="0044377E"/>
    <w:rsid w:val="004450B7"/>
    <w:rsid w:val="00445268"/>
    <w:rsid w:val="00446F49"/>
    <w:rsid w:val="00454F63"/>
    <w:rsid w:val="004551DA"/>
    <w:rsid w:val="00461376"/>
    <w:rsid w:val="00461AB9"/>
    <w:rsid w:val="004624DD"/>
    <w:rsid w:val="00465238"/>
    <w:rsid w:val="00470AEA"/>
    <w:rsid w:val="00473471"/>
    <w:rsid w:val="004740F0"/>
    <w:rsid w:val="00482781"/>
    <w:rsid w:val="00482A06"/>
    <w:rsid w:val="0049029F"/>
    <w:rsid w:val="00492389"/>
    <w:rsid w:val="004940D6"/>
    <w:rsid w:val="0049484F"/>
    <w:rsid w:val="00497DFB"/>
    <w:rsid w:val="004A034C"/>
    <w:rsid w:val="004A09E2"/>
    <w:rsid w:val="004A1F25"/>
    <w:rsid w:val="004A2205"/>
    <w:rsid w:val="004A6BEC"/>
    <w:rsid w:val="004B11D2"/>
    <w:rsid w:val="004B4628"/>
    <w:rsid w:val="004B4E79"/>
    <w:rsid w:val="004C4114"/>
    <w:rsid w:val="004C7F4E"/>
    <w:rsid w:val="004D1E1B"/>
    <w:rsid w:val="004D21CC"/>
    <w:rsid w:val="004D46B8"/>
    <w:rsid w:val="004D4811"/>
    <w:rsid w:val="004E0E15"/>
    <w:rsid w:val="004E280B"/>
    <w:rsid w:val="004E613D"/>
    <w:rsid w:val="004F2583"/>
    <w:rsid w:val="004F3688"/>
    <w:rsid w:val="004F4961"/>
    <w:rsid w:val="004F7B1F"/>
    <w:rsid w:val="004F7C91"/>
    <w:rsid w:val="00501EAA"/>
    <w:rsid w:val="005028A5"/>
    <w:rsid w:val="0050291C"/>
    <w:rsid w:val="0050313B"/>
    <w:rsid w:val="00503C15"/>
    <w:rsid w:val="00505F42"/>
    <w:rsid w:val="00511BC5"/>
    <w:rsid w:val="00513F99"/>
    <w:rsid w:val="0051568E"/>
    <w:rsid w:val="00516D04"/>
    <w:rsid w:val="0051722E"/>
    <w:rsid w:val="0051731C"/>
    <w:rsid w:val="00522E5F"/>
    <w:rsid w:val="0052431B"/>
    <w:rsid w:val="00524ADA"/>
    <w:rsid w:val="00525DF3"/>
    <w:rsid w:val="005264BD"/>
    <w:rsid w:val="005323AD"/>
    <w:rsid w:val="00533EA4"/>
    <w:rsid w:val="005420CD"/>
    <w:rsid w:val="00542959"/>
    <w:rsid w:val="00543CDF"/>
    <w:rsid w:val="005462AF"/>
    <w:rsid w:val="005476FA"/>
    <w:rsid w:val="00551100"/>
    <w:rsid w:val="0055164E"/>
    <w:rsid w:val="00551A3C"/>
    <w:rsid w:val="00551B5B"/>
    <w:rsid w:val="00553BF7"/>
    <w:rsid w:val="005542CE"/>
    <w:rsid w:val="00554345"/>
    <w:rsid w:val="00557372"/>
    <w:rsid w:val="005630C2"/>
    <w:rsid w:val="005632B6"/>
    <w:rsid w:val="0056629C"/>
    <w:rsid w:val="00572251"/>
    <w:rsid w:val="0057242E"/>
    <w:rsid w:val="00573A16"/>
    <w:rsid w:val="00574634"/>
    <w:rsid w:val="005814C3"/>
    <w:rsid w:val="005920B6"/>
    <w:rsid w:val="005932EE"/>
    <w:rsid w:val="00595028"/>
    <w:rsid w:val="00597D34"/>
    <w:rsid w:val="005A5CFE"/>
    <w:rsid w:val="005A632C"/>
    <w:rsid w:val="005B16F7"/>
    <w:rsid w:val="005B37D1"/>
    <w:rsid w:val="005B675B"/>
    <w:rsid w:val="005B7F5A"/>
    <w:rsid w:val="005C4E19"/>
    <w:rsid w:val="005C5CA7"/>
    <w:rsid w:val="005C6AE1"/>
    <w:rsid w:val="005D071C"/>
    <w:rsid w:val="005D1B22"/>
    <w:rsid w:val="005D6AF5"/>
    <w:rsid w:val="005E086B"/>
    <w:rsid w:val="005E3F48"/>
    <w:rsid w:val="005E58B1"/>
    <w:rsid w:val="005E6745"/>
    <w:rsid w:val="005E7826"/>
    <w:rsid w:val="005F22D0"/>
    <w:rsid w:val="005F4CBF"/>
    <w:rsid w:val="005F5E7B"/>
    <w:rsid w:val="005F6066"/>
    <w:rsid w:val="005F61DB"/>
    <w:rsid w:val="00600535"/>
    <w:rsid w:val="00600B02"/>
    <w:rsid w:val="0060208D"/>
    <w:rsid w:val="006031B8"/>
    <w:rsid w:val="006075DC"/>
    <w:rsid w:val="006103C3"/>
    <w:rsid w:val="006114C0"/>
    <w:rsid w:val="00613D42"/>
    <w:rsid w:val="00616F02"/>
    <w:rsid w:val="00622D54"/>
    <w:rsid w:val="0062618B"/>
    <w:rsid w:val="00631BE1"/>
    <w:rsid w:val="00632E98"/>
    <w:rsid w:val="00633D09"/>
    <w:rsid w:val="006348E9"/>
    <w:rsid w:val="0063556C"/>
    <w:rsid w:val="00635605"/>
    <w:rsid w:val="0063672A"/>
    <w:rsid w:val="0064393A"/>
    <w:rsid w:val="00643EFE"/>
    <w:rsid w:val="006468B1"/>
    <w:rsid w:val="00646C3F"/>
    <w:rsid w:val="006506C3"/>
    <w:rsid w:val="006512ED"/>
    <w:rsid w:val="00651957"/>
    <w:rsid w:val="00652DE2"/>
    <w:rsid w:val="00654221"/>
    <w:rsid w:val="006548E4"/>
    <w:rsid w:val="00654E49"/>
    <w:rsid w:val="00665355"/>
    <w:rsid w:val="0066723C"/>
    <w:rsid w:val="00671DD7"/>
    <w:rsid w:val="00675608"/>
    <w:rsid w:val="00677494"/>
    <w:rsid w:val="00680778"/>
    <w:rsid w:val="00680D0B"/>
    <w:rsid w:val="00683ACF"/>
    <w:rsid w:val="0068438E"/>
    <w:rsid w:val="00685737"/>
    <w:rsid w:val="00685E78"/>
    <w:rsid w:val="00686131"/>
    <w:rsid w:val="006934A8"/>
    <w:rsid w:val="0069378A"/>
    <w:rsid w:val="00697C42"/>
    <w:rsid w:val="006A1718"/>
    <w:rsid w:val="006A1FE2"/>
    <w:rsid w:val="006A31F0"/>
    <w:rsid w:val="006B3277"/>
    <w:rsid w:val="006B4D87"/>
    <w:rsid w:val="006B4F8B"/>
    <w:rsid w:val="006B70C4"/>
    <w:rsid w:val="006C0E1A"/>
    <w:rsid w:val="006C1B01"/>
    <w:rsid w:val="006D090C"/>
    <w:rsid w:val="006D1149"/>
    <w:rsid w:val="006D13CD"/>
    <w:rsid w:val="006D5BE4"/>
    <w:rsid w:val="006D6FF2"/>
    <w:rsid w:val="006E0621"/>
    <w:rsid w:val="006E1988"/>
    <w:rsid w:val="006E2AE6"/>
    <w:rsid w:val="006E3B6D"/>
    <w:rsid w:val="006E45DF"/>
    <w:rsid w:val="006E59BE"/>
    <w:rsid w:val="006E7E97"/>
    <w:rsid w:val="006F082F"/>
    <w:rsid w:val="006F21A1"/>
    <w:rsid w:val="006F299A"/>
    <w:rsid w:val="0070038B"/>
    <w:rsid w:val="00702565"/>
    <w:rsid w:val="007031B0"/>
    <w:rsid w:val="007033B1"/>
    <w:rsid w:val="007047A8"/>
    <w:rsid w:val="0070599B"/>
    <w:rsid w:val="00712135"/>
    <w:rsid w:val="00724A63"/>
    <w:rsid w:val="00725B56"/>
    <w:rsid w:val="0072672F"/>
    <w:rsid w:val="00727A52"/>
    <w:rsid w:val="0073054C"/>
    <w:rsid w:val="00730917"/>
    <w:rsid w:val="00730E4A"/>
    <w:rsid w:val="007326C2"/>
    <w:rsid w:val="00741850"/>
    <w:rsid w:val="007424AF"/>
    <w:rsid w:val="0074488F"/>
    <w:rsid w:val="00750479"/>
    <w:rsid w:val="00750B33"/>
    <w:rsid w:val="00750BD2"/>
    <w:rsid w:val="0075529D"/>
    <w:rsid w:val="0075794D"/>
    <w:rsid w:val="00761D8E"/>
    <w:rsid w:val="0076523D"/>
    <w:rsid w:val="007668F2"/>
    <w:rsid w:val="007735F9"/>
    <w:rsid w:val="00773B4B"/>
    <w:rsid w:val="00776A97"/>
    <w:rsid w:val="00777D7B"/>
    <w:rsid w:val="00795EFF"/>
    <w:rsid w:val="007A0566"/>
    <w:rsid w:val="007A19BB"/>
    <w:rsid w:val="007A2237"/>
    <w:rsid w:val="007A2E91"/>
    <w:rsid w:val="007A402D"/>
    <w:rsid w:val="007A42E5"/>
    <w:rsid w:val="007A5AB4"/>
    <w:rsid w:val="007A5DA3"/>
    <w:rsid w:val="007C147C"/>
    <w:rsid w:val="007C1D3D"/>
    <w:rsid w:val="007C3CB5"/>
    <w:rsid w:val="007D312D"/>
    <w:rsid w:val="007D4470"/>
    <w:rsid w:val="007D7B03"/>
    <w:rsid w:val="007E03FA"/>
    <w:rsid w:val="007E0CA1"/>
    <w:rsid w:val="007E12BA"/>
    <w:rsid w:val="007E2249"/>
    <w:rsid w:val="007E3E4B"/>
    <w:rsid w:val="007E41C1"/>
    <w:rsid w:val="007E52D8"/>
    <w:rsid w:val="007F0D6B"/>
    <w:rsid w:val="007F0EE8"/>
    <w:rsid w:val="007F0FFA"/>
    <w:rsid w:val="007F2259"/>
    <w:rsid w:val="007F3414"/>
    <w:rsid w:val="007F4911"/>
    <w:rsid w:val="007F61C8"/>
    <w:rsid w:val="008030E9"/>
    <w:rsid w:val="00806C8A"/>
    <w:rsid w:val="00806D5A"/>
    <w:rsid w:val="00807284"/>
    <w:rsid w:val="00807B22"/>
    <w:rsid w:val="00810E31"/>
    <w:rsid w:val="00812994"/>
    <w:rsid w:val="008131DA"/>
    <w:rsid w:val="00814206"/>
    <w:rsid w:val="008213D6"/>
    <w:rsid w:val="00821533"/>
    <w:rsid w:val="00823B7D"/>
    <w:rsid w:val="008245DF"/>
    <w:rsid w:val="00825073"/>
    <w:rsid w:val="00825AD0"/>
    <w:rsid w:val="0082619E"/>
    <w:rsid w:val="0082654B"/>
    <w:rsid w:val="00827C11"/>
    <w:rsid w:val="00827DC8"/>
    <w:rsid w:val="00833409"/>
    <w:rsid w:val="008364E3"/>
    <w:rsid w:val="008402E0"/>
    <w:rsid w:val="00841323"/>
    <w:rsid w:val="008466BB"/>
    <w:rsid w:val="0085429D"/>
    <w:rsid w:val="008566F9"/>
    <w:rsid w:val="00863A3F"/>
    <w:rsid w:val="00883D94"/>
    <w:rsid w:val="0088643E"/>
    <w:rsid w:val="00887A61"/>
    <w:rsid w:val="00892F0C"/>
    <w:rsid w:val="0089462C"/>
    <w:rsid w:val="00897BF7"/>
    <w:rsid w:val="008A0059"/>
    <w:rsid w:val="008A4042"/>
    <w:rsid w:val="008A4D36"/>
    <w:rsid w:val="008B15C9"/>
    <w:rsid w:val="008B3D55"/>
    <w:rsid w:val="008B5A87"/>
    <w:rsid w:val="008B6AD9"/>
    <w:rsid w:val="008C0CAE"/>
    <w:rsid w:val="008C3C50"/>
    <w:rsid w:val="008C41B7"/>
    <w:rsid w:val="008C4C48"/>
    <w:rsid w:val="008C51F2"/>
    <w:rsid w:val="008D2C1C"/>
    <w:rsid w:val="008E015C"/>
    <w:rsid w:val="008E2F57"/>
    <w:rsid w:val="008E3EC2"/>
    <w:rsid w:val="008E5DF0"/>
    <w:rsid w:val="008F06DD"/>
    <w:rsid w:val="008F3C9D"/>
    <w:rsid w:val="008F7491"/>
    <w:rsid w:val="00907127"/>
    <w:rsid w:val="00910E59"/>
    <w:rsid w:val="00912ABA"/>
    <w:rsid w:val="009259B9"/>
    <w:rsid w:val="00932FEE"/>
    <w:rsid w:val="0093402A"/>
    <w:rsid w:val="00934DCF"/>
    <w:rsid w:val="00935C13"/>
    <w:rsid w:val="00937294"/>
    <w:rsid w:val="009412B6"/>
    <w:rsid w:val="009433D6"/>
    <w:rsid w:val="00943CEF"/>
    <w:rsid w:val="00947C7D"/>
    <w:rsid w:val="009510D5"/>
    <w:rsid w:val="00951C62"/>
    <w:rsid w:val="00954F3D"/>
    <w:rsid w:val="009561DA"/>
    <w:rsid w:val="00961CD0"/>
    <w:rsid w:val="009627D1"/>
    <w:rsid w:val="0096390F"/>
    <w:rsid w:val="00963C1E"/>
    <w:rsid w:val="00964BFB"/>
    <w:rsid w:val="00966533"/>
    <w:rsid w:val="00972656"/>
    <w:rsid w:val="0097301B"/>
    <w:rsid w:val="009744C4"/>
    <w:rsid w:val="00976095"/>
    <w:rsid w:val="00980347"/>
    <w:rsid w:val="009804E3"/>
    <w:rsid w:val="00981B80"/>
    <w:rsid w:val="00983879"/>
    <w:rsid w:val="00983B45"/>
    <w:rsid w:val="00984317"/>
    <w:rsid w:val="00984B99"/>
    <w:rsid w:val="00987BB7"/>
    <w:rsid w:val="0099001E"/>
    <w:rsid w:val="009911C3"/>
    <w:rsid w:val="009913F3"/>
    <w:rsid w:val="009927E6"/>
    <w:rsid w:val="009948D9"/>
    <w:rsid w:val="00996217"/>
    <w:rsid w:val="009A0AD6"/>
    <w:rsid w:val="009A17D2"/>
    <w:rsid w:val="009A432F"/>
    <w:rsid w:val="009B0EA9"/>
    <w:rsid w:val="009B5B72"/>
    <w:rsid w:val="009B5C3B"/>
    <w:rsid w:val="009B5D0A"/>
    <w:rsid w:val="009B6581"/>
    <w:rsid w:val="009C404F"/>
    <w:rsid w:val="009D1ACE"/>
    <w:rsid w:val="009D2B22"/>
    <w:rsid w:val="009E16C4"/>
    <w:rsid w:val="009F0870"/>
    <w:rsid w:val="009F1163"/>
    <w:rsid w:val="009F332E"/>
    <w:rsid w:val="009F404E"/>
    <w:rsid w:val="009F5B25"/>
    <w:rsid w:val="00A0172E"/>
    <w:rsid w:val="00A04DA7"/>
    <w:rsid w:val="00A05432"/>
    <w:rsid w:val="00A055BD"/>
    <w:rsid w:val="00A07436"/>
    <w:rsid w:val="00A1462B"/>
    <w:rsid w:val="00A15BE3"/>
    <w:rsid w:val="00A2157F"/>
    <w:rsid w:val="00A25038"/>
    <w:rsid w:val="00A255E0"/>
    <w:rsid w:val="00A258DB"/>
    <w:rsid w:val="00A27967"/>
    <w:rsid w:val="00A3177B"/>
    <w:rsid w:val="00A3420B"/>
    <w:rsid w:val="00A35546"/>
    <w:rsid w:val="00A4179D"/>
    <w:rsid w:val="00A4189C"/>
    <w:rsid w:val="00A41EDD"/>
    <w:rsid w:val="00A430E0"/>
    <w:rsid w:val="00A43DA7"/>
    <w:rsid w:val="00A44A34"/>
    <w:rsid w:val="00A50042"/>
    <w:rsid w:val="00A50D7B"/>
    <w:rsid w:val="00A524F2"/>
    <w:rsid w:val="00A54266"/>
    <w:rsid w:val="00A54987"/>
    <w:rsid w:val="00A60665"/>
    <w:rsid w:val="00A618E5"/>
    <w:rsid w:val="00A67ADC"/>
    <w:rsid w:val="00A72059"/>
    <w:rsid w:val="00A741B0"/>
    <w:rsid w:val="00A762E1"/>
    <w:rsid w:val="00A80660"/>
    <w:rsid w:val="00A844BF"/>
    <w:rsid w:val="00A85A5C"/>
    <w:rsid w:val="00A86424"/>
    <w:rsid w:val="00A9020D"/>
    <w:rsid w:val="00A91A78"/>
    <w:rsid w:val="00A92B69"/>
    <w:rsid w:val="00A93B4F"/>
    <w:rsid w:val="00AA007F"/>
    <w:rsid w:val="00AA2FB6"/>
    <w:rsid w:val="00AA57B3"/>
    <w:rsid w:val="00AB400C"/>
    <w:rsid w:val="00AB598D"/>
    <w:rsid w:val="00AC3B69"/>
    <w:rsid w:val="00AC4C52"/>
    <w:rsid w:val="00AC5D01"/>
    <w:rsid w:val="00AD01A9"/>
    <w:rsid w:val="00AD4906"/>
    <w:rsid w:val="00AD6AE8"/>
    <w:rsid w:val="00AE07B9"/>
    <w:rsid w:val="00AE11B9"/>
    <w:rsid w:val="00AE5B25"/>
    <w:rsid w:val="00AE5B2F"/>
    <w:rsid w:val="00AF6176"/>
    <w:rsid w:val="00AF6C65"/>
    <w:rsid w:val="00B005BC"/>
    <w:rsid w:val="00B0280F"/>
    <w:rsid w:val="00B03154"/>
    <w:rsid w:val="00B03FB1"/>
    <w:rsid w:val="00B05E38"/>
    <w:rsid w:val="00B11E4C"/>
    <w:rsid w:val="00B210B7"/>
    <w:rsid w:val="00B276AD"/>
    <w:rsid w:val="00B278BB"/>
    <w:rsid w:val="00B31693"/>
    <w:rsid w:val="00B32E73"/>
    <w:rsid w:val="00B35DE5"/>
    <w:rsid w:val="00B40CB2"/>
    <w:rsid w:val="00B42353"/>
    <w:rsid w:val="00B42849"/>
    <w:rsid w:val="00B47957"/>
    <w:rsid w:val="00B5362A"/>
    <w:rsid w:val="00B53F59"/>
    <w:rsid w:val="00B560AA"/>
    <w:rsid w:val="00B62887"/>
    <w:rsid w:val="00B6301C"/>
    <w:rsid w:val="00B6758E"/>
    <w:rsid w:val="00B67E41"/>
    <w:rsid w:val="00B706F1"/>
    <w:rsid w:val="00B727EF"/>
    <w:rsid w:val="00B76A46"/>
    <w:rsid w:val="00B771F9"/>
    <w:rsid w:val="00B8215B"/>
    <w:rsid w:val="00B825A4"/>
    <w:rsid w:val="00B86A95"/>
    <w:rsid w:val="00B910A2"/>
    <w:rsid w:val="00B91215"/>
    <w:rsid w:val="00B94D2A"/>
    <w:rsid w:val="00B96814"/>
    <w:rsid w:val="00BA1667"/>
    <w:rsid w:val="00BA6216"/>
    <w:rsid w:val="00BB148E"/>
    <w:rsid w:val="00BB551B"/>
    <w:rsid w:val="00BB7500"/>
    <w:rsid w:val="00BC543B"/>
    <w:rsid w:val="00BC5820"/>
    <w:rsid w:val="00BC73DE"/>
    <w:rsid w:val="00BD097F"/>
    <w:rsid w:val="00BD18D8"/>
    <w:rsid w:val="00BD4001"/>
    <w:rsid w:val="00BD4B48"/>
    <w:rsid w:val="00BD4BEA"/>
    <w:rsid w:val="00BE1576"/>
    <w:rsid w:val="00BE36D8"/>
    <w:rsid w:val="00BE701C"/>
    <w:rsid w:val="00BF2AC9"/>
    <w:rsid w:val="00BF568D"/>
    <w:rsid w:val="00BF67DD"/>
    <w:rsid w:val="00BF6B6B"/>
    <w:rsid w:val="00C005CA"/>
    <w:rsid w:val="00C053DB"/>
    <w:rsid w:val="00C060E7"/>
    <w:rsid w:val="00C119D5"/>
    <w:rsid w:val="00C150E9"/>
    <w:rsid w:val="00C16880"/>
    <w:rsid w:val="00C16E9F"/>
    <w:rsid w:val="00C234E8"/>
    <w:rsid w:val="00C25A1A"/>
    <w:rsid w:val="00C26A31"/>
    <w:rsid w:val="00C3208C"/>
    <w:rsid w:val="00C32943"/>
    <w:rsid w:val="00C339AB"/>
    <w:rsid w:val="00C372FC"/>
    <w:rsid w:val="00C4110A"/>
    <w:rsid w:val="00C4272D"/>
    <w:rsid w:val="00C45AA7"/>
    <w:rsid w:val="00C46351"/>
    <w:rsid w:val="00C5199C"/>
    <w:rsid w:val="00C51E75"/>
    <w:rsid w:val="00C52166"/>
    <w:rsid w:val="00C52EB0"/>
    <w:rsid w:val="00C546E6"/>
    <w:rsid w:val="00C612B2"/>
    <w:rsid w:val="00C65CCA"/>
    <w:rsid w:val="00C66C13"/>
    <w:rsid w:val="00C67048"/>
    <w:rsid w:val="00C67AF1"/>
    <w:rsid w:val="00C73376"/>
    <w:rsid w:val="00C73613"/>
    <w:rsid w:val="00C807AC"/>
    <w:rsid w:val="00C81A55"/>
    <w:rsid w:val="00C82E22"/>
    <w:rsid w:val="00C84981"/>
    <w:rsid w:val="00C90AB1"/>
    <w:rsid w:val="00C942EB"/>
    <w:rsid w:val="00C94CCB"/>
    <w:rsid w:val="00CA08B9"/>
    <w:rsid w:val="00CA48D9"/>
    <w:rsid w:val="00CB1268"/>
    <w:rsid w:val="00CC0444"/>
    <w:rsid w:val="00CC184B"/>
    <w:rsid w:val="00CC3D38"/>
    <w:rsid w:val="00CC4A48"/>
    <w:rsid w:val="00CC63B7"/>
    <w:rsid w:val="00CC714A"/>
    <w:rsid w:val="00CD57E3"/>
    <w:rsid w:val="00CD7DA0"/>
    <w:rsid w:val="00CE745B"/>
    <w:rsid w:val="00CE74AD"/>
    <w:rsid w:val="00CF1A71"/>
    <w:rsid w:val="00CF1D45"/>
    <w:rsid w:val="00CF4027"/>
    <w:rsid w:val="00CF5607"/>
    <w:rsid w:val="00CF5E54"/>
    <w:rsid w:val="00CF766F"/>
    <w:rsid w:val="00CF7F9B"/>
    <w:rsid w:val="00D00BEC"/>
    <w:rsid w:val="00D022CC"/>
    <w:rsid w:val="00D02A97"/>
    <w:rsid w:val="00D02FFA"/>
    <w:rsid w:val="00D10A38"/>
    <w:rsid w:val="00D135BE"/>
    <w:rsid w:val="00D15499"/>
    <w:rsid w:val="00D163AB"/>
    <w:rsid w:val="00D16AF1"/>
    <w:rsid w:val="00D16FA6"/>
    <w:rsid w:val="00D17AF7"/>
    <w:rsid w:val="00D21134"/>
    <w:rsid w:val="00D31B13"/>
    <w:rsid w:val="00D32D38"/>
    <w:rsid w:val="00D4109E"/>
    <w:rsid w:val="00D44210"/>
    <w:rsid w:val="00D504BB"/>
    <w:rsid w:val="00D5262D"/>
    <w:rsid w:val="00D53330"/>
    <w:rsid w:val="00D53342"/>
    <w:rsid w:val="00D53ED3"/>
    <w:rsid w:val="00D542FE"/>
    <w:rsid w:val="00D55031"/>
    <w:rsid w:val="00D61DAE"/>
    <w:rsid w:val="00D6282A"/>
    <w:rsid w:val="00D631F2"/>
    <w:rsid w:val="00D66458"/>
    <w:rsid w:val="00D67AF2"/>
    <w:rsid w:val="00D731CB"/>
    <w:rsid w:val="00D73A2B"/>
    <w:rsid w:val="00D7488B"/>
    <w:rsid w:val="00D768E7"/>
    <w:rsid w:val="00D80862"/>
    <w:rsid w:val="00D8345D"/>
    <w:rsid w:val="00D834F3"/>
    <w:rsid w:val="00D8473D"/>
    <w:rsid w:val="00D86363"/>
    <w:rsid w:val="00D86A1A"/>
    <w:rsid w:val="00D90C99"/>
    <w:rsid w:val="00D91754"/>
    <w:rsid w:val="00D91D31"/>
    <w:rsid w:val="00D9619A"/>
    <w:rsid w:val="00D96AAE"/>
    <w:rsid w:val="00D977A7"/>
    <w:rsid w:val="00DA6A8F"/>
    <w:rsid w:val="00DA6EE7"/>
    <w:rsid w:val="00DA7311"/>
    <w:rsid w:val="00DA7576"/>
    <w:rsid w:val="00DA7E09"/>
    <w:rsid w:val="00DB1301"/>
    <w:rsid w:val="00DB2ABF"/>
    <w:rsid w:val="00DD1D48"/>
    <w:rsid w:val="00DD33B7"/>
    <w:rsid w:val="00DD6898"/>
    <w:rsid w:val="00DD6A74"/>
    <w:rsid w:val="00DD6B0A"/>
    <w:rsid w:val="00DE13C4"/>
    <w:rsid w:val="00DE1792"/>
    <w:rsid w:val="00DE3254"/>
    <w:rsid w:val="00DE5100"/>
    <w:rsid w:val="00DE566F"/>
    <w:rsid w:val="00DE655A"/>
    <w:rsid w:val="00DE65A5"/>
    <w:rsid w:val="00DF0455"/>
    <w:rsid w:val="00DF0E81"/>
    <w:rsid w:val="00DF1A05"/>
    <w:rsid w:val="00DF1C81"/>
    <w:rsid w:val="00DF36E4"/>
    <w:rsid w:val="00DF4306"/>
    <w:rsid w:val="00E01698"/>
    <w:rsid w:val="00E027E0"/>
    <w:rsid w:val="00E031F8"/>
    <w:rsid w:val="00E06F5A"/>
    <w:rsid w:val="00E07172"/>
    <w:rsid w:val="00E07972"/>
    <w:rsid w:val="00E10A22"/>
    <w:rsid w:val="00E10D21"/>
    <w:rsid w:val="00E11AD0"/>
    <w:rsid w:val="00E12BC2"/>
    <w:rsid w:val="00E12EE7"/>
    <w:rsid w:val="00E1313A"/>
    <w:rsid w:val="00E1425D"/>
    <w:rsid w:val="00E172E9"/>
    <w:rsid w:val="00E20A2E"/>
    <w:rsid w:val="00E20DF9"/>
    <w:rsid w:val="00E22C8D"/>
    <w:rsid w:val="00E23C8A"/>
    <w:rsid w:val="00E2490C"/>
    <w:rsid w:val="00E25C36"/>
    <w:rsid w:val="00E261BD"/>
    <w:rsid w:val="00E33F99"/>
    <w:rsid w:val="00E37966"/>
    <w:rsid w:val="00E4046B"/>
    <w:rsid w:val="00E42181"/>
    <w:rsid w:val="00E449E1"/>
    <w:rsid w:val="00E45640"/>
    <w:rsid w:val="00E457D1"/>
    <w:rsid w:val="00E45B22"/>
    <w:rsid w:val="00E45F0C"/>
    <w:rsid w:val="00E4660C"/>
    <w:rsid w:val="00E46FD3"/>
    <w:rsid w:val="00E50F7E"/>
    <w:rsid w:val="00E565D4"/>
    <w:rsid w:val="00E607D8"/>
    <w:rsid w:val="00E640F8"/>
    <w:rsid w:val="00E70023"/>
    <w:rsid w:val="00E73386"/>
    <w:rsid w:val="00E75D2E"/>
    <w:rsid w:val="00E76D37"/>
    <w:rsid w:val="00E82086"/>
    <w:rsid w:val="00E827DE"/>
    <w:rsid w:val="00E83110"/>
    <w:rsid w:val="00E87006"/>
    <w:rsid w:val="00E93EA4"/>
    <w:rsid w:val="00E95FFB"/>
    <w:rsid w:val="00EA0F90"/>
    <w:rsid w:val="00EA199A"/>
    <w:rsid w:val="00EA6457"/>
    <w:rsid w:val="00EA7D62"/>
    <w:rsid w:val="00EB1EF7"/>
    <w:rsid w:val="00EB2172"/>
    <w:rsid w:val="00EB39A6"/>
    <w:rsid w:val="00EB4906"/>
    <w:rsid w:val="00EC4AA6"/>
    <w:rsid w:val="00EC60A5"/>
    <w:rsid w:val="00EC7421"/>
    <w:rsid w:val="00EC7626"/>
    <w:rsid w:val="00ED0118"/>
    <w:rsid w:val="00ED016D"/>
    <w:rsid w:val="00ED025E"/>
    <w:rsid w:val="00ED0D86"/>
    <w:rsid w:val="00ED0E09"/>
    <w:rsid w:val="00ED5B7F"/>
    <w:rsid w:val="00ED777C"/>
    <w:rsid w:val="00ED7C81"/>
    <w:rsid w:val="00ED7D46"/>
    <w:rsid w:val="00EE29B9"/>
    <w:rsid w:val="00EE54A3"/>
    <w:rsid w:val="00EF195A"/>
    <w:rsid w:val="00EF1A50"/>
    <w:rsid w:val="00EF66D7"/>
    <w:rsid w:val="00EF6769"/>
    <w:rsid w:val="00EF6EB1"/>
    <w:rsid w:val="00EF787D"/>
    <w:rsid w:val="00EF7953"/>
    <w:rsid w:val="00F0016B"/>
    <w:rsid w:val="00F058B3"/>
    <w:rsid w:val="00F05C47"/>
    <w:rsid w:val="00F10DFB"/>
    <w:rsid w:val="00F1258C"/>
    <w:rsid w:val="00F1263F"/>
    <w:rsid w:val="00F12C95"/>
    <w:rsid w:val="00F13E0B"/>
    <w:rsid w:val="00F14AF2"/>
    <w:rsid w:val="00F1602A"/>
    <w:rsid w:val="00F164A4"/>
    <w:rsid w:val="00F20D0C"/>
    <w:rsid w:val="00F20E3F"/>
    <w:rsid w:val="00F21578"/>
    <w:rsid w:val="00F216C4"/>
    <w:rsid w:val="00F22754"/>
    <w:rsid w:val="00F23726"/>
    <w:rsid w:val="00F243A6"/>
    <w:rsid w:val="00F26E49"/>
    <w:rsid w:val="00F27001"/>
    <w:rsid w:val="00F273DE"/>
    <w:rsid w:val="00F31B62"/>
    <w:rsid w:val="00F32191"/>
    <w:rsid w:val="00F36639"/>
    <w:rsid w:val="00F501DF"/>
    <w:rsid w:val="00F50501"/>
    <w:rsid w:val="00F53685"/>
    <w:rsid w:val="00F60707"/>
    <w:rsid w:val="00F62964"/>
    <w:rsid w:val="00F63D91"/>
    <w:rsid w:val="00F6498A"/>
    <w:rsid w:val="00F671C9"/>
    <w:rsid w:val="00F67C13"/>
    <w:rsid w:val="00F72ACD"/>
    <w:rsid w:val="00F75FC5"/>
    <w:rsid w:val="00F77CA1"/>
    <w:rsid w:val="00F85742"/>
    <w:rsid w:val="00F85E03"/>
    <w:rsid w:val="00F9161F"/>
    <w:rsid w:val="00F9566D"/>
    <w:rsid w:val="00F97B5B"/>
    <w:rsid w:val="00FA21E3"/>
    <w:rsid w:val="00FA3102"/>
    <w:rsid w:val="00FA7656"/>
    <w:rsid w:val="00FB1F06"/>
    <w:rsid w:val="00FB4293"/>
    <w:rsid w:val="00FC0002"/>
    <w:rsid w:val="00FC37D1"/>
    <w:rsid w:val="00FC72A2"/>
    <w:rsid w:val="00FD082B"/>
    <w:rsid w:val="00FD1491"/>
    <w:rsid w:val="00FE16A6"/>
    <w:rsid w:val="00FE4C46"/>
    <w:rsid w:val="00FF0177"/>
    <w:rsid w:val="00FF12EA"/>
    <w:rsid w:val="00FF34B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DD"/>
    <w:rPr>
      <w:sz w:val="24"/>
      <w:szCs w:val="24"/>
      <w:lang w:val="it-IT" w:eastAsia="ko-KR"/>
    </w:rPr>
  </w:style>
  <w:style w:type="paragraph" w:styleId="1">
    <w:name w:val="heading 1"/>
    <w:basedOn w:val="a"/>
    <w:link w:val="1Char"/>
    <w:uiPriority w:val="99"/>
    <w:qFormat/>
    <w:rsid w:val="003B67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822CE"/>
    <w:rPr>
      <w:rFonts w:ascii="Cambria" w:hAnsi="Cambria" w:cs="Times New Roman"/>
      <w:b/>
      <w:bCs/>
      <w:kern w:val="32"/>
      <w:sz w:val="32"/>
      <w:szCs w:val="32"/>
      <w:lang w:eastAsia="ko-KR"/>
    </w:rPr>
  </w:style>
  <w:style w:type="paragraph" w:styleId="a3">
    <w:name w:val="Balloon Text"/>
    <w:basedOn w:val="a"/>
    <w:link w:val="Char"/>
    <w:uiPriority w:val="99"/>
    <w:semiHidden/>
    <w:rsid w:val="005542CE"/>
    <w:rPr>
      <w:rFonts w:ascii="Tahoma" w:hAnsi="Tahoma" w:cs="Tahoma"/>
      <w:sz w:val="16"/>
      <w:szCs w:val="16"/>
    </w:rPr>
  </w:style>
  <w:style w:type="character" w:customStyle="1" w:styleId="Char">
    <w:name w:val="批注框文本 Char"/>
    <w:link w:val="a3"/>
    <w:uiPriority w:val="99"/>
    <w:semiHidden/>
    <w:locked/>
    <w:rsid w:val="001822CE"/>
    <w:rPr>
      <w:rFonts w:cs="Times New Roman"/>
      <w:sz w:val="2"/>
      <w:lang w:eastAsia="ko-KR"/>
    </w:rPr>
  </w:style>
  <w:style w:type="character" w:styleId="a4">
    <w:name w:val="Hyperlink"/>
    <w:uiPriority w:val="99"/>
    <w:rsid w:val="006B4D87"/>
    <w:rPr>
      <w:rFonts w:cs="Times New Roman"/>
      <w:color w:val="0000FF"/>
      <w:u w:val="single"/>
    </w:rPr>
  </w:style>
  <w:style w:type="character" w:customStyle="1" w:styleId="qu">
    <w:name w:val="qu"/>
    <w:uiPriority w:val="99"/>
    <w:rsid w:val="006B4D87"/>
    <w:rPr>
      <w:rFonts w:cs="Times New Roman"/>
    </w:rPr>
  </w:style>
  <w:style w:type="character" w:customStyle="1" w:styleId="gd">
    <w:name w:val="gd"/>
    <w:uiPriority w:val="99"/>
    <w:rsid w:val="006B4D87"/>
    <w:rPr>
      <w:rFonts w:cs="Times New Roman"/>
    </w:rPr>
  </w:style>
  <w:style w:type="character" w:customStyle="1" w:styleId="go">
    <w:name w:val="go"/>
    <w:uiPriority w:val="99"/>
    <w:rsid w:val="006B4D87"/>
    <w:rPr>
      <w:rFonts w:cs="Times New Roman"/>
    </w:rPr>
  </w:style>
  <w:style w:type="table" w:styleId="a5">
    <w:name w:val="Table Grid"/>
    <w:basedOn w:val="a1"/>
    <w:uiPriority w:val="99"/>
    <w:rsid w:val="00EF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683ACF"/>
    <w:pPr>
      <w:tabs>
        <w:tab w:val="center" w:pos="4819"/>
        <w:tab w:val="right" w:pos="9638"/>
      </w:tabs>
    </w:pPr>
  </w:style>
  <w:style w:type="character" w:customStyle="1" w:styleId="Char0">
    <w:name w:val="页脚 Char"/>
    <w:link w:val="a6"/>
    <w:uiPriority w:val="99"/>
    <w:semiHidden/>
    <w:locked/>
    <w:rsid w:val="001822CE"/>
    <w:rPr>
      <w:rFonts w:cs="Times New Roman"/>
      <w:sz w:val="24"/>
      <w:szCs w:val="24"/>
      <w:lang w:eastAsia="ko-KR"/>
    </w:rPr>
  </w:style>
  <w:style w:type="character" w:styleId="a7">
    <w:name w:val="page number"/>
    <w:uiPriority w:val="99"/>
    <w:rsid w:val="00683ACF"/>
    <w:rPr>
      <w:rFonts w:cs="Times New Roman"/>
    </w:rPr>
  </w:style>
  <w:style w:type="character" w:styleId="a8">
    <w:name w:val="Emphasis"/>
    <w:uiPriority w:val="99"/>
    <w:qFormat/>
    <w:rsid w:val="00BF568D"/>
    <w:rPr>
      <w:rFonts w:cs="Times New Roman"/>
      <w:i/>
    </w:rPr>
  </w:style>
  <w:style w:type="character" w:customStyle="1" w:styleId="element-citation">
    <w:name w:val="element-citation"/>
    <w:uiPriority w:val="99"/>
    <w:rsid w:val="003B67E7"/>
    <w:rPr>
      <w:rFonts w:cs="Times New Roman"/>
    </w:rPr>
  </w:style>
  <w:style w:type="character" w:customStyle="1" w:styleId="ref-journal">
    <w:name w:val="ref-journal"/>
    <w:uiPriority w:val="99"/>
    <w:rsid w:val="003B67E7"/>
    <w:rPr>
      <w:rFonts w:cs="Times New Roman"/>
    </w:rPr>
  </w:style>
  <w:style w:type="character" w:customStyle="1" w:styleId="ref-vol">
    <w:name w:val="ref-vol"/>
    <w:uiPriority w:val="99"/>
    <w:rsid w:val="003B67E7"/>
    <w:rPr>
      <w:rFonts w:cs="Times New Roman"/>
    </w:rPr>
  </w:style>
  <w:style w:type="character" w:customStyle="1" w:styleId="cit">
    <w:name w:val="cit"/>
    <w:uiPriority w:val="99"/>
    <w:rsid w:val="00863A3F"/>
    <w:rPr>
      <w:rFonts w:cs="Times New Roman"/>
    </w:rPr>
  </w:style>
  <w:style w:type="character" w:customStyle="1" w:styleId="fm-vol-iss-date">
    <w:name w:val="fm-vol-iss-date"/>
    <w:uiPriority w:val="99"/>
    <w:rsid w:val="00863A3F"/>
    <w:rPr>
      <w:rFonts w:cs="Times New Roman"/>
    </w:rPr>
  </w:style>
  <w:style w:type="character" w:customStyle="1" w:styleId="doi">
    <w:name w:val="doi"/>
    <w:uiPriority w:val="99"/>
    <w:rsid w:val="00863A3F"/>
    <w:rPr>
      <w:rFonts w:cs="Times New Roman"/>
    </w:rPr>
  </w:style>
  <w:style w:type="character" w:customStyle="1" w:styleId="nowrap">
    <w:name w:val="nowrap"/>
    <w:uiPriority w:val="99"/>
    <w:rsid w:val="00B727EF"/>
    <w:rPr>
      <w:rFonts w:cs="Times New Roman"/>
    </w:rPr>
  </w:style>
  <w:style w:type="character" w:customStyle="1" w:styleId="textgiven-name">
    <w:name w:val="text given-name"/>
    <w:uiPriority w:val="99"/>
    <w:rsid w:val="0070038B"/>
    <w:rPr>
      <w:rFonts w:cs="Times New Roman"/>
    </w:rPr>
  </w:style>
  <w:style w:type="character" w:customStyle="1" w:styleId="textsurname">
    <w:name w:val="text surname"/>
    <w:uiPriority w:val="99"/>
    <w:rsid w:val="0070038B"/>
    <w:rPr>
      <w:rFonts w:cs="Times New Roman"/>
    </w:rPr>
  </w:style>
  <w:style w:type="character" w:customStyle="1" w:styleId="author-ref">
    <w:name w:val="author-ref"/>
    <w:uiPriority w:val="99"/>
    <w:rsid w:val="0070038B"/>
    <w:rPr>
      <w:rFonts w:cs="Times New Roman"/>
    </w:rPr>
  </w:style>
  <w:style w:type="character" w:customStyle="1" w:styleId="title-text">
    <w:name w:val="title-text"/>
    <w:uiPriority w:val="99"/>
    <w:rsid w:val="0070038B"/>
    <w:rPr>
      <w:rFonts w:cs="Times New Roman"/>
    </w:rPr>
  </w:style>
  <w:style w:type="paragraph" w:customStyle="1" w:styleId="author-type">
    <w:name w:val="author-type"/>
    <w:basedOn w:val="a"/>
    <w:uiPriority w:val="99"/>
    <w:rsid w:val="00BC543B"/>
    <w:pPr>
      <w:spacing w:before="100" w:beforeAutospacing="1" w:after="100" w:afterAutospacing="1"/>
    </w:pPr>
  </w:style>
  <w:style w:type="paragraph" w:styleId="a9">
    <w:name w:val="Normal (Web)"/>
    <w:basedOn w:val="a"/>
    <w:uiPriority w:val="99"/>
    <w:rsid w:val="00BC543B"/>
    <w:pPr>
      <w:spacing w:before="100" w:beforeAutospacing="1" w:after="100" w:afterAutospacing="1"/>
    </w:pPr>
  </w:style>
  <w:style w:type="paragraph" w:customStyle="1" w:styleId="orcid-account">
    <w:name w:val="orcid-account"/>
    <w:basedOn w:val="a"/>
    <w:uiPriority w:val="99"/>
    <w:rsid w:val="00BC543B"/>
    <w:pPr>
      <w:spacing w:before="100" w:beforeAutospacing="1" w:after="100" w:afterAutospacing="1"/>
    </w:pPr>
  </w:style>
  <w:style w:type="paragraph" w:styleId="HTML">
    <w:name w:val="HTML Preformatted"/>
    <w:basedOn w:val="a"/>
    <w:link w:val="HTMLChar"/>
    <w:uiPriority w:val="99"/>
    <w:rsid w:val="00CF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link w:val="HTML"/>
    <w:uiPriority w:val="99"/>
    <w:semiHidden/>
    <w:locked/>
    <w:rsid w:val="001822CE"/>
    <w:rPr>
      <w:rFonts w:ascii="Courier New" w:hAnsi="Courier New" w:cs="Courier New"/>
      <w:sz w:val="20"/>
      <w:szCs w:val="20"/>
      <w:lang w:eastAsia="ko-KR"/>
    </w:rPr>
  </w:style>
  <w:style w:type="character" w:customStyle="1" w:styleId="rpc41ms-font-sallowtextselectionrpcm1ms-font-color-themeprimaryrpcp1">
    <w:name w:val="_rpc_41 ms-font-s allowtextselection _rpc_m1 ms-font-color-themeprimary _rpc_p1"/>
    <w:uiPriority w:val="99"/>
    <w:rsid w:val="00D90C99"/>
    <w:rPr>
      <w:rFonts w:cs="Times New Roman"/>
    </w:rPr>
  </w:style>
  <w:style w:type="character" w:styleId="aa">
    <w:name w:val="annotation reference"/>
    <w:uiPriority w:val="99"/>
    <w:rsid w:val="00812994"/>
    <w:rPr>
      <w:rFonts w:cs="Times New Roman"/>
      <w:sz w:val="18"/>
    </w:rPr>
  </w:style>
  <w:style w:type="paragraph" w:styleId="ab">
    <w:name w:val="annotation text"/>
    <w:basedOn w:val="a"/>
    <w:link w:val="Char1"/>
    <w:uiPriority w:val="99"/>
    <w:rsid w:val="00812994"/>
  </w:style>
  <w:style w:type="character" w:customStyle="1" w:styleId="Char1">
    <w:name w:val="批注文字 Char"/>
    <w:link w:val="ab"/>
    <w:uiPriority w:val="99"/>
    <w:locked/>
    <w:rsid w:val="00812994"/>
    <w:rPr>
      <w:rFonts w:cs="Times New Roman"/>
      <w:sz w:val="24"/>
      <w:lang w:eastAsia="ko-KR"/>
    </w:rPr>
  </w:style>
  <w:style w:type="paragraph" w:styleId="ac">
    <w:name w:val="annotation subject"/>
    <w:basedOn w:val="ab"/>
    <w:next w:val="ab"/>
    <w:link w:val="Char2"/>
    <w:uiPriority w:val="99"/>
    <w:rsid w:val="00812994"/>
    <w:rPr>
      <w:b/>
      <w:bCs/>
    </w:rPr>
  </w:style>
  <w:style w:type="character" w:customStyle="1" w:styleId="Char2">
    <w:name w:val="批注主题 Char"/>
    <w:link w:val="ac"/>
    <w:uiPriority w:val="99"/>
    <w:locked/>
    <w:rsid w:val="00812994"/>
    <w:rPr>
      <w:rFonts w:cs="Times New Roman"/>
      <w:b/>
      <w:sz w:val="24"/>
      <w:lang w:eastAsia="ko-KR"/>
    </w:rPr>
  </w:style>
  <w:style w:type="paragraph" w:styleId="ad">
    <w:name w:val="Revision"/>
    <w:hidden/>
    <w:uiPriority w:val="99"/>
    <w:rsid w:val="00E33F99"/>
    <w:rPr>
      <w:sz w:val="24"/>
      <w:szCs w:val="24"/>
      <w:lang w:val="it-IT" w:eastAsia="ko-KR"/>
    </w:rPr>
  </w:style>
  <w:style w:type="character" w:customStyle="1" w:styleId="tlid-translationtranslation">
    <w:name w:val="tlid-translation translation"/>
    <w:uiPriority w:val="99"/>
    <w:rsid w:val="004A1F25"/>
    <w:rPr>
      <w:rFonts w:cs="Times New Roman"/>
    </w:rPr>
  </w:style>
  <w:style w:type="character" w:customStyle="1" w:styleId="CarattereCarattere1">
    <w:name w:val="Carattere Carattere1"/>
    <w:uiPriority w:val="99"/>
    <w:semiHidden/>
    <w:locked/>
    <w:rsid w:val="00C3208C"/>
    <w:rPr>
      <w:rFonts w:ascii="Courier New" w:eastAsia="Batang" w:hAnsi="Courier New"/>
      <w:lang w:val="it-IT" w:eastAsia="ko-KR"/>
    </w:rPr>
  </w:style>
  <w:style w:type="character" w:customStyle="1" w:styleId="normaltextrun">
    <w:name w:val="normaltextrun"/>
    <w:rsid w:val="00D53342"/>
  </w:style>
  <w:style w:type="paragraph" w:customStyle="1" w:styleId="paragraph">
    <w:name w:val="paragraph"/>
    <w:basedOn w:val="a"/>
    <w:rsid w:val="00D53342"/>
    <w:pPr>
      <w:spacing w:before="100" w:beforeAutospacing="1" w:after="100" w:afterAutospacing="1"/>
    </w:pPr>
    <w:rPr>
      <w:rFonts w:eastAsia="宋体"/>
      <w:lang w:val="en-US" w:eastAsia="en-US"/>
    </w:rPr>
  </w:style>
  <w:style w:type="paragraph" w:styleId="ae">
    <w:name w:val="header"/>
    <w:basedOn w:val="a"/>
    <w:link w:val="Char3"/>
    <w:uiPriority w:val="99"/>
    <w:unhideWhenUsed/>
    <w:rsid w:val="00280255"/>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e"/>
    <w:uiPriority w:val="99"/>
    <w:rsid w:val="00280255"/>
    <w:rPr>
      <w:sz w:val="18"/>
      <w:szCs w:val="18"/>
      <w:lang w:val="it-IT"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DD"/>
    <w:rPr>
      <w:sz w:val="24"/>
      <w:szCs w:val="24"/>
      <w:lang w:val="it-IT" w:eastAsia="ko-KR"/>
    </w:rPr>
  </w:style>
  <w:style w:type="paragraph" w:styleId="1">
    <w:name w:val="heading 1"/>
    <w:basedOn w:val="a"/>
    <w:link w:val="1Char"/>
    <w:uiPriority w:val="99"/>
    <w:qFormat/>
    <w:rsid w:val="003B67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822CE"/>
    <w:rPr>
      <w:rFonts w:ascii="Cambria" w:hAnsi="Cambria" w:cs="Times New Roman"/>
      <w:b/>
      <w:bCs/>
      <w:kern w:val="32"/>
      <w:sz w:val="32"/>
      <w:szCs w:val="32"/>
      <w:lang w:eastAsia="ko-KR"/>
    </w:rPr>
  </w:style>
  <w:style w:type="paragraph" w:styleId="a3">
    <w:name w:val="Balloon Text"/>
    <w:basedOn w:val="a"/>
    <w:link w:val="Char"/>
    <w:uiPriority w:val="99"/>
    <w:semiHidden/>
    <w:rsid w:val="005542CE"/>
    <w:rPr>
      <w:rFonts w:ascii="Tahoma" w:hAnsi="Tahoma" w:cs="Tahoma"/>
      <w:sz w:val="16"/>
      <w:szCs w:val="16"/>
    </w:rPr>
  </w:style>
  <w:style w:type="character" w:customStyle="1" w:styleId="Char">
    <w:name w:val="批注框文本 Char"/>
    <w:link w:val="a3"/>
    <w:uiPriority w:val="99"/>
    <w:semiHidden/>
    <w:locked/>
    <w:rsid w:val="001822CE"/>
    <w:rPr>
      <w:rFonts w:cs="Times New Roman"/>
      <w:sz w:val="2"/>
      <w:lang w:eastAsia="ko-KR"/>
    </w:rPr>
  </w:style>
  <w:style w:type="character" w:styleId="a4">
    <w:name w:val="Hyperlink"/>
    <w:uiPriority w:val="99"/>
    <w:rsid w:val="006B4D87"/>
    <w:rPr>
      <w:rFonts w:cs="Times New Roman"/>
      <w:color w:val="0000FF"/>
      <w:u w:val="single"/>
    </w:rPr>
  </w:style>
  <w:style w:type="character" w:customStyle="1" w:styleId="qu">
    <w:name w:val="qu"/>
    <w:uiPriority w:val="99"/>
    <w:rsid w:val="006B4D87"/>
    <w:rPr>
      <w:rFonts w:cs="Times New Roman"/>
    </w:rPr>
  </w:style>
  <w:style w:type="character" w:customStyle="1" w:styleId="gd">
    <w:name w:val="gd"/>
    <w:uiPriority w:val="99"/>
    <w:rsid w:val="006B4D87"/>
    <w:rPr>
      <w:rFonts w:cs="Times New Roman"/>
    </w:rPr>
  </w:style>
  <w:style w:type="character" w:customStyle="1" w:styleId="go">
    <w:name w:val="go"/>
    <w:uiPriority w:val="99"/>
    <w:rsid w:val="006B4D87"/>
    <w:rPr>
      <w:rFonts w:cs="Times New Roman"/>
    </w:rPr>
  </w:style>
  <w:style w:type="table" w:styleId="a5">
    <w:name w:val="Table Grid"/>
    <w:basedOn w:val="a1"/>
    <w:uiPriority w:val="99"/>
    <w:rsid w:val="00EF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683ACF"/>
    <w:pPr>
      <w:tabs>
        <w:tab w:val="center" w:pos="4819"/>
        <w:tab w:val="right" w:pos="9638"/>
      </w:tabs>
    </w:pPr>
  </w:style>
  <w:style w:type="character" w:customStyle="1" w:styleId="Char0">
    <w:name w:val="页脚 Char"/>
    <w:link w:val="a6"/>
    <w:uiPriority w:val="99"/>
    <w:semiHidden/>
    <w:locked/>
    <w:rsid w:val="001822CE"/>
    <w:rPr>
      <w:rFonts w:cs="Times New Roman"/>
      <w:sz w:val="24"/>
      <w:szCs w:val="24"/>
      <w:lang w:eastAsia="ko-KR"/>
    </w:rPr>
  </w:style>
  <w:style w:type="character" w:styleId="a7">
    <w:name w:val="page number"/>
    <w:uiPriority w:val="99"/>
    <w:rsid w:val="00683ACF"/>
    <w:rPr>
      <w:rFonts w:cs="Times New Roman"/>
    </w:rPr>
  </w:style>
  <w:style w:type="character" w:styleId="a8">
    <w:name w:val="Emphasis"/>
    <w:uiPriority w:val="99"/>
    <w:qFormat/>
    <w:rsid w:val="00BF568D"/>
    <w:rPr>
      <w:rFonts w:cs="Times New Roman"/>
      <w:i/>
    </w:rPr>
  </w:style>
  <w:style w:type="character" w:customStyle="1" w:styleId="element-citation">
    <w:name w:val="element-citation"/>
    <w:uiPriority w:val="99"/>
    <w:rsid w:val="003B67E7"/>
    <w:rPr>
      <w:rFonts w:cs="Times New Roman"/>
    </w:rPr>
  </w:style>
  <w:style w:type="character" w:customStyle="1" w:styleId="ref-journal">
    <w:name w:val="ref-journal"/>
    <w:uiPriority w:val="99"/>
    <w:rsid w:val="003B67E7"/>
    <w:rPr>
      <w:rFonts w:cs="Times New Roman"/>
    </w:rPr>
  </w:style>
  <w:style w:type="character" w:customStyle="1" w:styleId="ref-vol">
    <w:name w:val="ref-vol"/>
    <w:uiPriority w:val="99"/>
    <w:rsid w:val="003B67E7"/>
    <w:rPr>
      <w:rFonts w:cs="Times New Roman"/>
    </w:rPr>
  </w:style>
  <w:style w:type="character" w:customStyle="1" w:styleId="cit">
    <w:name w:val="cit"/>
    <w:uiPriority w:val="99"/>
    <w:rsid w:val="00863A3F"/>
    <w:rPr>
      <w:rFonts w:cs="Times New Roman"/>
    </w:rPr>
  </w:style>
  <w:style w:type="character" w:customStyle="1" w:styleId="fm-vol-iss-date">
    <w:name w:val="fm-vol-iss-date"/>
    <w:uiPriority w:val="99"/>
    <w:rsid w:val="00863A3F"/>
    <w:rPr>
      <w:rFonts w:cs="Times New Roman"/>
    </w:rPr>
  </w:style>
  <w:style w:type="character" w:customStyle="1" w:styleId="doi">
    <w:name w:val="doi"/>
    <w:uiPriority w:val="99"/>
    <w:rsid w:val="00863A3F"/>
    <w:rPr>
      <w:rFonts w:cs="Times New Roman"/>
    </w:rPr>
  </w:style>
  <w:style w:type="character" w:customStyle="1" w:styleId="nowrap">
    <w:name w:val="nowrap"/>
    <w:uiPriority w:val="99"/>
    <w:rsid w:val="00B727EF"/>
    <w:rPr>
      <w:rFonts w:cs="Times New Roman"/>
    </w:rPr>
  </w:style>
  <w:style w:type="character" w:customStyle="1" w:styleId="textgiven-name">
    <w:name w:val="text given-name"/>
    <w:uiPriority w:val="99"/>
    <w:rsid w:val="0070038B"/>
    <w:rPr>
      <w:rFonts w:cs="Times New Roman"/>
    </w:rPr>
  </w:style>
  <w:style w:type="character" w:customStyle="1" w:styleId="textsurname">
    <w:name w:val="text surname"/>
    <w:uiPriority w:val="99"/>
    <w:rsid w:val="0070038B"/>
    <w:rPr>
      <w:rFonts w:cs="Times New Roman"/>
    </w:rPr>
  </w:style>
  <w:style w:type="character" w:customStyle="1" w:styleId="author-ref">
    <w:name w:val="author-ref"/>
    <w:uiPriority w:val="99"/>
    <w:rsid w:val="0070038B"/>
    <w:rPr>
      <w:rFonts w:cs="Times New Roman"/>
    </w:rPr>
  </w:style>
  <w:style w:type="character" w:customStyle="1" w:styleId="title-text">
    <w:name w:val="title-text"/>
    <w:uiPriority w:val="99"/>
    <w:rsid w:val="0070038B"/>
    <w:rPr>
      <w:rFonts w:cs="Times New Roman"/>
    </w:rPr>
  </w:style>
  <w:style w:type="paragraph" w:customStyle="1" w:styleId="author-type">
    <w:name w:val="author-type"/>
    <w:basedOn w:val="a"/>
    <w:uiPriority w:val="99"/>
    <w:rsid w:val="00BC543B"/>
    <w:pPr>
      <w:spacing w:before="100" w:beforeAutospacing="1" w:after="100" w:afterAutospacing="1"/>
    </w:pPr>
  </w:style>
  <w:style w:type="paragraph" w:styleId="a9">
    <w:name w:val="Normal (Web)"/>
    <w:basedOn w:val="a"/>
    <w:uiPriority w:val="99"/>
    <w:rsid w:val="00BC543B"/>
    <w:pPr>
      <w:spacing w:before="100" w:beforeAutospacing="1" w:after="100" w:afterAutospacing="1"/>
    </w:pPr>
  </w:style>
  <w:style w:type="paragraph" w:customStyle="1" w:styleId="orcid-account">
    <w:name w:val="orcid-account"/>
    <w:basedOn w:val="a"/>
    <w:uiPriority w:val="99"/>
    <w:rsid w:val="00BC543B"/>
    <w:pPr>
      <w:spacing w:before="100" w:beforeAutospacing="1" w:after="100" w:afterAutospacing="1"/>
    </w:pPr>
  </w:style>
  <w:style w:type="paragraph" w:styleId="HTML">
    <w:name w:val="HTML Preformatted"/>
    <w:basedOn w:val="a"/>
    <w:link w:val="HTMLChar"/>
    <w:uiPriority w:val="99"/>
    <w:rsid w:val="00CF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link w:val="HTML"/>
    <w:uiPriority w:val="99"/>
    <w:semiHidden/>
    <w:locked/>
    <w:rsid w:val="001822CE"/>
    <w:rPr>
      <w:rFonts w:ascii="Courier New" w:hAnsi="Courier New" w:cs="Courier New"/>
      <w:sz w:val="20"/>
      <w:szCs w:val="20"/>
      <w:lang w:eastAsia="ko-KR"/>
    </w:rPr>
  </w:style>
  <w:style w:type="character" w:customStyle="1" w:styleId="rpc41ms-font-sallowtextselectionrpcm1ms-font-color-themeprimaryrpcp1">
    <w:name w:val="_rpc_41 ms-font-s allowtextselection _rpc_m1 ms-font-color-themeprimary _rpc_p1"/>
    <w:uiPriority w:val="99"/>
    <w:rsid w:val="00D90C99"/>
    <w:rPr>
      <w:rFonts w:cs="Times New Roman"/>
    </w:rPr>
  </w:style>
  <w:style w:type="character" w:styleId="aa">
    <w:name w:val="annotation reference"/>
    <w:uiPriority w:val="99"/>
    <w:rsid w:val="00812994"/>
    <w:rPr>
      <w:rFonts w:cs="Times New Roman"/>
      <w:sz w:val="18"/>
    </w:rPr>
  </w:style>
  <w:style w:type="paragraph" w:styleId="ab">
    <w:name w:val="annotation text"/>
    <w:basedOn w:val="a"/>
    <w:link w:val="Char1"/>
    <w:uiPriority w:val="99"/>
    <w:rsid w:val="00812994"/>
  </w:style>
  <w:style w:type="character" w:customStyle="1" w:styleId="Char1">
    <w:name w:val="批注文字 Char"/>
    <w:link w:val="ab"/>
    <w:uiPriority w:val="99"/>
    <w:locked/>
    <w:rsid w:val="00812994"/>
    <w:rPr>
      <w:rFonts w:cs="Times New Roman"/>
      <w:sz w:val="24"/>
      <w:lang w:eastAsia="ko-KR"/>
    </w:rPr>
  </w:style>
  <w:style w:type="paragraph" w:styleId="ac">
    <w:name w:val="annotation subject"/>
    <w:basedOn w:val="ab"/>
    <w:next w:val="ab"/>
    <w:link w:val="Char2"/>
    <w:uiPriority w:val="99"/>
    <w:rsid w:val="00812994"/>
    <w:rPr>
      <w:b/>
      <w:bCs/>
    </w:rPr>
  </w:style>
  <w:style w:type="character" w:customStyle="1" w:styleId="Char2">
    <w:name w:val="批注主题 Char"/>
    <w:link w:val="ac"/>
    <w:uiPriority w:val="99"/>
    <w:locked/>
    <w:rsid w:val="00812994"/>
    <w:rPr>
      <w:rFonts w:cs="Times New Roman"/>
      <w:b/>
      <w:sz w:val="24"/>
      <w:lang w:eastAsia="ko-KR"/>
    </w:rPr>
  </w:style>
  <w:style w:type="paragraph" w:styleId="ad">
    <w:name w:val="Revision"/>
    <w:hidden/>
    <w:uiPriority w:val="99"/>
    <w:rsid w:val="00E33F99"/>
    <w:rPr>
      <w:sz w:val="24"/>
      <w:szCs w:val="24"/>
      <w:lang w:val="it-IT" w:eastAsia="ko-KR"/>
    </w:rPr>
  </w:style>
  <w:style w:type="character" w:customStyle="1" w:styleId="tlid-translationtranslation">
    <w:name w:val="tlid-translation translation"/>
    <w:uiPriority w:val="99"/>
    <w:rsid w:val="004A1F25"/>
    <w:rPr>
      <w:rFonts w:cs="Times New Roman"/>
    </w:rPr>
  </w:style>
  <w:style w:type="character" w:customStyle="1" w:styleId="CarattereCarattere1">
    <w:name w:val="Carattere Carattere1"/>
    <w:uiPriority w:val="99"/>
    <w:semiHidden/>
    <w:locked/>
    <w:rsid w:val="00C3208C"/>
    <w:rPr>
      <w:rFonts w:ascii="Courier New" w:eastAsia="Batang" w:hAnsi="Courier New"/>
      <w:lang w:val="it-IT" w:eastAsia="ko-KR"/>
    </w:rPr>
  </w:style>
  <w:style w:type="character" w:customStyle="1" w:styleId="normaltextrun">
    <w:name w:val="normaltextrun"/>
    <w:rsid w:val="00D53342"/>
  </w:style>
  <w:style w:type="paragraph" w:customStyle="1" w:styleId="paragraph">
    <w:name w:val="paragraph"/>
    <w:basedOn w:val="a"/>
    <w:rsid w:val="00D53342"/>
    <w:pPr>
      <w:spacing w:before="100" w:beforeAutospacing="1" w:after="100" w:afterAutospacing="1"/>
    </w:pPr>
    <w:rPr>
      <w:rFonts w:eastAsia="宋体"/>
      <w:lang w:val="en-US" w:eastAsia="en-US"/>
    </w:rPr>
  </w:style>
  <w:style w:type="paragraph" w:styleId="ae">
    <w:name w:val="header"/>
    <w:basedOn w:val="a"/>
    <w:link w:val="Char3"/>
    <w:uiPriority w:val="99"/>
    <w:unhideWhenUsed/>
    <w:rsid w:val="00280255"/>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e"/>
    <w:uiPriority w:val="99"/>
    <w:rsid w:val="00280255"/>
    <w:rPr>
      <w:sz w:val="18"/>
      <w:szCs w:val="18"/>
      <w:lang w:val="it-IT"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26648">
      <w:marLeft w:val="0"/>
      <w:marRight w:val="0"/>
      <w:marTop w:val="0"/>
      <w:marBottom w:val="0"/>
      <w:divBdr>
        <w:top w:val="none" w:sz="0" w:space="0" w:color="auto"/>
        <w:left w:val="none" w:sz="0" w:space="0" w:color="auto"/>
        <w:bottom w:val="none" w:sz="0" w:space="0" w:color="auto"/>
        <w:right w:val="none" w:sz="0" w:space="0" w:color="auto"/>
      </w:divBdr>
    </w:div>
    <w:div w:id="911626649">
      <w:marLeft w:val="0"/>
      <w:marRight w:val="0"/>
      <w:marTop w:val="0"/>
      <w:marBottom w:val="0"/>
      <w:divBdr>
        <w:top w:val="none" w:sz="0" w:space="0" w:color="auto"/>
        <w:left w:val="none" w:sz="0" w:space="0" w:color="auto"/>
        <w:bottom w:val="none" w:sz="0" w:space="0" w:color="auto"/>
        <w:right w:val="none" w:sz="0" w:space="0" w:color="auto"/>
      </w:divBdr>
    </w:div>
    <w:div w:id="911626650">
      <w:marLeft w:val="0"/>
      <w:marRight w:val="0"/>
      <w:marTop w:val="0"/>
      <w:marBottom w:val="0"/>
      <w:divBdr>
        <w:top w:val="none" w:sz="0" w:space="0" w:color="auto"/>
        <w:left w:val="none" w:sz="0" w:space="0" w:color="auto"/>
        <w:bottom w:val="none" w:sz="0" w:space="0" w:color="auto"/>
        <w:right w:val="none" w:sz="0" w:space="0" w:color="auto"/>
      </w:divBdr>
    </w:div>
    <w:div w:id="911626651">
      <w:marLeft w:val="0"/>
      <w:marRight w:val="0"/>
      <w:marTop w:val="0"/>
      <w:marBottom w:val="0"/>
      <w:divBdr>
        <w:top w:val="none" w:sz="0" w:space="0" w:color="auto"/>
        <w:left w:val="none" w:sz="0" w:space="0" w:color="auto"/>
        <w:bottom w:val="none" w:sz="0" w:space="0" w:color="auto"/>
        <w:right w:val="none" w:sz="0" w:space="0" w:color="auto"/>
      </w:divBdr>
    </w:div>
    <w:div w:id="911626652">
      <w:marLeft w:val="0"/>
      <w:marRight w:val="0"/>
      <w:marTop w:val="0"/>
      <w:marBottom w:val="0"/>
      <w:divBdr>
        <w:top w:val="none" w:sz="0" w:space="0" w:color="auto"/>
        <w:left w:val="none" w:sz="0" w:space="0" w:color="auto"/>
        <w:bottom w:val="none" w:sz="0" w:space="0" w:color="auto"/>
        <w:right w:val="none" w:sz="0" w:space="0" w:color="auto"/>
      </w:divBdr>
    </w:div>
    <w:div w:id="911626653">
      <w:marLeft w:val="0"/>
      <w:marRight w:val="0"/>
      <w:marTop w:val="0"/>
      <w:marBottom w:val="0"/>
      <w:divBdr>
        <w:top w:val="none" w:sz="0" w:space="0" w:color="auto"/>
        <w:left w:val="none" w:sz="0" w:space="0" w:color="auto"/>
        <w:bottom w:val="none" w:sz="0" w:space="0" w:color="auto"/>
        <w:right w:val="none" w:sz="0" w:space="0" w:color="auto"/>
      </w:divBdr>
    </w:div>
    <w:div w:id="911626654">
      <w:marLeft w:val="0"/>
      <w:marRight w:val="0"/>
      <w:marTop w:val="0"/>
      <w:marBottom w:val="0"/>
      <w:divBdr>
        <w:top w:val="none" w:sz="0" w:space="0" w:color="auto"/>
        <w:left w:val="none" w:sz="0" w:space="0" w:color="auto"/>
        <w:bottom w:val="none" w:sz="0" w:space="0" w:color="auto"/>
        <w:right w:val="none" w:sz="0" w:space="0" w:color="auto"/>
      </w:divBdr>
    </w:div>
    <w:div w:id="911626655">
      <w:marLeft w:val="0"/>
      <w:marRight w:val="0"/>
      <w:marTop w:val="0"/>
      <w:marBottom w:val="0"/>
      <w:divBdr>
        <w:top w:val="none" w:sz="0" w:space="0" w:color="auto"/>
        <w:left w:val="none" w:sz="0" w:space="0" w:color="auto"/>
        <w:bottom w:val="none" w:sz="0" w:space="0" w:color="auto"/>
        <w:right w:val="none" w:sz="0" w:space="0" w:color="auto"/>
      </w:divBdr>
    </w:div>
    <w:div w:id="911626656">
      <w:marLeft w:val="0"/>
      <w:marRight w:val="0"/>
      <w:marTop w:val="0"/>
      <w:marBottom w:val="0"/>
      <w:divBdr>
        <w:top w:val="none" w:sz="0" w:space="0" w:color="auto"/>
        <w:left w:val="none" w:sz="0" w:space="0" w:color="auto"/>
        <w:bottom w:val="none" w:sz="0" w:space="0" w:color="auto"/>
        <w:right w:val="none" w:sz="0" w:space="0" w:color="auto"/>
      </w:divBdr>
      <w:divsChild>
        <w:div w:id="911626739">
          <w:marLeft w:val="0"/>
          <w:marRight w:val="0"/>
          <w:marTop w:val="0"/>
          <w:marBottom w:val="0"/>
          <w:divBdr>
            <w:top w:val="none" w:sz="0" w:space="0" w:color="auto"/>
            <w:left w:val="none" w:sz="0" w:space="0" w:color="auto"/>
            <w:bottom w:val="none" w:sz="0" w:space="0" w:color="auto"/>
            <w:right w:val="none" w:sz="0" w:space="0" w:color="auto"/>
          </w:divBdr>
          <w:divsChild>
            <w:div w:id="911626761">
              <w:marLeft w:val="0"/>
              <w:marRight w:val="0"/>
              <w:marTop w:val="0"/>
              <w:marBottom w:val="0"/>
              <w:divBdr>
                <w:top w:val="none" w:sz="0" w:space="0" w:color="auto"/>
                <w:left w:val="none" w:sz="0" w:space="0" w:color="auto"/>
                <w:bottom w:val="none" w:sz="0" w:space="0" w:color="auto"/>
                <w:right w:val="none" w:sz="0" w:space="0" w:color="auto"/>
              </w:divBdr>
              <w:divsChild>
                <w:div w:id="911626701">
                  <w:marLeft w:val="0"/>
                  <w:marRight w:val="0"/>
                  <w:marTop w:val="0"/>
                  <w:marBottom w:val="0"/>
                  <w:divBdr>
                    <w:top w:val="none" w:sz="0" w:space="0" w:color="auto"/>
                    <w:left w:val="none" w:sz="0" w:space="0" w:color="auto"/>
                    <w:bottom w:val="none" w:sz="0" w:space="0" w:color="auto"/>
                    <w:right w:val="none" w:sz="0" w:space="0" w:color="auto"/>
                  </w:divBdr>
                  <w:divsChild>
                    <w:div w:id="911626680">
                      <w:marLeft w:val="0"/>
                      <w:marRight w:val="0"/>
                      <w:marTop w:val="0"/>
                      <w:marBottom w:val="0"/>
                      <w:divBdr>
                        <w:top w:val="none" w:sz="0" w:space="0" w:color="auto"/>
                        <w:left w:val="none" w:sz="0" w:space="0" w:color="auto"/>
                        <w:bottom w:val="none" w:sz="0" w:space="0" w:color="auto"/>
                        <w:right w:val="none" w:sz="0" w:space="0" w:color="auto"/>
                      </w:divBdr>
                      <w:divsChild>
                        <w:div w:id="911626715">
                          <w:marLeft w:val="0"/>
                          <w:marRight w:val="0"/>
                          <w:marTop w:val="0"/>
                          <w:marBottom w:val="0"/>
                          <w:divBdr>
                            <w:top w:val="none" w:sz="0" w:space="0" w:color="auto"/>
                            <w:left w:val="none" w:sz="0" w:space="0" w:color="auto"/>
                            <w:bottom w:val="none" w:sz="0" w:space="0" w:color="auto"/>
                            <w:right w:val="none" w:sz="0" w:space="0" w:color="auto"/>
                          </w:divBdr>
                          <w:divsChild>
                            <w:div w:id="911626741">
                              <w:marLeft w:val="0"/>
                              <w:marRight w:val="0"/>
                              <w:marTop w:val="0"/>
                              <w:marBottom w:val="0"/>
                              <w:divBdr>
                                <w:top w:val="none" w:sz="0" w:space="0" w:color="auto"/>
                                <w:left w:val="none" w:sz="0" w:space="0" w:color="auto"/>
                                <w:bottom w:val="none" w:sz="0" w:space="0" w:color="auto"/>
                                <w:right w:val="none" w:sz="0" w:space="0" w:color="auto"/>
                              </w:divBdr>
                              <w:divsChild>
                                <w:div w:id="911626695">
                                  <w:marLeft w:val="0"/>
                                  <w:marRight w:val="0"/>
                                  <w:marTop w:val="0"/>
                                  <w:marBottom w:val="0"/>
                                  <w:divBdr>
                                    <w:top w:val="none" w:sz="0" w:space="0" w:color="auto"/>
                                    <w:left w:val="none" w:sz="0" w:space="0" w:color="auto"/>
                                    <w:bottom w:val="none" w:sz="0" w:space="0" w:color="auto"/>
                                    <w:right w:val="none" w:sz="0" w:space="0" w:color="auto"/>
                                  </w:divBdr>
                                  <w:divsChild>
                                    <w:div w:id="911626718">
                                      <w:marLeft w:val="0"/>
                                      <w:marRight w:val="0"/>
                                      <w:marTop w:val="0"/>
                                      <w:marBottom w:val="0"/>
                                      <w:divBdr>
                                        <w:top w:val="none" w:sz="0" w:space="0" w:color="auto"/>
                                        <w:left w:val="none" w:sz="0" w:space="0" w:color="auto"/>
                                        <w:bottom w:val="none" w:sz="0" w:space="0" w:color="auto"/>
                                        <w:right w:val="none" w:sz="0" w:space="0" w:color="auto"/>
                                      </w:divBdr>
                                      <w:divsChild>
                                        <w:div w:id="911626693">
                                          <w:marLeft w:val="0"/>
                                          <w:marRight w:val="0"/>
                                          <w:marTop w:val="0"/>
                                          <w:marBottom w:val="0"/>
                                          <w:divBdr>
                                            <w:top w:val="none" w:sz="0" w:space="0" w:color="auto"/>
                                            <w:left w:val="none" w:sz="0" w:space="0" w:color="auto"/>
                                            <w:bottom w:val="none" w:sz="0" w:space="0" w:color="auto"/>
                                            <w:right w:val="none" w:sz="0" w:space="0" w:color="auto"/>
                                          </w:divBdr>
                                          <w:divsChild>
                                            <w:div w:id="911626702">
                                              <w:marLeft w:val="0"/>
                                              <w:marRight w:val="0"/>
                                              <w:marTop w:val="0"/>
                                              <w:marBottom w:val="0"/>
                                              <w:divBdr>
                                                <w:top w:val="none" w:sz="0" w:space="0" w:color="auto"/>
                                                <w:left w:val="none" w:sz="0" w:space="0" w:color="auto"/>
                                                <w:bottom w:val="none" w:sz="0" w:space="0" w:color="auto"/>
                                                <w:right w:val="none" w:sz="0" w:space="0" w:color="auto"/>
                                              </w:divBdr>
                                              <w:divsChild>
                                                <w:div w:id="911626704">
                                                  <w:marLeft w:val="0"/>
                                                  <w:marRight w:val="0"/>
                                                  <w:marTop w:val="0"/>
                                                  <w:marBottom w:val="0"/>
                                                  <w:divBdr>
                                                    <w:top w:val="none" w:sz="0" w:space="0" w:color="auto"/>
                                                    <w:left w:val="none" w:sz="0" w:space="0" w:color="auto"/>
                                                    <w:bottom w:val="none" w:sz="0" w:space="0" w:color="auto"/>
                                                    <w:right w:val="none" w:sz="0" w:space="0" w:color="auto"/>
                                                  </w:divBdr>
                                                  <w:divsChild>
                                                    <w:div w:id="911626692">
                                                      <w:marLeft w:val="0"/>
                                                      <w:marRight w:val="0"/>
                                                      <w:marTop w:val="0"/>
                                                      <w:marBottom w:val="0"/>
                                                      <w:divBdr>
                                                        <w:top w:val="none" w:sz="0" w:space="0" w:color="auto"/>
                                                        <w:left w:val="none" w:sz="0" w:space="0" w:color="auto"/>
                                                        <w:bottom w:val="none" w:sz="0" w:space="0" w:color="auto"/>
                                                        <w:right w:val="none" w:sz="0" w:space="0" w:color="auto"/>
                                                      </w:divBdr>
                                                      <w:divsChild>
                                                        <w:div w:id="911626732">
                                                          <w:marLeft w:val="0"/>
                                                          <w:marRight w:val="0"/>
                                                          <w:marTop w:val="0"/>
                                                          <w:marBottom w:val="0"/>
                                                          <w:divBdr>
                                                            <w:top w:val="none" w:sz="0" w:space="0" w:color="auto"/>
                                                            <w:left w:val="none" w:sz="0" w:space="0" w:color="auto"/>
                                                            <w:bottom w:val="none" w:sz="0" w:space="0" w:color="auto"/>
                                                            <w:right w:val="none" w:sz="0" w:space="0" w:color="auto"/>
                                                          </w:divBdr>
                                                          <w:divsChild>
                                                            <w:div w:id="911626673">
                                                              <w:marLeft w:val="0"/>
                                                              <w:marRight w:val="0"/>
                                                              <w:marTop w:val="0"/>
                                                              <w:marBottom w:val="0"/>
                                                              <w:divBdr>
                                                                <w:top w:val="none" w:sz="0" w:space="0" w:color="auto"/>
                                                                <w:left w:val="none" w:sz="0" w:space="0" w:color="auto"/>
                                                                <w:bottom w:val="none" w:sz="0" w:space="0" w:color="auto"/>
                                                                <w:right w:val="none" w:sz="0" w:space="0" w:color="auto"/>
                                                              </w:divBdr>
                                                              <w:divsChild>
                                                                <w:div w:id="911626662">
                                                                  <w:marLeft w:val="0"/>
                                                                  <w:marRight w:val="0"/>
                                                                  <w:marTop w:val="0"/>
                                                                  <w:marBottom w:val="0"/>
                                                                  <w:divBdr>
                                                                    <w:top w:val="none" w:sz="0" w:space="0" w:color="auto"/>
                                                                    <w:left w:val="none" w:sz="0" w:space="0" w:color="auto"/>
                                                                    <w:bottom w:val="none" w:sz="0" w:space="0" w:color="auto"/>
                                                                    <w:right w:val="none" w:sz="0" w:space="0" w:color="auto"/>
                                                                  </w:divBdr>
                                                                  <w:divsChild>
                                                                    <w:div w:id="911626743">
                                                                      <w:marLeft w:val="0"/>
                                                                      <w:marRight w:val="0"/>
                                                                      <w:marTop w:val="0"/>
                                                                      <w:marBottom w:val="0"/>
                                                                      <w:divBdr>
                                                                        <w:top w:val="none" w:sz="0" w:space="0" w:color="auto"/>
                                                                        <w:left w:val="none" w:sz="0" w:space="0" w:color="auto"/>
                                                                        <w:bottom w:val="none" w:sz="0" w:space="0" w:color="auto"/>
                                                                        <w:right w:val="none" w:sz="0" w:space="0" w:color="auto"/>
                                                                      </w:divBdr>
                                                                      <w:divsChild>
                                                                        <w:div w:id="911626690">
                                                                          <w:marLeft w:val="0"/>
                                                                          <w:marRight w:val="0"/>
                                                                          <w:marTop w:val="0"/>
                                                                          <w:marBottom w:val="0"/>
                                                                          <w:divBdr>
                                                                            <w:top w:val="none" w:sz="0" w:space="0" w:color="auto"/>
                                                                            <w:left w:val="none" w:sz="0" w:space="0" w:color="auto"/>
                                                                            <w:bottom w:val="none" w:sz="0" w:space="0" w:color="auto"/>
                                                                            <w:right w:val="none" w:sz="0" w:space="0" w:color="auto"/>
                                                                          </w:divBdr>
                                                                          <w:divsChild>
                                                                            <w:div w:id="911626679">
                                                                              <w:marLeft w:val="0"/>
                                                                              <w:marRight w:val="0"/>
                                                                              <w:marTop w:val="0"/>
                                                                              <w:marBottom w:val="0"/>
                                                                              <w:divBdr>
                                                                                <w:top w:val="none" w:sz="0" w:space="0" w:color="auto"/>
                                                                                <w:left w:val="none" w:sz="0" w:space="0" w:color="auto"/>
                                                                                <w:bottom w:val="none" w:sz="0" w:space="0" w:color="auto"/>
                                                                                <w:right w:val="none" w:sz="0" w:space="0" w:color="auto"/>
                                                                              </w:divBdr>
                                                                            </w:div>
                                                                          </w:divsChild>
                                                                        </w:div>
                                                                        <w:div w:id="911626742">
                                                                          <w:marLeft w:val="0"/>
                                                                          <w:marRight w:val="0"/>
                                                                          <w:marTop w:val="0"/>
                                                                          <w:marBottom w:val="0"/>
                                                                          <w:divBdr>
                                                                            <w:top w:val="none" w:sz="0" w:space="0" w:color="auto"/>
                                                                            <w:left w:val="none" w:sz="0" w:space="0" w:color="auto"/>
                                                                            <w:bottom w:val="none" w:sz="0" w:space="0" w:color="auto"/>
                                                                            <w:right w:val="none" w:sz="0" w:space="0" w:color="auto"/>
                                                                          </w:divBdr>
                                                                          <w:divsChild>
                                                                            <w:div w:id="911626733">
                                                                              <w:marLeft w:val="0"/>
                                                                              <w:marRight w:val="0"/>
                                                                              <w:marTop w:val="0"/>
                                                                              <w:marBottom w:val="0"/>
                                                                              <w:divBdr>
                                                                                <w:top w:val="none" w:sz="0" w:space="0" w:color="auto"/>
                                                                                <w:left w:val="none" w:sz="0" w:space="0" w:color="auto"/>
                                                                                <w:bottom w:val="none" w:sz="0" w:space="0" w:color="auto"/>
                                                                                <w:right w:val="none" w:sz="0" w:space="0" w:color="auto"/>
                                                                              </w:divBdr>
                                                                            </w:div>
                                                                          </w:divsChild>
                                                                        </w:div>
                                                                        <w:div w:id="911626750">
                                                                          <w:marLeft w:val="0"/>
                                                                          <w:marRight w:val="0"/>
                                                                          <w:marTop w:val="0"/>
                                                                          <w:marBottom w:val="0"/>
                                                                          <w:divBdr>
                                                                            <w:top w:val="none" w:sz="0" w:space="0" w:color="auto"/>
                                                                            <w:left w:val="none" w:sz="0" w:space="0" w:color="auto"/>
                                                                            <w:bottom w:val="none" w:sz="0" w:space="0" w:color="auto"/>
                                                                            <w:right w:val="none" w:sz="0" w:space="0" w:color="auto"/>
                                                                          </w:divBdr>
                                                                          <w:divsChild>
                                                                            <w:div w:id="911626735">
                                                                              <w:marLeft w:val="0"/>
                                                                              <w:marRight w:val="0"/>
                                                                              <w:marTop w:val="0"/>
                                                                              <w:marBottom w:val="0"/>
                                                                              <w:divBdr>
                                                                                <w:top w:val="none" w:sz="0" w:space="0" w:color="auto"/>
                                                                                <w:left w:val="none" w:sz="0" w:space="0" w:color="auto"/>
                                                                                <w:bottom w:val="none" w:sz="0" w:space="0" w:color="auto"/>
                                                                                <w:right w:val="none" w:sz="0" w:space="0" w:color="auto"/>
                                                                              </w:divBdr>
                                                                              <w:divsChild>
                                                                                <w:div w:id="9116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6657">
      <w:marLeft w:val="0"/>
      <w:marRight w:val="0"/>
      <w:marTop w:val="0"/>
      <w:marBottom w:val="0"/>
      <w:divBdr>
        <w:top w:val="none" w:sz="0" w:space="0" w:color="auto"/>
        <w:left w:val="none" w:sz="0" w:space="0" w:color="auto"/>
        <w:bottom w:val="none" w:sz="0" w:space="0" w:color="auto"/>
        <w:right w:val="none" w:sz="0" w:space="0" w:color="auto"/>
      </w:divBdr>
      <w:divsChild>
        <w:div w:id="911626752">
          <w:marLeft w:val="0"/>
          <w:marRight w:val="0"/>
          <w:marTop w:val="0"/>
          <w:marBottom w:val="0"/>
          <w:divBdr>
            <w:top w:val="none" w:sz="0" w:space="0" w:color="auto"/>
            <w:left w:val="none" w:sz="0" w:space="0" w:color="auto"/>
            <w:bottom w:val="none" w:sz="0" w:space="0" w:color="auto"/>
            <w:right w:val="none" w:sz="0" w:space="0" w:color="auto"/>
          </w:divBdr>
        </w:div>
      </w:divsChild>
    </w:div>
    <w:div w:id="911626660">
      <w:marLeft w:val="0"/>
      <w:marRight w:val="0"/>
      <w:marTop w:val="0"/>
      <w:marBottom w:val="0"/>
      <w:divBdr>
        <w:top w:val="none" w:sz="0" w:space="0" w:color="auto"/>
        <w:left w:val="none" w:sz="0" w:space="0" w:color="auto"/>
        <w:bottom w:val="none" w:sz="0" w:space="0" w:color="auto"/>
        <w:right w:val="none" w:sz="0" w:space="0" w:color="auto"/>
      </w:divBdr>
    </w:div>
    <w:div w:id="911626661">
      <w:marLeft w:val="0"/>
      <w:marRight w:val="0"/>
      <w:marTop w:val="0"/>
      <w:marBottom w:val="0"/>
      <w:divBdr>
        <w:top w:val="none" w:sz="0" w:space="0" w:color="auto"/>
        <w:left w:val="none" w:sz="0" w:space="0" w:color="auto"/>
        <w:bottom w:val="none" w:sz="0" w:space="0" w:color="auto"/>
        <w:right w:val="none" w:sz="0" w:space="0" w:color="auto"/>
      </w:divBdr>
    </w:div>
    <w:div w:id="911626664">
      <w:marLeft w:val="0"/>
      <w:marRight w:val="0"/>
      <w:marTop w:val="0"/>
      <w:marBottom w:val="0"/>
      <w:divBdr>
        <w:top w:val="none" w:sz="0" w:space="0" w:color="auto"/>
        <w:left w:val="none" w:sz="0" w:space="0" w:color="auto"/>
        <w:bottom w:val="none" w:sz="0" w:space="0" w:color="auto"/>
        <w:right w:val="none" w:sz="0" w:space="0" w:color="auto"/>
      </w:divBdr>
    </w:div>
    <w:div w:id="911626665">
      <w:marLeft w:val="0"/>
      <w:marRight w:val="0"/>
      <w:marTop w:val="0"/>
      <w:marBottom w:val="0"/>
      <w:divBdr>
        <w:top w:val="none" w:sz="0" w:space="0" w:color="auto"/>
        <w:left w:val="none" w:sz="0" w:space="0" w:color="auto"/>
        <w:bottom w:val="none" w:sz="0" w:space="0" w:color="auto"/>
        <w:right w:val="none" w:sz="0" w:space="0" w:color="auto"/>
      </w:divBdr>
      <w:divsChild>
        <w:div w:id="911626749">
          <w:marLeft w:val="0"/>
          <w:marRight w:val="0"/>
          <w:marTop w:val="0"/>
          <w:marBottom w:val="0"/>
          <w:divBdr>
            <w:top w:val="none" w:sz="0" w:space="0" w:color="auto"/>
            <w:left w:val="none" w:sz="0" w:space="0" w:color="auto"/>
            <w:bottom w:val="none" w:sz="0" w:space="0" w:color="auto"/>
            <w:right w:val="none" w:sz="0" w:space="0" w:color="auto"/>
          </w:divBdr>
        </w:div>
      </w:divsChild>
    </w:div>
    <w:div w:id="911626666">
      <w:marLeft w:val="0"/>
      <w:marRight w:val="0"/>
      <w:marTop w:val="0"/>
      <w:marBottom w:val="0"/>
      <w:divBdr>
        <w:top w:val="none" w:sz="0" w:space="0" w:color="auto"/>
        <w:left w:val="none" w:sz="0" w:space="0" w:color="auto"/>
        <w:bottom w:val="none" w:sz="0" w:space="0" w:color="auto"/>
        <w:right w:val="none" w:sz="0" w:space="0" w:color="auto"/>
      </w:divBdr>
      <w:divsChild>
        <w:div w:id="911626674">
          <w:marLeft w:val="0"/>
          <w:marRight w:val="0"/>
          <w:marTop w:val="0"/>
          <w:marBottom w:val="0"/>
          <w:divBdr>
            <w:top w:val="none" w:sz="0" w:space="0" w:color="auto"/>
            <w:left w:val="none" w:sz="0" w:space="0" w:color="auto"/>
            <w:bottom w:val="none" w:sz="0" w:space="0" w:color="auto"/>
            <w:right w:val="none" w:sz="0" w:space="0" w:color="auto"/>
          </w:divBdr>
        </w:div>
      </w:divsChild>
    </w:div>
    <w:div w:id="911626667">
      <w:marLeft w:val="0"/>
      <w:marRight w:val="0"/>
      <w:marTop w:val="0"/>
      <w:marBottom w:val="0"/>
      <w:divBdr>
        <w:top w:val="none" w:sz="0" w:space="0" w:color="auto"/>
        <w:left w:val="none" w:sz="0" w:space="0" w:color="auto"/>
        <w:bottom w:val="none" w:sz="0" w:space="0" w:color="auto"/>
        <w:right w:val="none" w:sz="0" w:space="0" w:color="auto"/>
      </w:divBdr>
      <w:divsChild>
        <w:div w:id="911626663">
          <w:marLeft w:val="0"/>
          <w:marRight w:val="0"/>
          <w:marTop w:val="0"/>
          <w:marBottom w:val="0"/>
          <w:divBdr>
            <w:top w:val="none" w:sz="0" w:space="0" w:color="auto"/>
            <w:left w:val="none" w:sz="0" w:space="0" w:color="auto"/>
            <w:bottom w:val="none" w:sz="0" w:space="0" w:color="auto"/>
            <w:right w:val="none" w:sz="0" w:space="0" w:color="auto"/>
          </w:divBdr>
        </w:div>
      </w:divsChild>
    </w:div>
    <w:div w:id="911626670">
      <w:marLeft w:val="0"/>
      <w:marRight w:val="0"/>
      <w:marTop w:val="0"/>
      <w:marBottom w:val="0"/>
      <w:divBdr>
        <w:top w:val="none" w:sz="0" w:space="0" w:color="auto"/>
        <w:left w:val="none" w:sz="0" w:space="0" w:color="auto"/>
        <w:bottom w:val="none" w:sz="0" w:space="0" w:color="auto"/>
        <w:right w:val="none" w:sz="0" w:space="0" w:color="auto"/>
      </w:divBdr>
    </w:div>
    <w:div w:id="911626672">
      <w:marLeft w:val="0"/>
      <w:marRight w:val="0"/>
      <w:marTop w:val="0"/>
      <w:marBottom w:val="0"/>
      <w:divBdr>
        <w:top w:val="none" w:sz="0" w:space="0" w:color="auto"/>
        <w:left w:val="none" w:sz="0" w:space="0" w:color="auto"/>
        <w:bottom w:val="none" w:sz="0" w:space="0" w:color="auto"/>
        <w:right w:val="none" w:sz="0" w:space="0" w:color="auto"/>
      </w:divBdr>
      <w:divsChild>
        <w:div w:id="911626758">
          <w:marLeft w:val="0"/>
          <w:marRight w:val="0"/>
          <w:marTop w:val="0"/>
          <w:marBottom w:val="0"/>
          <w:divBdr>
            <w:top w:val="none" w:sz="0" w:space="0" w:color="auto"/>
            <w:left w:val="none" w:sz="0" w:space="0" w:color="auto"/>
            <w:bottom w:val="none" w:sz="0" w:space="0" w:color="auto"/>
            <w:right w:val="none" w:sz="0" w:space="0" w:color="auto"/>
          </w:divBdr>
        </w:div>
      </w:divsChild>
    </w:div>
    <w:div w:id="911626675">
      <w:marLeft w:val="0"/>
      <w:marRight w:val="0"/>
      <w:marTop w:val="0"/>
      <w:marBottom w:val="0"/>
      <w:divBdr>
        <w:top w:val="none" w:sz="0" w:space="0" w:color="auto"/>
        <w:left w:val="none" w:sz="0" w:space="0" w:color="auto"/>
        <w:bottom w:val="none" w:sz="0" w:space="0" w:color="auto"/>
        <w:right w:val="none" w:sz="0" w:space="0" w:color="auto"/>
      </w:divBdr>
      <w:divsChild>
        <w:div w:id="911626658">
          <w:marLeft w:val="0"/>
          <w:marRight w:val="0"/>
          <w:marTop w:val="0"/>
          <w:marBottom w:val="0"/>
          <w:divBdr>
            <w:top w:val="none" w:sz="0" w:space="0" w:color="auto"/>
            <w:left w:val="none" w:sz="0" w:space="0" w:color="auto"/>
            <w:bottom w:val="none" w:sz="0" w:space="0" w:color="auto"/>
            <w:right w:val="none" w:sz="0" w:space="0" w:color="auto"/>
          </w:divBdr>
          <w:divsChild>
            <w:div w:id="911626699">
              <w:marLeft w:val="0"/>
              <w:marRight w:val="0"/>
              <w:marTop w:val="0"/>
              <w:marBottom w:val="0"/>
              <w:divBdr>
                <w:top w:val="none" w:sz="0" w:space="0" w:color="auto"/>
                <w:left w:val="none" w:sz="0" w:space="0" w:color="auto"/>
                <w:bottom w:val="none" w:sz="0" w:space="0" w:color="auto"/>
                <w:right w:val="none" w:sz="0" w:space="0" w:color="auto"/>
              </w:divBdr>
              <w:divsChild>
                <w:div w:id="911626724">
                  <w:marLeft w:val="0"/>
                  <w:marRight w:val="0"/>
                  <w:marTop w:val="0"/>
                  <w:marBottom w:val="0"/>
                  <w:divBdr>
                    <w:top w:val="none" w:sz="0" w:space="0" w:color="auto"/>
                    <w:left w:val="none" w:sz="0" w:space="0" w:color="auto"/>
                    <w:bottom w:val="none" w:sz="0" w:space="0" w:color="auto"/>
                    <w:right w:val="none" w:sz="0" w:space="0" w:color="auto"/>
                  </w:divBdr>
                  <w:divsChild>
                    <w:div w:id="911626686">
                      <w:marLeft w:val="0"/>
                      <w:marRight w:val="0"/>
                      <w:marTop w:val="0"/>
                      <w:marBottom w:val="0"/>
                      <w:divBdr>
                        <w:top w:val="none" w:sz="0" w:space="0" w:color="auto"/>
                        <w:left w:val="none" w:sz="0" w:space="0" w:color="auto"/>
                        <w:bottom w:val="none" w:sz="0" w:space="0" w:color="auto"/>
                        <w:right w:val="none" w:sz="0" w:space="0" w:color="auto"/>
                      </w:divBdr>
                      <w:divsChild>
                        <w:div w:id="911626731">
                          <w:marLeft w:val="0"/>
                          <w:marRight w:val="0"/>
                          <w:marTop w:val="0"/>
                          <w:marBottom w:val="0"/>
                          <w:divBdr>
                            <w:top w:val="none" w:sz="0" w:space="0" w:color="auto"/>
                            <w:left w:val="none" w:sz="0" w:space="0" w:color="auto"/>
                            <w:bottom w:val="none" w:sz="0" w:space="0" w:color="auto"/>
                            <w:right w:val="none" w:sz="0" w:space="0" w:color="auto"/>
                          </w:divBdr>
                          <w:divsChild>
                            <w:div w:id="911626713">
                              <w:marLeft w:val="0"/>
                              <w:marRight w:val="0"/>
                              <w:marTop w:val="0"/>
                              <w:marBottom w:val="0"/>
                              <w:divBdr>
                                <w:top w:val="none" w:sz="0" w:space="0" w:color="auto"/>
                                <w:left w:val="none" w:sz="0" w:space="0" w:color="auto"/>
                                <w:bottom w:val="none" w:sz="0" w:space="0" w:color="auto"/>
                                <w:right w:val="none" w:sz="0" w:space="0" w:color="auto"/>
                              </w:divBdr>
                              <w:divsChild>
                                <w:div w:id="911626722">
                                  <w:marLeft w:val="0"/>
                                  <w:marRight w:val="0"/>
                                  <w:marTop w:val="0"/>
                                  <w:marBottom w:val="0"/>
                                  <w:divBdr>
                                    <w:top w:val="none" w:sz="0" w:space="0" w:color="auto"/>
                                    <w:left w:val="none" w:sz="0" w:space="0" w:color="auto"/>
                                    <w:bottom w:val="none" w:sz="0" w:space="0" w:color="auto"/>
                                    <w:right w:val="none" w:sz="0" w:space="0" w:color="auto"/>
                                  </w:divBdr>
                                  <w:divsChild>
                                    <w:div w:id="911626710">
                                      <w:marLeft w:val="0"/>
                                      <w:marRight w:val="0"/>
                                      <w:marTop w:val="0"/>
                                      <w:marBottom w:val="0"/>
                                      <w:divBdr>
                                        <w:top w:val="none" w:sz="0" w:space="0" w:color="auto"/>
                                        <w:left w:val="none" w:sz="0" w:space="0" w:color="auto"/>
                                        <w:bottom w:val="none" w:sz="0" w:space="0" w:color="auto"/>
                                        <w:right w:val="none" w:sz="0" w:space="0" w:color="auto"/>
                                      </w:divBdr>
                                      <w:divsChild>
                                        <w:div w:id="911626745">
                                          <w:marLeft w:val="0"/>
                                          <w:marRight w:val="0"/>
                                          <w:marTop w:val="0"/>
                                          <w:marBottom w:val="0"/>
                                          <w:divBdr>
                                            <w:top w:val="none" w:sz="0" w:space="0" w:color="auto"/>
                                            <w:left w:val="none" w:sz="0" w:space="0" w:color="auto"/>
                                            <w:bottom w:val="none" w:sz="0" w:space="0" w:color="auto"/>
                                            <w:right w:val="none" w:sz="0" w:space="0" w:color="auto"/>
                                          </w:divBdr>
                                          <w:divsChild>
                                            <w:div w:id="911626684">
                                              <w:marLeft w:val="0"/>
                                              <w:marRight w:val="0"/>
                                              <w:marTop w:val="0"/>
                                              <w:marBottom w:val="0"/>
                                              <w:divBdr>
                                                <w:top w:val="none" w:sz="0" w:space="0" w:color="auto"/>
                                                <w:left w:val="none" w:sz="0" w:space="0" w:color="auto"/>
                                                <w:bottom w:val="none" w:sz="0" w:space="0" w:color="auto"/>
                                                <w:right w:val="none" w:sz="0" w:space="0" w:color="auto"/>
                                              </w:divBdr>
                                              <w:divsChild>
                                                <w:div w:id="911626700">
                                                  <w:marLeft w:val="0"/>
                                                  <w:marRight w:val="0"/>
                                                  <w:marTop w:val="0"/>
                                                  <w:marBottom w:val="0"/>
                                                  <w:divBdr>
                                                    <w:top w:val="none" w:sz="0" w:space="0" w:color="auto"/>
                                                    <w:left w:val="none" w:sz="0" w:space="0" w:color="auto"/>
                                                    <w:bottom w:val="none" w:sz="0" w:space="0" w:color="auto"/>
                                                    <w:right w:val="none" w:sz="0" w:space="0" w:color="auto"/>
                                                  </w:divBdr>
                                                  <w:divsChild>
                                                    <w:div w:id="911626736">
                                                      <w:marLeft w:val="0"/>
                                                      <w:marRight w:val="0"/>
                                                      <w:marTop w:val="0"/>
                                                      <w:marBottom w:val="0"/>
                                                      <w:divBdr>
                                                        <w:top w:val="none" w:sz="0" w:space="0" w:color="auto"/>
                                                        <w:left w:val="none" w:sz="0" w:space="0" w:color="auto"/>
                                                        <w:bottom w:val="none" w:sz="0" w:space="0" w:color="auto"/>
                                                        <w:right w:val="none" w:sz="0" w:space="0" w:color="auto"/>
                                                      </w:divBdr>
                                                      <w:divsChild>
                                                        <w:div w:id="911626685">
                                                          <w:marLeft w:val="0"/>
                                                          <w:marRight w:val="0"/>
                                                          <w:marTop w:val="0"/>
                                                          <w:marBottom w:val="0"/>
                                                          <w:divBdr>
                                                            <w:top w:val="none" w:sz="0" w:space="0" w:color="auto"/>
                                                            <w:left w:val="none" w:sz="0" w:space="0" w:color="auto"/>
                                                            <w:bottom w:val="none" w:sz="0" w:space="0" w:color="auto"/>
                                                            <w:right w:val="none" w:sz="0" w:space="0" w:color="auto"/>
                                                          </w:divBdr>
                                                          <w:divsChild>
                                                            <w:div w:id="911626709">
                                                              <w:marLeft w:val="0"/>
                                                              <w:marRight w:val="0"/>
                                                              <w:marTop w:val="0"/>
                                                              <w:marBottom w:val="0"/>
                                                              <w:divBdr>
                                                                <w:top w:val="none" w:sz="0" w:space="0" w:color="auto"/>
                                                                <w:left w:val="none" w:sz="0" w:space="0" w:color="auto"/>
                                                                <w:bottom w:val="none" w:sz="0" w:space="0" w:color="auto"/>
                                                                <w:right w:val="none" w:sz="0" w:space="0" w:color="auto"/>
                                                              </w:divBdr>
                                                              <w:divsChild>
                                                                <w:div w:id="911626716">
                                                                  <w:marLeft w:val="0"/>
                                                                  <w:marRight w:val="0"/>
                                                                  <w:marTop w:val="0"/>
                                                                  <w:marBottom w:val="0"/>
                                                                  <w:divBdr>
                                                                    <w:top w:val="none" w:sz="0" w:space="0" w:color="auto"/>
                                                                    <w:left w:val="none" w:sz="0" w:space="0" w:color="auto"/>
                                                                    <w:bottom w:val="none" w:sz="0" w:space="0" w:color="auto"/>
                                                                    <w:right w:val="none" w:sz="0" w:space="0" w:color="auto"/>
                                                                  </w:divBdr>
                                                                  <w:divsChild>
                                                                    <w:div w:id="911626696">
                                                                      <w:marLeft w:val="0"/>
                                                                      <w:marRight w:val="0"/>
                                                                      <w:marTop w:val="0"/>
                                                                      <w:marBottom w:val="0"/>
                                                                      <w:divBdr>
                                                                        <w:top w:val="none" w:sz="0" w:space="0" w:color="auto"/>
                                                                        <w:left w:val="none" w:sz="0" w:space="0" w:color="auto"/>
                                                                        <w:bottom w:val="none" w:sz="0" w:space="0" w:color="auto"/>
                                                                        <w:right w:val="none" w:sz="0" w:space="0" w:color="auto"/>
                                                                      </w:divBdr>
                                                                      <w:divsChild>
                                                                        <w:div w:id="911626688">
                                                                          <w:marLeft w:val="0"/>
                                                                          <w:marRight w:val="0"/>
                                                                          <w:marTop w:val="0"/>
                                                                          <w:marBottom w:val="0"/>
                                                                          <w:divBdr>
                                                                            <w:top w:val="none" w:sz="0" w:space="0" w:color="auto"/>
                                                                            <w:left w:val="none" w:sz="0" w:space="0" w:color="auto"/>
                                                                            <w:bottom w:val="none" w:sz="0" w:space="0" w:color="auto"/>
                                                                            <w:right w:val="none" w:sz="0" w:space="0" w:color="auto"/>
                                                                          </w:divBdr>
                                                                          <w:divsChild>
                                                                            <w:div w:id="911626737">
                                                                              <w:marLeft w:val="0"/>
                                                                              <w:marRight w:val="0"/>
                                                                              <w:marTop w:val="0"/>
                                                                              <w:marBottom w:val="0"/>
                                                                              <w:divBdr>
                                                                                <w:top w:val="none" w:sz="0" w:space="0" w:color="auto"/>
                                                                                <w:left w:val="none" w:sz="0" w:space="0" w:color="auto"/>
                                                                                <w:bottom w:val="none" w:sz="0" w:space="0" w:color="auto"/>
                                                                                <w:right w:val="none" w:sz="0" w:space="0" w:color="auto"/>
                                                                              </w:divBdr>
                                                                              <w:divsChild>
                                                                                <w:div w:id="9116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6703">
      <w:marLeft w:val="0"/>
      <w:marRight w:val="0"/>
      <w:marTop w:val="0"/>
      <w:marBottom w:val="0"/>
      <w:divBdr>
        <w:top w:val="none" w:sz="0" w:space="0" w:color="auto"/>
        <w:left w:val="none" w:sz="0" w:space="0" w:color="auto"/>
        <w:bottom w:val="none" w:sz="0" w:space="0" w:color="auto"/>
        <w:right w:val="none" w:sz="0" w:space="0" w:color="auto"/>
      </w:divBdr>
      <w:divsChild>
        <w:div w:id="911626744">
          <w:marLeft w:val="0"/>
          <w:marRight w:val="0"/>
          <w:marTop w:val="0"/>
          <w:marBottom w:val="0"/>
          <w:divBdr>
            <w:top w:val="none" w:sz="0" w:space="0" w:color="auto"/>
            <w:left w:val="none" w:sz="0" w:space="0" w:color="auto"/>
            <w:bottom w:val="none" w:sz="0" w:space="0" w:color="auto"/>
            <w:right w:val="none" w:sz="0" w:space="0" w:color="auto"/>
          </w:divBdr>
          <w:divsChild>
            <w:div w:id="911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05">
      <w:marLeft w:val="0"/>
      <w:marRight w:val="0"/>
      <w:marTop w:val="0"/>
      <w:marBottom w:val="0"/>
      <w:divBdr>
        <w:top w:val="none" w:sz="0" w:space="0" w:color="auto"/>
        <w:left w:val="none" w:sz="0" w:space="0" w:color="auto"/>
        <w:bottom w:val="none" w:sz="0" w:space="0" w:color="auto"/>
        <w:right w:val="none" w:sz="0" w:space="0" w:color="auto"/>
      </w:divBdr>
    </w:div>
    <w:div w:id="911626707">
      <w:marLeft w:val="0"/>
      <w:marRight w:val="0"/>
      <w:marTop w:val="0"/>
      <w:marBottom w:val="0"/>
      <w:divBdr>
        <w:top w:val="none" w:sz="0" w:space="0" w:color="auto"/>
        <w:left w:val="none" w:sz="0" w:space="0" w:color="auto"/>
        <w:bottom w:val="none" w:sz="0" w:space="0" w:color="auto"/>
        <w:right w:val="none" w:sz="0" w:space="0" w:color="auto"/>
      </w:divBdr>
      <w:divsChild>
        <w:div w:id="911626668">
          <w:marLeft w:val="0"/>
          <w:marRight w:val="0"/>
          <w:marTop w:val="0"/>
          <w:marBottom w:val="0"/>
          <w:divBdr>
            <w:top w:val="none" w:sz="0" w:space="0" w:color="auto"/>
            <w:left w:val="none" w:sz="0" w:space="0" w:color="auto"/>
            <w:bottom w:val="none" w:sz="0" w:space="0" w:color="auto"/>
            <w:right w:val="none" w:sz="0" w:space="0" w:color="auto"/>
          </w:divBdr>
        </w:div>
      </w:divsChild>
    </w:div>
    <w:div w:id="911626708">
      <w:marLeft w:val="0"/>
      <w:marRight w:val="0"/>
      <w:marTop w:val="0"/>
      <w:marBottom w:val="0"/>
      <w:divBdr>
        <w:top w:val="none" w:sz="0" w:space="0" w:color="auto"/>
        <w:left w:val="none" w:sz="0" w:space="0" w:color="auto"/>
        <w:bottom w:val="none" w:sz="0" w:space="0" w:color="auto"/>
        <w:right w:val="none" w:sz="0" w:space="0" w:color="auto"/>
      </w:divBdr>
      <w:divsChild>
        <w:div w:id="911626676">
          <w:marLeft w:val="0"/>
          <w:marRight w:val="0"/>
          <w:marTop w:val="0"/>
          <w:marBottom w:val="0"/>
          <w:divBdr>
            <w:top w:val="none" w:sz="0" w:space="0" w:color="auto"/>
            <w:left w:val="none" w:sz="0" w:space="0" w:color="auto"/>
            <w:bottom w:val="none" w:sz="0" w:space="0" w:color="auto"/>
            <w:right w:val="none" w:sz="0" w:space="0" w:color="auto"/>
          </w:divBdr>
        </w:div>
      </w:divsChild>
    </w:div>
    <w:div w:id="911626719">
      <w:marLeft w:val="0"/>
      <w:marRight w:val="0"/>
      <w:marTop w:val="0"/>
      <w:marBottom w:val="0"/>
      <w:divBdr>
        <w:top w:val="none" w:sz="0" w:space="0" w:color="auto"/>
        <w:left w:val="none" w:sz="0" w:space="0" w:color="auto"/>
        <w:bottom w:val="none" w:sz="0" w:space="0" w:color="auto"/>
        <w:right w:val="none" w:sz="0" w:space="0" w:color="auto"/>
      </w:divBdr>
      <w:divsChild>
        <w:div w:id="911626711">
          <w:marLeft w:val="0"/>
          <w:marRight w:val="0"/>
          <w:marTop w:val="0"/>
          <w:marBottom w:val="0"/>
          <w:divBdr>
            <w:top w:val="none" w:sz="0" w:space="0" w:color="auto"/>
            <w:left w:val="none" w:sz="0" w:space="0" w:color="auto"/>
            <w:bottom w:val="none" w:sz="0" w:space="0" w:color="auto"/>
            <w:right w:val="none" w:sz="0" w:space="0" w:color="auto"/>
          </w:divBdr>
        </w:div>
      </w:divsChild>
    </w:div>
    <w:div w:id="911626720">
      <w:marLeft w:val="0"/>
      <w:marRight w:val="0"/>
      <w:marTop w:val="0"/>
      <w:marBottom w:val="0"/>
      <w:divBdr>
        <w:top w:val="none" w:sz="0" w:space="0" w:color="auto"/>
        <w:left w:val="none" w:sz="0" w:space="0" w:color="auto"/>
        <w:bottom w:val="none" w:sz="0" w:space="0" w:color="auto"/>
        <w:right w:val="none" w:sz="0" w:space="0" w:color="auto"/>
      </w:divBdr>
      <w:divsChild>
        <w:div w:id="911626669">
          <w:marLeft w:val="0"/>
          <w:marRight w:val="0"/>
          <w:marTop w:val="0"/>
          <w:marBottom w:val="0"/>
          <w:divBdr>
            <w:top w:val="none" w:sz="0" w:space="0" w:color="auto"/>
            <w:left w:val="none" w:sz="0" w:space="0" w:color="auto"/>
            <w:bottom w:val="none" w:sz="0" w:space="0" w:color="auto"/>
            <w:right w:val="none" w:sz="0" w:space="0" w:color="auto"/>
          </w:divBdr>
        </w:div>
      </w:divsChild>
    </w:div>
    <w:div w:id="911626723">
      <w:marLeft w:val="0"/>
      <w:marRight w:val="0"/>
      <w:marTop w:val="0"/>
      <w:marBottom w:val="0"/>
      <w:divBdr>
        <w:top w:val="none" w:sz="0" w:space="0" w:color="auto"/>
        <w:left w:val="none" w:sz="0" w:space="0" w:color="auto"/>
        <w:bottom w:val="none" w:sz="0" w:space="0" w:color="auto"/>
        <w:right w:val="none" w:sz="0" w:space="0" w:color="auto"/>
      </w:divBdr>
      <w:divsChild>
        <w:div w:id="911626762">
          <w:marLeft w:val="0"/>
          <w:marRight w:val="0"/>
          <w:marTop w:val="0"/>
          <w:marBottom w:val="0"/>
          <w:divBdr>
            <w:top w:val="none" w:sz="0" w:space="0" w:color="auto"/>
            <w:left w:val="none" w:sz="0" w:space="0" w:color="auto"/>
            <w:bottom w:val="none" w:sz="0" w:space="0" w:color="auto"/>
            <w:right w:val="none" w:sz="0" w:space="0" w:color="auto"/>
          </w:divBdr>
          <w:divsChild>
            <w:div w:id="911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27">
      <w:marLeft w:val="0"/>
      <w:marRight w:val="0"/>
      <w:marTop w:val="0"/>
      <w:marBottom w:val="0"/>
      <w:divBdr>
        <w:top w:val="none" w:sz="0" w:space="0" w:color="auto"/>
        <w:left w:val="none" w:sz="0" w:space="0" w:color="auto"/>
        <w:bottom w:val="none" w:sz="0" w:space="0" w:color="auto"/>
        <w:right w:val="none" w:sz="0" w:space="0" w:color="auto"/>
      </w:divBdr>
      <w:divsChild>
        <w:div w:id="911626746">
          <w:marLeft w:val="0"/>
          <w:marRight w:val="0"/>
          <w:marTop w:val="0"/>
          <w:marBottom w:val="0"/>
          <w:divBdr>
            <w:top w:val="none" w:sz="0" w:space="0" w:color="auto"/>
            <w:left w:val="none" w:sz="0" w:space="0" w:color="auto"/>
            <w:bottom w:val="none" w:sz="0" w:space="0" w:color="auto"/>
            <w:right w:val="none" w:sz="0" w:space="0" w:color="auto"/>
          </w:divBdr>
          <w:divsChild>
            <w:div w:id="911626681">
              <w:marLeft w:val="0"/>
              <w:marRight w:val="0"/>
              <w:marTop w:val="0"/>
              <w:marBottom w:val="0"/>
              <w:divBdr>
                <w:top w:val="none" w:sz="0" w:space="0" w:color="auto"/>
                <w:left w:val="none" w:sz="0" w:space="0" w:color="auto"/>
                <w:bottom w:val="none" w:sz="0" w:space="0" w:color="auto"/>
                <w:right w:val="none" w:sz="0" w:space="0" w:color="auto"/>
              </w:divBdr>
              <w:divsChild>
                <w:div w:id="911626753">
                  <w:marLeft w:val="0"/>
                  <w:marRight w:val="0"/>
                  <w:marTop w:val="0"/>
                  <w:marBottom w:val="0"/>
                  <w:divBdr>
                    <w:top w:val="none" w:sz="0" w:space="0" w:color="auto"/>
                    <w:left w:val="none" w:sz="0" w:space="0" w:color="auto"/>
                    <w:bottom w:val="none" w:sz="0" w:space="0" w:color="auto"/>
                    <w:right w:val="none" w:sz="0" w:space="0" w:color="auto"/>
                  </w:divBdr>
                  <w:divsChild>
                    <w:div w:id="911626682">
                      <w:marLeft w:val="0"/>
                      <w:marRight w:val="0"/>
                      <w:marTop w:val="0"/>
                      <w:marBottom w:val="0"/>
                      <w:divBdr>
                        <w:top w:val="none" w:sz="0" w:space="0" w:color="auto"/>
                        <w:left w:val="none" w:sz="0" w:space="0" w:color="auto"/>
                        <w:bottom w:val="none" w:sz="0" w:space="0" w:color="auto"/>
                        <w:right w:val="none" w:sz="0" w:space="0" w:color="auto"/>
                      </w:divBdr>
                      <w:divsChild>
                        <w:div w:id="911626726">
                          <w:marLeft w:val="0"/>
                          <w:marRight w:val="0"/>
                          <w:marTop w:val="0"/>
                          <w:marBottom w:val="0"/>
                          <w:divBdr>
                            <w:top w:val="none" w:sz="0" w:space="0" w:color="auto"/>
                            <w:left w:val="none" w:sz="0" w:space="0" w:color="auto"/>
                            <w:bottom w:val="none" w:sz="0" w:space="0" w:color="auto"/>
                            <w:right w:val="none" w:sz="0" w:space="0" w:color="auto"/>
                          </w:divBdr>
                          <w:divsChild>
                            <w:div w:id="911626763">
                              <w:marLeft w:val="1380"/>
                              <w:marRight w:val="2640"/>
                              <w:marTop w:val="0"/>
                              <w:marBottom w:val="0"/>
                              <w:divBdr>
                                <w:top w:val="none" w:sz="0" w:space="0" w:color="auto"/>
                                <w:left w:val="none" w:sz="0" w:space="0" w:color="auto"/>
                                <w:bottom w:val="none" w:sz="0" w:space="0" w:color="auto"/>
                                <w:right w:val="none" w:sz="0" w:space="0" w:color="auto"/>
                              </w:divBdr>
                              <w:divsChild>
                                <w:div w:id="911626747">
                                  <w:marLeft w:val="0"/>
                                  <w:marRight w:val="0"/>
                                  <w:marTop w:val="0"/>
                                  <w:marBottom w:val="0"/>
                                  <w:divBdr>
                                    <w:top w:val="none" w:sz="0" w:space="0" w:color="auto"/>
                                    <w:left w:val="none" w:sz="0" w:space="0" w:color="auto"/>
                                    <w:bottom w:val="none" w:sz="0" w:space="0" w:color="auto"/>
                                    <w:right w:val="none" w:sz="0" w:space="0" w:color="auto"/>
                                  </w:divBdr>
                                  <w:divsChild>
                                    <w:div w:id="911626694">
                                      <w:marLeft w:val="0"/>
                                      <w:marRight w:val="0"/>
                                      <w:marTop w:val="0"/>
                                      <w:marBottom w:val="0"/>
                                      <w:divBdr>
                                        <w:top w:val="none" w:sz="0" w:space="0" w:color="auto"/>
                                        <w:left w:val="none" w:sz="0" w:space="0" w:color="auto"/>
                                        <w:bottom w:val="none" w:sz="0" w:space="0" w:color="auto"/>
                                        <w:right w:val="none" w:sz="0" w:space="0" w:color="auto"/>
                                      </w:divBdr>
                                      <w:divsChild>
                                        <w:div w:id="911626751">
                                          <w:marLeft w:val="0"/>
                                          <w:marRight w:val="0"/>
                                          <w:marTop w:val="0"/>
                                          <w:marBottom w:val="0"/>
                                          <w:divBdr>
                                            <w:top w:val="none" w:sz="0" w:space="0" w:color="auto"/>
                                            <w:left w:val="none" w:sz="0" w:space="0" w:color="auto"/>
                                            <w:bottom w:val="none" w:sz="0" w:space="0" w:color="auto"/>
                                            <w:right w:val="none" w:sz="0" w:space="0" w:color="auto"/>
                                          </w:divBdr>
                                          <w:divsChild>
                                            <w:div w:id="911626683">
                                              <w:marLeft w:val="0"/>
                                              <w:marRight w:val="0"/>
                                              <w:marTop w:val="60"/>
                                              <w:marBottom w:val="0"/>
                                              <w:divBdr>
                                                <w:top w:val="none" w:sz="0" w:space="0" w:color="auto"/>
                                                <w:left w:val="none" w:sz="0" w:space="0" w:color="auto"/>
                                                <w:bottom w:val="none" w:sz="0" w:space="0" w:color="auto"/>
                                                <w:right w:val="none" w:sz="0" w:space="0" w:color="auto"/>
                                              </w:divBdr>
                                              <w:divsChild>
                                                <w:div w:id="911626756">
                                                  <w:marLeft w:val="0"/>
                                                  <w:marRight w:val="0"/>
                                                  <w:marTop w:val="0"/>
                                                  <w:marBottom w:val="0"/>
                                                  <w:divBdr>
                                                    <w:top w:val="none" w:sz="0" w:space="0" w:color="auto"/>
                                                    <w:left w:val="none" w:sz="0" w:space="0" w:color="auto"/>
                                                    <w:bottom w:val="none" w:sz="0" w:space="0" w:color="auto"/>
                                                    <w:right w:val="none" w:sz="0" w:space="0" w:color="auto"/>
                                                  </w:divBdr>
                                                  <w:divsChild>
                                                    <w:div w:id="911626738">
                                                      <w:marLeft w:val="0"/>
                                                      <w:marRight w:val="0"/>
                                                      <w:marTop w:val="0"/>
                                                      <w:marBottom w:val="0"/>
                                                      <w:divBdr>
                                                        <w:top w:val="none" w:sz="0" w:space="0" w:color="auto"/>
                                                        <w:left w:val="none" w:sz="0" w:space="0" w:color="auto"/>
                                                        <w:bottom w:val="none" w:sz="0" w:space="0" w:color="auto"/>
                                                        <w:right w:val="none" w:sz="0" w:space="0" w:color="auto"/>
                                                      </w:divBdr>
                                                      <w:divsChild>
                                                        <w:div w:id="911626725">
                                                          <w:marLeft w:val="0"/>
                                                          <w:marRight w:val="0"/>
                                                          <w:marTop w:val="0"/>
                                                          <w:marBottom w:val="0"/>
                                                          <w:divBdr>
                                                            <w:top w:val="none" w:sz="0" w:space="0" w:color="auto"/>
                                                            <w:left w:val="none" w:sz="0" w:space="0" w:color="auto"/>
                                                            <w:bottom w:val="none" w:sz="0" w:space="0" w:color="auto"/>
                                                            <w:right w:val="none" w:sz="0" w:space="0" w:color="auto"/>
                                                          </w:divBdr>
                                                          <w:divsChild>
                                                            <w:div w:id="911626687">
                                                              <w:marLeft w:val="0"/>
                                                              <w:marRight w:val="0"/>
                                                              <w:marTop w:val="0"/>
                                                              <w:marBottom w:val="0"/>
                                                              <w:divBdr>
                                                                <w:top w:val="none" w:sz="0" w:space="0" w:color="auto"/>
                                                                <w:left w:val="none" w:sz="0" w:space="0" w:color="auto"/>
                                                                <w:bottom w:val="none" w:sz="0" w:space="0" w:color="auto"/>
                                                                <w:right w:val="none" w:sz="0" w:space="0" w:color="auto"/>
                                                              </w:divBdr>
                                                              <w:divsChild>
                                                                <w:div w:id="911626734">
                                                                  <w:marLeft w:val="0"/>
                                                                  <w:marRight w:val="0"/>
                                                                  <w:marTop w:val="0"/>
                                                                  <w:marBottom w:val="0"/>
                                                                  <w:divBdr>
                                                                    <w:top w:val="none" w:sz="0" w:space="0" w:color="auto"/>
                                                                    <w:left w:val="none" w:sz="0" w:space="0" w:color="auto"/>
                                                                    <w:bottom w:val="none" w:sz="0" w:space="0" w:color="auto"/>
                                                                    <w:right w:val="none" w:sz="0" w:space="0" w:color="auto"/>
                                                                  </w:divBdr>
                                                                  <w:divsChild>
                                                                    <w:div w:id="911626717">
                                                                      <w:marLeft w:val="0"/>
                                                                      <w:marRight w:val="0"/>
                                                                      <w:marTop w:val="0"/>
                                                                      <w:marBottom w:val="0"/>
                                                                      <w:divBdr>
                                                                        <w:top w:val="none" w:sz="0" w:space="0" w:color="auto"/>
                                                                        <w:left w:val="none" w:sz="0" w:space="0" w:color="auto"/>
                                                                        <w:bottom w:val="none" w:sz="0" w:space="0" w:color="auto"/>
                                                                        <w:right w:val="none" w:sz="0" w:space="0" w:color="auto"/>
                                                                      </w:divBdr>
                                                                      <w:divsChild>
                                                                        <w:div w:id="911626757">
                                                                          <w:marLeft w:val="0"/>
                                                                          <w:marRight w:val="0"/>
                                                                          <w:marTop w:val="0"/>
                                                                          <w:marBottom w:val="0"/>
                                                                          <w:divBdr>
                                                                            <w:top w:val="none" w:sz="0" w:space="0" w:color="auto"/>
                                                                            <w:left w:val="none" w:sz="0" w:space="0" w:color="auto"/>
                                                                            <w:bottom w:val="none" w:sz="0" w:space="0" w:color="auto"/>
                                                                            <w:right w:val="none" w:sz="0" w:space="0" w:color="auto"/>
                                                                          </w:divBdr>
                                                                          <w:divsChild>
                                                                            <w:div w:id="911626691">
                                                                              <w:marLeft w:val="0"/>
                                                                              <w:marRight w:val="0"/>
                                                                              <w:marTop w:val="0"/>
                                                                              <w:marBottom w:val="0"/>
                                                                              <w:divBdr>
                                                                                <w:top w:val="none" w:sz="0" w:space="0" w:color="auto"/>
                                                                                <w:left w:val="none" w:sz="0" w:space="0" w:color="auto"/>
                                                                                <w:bottom w:val="none" w:sz="0" w:space="0" w:color="auto"/>
                                                                                <w:right w:val="none" w:sz="0" w:space="0" w:color="auto"/>
                                                                              </w:divBdr>
                                                                              <w:divsChild>
                                                                                <w:div w:id="911626698">
                                                                                  <w:marLeft w:val="0"/>
                                                                                  <w:marRight w:val="0"/>
                                                                                  <w:marTop w:val="0"/>
                                                                                  <w:marBottom w:val="0"/>
                                                                                  <w:divBdr>
                                                                                    <w:top w:val="none" w:sz="0" w:space="0" w:color="auto"/>
                                                                                    <w:left w:val="none" w:sz="0" w:space="0" w:color="auto"/>
                                                                                    <w:bottom w:val="none" w:sz="0" w:space="0" w:color="auto"/>
                                                                                    <w:right w:val="none" w:sz="0" w:space="0" w:color="auto"/>
                                                                                  </w:divBdr>
                                                                                  <w:divsChild>
                                                                                    <w:div w:id="911626764">
                                                                                      <w:marLeft w:val="0"/>
                                                                                      <w:marRight w:val="0"/>
                                                                                      <w:marTop w:val="0"/>
                                                                                      <w:marBottom w:val="0"/>
                                                                                      <w:divBdr>
                                                                                        <w:top w:val="none" w:sz="0" w:space="0" w:color="auto"/>
                                                                                        <w:left w:val="none" w:sz="0" w:space="0" w:color="auto"/>
                                                                                        <w:bottom w:val="none" w:sz="0" w:space="0" w:color="auto"/>
                                                                                        <w:right w:val="none" w:sz="0" w:space="0" w:color="auto"/>
                                                                                      </w:divBdr>
                                                                                      <w:divsChild>
                                                                                        <w:div w:id="9116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6728">
      <w:marLeft w:val="0"/>
      <w:marRight w:val="0"/>
      <w:marTop w:val="0"/>
      <w:marBottom w:val="0"/>
      <w:divBdr>
        <w:top w:val="none" w:sz="0" w:space="0" w:color="auto"/>
        <w:left w:val="none" w:sz="0" w:space="0" w:color="auto"/>
        <w:bottom w:val="none" w:sz="0" w:space="0" w:color="auto"/>
        <w:right w:val="none" w:sz="0" w:space="0" w:color="auto"/>
      </w:divBdr>
      <w:divsChild>
        <w:div w:id="911626689">
          <w:marLeft w:val="0"/>
          <w:marRight w:val="0"/>
          <w:marTop w:val="0"/>
          <w:marBottom w:val="0"/>
          <w:divBdr>
            <w:top w:val="none" w:sz="0" w:space="0" w:color="auto"/>
            <w:left w:val="none" w:sz="0" w:space="0" w:color="auto"/>
            <w:bottom w:val="none" w:sz="0" w:space="0" w:color="auto"/>
            <w:right w:val="none" w:sz="0" w:space="0" w:color="auto"/>
          </w:divBdr>
          <w:divsChild>
            <w:div w:id="911626671">
              <w:marLeft w:val="0"/>
              <w:marRight w:val="0"/>
              <w:marTop w:val="0"/>
              <w:marBottom w:val="0"/>
              <w:divBdr>
                <w:top w:val="none" w:sz="0" w:space="0" w:color="auto"/>
                <w:left w:val="none" w:sz="0" w:space="0" w:color="auto"/>
                <w:bottom w:val="none" w:sz="0" w:space="0" w:color="auto"/>
                <w:right w:val="none" w:sz="0" w:space="0" w:color="auto"/>
              </w:divBdr>
            </w:div>
            <w:div w:id="9116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40">
      <w:marLeft w:val="0"/>
      <w:marRight w:val="0"/>
      <w:marTop w:val="0"/>
      <w:marBottom w:val="0"/>
      <w:divBdr>
        <w:top w:val="none" w:sz="0" w:space="0" w:color="auto"/>
        <w:left w:val="none" w:sz="0" w:space="0" w:color="auto"/>
        <w:bottom w:val="none" w:sz="0" w:space="0" w:color="auto"/>
        <w:right w:val="none" w:sz="0" w:space="0" w:color="auto"/>
      </w:divBdr>
      <w:divsChild>
        <w:div w:id="911626677">
          <w:marLeft w:val="0"/>
          <w:marRight w:val="0"/>
          <w:marTop w:val="0"/>
          <w:marBottom w:val="0"/>
          <w:divBdr>
            <w:top w:val="none" w:sz="0" w:space="0" w:color="auto"/>
            <w:left w:val="none" w:sz="0" w:space="0" w:color="auto"/>
            <w:bottom w:val="none" w:sz="0" w:space="0" w:color="auto"/>
            <w:right w:val="none" w:sz="0" w:space="0" w:color="auto"/>
          </w:divBdr>
        </w:div>
      </w:divsChild>
    </w:div>
    <w:div w:id="911626754">
      <w:marLeft w:val="0"/>
      <w:marRight w:val="0"/>
      <w:marTop w:val="0"/>
      <w:marBottom w:val="0"/>
      <w:divBdr>
        <w:top w:val="none" w:sz="0" w:space="0" w:color="auto"/>
        <w:left w:val="none" w:sz="0" w:space="0" w:color="auto"/>
        <w:bottom w:val="none" w:sz="0" w:space="0" w:color="auto"/>
        <w:right w:val="none" w:sz="0" w:space="0" w:color="auto"/>
      </w:divBdr>
      <w:divsChild>
        <w:div w:id="911626678">
          <w:marLeft w:val="0"/>
          <w:marRight w:val="0"/>
          <w:marTop w:val="0"/>
          <w:marBottom w:val="0"/>
          <w:divBdr>
            <w:top w:val="none" w:sz="0" w:space="0" w:color="auto"/>
            <w:left w:val="none" w:sz="0" w:space="0" w:color="auto"/>
            <w:bottom w:val="none" w:sz="0" w:space="0" w:color="auto"/>
            <w:right w:val="none" w:sz="0" w:space="0" w:color="auto"/>
          </w:divBdr>
          <w:divsChild>
            <w:div w:id="911626712">
              <w:marLeft w:val="0"/>
              <w:marRight w:val="0"/>
              <w:marTop w:val="0"/>
              <w:marBottom w:val="0"/>
              <w:divBdr>
                <w:top w:val="none" w:sz="0" w:space="0" w:color="auto"/>
                <w:left w:val="none" w:sz="0" w:space="0" w:color="auto"/>
                <w:bottom w:val="none" w:sz="0" w:space="0" w:color="auto"/>
                <w:right w:val="none" w:sz="0" w:space="0" w:color="auto"/>
              </w:divBdr>
            </w:div>
            <w:div w:id="9116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55">
      <w:marLeft w:val="0"/>
      <w:marRight w:val="0"/>
      <w:marTop w:val="0"/>
      <w:marBottom w:val="0"/>
      <w:divBdr>
        <w:top w:val="none" w:sz="0" w:space="0" w:color="auto"/>
        <w:left w:val="none" w:sz="0" w:space="0" w:color="auto"/>
        <w:bottom w:val="none" w:sz="0" w:space="0" w:color="auto"/>
        <w:right w:val="none" w:sz="0" w:space="0" w:color="auto"/>
      </w:divBdr>
    </w:div>
    <w:div w:id="911626760">
      <w:marLeft w:val="0"/>
      <w:marRight w:val="0"/>
      <w:marTop w:val="0"/>
      <w:marBottom w:val="0"/>
      <w:divBdr>
        <w:top w:val="none" w:sz="0" w:space="0" w:color="auto"/>
        <w:left w:val="none" w:sz="0" w:space="0" w:color="auto"/>
        <w:bottom w:val="none" w:sz="0" w:space="0" w:color="auto"/>
        <w:right w:val="none" w:sz="0" w:space="0" w:color="auto"/>
      </w:divBdr>
      <w:divsChild>
        <w:div w:id="911626729">
          <w:marLeft w:val="0"/>
          <w:marRight w:val="0"/>
          <w:marTop w:val="166"/>
          <w:marBottom w:val="166"/>
          <w:divBdr>
            <w:top w:val="none" w:sz="0" w:space="0" w:color="auto"/>
            <w:left w:val="none" w:sz="0" w:space="0" w:color="auto"/>
            <w:bottom w:val="none" w:sz="0" w:space="0" w:color="auto"/>
            <w:right w:val="none" w:sz="0" w:space="0" w:color="auto"/>
          </w:divBdr>
          <w:divsChild>
            <w:div w:id="9116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65">
      <w:marLeft w:val="0"/>
      <w:marRight w:val="0"/>
      <w:marTop w:val="0"/>
      <w:marBottom w:val="0"/>
      <w:divBdr>
        <w:top w:val="none" w:sz="0" w:space="0" w:color="auto"/>
        <w:left w:val="none" w:sz="0" w:space="0" w:color="auto"/>
        <w:bottom w:val="none" w:sz="0" w:space="0" w:color="auto"/>
        <w:right w:val="none" w:sz="0" w:space="0" w:color="auto"/>
      </w:divBdr>
    </w:div>
    <w:div w:id="911626766">
      <w:marLeft w:val="0"/>
      <w:marRight w:val="0"/>
      <w:marTop w:val="0"/>
      <w:marBottom w:val="0"/>
      <w:divBdr>
        <w:top w:val="none" w:sz="0" w:space="0" w:color="auto"/>
        <w:left w:val="none" w:sz="0" w:space="0" w:color="auto"/>
        <w:bottom w:val="none" w:sz="0" w:space="0" w:color="auto"/>
        <w:right w:val="none" w:sz="0" w:space="0" w:color="auto"/>
      </w:divBdr>
    </w:div>
    <w:div w:id="911626767">
      <w:marLeft w:val="0"/>
      <w:marRight w:val="0"/>
      <w:marTop w:val="0"/>
      <w:marBottom w:val="0"/>
      <w:divBdr>
        <w:top w:val="none" w:sz="0" w:space="0" w:color="auto"/>
        <w:left w:val="none" w:sz="0" w:space="0" w:color="auto"/>
        <w:bottom w:val="none" w:sz="0" w:space="0" w:color="auto"/>
        <w:right w:val="none" w:sz="0" w:space="0" w:color="auto"/>
      </w:divBdr>
    </w:div>
    <w:div w:id="911626769">
      <w:marLeft w:val="0"/>
      <w:marRight w:val="0"/>
      <w:marTop w:val="0"/>
      <w:marBottom w:val="0"/>
      <w:divBdr>
        <w:top w:val="none" w:sz="0" w:space="0" w:color="auto"/>
        <w:left w:val="none" w:sz="0" w:space="0" w:color="auto"/>
        <w:bottom w:val="none" w:sz="0" w:space="0" w:color="auto"/>
        <w:right w:val="none" w:sz="0" w:space="0" w:color="auto"/>
      </w:divBdr>
      <w:divsChild>
        <w:div w:id="911626774">
          <w:marLeft w:val="0"/>
          <w:marRight w:val="0"/>
          <w:marTop w:val="0"/>
          <w:marBottom w:val="0"/>
          <w:divBdr>
            <w:top w:val="none" w:sz="0" w:space="0" w:color="auto"/>
            <w:left w:val="none" w:sz="0" w:space="0" w:color="auto"/>
            <w:bottom w:val="none" w:sz="0" w:space="0" w:color="auto"/>
            <w:right w:val="none" w:sz="0" w:space="0" w:color="auto"/>
          </w:divBdr>
          <w:divsChild>
            <w:div w:id="911626777">
              <w:marLeft w:val="0"/>
              <w:marRight w:val="0"/>
              <w:marTop w:val="0"/>
              <w:marBottom w:val="0"/>
              <w:divBdr>
                <w:top w:val="none" w:sz="0" w:space="0" w:color="auto"/>
                <w:left w:val="none" w:sz="0" w:space="0" w:color="auto"/>
                <w:bottom w:val="none" w:sz="0" w:space="0" w:color="auto"/>
                <w:right w:val="none" w:sz="0" w:space="0" w:color="auto"/>
              </w:divBdr>
              <w:divsChild>
                <w:div w:id="911626775">
                  <w:marLeft w:val="0"/>
                  <w:marRight w:val="0"/>
                  <w:marTop w:val="0"/>
                  <w:marBottom w:val="0"/>
                  <w:divBdr>
                    <w:top w:val="none" w:sz="0" w:space="0" w:color="auto"/>
                    <w:left w:val="none" w:sz="0" w:space="0" w:color="auto"/>
                    <w:bottom w:val="none" w:sz="0" w:space="0" w:color="auto"/>
                    <w:right w:val="none" w:sz="0" w:space="0" w:color="auto"/>
                  </w:divBdr>
                  <w:divsChild>
                    <w:div w:id="911626778">
                      <w:marLeft w:val="0"/>
                      <w:marRight w:val="0"/>
                      <w:marTop w:val="0"/>
                      <w:marBottom w:val="0"/>
                      <w:divBdr>
                        <w:top w:val="none" w:sz="0" w:space="0" w:color="auto"/>
                        <w:left w:val="none" w:sz="0" w:space="0" w:color="auto"/>
                        <w:bottom w:val="none" w:sz="0" w:space="0" w:color="auto"/>
                        <w:right w:val="none" w:sz="0" w:space="0" w:color="auto"/>
                      </w:divBdr>
                      <w:divsChild>
                        <w:div w:id="911626771">
                          <w:marLeft w:val="0"/>
                          <w:marRight w:val="0"/>
                          <w:marTop w:val="0"/>
                          <w:marBottom w:val="0"/>
                          <w:divBdr>
                            <w:top w:val="none" w:sz="0" w:space="0" w:color="auto"/>
                            <w:left w:val="none" w:sz="0" w:space="0" w:color="auto"/>
                            <w:bottom w:val="none" w:sz="0" w:space="0" w:color="auto"/>
                            <w:right w:val="none" w:sz="0" w:space="0" w:color="auto"/>
                          </w:divBdr>
                          <w:divsChild>
                            <w:div w:id="911626776">
                              <w:marLeft w:val="0"/>
                              <w:marRight w:val="0"/>
                              <w:marTop w:val="0"/>
                              <w:marBottom w:val="0"/>
                              <w:divBdr>
                                <w:top w:val="none" w:sz="0" w:space="0" w:color="auto"/>
                                <w:left w:val="none" w:sz="0" w:space="0" w:color="auto"/>
                                <w:bottom w:val="none" w:sz="0" w:space="0" w:color="auto"/>
                                <w:right w:val="none" w:sz="0" w:space="0" w:color="auto"/>
                              </w:divBdr>
                              <w:divsChild>
                                <w:div w:id="911626770">
                                  <w:marLeft w:val="0"/>
                                  <w:marRight w:val="0"/>
                                  <w:marTop w:val="0"/>
                                  <w:marBottom w:val="0"/>
                                  <w:divBdr>
                                    <w:top w:val="none" w:sz="0" w:space="0" w:color="auto"/>
                                    <w:left w:val="none" w:sz="0" w:space="0" w:color="auto"/>
                                    <w:bottom w:val="none" w:sz="0" w:space="0" w:color="auto"/>
                                    <w:right w:val="none" w:sz="0" w:space="0" w:color="auto"/>
                                  </w:divBdr>
                                  <w:divsChild>
                                    <w:div w:id="911626773">
                                      <w:marLeft w:val="0"/>
                                      <w:marRight w:val="0"/>
                                      <w:marTop w:val="0"/>
                                      <w:marBottom w:val="0"/>
                                      <w:divBdr>
                                        <w:top w:val="none" w:sz="0" w:space="0" w:color="auto"/>
                                        <w:left w:val="none" w:sz="0" w:space="0" w:color="auto"/>
                                        <w:bottom w:val="none" w:sz="0" w:space="0" w:color="auto"/>
                                        <w:right w:val="none" w:sz="0" w:space="0" w:color="auto"/>
                                      </w:divBdr>
                                      <w:divsChild>
                                        <w:div w:id="911626772">
                                          <w:marLeft w:val="0"/>
                                          <w:marRight w:val="0"/>
                                          <w:marTop w:val="0"/>
                                          <w:marBottom w:val="0"/>
                                          <w:divBdr>
                                            <w:top w:val="none" w:sz="0" w:space="0" w:color="auto"/>
                                            <w:left w:val="none" w:sz="0" w:space="0" w:color="auto"/>
                                            <w:bottom w:val="none" w:sz="0" w:space="0" w:color="auto"/>
                                            <w:right w:val="none" w:sz="0" w:space="0" w:color="auto"/>
                                          </w:divBdr>
                                          <w:divsChild>
                                            <w:div w:id="9116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626779">
      <w:marLeft w:val="0"/>
      <w:marRight w:val="0"/>
      <w:marTop w:val="0"/>
      <w:marBottom w:val="0"/>
      <w:divBdr>
        <w:top w:val="none" w:sz="0" w:space="0" w:color="auto"/>
        <w:left w:val="none" w:sz="0" w:space="0" w:color="auto"/>
        <w:bottom w:val="none" w:sz="0" w:space="0" w:color="auto"/>
        <w:right w:val="none" w:sz="0" w:space="0" w:color="auto"/>
      </w:divBdr>
      <w:divsChild>
        <w:div w:id="911626780">
          <w:marLeft w:val="0"/>
          <w:marRight w:val="0"/>
          <w:marTop w:val="0"/>
          <w:marBottom w:val="0"/>
          <w:divBdr>
            <w:top w:val="none" w:sz="0" w:space="0" w:color="auto"/>
            <w:left w:val="none" w:sz="0" w:space="0" w:color="auto"/>
            <w:bottom w:val="none" w:sz="0" w:space="0" w:color="auto"/>
            <w:right w:val="none" w:sz="0" w:space="0" w:color="auto"/>
          </w:divBdr>
        </w:div>
      </w:divsChild>
    </w:div>
    <w:div w:id="911626783">
      <w:marLeft w:val="0"/>
      <w:marRight w:val="0"/>
      <w:marTop w:val="0"/>
      <w:marBottom w:val="0"/>
      <w:divBdr>
        <w:top w:val="none" w:sz="0" w:space="0" w:color="auto"/>
        <w:left w:val="none" w:sz="0" w:space="0" w:color="auto"/>
        <w:bottom w:val="none" w:sz="0" w:space="0" w:color="auto"/>
        <w:right w:val="none" w:sz="0" w:space="0" w:color="auto"/>
      </w:divBdr>
      <w:divsChild>
        <w:div w:id="911626792">
          <w:marLeft w:val="0"/>
          <w:marRight w:val="0"/>
          <w:marTop w:val="0"/>
          <w:marBottom w:val="0"/>
          <w:divBdr>
            <w:top w:val="none" w:sz="0" w:space="0" w:color="auto"/>
            <w:left w:val="none" w:sz="0" w:space="0" w:color="auto"/>
            <w:bottom w:val="none" w:sz="0" w:space="0" w:color="auto"/>
            <w:right w:val="none" w:sz="0" w:space="0" w:color="auto"/>
          </w:divBdr>
          <w:divsChild>
            <w:div w:id="911626786">
              <w:marLeft w:val="0"/>
              <w:marRight w:val="0"/>
              <w:marTop w:val="0"/>
              <w:marBottom w:val="0"/>
              <w:divBdr>
                <w:top w:val="none" w:sz="0" w:space="0" w:color="auto"/>
                <w:left w:val="none" w:sz="0" w:space="0" w:color="auto"/>
                <w:bottom w:val="none" w:sz="0" w:space="0" w:color="auto"/>
                <w:right w:val="none" w:sz="0" w:space="0" w:color="auto"/>
              </w:divBdr>
            </w:div>
            <w:div w:id="911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87">
      <w:marLeft w:val="0"/>
      <w:marRight w:val="0"/>
      <w:marTop w:val="0"/>
      <w:marBottom w:val="0"/>
      <w:divBdr>
        <w:top w:val="none" w:sz="0" w:space="0" w:color="auto"/>
        <w:left w:val="none" w:sz="0" w:space="0" w:color="auto"/>
        <w:bottom w:val="none" w:sz="0" w:space="0" w:color="auto"/>
        <w:right w:val="none" w:sz="0" w:space="0" w:color="auto"/>
      </w:divBdr>
      <w:divsChild>
        <w:div w:id="911626791">
          <w:marLeft w:val="0"/>
          <w:marRight w:val="0"/>
          <w:marTop w:val="0"/>
          <w:marBottom w:val="0"/>
          <w:divBdr>
            <w:top w:val="none" w:sz="0" w:space="0" w:color="auto"/>
            <w:left w:val="none" w:sz="0" w:space="0" w:color="auto"/>
            <w:bottom w:val="none" w:sz="0" w:space="0" w:color="auto"/>
            <w:right w:val="none" w:sz="0" w:space="0" w:color="auto"/>
          </w:divBdr>
          <w:divsChild>
            <w:div w:id="911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93">
      <w:marLeft w:val="0"/>
      <w:marRight w:val="0"/>
      <w:marTop w:val="0"/>
      <w:marBottom w:val="0"/>
      <w:divBdr>
        <w:top w:val="none" w:sz="0" w:space="0" w:color="auto"/>
        <w:left w:val="none" w:sz="0" w:space="0" w:color="auto"/>
        <w:bottom w:val="none" w:sz="0" w:space="0" w:color="auto"/>
        <w:right w:val="none" w:sz="0" w:space="0" w:color="auto"/>
      </w:divBdr>
      <w:divsChild>
        <w:div w:id="911626789">
          <w:marLeft w:val="0"/>
          <w:marRight w:val="0"/>
          <w:marTop w:val="0"/>
          <w:marBottom w:val="0"/>
          <w:divBdr>
            <w:top w:val="none" w:sz="0" w:space="0" w:color="auto"/>
            <w:left w:val="none" w:sz="0" w:space="0" w:color="auto"/>
            <w:bottom w:val="none" w:sz="0" w:space="0" w:color="auto"/>
            <w:right w:val="none" w:sz="0" w:space="0" w:color="auto"/>
          </w:divBdr>
          <w:divsChild>
            <w:div w:id="911626781">
              <w:marLeft w:val="0"/>
              <w:marRight w:val="0"/>
              <w:marTop w:val="0"/>
              <w:marBottom w:val="0"/>
              <w:divBdr>
                <w:top w:val="none" w:sz="0" w:space="0" w:color="auto"/>
                <w:left w:val="none" w:sz="0" w:space="0" w:color="auto"/>
                <w:bottom w:val="none" w:sz="0" w:space="0" w:color="auto"/>
                <w:right w:val="none" w:sz="0" w:space="0" w:color="auto"/>
              </w:divBdr>
            </w:div>
            <w:div w:id="9116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94">
      <w:marLeft w:val="0"/>
      <w:marRight w:val="0"/>
      <w:marTop w:val="0"/>
      <w:marBottom w:val="0"/>
      <w:divBdr>
        <w:top w:val="none" w:sz="0" w:space="0" w:color="auto"/>
        <w:left w:val="none" w:sz="0" w:space="0" w:color="auto"/>
        <w:bottom w:val="none" w:sz="0" w:space="0" w:color="auto"/>
        <w:right w:val="none" w:sz="0" w:space="0" w:color="auto"/>
      </w:divBdr>
      <w:divsChild>
        <w:div w:id="911626785">
          <w:marLeft w:val="0"/>
          <w:marRight w:val="0"/>
          <w:marTop w:val="0"/>
          <w:marBottom w:val="0"/>
          <w:divBdr>
            <w:top w:val="none" w:sz="0" w:space="0" w:color="auto"/>
            <w:left w:val="none" w:sz="0" w:space="0" w:color="auto"/>
            <w:bottom w:val="none" w:sz="0" w:space="0" w:color="auto"/>
            <w:right w:val="none" w:sz="0" w:space="0" w:color="auto"/>
          </w:divBdr>
          <w:divsChild>
            <w:div w:id="9116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95">
      <w:marLeft w:val="0"/>
      <w:marRight w:val="0"/>
      <w:marTop w:val="0"/>
      <w:marBottom w:val="0"/>
      <w:divBdr>
        <w:top w:val="none" w:sz="0" w:space="0" w:color="auto"/>
        <w:left w:val="none" w:sz="0" w:space="0" w:color="auto"/>
        <w:bottom w:val="none" w:sz="0" w:space="0" w:color="auto"/>
        <w:right w:val="none" w:sz="0" w:space="0" w:color="auto"/>
      </w:divBdr>
    </w:div>
    <w:div w:id="911626796">
      <w:marLeft w:val="0"/>
      <w:marRight w:val="0"/>
      <w:marTop w:val="0"/>
      <w:marBottom w:val="0"/>
      <w:divBdr>
        <w:top w:val="none" w:sz="0" w:space="0" w:color="auto"/>
        <w:left w:val="none" w:sz="0" w:space="0" w:color="auto"/>
        <w:bottom w:val="none" w:sz="0" w:space="0" w:color="auto"/>
        <w:right w:val="none" w:sz="0" w:space="0" w:color="auto"/>
      </w:divBdr>
    </w:div>
    <w:div w:id="911626797">
      <w:marLeft w:val="0"/>
      <w:marRight w:val="0"/>
      <w:marTop w:val="0"/>
      <w:marBottom w:val="0"/>
      <w:divBdr>
        <w:top w:val="none" w:sz="0" w:space="0" w:color="auto"/>
        <w:left w:val="none" w:sz="0" w:space="0" w:color="auto"/>
        <w:bottom w:val="none" w:sz="0" w:space="0" w:color="auto"/>
        <w:right w:val="none" w:sz="0" w:space="0" w:color="auto"/>
      </w:divBdr>
    </w:div>
    <w:div w:id="911626798">
      <w:marLeft w:val="0"/>
      <w:marRight w:val="0"/>
      <w:marTop w:val="0"/>
      <w:marBottom w:val="0"/>
      <w:divBdr>
        <w:top w:val="none" w:sz="0" w:space="0" w:color="auto"/>
        <w:left w:val="none" w:sz="0" w:space="0" w:color="auto"/>
        <w:bottom w:val="none" w:sz="0" w:space="0" w:color="auto"/>
        <w:right w:val="none" w:sz="0" w:space="0" w:color="auto"/>
      </w:divBdr>
    </w:div>
    <w:div w:id="911626799">
      <w:marLeft w:val="0"/>
      <w:marRight w:val="0"/>
      <w:marTop w:val="0"/>
      <w:marBottom w:val="0"/>
      <w:divBdr>
        <w:top w:val="none" w:sz="0" w:space="0" w:color="auto"/>
        <w:left w:val="none" w:sz="0" w:space="0" w:color="auto"/>
        <w:bottom w:val="none" w:sz="0" w:space="0" w:color="auto"/>
        <w:right w:val="none" w:sz="0" w:space="0" w:color="auto"/>
      </w:divBdr>
    </w:div>
    <w:div w:id="911626800">
      <w:marLeft w:val="0"/>
      <w:marRight w:val="0"/>
      <w:marTop w:val="0"/>
      <w:marBottom w:val="0"/>
      <w:divBdr>
        <w:top w:val="none" w:sz="0" w:space="0" w:color="auto"/>
        <w:left w:val="none" w:sz="0" w:space="0" w:color="auto"/>
        <w:bottom w:val="none" w:sz="0" w:space="0" w:color="auto"/>
        <w:right w:val="none" w:sz="0" w:space="0" w:color="auto"/>
      </w:divBdr>
    </w:div>
    <w:div w:id="911626801">
      <w:marLeft w:val="0"/>
      <w:marRight w:val="0"/>
      <w:marTop w:val="0"/>
      <w:marBottom w:val="0"/>
      <w:divBdr>
        <w:top w:val="none" w:sz="0" w:space="0" w:color="auto"/>
        <w:left w:val="none" w:sz="0" w:space="0" w:color="auto"/>
        <w:bottom w:val="none" w:sz="0" w:space="0" w:color="auto"/>
        <w:right w:val="none" w:sz="0" w:space="0" w:color="auto"/>
      </w:divBdr>
    </w:div>
    <w:div w:id="911626802">
      <w:marLeft w:val="0"/>
      <w:marRight w:val="0"/>
      <w:marTop w:val="0"/>
      <w:marBottom w:val="0"/>
      <w:divBdr>
        <w:top w:val="none" w:sz="0" w:space="0" w:color="auto"/>
        <w:left w:val="none" w:sz="0" w:space="0" w:color="auto"/>
        <w:bottom w:val="none" w:sz="0" w:space="0" w:color="auto"/>
        <w:right w:val="none" w:sz="0" w:space="0" w:color="auto"/>
      </w:divBdr>
    </w:div>
    <w:div w:id="911626803">
      <w:marLeft w:val="0"/>
      <w:marRight w:val="0"/>
      <w:marTop w:val="0"/>
      <w:marBottom w:val="0"/>
      <w:divBdr>
        <w:top w:val="none" w:sz="0" w:space="0" w:color="auto"/>
        <w:left w:val="none" w:sz="0" w:space="0" w:color="auto"/>
        <w:bottom w:val="none" w:sz="0" w:space="0" w:color="auto"/>
        <w:right w:val="none" w:sz="0" w:space="0" w:color="auto"/>
      </w:divBdr>
    </w:div>
    <w:div w:id="911626804">
      <w:marLeft w:val="0"/>
      <w:marRight w:val="0"/>
      <w:marTop w:val="0"/>
      <w:marBottom w:val="0"/>
      <w:divBdr>
        <w:top w:val="none" w:sz="0" w:space="0" w:color="auto"/>
        <w:left w:val="none" w:sz="0" w:space="0" w:color="auto"/>
        <w:bottom w:val="none" w:sz="0" w:space="0" w:color="auto"/>
        <w:right w:val="none" w:sz="0" w:space="0" w:color="auto"/>
      </w:divBdr>
      <w:divsChild>
        <w:div w:id="911626807">
          <w:marLeft w:val="0"/>
          <w:marRight w:val="0"/>
          <w:marTop w:val="0"/>
          <w:marBottom w:val="0"/>
          <w:divBdr>
            <w:top w:val="none" w:sz="0" w:space="0" w:color="auto"/>
            <w:left w:val="none" w:sz="0" w:space="0" w:color="auto"/>
            <w:bottom w:val="none" w:sz="0" w:space="0" w:color="auto"/>
            <w:right w:val="none" w:sz="0" w:space="0" w:color="auto"/>
          </w:divBdr>
        </w:div>
      </w:divsChild>
    </w:div>
    <w:div w:id="911626806">
      <w:marLeft w:val="0"/>
      <w:marRight w:val="0"/>
      <w:marTop w:val="0"/>
      <w:marBottom w:val="0"/>
      <w:divBdr>
        <w:top w:val="none" w:sz="0" w:space="0" w:color="auto"/>
        <w:left w:val="none" w:sz="0" w:space="0" w:color="auto"/>
        <w:bottom w:val="none" w:sz="0" w:space="0" w:color="auto"/>
        <w:right w:val="none" w:sz="0" w:space="0" w:color="auto"/>
      </w:divBdr>
      <w:divsChild>
        <w:div w:id="911626809">
          <w:marLeft w:val="0"/>
          <w:marRight w:val="0"/>
          <w:marTop w:val="0"/>
          <w:marBottom w:val="0"/>
          <w:divBdr>
            <w:top w:val="none" w:sz="0" w:space="0" w:color="auto"/>
            <w:left w:val="none" w:sz="0" w:space="0" w:color="auto"/>
            <w:bottom w:val="none" w:sz="0" w:space="0" w:color="auto"/>
            <w:right w:val="none" w:sz="0" w:space="0" w:color="auto"/>
          </w:divBdr>
        </w:div>
      </w:divsChild>
    </w:div>
    <w:div w:id="911626808">
      <w:marLeft w:val="0"/>
      <w:marRight w:val="0"/>
      <w:marTop w:val="0"/>
      <w:marBottom w:val="0"/>
      <w:divBdr>
        <w:top w:val="none" w:sz="0" w:space="0" w:color="auto"/>
        <w:left w:val="none" w:sz="0" w:space="0" w:color="auto"/>
        <w:bottom w:val="none" w:sz="0" w:space="0" w:color="auto"/>
        <w:right w:val="none" w:sz="0" w:space="0" w:color="auto"/>
      </w:divBdr>
      <w:divsChild>
        <w:div w:id="91162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14</Pages>
  <Words>5311</Words>
  <Characters>30277</Characters>
  <Application>Microsoft Office Word</Application>
  <DocSecurity>0</DocSecurity>
  <Lines>252</Lines>
  <Paragraphs>71</Paragraphs>
  <ScaleCrop>false</ScaleCrop>
  <Company>Hewlett-Packard</Company>
  <LinksUpToDate>false</LinksUpToDate>
  <CharactersWithSpaces>35517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falletta_an</dc:creator>
  <cp:keywords/>
  <dc:description/>
  <cp:lastModifiedBy>86151</cp:lastModifiedBy>
  <cp:revision>6</cp:revision>
  <cp:lastPrinted>2020-02-05T10:56:00Z</cp:lastPrinted>
  <dcterms:created xsi:type="dcterms:W3CDTF">2020-02-18T02:33:00Z</dcterms:created>
  <dcterms:modified xsi:type="dcterms:W3CDTF">2020-03-09T06:58:00Z</dcterms:modified>
</cp:coreProperties>
</file>