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3CB6E" w14:textId="36DAC97D" w:rsidR="00F564FA" w:rsidRPr="00165B9A" w:rsidRDefault="00F564FA" w:rsidP="00165B9A">
      <w:pPr>
        <w:spacing w:line="360" w:lineRule="auto"/>
        <w:jc w:val="both"/>
        <w:rPr>
          <w:rFonts w:ascii="Book Antiqua" w:eastAsia="Book Antiqua" w:hAnsi="Book Antiqua" w:cs="Book Antiqua"/>
          <w:color w:val="000000" w:themeColor="text1"/>
        </w:rPr>
      </w:pPr>
      <w:r w:rsidRPr="00165B9A">
        <w:rPr>
          <w:rFonts w:ascii="Book Antiqua" w:eastAsia="Book Antiqua" w:hAnsi="Book Antiqua" w:cs="Book Antiqua"/>
          <w:b/>
          <w:color w:val="000000" w:themeColor="text1"/>
        </w:rPr>
        <w:t>Name of Journal</w:t>
      </w:r>
      <w:r w:rsidRPr="00165B9A">
        <w:rPr>
          <w:rFonts w:ascii="Book Antiqua" w:eastAsia="Book Antiqua" w:hAnsi="Book Antiqua" w:cs="Book Antiqua"/>
          <w:color w:val="000000" w:themeColor="text1"/>
        </w:rPr>
        <w:t xml:space="preserve">: </w:t>
      </w:r>
      <w:r w:rsidRPr="00165B9A">
        <w:rPr>
          <w:rFonts w:ascii="Book Antiqua" w:eastAsia="Book Antiqua" w:hAnsi="Book Antiqua" w:cs="Book Antiqua"/>
          <w:i/>
          <w:color w:val="000000" w:themeColor="text1"/>
        </w:rPr>
        <w:t xml:space="preserve">World Journal of </w:t>
      </w:r>
      <w:r w:rsidR="00144A38" w:rsidRPr="00165B9A">
        <w:rPr>
          <w:rFonts w:ascii="Book Antiqua" w:eastAsia="Book Antiqua" w:hAnsi="Book Antiqua" w:cs="Book Antiqua"/>
          <w:i/>
          <w:color w:val="000000" w:themeColor="text1"/>
        </w:rPr>
        <w:t>Gastrointestinal Endoscopy</w:t>
      </w:r>
    </w:p>
    <w:p w14:paraId="0D202DE8" w14:textId="5BCA6AB7" w:rsidR="00F564FA" w:rsidRPr="00165B9A" w:rsidRDefault="00F564FA" w:rsidP="00165B9A">
      <w:pPr>
        <w:adjustRightInd w:val="0"/>
        <w:snapToGrid w:val="0"/>
        <w:spacing w:line="360" w:lineRule="auto"/>
        <w:jc w:val="both"/>
        <w:rPr>
          <w:rFonts w:ascii="Book Antiqua" w:hAnsi="Book Antiqua" w:cs="Arial"/>
          <w:color w:val="000000" w:themeColor="text1"/>
          <w:lang w:val="e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165B9A">
        <w:rPr>
          <w:rFonts w:ascii="Book Antiqua" w:hAnsi="Book Antiqua" w:cs="Arial"/>
          <w:b/>
          <w:color w:val="000000" w:themeColor="text1"/>
          <w:lang w:val="en"/>
        </w:rPr>
        <w:t>Manuscript NO:</w:t>
      </w:r>
      <w:bookmarkEnd w:id="0"/>
      <w:bookmarkEnd w:id="1"/>
      <w:r w:rsidRPr="00165B9A">
        <w:rPr>
          <w:rFonts w:ascii="Book Antiqua" w:hAnsi="Book Antiqua" w:cs="Arial"/>
          <w:b/>
          <w:color w:val="000000" w:themeColor="text1"/>
          <w:lang w:val="en"/>
        </w:rPr>
        <w:t xml:space="preserve"> </w:t>
      </w:r>
      <w:bookmarkEnd w:id="2"/>
      <w:bookmarkEnd w:id="3"/>
      <w:bookmarkEnd w:id="4"/>
      <w:bookmarkEnd w:id="5"/>
      <w:bookmarkEnd w:id="6"/>
      <w:r w:rsidR="008F749E" w:rsidRPr="00165B9A">
        <w:rPr>
          <w:rFonts w:ascii="Book Antiqua" w:hAnsi="Book Antiqua" w:cs="Arial"/>
          <w:color w:val="000000" w:themeColor="text1"/>
          <w:lang w:val="en"/>
        </w:rPr>
        <w:t>52558</w:t>
      </w:r>
    </w:p>
    <w:p w14:paraId="32D96EFE" w14:textId="3AB45C50" w:rsidR="00F564FA" w:rsidRPr="00165B9A" w:rsidRDefault="00F564FA" w:rsidP="00165B9A">
      <w:pPr>
        <w:adjustRightInd w:val="0"/>
        <w:snapToGrid w:val="0"/>
        <w:spacing w:line="360" w:lineRule="auto"/>
        <w:jc w:val="both"/>
        <w:rPr>
          <w:rFonts w:ascii="Book Antiqua" w:eastAsia="Book Antiqua" w:hAnsi="Book Antiqua" w:cs="Book Antiqua"/>
          <w:color w:val="000000" w:themeColor="text1"/>
        </w:rPr>
      </w:pPr>
      <w:r w:rsidRPr="00165B9A">
        <w:rPr>
          <w:rFonts w:ascii="Book Antiqua" w:eastAsia="Book Antiqua" w:hAnsi="Book Antiqua" w:cs="Book Antiqua"/>
          <w:b/>
          <w:color w:val="000000" w:themeColor="text1"/>
        </w:rPr>
        <w:t>Manuscript Type:</w:t>
      </w:r>
      <w:r w:rsidRPr="00165B9A">
        <w:rPr>
          <w:rFonts w:ascii="Book Antiqua" w:eastAsia="Book Antiqua" w:hAnsi="Book Antiqua" w:cs="Book Antiqua"/>
          <w:color w:val="000000" w:themeColor="text1"/>
        </w:rPr>
        <w:t xml:space="preserve"> </w:t>
      </w:r>
      <w:r w:rsidR="00A105B8" w:rsidRPr="00165B9A">
        <w:rPr>
          <w:rFonts w:ascii="Book Antiqua" w:eastAsia="Book Antiqua" w:hAnsi="Book Antiqua" w:cs="Book Antiqua"/>
          <w:color w:val="000000" w:themeColor="text1"/>
        </w:rPr>
        <w:t>CASE REPORT</w:t>
      </w:r>
    </w:p>
    <w:p w14:paraId="7801E36A" w14:textId="77777777" w:rsidR="00A105B8" w:rsidRPr="00165B9A" w:rsidRDefault="00A105B8" w:rsidP="00165B9A">
      <w:pPr>
        <w:adjustRightInd w:val="0"/>
        <w:snapToGrid w:val="0"/>
        <w:spacing w:line="360" w:lineRule="auto"/>
        <w:jc w:val="both"/>
        <w:rPr>
          <w:rFonts w:ascii="Book Antiqua" w:hAnsi="Book Antiqua" w:cs="Arial"/>
          <w:color w:val="000000" w:themeColor="text1"/>
          <w:lang w:eastAsia="zh-CN"/>
        </w:rPr>
      </w:pPr>
    </w:p>
    <w:p w14:paraId="64B06B5B" w14:textId="3849D5E0" w:rsidR="00F564FA" w:rsidRPr="00165B9A" w:rsidRDefault="008F749E" w:rsidP="00165B9A">
      <w:pPr>
        <w:spacing w:line="360" w:lineRule="auto"/>
        <w:jc w:val="both"/>
        <w:rPr>
          <w:rFonts w:ascii="Book Antiqua" w:hAnsi="Book Antiqua" w:cs="Arial"/>
          <w:b/>
          <w:color w:val="000000" w:themeColor="text1"/>
        </w:rPr>
      </w:pPr>
      <w:bookmarkStart w:id="7" w:name="OLE_LINK7"/>
      <w:r w:rsidRPr="00165B9A">
        <w:rPr>
          <w:rFonts w:ascii="Book Antiqua" w:hAnsi="Book Antiqua" w:cs="Arial"/>
          <w:b/>
          <w:color w:val="000000" w:themeColor="text1"/>
        </w:rPr>
        <w:t xml:space="preserve">Gallbladder </w:t>
      </w:r>
      <w:r w:rsidR="00A105B8" w:rsidRPr="00165B9A">
        <w:rPr>
          <w:rFonts w:ascii="Book Antiqua" w:hAnsi="Book Antiqua" w:cs="Arial"/>
          <w:b/>
          <w:color w:val="000000" w:themeColor="text1"/>
        </w:rPr>
        <w:t>perforation due to endoscopic sleeve gastroplasty</w:t>
      </w:r>
      <w:r w:rsidRPr="00165B9A">
        <w:rPr>
          <w:rFonts w:ascii="Book Antiqua" w:hAnsi="Book Antiqua" w:cs="Arial"/>
          <w:b/>
          <w:color w:val="000000" w:themeColor="text1"/>
        </w:rPr>
        <w:t xml:space="preserve">: A case report </w:t>
      </w:r>
      <w:r w:rsidR="00A105B8" w:rsidRPr="00165B9A">
        <w:rPr>
          <w:rFonts w:ascii="Book Antiqua" w:hAnsi="Book Antiqua" w:cs="Arial"/>
          <w:b/>
          <w:color w:val="000000" w:themeColor="text1"/>
        </w:rPr>
        <w:t xml:space="preserve">and </w:t>
      </w:r>
      <w:r w:rsidR="00A105B8" w:rsidRPr="00165B9A">
        <w:rPr>
          <w:rFonts w:ascii="Book Antiqua" w:hAnsi="Book Antiqua"/>
          <w:b/>
          <w:bCs/>
          <w:color w:val="000000" w:themeColor="text1"/>
        </w:rPr>
        <w:t>review of literature</w:t>
      </w:r>
    </w:p>
    <w:bookmarkEnd w:id="7"/>
    <w:p w14:paraId="257932F7" w14:textId="77777777" w:rsidR="008F749E" w:rsidRPr="00165B9A" w:rsidRDefault="008F749E" w:rsidP="00165B9A">
      <w:pPr>
        <w:spacing w:line="360" w:lineRule="auto"/>
        <w:jc w:val="both"/>
        <w:rPr>
          <w:rFonts w:ascii="Book Antiqua" w:eastAsia="Book Antiqua" w:hAnsi="Book Antiqua" w:cs="Book Antiqua"/>
          <w:color w:val="000000" w:themeColor="text1"/>
        </w:rPr>
      </w:pPr>
    </w:p>
    <w:p w14:paraId="574979F5" w14:textId="043EDBB2" w:rsidR="00F564FA" w:rsidRPr="00165B9A" w:rsidRDefault="00A105B8" w:rsidP="00165B9A">
      <w:pPr>
        <w:spacing w:line="360" w:lineRule="auto"/>
        <w:jc w:val="both"/>
        <w:rPr>
          <w:rFonts w:ascii="Book Antiqua" w:hAnsi="Book Antiqua" w:cs="Book Antiqua"/>
          <w:color w:val="000000" w:themeColor="text1"/>
          <w:lang w:eastAsia="zh-CN"/>
        </w:rPr>
      </w:pPr>
      <w:r w:rsidRPr="00165B9A">
        <w:rPr>
          <w:rFonts w:ascii="Book Antiqua" w:hAnsi="Book Antiqua" w:cs="Arial"/>
          <w:color w:val="000000" w:themeColor="text1"/>
          <w:lang w:val="pt-BR"/>
        </w:rPr>
        <w:t>de</w:t>
      </w:r>
      <w:r w:rsidRPr="00165B9A">
        <w:rPr>
          <w:rFonts w:ascii="Book Antiqua" w:eastAsia="Book Antiqua" w:hAnsi="Book Antiqua" w:cs="Book Antiqua"/>
          <w:color w:val="000000" w:themeColor="text1"/>
        </w:rPr>
        <w:t xml:space="preserve"> </w:t>
      </w:r>
      <w:proofErr w:type="spellStart"/>
      <w:r w:rsidR="00D83740" w:rsidRPr="00165B9A">
        <w:rPr>
          <w:rFonts w:ascii="Book Antiqua" w:eastAsia="Book Antiqua" w:hAnsi="Book Antiqua" w:cs="Book Antiqua"/>
          <w:color w:val="000000" w:themeColor="text1"/>
        </w:rPr>
        <w:t>Siqueiro</w:t>
      </w:r>
      <w:proofErr w:type="spellEnd"/>
      <w:r w:rsidR="00D83740" w:rsidRPr="00165B9A">
        <w:rPr>
          <w:rFonts w:ascii="Book Antiqua" w:eastAsia="Book Antiqua" w:hAnsi="Book Antiqua" w:cs="Book Antiqua"/>
          <w:color w:val="000000" w:themeColor="text1"/>
        </w:rPr>
        <w:t xml:space="preserve"> </w:t>
      </w:r>
      <w:proofErr w:type="spellStart"/>
      <w:r w:rsidR="00F564FA" w:rsidRPr="00165B9A">
        <w:rPr>
          <w:rFonts w:ascii="Book Antiqua" w:eastAsia="Book Antiqua" w:hAnsi="Book Antiqua" w:cs="Book Antiqua"/>
          <w:color w:val="000000" w:themeColor="text1"/>
        </w:rPr>
        <w:t>Neto</w:t>
      </w:r>
      <w:proofErr w:type="spellEnd"/>
      <w:r w:rsidR="00F564FA" w:rsidRPr="00165B9A">
        <w:rPr>
          <w:rFonts w:ascii="Book Antiqua" w:eastAsia="Book Antiqua" w:hAnsi="Book Antiqua" w:cs="Book Antiqua"/>
          <w:color w:val="000000" w:themeColor="text1"/>
        </w:rPr>
        <w:t xml:space="preserve"> J</w:t>
      </w:r>
      <w:r w:rsidR="00F564FA" w:rsidRPr="00165B9A">
        <w:rPr>
          <w:rFonts w:ascii="Book Antiqua" w:hAnsi="Book Antiqua" w:cs="Book Antiqua"/>
          <w:color w:val="000000" w:themeColor="text1"/>
          <w:lang w:eastAsia="zh-CN"/>
        </w:rPr>
        <w:t xml:space="preserve"> </w:t>
      </w:r>
      <w:r w:rsidR="00F564FA" w:rsidRPr="00165B9A">
        <w:rPr>
          <w:rFonts w:ascii="Book Antiqua" w:hAnsi="Book Antiqua" w:cs="Book Antiqua"/>
          <w:i/>
          <w:color w:val="000000" w:themeColor="text1"/>
          <w:lang w:eastAsia="zh-CN"/>
        </w:rPr>
        <w:t>et al</w:t>
      </w:r>
      <w:r w:rsidRPr="00165B9A">
        <w:rPr>
          <w:rFonts w:ascii="Book Antiqua" w:hAnsi="Book Antiqua" w:cs="Book Antiqua"/>
          <w:iCs/>
          <w:color w:val="000000" w:themeColor="text1"/>
          <w:lang w:eastAsia="zh-CN"/>
        </w:rPr>
        <w:t>.</w:t>
      </w:r>
      <w:r w:rsidR="00F564FA" w:rsidRPr="00165B9A">
        <w:rPr>
          <w:rFonts w:ascii="Book Antiqua" w:hAnsi="Book Antiqua" w:cs="Book Antiqua"/>
          <w:color w:val="000000" w:themeColor="text1"/>
          <w:lang w:eastAsia="zh-CN"/>
        </w:rPr>
        <w:t xml:space="preserve"> </w:t>
      </w:r>
      <w:bookmarkStart w:id="8" w:name="OLE_LINK8"/>
      <w:r w:rsidR="00F564FA" w:rsidRPr="00165B9A">
        <w:rPr>
          <w:rFonts w:ascii="Book Antiqua" w:hAnsi="Book Antiqua" w:cs="Book Antiqua"/>
          <w:color w:val="000000" w:themeColor="text1"/>
          <w:lang w:eastAsia="zh-CN"/>
        </w:rPr>
        <w:t xml:space="preserve">Gallbladder </w:t>
      </w:r>
      <w:r w:rsidRPr="00165B9A">
        <w:rPr>
          <w:rFonts w:ascii="Book Antiqua" w:hAnsi="Book Antiqua" w:cs="Book Antiqua"/>
          <w:color w:val="000000" w:themeColor="text1"/>
          <w:lang w:eastAsia="zh-CN"/>
        </w:rPr>
        <w:t>perforation due to endoscopic sleeve gastroplasty</w:t>
      </w:r>
      <w:bookmarkEnd w:id="8"/>
    </w:p>
    <w:p w14:paraId="55A7D394" w14:textId="77777777" w:rsidR="009807C4" w:rsidRPr="00165B9A" w:rsidRDefault="009807C4" w:rsidP="00165B9A">
      <w:pPr>
        <w:spacing w:line="360" w:lineRule="auto"/>
        <w:jc w:val="both"/>
        <w:rPr>
          <w:rFonts w:ascii="Book Antiqua" w:hAnsi="Book Antiqua"/>
          <w:color w:val="000000" w:themeColor="text1"/>
        </w:rPr>
      </w:pPr>
    </w:p>
    <w:p w14:paraId="395571CF" w14:textId="30236FB8" w:rsidR="00F54D11" w:rsidRPr="00165B9A" w:rsidRDefault="00F54D11" w:rsidP="00165B9A">
      <w:pPr>
        <w:spacing w:line="360" w:lineRule="auto"/>
        <w:jc w:val="both"/>
        <w:rPr>
          <w:rFonts w:ascii="Book Antiqua" w:hAnsi="Book Antiqua" w:cs="Arial"/>
          <w:color w:val="000000" w:themeColor="text1"/>
          <w:vertAlign w:val="superscript"/>
          <w:lang w:val="pt-BR"/>
        </w:rPr>
      </w:pPr>
      <w:bookmarkStart w:id="9" w:name="OLE_LINK18"/>
      <w:r w:rsidRPr="00165B9A">
        <w:rPr>
          <w:rFonts w:ascii="Book Antiqua" w:hAnsi="Book Antiqua" w:cs="Arial"/>
          <w:color w:val="000000" w:themeColor="text1"/>
          <w:lang w:val="pt-BR"/>
        </w:rPr>
        <w:t>João de Siqueira Neto</w:t>
      </w:r>
      <w:bookmarkEnd w:id="9"/>
      <w:r w:rsidRPr="00165B9A">
        <w:rPr>
          <w:rFonts w:ascii="Book Antiqua" w:hAnsi="Book Antiqua" w:cs="Arial"/>
          <w:color w:val="000000" w:themeColor="text1"/>
          <w:lang w:val="pt-BR"/>
        </w:rPr>
        <w:t>, Diogo Turiani Hournea</w:t>
      </w:r>
      <w:r w:rsidR="00F564FA" w:rsidRPr="00165B9A">
        <w:rPr>
          <w:rFonts w:ascii="Book Antiqua" w:hAnsi="Book Antiqua" w:cs="Arial"/>
          <w:color w:val="000000" w:themeColor="text1"/>
          <w:lang w:val="pt-BR"/>
        </w:rPr>
        <w:t>u</w:t>
      </w:r>
      <w:r w:rsidRPr="00165B9A">
        <w:rPr>
          <w:rFonts w:ascii="Book Antiqua" w:hAnsi="Book Antiqua" w:cs="Arial"/>
          <w:color w:val="000000" w:themeColor="text1"/>
          <w:lang w:val="pt-BR"/>
        </w:rPr>
        <w:t xml:space="preserve">x de Moura, </w:t>
      </w:r>
      <w:r w:rsidR="00144A38" w:rsidRPr="00165B9A">
        <w:rPr>
          <w:rFonts w:ascii="Book Antiqua" w:hAnsi="Book Antiqua" w:cs="Arial"/>
          <w:color w:val="000000" w:themeColor="text1"/>
          <w:lang w:val="pt-BR"/>
        </w:rPr>
        <w:t xml:space="preserve">Igor Braga Ribeiro, </w:t>
      </w:r>
      <w:r w:rsidR="00A105B8" w:rsidRPr="00165B9A">
        <w:rPr>
          <w:rFonts w:ascii="Book Antiqua" w:hAnsi="Book Antiqua"/>
          <w:bCs/>
          <w:color w:val="000000" w:themeColor="text1"/>
          <w:lang w:val="pt-BR"/>
        </w:rPr>
        <w:t>Sérgio</w:t>
      </w:r>
      <w:r w:rsidR="00A105B8" w:rsidRPr="00165B9A">
        <w:rPr>
          <w:rFonts w:ascii="Book Antiqua" w:hAnsi="Book Antiqua"/>
          <w:b/>
          <w:color w:val="000000" w:themeColor="text1"/>
          <w:lang w:val="pt-BR"/>
        </w:rPr>
        <w:t xml:space="preserve"> </w:t>
      </w:r>
      <w:r w:rsidR="00D83740" w:rsidRPr="00165B9A">
        <w:rPr>
          <w:rFonts w:ascii="Book Antiqua" w:hAnsi="Book Antiqua" w:cs="Arial"/>
          <w:color w:val="000000" w:themeColor="text1"/>
          <w:lang w:val="pt-BR"/>
        </w:rPr>
        <w:t xml:space="preserve">Alexandre </w:t>
      </w:r>
      <w:r w:rsidRPr="00165B9A">
        <w:rPr>
          <w:rFonts w:ascii="Book Antiqua" w:hAnsi="Book Antiqua" w:cs="Arial"/>
          <w:color w:val="000000" w:themeColor="text1"/>
          <w:lang w:val="pt-BR"/>
        </w:rPr>
        <w:t xml:space="preserve">Barrichello, </w:t>
      </w:r>
      <w:r w:rsidR="00967BD8" w:rsidRPr="00165B9A">
        <w:rPr>
          <w:rFonts w:ascii="Book Antiqua" w:hAnsi="Book Antiqua" w:cs="Arial"/>
          <w:color w:val="000000" w:themeColor="text1"/>
          <w:lang w:val="pt-BR"/>
        </w:rPr>
        <w:t>Kelly E Ha</w:t>
      </w:r>
      <w:r w:rsidR="00D83740" w:rsidRPr="00165B9A">
        <w:rPr>
          <w:rFonts w:ascii="Book Antiqua" w:hAnsi="Book Antiqua" w:cs="Arial"/>
          <w:color w:val="000000" w:themeColor="text1"/>
          <w:lang w:val="pt-BR"/>
        </w:rPr>
        <w:t>r</w:t>
      </w:r>
      <w:r w:rsidR="00967BD8" w:rsidRPr="00165B9A">
        <w:rPr>
          <w:rFonts w:ascii="Book Antiqua" w:hAnsi="Book Antiqua" w:cs="Arial"/>
          <w:color w:val="000000" w:themeColor="text1"/>
          <w:lang w:val="pt-BR"/>
        </w:rPr>
        <w:t>thorn</w:t>
      </w:r>
      <w:r w:rsidR="00F564FA" w:rsidRPr="00165B9A">
        <w:rPr>
          <w:rFonts w:ascii="Book Antiqua" w:hAnsi="Book Antiqua" w:cs="Arial"/>
          <w:color w:val="000000" w:themeColor="text1"/>
          <w:lang w:val="pt-BR"/>
        </w:rPr>
        <w:t xml:space="preserve">, </w:t>
      </w:r>
      <w:r w:rsidRPr="00165B9A">
        <w:rPr>
          <w:rFonts w:ascii="Book Antiqua" w:hAnsi="Book Antiqua" w:cs="Arial"/>
          <w:color w:val="000000" w:themeColor="text1"/>
          <w:lang w:val="pt-BR"/>
        </w:rPr>
        <w:t>Christopher C Thompson</w:t>
      </w:r>
    </w:p>
    <w:p w14:paraId="685BB67E" w14:textId="77777777" w:rsidR="00A105B8" w:rsidRPr="00165B9A" w:rsidRDefault="00A105B8" w:rsidP="00165B9A">
      <w:pPr>
        <w:spacing w:line="360" w:lineRule="auto"/>
        <w:jc w:val="both"/>
        <w:rPr>
          <w:rFonts w:ascii="Book Antiqua" w:hAnsi="Book Antiqua"/>
          <w:color w:val="000000" w:themeColor="text1"/>
          <w:lang w:val="pt-BR"/>
        </w:rPr>
      </w:pPr>
    </w:p>
    <w:p w14:paraId="7B6516C1" w14:textId="0A992B78" w:rsidR="00A105B8" w:rsidRPr="00165B9A" w:rsidRDefault="00A105B8" w:rsidP="00165B9A">
      <w:pPr>
        <w:shd w:val="clear" w:color="auto" w:fill="FFFFFF"/>
        <w:spacing w:line="360" w:lineRule="auto"/>
        <w:jc w:val="both"/>
        <w:rPr>
          <w:rFonts w:ascii="Book Antiqua" w:hAnsi="Book Antiqua"/>
          <w:color w:val="000000" w:themeColor="text1"/>
          <w:lang w:val="pt-BR"/>
        </w:rPr>
      </w:pPr>
      <w:r w:rsidRPr="00165B9A">
        <w:rPr>
          <w:rFonts w:ascii="Book Antiqua" w:hAnsi="Book Antiqua" w:cs="Arial"/>
          <w:b/>
          <w:bCs/>
          <w:color w:val="000000" w:themeColor="text1"/>
          <w:lang w:val="pt-BR"/>
        </w:rPr>
        <w:t>João de Siqueira Neto</w:t>
      </w:r>
      <w:r w:rsidRPr="00165B9A">
        <w:rPr>
          <w:rFonts w:ascii="Book Antiqua" w:hAnsi="Book Antiqua"/>
          <w:b/>
          <w:color w:val="000000" w:themeColor="text1"/>
          <w:lang w:val="pt-BR"/>
        </w:rPr>
        <w:t>,</w:t>
      </w:r>
      <w:r w:rsidRPr="00165B9A">
        <w:rPr>
          <w:rFonts w:ascii="Book Antiqua" w:hAnsi="Book Antiqua"/>
          <w:color w:val="000000" w:themeColor="text1"/>
          <w:lang w:val="pt-BR"/>
        </w:rPr>
        <w:t xml:space="preserve"> Department of Surgery, Federal University of Espirito Santo, </w:t>
      </w:r>
      <w:r w:rsidRPr="00165B9A">
        <w:rPr>
          <w:rFonts w:ascii="Book Antiqua" w:hAnsi="Book Antiqua"/>
          <w:color w:val="000000" w:themeColor="text1"/>
        </w:rPr>
        <w:t xml:space="preserve">Vitoria 29075-910, </w:t>
      </w:r>
      <w:proofErr w:type="spellStart"/>
      <w:r w:rsidRPr="00165B9A">
        <w:rPr>
          <w:rFonts w:ascii="Book Antiqua" w:hAnsi="Book Antiqua"/>
          <w:color w:val="000000" w:themeColor="text1"/>
        </w:rPr>
        <w:t>Espirito</w:t>
      </w:r>
      <w:proofErr w:type="spellEnd"/>
      <w:r w:rsidRPr="00165B9A">
        <w:rPr>
          <w:rFonts w:ascii="Book Antiqua" w:hAnsi="Book Antiqua"/>
          <w:color w:val="000000" w:themeColor="text1"/>
        </w:rPr>
        <w:t xml:space="preserve"> Santo, </w:t>
      </w:r>
      <w:r w:rsidRPr="00165B9A">
        <w:rPr>
          <w:rFonts w:ascii="Book Antiqua" w:hAnsi="Book Antiqua"/>
          <w:color w:val="000000" w:themeColor="text1"/>
          <w:lang w:val="pt-BR"/>
        </w:rPr>
        <w:t>Brazil</w:t>
      </w:r>
    </w:p>
    <w:p w14:paraId="31253F63" w14:textId="77777777" w:rsidR="00A105B8" w:rsidRPr="00165B9A" w:rsidRDefault="00A105B8" w:rsidP="00165B9A">
      <w:pPr>
        <w:shd w:val="clear" w:color="auto" w:fill="FFFFFF"/>
        <w:spacing w:line="360" w:lineRule="auto"/>
        <w:jc w:val="both"/>
        <w:rPr>
          <w:rFonts w:ascii="Book Antiqua" w:hAnsi="Book Antiqua"/>
          <w:color w:val="000000" w:themeColor="text1"/>
          <w:lang w:val="pt-BR"/>
        </w:rPr>
      </w:pPr>
    </w:p>
    <w:p w14:paraId="7026EF09" w14:textId="1D53A4D9" w:rsidR="00A105B8" w:rsidRPr="00165B9A" w:rsidRDefault="00A105B8" w:rsidP="00165B9A">
      <w:pPr>
        <w:spacing w:line="360" w:lineRule="auto"/>
        <w:jc w:val="both"/>
        <w:rPr>
          <w:rFonts w:ascii="Book Antiqua" w:hAnsi="Book Antiqua" w:cs="Arial"/>
          <w:color w:val="000000" w:themeColor="text1"/>
          <w:lang w:val="pt-BR"/>
        </w:rPr>
      </w:pPr>
      <w:r w:rsidRPr="00165B9A">
        <w:rPr>
          <w:rFonts w:ascii="Book Antiqua" w:hAnsi="Book Antiqua"/>
          <w:b/>
          <w:color w:val="000000" w:themeColor="text1"/>
          <w:lang w:val="pt-BR"/>
        </w:rPr>
        <w:t xml:space="preserve">Diogo Turiani Hourneaux de Moura, Igor Braga Ribeiro, Sérgio Alexandre Barrichello, </w:t>
      </w:r>
      <w:r w:rsidRPr="00165B9A">
        <w:rPr>
          <w:rFonts w:ascii="Book Antiqua" w:eastAsia="Book Antiqua" w:hAnsi="Book Antiqua" w:cs="Book Antiqua"/>
          <w:color w:val="000000" w:themeColor="text1"/>
          <w:lang w:val="pt-BR"/>
        </w:rPr>
        <w:t>Gastrointestinal Endoscopy Unit, Hospital das Clínicas da Faculdade de Medicina da Universidade de São Paulo, São Paulo 05403-000, São Paulo, Brazil</w:t>
      </w:r>
    </w:p>
    <w:p w14:paraId="20AD0F1A" w14:textId="77777777" w:rsidR="00A105B8" w:rsidRPr="00165B9A" w:rsidRDefault="00A105B8" w:rsidP="00165B9A">
      <w:pPr>
        <w:spacing w:line="360" w:lineRule="auto"/>
        <w:jc w:val="both"/>
        <w:rPr>
          <w:rFonts w:ascii="Book Antiqua" w:hAnsi="Book Antiqua"/>
          <w:color w:val="000000" w:themeColor="text1"/>
          <w:lang w:val="pt-BR"/>
        </w:rPr>
      </w:pPr>
    </w:p>
    <w:p w14:paraId="2A292267" w14:textId="6EE56EC7" w:rsidR="00A105B8" w:rsidRPr="00165B9A" w:rsidRDefault="00A105B8" w:rsidP="00165B9A">
      <w:pPr>
        <w:spacing w:line="360" w:lineRule="auto"/>
        <w:jc w:val="both"/>
        <w:rPr>
          <w:rFonts w:ascii="Book Antiqua" w:eastAsia="Book Antiqua" w:hAnsi="Book Antiqua" w:cs="Book Antiqua"/>
          <w:noProof/>
          <w:color w:val="000000" w:themeColor="text1"/>
        </w:rPr>
      </w:pPr>
      <w:proofErr w:type="spellStart"/>
      <w:r w:rsidRPr="00165B9A">
        <w:rPr>
          <w:rFonts w:ascii="Book Antiqua" w:hAnsi="Book Antiqua"/>
          <w:b/>
          <w:color w:val="000000" w:themeColor="text1"/>
        </w:rPr>
        <w:t>Diogo</w:t>
      </w:r>
      <w:proofErr w:type="spellEnd"/>
      <w:r w:rsidRPr="00165B9A">
        <w:rPr>
          <w:rFonts w:ascii="Book Antiqua" w:hAnsi="Book Antiqua"/>
          <w:b/>
          <w:color w:val="000000" w:themeColor="text1"/>
        </w:rPr>
        <w:t xml:space="preserve"> </w:t>
      </w:r>
      <w:proofErr w:type="spellStart"/>
      <w:r w:rsidRPr="00165B9A">
        <w:rPr>
          <w:rFonts w:ascii="Book Antiqua" w:hAnsi="Book Antiqua"/>
          <w:b/>
          <w:color w:val="000000" w:themeColor="text1"/>
        </w:rPr>
        <w:t>Turiani</w:t>
      </w:r>
      <w:proofErr w:type="spellEnd"/>
      <w:r w:rsidRPr="00165B9A">
        <w:rPr>
          <w:rFonts w:ascii="Book Antiqua" w:hAnsi="Book Antiqua"/>
          <w:b/>
          <w:color w:val="000000" w:themeColor="text1"/>
        </w:rPr>
        <w:t xml:space="preserve"> </w:t>
      </w:r>
      <w:proofErr w:type="spellStart"/>
      <w:r w:rsidRPr="00165B9A">
        <w:rPr>
          <w:rFonts w:ascii="Book Antiqua" w:hAnsi="Book Antiqua"/>
          <w:b/>
          <w:color w:val="000000" w:themeColor="text1"/>
        </w:rPr>
        <w:t>Hourneaux</w:t>
      </w:r>
      <w:proofErr w:type="spellEnd"/>
      <w:r w:rsidRPr="00165B9A">
        <w:rPr>
          <w:rFonts w:ascii="Book Antiqua" w:hAnsi="Book Antiqua"/>
          <w:b/>
          <w:color w:val="000000" w:themeColor="text1"/>
        </w:rPr>
        <w:t xml:space="preserve"> de Moura, Kelly E </w:t>
      </w:r>
      <w:proofErr w:type="spellStart"/>
      <w:r w:rsidRPr="00165B9A">
        <w:rPr>
          <w:rFonts w:ascii="Book Antiqua" w:hAnsi="Book Antiqua"/>
          <w:b/>
          <w:color w:val="000000" w:themeColor="text1"/>
        </w:rPr>
        <w:t>Harthorn</w:t>
      </w:r>
      <w:proofErr w:type="spellEnd"/>
      <w:r w:rsidRPr="00165B9A">
        <w:rPr>
          <w:rFonts w:ascii="Book Antiqua" w:hAnsi="Book Antiqua"/>
          <w:b/>
          <w:color w:val="000000" w:themeColor="text1"/>
        </w:rPr>
        <w:t xml:space="preserve">, Christopher C Thompson, </w:t>
      </w:r>
      <w:r w:rsidRPr="00165B9A">
        <w:rPr>
          <w:rFonts w:ascii="Book Antiqua" w:eastAsia="Book Antiqua" w:hAnsi="Book Antiqua" w:cs="Book Antiqua"/>
          <w:noProof/>
          <w:color w:val="000000" w:themeColor="text1"/>
        </w:rPr>
        <w:t>Division of Gastroenterology, Hepatology and Endoscopy</w:t>
      </w:r>
      <w:r w:rsidR="00541614">
        <w:rPr>
          <w:rFonts w:ascii="Book Antiqua" w:eastAsia="Book Antiqua" w:hAnsi="Book Antiqua" w:cs="Book Antiqua"/>
          <w:noProof/>
          <w:color w:val="000000" w:themeColor="text1"/>
        </w:rPr>
        <w:t>,</w:t>
      </w:r>
      <w:r w:rsidRPr="00165B9A">
        <w:rPr>
          <w:rFonts w:ascii="Book Antiqua" w:eastAsia="Book Antiqua" w:hAnsi="Book Antiqua" w:cs="Book Antiqua"/>
          <w:noProof/>
          <w:color w:val="000000" w:themeColor="text1"/>
        </w:rPr>
        <w:t xml:space="preserve"> Brigham and Women’s Hospital</w:t>
      </w:r>
      <w:r w:rsidR="00541614">
        <w:rPr>
          <w:rFonts w:ascii="Book Antiqua" w:eastAsia="Book Antiqua" w:hAnsi="Book Antiqua" w:cs="Book Antiqua"/>
          <w:noProof/>
          <w:color w:val="000000" w:themeColor="text1"/>
        </w:rPr>
        <w:t xml:space="preserve">, </w:t>
      </w:r>
      <w:r w:rsidRPr="00165B9A">
        <w:rPr>
          <w:rFonts w:ascii="Book Antiqua" w:eastAsia="Book Antiqua" w:hAnsi="Book Antiqua" w:cs="Book Antiqua"/>
          <w:noProof/>
          <w:color w:val="000000" w:themeColor="text1"/>
        </w:rPr>
        <w:t>Harvard Medical School, Boston, MA 02115, United States</w:t>
      </w:r>
    </w:p>
    <w:p w14:paraId="0719879D" w14:textId="47816F61" w:rsidR="00A105B8" w:rsidRPr="00165B9A" w:rsidRDefault="00A105B8" w:rsidP="00165B9A">
      <w:pPr>
        <w:spacing w:line="360" w:lineRule="auto"/>
        <w:jc w:val="both"/>
        <w:rPr>
          <w:rFonts w:ascii="Book Antiqua" w:hAnsi="Book Antiqua"/>
          <w:color w:val="000000" w:themeColor="text1"/>
        </w:rPr>
      </w:pPr>
    </w:p>
    <w:p w14:paraId="422CA9D0" w14:textId="23C7C900" w:rsidR="00E6317A" w:rsidRPr="00165B9A" w:rsidRDefault="00E6317A" w:rsidP="00165B9A">
      <w:pPr>
        <w:spacing w:line="360" w:lineRule="auto"/>
        <w:jc w:val="both"/>
        <w:rPr>
          <w:rFonts w:ascii="Book Antiqua" w:hAnsi="Book Antiqua"/>
          <w:color w:val="000000" w:themeColor="text1"/>
        </w:rPr>
      </w:pPr>
      <w:r w:rsidRPr="00165B9A">
        <w:rPr>
          <w:rFonts w:ascii="Book Antiqua" w:hAnsi="Book Antiqua"/>
          <w:b/>
          <w:color w:val="000000" w:themeColor="text1"/>
          <w:lang w:val="en-GB"/>
        </w:rPr>
        <w:t xml:space="preserve">Author contributions: </w:t>
      </w:r>
      <w:r w:rsidRPr="00165B9A">
        <w:rPr>
          <w:rFonts w:ascii="Book Antiqua" w:hAnsi="Book Antiqua"/>
          <w:bCs/>
          <w:color w:val="000000" w:themeColor="text1"/>
        </w:rPr>
        <w:t>de Moura</w:t>
      </w:r>
      <w:r w:rsidRPr="00165B9A">
        <w:rPr>
          <w:rFonts w:ascii="Book Antiqua" w:hAnsi="Book Antiqua"/>
          <w:color w:val="000000" w:themeColor="text1"/>
        </w:rPr>
        <w:t xml:space="preserve"> DTH and Barrichello SA conceived and designed the study; </w:t>
      </w:r>
      <w:r w:rsidRPr="00165B9A">
        <w:rPr>
          <w:rFonts w:ascii="Book Antiqua" w:hAnsi="Book Antiqua" w:cs="Arial"/>
          <w:color w:val="000000" w:themeColor="text1"/>
          <w:lang w:val="pt-BR"/>
        </w:rPr>
        <w:t>de</w:t>
      </w:r>
      <w:r w:rsidRPr="00165B9A">
        <w:rPr>
          <w:rFonts w:ascii="Book Antiqua" w:hAnsi="Book Antiqua"/>
          <w:color w:val="000000" w:themeColor="text1"/>
        </w:rPr>
        <w:t xml:space="preserve"> Siqueira </w:t>
      </w:r>
      <w:proofErr w:type="spellStart"/>
      <w:r w:rsidRPr="00165B9A">
        <w:rPr>
          <w:rFonts w:ascii="Book Antiqua" w:hAnsi="Book Antiqua"/>
          <w:color w:val="000000" w:themeColor="text1"/>
        </w:rPr>
        <w:t>Neto</w:t>
      </w:r>
      <w:proofErr w:type="spellEnd"/>
      <w:r w:rsidRPr="00165B9A">
        <w:rPr>
          <w:rFonts w:ascii="Book Antiqua" w:hAnsi="Book Antiqua"/>
          <w:color w:val="000000" w:themeColor="text1"/>
        </w:rPr>
        <w:t xml:space="preserve"> J performed the procedure; Ribeiro IB carried out the literature search; </w:t>
      </w:r>
      <w:proofErr w:type="spellStart"/>
      <w:r w:rsidRPr="00165B9A">
        <w:rPr>
          <w:rFonts w:ascii="Book Antiqua" w:hAnsi="Book Antiqua"/>
          <w:color w:val="000000" w:themeColor="text1"/>
        </w:rPr>
        <w:t>Harthorn</w:t>
      </w:r>
      <w:proofErr w:type="spellEnd"/>
      <w:r w:rsidRPr="00165B9A">
        <w:rPr>
          <w:rFonts w:ascii="Book Antiqua" w:hAnsi="Book Antiqua"/>
          <w:color w:val="000000" w:themeColor="text1"/>
        </w:rPr>
        <w:t xml:space="preserve"> KE and </w:t>
      </w:r>
      <w:bookmarkStart w:id="10" w:name="_GoBack"/>
      <w:r w:rsidRPr="00165B9A">
        <w:rPr>
          <w:rFonts w:ascii="Book Antiqua" w:hAnsi="Book Antiqua"/>
          <w:color w:val="000000" w:themeColor="text1"/>
        </w:rPr>
        <w:t>Thompson C</w:t>
      </w:r>
      <w:r w:rsidR="00730355">
        <w:rPr>
          <w:rFonts w:ascii="Book Antiqua" w:hAnsi="Book Antiqua"/>
          <w:color w:val="000000" w:themeColor="text1"/>
        </w:rPr>
        <w:t>C</w:t>
      </w:r>
      <w:r w:rsidRPr="00165B9A">
        <w:rPr>
          <w:rFonts w:ascii="Book Antiqua" w:hAnsi="Book Antiqua"/>
          <w:color w:val="000000" w:themeColor="text1"/>
        </w:rPr>
        <w:t xml:space="preserve"> </w:t>
      </w:r>
      <w:bookmarkEnd w:id="10"/>
      <w:r w:rsidRPr="00165B9A">
        <w:rPr>
          <w:rFonts w:ascii="Book Antiqua" w:hAnsi="Book Antiqua" w:cs="Arial"/>
          <w:color w:val="000000" w:themeColor="text1"/>
        </w:rPr>
        <w:t>reviewed the case and edited the manuscript</w:t>
      </w:r>
      <w:r w:rsidRPr="00165B9A">
        <w:rPr>
          <w:rFonts w:ascii="Book Antiqua" w:hAnsi="Book Antiqua"/>
          <w:color w:val="000000" w:themeColor="text1"/>
        </w:rPr>
        <w:t>; all authors contributed to finalizing the present version of the paper and approved the manuscript for publication.</w:t>
      </w:r>
    </w:p>
    <w:p w14:paraId="08C1BE28" w14:textId="0BA8B0D1" w:rsidR="00E6317A" w:rsidRPr="00165B9A" w:rsidRDefault="00E6317A" w:rsidP="00165B9A">
      <w:pPr>
        <w:spacing w:line="360" w:lineRule="auto"/>
        <w:jc w:val="both"/>
        <w:rPr>
          <w:rFonts w:ascii="Book Antiqua" w:hAnsi="Book Antiqua"/>
          <w:color w:val="000000" w:themeColor="text1"/>
        </w:rPr>
      </w:pPr>
    </w:p>
    <w:p w14:paraId="40BE6547" w14:textId="78943EBC" w:rsidR="002648B4" w:rsidRPr="00165B9A" w:rsidRDefault="003069D7" w:rsidP="00165B9A">
      <w:pPr>
        <w:spacing w:line="360" w:lineRule="auto"/>
        <w:jc w:val="both"/>
        <w:rPr>
          <w:rFonts w:ascii="Book Antiqua" w:eastAsia="Book Antiqua" w:hAnsi="Book Antiqua" w:cs="Book Antiqua"/>
          <w:noProof/>
          <w:color w:val="000000" w:themeColor="text1"/>
        </w:rPr>
      </w:pPr>
      <w:r w:rsidRPr="00165B9A">
        <w:rPr>
          <w:rFonts w:ascii="Book Antiqua" w:hAnsi="Book Antiqua" w:cs="Calibri"/>
          <w:b/>
          <w:color w:val="000000" w:themeColor="text1"/>
          <w:lang w:val="hu-HU"/>
        </w:rPr>
        <w:lastRenderedPageBreak/>
        <w:t>Corresponding author:</w:t>
      </w:r>
      <w:r w:rsidRPr="00165B9A">
        <w:rPr>
          <w:rFonts w:ascii="Book Antiqua" w:hAnsi="Book Antiqua"/>
          <w:color w:val="000000" w:themeColor="text1"/>
          <w:lang w:eastAsia="zh-CN"/>
        </w:rPr>
        <w:t xml:space="preserve"> </w:t>
      </w:r>
      <w:r w:rsidR="002648B4" w:rsidRPr="00165B9A">
        <w:rPr>
          <w:rFonts w:ascii="Book Antiqua" w:hAnsi="Book Antiqua"/>
          <w:b/>
          <w:color w:val="000000" w:themeColor="text1"/>
        </w:rPr>
        <w:t xml:space="preserve">Christopher C Thompson, </w:t>
      </w:r>
      <w:bookmarkStart w:id="11" w:name="OLE_LINK16"/>
      <w:bookmarkStart w:id="12" w:name="OLE_LINK17"/>
      <w:bookmarkStart w:id="13" w:name="OLE_LINK19"/>
      <w:r w:rsidR="003D5B19" w:rsidRPr="003D5B19">
        <w:rPr>
          <w:rFonts w:ascii="Book Antiqua" w:hAnsi="Book Antiqua"/>
          <w:b/>
          <w:color w:val="000000" w:themeColor="text1"/>
        </w:rPr>
        <w:t xml:space="preserve">FASGE, MD, MSc, PhD, Professor, </w:t>
      </w:r>
      <w:r w:rsidR="002648B4" w:rsidRPr="00165B9A">
        <w:rPr>
          <w:rFonts w:ascii="Book Antiqua" w:eastAsia="Book Antiqua" w:hAnsi="Book Antiqua" w:cs="Book Antiqua"/>
          <w:noProof/>
          <w:color w:val="000000" w:themeColor="text1"/>
        </w:rPr>
        <w:t>Division of Gastroenterology</w:t>
      </w:r>
      <w:bookmarkEnd w:id="11"/>
      <w:bookmarkEnd w:id="12"/>
      <w:r w:rsidR="002648B4" w:rsidRPr="00165B9A">
        <w:rPr>
          <w:rFonts w:ascii="Book Antiqua" w:eastAsia="Book Antiqua" w:hAnsi="Book Antiqua" w:cs="Book Antiqua"/>
          <w:noProof/>
          <w:color w:val="000000" w:themeColor="text1"/>
        </w:rPr>
        <w:t>, Hepatology and Endoscopy</w:t>
      </w:r>
      <w:r w:rsidR="00045ECE">
        <w:rPr>
          <w:rFonts w:ascii="Book Antiqua" w:eastAsia="Book Antiqua" w:hAnsi="Book Antiqua" w:cs="Book Antiqua"/>
          <w:noProof/>
          <w:color w:val="000000" w:themeColor="text1"/>
        </w:rPr>
        <w:t>,</w:t>
      </w:r>
      <w:bookmarkEnd w:id="13"/>
      <w:r w:rsidR="00045ECE">
        <w:rPr>
          <w:rFonts w:ascii="Book Antiqua" w:eastAsia="Book Antiqua" w:hAnsi="Book Antiqua" w:cs="Book Antiqua"/>
          <w:noProof/>
          <w:color w:val="000000" w:themeColor="text1"/>
        </w:rPr>
        <w:t xml:space="preserve"> </w:t>
      </w:r>
      <w:bookmarkStart w:id="14" w:name="OLE_LINK20"/>
      <w:r w:rsidR="002648B4" w:rsidRPr="00165B9A">
        <w:rPr>
          <w:rFonts w:ascii="Book Antiqua" w:eastAsia="Book Antiqua" w:hAnsi="Book Antiqua" w:cs="Book Antiqua"/>
          <w:noProof/>
          <w:color w:val="000000" w:themeColor="text1"/>
        </w:rPr>
        <w:t>Brigham and Women’s Hospital</w:t>
      </w:r>
      <w:r w:rsidR="00045ECE">
        <w:rPr>
          <w:rFonts w:ascii="Book Antiqua" w:eastAsia="Book Antiqua" w:hAnsi="Book Antiqua" w:cs="Book Antiqua"/>
          <w:noProof/>
          <w:color w:val="000000" w:themeColor="text1"/>
        </w:rPr>
        <w:t xml:space="preserve">, </w:t>
      </w:r>
      <w:r w:rsidR="002648B4" w:rsidRPr="00165B9A">
        <w:rPr>
          <w:rFonts w:ascii="Book Antiqua" w:eastAsia="Book Antiqua" w:hAnsi="Book Antiqua" w:cs="Book Antiqua"/>
          <w:noProof/>
          <w:color w:val="000000" w:themeColor="text1"/>
        </w:rPr>
        <w:t>Harvard Medical School</w:t>
      </w:r>
      <w:bookmarkEnd w:id="14"/>
      <w:r w:rsidR="002648B4" w:rsidRPr="00165B9A">
        <w:rPr>
          <w:rFonts w:ascii="Book Antiqua" w:eastAsia="Book Antiqua" w:hAnsi="Book Antiqua" w:cs="Book Antiqua"/>
          <w:noProof/>
          <w:color w:val="000000" w:themeColor="text1"/>
        </w:rPr>
        <w:t xml:space="preserve">, </w:t>
      </w:r>
      <w:bookmarkStart w:id="15" w:name="OLE_LINK21"/>
      <w:r w:rsidR="002648B4" w:rsidRPr="00165B9A">
        <w:rPr>
          <w:rFonts w:ascii="Book Antiqua" w:eastAsia="Book Antiqua" w:hAnsi="Book Antiqua" w:cs="Book Antiqua"/>
          <w:noProof/>
          <w:color w:val="000000" w:themeColor="text1"/>
        </w:rPr>
        <w:t>75 Francis St., Thorn 1404</w:t>
      </w:r>
      <w:bookmarkEnd w:id="15"/>
      <w:r w:rsidR="002648B4" w:rsidRPr="00165B9A">
        <w:rPr>
          <w:rFonts w:ascii="Book Antiqua" w:eastAsia="Book Antiqua" w:hAnsi="Book Antiqua" w:cs="Book Antiqua"/>
          <w:noProof/>
          <w:color w:val="000000" w:themeColor="text1"/>
        </w:rPr>
        <w:t xml:space="preserve">, Boston, MA 02115, United States. </w:t>
      </w:r>
      <w:hyperlink r:id="rId8" w:history="1">
        <w:r w:rsidR="002648B4" w:rsidRPr="00165B9A">
          <w:rPr>
            <w:rStyle w:val="Hyperlink"/>
            <w:rFonts w:ascii="Book Antiqua" w:eastAsia="Book Antiqua" w:hAnsi="Book Antiqua" w:cs="Book Antiqua"/>
            <w:noProof/>
            <w:color w:val="000000" w:themeColor="text1"/>
            <w:u w:val="none"/>
          </w:rPr>
          <w:t>cthompson@hms.harvard.edu</w:t>
        </w:r>
      </w:hyperlink>
    </w:p>
    <w:p w14:paraId="243B1637" w14:textId="09D00C28" w:rsidR="001101CE" w:rsidRPr="00165B9A" w:rsidRDefault="001101CE" w:rsidP="00165B9A">
      <w:pPr>
        <w:spacing w:line="360" w:lineRule="auto"/>
        <w:jc w:val="both"/>
        <w:rPr>
          <w:rFonts w:ascii="Book Antiqua" w:hAnsi="Book Antiqua" w:cs="Arial"/>
          <w:color w:val="000000" w:themeColor="text1"/>
          <w:lang w:val="pt-BR"/>
        </w:rPr>
      </w:pPr>
    </w:p>
    <w:p w14:paraId="037CA65C" w14:textId="1967CC9E" w:rsidR="006F5F75" w:rsidRPr="00165B9A" w:rsidRDefault="006F5F75" w:rsidP="00165B9A">
      <w:pPr>
        <w:spacing w:line="360" w:lineRule="auto"/>
        <w:jc w:val="both"/>
        <w:rPr>
          <w:rFonts w:ascii="Book Antiqua" w:hAnsi="Book Antiqua"/>
          <w:b/>
          <w:color w:val="000000" w:themeColor="text1"/>
          <w:lang w:val="en-GB"/>
        </w:rPr>
      </w:pPr>
      <w:r w:rsidRPr="00165B9A">
        <w:rPr>
          <w:rFonts w:ascii="Book Antiqua" w:hAnsi="Book Antiqua"/>
          <w:b/>
          <w:color w:val="000000" w:themeColor="text1"/>
          <w:lang w:val="en-GB"/>
        </w:rPr>
        <w:t xml:space="preserve">Received: </w:t>
      </w:r>
      <w:r w:rsidRPr="00165B9A">
        <w:rPr>
          <w:rFonts w:ascii="Book Antiqua" w:hAnsi="Book Antiqua"/>
          <w:color w:val="000000" w:themeColor="text1"/>
          <w:lang w:val="en-GB" w:eastAsia="zh-CN"/>
        </w:rPr>
        <w:t>November 6, 2019</w:t>
      </w:r>
    </w:p>
    <w:p w14:paraId="6006C1C1" w14:textId="643D0FD0" w:rsidR="006F5F75" w:rsidRPr="00165B9A" w:rsidRDefault="006F5F75" w:rsidP="00165B9A">
      <w:pPr>
        <w:spacing w:line="360" w:lineRule="auto"/>
        <w:jc w:val="both"/>
        <w:rPr>
          <w:rFonts w:ascii="Book Antiqua" w:hAnsi="Book Antiqua"/>
          <w:b/>
          <w:color w:val="000000" w:themeColor="text1"/>
          <w:lang w:val="en-GB"/>
        </w:rPr>
      </w:pPr>
      <w:r w:rsidRPr="00165B9A">
        <w:rPr>
          <w:rFonts w:ascii="Book Antiqua" w:hAnsi="Book Antiqua"/>
          <w:b/>
          <w:color w:val="000000" w:themeColor="text1"/>
          <w:lang w:val="en-GB"/>
        </w:rPr>
        <w:t xml:space="preserve">Revised: </w:t>
      </w:r>
      <w:r w:rsidRPr="00165B9A">
        <w:rPr>
          <w:rFonts w:ascii="Book Antiqua" w:hAnsi="Book Antiqua"/>
          <w:color w:val="000000" w:themeColor="text1"/>
          <w:lang w:val="en-GB" w:eastAsia="zh-CN"/>
        </w:rPr>
        <w:t>November 29, 2019</w:t>
      </w:r>
    </w:p>
    <w:p w14:paraId="7E43FB00" w14:textId="7C60BA00" w:rsidR="006F5F75" w:rsidRPr="00A37521" w:rsidRDefault="006F5F75" w:rsidP="00165B9A">
      <w:pPr>
        <w:spacing w:line="360" w:lineRule="auto"/>
        <w:jc w:val="both"/>
        <w:rPr>
          <w:rFonts w:ascii="Book Antiqua" w:hAnsi="Book Antiqua"/>
          <w:b/>
          <w:color w:val="000000" w:themeColor="text1"/>
        </w:rPr>
      </w:pPr>
      <w:r w:rsidRPr="00165B9A">
        <w:rPr>
          <w:rFonts w:ascii="Book Antiqua" w:hAnsi="Book Antiqua"/>
          <w:b/>
          <w:color w:val="000000" w:themeColor="text1"/>
          <w:lang w:val="en-GB"/>
        </w:rPr>
        <w:t>Accepted:</w:t>
      </w:r>
      <w:r w:rsidRPr="00165B9A">
        <w:rPr>
          <w:rFonts w:ascii="Book Antiqua" w:hAnsi="Book Antiqua"/>
          <w:color w:val="000000" w:themeColor="text1"/>
          <w:lang w:val="el-GR"/>
        </w:rPr>
        <w:t xml:space="preserve"> </w:t>
      </w:r>
      <w:r w:rsidR="00730355">
        <w:rPr>
          <w:rFonts w:ascii="Book Antiqua" w:hAnsi="Book Antiqua"/>
          <w:color w:val="000000" w:themeColor="text1"/>
        </w:rPr>
        <w:t>December 23, 2019</w:t>
      </w:r>
    </w:p>
    <w:p w14:paraId="0D6F1BA6" w14:textId="7C853B63" w:rsidR="001101CE" w:rsidRPr="00165B9A" w:rsidRDefault="006F5F75" w:rsidP="00165B9A">
      <w:pPr>
        <w:spacing w:line="360" w:lineRule="auto"/>
        <w:jc w:val="both"/>
        <w:rPr>
          <w:rFonts w:ascii="Book Antiqua" w:hAnsi="Book Antiqua"/>
          <w:b/>
          <w:color w:val="000000" w:themeColor="text1"/>
          <w:lang w:val="en-GB" w:eastAsia="zh-CN"/>
        </w:rPr>
      </w:pPr>
      <w:r w:rsidRPr="00165B9A">
        <w:rPr>
          <w:rFonts w:ascii="Book Antiqua" w:hAnsi="Book Antiqua"/>
          <w:b/>
          <w:color w:val="000000" w:themeColor="text1"/>
          <w:lang w:val="en-GB"/>
        </w:rPr>
        <w:t xml:space="preserve">Published online: </w:t>
      </w:r>
    </w:p>
    <w:p w14:paraId="66A7342E" w14:textId="77777777" w:rsidR="009807C4" w:rsidRPr="00165B9A" w:rsidRDefault="009807C4" w:rsidP="00165B9A">
      <w:pPr>
        <w:spacing w:line="360" w:lineRule="auto"/>
        <w:jc w:val="both"/>
        <w:rPr>
          <w:rFonts w:ascii="Book Antiqua" w:hAnsi="Book Antiqua"/>
          <w:b/>
          <w:color w:val="000000" w:themeColor="text1"/>
        </w:rPr>
      </w:pPr>
      <w:r w:rsidRPr="00165B9A">
        <w:rPr>
          <w:rFonts w:ascii="Book Antiqua" w:hAnsi="Book Antiqua"/>
          <w:b/>
          <w:color w:val="000000" w:themeColor="text1"/>
        </w:rPr>
        <w:br w:type="page"/>
      </w:r>
      <w:r w:rsidRPr="00165B9A">
        <w:rPr>
          <w:rFonts w:ascii="Book Antiqua" w:hAnsi="Book Antiqua"/>
          <w:b/>
          <w:color w:val="000000" w:themeColor="text1"/>
        </w:rPr>
        <w:lastRenderedPageBreak/>
        <w:t>Abstract</w:t>
      </w:r>
    </w:p>
    <w:p w14:paraId="3789ACE4" w14:textId="77777777" w:rsidR="009807C4" w:rsidRPr="00165B9A" w:rsidRDefault="009807C4" w:rsidP="00165B9A">
      <w:pPr>
        <w:spacing w:line="360" w:lineRule="auto"/>
        <w:jc w:val="both"/>
        <w:rPr>
          <w:rFonts w:ascii="Book Antiqua" w:hAnsi="Book Antiqua"/>
          <w:bCs/>
          <w:iCs/>
          <w:color w:val="000000" w:themeColor="text1"/>
        </w:rPr>
      </w:pPr>
      <w:r w:rsidRPr="00165B9A">
        <w:rPr>
          <w:rFonts w:ascii="Book Antiqua" w:hAnsi="Book Antiqua"/>
          <w:bCs/>
          <w:iCs/>
          <w:color w:val="000000" w:themeColor="text1"/>
        </w:rPr>
        <w:t>BACKGROUND</w:t>
      </w:r>
    </w:p>
    <w:p w14:paraId="37BA7B0C" w14:textId="5FD068FF" w:rsidR="009807C4" w:rsidRPr="00165B9A" w:rsidRDefault="009807C4"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The </w:t>
      </w:r>
      <w:r w:rsidR="00A16384" w:rsidRPr="00165B9A">
        <w:rPr>
          <w:rFonts w:ascii="Book Antiqua" w:hAnsi="Book Antiqua"/>
          <w:color w:val="000000" w:themeColor="text1"/>
        </w:rPr>
        <w:t xml:space="preserve">healthcare </w:t>
      </w:r>
      <w:r w:rsidRPr="00165B9A">
        <w:rPr>
          <w:rFonts w:ascii="Book Antiqua" w:hAnsi="Book Antiqua"/>
          <w:color w:val="000000" w:themeColor="text1"/>
        </w:rPr>
        <w:t xml:space="preserve">impact of obesity is enormous, and there have been calls for new approaches to containing the epidemic worldwide. Minimally invasive procedures have become more popular, </w:t>
      </w:r>
      <w:r w:rsidR="00A16384" w:rsidRPr="00165B9A">
        <w:rPr>
          <w:rFonts w:ascii="Book Antiqua" w:hAnsi="Book Antiqua"/>
          <w:color w:val="000000" w:themeColor="text1"/>
        </w:rPr>
        <w:t xml:space="preserve">with one </w:t>
      </w:r>
      <w:r w:rsidRPr="00165B9A">
        <w:rPr>
          <w:rFonts w:ascii="Book Antiqua" w:hAnsi="Book Antiqua"/>
          <w:color w:val="000000" w:themeColor="text1"/>
        </w:rPr>
        <w:t>of the most widely used being endoscopic sleeve gastroplasty</w:t>
      </w:r>
      <w:r w:rsidR="00A16384" w:rsidRPr="00165B9A">
        <w:rPr>
          <w:rFonts w:ascii="Book Antiqua" w:hAnsi="Book Antiqua"/>
          <w:color w:val="000000" w:themeColor="text1"/>
        </w:rPr>
        <w:t xml:space="preserve"> (ESG)</w:t>
      </w:r>
      <w:r w:rsidRPr="00165B9A">
        <w:rPr>
          <w:rFonts w:ascii="Book Antiqua" w:hAnsi="Book Antiqua"/>
          <w:color w:val="000000" w:themeColor="text1"/>
        </w:rPr>
        <w:t xml:space="preserve">. Although major adverse events after </w:t>
      </w:r>
      <w:r w:rsidR="00751AC7" w:rsidRPr="00165B9A">
        <w:rPr>
          <w:rFonts w:ascii="Book Antiqua" w:hAnsi="Book Antiqua"/>
          <w:color w:val="000000" w:themeColor="text1"/>
        </w:rPr>
        <w:t>ESG</w:t>
      </w:r>
      <w:r w:rsidRPr="00165B9A">
        <w:rPr>
          <w:rFonts w:ascii="Book Antiqua" w:hAnsi="Book Antiqua"/>
          <w:color w:val="000000" w:themeColor="text1"/>
        </w:rPr>
        <w:t xml:space="preserve"> are rare, some can cause considerable </w:t>
      </w:r>
      <w:r w:rsidR="00A16384" w:rsidRPr="00165B9A">
        <w:rPr>
          <w:rFonts w:ascii="Book Antiqua" w:hAnsi="Book Antiqua"/>
          <w:color w:val="000000" w:themeColor="text1"/>
        </w:rPr>
        <w:t>mortality</w:t>
      </w:r>
      <w:r w:rsidRPr="00165B9A">
        <w:rPr>
          <w:rFonts w:ascii="Book Antiqua" w:hAnsi="Book Antiqua"/>
          <w:color w:val="000000" w:themeColor="text1"/>
        </w:rPr>
        <w:t xml:space="preserve">. To our knowledge, there </w:t>
      </w:r>
      <w:r w:rsidR="00D16272" w:rsidRPr="00165B9A">
        <w:rPr>
          <w:rFonts w:ascii="Book Antiqua" w:hAnsi="Book Antiqua"/>
          <w:color w:val="000000" w:themeColor="text1"/>
        </w:rPr>
        <w:t xml:space="preserve">has </w:t>
      </w:r>
      <w:r w:rsidRPr="00165B9A">
        <w:rPr>
          <w:rFonts w:ascii="Book Antiqua" w:hAnsi="Book Antiqua"/>
          <w:color w:val="000000" w:themeColor="text1"/>
        </w:rPr>
        <w:t xml:space="preserve">been </w:t>
      </w:r>
      <w:r w:rsidR="00720457" w:rsidRPr="00165B9A">
        <w:rPr>
          <w:rFonts w:ascii="Book Antiqua" w:hAnsi="Book Antiqua"/>
          <w:color w:val="000000" w:themeColor="text1"/>
        </w:rPr>
        <w:t>no</w:t>
      </w:r>
      <w:r w:rsidRPr="00165B9A">
        <w:rPr>
          <w:rFonts w:ascii="Book Antiqua" w:hAnsi="Book Antiqua"/>
          <w:color w:val="000000" w:themeColor="text1"/>
        </w:rPr>
        <w:t xml:space="preserve"> previous report of biliary ascites</w:t>
      </w:r>
      <w:r w:rsidR="00751AC7" w:rsidRPr="00165B9A">
        <w:rPr>
          <w:rFonts w:ascii="Book Antiqua" w:hAnsi="Book Antiqua"/>
          <w:color w:val="000000" w:themeColor="text1"/>
        </w:rPr>
        <w:t xml:space="preserve"> </w:t>
      </w:r>
      <w:r w:rsidRPr="00165B9A">
        <w:rPr>
          <w:rFonts w:ascii="Book Antiqua" w:hAnsi="Book Antiqua"/>
          <w:color w:val="000000" w:themeColor="text1"/>
        </w:rPr>
        <w:t xml:space="preserve">after </w:t>
      </w:r>
      <w:r w:rsidR="00A16384" w:rsidRPr="00165B9A">
        <w:rPr>
          <w:rFonts w:ascii="Book Antiqua" w:hAnsi="Book Antiqua"/>
          <w:color w:val="000000" w:themeColor="text1"/>
        </w:rPr>
        <w:t>ESG</w:t>
      </w:r>
      <w:r w:rsidRPr="00165B9A">
        <w:rPr>
          <w:rFonts w:ascii="Book Antiqua" w:hAnsi="Book Antiqua"/>
          <w:color w:val="000000" w:themeColor="text1"/>
        </w:rPr>
        <w:t>.</w:t>
      </w:r>
    </w:p>
    <w:p w14:paraId="5958E5D0" w14:textId="77777777" w:rsidR="009C57E9" w:rsidRPr="00165B9A" w:rsidRDefault="009C57E9" w:rsidP="00165B9A">
      <w:pPr>
        <w:spacing w:line="360" w:lineRule="auto"/>
        <w:jc w:val="both"/>
        <w:rPr>
          <w:rFonts w:ascii="Book Antiqua" w:hAnsi="Book Antiqua"/>
          <w:color w:val="000000" w:themeColor="text1"/>
        </w:rPr>
      </w:pPr>
    </w:p>
    <w:p w14:paraId="080F5B7F" w14:textId="77777777" w:rsidR="009807C4" w:rsidRPr="00165B9A" w:rsidRDefault="009807C4" w:rsidP="00165B9A">
      <w:pPr>
        <w:spacing w:line="360" w:lineRule="auto"/>
        <w:jc w:val="both"/>
        <w:rPr>
          <w:rFonts w:ascii="Book Antiqua" w:hAnsi="Book Antiqua"/>
          <w:bCs/>
          <w:iCs/>
          <w:color w:val="000000" w:themeColor="text1"/>
        </w:rPr>
      </w:pPr>
      <w:r w:rsidRPr="00165B9A">
        <w:rPr>
          <w:rFonts w:ascii="Book Antiqua" w:hAnsi="Book Antiqua"/>
          <w:bCs/>
          <w:iCs/>
          <w:color w:val="000000" w:themeColor="text1"/>
        </w:rPr>
        <w:t>CASE SUMMARY</w:t>
      </w:r>
    </w:p>
    <w:p w14:paraId="5035CC56" w14:textId="2875C5ED" w:rsidR="009807C4" w:rsidRPr="00165B9A" w:rsidRDefault="009807C4"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A 48-year-old female with obesity refractory to lifestyle changes and </w:t>
      </w:r>
      <w:r w:rsidR="00F11D54" w:rsidRPr="00165B9A">
        <w:rPr>
          <w:rFonts w:ascii="Book Antiqua" w:hAnsi="Book Antiqua"/>
          <w:color w:val="000000" w:themeColor="text1"/>
        </w:rPr>
        <w:t xml:space="preserve">prior </w:t>
      </w:r>
      <w:r w:rsidRPr="00165B9A">
        <w:rPr>
          <w:rFonts w:ascii="Book Antiqua" w:hAnsi="Book Antiqua"/>
          <w:color w:val="000000" w:themeColor="text1"/>
        </w:rPr>
        <w:t xml:space="preserve">gastric balloon placement underwent </w:t>
      </w:r>
      <w:r w:rsidR="004F102A" w:rsidRPr="00165B9A">
        <w:rPr>
          <w:rFonts w:ascii="Book Antiqua" w:hAnsi="Book Antiqua"/>
          <w:color w:val="000000" w:themeColor="text1"/>
        </w:rPr>
        <w:t xml:space="preserve">uncomplicated </w:t>
      </w:r>
      <w:r w:rsidR="00A16384" w:rsidRPr="00165B9A">
        <w:rPr>
          <w:rFonts w:ascii="Book Antiqua" w:hAnsi="Book Antiqua"/>
          <w:color w:val="000000" w:themeColor="text1"/>
        </w:rPr>
        <w:t>ESG</w:t>
      </w:r>
      <w:r w:rsidRPr="00165B9A">
        <w:rPr>
          <w:rFonts w:ascii="Book Antiqua" w:hAnsi="Book Antiqua"/>
          <w:color w:val="000000" w:themeColor="text1"/>
        </w:rPr>
        <w:t xml:space="preserve"> </w:t>
      </w:r>
      <w:r w:rsidR="004F102A" w:rsidRPr="00165B9A">
        <w:rPr>
          <w:rFonts w:ascii="Book Antiqua" w:hAnsi="Book Antiqua"/>
          <w:color w:val="000000" w:themeColor="text1"/>
        </w:rPr>
        <w:t>and was</w:t>
      </w:r>
      <w:r w:rsidRPr="00165B9A">
        <w:rPr>
          <w:rFonts w:ascii="Book Antiqua" w:hAnsi="Book Antiqua"/>
          <w:color w:val="000000" w:themeColor="text1"/>
        </w:rPr>
        <w:t xml:space="preserve"> discharged on the following day. On postoperative day 3, she developed abdominal pain, which led to an emergency department </w:t>
      </w:r>
      <w:r w:rsidR="00A16384" w:rsidRPr="00165B9A">
        <w:rPr>
          <w:rFonts w:ascii="Book Antiqua" w:hAnsi="Book Antiqua"/>
          <w:color w:val="000000" w:themeColor="text1"/>
        </w:rPr>
        <w:t>visit the following day</w:t>
      </w:r>
      <w:r w:rsidRPr="00165B9A">
        <w:rPr>
          <w:rFonts w:ascii="Book Antiqua" w:hAnsi="Book Antiqua"/>
          <w:color w:val="000000" w:themeColor="text1"/>
        </w:rPr>
        <w:t>. She was readmitted to the hospital, with poor general health status and signs of peritoneal irritation. Computed tomography</w:t>
      </w:r>
      <w:r w:rsidR="00A16384" w:rsidRPr="00165B9A">
        <w:rPr>
          <w:rFonts w:ascii="Book Antiqua" w:hAnsi="Book Antiqua"/>
          <w:color w:val="000000" w:themeColor="text1"/>
        </w:rPr>
        <w:t xml:space="preserve"> imaging</w:t>
      </w:r>
      <w:r w:rsidRPr="00165B9A">
        <w:rPr>
          <w:rFonts w:ascii="Book Antiqua" w:hAnsi="Book Antiqua"/>
          <w:color w:val="000000" w:themeColor="text1"/>
        </w:rPr>
        <w:t xml:space="preserve"> showed fluid in the abdominal cavity. Laparoscopy revealed biliary ascites and showed that the gallbladder was sutured to the gastric wall. The patient underwent cholecystectomy and lavage of the abdominal cavity and was admitted to the intensive care unit</w:t>
      </w:r>
      <w:r w:rsidR="00A16384" w:rsidRPr="00165B9A">
        <w:rPr>
          <w:rFonts w:ascii="Book Antiqua" w:hAnsi="Book Antiqua"/>
          <w:color w:val="000000" w:themeColor="text1"/>
        </w:rPr>
        <w:t xml:space="preserve"> post-operatively</w:t>
      </w:r>
      <w:r w:rsidRPr="00165B9A">
        <w:rPr>
          <w:rFonts w:ascii="Book Antiqua" w:hAnsi="Book Antiqua"/>
          <w:color w:val="000000" w:themeColor="text1"/>
        </w:rPr>
        <w:t>. After 7 d of antibiotic therapy and 20 d of hospitalization, she was discharged</w:t>
      </w:r>
      <w:r w:rsidR="00A16384" w:rsidRPr="00165B9A">
        <w:rPr>
          <w:rFonts w:ascii="Book Antiqua" w:hAnsi="Book Antiqua"/>
          <w:color w:val="000000" w:themeColor="text1"/>
        </w:rPr>
        <w:t xml:space="preserve">. Fortunately, </w:t>
      </w:r>
      <w:r w:rsidRPr="00165B9A">
        <w:rPr>
          <w:rFonts w:ascii="Book Antiqua" w:hAnsi="Book Antiqua"/>
          <w:color w:val="000000" w:themeColor="text1"/>
        </w:rPr>
        <w:t xml:space="preserve">6 </w:t>
      </w:r>
      <w:proofErr w:type="spellStart"/>
      <w:r w:rsidRPr="00165B9A">
        <w:rPr>
          <w:rFonts w:ascii="Book Antiqua" w:hAnsi="Book Antiqua"/>
          <w:color w:val="000000" w:themeColor="text1"/>
        </w:rPr>
        <w:t>mo</w:t>
      </w:r>
      <w:proofErr w:type="spellEnd"/>
      <w:r w:rsidRPr="00165B9A">
        <w:rPr>
          <w:rFonts w:ascii="Book Antiqua" w:hAnsi="Book Antiqua"/>
          <w:color w:val="000000" w:themeColor="text1"/>
        </w:rPr>
        <w:t xml:space="preserve"> later, she presented </w:t>
      </w:r>
      <w:r w:rsidR="004F102A" w:rsidRPr="00165B9A">
        <w:rPr>
          <w:rFonts w:ascii="Book Antiqua" w:hAnsi="Book Antiqua"/>
          <w:color w:val="000000" w:themeColor="text1"/>
        </w:rPr>
        <w:t xml:space="preserve">in </w:t>
      </w:r>
      <w:r w:rsidRPr="00165B9A">
        <w:rPr>
          <w:rFonts w:ascii="Book Antiqua" w:hAnsi="Book Antiqua"/>
          <w:color w:val="000000" w:themeColor="text1"/>
        </w:rPr>
        <w:t>excellent general condition and</w:t>
      </w:r>
      <w:r w:rsidR="004F102A" w:rsidRPr="00165B9A">
        <w:rPr>
          <w:rFonts w:ascii="Book Antiqua" w:hAnsi="Book Antiqua"/>
          <w:color w:val="000000" w:themeColor="text1"/>
        </w:rPr>
        <w:t xml:space="preserve"> with a</w:t>
      </w:r>
      <w:r w:rsidRPr="00165B9A">
        <w:rPr>
          <w:rFonts w:ascii="Book Antiqua" w:hAnsi="Book Antiqua"/>
          <w:color w:val="000000" w:themeColor="text1"/>
        </w:rPr>
        <w:t xml:space="preserve"> 20.2% weight loss.</w:t>
      </w:r>
    </w:p>
    <w:p w14:paraId="4936D60F" w14:textId="77777777" w:rsidR="002648B4" w:rsidRPr="00165B9A" w:rsidRDefault="002648B4" w:rsidP="00165B9A">
      <w:pPr>
        <w:spacing w:line="360" w:lineRule="auto"/>
        <w:jc w:val="both"/>
        <w:rPr>
          <w:rFonts w:ascii="Book Antiqua" w:hAnsi="Book Antiqua"/>
          <w:color w:val="000000" w:themeColor="text1"/>
        </w:rPr>
      </w:pPr>
    </w:p>
    <w:p w14:paraId="3AECD7BC" w14:textId="77777777" w:rsidR="009807C4" w:rsidRPr="00165B9A" w:rsidRDefault="009807C4" w:rsidP="00165B9A">
      <w:pPr>
        <w:spacing w:line="360" w:lineRule="auto"/>
        <w:jc w:val="both"/>
        <w:rPr>
          <w:rFonts w:ascii="Book Antiqua" w:hAnsi="Book Antiqua" w:cs="Calibri"/>
          <w:bCs/>
          <w:iCs/>
          <w:color w:val="000000" w:themeColor="text1"/>
        </w:rPr>
      </w:pPr>
      <w:r w:rsidRPr="00165B9A">
        <w:rPr>
          <w:rFonts w:ascii="Book Antiqua" w:hAnsi="Book Antiqua" w:cs="Calibri"/>
          <w:bCs/>
          <w:iCs/>
          <w:color w:val="000000" w:themeColor="text1"/>
        </w:rPr>
        <w:t>CONCLUSION</w:t>
      </w:r>
    </w:p>
    <w:p w14:paraId="08386892" w14:textId="57BEE9CB" w:rsidR="00A76140" w:rsidRPr="00165B9A" w:rsidRDefault="002648B4"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ESG </w:t>
      </w:r>
      <w:r w:rsidR="009807C4" w:rsidRPr="00165B9A">
        <w:rPr>
          <w:rFonts w:ascii="Book Antiqua" w:hAnsi="Book Antiqua"/>
          <w:color w:val="000000" w:themeColor="text1"/>
        </w:rPr>
        <w:t>is a safe procedure. However, adverse events</w:t>
      </w:r>
      <w:r w:rsidR="00751AC7" w:rsidRPr="00165B9A">
        <w:rPr>
          <w:rFonts w:ascii="Book Antiqua" w:hAnsi="Book Antiqua"/>
          <w:color w:val="000000" w:themeColor="text1"/>
        </w:rPr>
        <w:t xml:space="preserve"> </w:t>
      </w:r>
      <w:r w:rsidR="009807C4" w:rsidRPr="00165B9A">
        <w:rPr>
          <w:rFonts w:ascii="Book Antiqua" w:hAnsi="Book Antiqua"/>
          <w:color w:val="000000" w:themeColor="text1"/>
        </w:rPr>
        <w:t xml:space="preserve">can still </w:t>
      </w:r>
      <w:r w:rsidR="00FD53C0" w:rsidRPr="00165B9A">
        <w:rPr>
          <w:rFonts w:ascii="Book Antiqua" w:hAnsi="Book Antiqua"/>
          <w:color w:val="000000" w:themeColor="text1"/>
        </w:rPr>
        <w:t xml:space="preserve">occur, and </w:t>
      </w:r>
      <w:r w:rsidR="00CB1195" w:rsidRPr="00165B9A">
        <w:rPr>
          <w:rFonts w:ascii="Book Antiqua" w:hAnsi="Book Antiqua"/>
          <w:color w:val="000000" w:themeColor="text1"/>
        </w:rPr>
        <w:t>precautions should be taken by the endoscopist</w:t>
      </w:r>
      <w:r w:rsidR="00751AC7" w:rsidRPr="00165B9A">
        <w:rPr>
          <w:rFonts w:ascii="Book Antiqua" w:hAnsi="Book Antiqua"/>
          <w:color w:val="000000" w:themeColor="text1"/>
        </w:rPr>
        <w:t>.</w:t>
      </w:r>
      <w:r w:rsidR="00CB1195" w:rsidRPr="00165B9A">
        <w:rPr>
          <w:rFonts w:ascii="Book Antiqua" w:hAnsi="Book Antiqua"/>
          <w:color w:val="000000" w:themeColor="text1"/>
        </w:rPr>
        <w:t xml:space="preserve"> </w:t>
      </w:r>
      <w:r w:rsidR="00751AC7" w:rsidRPr="00165B9A">
        <w:rPr>
          <w:rFonts w:ascii="Book Antiqua" w:hAnsi="Book Antiqua"/>
          <w:color w:val="000000" w:themeColor="text1"/>
        </w:rPr>
        <w:t xml:space="preserve">In general, patient position, depth of tissue acquisition, </w:t>
      </w:r>
      <w:r w:rsidR="00EC3B20" w:rsidRPr="00165B9A">
        <w:rPr>
          <w:rFonts w:ascii="Book Antiqua" w:hAnsi="Book Antiqua"/>
          <w:color w:val="000000" w:themeColor="text1"/>
        </w:rPr>
        <w:t xml:space="preserve">location of stitch placement, and endoscopist experience are all important factors </w:t>
      </w:r>
      <w:r w:rsidR="00A76140" w:rsidRPr="00165B9A">
        <w:rPr>
          <w:rFonts w:ascii="Book Antiqua" w:hAnsi="Book Antiqua"/>
          <w:color w:val="000000" w:themeColor="text1"/>
        </w:rPr>
        <w:t>to consider to</w:t>
      </w:r>
      <w:r w:rsidR="00414C5A" w:rsidRPr="00165B9A">
        <w:rPr>
          <w:rFonts w:ascii="Book Antiqua" w:hAnsi="Book Antiqua"/>
          <w:color w:val="000000" w:themeColor="text1"/>
        </w:rPr>
        <w:t xml:space="preserve"> </w:t>
      </w:r>
      <w:r w:rsidR="00A76140" w:rsidRPr="00165B9A">
        <w:rPr>
          <w:rFonts w:ascii="Book Antiqua" w:hAnsi="Book Antiqua"/>
          <w:color w:val="000000" w:themeColor="text1"/>
        </w:rPr>
        <w:t xml:space="preserve">mitigate procedural risk. </w:t>
      </w:r>
    </w:p>
    <w:p w14:paraId="521C039C" w14:textId="17C362F9" w:rsidR="002648B4" w:rsidRPr="00165B9A" w:rsidRDefault="002648B4" w:rsidP="00165B9A">
      <w:pPr>
        <w:spacing w:line="360" w:lineRule="auto"/>
        <w:jc w:val="both"/>
        <w:rPr>
          <w:rFonts w:ascii="Book Antiqua" w:hAnsi="Book Antiqua"/>
          <w:color w:val="000000" w:themeColor="text1"/>
        </w:rPr>
      </w:pPr>
    </w:p>
    <w:p w14:paraId="14C70D55" w14:textId="68791434" w:rsidR="009807C4" w:rsidRPr="00165B9A" w:rsidRDefault="002648B4" w:rsidP="00165B9A">
      <w:pPr>
        <w:spacing w:line="360" w:lineRule="auto"/>
        <w:jc w:val="both"/>
        <w:rPr>
          <w:rFonts w:ascii="Book Antiqua" w:hAnsi="Book Antiqua"/>
          <w:color w:val="000000" w:themeColor="text1"/>
        </w:rPr>
      </w:pPr>
      <w:r w:rsidRPr="00165B9A">
        <w:rPr>
          <w:rFonts w:ascii="Book Antiqua" w:hAnsi="Book Antiqua"/>
          <w:b/>
          <w:color w:val="000000" w:themeColor="text1"/>
        </w:rPr>
        <w:t>Key words:</w:t>
      </w:r>
      <w:r w:rsidRPr="00165B9A">
        <w:rPr>
          <w:rFonts w:ascii="Book Antiqua" w:hAnsi="Book Antiqua"/>
          <w:color w:val="000000" w:themeColor="text1"/>
          <w:lang w:eastAsia="zh-CN"/>
        </w:rPr>
        <w:t xml:space="preserve"> </w:t>
      </w:r>
      <w:bookmarkStart w:id="16" w:name="OLE_LINK9"/>
      <w:r w:rsidR="009807C4" w:rsidRPr="00165B9A">
        <w:rPr>
          <w:rFonts w:ascii="Book Antiqua" w:hAnsi="Book Antiqua"/>
          <w:color w:val="000000" w:themeColor="text1"/>
        </w:rPr>
        <w:t>Bariatric surgery</w:t>
      </w:r>
      <w:bookmarkEnd w:id="16"/>
      <w:r w:rsidR="009807C4" w:rsidRPr="00165B9A">
        <w:rPr>
          <w:rFonts w:ascii="Book Antiqua" w:hAnsi="Book Antiqua"/>
          <w:color w:val="000000" w:themeColor="text1"/>
        </w:rPr>
        <w:t xml:space="preserve">; </w:t>
      </w:r>
      <w:bookmarkStart w:id="17" w:name="OLE_LINK10"/>
      <w:r w:rsidR="009807C4" w:rsidRPr="00165B9A">
        <w:rPr>
          <w:rFonts w:ascii="Book Antiqua" w:hAnsi="Book Antiqua"/>
          <w:color w:val="000000" w:themeColor="text1"/>
        </w:rPr>
        <w:t>Obesity</w:t>
      </w:r>
      <w:bookmarkEnd w:id="17"/>
      <w:r w:rsidR="009807C4" w:rsidRPr="00165B9A">
        <w:rPr>
          <w:rFonts w:ascii="Book Antiqua" w:hAnsi="Book Antiqua"/>
          <w:color w:val="000000" w:themeColor="text1"/>
        </w:rPr>
        <w:t xml:space="preserve">; </w:t>
      </w:r>
      <w:bookmarkStart w:id="18" w:name="OLE_LINK11"/>
      <w:r w:rsidR="009807C4" w:rsidRPr="00165B9A">
        <w:rPr>
          <w:rFonts w:ascii="Book Antiqua" w:hAnsi="Book Antiqua"/>
          <w:color w:val="000000" w:themeColor="text1"/>
        </w:rPr>
        <w:t>Weight loss</w:t>
      </w:r>
      <w:bookmarkEnd w:id="18"/>
      <w:r w:rsidR="009807C4" w:rsidRPr="00165B9A">
        <w:rPr>
          <w:rFonts w:ascii="Book Antiqua" w:hAnsi="Book Antiqua"/>
          <w:color w:val="000000" w:themeColor="text1"/>
        </w:rPr>
        <w:t xml:space="preserve">; </w:t>
      </w:r>
      <w:bookmarkStart w:id="19" w:name="OLE_LINK12"/>
      <w:r w:rsidR="009807C4" w:rsidRPr="00165B9A">
        <w:rPr>
          <w:rFonts w:ascii="Book Antiqua" w:hAnsi="Book Antiqua"/>
          <w:color w:val="000000" w:themeColor="text1"/>
        </w:rPr>
        <w:t>Peritonitis</w:t>
      </w:r>
      <w:bookmarkEnd w:id="19"/>
      <w:r w:rsidR="009807C4" w:rsidRPr="00165B9A">
        <w:rPr>
          <w:rFonts w:ascii="Book Antiqua" w:hAnsi="Book Antiqua"/>
          <w:color w:val="000000" w:themeColor="text1"/>
        </w:rPr>
        <w:t xml:space="preserve">; </w:t>
      </w:r>
      <w:bookmarkStart w:id="20" w:name="OLE_LINK13"/>
      <w:bookmarkStart w:id="21" w:name="OLE_LINK14"/>
      <w:r w:rsidR="009807C4" w:rsidRPr="00165B9A">
        <w:rPr>
          <w:rFonts w:ascii="Book Antiqua" w:hAnsi="Book Antiqua"/>
          <w:color w:val="000000" w:themeColor="text1"/>
        </w:rPr>
        <w:t>Case report</w:t>
      </w:r>
      <w:bookmarkEnd w:id="20"/>
      <w:bookmarkEnd w:id="21"/>
    </w:p>
    <w:p w14:paraId="2AA09E1A" w14:textId="77777777" w:rsidR="00A04A20" w:rsidRPr="00165B9A" w:rsidRDefault="00A04A20" w:rsidP="00165B9A">
      <w:pPr>
        <w:adjustRightInd w:val="0"/>
        <w:snapToGrid w:val="0"/>
        <w:spacing w:line="360" w:lineRule="auto"/>
        <w:jc w:val="both"/>
        <w:rPr>
          <w:rFonts w:ascii="Book Antiqua" w:hAnsi="Book Antiqua" w:cs="Arial"/>
          <w:color w:val="000000" w:themeColor="text1"/>
          <w:lang w:eastAsia="zh-CN"/>
        </w:rPr>
      </w:pPr>
    </w:p>
    <w:p w14:paraId="32872C4E" w14:textId="0788CF74" w:rsidR="00A142BE" w:rsidRPr="00165B9A" w:rsidRDefault="00A04A20" w:rsidP="00165B9A">
      <w:pPr>
        <w:adjustRightInd w:val="0"/>
        <w:snapToGrid w:val="0"/>
        <w:spacing w:line="360" w:lineRule="auto"/>
        <w:jc w:val="both"/>
        <w:rPr>
          <w:rFonts w:ascii="Book Antiqua" w:hAnsi="Book Antiqua"/>
          <w:bCs/>
          <w:color w:val="000000" w:themeColor="text1"/>
          <w:lang w:eastAsia="zh-CN"/>
        </w:rPr>
      </w:pPr>
      <w:r w:rsidRPr="00165B9A">
        <w:rPr>
          <w:rFonts w:ascii="Book Antiqua" w:hAnsi="Book Antiqua" w:cs="Arial"/>
          <w:color w:val="000000" w:themeColor="text1"/>
          <w:lang w:val="pt-BR"/>
        </w:rPr>
        <w:lastRenderedPageBreak/>
        <w:t>de</w:t>
      </w:r>
      <w:r w:rsidRPr="00165B9A">
        <w:rPr>
          <w:rFonts w:ascii="Book Antiqua" w:eastAsia="Book Antiqua" w:hAnsi="Book Antiqua" w:cs="Book Antiqua"/>
          <w:color w:val="000000" w:themeColor="text1"/>
        </w:rPr>
        <w:t xml:space="preserve"> </w:t>
      </w:r>
      <w:proofErr w:type="spellStart"/>
      <w:r w:rsidRPr="00165B9A">
        <w:rPr>
          <w:rFonts w:ascii="Book Antiqua" w:eastAsia="Book Antiqua" w:hAnsi="Book Antiqua" w:cs="Book Antiqua"/>
          <w:color w:val="000000" w:themeColor="text1"/>
        </w:rPr>
        <w:t>Siqueiro</w:t>
      </w:r>
      <w:proofErr w:type="spellEnd"/>
      <w:r w:rsidRPr="00165B9A">
        <w:rPr>
          <w:rFonts w:ascii="Book Antiqua" w:eastAsia="Book Antiqua" w:hAnsi="Book Antiqua" w:cs="Book Antiqua"/>
          <w:color w:val="000000" w:themeColor="text1"/>
        </w:rPr>
        <w:t xml:space="preserve"> </w:t>
      </w:r>
      <w:proofErr w:type="spellStart"/>
      <w:r w:rsidRPr="00165B9A">
        <w:rPr>
          <w:rFonts w:ascii="Book Antiqua" w:eastAsia="Book Antiqua" w:hAnsi="Book Antiqua" w:cs="Book Antiqua"/>
          <w:color w:val="000000" w:themeColor="text1"/>
        </w:rPr>
        <w:t>Neto</w:t>
      </w:r>
      <w:proofErr w:type="spellEnd"/>
      <w:r w:rsidRPr="00165B9A">
        <w:rPr>
          <w:rFonts w:ascii="Book Antiqua" w:eastAsia="Book Antiqua" w:hAnsi="Book Antiqua" w:cs="Book Antiqua"/>
          <w:color w:val="000000" w:themeColor="text1"/>
        </w:rPr>
        <w:t xml:space="preserve"> J,</w:t>
      </w:r>
      <w:r w:rsidRPr="00165B9A">
        <w:rPr>
          <w:rFonts w:ascii="Book Antiqua" w:hAnsi="Book Antiqua" w:cs="Book Antiqua"/>
          <w:color w:val="000000" w:themeColor="text1"/>
          <w:lang w:eastAsia="zh-CN"/>
        </w:rPr>
        <w:t xml:space="preserve"> </w:t>
      </w:r>
      <w:r w:rsidRPr="00165B9A">
        <w:rPr>
          <w:rFonts w:ascii="Book Antiqua" w:hAnsi="Book Antiqua" w:cs="Arial"/>
          <w:color w:val="000000" w:themeColor="text1"/>
          <w:lang w:val="pt-BR"/>
        </w:rPr>
        <w:t>de Moura</w:t>
      </w:r>
      <w:r w:rsidRPr="00165B9A">
        <w:rPr>
          <w:rFonts w:ascii="Book Antiqua" w:hAnsi="Book Antiqua" w:cs="Arial"/>
          <w:bCs/>
          <w:color w:val="000000" w:themeColor="text1"/>
        </w:rPr>
        <w:t xml:space="preserve"> DTH, </w:t>
      </w:r>
      <w:r w:rsidRPr="00165B9A">
        <w:rPr>
          <w:rFonts w:ascii="Book Antiqua" w:hAnsi="Book Antiqua" w:cs="Arial"/>
          <w:color w:val="000000" w:themeColor="text1"/>
          <w:lang w:val="pt-BR"/>
        </w:rPr>
        <w:t>Ribeiro</w:t>
      </w:r>
      <w:r w:rsidRPr="00165B9A">
        <w:rPr>
          <w:rFonts w:ascii="Book Antiqua" w:hAnsi="Book Antiqua" w:cs="Arial"/>
          <w:bCs/>
          <w:color w:val="000000" w:themeColor="text1"/>
        </w:rPr>
        <w:t xml:space="preserve"> IB, </w:t>
      </w:r>
      <w:r w:rsidRPr="00165B9A">
        <w:rPr>
          <w:rFonts w:ascii="Book Antiqua" w:hAnsi="Book Antiqua" w:cs="Arial"/>
          <w:color w:val="000000" w:themeColor="text1"/>
          <w:lang w:val="pt-BR"/>
        </w:rPr>
        <w:t>Barrichello</w:t>
      </w:r>
      <w:r w:rsidRPr="00165B9A">
        <w:rPr>
          <w:rFonts w:ascii="Book Antiqua" w:hAnsi="Book Antiqua" w:cs="Arial"/>
          <w:bCs/>
          <w:color w:val="000000" w:themeColor="text1"/>
        </w:rPr>
        <w:t xml:space="preserve"> SA, </w:t>
      </w:r>
      <w:r w:rsidRPr="00165B9A">
        <w:rPr>
          <w:rFonts w:ascii="Book Antiqua" w:hAnsi="Book Antiqua" w:cs="Arial"/>
          <w:color w:val="000000" w:themeColor="text1"/>
          <w:lang w:val="pt-BR"/>
        </w:rPr>
        <w:t>Harthorn</w:t>
      </w:r>
      <w:r w:rsidRPr="00165B9A">
        <w:rPr>
          <w:rFonts w:ascii="Book Antiqua" w:hAnsi="Book Antiqua" w:cs="Arial"/>
          <w:bCs/>
          <w:color w:val="000000" w:themeColor="text1"/>
        </w:rPr>
        <w:t xml:space="preserve"> KE, </w:t>
      </w:r>
      <w:r w:rsidRPr="00165B9A">
        <w:rPr>
          <w:rFonts w:ascii="Book Antiqua" w:hAnsi="Book Antiqua" w:cs="Arial"/>
          <w:color w:val="000000" w:themeColor="text1"/>
          <w:lang w:val="pt-BR"/>
        </w:rPr>
        <w:t>Thompson</w:t>
      </w:r>
      <w:r w:rsidRPr="00165B9A">
        <w:rPr>
          <w:rFonts w:ascii="Book Antiqua" w:hAnsi="Book Antiqua" w:cs="Arial"/>
          <w:bCs/>
          <w:color w:val="000000" w:themeColor="text1"/>
        </w:rPr>
        <w:t xml:space="preserve"> CC. Gallbladder perforation due to endoscopic sleeve gastroplasty: A case report and </w:t>
      </w:r>
      <w:r w:rsidRPr="00165B9A">
        <w:rPr>
          <w:rFonts w:ascii="Book Antiqua" w:hAnsi="Book Antiqua"/>
          <w:bCs/>
          <w:color w:val="000000" w:themeColor="text1"/>
        </w:rPr>
        <w:t xml:space="preserve">review of literature. </w:t>
      </w:r>
      <w:r w:rsidRPr="00165B9A">
        <w:rPr>
          <w:rFonts w:ascii="Book Antiqua" w:eastAsia="Book Antiqua" w:hAnsi="Book Antiqua" w:cs="Book Antiqua"/>
          <w:i/>
          <w:color w:val="000000" w:themeColor="text1"/>
        </w:rPr>
        <w:t xml:space="preserve">World J </w:t>
      </w:r>
      <w:proofErr w:type="spellStart"/>
      <w:r w:rsidRPr="00165B9A">
        <w:rPr>
          <w:rFonts w:ascii="Book Antiqua" w:eastAsia="Book Antiqua" w:hAnsi="Book Antiqua" w:cs="Book Antiqua"/>
          <w:i/>
          <w:color w:val="000000" w:themeColor="text1"/>
        </w:rPr>
        <w:t>Gastrointest</w:t>
      </w:r>
      <w:proofErr w:type="spellEnd"/>
      <w:r w:rsidRPr="00165B9A">
        <w:rPr>
          <w:rFonts w:ascii="Book Antiqua" w:eastAsia="Book Antiqua" w:hAnsi="Book Antiqua" w:cs="Book Antiqua"/>
          <w:i/>
          <w:color w:val="000000" w:themeColor="text1"/>
        </w:rPr>
        <w:t xml:space="preserve"> </w:t>
      </w:r>
      <w:proofErr w:type="spellStart"/>
      <w:r w:rsidRPr="00165B9A">
        <w:rPr>
          <w:rFonts w:ascii="Book Antiqua" w:eastAsia="Book Antiqua" w:hAnsi="Book Antiqua" w:cs="Book Antiqua"/>
          <w:i/>
          <w:color w:val="000000" w:themeColor="text1"/>
        </w:rPr>
        <w:t>Endosc</w:t>
      </w:r>
      <w:proofErr w:type="spellEnd"/>
      <w:r w:rsidRPr="00165B9A">
        <w:rPr>
          <w:rFonts w:ascii="Book Antiqua" w:eastAsia="Book Antiqua" w:hAnsi="Book Antiqua" w:cs="Book Antiqua"/>
          <w:i/>
          <w:color w:val="000000" w:themeColor="text1"/>
        </w:rPr>
        <w:t xml:space="preserve"> </w:t>
      </w:r>
      <w:r w:rsidRPr="00165B9A">
        <w:rPr>
          <w:rFonts w:ascii="Book Antiqua" w:eastAsia="Book Antiqua" w:hAnsi="Book Antiqua" w:cs="Book Antiqua"/>
          <w:iCs/>
          <w:color w:val="000000" w:themeColor="text1"/>
        </w:rPr>
        <w:t xml:space="preserve">2019; </w:t>
      </w:r>
      <w:r w:rsidR="005F1D2F">
        <w:rPr>
          <w:rFonts w:ascii="Book Antiqua" w:hAnsi="Book Antiqua"/>
          <w:bCs/>
          <w:color w:val="000000" w:themeColor="text1"/>
          <w:lang w:eastAsia="zh-CN"/>
        </w:rPr>
        <w:t>In press</w:t>
      </w:r>
    </w:p>
    <w:p w14:paraId="3382EC70" w14:textId="77777777" w:rsidR="002648B4" w:rsidRPr="00165B9A" w:rsidRDefault="002648B4" w:rsidP="00165B9A">
      <w:pPr>
        <w:spacing w:line="360" w:lineRule="auto"/>
        <w:jc w:val="both"/>
        <w:rPr>
          <w:rFonts w:ascii="Book Antiqua" w:hAnsi="Book Antiqua"/>
          <w:color w:val="000000" w:themeColor="text1"/>
        </w:rPr>
      </w:pPr>
    </w:p>
    <w:p w14:paraId="133AD16C" w14:textId="5DC71C9B" w:rsidR="00F44F4C" w:rsidRPr="00165B9A" w:rsidRDefault="009807C4" w:rsidP="00165B9A">
      <w:pPr>
        <w:pStyle w:val="NormalWeb"/>
        <w:spacing w:before="0" w:beforeAutospacing="0" w:after="0" w:afterAutospacing="0" w:line="360" w:lineRule="auto"/>
        <w:jc w:val="both"/>
        <w:rPr>
          <w:rFonts w:ascii="Book Antiqua" w:hAnsi="Book Antiqua"/>
          <w:color w:val="000000" w:themeColor="text1"/>
          <w:lang w:val="en-US"/>
        </w:rPr>
      </w:pPr>
      <w:r w:rsidRPr="00165B9A">
        <w:rPr>
          <w:rFonts w:ascii="Book Antiqua" w:hAnsi="Book Antiqua"/>
          <w:b/>
          <w:color w:val="000000" w:themeColor="text1"/>
          <w:lang w:val="en-US"/>
        </w:rPr>
        <w:t>Core tip:</w:t>
      </w:r>
      <w:r w:rsidRPr="00165B9A">
        <w:rPr>
          <w:rFonts w:ascii="Book Antiqua" w:hAnsi="Book Antiqua"/>
          <w:color w:val="000000" w:themeColor="text1"/>
          <w:lang w:val="en-US"/>
        </w:rPr>
        <w:t xml:space="preserve"> Despite </w:t>
      </w:r>
      <w:r w:rsidR="006B6368" w:rsidRPr="00165B9A">
        <w:rPr>
          <w:rFonts w:ascii="Book Antiqua" w:hAnsi="Book Antiqua"/>
          <w:color w:val="000000" w:themeColor="text1"/>
          <w:lang w:val="en-US"/>
        </w:rPr>
        <w:t>broader acceptance of</w:t>
      </w:r>
      <w:r w:rsidR="002648B4" w:rsidRPr="00165B9A">
        <w:rPr>
          <w:rFonts w:ascii="Book Antiqua" w:hAnsi="Book Antiqua"/>
          <w:color w:val="000000" w:themeColor="text1"/>
        </w:rPr>
        <w:t xml:space="preserve"> endoscopic sleeve gastroplasty </w:t>
      </w:r>
      <w:r w:rsidR="00DB2932" w:rsidRPr="00165B9A">
        <w:rPr>
          <w:rFonts w:ascii="Book Antiqua" w:hAnsi="Book Antiqua"/>
          <w:color w:val="000000" w:themeColor="text1"/>
          <w:lang w:val="en-US"/>
        </w:rPr>
        <w:t>for</w:t>
      </w:r>
      <w:r w:rsidR="00CB1195" w:rsidRPr="00165B9A">
        <w:rPr>
          <w:rFonts w:ascii="Book Antiqua" w:hAnsi="Book Antiqua"/>
          <w:color w:val="000000" w:themeColor="text1"/>
          <w:lang w:val="en-US"/>
        </w:rPr>
        <w:t xml:space="preserve"> weight loss management, the </w:t>
      </w:r>
      <w:r w:rsidR="00C31714" w:rsidRPr="00165B9A">
        <w:rPr>
          <w:rFonts w:ascii="Book Antiqua" w:hAnsi="Book Antiqua"/>
          <w:color w:val="000000" w:themeColor="text1"/>
          <w:lang w:val="en-US"/>
        </w:rPr>
        <w:t>procedure</w:t>
      </w:r>
      <w:r w:rsidR="00CB1195" w:rsidRPr="00165B9A">
        <w:rPr>
          <w:rFonts w:ascii="Book Antiqua" w:hAnsi="Book Antiqua"/>
          <w:color w:val="000000" w:themeColor="text1"/>
          <w:lang w:val="en-US"/>
        </w:rPr>
        <w:t xml:space="preserve"> can still present</w:t>
      </w:r>
      <w:r w:rsidRPr="00165B9A">
        <w:rPr>
          <w:rFonts w:ascii="Book Antiqua" w:hAnsi="Book Antiqua"/>
          <w:color w:val="000000" w:themeColor="text1"/>
          <w:lang w:val="en-US"/>
        </w:rPr>
        <w:t xml:space="preserve"> challenges </w:t>
      </w:r>
      <w:r w:rsidR="00DB2932" w:rsidRPr="00165B9A">
        <w:rPr>
          <w:rFonts w:ascii="Book Antiqua" w:hAnsi="Book Antiqua"/>
          <w:color w:val="000000" w:themeColor="text1"/>
          <w:lang w:val="en-US"/>
        </w:rPr>
        <w:t xml:space="preserve">for </w:t>
      </w:r>
      <w:r w:rsidRPr="00165B9A">
        <w:rPr>
          <w:rFonts w:ascii="Book Antiqua" w:hAnsi="Book Antiqua"/>
          <w:color w:val="000000" w:themeColor="text1"/>
          <w:lang w:val="en-US"/>
        </w:rPr>
        <w:t>endoscopists. Although the inadvertent puncture of organs adjacent to the stomach is a rare occurrence, it can lead to catastrophic outcomes. Early identification of possible unintended events and an assertive approach to case management can be life-saving. Patient selection</w:t>
      </w:r>
      <w:r w:rsidR="00BE448D" w:rsidRPr="00165B9A">
        <w:rPr>
          <w:rFonts w:ascii="Book Antiqua" w:hAnsi="Book Antiqua"/>
          <w:color w:val="000000" w:themeColor="text1"/>
          <w:lang w:val="en-US"/>
        </w:rPr>
        <w:t xml:space="preserve"> and optimal </w:t>
      </w:r>
      <w:r w:rsidR="00DB2932" w:rsidRPr="00165B9A">
        <w:rPr>
          <w:rFonts w:ascii="Book Antiqua" w:hAnsi="Book Antiqua"/>
          <w:color w:val="000000" w:themeColor="text1"/>
          <w:lang w:val="en-US"/>
        </w:rPr>
        <w:t xml:space="preserve">technique remain </w:t>
      </w:r>
      <w:r w:rsidRPr="00165B9A">
        <w:rPr>
          <w:rFonts w:ascii="Book Antiqua" w:hAnsi="Book Antiqua"/>
          <w:color w:val="000000" w:themeColor="text1"/>
          <w:lang w:val="en-US"/>
        </w:rPr>
        <w:t xml:space="preserve">under debate. </w:t>
      </w:r>
      <w:r w:rsidR="006B6368" w:rsidRPr="00165B9A">
        <w:rPr>
          <w:rFonts w:ascii="Book Antiqua" w:hAnsi="Book Antiqua"/>
          <w:color w:val="000000" w:themeColor="text1"/>
          <w:lang w:val="en-US"/>
        </w:rPr>
        <w:t xml:space="preserve">With broader adoption of </w:t>
      </w:r>
      <w:r w:rsidR="002648B4" w:rsidRPr="00165B9A">
        <w:rPr>
          <w:rFonts w:ascii="Book Antiqua" w:hAnsi="Book Antiqua"/>
          <w:color w:val="000000" w:themeColor="text1"/>
        </w:rPr>
        <w:t>endoscopic sleeve gastroplasty</w:t>
      </w:r>
      <w:r w:rsidR="006B6368" w:rsidRPr="00165B9A">
        <w:rPr>
          <w:rFonts w:ascii="Book Antiqua" w:hAnsi="Book Antiqua"/>
          <w:color w:val="000000" w:themeColor="text1"/>
          <w:lang w:val="en-US"/>
        </w:rPr>
        <w:t xml:space="preserve"> worldwide, risk mitigation strategies must be </w:t>
      </w:r>
      <w:r w:rsidR="00BE448D" w:rsidRPr="00165B9A">
        <w:rPr>
          <w:rFonts w:ascii="Book Antiqua" w:hAnsi="Book Antiqua"/>
          <w:color w:val="000000" w:themeColor="text1"/>
          <w:lang w:val="en-US"/>
        </w:rPr>
        <w:t xml:space="preserve">emphasized </w:t>
      </w:r>
      <w:r w:rsidR="006B6368" w:rsidRPr="00165B9A">
        <w:rPr>
          <w:rFonts w:ascii="Book Antiqua" w:hAnsi="Book Antiqua"/>
          <w:color w:val="000000" w:themeColor="text1"/>
          <w:lang w:val="en-US"/>
        </w:rPr>
        <w:t xml:space="preserve">to </w:t>
      </w:r>
      <w:r w:rsidR="00BE448D" w:rsidRPr="00165B9A">
        <w:rPr>
          <w:rFonts w:ascii="Book Antiqua" w:hAnsi="Book Antiqua"/>
          <w:color w:val="000000" w:themeColor="text1"/>
          <w:lang w:val="en-US"/>
        </w:rPr>
        <w:t>optimize procedural safety.</w:t>
      </w:r>
      <w:r w:rsidR="006B6368" w:rsidRPr="00165B9A">
        <w:rPr>
          <w:rFonts w:ascii="Book Antiqua" w:hAnsi="Book Antiqua"/>
          <w:color w:val="000000" w:themeColor="text1"/>
          <w:lang w:val="en-US"/>
        </w:rPr>
        <w:t xml:space="preserve"> </w:t>
      </w:r>
    </w:p>
    <w:p w14:paraId="140D6F19" w14:textId="7DBB0A6F" w:rsidR="00A142BE" w:rsidRPr="00165B9A" w:rsidRDefault="00A142BE" w:rsidP="00165B9A">
      <w:pPr>
        <w:spacing w:line="360" w:lineRule="auto"/>
        <w:jc w:val="both"/>
        <w:rPr>
          <w:rFonts w:ascii="Book Antiqua" w:eastAsia="Times New Roman" w:hAnsi="Book Antiqua"/>
          <w:color w:val="000000" w:themeColor="text1"/>
          <w:lang w:eastAsia="pt-BR"/>
        </w:rPr>
      </w:pPr>
      <w:r w:rsidRPr="00165B9A">
        <w:rPr>
          <w:rFonts w:ascii="Book Antiqua" w:hAnsi="Book Antiqua"/>
          <w:color w:val="000000" w:themeColor="text1"/>
        </w:rPr>
        <w:br w:type="page"/>
      </w:r>
    </w:p>
    <w:p w14:paraId="34D9D734" w14:textId="49105933" w:rsidR="009807C4" w:rsidRPr="00165B9A" w:rsidRDefault="009807C4" w:rsidP="00165B9A">
      <w:pPr>
        <w:spacing w:line="360" w:lineRule="auto"/>
        <w:jc w:val="both"/>
        <w:rPr>
          <w:rFonts w:ascii="Book Antiqua" w:hAnsi="Book Antiqua"/>
          <w:b/>
          <w:color w:val="000000" w:themeColor="text1"/>
          <w:u w:val="single"/>
        </w:rPr>
      </w:pPr>
      <w:r w:rsidRPr="00165B9A">
        <w:rPr>
          <w:rFonts w:ascii="Book Antiqua" w:hAnsi="Book Antiqua"/>
          <w:b/>
          <w:color w:val="000000" w:themeColor="text1"/>
          <w:u w:val="single"/>
        </w:rPr>
        <w:lastRenderedPageBreak/>
        <w:t>INTRODUCTION</w:t>
      </w:r>
    </w:p>
    <w:p w14:paraId="2421A522" w14:textId="202E0542" w:rsidR="009807C4" w:rsidRPr="00165B9A" w:rsidRDefault="009807C4" w:rsidP="00165B9A">
      <w:pPr>
        <w:spacing w:line="360" w:lineRule="auto"/>
        <w:jc w:val="both"/>
        <w:rPr>
          <w:rFonts w:ascii="Book Antiqua" w:hAnsi="Book Antiqua"/>
          <w:color w:val="000000" w:themeColor="text1"/>
        </w:rPr>
      </w:pPr>
      <w:r w:rsidRPr="00165B9A">
        <w:rPr>
          <w:rFonts w:ascii="Book Antiqua" w:hAnsi="Book Antiqua"/>
          <w:color w:val="000000" w:themeColor="text1"/>
        </w:rPr>
        <w:t>Obesity is a disease of great social and financial impact</w:t>
      </w:r>
      <w:r w:rsidR="0075396C" w:rsidRPr="00165B9A">
        <w:rPr>
          <w:rFonts w:ascii="Book Antiqua" w:hAnsi="Book Antiqua"/>
          <w:color w:val="000000" w:themeColor="text1"/>
        </w:rPr>
        <w:t xml:space="preserve"> which can lead to significant health conditions, such as cardiovascular disease, non-alcoholic steatohepatitis, osteoarthritis, obstructive sleep apnea, depression, and gastroesophageal reflux disease</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{"citationItems":[{"id":"ITEM-1","itemData":{"DOI":"10.1056/NEJMoa1614362","ISSN":"1533-4406","PMID":"28604169","abstract":"BACKGROUND Although the rising pandemic of obesity has received major attention in many countries, the effects of this attention on trends and the disease burden of obesity remain uncertain. METHODS We analyzed data from 68.5 million persons to assess the trends in the prevalence of overweight and obesity among children and adults between 1980 and 2015. Using the Global Burden of Disease study data and methods, we also quantified the burden of disease related to high body-mass index (BMI), according to age, sex, cause, and BMI in 195 countries between 1990 and 2015. RESULTS In 2015, a total of 107.7 million children and 603.7 million adults were obese. Since 1980, the prevalence of obesity has doubled in more than 70 countries and has continuously increased in most other countries. Although the prevalence of obesity among children has been lower than that among adults, the rate of increase in childhood obesity in many countries has been greater than the rate of increase in adult obesity. High BMI accounted for 4.0 million deaths globally, nearly 40% of which occurred in persons who were not obese. More than two thirds of deaths related to high BMI were due to cardiovascular disease. The disease burden related to high BMI has increased since 1990; however, the rate of this increase has been attenuated owing to decreases in underlying rates of death from cardiovascular disease. CONCLUSIONS The rapid increase in the prevalence and disease burden of elevated BMI highlights the need for continued focus on surveillance of BMI and identification, implementation, and evaluation of evidence-based interventions to address this problem. (Funded by the Bill and Melinda Gates Foundation.).","author":[{"dropping-particle":"","family":"GBD 2015 Obesity Collaborators","given":"","non-dropping-particle":"","parse-names":false,"suffix":""},{"dropping-particle":"","family":"Afshin","given":"Ashkan","non-dropping-particle":"","parse-names":false,"suffix":""},{"dropping-particle":"","family":"Forouzanfar","given":"Mohammad H","non-dropping-particle":"","parse-names":false,"suffix":""},{"dropping-particle":"","family":"Reitsma","given":"Marissa B","non-dropping-particle":"","parse-names":false,"suffix":""},{"dropping-particle":"","family":"Sur","given":"Patrick","non-dropping-particle":"","parse-names":false,"suffix":""},{"dropping-particle":"","family":"Estep","given":"Kara","non-dropping-particle":"","parse-names":false,"suffix":""},{"dropping-particle":"","family":"Lee","given":"Alex","non-dropping-particle":"","parse-names":false,"suffix":""},{"dropping-particle":"","family":"Marczak","given":"Laurie","non-dropping-particle":"","parse-names":false,"suffix":""},{"dropping-particle":"","family":"Mokdad","given":"Ali H","non-dropping-particle":"","parse-names":false,"suffix":""},{"dropping-particle":"","family":"Moradi-Lakeh","given":"Maziar","non-dropping-particle":"","parse-names":false,"suffix":""},{"dropping-particle":"","family":"Naghavi","given":"Mohsen","non-dropping-particle":"","parse-names":false,"suffix":""},{"dropping-particle":"","family":"Salama","given":"Joseph S","non-dropping-particle":"","parse-names":false,"suffix":""},{"dropping-particle":"","family":"Vos","given":"Theo","non-dropping-particle":"","parse-names":false,"suffix":""},{"dropping-particle":"","family":"Abate","given":"Kalkidan H","non-dropping-particle":"","parse-names":false,"suffix":""},{"dropping-particle":"","family":"Abbafati","given":"Cristiana","non-dropping-particle":"","parse-names":false,"suffix":""},{"dropping-particle":"","family":"Ahmed","given":"Muktar B","non-dropping-particle":"","parse-names":false,"suffix":""},{"dropping-particle":"","family":"Al-Aly","given":"Ziyad","non-dropping-particle":"","parse-names":false,"suffix":""},{"dropping-particle":"","family":"Alkerwi","given":"Ala’a","non-dropping-particle":"","parse-names":false,"suffix":""},{"dropping-particle":"","family":"Al-Raddadi","given":"Rajaa","non-dropping-particle":"","parse-names":false,"suffix":""},{"dropping-particle":"","family":"Amare","given":"Azmeraw T","non-dropping-particle":"","parse-names":false,"suffix":""},{"dropping-particle":"","family":"Amberbir","given":"Alemayehu","non-dropping-particle":"","parse-names":false,"suffix":""},{"dropping-particle":"","family":"Amegah","given":"Adeladza K","non-dropping-particle":"","parse-names":false,"suffix":""},{"dropping-particle":"","family":"Amini","given":"Erfan","non-dropping-particle":"","parse-names":false,"suffix":""},{"dropping-particle":"","family":"Amrock","given":"Stephen M","non-dropping-particle":"","parse-names":false,"suffix":""},{"dropping-particle":"","family":"Anjana","given":"Ranjit M","non-dropping-particle":"","parse-names":false,"suffix":""},{"dropping-particle":"","family":"Ärnlöv","given":"Johan","non-dropping-particle":"","parse-names":false,"suffix":""},{"dropping-particle":"","family":"Asayesh","given":"Hamid","non-dropping-particle":"","parse-names":false,"suffix":""},{"dropping-particle":"","family":"Banerjee","given":"Amitava","non-dropping-particle":"","parse-names":false,"suffix":""},{"dropping-particle":"","family":"Barac","given":"Aleksandra","non-dropping-particle":"","parse-names":false,"suffix":""},{"dropping-particle":"","family":"Baye","given":"Estifanos","non-dropping-particle":"","parse-names":false,"suffix":""},{"dropping-particle":"","family":"Bennett","given":"Derrick A","non-dropping-particle":"","parse-names":false,"suffix":""},{"dropping-particle":"","family":"Beyene","given":"Addisu S","non-dropping-particle":"","parse-names":false,"suffix":""},{"dropping-particle":"","family":"Biadgilign","given":"Sibhatu","non-dropping-particle":"","parse-names":false,"suffix":""},{"dropping-particle":"","family":"Biryukov","given":"Stan","non-dropping-particle":"","parse-names":false,"suffix":""},{"dropping-particle":"","family":"Bjertness","given":"Espen","non-dropping-particle":"","parse-names":false,"suffix":""},{"dropping-particle":"","family":"Boneya","given":"Dube J","non-dropping-particle":"","parse-names":false,"suffix":""},{"dropping-particle":"","family":"Campos-Nonato","given":"Ismael","non-dropping-particle":"","parse-names":false,"suffix":""},{"dropping-particle":"","family":"Carrero","given":"Juan J","non-dropping-particle":"","parse-names":false,"suffix":""},{"dropping-particle":"","family":"Cecilio","given":"Pedro","non-dropping-particle":"","parse-names":false,"suffix":""},{"dropping-particle":"","family":"Cercy","given":"Kelly","non-dropping-particle":"","parse-names":false,"suffix":""},{"dropping-particle":"","family":"Ciobanu","given":"Liliana G","non-dropping-particle":"","parse-names":false,"suffix":""},{"dropping-particle":"","family":"Cornaby","given":"Leslie","non-dropping-particle":"","parse-names":false,"suffix":""},{"dropping-particle":"","family":"Damtew","given":"Solomon A","non-dropping-particle":"","parse-names":false,"suffix":""},{"dropping-particle":"","family":"Dandona","given":"Lalit","non-dropping-particle":"","parse-names":false,"suffix":""},{"dropping-particle":"","family":"Dandona","given":"Rakhi","non-dropping-particle":"","parse-names":false,"suffix":""},{"dropping-particle":"","family":"Dharmaratne","given":"Samath D","non-dropping-particle":"","parse-names":false,"suffix":""},{"dropping-particle":"","family":"Duncan","given":"Bruce B","non-dropping-particle":"","parse-names":false,"suffix":""},{"dropping-particle":"","family":"Eshrati","given":"Babak","non-dropping-particle":"","parse-names":false,"suffix":""},{"dropping-particle":"","family":"Esteghamati","given":"Alireza","non-dropping-particle":"","parse-names":false,"suffix":""},{"dropping-particle":"","family":"Feigin","given":"Valery L","non-dropping-particle":"","parse-names":false,"suffix":""},{"dropping-particle":"","family":"Fernandes","given":"João C","non-dropping-particle":"","parse-names":false,"suffix":""},{"dropping-particle":"","family":"Fürst","given":"Thomas","non-dropping-particle":"","parse-names":false,"suffix":""},{"dropping-particle":"","family":"Gebrehiwot","given":"Tsegaye T","non-dropping-particle":"","parse-names":false,"suffix":""},{"dropping-particle":"","family":"Gold","given":"Audra","non-dropping-particle":"","parse-names":false,"suffix":""},{"dropping-particle":"","family":"Gona","given":"Philimon N","non-dropping-particle":"","parse-names":false,"suffix":""},{"dropping-particle":"","family":"Goto","given":"Atsushi","non-dropping-particle":"","parse-names":false,"suffix":""},{"dropping-particle":"","family":"Habtewold","given":"Tesfa D","non-dropping-particle":"","parse-names":false,"suffix":""},{"dropping-particle":"","family":"Hadush","given":"Kokeb T","non-dropping-particle":"","parse-names":false,"suffix":""},{"dropping-particle":"","family":"Hafezi-Nejad","given":"Nima","non-dropping-particle":"","parse-names":false,"suffix":""},{"dropping-particle":"","family":"Hay","given":"Simon I","non-dropping-particle":"","parse-names":false,"suffix":""},{"dropping-particle":"","family":"Horino","given":"Masako","non-dropping-particle":"","parse-names":false,"suffix":""},{"dropping-particle":"","family":"Islami","given":"Farhad","non-dropping-particle":"","parse-names":false,"suffix":""},{"dropping-particle":"","family":"Kamal","given":"Ritul","non-dropping-particle":"","parse-names":false,"suffix":""},{"dropping-particle":"","family":"Kasaeian","given":"Amir","non-dropping-particle":"","parse-names":false,"suffix":""},{"dropping-particle":"V","family":"Katikireddi","given":"Srinivasa","non-dropping-particle":"","parse-names":false,"suffix":""},{"dropping-particle":"","family":"Kengne","given":"Andre P","non-dropping-particle":"","parse-names":false,"suffix":""},{"dropping-particle":"","family":"Kesavachandran","given":"Chandrasekharan N","non-dropping-particle":"","parse-names":false,"suffix":""},{"dropping-particle":"","family":"Khader","given":"Yousef S","non-dropping-particle":"","parse-names":false,"suffix":""},{"dropping-particle":"","family":"Khang","given":"Young-Ho","non-dropping-particle":"","parse-names":false,"suffix":""},{"dropping-particle":"","family":"Khubchandani","given":"Jagdish","non-dropping-particle":"","parse-names":false,"suffix":""},{"dropping-particle":"","family":"Kim","given":"Daniel","non-dropping-particle":"","parse-names":false,"suffix":""},{"dropping-particle":"","family":"Kim","given":"Yun J","non-dropping-particle":"","parse-names":false,"suffix":""},{"dropping-particle":"","family":"Kinfu","given":"Yohannes","non-dropping-particle":"","parse-names":false,"suffix":""},{"dropping-particle":"","family":"Kosen","given":"Soewarta","non-dropping-particle":"","parse-names":false,"suffix":""},{"dropping-particle":"","family":"Ku","given":"Tiffany","non-dropping-particle":"","parse-names":false,"suffix":""},{"dropping-particle":"","family":"Defo","given":"Barthelemy Kuate","non-dropping-particle":"","parse-names":false,"suffix":""},{"dropping-particle":"","family":"Kumar","given":"G Anil","non-dropping-particle":"","parse-names":false,"suffix":""},{"dropping-particle":"","family":"Larson","given":"Heidi J","non-dropping-particle":"","parse-names":false,"suffix":""},{"dropping-particle":"","family":"Leinsalu","given":"Mall","non-dropping-particle":"","parse-names":false,"suffix":""},{"dropping-particle":"","family":"Liang","given":"Xiaofeng","non-dropping-particle":"","parse-names":false,"suffix":""},{"dropping-particle":"","family":"Lim","given":"Stephen S","non-dropping-particle":"","parse-names":false,"suffix":""},{"dropping-particle":"","family":"Liu","given":"Patrick","non-dropping-particle":"","parse-names":false,"suffix":""},{"dropping-particle":"","family":"Lopez","given":"Alan D","non-dropping-particle":"","parse-names":false,"suffix":""},{"dropping-particle":"","family":"Lozano","given":"Rafael","non-dropping-particle":"","parse-names":false,"suffix":""},{"dropping-particle":"","family":"Majeed","given":"Azeem","non-dropping-particle":"","parse-names":false,"suffix":""},{"dropping-particle":"","family":"Malekzadeh","given":"Reza","non-dropping-particle":"","parse-names":false,"suffix":""},{"dropping-particle":"","family":"Malta","given":"Deborah C","non-dropping-particle":"","parse-names":false,"suffix":""},{"dropping-particle":"","family":"Mazidi","given":"Mohsen","non-dropping-particle":"","parse-names":false,"suffix":""},{"dropping-particle":"","family":"McAlinden","given":"Colm","non-dropping-particle":"","parse-names":false,"suffix":""},{"dropping-particle":"","family":"McGarvey","given":"Stephen T","non-dropping-particle":"","parse-names":false,"suffix":""},{"dropping-particle":"","family":"Mengistu","given":"Desalegn T","non-dropping-particle":"","parse-names":false,"suffix":""},{"dropping-particle":"","family":"Mensah","given":"George A","non-dropping-particle":"","parse-names":false,"suffix":""},{"dropping-particle":"","family":"Mensink","given":"Gert B M","non-dropping-particle":"","parse-names":false,"suffix":""},{"dropping-particle":"","family":"Mezgebe","given":"Haftay B","non-dropping-particle":"","parse-names":false,"suffix":""},{"dropping-particle":"","family":"Mirrakhimov","given":"Erkin M","non-dropping-particle":"","parse-names":false,"suffix":""},{"dropping-particle":"","family":"Mueller","given":"Ulrich O","non-dropping-particle":"","parse-names":false,"suffix":""},{"dropping-particle":"","family":"Noubiap","given":"Jean J","non-dropping-particle":"","parse-names":false,"suffix":""},{"dropping-particle":"","family":"Obermeyer","given":"Carla M","non-dropping-particle":"","parse-names":false,"suffix":""},{"dropping-particle":"","family":"Ogbo","given":"Felix A","non-dropping-particle":"","parse-names":false,"suffix":""},{"dropping-particle":"","family":"Owolabi","given":"Mayowa O","non-dropping-particle":"","parse-names":false,"suffix":""},{"dropping-particle":"","family":"Patton","given":"George C","non-dropping-particle":"","parse-names":false,"suffix":""},{"dropping-particle":"","family":"Pourmalek","given":"Farshad","non-dropping-particle":"","parse-names":false,"suffix":""},{"dropping-particle":"","family":"Qorbani","given":"Mostafa","non-dropping-particle":"","parse-names":false,"suffix":""},{"dropping-particle":"","family":"Rafay","given":"Anwar","non-dropping-particle":"","parse-names":false,"suffix":""},{"dropping-particle":"","family":"Rai","given":"Rajesh K","non-dropping-particle":"","parse-names":false,"suffix":""},{"dropping-particle":"","family":"Ranabhat","given":"Chhabi L","non-dropping-particle":"","parse-names":false,"suffix":""},{"dropping-particle":"","family":"Reinig","given":"Nikolas","non-dropping-particle":"","parse-names":false,"suffix":""},{"dropping-particle":"","family":"Safiri","given":"Saeid","non-dropping-particle":"","parse-names":false,"suffix":""},{"dropping-particle":"","family":"Salomon","given":"Joshua A","non-dropping-particle":"","parse-names":false,"suffix":""},{"dropping-particle":"","family":"Sanabria","given":"Juan R","non-dropping-particle":"","parse-names":false,"suffix":""},{"dropping-particle":"","family":"Santos","given":"Itamar S","non-dropping-particle":"","parse-names":false,"suffix":""},{"dropping-particle":"","family":"Sartorius","given":"Benn","non-dropping-particle":"","parse-names":false,"suffix":""},{"dropping-particle":"","family":"Sawhney","given":"Monika","non-dropping-particle":"","parse-names":false,"suffix":""},{"dropping-particle":"","family":"Schmidhuber","given":"Josef","non-dropping-particle":"","parse-names":false,"suffix":""},{"dropping-particle":"","family":"Schutte","given":"Aletta E","non-dropping-particle":"","parse-names":false,"suffix":""},{"dropping-particle":"","family":"Schmidt","given":"Maria I","non-dropping-particle":"","parse-names":false,"suffix":""},{"dropping-particle":"","family":"Sepanlou","given":"Sadaf G","non-dropping-particle":"","parse-names":false,"suffix":""},{"dropping-particle":"","family":"Shamsizadeh","given":"Moretza","non-dropping-particle":"","parse-names":false,"suffix":""},{"dropping-particle":"","family":"Sheikhbahaei","given":"Sara","non-dropping-particle":"","parse-names":false,"suffix":""},{"dropping-particle":"","family":"Shin","given":"Min-Jeong","non-dropping-particle":"","parse-names":false,"suffix":""},{"dropping-particle":"","family":"Shiri","given":"Rahman","non-dropping-particle":"","parse-names":false,"suffix":""},{"dropping-particle":"","family":"Shiue","given":"Ivy","non-dropping-particle":"","parse-names":false,"suffix":""},{"dropping-particle":"","family":"Roba","given":"Hirbo S","non-dropping-particle":"","parse-names":false,"suffix":""},{"dropping-particle":"","family":"Silva","given":"Diego A S","non-dropping-particle":"","parse-names":false,"suffix":""},{"dropping-particle":"","family":"Silverberg","given":"Jonathan I","non-dropping-particle":"","parse-names":false,"suffix":""},{"dropping-particle":"","family":"Singh","given":"Jasvinder A","non-dropping-particle":"","parse-names":false,"suffix":""},{"dropping-particle":"","family":"Stranges","given":"Saverio","non-dropping-particle":"","parse-names":false,"suffix":""},{"dropping-particle":"","family":"Swaminathan","given":"Soumya","non-dropping-particle":"","parse-names":false,"suffix":""},{"dropping-particle":"","family":"Tabarés-Seisdedos","given":"Rafael","non-dropping-particle":"","parse-names":false,"suffix":""},{"dropping-particle":"","family":"Tadese","given":"Fentaw","non-dropping-particle":"","parse-names":false,"suffix":""},{"dropping-particle":"","family":"Tedla","given":"Bemnet A","non-dropping-particle":"","parse-names":false,"suffix":""},{"dropping-particle":"","family":"Tegegne","given":"Balewgizie S","non-dropping-particle":"","parse-names":false,"suffix":""},{"dropping-particle":"","family":"Terkawi","given":"Abdullah S","non-dropping-particle":"","parse-names":false,"suffix":""},{"dropping-particle":"","family":"Thakur","given":"J S","non-dropping-particle":"","parse-names":false,"suffix":""},{"dropping-particle":"","family":"Tonelli","given":"Marcello","non-dropping-particle":"","parse-names":false,"suffix":""},{"dropping-particle":"","family":"Topor-Madry","given":"Roman","non-dropping-particle":"","parse-names":false,"suffix":""},{"dropping-particle":"","family":"Tyrovolas","given":"Stefanos","non-dropping-particle":"","parse-names":false,"suffix":""},{"dropping-particle":"","family":"Ukwaja","given":"Kingsley N","non-dropping-particle":"","parse-names":false,"suffix":""},{"dropping-particle":"","family":"Uthman","given":"Olalekan A","non-dropping-particle":"","parse-names":false,"suffix":""},{"dropping-particle":"","family":"Vaezghasemi","given":"Masoud","non-dropping-particle":"","parse-names":false,"suffix":""},{"dropping-particle":"","family":"Vasankari","given":"Tommi","non-dropping-particle":"","parse-names":false,"suffix":""},{"dropping-particle":"V","family":"Vlassov","given":"Vasiliy","non-dropping-particle":"","parse-names":false,"suffix":""},{"dropping-particle":"","family":"Vollset","given":"Stein E","non-dropping-particle":"","parse-names":false,"suffix":""},{"dropping-particle":"","family":"Weiderpass","given":"Elisabete","non-dropping-particle":"","parse-names":false,"suffix":""},{"dropping-particle":"","family":"Werdecker","given":"Andrea","non-dropping-particle":"","parse-names":false,"suffix":""},{"dropping-particle":"","family":"Wesana","given":"Joshua","non-dropping-particle":"","parse-names":false,"suffix":""},{"dropping-particle":"","family":"Westerman","given":"Ronny","non-dropping-particle":"","parse-names":false,"suffix":""},{"dropping-particle":"","family":"Yano","given":"Yuichiro","non-dropping-particle":"","parse-names":false,"suffix":""},{"dropping-particle":"","family":"Yonemoto","given":"Naohiro","non-dropping-particle":"","parse-names":false,"suffix":""},{"dropping-particle":"","family":"Yonga","given":"Gerald","non-dropping-particle":"","parse-names":false,"suffix":""},{"dropping-particle":"","family":"Zaidi","given":"Zoubida","non-dropping-particle":"","parse-names":false,"suffix":""},{"dropping-particle":"","family":"Zenebe","given":"Zerihun M","non-dropping-particle":"","parse-names":false,"suffix":""},{"dropping-particle":"","family":"Zipkin","given":"Ben","non-dropping-particle":"","parse-names":false,"suffix":""},{"dropping-particle":"","family":"Murray","given":"Christopher J L","non-dropping-particle":"","parse-names":false,"suffix":""}],"container-title":"The New England journal of medicine","id":"ITEM-1","issue":"1","issued":{"date-parts":[["2017"]]},"page":"13-27","title":"Health Effects of Overweight and Obesity in 195 Countries over 25 Years.","type":"article-journal","volume":"377"},"uris":["http://www.mendeley.com/documents/?uuid=d73c34f2-6c18-4cd9-8e0f-dae5c11112f1"]},{"id":"ITEM-2","itemData":{"DOI":"10.1080/17446651.2019.1571907","ISSN":"1744-8417","PMID":"30691326","abstract":"INTRODUCTION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metabolism","id":"ITEM-2","issue":"2","issued":{"date-parts":[["2019"]]},"page":"97-110","title":"Endoscopic management of weight regain following Roux-en-Y gastric bypass.","type":"article-journal","volume":"14"},"uris":["http://www.mendeley.com/documents/?uuid=bee5617f-421b-4a6f-aee5-0103a567ddbb"]},{"id":"ITEM-3","itemData":{"DOI":"10.1590/S0004-2803.201800000-13","ISSN":"1678-4219","PMID":"29561980","abstract":"BACKGROUND Although the incidence of leaks after Roux-en-Y gastric bypass (RYGB) significantly decreased over time, their detection still remains challenging. OBJECTIVE This study aimed to determine the usefulness of drain amylase levels to detect leaks after RYGB. METHODS This is a population-based study which enrolled 170 individuals who underwent RYGB. Drain amylase levels were determined on the first and fourth postoperative days. Two thresholds were evaluated: three times higher than the serum levels (parameter I) and higher than 250 IU/L (parameter II). The main outcomes evaluated were perioperative morbidity, the occurrence of leaks, 30-day readmissions and reoperations, hospital stay, and mortality. RESULTS Considering the parameter I, high drain amylase levels were significantly associated with leaks (12.5% vs 0; P&lt;0.00001). Considering the parameter II, high drain amylase levels were significantly associated with longer hospital stay (8±5.7 vs 4.5±1.3 days; P=0.00032), 30-day reoperations (50% vs 3%; P=0.000285), and leaks (50% vs 0; P&lt;0.00001). The parameter I presented a sensitivity of 100% and specificity of 95.9%, whereas the parameter II presented a sensitivity of 100% and a specificity of 99.4%. CONCLUSION The determination of drain amylase levels after RYGB was a significant indicator of leaks, hospital stay, and 30-day reoperations. This finding reinforces the importance of abdominal drainage in the RYGB within this context.","author":[{"dropping-particle":"","family":"Ribeiro","given":"Igor Braga I.B.","non-dropping-particle":"","parse-names":false,"suffix":""},{"dropping-particle":"","family":"Gestic","given":"Martinho Antonio M.A.","non-dropping-particle":"","parse-names":false,"suffix":""},{"dropping-particle":"","family":"Utrini","given":"M.P. Murillo Pimentel","non-dropping-particle":"","parse-names":false,"suffix":""},{"dropping-particle":"","family":"Chaim","given":"F.D.M. Felipe David Mendonça Mendonca","non-dropping-particle":"","parse-names":false,"suffix":""},{"dropping-particle":"","family":"Chaim","given":"Elinton Adami E.A.","non-dropping-particle":"","parse-names":false,"suffix":""},{"dropping-particle":"","family":"Cazzo","given":"Everton","non-dropping-particle":"","parse-names":false,"suffix":""}],"container-title":"Arquivos de gastroenterologia","id":"ITEM-3","issue":"1","issued":{"date-parts":[["2018"]]},"page":"66-72","title":"Drain amylase levels may indicate gastrojejunostomy leaks after Roux-en-Y Gastric Bypass","type":"article-journal","volume":"55"},"uris":["http://www.mendeley.com/documents/?uuid=fdff3223-ee85-4bd0-935b-11385ce86b0d"]}],"mendeley":{"formattedCitation":"&lt;sup&gt;[1–3]&lt;/sup&gt;","plainTextFormattedCitation":"[1–3]","previouslyFormattedCitation":"&lt;sup&gt;[1–3]&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[1</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3]</w:t>
      </w:r>
      <w:r w:rsidR="00B214EC" w:rsidRPr="00165B9A">
        <w:rPr>
          <w:rFonts w:ascii="Book Antiqua" w:hAnsi="Book Antiqua"/>
          <w:color w:val="000000" w:themeColor="text1"/>
        </w:rPr>
        <w:fldChar w:fldCharType="end"/>
      </w:r>
      <w:r w:rsidR="00A54E26" w:rsidRPr="00165B9A">
        <w:rPr>
          <w:rFonts w:ascii="Book Antiqua" w:hAnsi="Book Antiqua"/>
          <w:color w:val="000000" w:themeColor="text1"/>
        </w:rPr>
        <w:t xml:space="preserve">. </w:t>
      </w:r>
      <w:r w:rsidR="0075396C" w:rsidRPr="00165B9A">
        <w:rPr>
          <w:rFonts w:ascii="Book Antiqua" w:hAnsi="Book Antiqua"/>
          <w:color w:val="000000" w:themeColor="text1"/>
        </w:rPr>
        <w:t xml:space="preserve">In recent years, endoscopic procedures </w:t>
      </w:r>
      <w:r w:rsidR="00A610F8" w:rsidRPr="00165B9A">
        <w:rPr>
          <w:rFonts w:ascii="Book Antiqua" w:hAnsi="Book Antiqua"/>
          <w:color w:val="000000" w:themeColor="text1"/>
        </w:rPr>
        <w:t xml:space="preserve">have begun to fill </w:t>
      </w:r>
      <w:r w:rsidRPr="00165B9A">
        <w:rPr>
          <w:rFonts w:ascii="Book Antiqua" w:hAnsi="Book Antiqua"/>
          <w:color w:val="000000" w:themeColor="text1"/>
        </w:rPr>
        <w:t xml:space="preserve">the large gap between </w:t>
      </w:r>
      <w:r w:rsidR="00A610F8" w:rsidRPr="00165B9A">
        <w:rPr>
          <w:rFonts w:ascii="Book Antiqua" w:hAnsi="Book Antiqua"/>
          <w:color w:val="000000" w:themeColor="text1"/>
        </w:rPr>
        <w:t xml:space="preserve">medical </w:t>
      </w:r>
      <w:r w:rsidRPr="00165B9A">
        <w:rPr>
          <w:rFonts w:ascii="Book Antiqua" w:hAnsi="Book Antiqua"/>
          <w:color w:val="000000" w:themeColor="text1"/>
        </w:rPr>
        <w:t xml:space="preserve">and surgical treatments aimed at controlling this </w:t>
      </w:r>
      <w:r w:rsidR="00A610F8" w:rsidRPr="00165B9A">
        <w:rPr>
          <w:rFonts w:ascii="Book Antiqua" w:hAnsi="Book Antiqua"/>
          <w:color w:val="000000" w:themeColor="text1"/>
        </w:rPr>
        <w:t>disease</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{"citationItems":[{"id":"ITEM-1","itemData":{"DOI":"10.1007/s11695-019-03771-1","ISSN":"1708-0428","PMID":"30737762","abstract":"INTRODUCTION The use of intragastric balloons (IGB) for the treatment of obesity has been increasing significantly, with data confirming its effectiveness with low complication rates. Adjustable balloons are not widely available for use in all countries, including the USA. In this video, we demonstrate a unique technique in which a conventional nonadjustable balloon is modified to an adjustable balloon to improve weight loss. METHODS A 35-year-old woman with a BMI of 36.1 kg/m2 (84.4 kg) who had failed prior medical therapy for obesity presented for IGB placement. After discussion with the patient, including risks and benefits, a conventional IGB modified to a novel adjustable IGB was placed. RESULTS In this primary experience, we describe the use of a conventional IGB modified to an adjustable balloon. First, during balloon placement, an initial 500 ml of saline was instilled. At one-month follow-up, the patient only experienced 3.67%TBWL; thus, the balloon was adjusted with the addition of 160 ml of saline through the newly created modification catheter. At a 2-month follow-up, a second adjustment was performed with the addition of 180 ml, for a total of 840 ml. At 4 months, patient experienced 10% TBWL and decreased in BMI by 3.6 kg/m2. No adverse events were reported. CONCLUSION The transformation of a nonadjustable balloon into an adjustable balloon is feasible and effective in weight loss. This technique may be an alternative in cases where adjustable balloon is not available. Further studies are warranted to confirm the safety and efficacy of this novel device.","author":[{"dropping-particle":"","family":"Almeida","given":"Leonardo Salles","non-dropping-particle":"de","parse-names":false,"suffix":""},{"dropping-particle":"","family":"Bazarbashi","given":"Ahmad Najdat","non-dropping-particle":"","parse-names":false,"suffix":""},{"dropping-particle":"","family":"Souza","given":"Thiago Ferreira","non-dropping-particle":"de","parse-names":false,"suffix":""},{"dropping-particle":"","family":"Moura","given":"Bruna Furia Buzetti Hourneaux","non-dropping-particle":"de","parse-names":false,"suffix":""},{"dropping-particle":"","family":"Moura","given":"Diogo Turiani Hourneaux","non-dropping-particle":"de","parse-names":false,"suffix":""}],"container-title":"Obesity surgery","id":"ITEM-1","issue":"4","issued":{"date-parts":[["2019"]]},"page":"1445-1446","title":"Modifying an Intragastric Balloon for the Treatment of Obesity: a Unique Approach.","type":"article-journal","volume":"29"},"uris":["http://www.mendeley.com/documents/?uuid=060f7254-f368-4e6b-ae7e-fe7d27ed6e25"]},{"id":"ITEM-2","itemData":{"DOI":"10.1016/j.soard.2018.10.006","ISSN":"1878-7533","PMID":"30477752","author":[{"dropping-particle":"","family":"Moura","given":"Diogo Turiani Hourneaux","non-dropping-particle":"de","parse-names":false,"suffix":""},{"dropping-particle":"","family":"Moura","given":"Eduardo G H","non-dropping-particle":"de","parse-names":false,"suffix":""},{"dropping-particle":"","family":"Neto","given":"Manoel Galvão","non-dropping-particle":"","parse-names":false,"suffix":""},{"dropping-particle":"","family":"Thompson","given":"Christopher C","non-dropping-particle":"","parse-names":false,"suffix":""}],"container-title":"Surgery for obesity and related diseases : official journal of the American Society for Bariatric Surgery","id":"ITEM-2","issued":{"date-parts":[["2018","10","18"]]},"title":"Comment on: evaluating the safety of intragastric balloon: an analysis of the metabolic and bariatric surgery accreditation and quality improvement program.","type":"article-journal"},"uris":["http://www.mendeley.com/documents/?uuid=78aa4aff-5f6d-410f-953f-b5889c64b0c8"]}],"mendeley":{"formattedCitation":"&lt;sup&gt;[4,5]&lt;/sup&gt;","plainTextFormattedCitation":"[4,5]","previouslyFormattedCitation":"&lt;sup&gt;[4,5]&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[4,5]</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One of the recently developed </w:t>
      </w:r>
      <w:r w:rsidR="00687484" w:rsidRPr="00165B9A">
        <w:rPr>
          <w:rFonts w:ascii="Book Antiqua" w:hAnsi="Book Antiqua"/>
          <w:color w:val="000000" w:themeColor="text1"/>
        </w:rPr>
        <w:t xml:space="preserve">procedures </w:t>
      </w:r>
      <w:r w:rsidRPr="00165B9A">
        <w:rPr>
          <w:rFonts w:ascii="Book Antiqua" w:hAnsi="Book Antiqua"/>
          <w:color w:val="000000" w:themeColor="text1"/>
        </w:rPr>
        <w:t>is endoscopic sleeve gastroplasty</w:t>
      </w:r>
      <w:r w:rsidR="00A610F8" w:rsidRPr="00165B9A">
        <w:rPr>
          <w:rFonts w:ascii="Book Antiqua" w:hAnsi="Book Antiqua"/>
          <w:color w:val="000000" w:themeColor="text1"/>
        </w:rPr>
        <w:t xml:space="preserve"> (ESG)</w:t>
      </w:r>
      <w:r w:rsidRPr="00165B9A">
        <w:rPr>
          <w:rFonts w:ascii="Book Antiqua" w:hAnsi="Book Antiqua"/>
          <w:color w:val="000000" w:themeColor="text1"/>
        </w:rPr>
        <w:t xml:space="preserve">, </w:t>
      </w:r>
      <w:r w:rsidR="005D52B1" w:rsidRPr="00165B9A">
        <w:rPr>
          <w:rFonts w:ascii="Book Antiqua" w:hAnsi="Book Antiqua"/>
          <w:color w:val="000000" w:themeColor="text1"/>
        </w:rPr>
        <w:t xml:space="preserve">which is </w:t>
      </w:r>
      <w:r w:rsidRPr="00165B9A">
        <w:rPr>
          <w:rFonts w:ascii="Book Antiqua" w:hAnsi="Book Antiqua"/>
          <w:color w:val="000000" w:themeColor="text1"/>
        </w:rPr>
        <w:t>performed with a suturing device</w:t>
      </w:r>
      <w:r w:rsidR="008721EB" w:rsidRPr="00165B9A">
        <w:rPr>
          <w:rFonts w:ascii="Book Antiqua" w:hAnsi="Book Antiqua"/>
          <w:color w:val="000000" w:themeColor="text1"/>
        </w:rPr>
        <w:t xml:space="preserve"> </w:t>
      </w:r>
      <w:r w:rsidRPr="00165B9A">
        <w:rPr>
          <w:rFonts w:ascii="Book Antiqua" w:hAnsi="Book Antiqua"/>
          <w:color w:val="000000" w:themeColor="text1"/>
        </w:rPr>
        <w:t xml:space="preserve">coupled to the </w:t>
      </w:r>
      <w:r w:rsidR="00964BEF" w:rsidRPr="00165B9A">
        <w:rPr>
          <w:rFonts w:ascii="Book Antiqua" w:hAnsi="Book Antiqua"/>
          <w:color w:val="000000" w:themeColor="text1"/>
        </w:rPr>
        <w:t xml:space="preserve">distal tip </w:t>
      </w:r>
      <w:r w:rsidRPr="00165B9A">
        <w:rPr>
          <w:rFonts w:ascii="Book Antiqua" w:hAnsi="Book Antiqua"/>
          <w:color w:val="000000" w:themeColor="text1"/>
        </w:rPr>
        <w:t>of an endoscop</w:t>
      </w:r>
      <w:r w:rsidR="008721EB" w:rsidRPr="00165B9A">
        <w:rPr>
          <w:rFonts w:ascii="Book Antiqua" w:hAnsi="Book Antiqua"/>
          <w:color w:val="000000" w:themeColor="text1"/>
        </w:rPr>
        <w:t xml:space="preserve">e </w:t>
      </w:r>
      <w:r w:rsidR="005D52B1" w:rsidRPr="00165B9A">
        <w:rPr>
          <w:rFonts w:ascii="Book Antiqua" w:hAnsi="Book Antiqua"/>
          <w:color w:val="000000" w:themeColor="text1"/>
        </w:rPr>
        <w:t>enabling placement of</w:t>
      </w:r>
      <w:r w:rsidR="008721EB" w:rsidRPr="00165B9A">
        <w:rPr>
          <w:rFonts w:ascii="Book Antiqua" w:hAnsi="Book Antiqua"/>
          <w:color w:val="000000" w:themeColor="text1"/>
        </w:rPr>
        <w:t xml:space="preserve"> full thickness sutures in the gastric wall</w:t>
      </w:r>
      <w:r w:rsidR="00F64769" w:rsidRPr="00165B9A">
        <w:rPr>
          <w:rFonts w:ascii="Book Antiqua" w:hAnsi="Book Antiqua"/>
          <w:color w:val="000000" w:themeColor="text1"/>
        </w:rPr>
        <w:t xml:space="preserve"> to alter</w:t>
      </w:r>
      <w:r w:rsidR="008721EB" w:rsidRPr="00165B9A">
        <w:rPr>
          <w:rFonts w:ascii="Book Antiqua" w:hAnsi="Book Antiqua"/>
          <w:color w:val="000000" w:themeColor="text1"/>
        </w:rPr>
        <w:t xml:space="preserve"> </w:t>
      </w:r>
      <w:r w:rsidR="0060203A" w:rsidRPr="00165B9A">
        <w:rPr>
          <w:rFonts w:ascii="Book Antiqua" w:hAnsi="Book Antiqua"/>
          <w:color w:val="000000" w:themeColor="text1"/>
        </w:rPr>
        <w:t xml:space="preserve">the form and function of the stomach. </w:t>
      </w:r>
    </w:p>
    <w:p w14:paraId="39C8C884" w14:textId="7A46C965" w:rsidR="009807C4" w:rsidRPr="00165B9A" w:rsidRDefault="009807C4" w:rsidP="00165B9A">
      <w:pPr>
        <w:spacing w:line="360" w:lineRule="auto"/>
        <w:ind w:firstLineChars="100" w:firstLine="240"/>
        <w:jc w:val="both"/>
        <w:rPr>
          <w:rFonts w:ascii="Book Antiqua" w:hAnsi="Book Antiqua"/>
          <w:color w:val="000000" w:themeColor="text1"/>
        </w:rPr>
      </w:pPr>
      <w:r w:rsidRPr="00165B9A">
        <w:rPr>
          <w:rFonts w:ascii="Book Antiqua" w:hAnsi="Book Antiqua"/>
          <w:color w:val="000000" w:themeColor="text1"/>
        </w:rPr>
        <w:t xml:space="preserve">Although </w:t>
      </w:r>
      <w:r w:rsidR="00A610F8" w:rsidRPr="00165B9A">
        <w:rPr>
          <w:rFonts w:ascii="Book Antiqua" w:hAnsi="Book Antiqua"/>
          <w:color w:val="000000" w:themeColor="text1"/>
        </w:rPr>
        <w:t>ESG</w:t>
      </w:r>
      <w:r w:rsidRPr="00165B9A">
        <w:rPr>
          <w:rFonts w:ascii="Book Antiqua" w:hAnsi="Book Antiqua"/>
          <w:color w:val="000000" w:themeColor="text1"/>
        </w:rPr>
        <w:t xml:space="preserve"> is considered </w:t>
      </w:r>
      <w:r w:rsidR="00A610F8" w:rsidRPr="00165B9A">
        <w:rPr>
          <w:rFonts w:ascii="Book Antiqua" w:hAnsi="Book Antiqua"/>
          <w:color w:val="000000" w:themeColor="text1"/>
        </w:rPr>
        <w:t xml:space="preserve">to be a </w:t>
      </w:r>
      <w:r w:rsidRPr="00165B9A">
        <w:rPr>
          <w:rFonts w:ascii="Book Antiqua" w:hAnsi="Book Antiqua"/>
          <w:color w:val="000000" w:themeColor="text1"/>
        </w:rPr>
        <w:t>safe procedure</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{"citationItems":[{"id":"ITEM-1","itemData":{"DOI":"10.1590/0102-6720201700010006","ISSN":"2317-6326","PMID":"28489162","abstract":"Background Bariatric endoscopic techniques are minimally invasive and induce gastric volume reduction to treat obesity. Aim : To evaluate endoscopic sleeve gastroplasty (Apollo method) using a suturing method directed at the greater curvature, as well as the perioperative care, two year safety and weight loss. Method Prospective single-center study over 154 patients (108 females) using the endoscopic sleeve gastroplasty procedure under general anesthesia with overnight inpatient observation. Of the154 initial patients, 143 were available for 1-month of follow-up, 133 for 6-month, 64 for 12-month and 28 completed the 24 month assessment. Follow-up was carried out by a multidisciplinary team (nutritionist and psychologist). Outcomes evaluated were: change in BMI; change in body weight (TBWL); % of loss of initial body weight (%TBWL); % of excess body weight loss (%EWL) (segregated in &gt; or &lt;25% and adverse effects. Voluntary oral contrasted radiological examinations were scheduled to assess the gastroplasty at different times post-procedure. Results Mean age was 44.9 (23-69) years. At 24 months after the procedure baseline mean BMI change from 38.3 to 30.8 kg/m2. TBWL, %TBWL and %EWL were of 21.3 kg, 19.5% and 60.4% respectively. 85.7% of patients achieve the goal of &gt;25% %EWL. There were no mayor adverse events intraprocedure or during the 24 months of follow-up . Conclusion Endoscopic sleeve gastroplasty with regular monitoring by a multidisciplinary team can be considered an effective, safe and well tolerated procedure for obesity treatment, at least for two years of follow-up. Racional As técnicas de endoscopia bariátrica são minimamente invasivas e induzem à redução do volume gástrico para tratar a obesidade. Objetivo Avaliar a gastroplastia sleeve endoscópica (método Apollo) usando um método de sutura direcionado para a grande curvatura, bem como os cuidados perioperatórios, segurança em dois anos e perda de peso. Método Estudo prospectivo em um único centro com 154 pacientes (108 mulheres) usando o procedimento endoscópico de gastroplastia sleeve sob anestesia geral com observação do paciente internado durante a noite. Dos 154 pacientes iniciais, 143 estiveram disponíveis para acompanhamento de um mês, 133 durante seis meses, 64 durante 12 meses e 28 completaram a avaliação de 24 meses. O acompanhamento foi realizado por equipe multidisciplinar (nutricionista e psicólogo). Foram avaliados nos resultados as mudanças no IMC, no peso corporal (TWBL), n…","author":[{"dropping-particle":"","family":"Lopez-Nava","given":"Gontrand","non-dropping-particle":"","parse-names":false,"suffix":""},{"dropping-particle":"","family":"Galvão","given":"M P","non-dropping-particle":"","parse-names":false,"suffix":""},{"dropping-particle":"","family":"Bautista-Castaño","given":"I","non-dropping-particle":"","parse-names":false,"suffix":""},{"dropping-particle":"","family":"Fernandez-Corbelle","given":"J P","non-dropping-particle":"","parse-names":false,"suffix":""},{"dropping-particle":"","family":"Trell","given":"M","non-dropping-particle":"","parse-names":false,"suffix":""},{"dropping-particle":"","family":"Lopez","given":"N","non-dropping-particle":"","parse-names":false,"suffix":""}],"container-title":"Arquivos brasileiros de cirurgia digestiva : ABCD = Brazilian archives of digestive surgery","id":"ITEM-1","issue":"1","issued":{"date-parts":[["2017","3"]]},"page":"18-20","title":"ENDOSCOPIC SLEEVE GASTROPLASTY FOR OBESITY TREATMENT: TWO YEARS OF EXPERIENCE.","type":"article-journal","volume":"30"},"uris":["http://www.mendeley.com/documents/?uuid=65d71f76-ea65-491d-8f33-306e18669591"]},{"id":"ITEM-2","itemData":{"DOI":"10.1007/s11695-018-3135-x","ISSN":"1708-0428","PMID":"29450845","abstract":"OBJECTIVE Endoscopic sleeve gastroplasty (ESG), an incisionless endoscopic bariatric procedure, has shown impressive results in case series. This study examines the reproducibility, efficacy, and safety in three centers across two countries, and identifies key determinants for procedural success. DESIGN Patients who underwent ESG between February 2016 and May 2017 at one of three centers (Australia and USA) were retrospectively analyzed. All procedures were performed on an outpatient basis using the Apollo OverStitch device (Apollo Endosurgery, Austin, TX). Primary outcomes included absolute weight loss (ΔWeight, kg), change in body mass index (∆BMI, in kg/m2), total body weight loss (TBWL, %), excess weight loss (EWL, in %), and immediate and delayed adverse events. RESULTS In total, 112 consecutive patients (male 31%, age 45.1 ± 11.7 years, baseline BMI 37.9 ± 6.7 kg/m2) underwent ESG. At 1, 3, and 6 months, Δweight was 9.0 ± 4.6 kg (TBWL 8.4 ± 4.1%), 12.9 ± 6.4 kg (TBWL 11.9 ± 4.5%), and 16.4 ± 10.7 kg (TBWL 14.9 ± 6.1%), respectively. The proportion of patients who attained greater than 10% TBWL and 25% EWL was 62.2 and 78.0% at 3 months post-ESG and 81.0 and 86.5% at 6 months post-ESG. Weight loss was similar between the three centers. Multivariable analysis showed that male sex, greater baseline body weight, and lack of prior endoscopic bariatric therapy were predictors of greater Δweight at 6 months. Three (2.7%) severe adverse events were observed. CONCLUSIONS ESG is an effective, reproducible, and safe weight loss therapy that is suitable for widespread clinical adoption.","author":[{"dropping-particle":"","family":"Sartoretto","given":"Adrian","non-dropping-particle":"","parse-names":false,"suffix":""},{"dropping-particle":"","family":"Sui","given":"Zhixian","non-dropping-particle":"","parse-names":false,"suffix":""},{"dropping-particle":"","family":"Hill","given":"Christine","non-dropping-particle":"","parse-names":false,"suffix":""},{"dropping-particle":"","family":"Dunlap","given":"Margo","non-dropping-particle":"","parse-names":false,"suffix":""},{"dropping-particle":"","family":"Rivera","given":"Angielyn R","non-dropping-particle":"","parse-names":false,"suffix":""},{"dropping-particle":"","family":"Khashab","given":"Mouen A","non-dropping-particle":"","parse-names":false,"suffix":""},{"dropping-particle":"","family":"Kalloo","given":"Anthony N","non-dropping-particle":"","parse-names":false,"suffix":""},{"dropping-particle":"","family":"Fayad","given":"Lea","non-dropping-particle":"","parse-names":false,"suffix":""},{"dropping-particle":"","family":"Cheskin","given":"Lawrence J","non-dropping-particle":"","parse-names":false,"suffix":""},{"dropping-particle":"","family":"Marinos","given":"George","non-dropping-particle":"","parse-names":false,"suffix":""},{"dropping-particle":"","family":"Wilson","given":"Erik","non-dropping-particle":"","parse-names":false,"suffix":""},{"dropping-particle":"","family":"Kumbhari","given":"Vivek","non-dropping-particle":"","parse-names":false,"suffix":""}],"container-title":"Obesity surgery","id":"ITEM-2","issue":"7","issued":{"date-parts":[["2018","7"]]},"page":"1812-1821","title":"Endoscopic Sleeve Gastroplasty (ESG) Is a Reproducible and Effective Endoscopic Bariatric Therapy Suitable for Widespread Clinical Adoption: a Large, International Multicenter Study.","type":"article-journal","volume":"28"},"uris":["http://www.mendeley.com/documents/?uuid=cecdddb6-da30-4363-ad4f-5c030dd70ec2"]},{"id":"ITEM-3","itemData":{"DOI":"10.4253/wjge.v11.i5.322","ISSN":"1948-5190","PMID":"31205593","abstract":"The most effective and durable treatment for obesity is bariatric surgery. However, less than 2% of eligible patients who fulfill the criteria for bariatric surgery undergo the procedure. As a result, there is a drive to develop less invasive therapies to combat obesity. Endoscopic bariatric therapies (EBT) for weight loss are important since they are more effective than pharmacological treatments and lifestyle changes and present lower adverse event rates compared to bariatric surgery. Endoscopic sleeve gastroplasty (ESG) is a minimally invasive EBT that involves remodeling of the greater curvature. ESG demonstrated favorable outcomes in several centers, with up to 20.9% total body weight loss and 60.4% excess weight loss (EWL) on 2-year follow-up, with a low rate of severe adverse events (SAE). As such, it could be considered safe and effective in light of ASGE/ASMBS thresholds of &gt; 25% EWL and ≤ 5% SAE, although there are no comparative trials to support this. Additionally, ESG showed improvement in diabetes mellitus type 2, hypertension, and other obesity-related comorbidities. As this procedure continues to develop there are several areas that can be addressed to improve outcomes, including device improvements, technique standardization, patient selection, personalized medicine, combination therapies, and training standardization. In this editorial we discuss the origins of the ESG, current data, and future developments.","author":[{"dropping-particle":"","family":"Moura","given":"Diogo Turiani Hourneaux","non-dropping-particle":"de","parse-names":false,"suffix":""},{"dropping-particle":"","family":"Moura","given":"Eduardo Guimarães Hourneaux","non-dropping-particle":"de","parse-names":false,"suffix":""},{"dropping-particle":"","family":"Thompson","given":"Christopher C","non-dropping-particle":"","parse-names":false,"suffix":""}],"container-title":"World journal of gastrointestinal endoscopy","id":"ITEM-3","issue":"5","issued":{"date-parts":[["2019","5","16"]]},"page":"322-328","title":"Endoscopic sleeve gastroplasty: From whence we came and where we are going.","type":"article-journal","volume":"11"},"uris":["http://www.mendeley.com/documents/?uuid=811e6977-b2a3-48c0-9532-59cc9d6ed1fa"]}],"mendeley":{"formattedCitation":"&lt;sup&gt;[6–8]&lt;/sup&gt;","plainTextFormattedCitation":"[6–8]","previouslyFormattedCitation":"&lt;sup&gt;[6–8]&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[6</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8]</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w:t>
      </w:r>
      <w:r w:rsidR="00804FD7" w:rsidRPr="00165B9A">
        <w:rPr>
          <w:rFonts w:ascii="Book Antiqua" w:hAnsi="Book Antiqua"/>
          <w:color w:val="000000" w:themeColor="text1"/>
        </w:rPr>
        <w:t>various major and minor adverse events have been described</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{"citationItems":[{"id":"ITEM-1","itemData":{"DOI":"10.1007/s11695-017-2693-7","ISSN":"1708-0428","PMID":"28451929","abstract":"BACKGROUND Endoscopic sleeve gastroplasty (ESG) is a technique for managing mild to moderately obese patients. We aimed to evaluate the long-term outcomes, reproducibility, and predictors of weight response in a large multicenter cohort. METHODS Patients who underwent ESG between January 2013 and December 2015 in three centers were retrospectively analyzed. All procedures were performed using the Apollo OverStitch device (Apollo Endosurgery, Austin, TX). We performed per protocol (PP) and intention-to-treat (ITT) analyses, where patients lost to follow-up were considered failures. Multivariable linear and logistic regression analyses were performed. RESULTS We included 248 patients (mean age 44.5 ± 10 years, 73% female). Baseline BMI was 37.8 ± 5.6 kg/m2. At 6 and 24 months, 33 and 35 patients were lost to follow-up, respectively. At 6 and 24 months, %TBWL was 15.2 [95%CI 14.2-16.3] and 18.6 [15.7-21.5], respectively. Weight loss was similar between centers at both follow-up intervals. At 24 months, % of patients achieving ≥10% TBWL was 84.2 and 53% with PP and ITT analyses, respectively. On multivariable linear regression analysis, only %TBWL at 6 months strongly predicted %TBWL at 24 months (adjusted for age, gender, and baseline BMI, β = 1.21, p &lt; 0.001). The odds of achieving ≥10%TBWL at 24 months if a patient achieved &lt;10%TBWL at 6 months is 0.18 [0.034-0.84]. Five (2%) serious adverse events occurred. CONCLUSIONS ESG effectively induces weight loss up to 24 months in moderately obese patients. Failure to achieve adequate weight loss can be predicted early, and patients should be offered adjunctive therapies to augment it.","author":[{"dropping-particle":"","family":"Lopez-Nava","given":"Gontrand","non-dropping-particle":"","parse-names":false,"suffix":""},{"dropping-particle":"","family":"Sharaiha","given":"Reem Z","non-dropping-particle":"","parse-names":false,"suffix":""},{"dropping-particle":"","family":"Vargas","given":"Eric J","non-dropping-particle":"","parse-names":false,"suffix":""},{"dropping-particle":"","family":"Bazerbachi","given":"Fateh","non-dropping-particle":"","parse-names":false,"suffix":""},{"dropping-particle":"","family":"Manoel","given":"Galvao Neto","non-dropping-particle":"","parse-names":false,"suffix":""},{"dropping-particle":"","family":"Bautista-Castaño","given":"Inmaculada","non-dropping-particle":"","parse-names":false,"suffix":""},{"dropping-particle":"","family":"Acosta","given":"Andres","non-dropping-particle":"","parse-names":false,"suffix":""},{"dropping-particle":"","family":"Topazian","given":"Mark D","non-dropping-particle":"","parse-names":false,"suffix":""},{"dropping-particle":"","family":"Mundi","given":"Manpreet S","non-dropping-particle":"","parse-names":false,"suffix":""},{"dropping-particle":"","family":"Kumta","given":"Nikhil","non-dropping-particle":"","parse-names":false,"suffix":""},{"dropping-particle":"","family":"Kahaleh","given":"Michel","non-dropping-particle":"","parse-names":false,"suffix":""},{"dropping-particle":"","family":"Herr","given":"Andrea Marie","non-dropping-particle":"","parse-names":false,"suffix":""},{"dropping-particle":"","family":"Shukla","given":"Alpana","non-dropping-particle":"","parse-names":false,"suffix":""},{"dropping-particle":"","family":"Aronne","given":"Louis","non-dropping-particle":"","parse-names":false,"suffix":""},{"dropping-particle":"","family":"Gostout","given":"Christopher J","non-dropping-particle":"","parse-names":false,"suffix":""},{"dropping-particle":"","family":"Abu Dayyeh","given":"Barham K","non-dropping-particle":"","parse-names":false,"suffix":""}],"container-title":"Obesity surgery","id":"ITEM-1","issue":"10","issued":{"date-parts":[["2017"]]},"page":"2649-2655","title":"Endoscopic Sleeve Gastroplasty for Obesity: a Multicenter Study of 248 Patients with 24 Months Follow-Up.","type":"article-journal","volume":"27"},"uris":["http://www.mendeley.com/documents/?uuid=937982e5-8486-442c-af17-d4edb8b2a2b3"]}],"mendeley":{"formattedCitation":"&lt;sup&gt;[9]&lt;/sup&gt;","plainTextFormattedCitation":"[9]","previouslyFormattedCitation":"&lt;sup&gt;[9]&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[9]</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According to </w:t>
      </w:r>
      <w:r w:rsidR="00414C5A" w:rsidRPr="00165B9A">
        <w:rPr>
          <w:rFonts w:ascii="Book Antiqua" w:hAnsi="Book Antiqua"/>
          <w:color w:val="000000" w:themeColor="text1"/>
        </w:rPr>
        <w:t>previous studies</w:t>
      </w:r>
      <w:r w:rsidRPr="00165B9A">
        <w:rPr>
          <w:rFonts w:ascii="Book Antiqua" w:hAnsi="Book Antiqua"/>
          <w:color w:val="000000" w:themeColor="text1"/>
        </w:rPr>
        <w:t xml:space="preserve">, the most common symptoms occurring after </w:t>
      </w:r>
      <w:r w:rsidR="00A610F8" w:rsidRPr="00165B9A">
        <w:rPr>
          <w:rFonts w:ascii="Book Antiqua" w:hAnsi="Book Antiqua"/>
          <w:color w:val="000000" w:themeColor="text1"/>
        </w:rPr>
        <w:t>ESG</w:t>
      </w:r>
      <w:r w:rsidRPr="00165B9A">
        <w:rPr>
          <w:rFonts w:ascii="Book Antiqua" w:hAnsi="Book Antiqua"/>
          <w:color w:val="000000" w:themeColor="text1"/>
        </w:rPr>
        <w:t xml:space="preserve"> are nausea, vomiting, and mild-to-moderate abdominal pain</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{"citationItems":[{"id":"ITEM-1","itemData":{"DOI":"10.1007/s11695-017-2693-7","ISSN":"1708-0428","PMID":"28451929","abstract":"BACKGROUND Endoscopic sleeve gastroplasty (ESG) is a technique for managing mild to moderately obese patients. We aimed to evaluate the long-term outcomes, reproducibility, and predictors of weight response in a large multicenter cohort. METHODS Patients who underwent ESG between January 2013 and December 2015 in three centers were retrospectively analyzed. All procedures were performed using the Apollo OverStitch device (Apollo Endosurgery, Austin, TX). We performed per protocol (PP) and intention-to-treat (ITT) analyses, where patients lost to follow-up were considered failures. Multivariable linear and logistic regression analyses were performed. RESULTS We included 248 patients (mean age 44.5 ± 10 years, 73% female). Baseline BMI was 37.8 ± 5.6 kg/m2. At 6 and 24 months, 33 and 35 patients were lost to follow-up, respectively. At 6 and 24 months, %TBWL was 15.2 [95%CI 14.2-16.3] and 18.6 [15.7-21.5], respectively. Weight loss was similar between centers at both follow-up intervals. At 24 months, % of patients achieving ≥10% TBWL was 84.2 and 53% with PP and ITT analyses, respectively. On multivariable linear regression analysis, only %TBWL at 6 months strongly predicted %TBWL at 24 months (adjusted for age, gender, and baseline BMI, β = 1.21, p &lt; 0.001). The odds of achieving ≥10%TBWL at 24 months if a patient achieved &lt;10%TBWL at 6 months is 0.18 [0.034-0.84]. Five (2%) serious adverse events occurred. CONCLUSIONS ESG effectively induces weight loss up to 24 months in moderately obese patients. Failure to achieve adequate weight loss can be predicted early, and patients should be offered adjunctive therapies to augment it.","author":[{"dropping-particle":"","family":"Lopez-Nava","given":"Gontrand","non-dropping-particle":"","parse-names":false,"suffix":""},{"dropping-particle":"","family":"Sharaiha","given":"Reem Z","non-dropping-particle":"","parse-names":false,"suffix":""},{"dropping-particle":"","family":"Vargas","given":"Eric J","non-dropping-particle":"","parse-names":false,"suffix":""},{"dropping-particle":"","family":"Bazerbachi","given":"Fateh","non-dropping-particle":"","parse-names":false,"suffix":""},{"dropping-particle":"","family":"Manoel","given":"Galvao Neto","non-dropping-particle":"","parse-names":false,"suffix":""},{"dropping-particle":"","family":"Bautista-Castaño","given":"Inmaculada","non-dropping-particle":"","parse-names":false,"suffix":""},{"dropping-particle":"","family":"Acosta","given":"Andres","non-dropping-particle":"","parse-names":false,"suffix":""},{"dropping-particle":"","family":"Topazian","given":"Mark D","non-dropping-particle":"","parse-names":false,"suffix":""},{"dropping-particle":"","family":"Mundi","given":"Manpreet S","non-dropping-particle":"","parse-names":false,"suffix":""},{"dropping-particle":"","family":"Kumta","given":"Nikhil","non-dropping-particle":"","parse-names":false,"suffix":""},{"dropping-particle":"","family":"Kahaleh","given":"Michel","non-dropping-particle":"","parse-names":false,"suffix":""},{"dropping-particle":"","family":"Herr","given":"Andrea Marie","non-dropping-particle":"","parse-names":false,"suffix":""},{"dropping-particle":"","family":"Shukla","given":"Alpana","non-dropping-particle":"","parse-names":false,"suffix":""},{"dropping-particle":"","family":"Aronne","given":"Louis","non-dropping-particle":"","parse-names":false,"suffix":""},{"dropping-particle":"","family":"Gostout","given":"Christopher J","non-dropping-particle":"","parse-names":false,"suffix":""},{"dropping-particle":"","family":"Abu Dayyeh","given":"Barham K","non-dropping-particle":"","parse-names":false,"suffix":""}],"container-title":"Obesity surgery","id":"ITEM-1","issue":"10","issued":{"date-parts":[["2017"]]},"page":"2649-2655","title":"Endoscopic Sleeve Gastroplasty for Obesity: a Multicenter Study of 248 Patients with 24 Months Follow-Up.","type":"article-journal","volume":"27"},"uris":["http://www.mendeley.com/documents/?uuid=937982e5-8486-442c-af17-d4edb8b2a2b3"]},{"id":"ITEM-2","itemData":{"DOI":"10.1016/j.gie.2018.12.012","ISSN":"1097-6779","PMID":"30578757","abstract":"BACKGROUND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endoscopy","id":"ITEM-2","issued":{"date-parts":[["2018","12","19"]]},"title":"Short-term outcomes of endoscopic sleeve gastroplasty in 1000 consecutive patients.","type":"article-journal"},"uris":["http://www.mendeley.com/documents/?uuid=d3fde783-c7b5-4ada-8fdc-9d05432797a7"]},{"id":"ITEM-3","itemData":{"DOI":"10.1016/j.gie.2019.06.013","ISSN":"1097-6779","PMID":"31228432","abstract":"BACKGROUND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endoscopy","id":"ITEM-3","issue":"5","issued":{"date-parts":[["2019"]]},"page":"770-780","title":"Endoscopic sleeve gastroplasty in the management of overweight and obesity: an international multicenter study.","type":"article-journal","volume":"90"},"uris":["http://www.mendeley.com/documents/?uuid=e11acf98-e618-4302-afee-bf6ad40dad37"]}],"mendeley":{"formattedCitation":"&lt;sup&gt;[9–11]&lt;/sup&gt;","plainTextFormattedCitation":"[9–11]","previouslyFormattedCitation":"&lt;sup&gt;[9–11]&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[9</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11]</w:t>
      </w:r>
      <w:r w:rsidR="00B214EC" w:rsidRPr="00165B9A">
        <w:rPr>
          <w:rFonts w:ascii="Book Antiqua" w:hAnsi="Book Antiqua"/>
          <w:color w:val="000000" w:themeColor="text1"/>
        </w:rPr>
        <w:fldChar w:fldCharType="end"/>
      </w:r>
      <w:r w:rsidRPr="00165B9A">
        <w:rPr>
          <w:rFonts w:ascii="Book Antiqua" w:hAnsi="Book Antiqua"/>
          <w:color w:val="000000" w:themeColor="text1"/>
        </w:rPr>
        <w:t xml:space="preserve">. </w:t>
      </w:r>
      <w:r w:rsidR="00923A2F" w:rsidRPr="00165B9A">
        <w:rPr>
          <w:rFonts w:ascii="Book Antiqua" w:hAnsi="Book Antiqua"/>
          <w:color w:val="000000" w:themeColor="text1"/>
        </w:rPr>
        <w:t>Severe</w:t>
      </w:r>
      <w:r w:rsidR="00A610F8" w:rsidRPr="00165B9A">
        <w:rPr>
          <w:rFonts w:ascii="Book Antiqua" w:hAnsi="Book Antiqua"/>
          <w:color w:val="000000" w:themeColor="text1"/>
        </w:rPr>
        <w:t xml:space="preserve"> </w:t>
      </w:r>
      <w:r w:rsidR="00923A2F" w:rsidRPr="00165B9A">
        <w:rPr>
          <w:rFonts w:ascii="Book Antiqua" w:hAnsi="Book Antiqua"/>
          <w:color w:val="000000" w:themeColor="text1"/>
        </w:rPr>
        <w:t>adverse events</w:t>
      </w:r>
      <w:r w:rsidR="004D64A9" w:rsidRPr="00165B9A">
        <w:rPr>
          <w:rFonts w:ascii="Book Antiqua" w:hAnsi="Book Antiqua"/>
          <w:color w:val="000000" w:themeColor="text1"/>
        </w:rPr>
        <w:t xml:space="preserve">, such as peritoneal fluid collections requiring </w:t>
      </w:r>
      <w:r w:rsidR="00923A2F" w:rsidRPr="00165B9A">
        <w:rPr>
          <w:rFonts w:ascii="Book Antiqua" w:hAnsi="Book Antiqua"/>
          <w:color w:val="000000" w:themeColor="text1"/>
        </w:rPr>
        <w:t>drainage or surgical intervention</w:t>
      </w:r>
      <w:r w:rsidR="004D64A9" w:rsidRPr="00165B9A">
        <w:rPr>
          <w:rFonts w:ascii="Book Antiqua" w:hAnsi="Book Antiqua"/>
          <w:color w:val="000000" w:themeColor="text1"/>
        </w:rPr>
        <w:t xml:space="preserve">, gastrointestinal </w:t>
      </w:r>
      <w:r w:rsidR="00D219E1" w:rsidRPr="00165B9A">
        <w:rPr>
          <w:rFonts w:ascii="Book Antiqua" w:hAnsi="Book Antiqua"/>
          <w:color w:val="000000" w:themeColor="text1"/>
        </w:rPr>
        <w:t xml:space="preserve">or intraabdominal </w:t>
      </w:r>
      <w:r w:rsidR="004D64A9" w:rsidRPr="00165B9A">
        <w:rPr>
          <w:rFonts w:ascii="Book Antiqua" w:hAnsi="Book Antiqua"/>
          <w:color w:val="000000" w:themeColor="text1"/>
        </w:rPr>
        <w:t xml:space="preserve">hemorrhage requiring intervention or transfusion, or </w:t>
      </w:r>
      <w:r w:rsidR="00D219E1" w:rsidRPr="00165B9A">
        <w:rPr>
          <w:rFonts w:ascii="Book Antiqua" w:hAnsi="Book Antiqua"/>
          <w:color w:val="000000" w:themeColor="text1"/>
        </w:rPr>
        <w:t>severe abdominal pain</w:t>
      </w:r>
      <w:r w:rsidR="004D64A9" w:rsidRPr="00165B9A">
        <w:rPr>
          <w:rFonts w:ascii="Book Antiqua" w:hAnsi="Book Antiqua"/>
          <w:color w:val="000000" w:themeColor="text1"/>
        </w:rPr>
        <w:t xml:space="preserve"> </w:t>
      </w:r>
      <w:r w:rsidRPr="00165B9A">
        <w:rPr>
          <w:rFonts w:ascii="Book Antiqua" w:hAnsi="Book Antiqua"/>
          <w:color w:val="000000" w:themeColor="text1"/>
        </w:rPr>
        <w:t xml:space="preserve">are rare, </w:t>
      </w:r>
      <w:r w:rsidR="00ED59DE" w:rsidRPr="00165B9A">
        <w:rPr>
          <w:rFonts w:ascii="Book Antiqua" w:hAnsi="Book Antiqua"/>
          <w:color w:val="000000" w:themeColor="text1"/>
        </w:rPr>
        <w:t>occurring</w:t>
      </w:r>
      <w:r w:rsidR="00D219E1" w:rsidRPr="00165B9A">
        <w:rPr>
          <w:rFonts w:ascii="Book Antiqua" w:hAnsi="Book Antiqua"/>
          <w:color w:val="000000" w:themeColor="text1"/>
        </w:rPr>
        <w:t xml:space="preserve"> in </w:t>
      </w:r>
      <w:r w:rsidRPr="00165B9A">
        <w:rPr>
          <w:rFonts w:ascii="Book Antiqua" w:hAnsi="Book Antiqua"/>
          <w:color w:val="000000" w:themeColor="text1"/>
        </w:rPr>
        <w:t>only 0</w:t>
      </w:r>
      <w:r w:rsidR="00165B9A">
        <w:rPr>
          <w:rFonts w:ascii="Book Antiqua" w:hAnsi="Book Antiqua"/>
          <w:color w:val="000000" w:themeColor="text1"/>
        </w:rPr>
        <w:t>-</w:t>
      </w:r>
      <w:r w:rsidRPr="00165B9A">
        <w:rPr>
          <w:rFonts w:ascii="Book Antiqua" w:hAnsi="Book Antiqua"/>
          <w:color w:val="000000" w:themeColor="text1"/>
        </w:rPr>
        <w:t xml:space="preserve">2% of </w:t>
      </w:r>
      <w:r w:rsidR="00AE639B" w:rsidRPr="00165B9A">
        <w:rPr>
          <w:rFonts w:ascii="Book Antiqua" w:hAnsi="Book Antiqua"/>
          <w:color w:val="000000" w:themeColor="text1"/>
        </w:rPr>
        <w:t>reported cases</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{"citationItems":[{"id":"ITEM-1","itemData":{"DOI":"10.1007/s11695-017-2693-7","ISSN":"1708-0428","PMID":"28451929","abstract":"BACKGROUND Endoscopic sleeve gastroplasty (ESG) is a technique for managing mild to moderately obese patients. We aimed to evaluate the long-term outcomes, reproducibility, and predictors of weight response in a large multicenter cohort. METHODS Patients who underwent ESG between January 2013 and December 2015 in three centers were retrospectively analyzed. All procedures were performed using the Apollo OverStitch device (Apollo Endosurgery, Austin, TX). We performed per protocol (PP) and intention-to-treat (ITT) analyses, where patients lost to follow-up were considered failures. Multivariable linear and logistic regression analyses were performed. RESULTS We included 248 patients (mean age 44.5 ± 10 years, 73% female). Baseline BMI was 37.8 ± 5.6 kg/m2. At 6 and 24 months, 33 and 35 patients were lost to follow-up, respectively. At 6 and 24 months, %TBWL was 15.2 [95%CI 14.2-16.3] and 18.6 [15.7-21.5], respectively. Weight loss was similar between centers at both follow-up intervals. At 24 months, % of patients achieving ≥10% TBWL was 84.2 and 53% with PP and ITT analyses, respectively. On multivariable linear regression analysis, only %TBWL at 6 months strongly predicted %TBWL at 24 months (adjusted for age, gender, and baseline BMI, β = 1.21, p &lt; 0.001). The odds of achieving ≥10%TBWL at 24 months if a patient achieved &lt;10%TBWL at 6 months is 0.18 [0.034-0.84]. Five (2%) serious adverse events occurred. CONCLUSIONS ESG effectively induces weight loss up to 24 months in moderately obese patients. Failure to achieve adequate weight loss can be predicted early, and patients should be offered adjunctive therapies to augment it.","author":[{"dropping-particle":"","family":"Lopez-Nava","given":"Gontrand","non-dropping-particle":"","parse-names":false,"suffix":""},{"dropping-particle":"","family":"Sharaiha","given":"Reem Z","non-dropping-particle":"","parse-names":false,"suffix":""},{"dropping-particle":"","family":"Vargas","given":"Eric J","non-dropping-particle":"","parse-names":false,"suffix":""},{"dropping-particle":"","family":"Bazerbachi","given":"Fateh","non-dropping-particle":"","parse-names":false,"suffix":""},{"dropping-particle":"","family":"Manoel","given":"Galvao Neto","non-dropping-particle":"","parse-names":false,"suffix":""},{"dropping-particle":"","family":"Bautista-Castaño","given":"Inmaculada","non-dropping-particle":"","parse-names":false,"suffix":""},{"dropping-particle":"","family":"Acosta","given":"Andres","non-dropping-particle":"","parse-names":false,"suffix":""},{"dropping-particle":"","family":"Topazian","given":"Mark D","non-dropping-particle":"","parse-names":false,"suffix":""},{"dropping-particle":"","family":"Mundi","given":"Manpreet S","non-dropping-particle":"","parse-names":false,"suffix":""},{"dropping-particle":"","family":"Kumta","given":"Nikhil","non-dropping-particle":"","parse-names":false,"suffix":""},{"dropping-particle":"","family":"Kahaleh","given":"Michel","non-dropping-particle":"","parse-names":false,"suffix":""},{"dropping-particle":"","family":"Herr","given":"Andrea Marie","non-dropping-particle":"","parse-names":false,"suffix":""},{"dropping-particle":"","family":"Shukla","given":"Alpana","non-dropping-particle":"","parse-names":false,"suffix":""},{"dropping-particle":"","family":"Aronne","given":"Louis","non-dropping-particle":"","parse-names":false,"suffix":""},{"dropping-particle":"","family":"Gostout","given":"Christopher J","non-dropping-particle":"","parse-names":false,"suffix":""},{"dropping-particle":"","family":"Abu Dayyeh","given":"Barham K","non-dropping-particle":"","parse-names":false,"suffix":""}],"container-title":"Obesity surgery","id":"ITEM-1","issue":"10","issued":{"date-parts":[["2017"]]},"page":"2649-2655","title":"Endoscopic Sleeve Gastroplasty for Obesity: a Multicenter Study of 248 Patients with 24 Months Follow-Up.","type":"article-journal","volume":"27"},"uris":["http://www.mendeley.com/documents/?uuid=937982e5-8486-442c-af17-d4edb8b2a2b3"]},{"id":"ITEM-2","itemData":{"DOI":"10.1016/j.gie.2018.12.012","ISSN":"1097-6779","PMID":"30578757","abstract":"BACKGROUND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endoscopy","id":"ITEM-2","issued":{"date-parts":[["2018","12","19"]]},"title":"Short-term outcomes of endoscopic sleeve gastroplasty in 1000 consecutive patients.","type":"article-journal"},"uris":["http://www.mendeley.com/documents/?uuid=d3fde783-c7b5-4ada-8fdc-9d05432797a7"]},{"id":"ITEM-3","itemData":{"DOI":"10.1016/j.gie.2019.06.013","ISSN":"1097-6779","PMID":"31228432","abstract":"BACKGROUND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endoscopy","id":"ITEM-3","issue":"5","issued":{"date-parts":[["2019"]]},"page":"770-780","title":"Endoscopic sleeve gastroplasty in the management of overweight and obesity: an international multicenter study.","type":"article-journal","volume":"90"},"uris":["http://www.mendeley.com/documents/?uuid=e11acf98-e618-4302-afee-bf6ad40dad37"]},{"id":"ITEM-4","itemData":{"DOI":"10.1016/S0016-5085(14)62071-0","ISSN":"00165085","author":[{"dropping-particle":"","family":"Kumar","given":"Nitin","non-dropping-particle":"","parse-names":false,"suffix":""},{"dropping-particle":"","family":"Sahdala","given":"Helene Nicolle Peña","non-dropping-particle":"","parse-names":false,"suffix":""},{"dropping-particle":"","family":"Shaikh","given":"Sohail","non-dropping-particle":"","parse-names":false,"suffix":""},{"dropping-particle":"","family":"Wilson","given":"Erik B.","non-dropping-particle":"","parse-names":false,"suffix":""},{"dropping-particle":"","family":"Manoel","given":"Galvao Neto","non-dropping-particle":"","parse-names":false,"suffix":""},{"dropping-particle":"","family":"Zundel","given":"Natan","non-dropping-particle":"","parse-names":false,"suffix":""},{"dropping-particle":"","family":"Thompson","given":"Christopher C.","non-dropping-particle":"","parse-names":false,"suffix":""}],"container-title":"Gastroenterology","id":"ITEM-4","issue":"5","issued":{"date-parts":[["2014","5"]]},"page":"S-571-S-572","title":"Mo1155 Endoscopic Sleeve Gastroplasty for Primary Therapy of Obesity: Initial Human Cases","type":"article-journal","volume":"146"},"uris":["http://www.mendeley.com/documents/?uuid=c421bd73-330e-406a-aa4b-f3ac5100c063"]}],"mendeley":{"formattedCitation":"&lt;sup&gt;[9–12]&lt;/sup&gt;","plainTextFormattedCitation":"[9–12]","previouslyFormattedCitation":"&lt;sup&gt;[9–12]&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[9</w:t>
      </w:r>
      <w:r w:rsidR="00165B9A">
        <w:rPr>
          <w:rFonts w:ascii="Book Antiqua" w:hAnsi="Book Antiqua"/>
          <w:noProof/>
          <w:color w:val="000000" w:themeColor="text1"/>
          <w:vertAlign w:val="superscript"/>
        </w:rPr>
        <w:t>-</w:t>
      </w:r>
      <w:r w:rsidR="008B04DC" w:rsidRPr="00165B9A">
        <w:rPr>
          <w:rFonts w:ascii="Book Antiqua" w:hAnsi="Book Antiqua"/>
          <w:noProof/>
          <w:color w:val="000000" w:themeColor="text1"/>
          <w:vertAlign w:val="superscript"/>
        </w:rPr>
        <w:t>12]</w:t>
      </w:r>
      <w:r w:rsidR="00B214EC" w:rsidRPr="00165B9A">
        <w:rPr>
          <w:rFonts w:ascii="Book Antiqua" w:hAnsi="Book Antiqua"/>
          <w:color w:val="000000" w:themeColor="text1"/>
        </w:rPr>
        <w:fldChar w:fldCharType="end"/>
      </w:r>
      <w:r w:rsidR="00B214EC" w:rsidRPr="00165B9A">
        <w:rPr>
          <w:rFonts w:ascii="Book Antiqua" w:hAnsi="Book Antiqua"/>
          <w:color w:val="000000" w:themeColor="text1"/>
        </w:rPr>
        <w:t>.</w:t>
      </w:r>
    </w:p>
    <w:p w14:paraId="20EDDA46" w14:textId="08A92786" w:rsidR="009807C4" w:rsidRDefault="009807C4" w:rsidP="00165B9A">
      <w:pPr>
        <w:spacing w:line="360" w:lineRule="auto"/>
        <w:ind w:firstLineChars="100" w:firstLine="240"/>
        <w:jc w:val="both"/>
        <w:rPr>
          <w:rFonts w:ascii="Book Antiqua" w:hAnsi="Book Antiqua"/>
          <w:color w:val="000000" w:themeColor="text1"/>
        </w:rPr>
      </w:pPr>
      <w:r w:rsidRPr="00165B9A">
        <w:rPr>
          <w:rFonts w:ascii="Book Antiqua" w:hAnsi="Book Antiqua"/>
          <w:color w:val="000000" w:themeColor="text1"/>
        </w:rPr>
        <w:t xml:space="preserve">To our knowledge, </w:t>
      </w:r>
      <w:r w:rsidR="007C0C6F" w:rsidRPr="00165B9A">
        <w:rPr>
          <w:rFonts w:ascii="Book Antiqua" w:hAnsi="Book Antiqua"/>
          <w:color w:val="000000" w:themeColor="text1"/>
        </w:rPr>
        <w:t xml:space="preserve">only </w:t>
      </w:r>
      <w:r w:rsidR="00773561" w:rsidRPr="00165B9A">
        <w:rPr>
          <w:rFonts w:ascii="Book Antiqua" w:hAnsi="Book Antiqua"/>
          <w:color w:val="000000" w:themeColor="text1"/>
        </w:rPr>
        <w:t xml:space="preserve">one </w:t>
      </w:r>
      <w:r w:rsidR="007C0C6F" w:rsidRPr="00165B9A">
        <w:rPr>
          <w:rFonts w:ascii="Book Antiqua" w:hAnsi="Book Antiqua"/>
          <w:color w:val="000000" w:themeColor="text1"/>
        </w:rPr>
        <w:t xml:space="preserve">prior </w:t>
      </w:r>
      <w:r w:rsidR="00773561" w:rsidRPr="00165B9A">
        <w:rPr>
          <w:rFonts w:ascii="Book Antiqua" w:hAnsi="Book Antiqua"/>
          <w:color w:val="000000" w:themeColor="text1"/>
        </w:rPr>
        <w:t xml:space="preserve">case of </w:t>
      </w:r>
      <w:r w:rsidR="00681E0E" w:rsidRPr="00165B9A">
        <w:rPr>
          <w:rFonts w:ascii="Book Antiqua" w:hAnsi="Book Antiqua"/>
          <w:color w:val="000000" w:themeColor="text1"/>
        </w:rPr>
        <w:t>biliary peritonitis</w:t>
      </w:r>
      <w:r w:rsidR="007C0C6F" w:rsidRPr="00165B9A">
        <w:rPr>
          <w:rFonts w:ascii="Book Antiqua" w:hAnsi="Book Antiqua"/>
          <w:color w:val="000000" w:themeColor="text1"/>
        </w:rPr>
        <w:t xml:space="preserve"> during ESG</w:t>
      </w:r>
      <w:r w:rsidR="00773561" w:rsidRPr="00165B9A">
        <w:rPr>
          <w:rFonts w:ascii="Book Antiqua" w:hAnsi="Book Antiqua"/>
          <w:color w:val="000000" w:themeColor="text1"/>
        </w:rPr>
        <w:t xml:space="preserve"> has been reported</w:t>
      </w:r>
      <w:r w:rsidR="00B214EC" w:rsidRPr="00165B9A">
        <w:rPr>
          <w:rFonts w:ascii="Book Antiqua" w:hAnsi="Book Antiqua"/>
          <w:color w:val="000000" w:themeColor="text1"/>
        </w:rPr>
        <w:fldChar w:fldCharType="begin" w:fldLock="1"/>
      </w:r>
      <w:r w:rsidR="008B04DC" w:rsidRPr="00165B9A">
        <w:rPr>
          <w:rFonts w:ascii="Book Antiqua" w:hAnsi="Book Antiqua"/>
          <w:color w:val="000000" w:themeColor="text1"/>
        </w:rPr>
        <w:instrText>ADDIN CSL_CITATION {"citationItems":[{"id":"ITEM-1","itemData":{"DOI":"10.1016/j.gie.2019.06.002","ISSN":"1097-6779","PMID":"31375266","author":[{"dropping-particle":"","family":"Lopez-Nava","given":"Gontrand","non-dropping-particle":"","parse-names":false,"suffix":""},{"dropping-particle":"","family":"Asokkumar","given":"Ravishankar","non-dropping-particle":"","parse-names":false,"suffix":""},{"dropping-particle":"","family":"Ielpo","given":"Benedetto","non-dropping-particle":"","parse-names":false,"suffix":""},{"dropping-particle":"","family":"Bautista","given":"Inmaculada","non-dropping-particle":"","parse-names":false,"suffix":""},{"dropping-particle":"","family":"Vicente","given":"Emilio","non-dropping-particle":"","parse-names":false,"suffix":""}],"container-title":"Gastrointestinal endoscopy","id":"ITEM-1","issue":"4","issued":{"date-parts":[["2019"]]},"page":"686-688","title":"Biliary peritonitis after endoscopic sutured gastroplasty for morbid obesity (with video).","type":"article-journal","volume":"90"},"uris":["http://www.mendeley.com/documents/?uuid=5dd36e97-d488-4b61-9657-a388c03c9963"]}],"mendeley":{"formattedCitation":"&lt;sup&gt;[13]&lt;/sup&gt;","plainTextFormattedCitation":"[13]","previouslyFormattedCitation":"&lt;sup&gt;[13]&lt;/sup&gt;"},"properties":{"noteIndex":0},"schema":"https://github.com/citation-style-language/schema/raw/master/csl-citation.json"}</w:instrText>
      </w:r>
      <w:r w:rsidR="00B214EC" w:rsidRPr="00165B9A">
        <w:rPr>
          <w:rFonts w:ascii="Book Antiqua" w:hAnsi="Book Antiqua"/>
          <w:color w:val="000000" w:themeColor="text1"/>
        </w:rPr>
        <w:fldChar w:fldCharType="separate"/>
      </w:r>
      <w:r w:rsidR="008B04DC" w:rsidRPr="00165B9A">
        <w:rPr>
          <w:rFonts w:ascii="Book Antiqua" w:hAnsi="Book Antiqua"/>
          <w:noProof/>
          <w:color w:val="000000" w:themeColor="text1"/>
          <w:vertAlign w:val="superscript"/>
        </w:rPr>
        <w:t>[13]</w:t>
      </w:r>
      <w:r w:rsidR="00B214EC" w:rsidRPr="00165B9A">
        <w:rPr>
          <w:rFonts w:ascii="Book Antiqua" w:hAnsi="Book Antiqua"/>
          <w:color w:val="000000" w:themeColor="text1"/>
        </w:rPr>
        <w:fldChar w:fldCharType="end"/>
      </w:r>
      <w:r w:rsidR="007B1399" w:rsidRPr="00165B9A">
        <w:rPr>
          <w:rFonts w:ascii="Book Antiqua" w:hAnsi="Book Antiqua"/>
          <w:color w:val="000000" w:themeColor="text1"/>
        </w:rPr>
        <w:t xml:space="preserve">, however, ascites was not described in this case. Our case of gallbladder perforation and biliary ascites was identified early and appropriately managed leading to a favorable outcome for the patient, similar to the aforementioned case. </w:t>
      </w:r>
      <w:r w:rsidR="007C0C6F" w:rsidRPr="00165B9A">
        <w:rPr>
          <w:rFonts w:ascii="Book Antiqua" w:hAnsi="Book Antiqua"/>
          <w:color w:val="000000" w:themeColor="text1"/>
        </w:rPr>
        <w:t>Given t</w:t>
      </w:r>
      <w:r w:rsidRPr="00165B9A">
        <w:rPr>
          <w:rFonts w:ascii="Book Antiqua" w:hAnsi="Book Antiqua"/>
          <w:color w:val="000000" w:themeColor="text1"/>
        </w:rPr>
        <w:t xml:space="preserve">he rapid increase in the number of </w:t>
      </w:r>
      <w:r w:rsidR="007C0C6F" w:rsidRPr="00165B9A">
        <w:rPr>
          <w:rFonts w:ascii="Book Antiqua" w:hAnsi="Book Antiqua"/>
          <w:color w:val="000000" w:themeColor="text1"/>
        </w:rPr>
        <w:t>ESG</w:t>
      </w:r>
      <w:r w:rsidRPr="00165B9A">
        <w:rPr>
          <w:rFonts w:ascii="Book Antiqua" w:hAnsi="Book Antiqua"/>
          <w:color w:val="000000" w:themeColor="text1"/>
        </w:rPr>
        <w:t xml:space="preserve"> procedures worldwide</w:t>
      </w:r>
      <w:r w:rsidR="007C0C6F" w:rsidRPr="00165B9A">
        <w:rPr>
          <w:rFonts w:ascii="Book Antiqua" w:hAnsi="Book Antiqua"/>
          <w:color w:val="000000" w:themeColor="text1"/>
        </w:rPr>
        <w:t>, it is imperative to document and educate one another on adverse events to reduce their rate of occurrence and minimize the morbidity associated with the procedure.</w:t>
      </w:r>
      <w:r w:rsidRPr="00165B9A">
        <w:rPr>
          <w:rFonts w:ascii="Book Antiqua" w:hAnsi="Book Antiqua"/>
          <w:color w:val="000000" w:themeColor="text1"/>
        </w:rPr>
        <w:t xml:space="preserve"> </w:t>
      </w:r>
    </w:p>
    <w:p w14:paraId="5C5DEEA9" w14:textId="77777777" w:rsidR="00165B9A" w:rsidRPr="00165B9A" w:rsidRDefault="00165B9A" w:rsidP="00165B9A">
      <w:pPr>
        <w:spacing w:line="360" w:lineRule="auto"/>
        <w:jc w:val="both"/>
        <w:rPr>
          <w:rFonts w:ascii="Book Antiqua" w:hAnsi="Book Antiqua"/>
          <w:color w:val="000000" w:themeColor="text1"/>
        </w:rPr>
      </w:pPr>
    </w:p>
    <w:p w14:paraId="5FDB6B5F" w14:textId="09915DDB" w:rsidR="009807C4" w:rsidRPr="00165B9A" w:rsidRDefault="009807C4" w:rsidP="00165B9A">
      <w:pPr>
        <w:spacing w:line="360" w:lineRule="auto"/>
        <w:jc w:val="both"/>
        <w:rPr>
          <w:rFonts w:ascii="Book Antiqua" w:hAnsi="Book Antiqua"/>
          <w:b/>
          <w:color w:val="000000" w:themeColor="text1"/>
          <w:u w:val="single"/>
        </w:rPr>
      </w:pPr>
      <w:r w:rsidRPr="00165B9A">
        <w:rPr>
          <w:rFonts w:ascii="Book Antiqua" w:hAnsi="Book Antiqua"/>
          <w:b/>
          <w:color w:val="000000" w:themeColor="text1"/>
          <w:u w:val="single"/>
        </w:rPr>
        <w:t>CASE PRESENTATION</w:t>
      </w:r>
    </w:p>
    <w:p w14:paraId="717E7A48" w14:textId="12742DD8" w:rsidR="008C5C6B" w:rsidRPr="00165B9A" w:rsidRDefault="008C5C6B" w:rsidP="00165B9A">
      <w:pPr>
        <w:pStyle w:val="NoSpacing"/>
        <w:spacing w:line="360" w:lineRule="auto"/>
        <w:jc w:val="both"/>
        <w:rPr>
          <w:rFonts w:ascii="Book Antiqua" w:hAnsi="Book Antiqua" w:cs="DengXian"/>
          <w:b/>
          <w:bCs/>
          <w:i/>
          <w:iCs/>
          <w:color w:val="000000" w:themeColor="text1"/>
          <w:sz w:val="24"/>
          <w:szCs w:val="24"/>
        </w:rPr>
      </w:pPr>
      <w:r w:rsidRPr="00165B9A">
        <w:rPr>
          <w:rFonts w:ascii="Book Antiqua" w:hAnsi="Book Antiqua" w:cs="DengXian"/>
          <w:b/>
          <w:bCs/>
          <w:i/>
          <w:iCs/>
          <w:color w:val="000000" w:themeColor="text1"/>
          <w:sz w:val="24"/>
          <w:szCs w:val="24"/>
        </w:rPr>
        <w:t>Chief complaint</w:t>
      </w:r>
    </w:p>
    <w:p w14:paraId="25C0D43E" w14:textId="0E0F6F38" w:rsidR="008C5C6B" w:rsidRDefault="00AB6804" w:rsidP="00165B9A">
      <w:pPr>
        <w:pStyle w:val="NoSpacing"/>
        <w:spacing w:line="360" w:lineRule="auto"/>
        <w:jc w:val="both"/>
        <w:rPr>
          <w:rFonts w:ascii="Book Antiqua" w:hAnsi="Book Antiqua" w:cs="DengXian"/>
          <w:bCs/>
          <w:color w:val="000000" w:themeColor="text1"/>
          <w:sz w:val="24"/>
          <w:szCs w:val="24"/>
        </w:rPr>
      </w:pPr>
      <w:r w:rsidRPr="00165B9A">
        <w:rPr>
          <w:rFonts w:ascii="Book Antiqua" w:hAnsi="Book Antiqua" w:cs="DengXian"/>
          <w:bCs/>
          <w:color w:val="000000" w:themeColor="text1"/>
          <w:sz w:val="24"/>
          <w:szCs w:val="24"/>
        </w:rPr>
        <w:t>A 48-year-old female with obesity and with various comorbidities.</w:t>
      </w:r>
    </w:p>
    <w:p w14:paraId="012A7038" w14:textId="77777777" w:rsidR="00165B9A" w:rsidRPr="00165B9A" w:rsidRDefault="00165B9A" w:rsidP="00165B9A">
      <w:pPr>
        <w:pStyle w:val="NoSpacing"/>
        <w:spacing w:line="360" w:lineRule="auto"/>
        <w:jc w:val="both"/>
        <w:rPr>
          <w:rFonts w:ascii="Book Antiqua" w:hAnsi="Book Antiqua" w:cs="DengXian"/>
          <w:bCs/>
          <w:color w:val="000000" w:themeColor="text1"/>
          <w:sz w:val="24"/>
          <w:szCs w:val="24"/>
        </w:rPr>
      </w:pPr>
    </w:p>
    <w:p w14:paraId="1C260595" w14:textId="617B3DE2" w:rsidR="008C5C6B" w:rsidRPr="00165B9A" w:rsidRDefault="008C5C6B" w:rsidP="00165B9A">
      <w:pPr>
        <w:pStyle w:val="NoSpacing"/>
        <w:spacing w:line="360" w:lineRule="auto"/>
        <w:jc w:val="both"/>
        <w:rPr>
          <w:rFonts w:ascii="Book Antiqua" w:hAnsi="Book Antiqua" w:cs="DengXian"/>
          <w:b/>
          <w:bCs/>
          <w:i/>
          <w:iCs/>
          <w:color w:val="000000" w:themeColor="text1"/>
          <w:sz w:val="24"/>
          <w:szCs w:val="24"/>
        </w:rPr>
      </w:pPr>
      <w:r w:rsidRPr="00165B9A">
        <w:rPr>
          <w:rFonts w:ascii="Book Antiqua" w:hAnsi="Book Antiqua" w:cs="DengXian"/>
          <w:b/>
          <w:bCs/>
          <w:i/>
          <w:iCs/>
          <w:color w:val="000000" w:themeColor="text1"/>
          <w:sz w:val="24"/>
          <w:szCs w:val="24"/>
        </w:rPr>
        <w:t>History of present illness</w:t>
      </w:r>
    </w:p>
    <w:p w14:paraId="66BEDC98" w14:textId="05908730" w:rsidR="008C5C6B" w:rsidRPr="00165B9A" w:rsidRDefault="00AB6804" w:rsidP="00165B9A">
      <w:pPr>
        <w:pStyle w:val="NoSpacing"/>
        <w:spacing w:line="360" w:lineRule="auto"/>
        <w:jc w:val="both"/>
        <w:rPr>
          <w:rFonts w:ascii="Book Antiqua" w:hAnsi="Book Antiqua" w:cs="Calibri"/>
          <w:color w:val="000000" w:themeColor="text1"/>
          <w:sz w:val="24"/>
          <w:szCs w:val="24"/>
        </w:rPr>
      </w:pPr>
      <w:r w:rsidRPr="00165B9A">
        <w:rPr>
          <w:rFonts w:ascii="Book Antiqua" w:hAnsi="Book Antiqua" w:cs="Calibri"/>
          <w:color w:val="000000" w:themeColor="text1"/>
          <w:sz w:val="24"/>
          <w:szCs w:val="24"/>
        </w:rPr>
        <w:lastRenderedPageBreak/>
        <w:t xml:space="preserve">A 48-year-old female with obesity was referred for consideration of ESG. She had a medical history significant for hypertension that was controlled with oral agents. She had no prior history of bariatric surgery. At initial presentation, her weight was 93 kg, with a </w:t>
      </w:r>
      <w:r w:rsidR="00165B9A">
        <w:rPr>
          <w:rFonts w:ascii="Book Antiqua" w:hAnsi="Book Antiqua" w:cs="Calibri"/>
          <w:color w:val="000000" w:themeColor="text1"/>
          <w:sz w:val="24"/>
          <w:szCs w:val="24"/>
        </w:rPr>
        <w:t>body mass index</w:t>
      </w:r>
      <w:r w:rsidRPr="00165B9A">
        <w:rPr>
          <w:rFonts w:ascii="Book Antiqua" w:hAnsi="Book Antiqua" w:cs="Calibri"/>
          <w:color w:val="000000" w:themeColor="text1"/>
          <w:sz w:val="24"/>
          <w:szCs w:val="24"/>
        </w:rPr>
        <w:t xml:space="preserve"> of 31.4 kg/m</w:t>
      </w:r>
      <w:r w:rsidRPr="00165B9A">
        <w:rPr>
          <w:rFonts w:ascii="Book Antiqua" w:hAnsi="Book Antiqua" w:cs="Calibri"/>
          <w:color w:val="000000" w:themeColor="text1"/>
          <w:sz w:val="24"/>
          <w:szCs w:val="24"/>
          <w:vertAlign w:val="superscript"/>
        </w:rPr>
        <w:t>2</w:t>
      </w:r>
      <w:r w:rsidRPr="00165B9A">
        <w:rPr>
          <w:rFonts w:ascii="Book Antiqua" w:hAnsi="Book Antiqua" w:cs="Calibri"/>
          <w:color w:val="000000" w:themeColor="text1"/>
          <w:sz w:val="24"/>
          <w:szCs w:val="24"/>
        </w:rPr>
        <w:t>, despite lifestyle changes and prior placement of a gastric balloon.</w:t>
      </w:r>
    </w:p>
    <w:p w14:paraId="28771DC7" w14:textId="3E3E3C3E" w:rsidR="00AB6804" w:rsidRPr="00165B9A" w:rsidRDefault="00AB6804" w:rsidP="00165B9A">
      <w:pPr>
        <w:shd w:val="clear" w:color="auto" w:fill="FFFFFF"/>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 xml:space="preserve">The patient gave written informed consent, after which she underwent ESG at a private hospital (Hospital Meridional, </w:t>
      </w:r>
      <w:proofErr w:type="spellStart"/>
      <w:r w:rsidRPr="00165B9A">
        <w:rPr>
          <w:rFonts w:ascii="Book Antiqua" w:hAnsi="Book Antiqua" w:cs="Calibri"/>
          <w:color w:val="000000" w:themeColor="text1"/>
        </w:rPr>
        <w:t>Cariacica</w:t>
      </w:r>
      <w:proofErr w:type="spellEnd"/>
      <w:r w:rsidRPr="00165B9A">
        <w:rPr>
          <w:rFonts w:ascii="Book Antiqua" w:hAnsi="Book Antiqua" w:cs="Calibri"/>
          <w:color w:val="000000" w:themeColor="text1"/>
        </w:rPr>
        <w:t>, ES, Brazil). This was the first ESG performed at this center. There were no immediate procedural related complications. The procedure was performed under general anesthesia, with an endoscopic suturing system (</w:t>
      </w:r>
      <w:proofErr w:type="spellStart"/>
      <w:r w:rsidRPr="00165B9A">
        <w:rPr>
          <w:rFonts w:ascii="Book Antiqua" w:hAnsi="Book Antiqua" w:cs="Calibri"/>
          <w:color w:val="000000" w:themeColor="text1"/>
        </w:rPr>
        <w:t>OverStitch</w:t>
      </w:r>
      <w:proofErr w:type="spellEnd"/>
      <w:r w:rsidRPr="00165B9A">
        <w:rPr>
          <w:rFonts w:ascii="Book Antiqua" w:hAnsi="Book Antiqua" w:cs="Calibri"/>
          <w:color w:val="000000" w:themeColor="text1"/>
        </w:rPr>
        <w:t xml:space="preserve"> </w:t>
      </w:r>
      <w:proofErr w:type="spellStart"/>
      <w:r w:rsidRPr="00165B9A">
        <w:rPr>
          <w:rFonts w:ascii="Book Antiqua" w:hAnsi="Book Antiqua" w:cs="Calibri"/>
          <w:color w:val="000000" w:themeColor="text1"/>
        </w:rPr>
        <w:t>endosuturing</w:t>
      </w:r>
      <w:proofErr w:type="spellEnd"/>
      <w:r w:rsidRPr="00165B9A">
        <w:rPr>
          <w:rFonts w:ascii="Book Antiqua" w:hAnsi="Book Antiqua" w:cs="Calibri"/>
          <w:color w:val="000000" w:themeColor="text1"/>
        </w:rPr>
        <w:t xml:space="preserve"> device; Apollo </w:t>
      </w:r>
      <w:proofErr w:type="spellStart"/>
      <w:r w:rsidRPr="00165B9A">
        <w:rPr>
          <w:rFonts w:ascii="Book Antiqua" w:hAnsi="Book Antiqua" w:cs="Calibri"/>
          <w:color w:val="000000" w:themeColor="text1"/>
        </w:rPr>
        <w:t>Endosurgery</w:t>
      </w:r>
      <w:proofErr w:type="spellEnd"/>
      <w:r w:rsidRPr="00165B9A">
        <w:rPr>
          <w:rFonts w:ascii="Book Antiqua" w:hAnsi="Book Antiqua" w:cs="Calibri"/>
          <w:color w:val="000000" w:themeColor="text1"/>
        </w:rPr>
        <w:t>, Austin, TX</w:t>
      </w:r>
      <w:r w:rsidR="00165B9A">
        <w:rPr>
          <w:rFonts w:ascii="Book Antiqua" w:hAnsi="Book Antiqua" w:cs="Calibri"/>
          <w:color w:val="000000" w:themeColor="text1"/>
        </w:rPr>
        <w:t>, United States</w:t>
      </w:r>
      <w:r w:rsidRPr="00165B9A">
        <w:rPr>
          <w:rFonts w:ascii="Book Antiqua" w:hAnsi="Book Antiqua" w:cs="Calibri"/>
          <w:color w:val="000000" w:themeColor="text1"/>
        </w:rPr>
        <w:t xml:space="preserve">) coupled to a dual-channel endoscope (GIF-2T160; Olympus America, Center Valley, PA, </w:t>
      </w:r>
      <w:r w:rsidR="00165B9A">
        <w:rPr>
          <w:rFonts w:ascii="Book Antiqua" w:hAnsi="Book Antiqua" w:cs="Calibri"/>
          <w:color w:val="000000" w:themeColor="text1"/>
        </w:rPr>
        <w:t>United States</w:t>
      </w:r>
      <w:r w:rsidRPr="00165B9A">
        <w:rPr>
          <w:rFonts w:ascii="Book Antiqua" w:hAnsi="Book Antiqua" w:cs="Calibri"/>
          <w:color w:val="000000" w:themeColor="text1"/>
        </w:rPr>
        <w:t xml:space="preserve">). Carbon dioxide insufflation was used. A full thickness U-shaped suture pattern was used by the physician to perform ESG, as previously </w:t>
      </w:r>
      <w:proofErr w:type="gramStart"/>
      <w:r w:rsidRPr="00165B9A">
        <w:rPr>
          <w:rFonts w:ascii="Book Antiqua" w:hAnsi="Book Antiqua" w:cs="Calibri"/>
          <w:color w:val="000000" w:themeColor="text1"/>
        </w:rPr>
        <w:t>described</w:t>
      </w:r>
      <w:r w:rsidRPr="00165B9A">
        <w:rPr>
          <w:rFonts w:ascii="Book Antiqua" w:hAnsi="Book Antiqua" w:cs="Calibri"/>
          <w:color w:val="000000" w:themeColor="text1"/>
          <w:vertAlign w:val="superscript"/>
        </w:rPr>
        <w:t>[</w:t>
      </w:r>
      <w:proofErr w:type="gramEnd"/>
      <w:r w:rsidRPr="00165B9A">
        <w:rPr>
          <w:rFonts w:ascii="Book Antiqua" w:hAnsi="Book Antiqua" w:cs="Calibri"/>
          <w:color w:val="000000" w:themeColor="text1"/>
          <w:vertAlign w:val="superscript"/>
        </w:rPr>
        <w:t xml:space="preserve">10] </w:t>
      </w:r>
      <w:r w:rsidRPr="00165B9A">
        <w:rPr>
          <w:rFonts w:ascii="Book Antiqua" w:hAnsi="Book Antiqua" w:cs="Calibri"/>
          <w:color w:val="000000" w:themeColor="text1"/>
        </w:rPr>
        <w:t xml:space="preserve">(Figure 1). A total of five sutures were used. </w:t>
      </w:r>
    </w:p>
    <w:p w14:paraId="7CBE1309" w14:textId="77777777" w:rsidR="00AB6804" w:rsidRPr="00165B9A" w:rsidRDefault="00AB6804" w:rsidP="00165B9A">
      <w:pPr>
        <w:shd w:val="clear" w:color="auto" w:fill="FFFFFF"/>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In the immediate postoperative period, the patient was treated daily with antiemetics (ondansetron, dimenhydrinate, dexamethasone, and scopolamine), as well as dipyrone and omeprazole. The patient was discharged on post-operative day 1, in good condition and without any complaints, with prescriptions for omeprazole, ondansetron, dipyrone, scopolamine, and codeine phosphate combined with acetaminophen if necessary.</w:t>
      </w:r>
    </w:p>
    <w:p w14:paraId="22ED45DE" w14:textId="316D7AF3" w:rsidR="00AB6804" w:rsidRPr="00165B9A" w:rsidRDefault="00AB6804" w:rsidP="00165B9A">
      <w:pPr>
        <w:shd w:val="clear" w:color="auto" w:fill="FFFFFF"/>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 xml:space="preserve">On postoperative day 3, the patient developed abdominal pain which continued to worsen over the next 24 h; thus, she was referred to the emergency department for further evaluation. </w:t>
      </w:r>
    </w:p>
    <w:p w14:paraId="129991B2" w14:textId="77777777" w:rsidR="00AB6804" w:rsidRPr="00165B9A" w:rsidRDefault="00AB6804" w:rsidP="00165B9A">
      <w:pPr>
        <w:pStyle w:val="NoSpacing"/>
        <w:spacing w:line="360" w:lineRule="auto"/>
        <w:jc w:val="both"/>
        <w:rPr>
          <w:rFonts w:ascii="Book Antiqua" w:hAnsi="Book Antiqua" w:cs="DengXian"/>
          <w:b/>
          <w:bCs/>
          <w:color w:val="000000" w:themeColor="text1"/>
          <w:sz w:val="24"/>
          <w:szCs w:val="24"/>
        </w:rPr>
      </w:pPr>
    </w:p>
    <w:p w14:paraId="79B0EE7B" w14:textId="6F86C313" w:rsidR="008C5C6B" w:rsidRPr="00165B9A" w:rsidRDefault="008C5C6B" w:rsidP="00165B9A">
      <w:pPr>
        <w:pStyle w:val="NoSpacing"/>
        <w:spacing w:line="360" w:lineRule="auto"/>
        <w:jc w:val="both"/>
        <w:rPr>
          <w:rFonts w:ascii="Book Antiqua" w:hAnsi="Book Antiqua" w:cs="DengXian"/>
          <w:b/>
          <w:bCs/>
          <w:i/>
          <w:iCs/>
          <w:color w:val="000000" w:themeColor="text1"/>
          <w:sz w:val="24"/>
          <w:szCs w:val="24"/>
        </w:rPr>
      </w:pPr>
      <w:r w:rsidRPr="00165B9A">
        <w:rPr>
          <w:rFonts w:ascii="Book Antiqua" w:hAnsi="Book Antiqua" w:cs="DengXian"/>
          <w:b/>
          <w:bCs/>
          <w:i/>
          <w:iCs/>
          <w:color w:val="000000" w:themeColor="text1"/>
          <w:sz w:val="24"/>
          <w:szCs w:val="24"/>
        </w:rPr>
        <w:t>History of past illness</w:t>
      </w:r>
    </w:p>
    <w:p w14:paraId="109D2880" w14:textId="5581F2B3" w:rsidR="00AD770C" w:rsidRDefault="00AB6804" w:rsidP="00165B9A">
      <w:pPr>
        <w:pStyle w:val="NoSpacing"/>
        <w:spacing w:line="360" w:lineRule="auto"/>
        <w:jc w:val="both"/>
        <w:rPr>
          <w:rFonts w:ascii="Book Antiqua" w:hAnsi="Book Antiqua" w:cs="DengXian"/>
          <w:bCs/>
          <w:color w:val="000000" w:themeColor="text1"/>
          <w:sz w:val="24"/>
          <w:szCs w:val="24"/>
        </w:rPr>
      </w:pPr>
      <w:r w:rsidRPr="00165B9A">
        <w:rPr>
          <w:rFonts w:ascii="Book Antiqua" w:hAnsi="Book Antiqua" w:cs="DengXian"/>
          <w:bCs/>
          <w:color w:val="000000" w:themeColor="text1"/>
          <w:sz w:val="24"/>
          <w:szCs w:val="24"/>
        </w:rPr>
        <w:t xml:space="preserve">Obesity and </w:t>
      </w:r>
      <w:r w:rsidR="00730355" w:rsidRPr="00165B9A">
        <w:rPr>
          <w:rFonts w:ascii="Book Antiqua" w:hAnsi="Book Antiqua" w:cs="DengXian"/>
          <w:bCs/>
          <w:color w:val="000000" w:themeColor="text1"/>
          <w:sz w:val="24"/>
          <w:szCs w:val="24"/>
        </w:rPr>
        <w:t>hypertension</w:t>
      </w:r>
      <w:r w:rsidR="00285306" w:rsidRPr="00165B9A">
        <w:rPr>
          <w:rFonts w:ascii="Book Antiqua" w:hAnsi="Book Antiqua" w:cs="DengXian"/>
          <w:bCs/>
          <w:color w:val="000000" w:themeColor="text1"/>
          <w:sz w:val="24"/>
          <w:szCs w:val="24"/>
        </w:rPr>
        <w:t>.</w:t>
      </w:r>
    </w:p>
    <w:p w14:paraId="538467F0" w14:textId="77777777" w:rsidR="00165B9A" w:rsidRPr="00165B9A" w:rsidRDefault="00165B9A" w:rsidP="00165B9A">
      <w:pPr>
        <w:pStyle w:val="NoSpacing"/>
        <w:spacing w:line="360" w:lineRule="auto"/>
        <w:jc w:val="both"/>
        <w:rPr>
          <w:rFonts w:ascii="Book Antiqua" w:hAnsi="Book Antiqua" w:cs="DengXian"/>
          <w:bCs/>
          <w:color w:val="000000" w:themeColor="text1"/>
          <w:sz w:val="24"/>
          <w:szCs w:val="24"/>
        </w:rPr>
      </w:pPr>
    </w:p>
    <w:p w14:paraId="13B9DE38" w14:textId="674B44A7" w:rsidR="008C5C6B" w:rsidRPr="00165B9A" w:rsidRDefault="008C5C6B" w:rsidP="00165B9A">
      <w:pPr>
        <w:pStyle w:val="NoSpacing"/>
        <w:spacing w:line="360" w:lineRule="auto"/>
        <w:jc w:val="both"/>
        <w:rPr>
          <w:rFonts w:ascii="Book Antiqua" w:hAnsi="Book Antiqua" w:cs="DengXian"/>
          <w:b/>
          <w:bCs/>
          <w:i/>
          <w:iCs/>
          <w:color w:val="000000" w:themeColor="text1"/>
          <w:sz w:val="24"/>
          <w:szCs w:val="24"/>
        </w:rPr>
      </w:pPr>
      <w:r w:rsidRPr="00165B9A">
        <w:rPr>
          <w:rFonts w:ascii="Book Antiqua" w:hAnsi="Book Antiqua" w:cs="DengXian"/>
          <w:b/>
          <w:bCs/>
          <w:i/>
          <w:iCs/>
          <w:color w:val="000000" w:themeColor="text1"/>
          <w:sz w:val="24"/>
          <w:szCs w:val="24"/>
        </w:rPr>
        <w:t>Physical examination</w:t>
      </w:r>
    </w:p>
    <w:p w14:paraId="2D89DBEC" w14:textId="4D95A2AB" w:rsidR="00AD770C" w:rsidRDefault="00AD770C" w:rsidP="00165B9A">
      <w:pPr>
        <w:pStyle w:val="NoSpacing"/>
        <w:spacing w:line="360" w:lineRule="auto"/>
        <w:jc w:val="both"/>
        <w:rPr>
          <w:rFonts w:ascii="Book Antiqua" w:hAnsi="Book Antiqua" w:cs="Calibri"/>
          <w:color w:val="000000" w:themeColor="text1"/>
          <w:sz w:val="24"/>
          <w:szCs w:val="24"/>
        </w:rPr>
      </w:pPr>
      <w:r w:rsidRPr="00165B9A">
        <w:rPr>
          <w:rFonts w:ascii="Book Antiqua" w:hAnsi="Book Antiqua" w:cs="Calibri"/>
          <w:color w:val="000000" w:themeColor="text1"/>
          <w:sz w:val="24"/>
          <w:szCs w:val="24"/>
        </w:rPr>
        <w:t>Physical examination was normal preoperatively. On the fourth postoperative day, the patient had a rigid abdomen with signs of peritoneal irritation.</w:t>
      </w:r>
    </w:p>
    <w:p w14:paraId="008E5876" w14:textId="77777777" w:rsidR="00165B9A" w:rsidRPr="00165B9A" w:rsidRDefault="00165B9A" w:rsidP="00165B9A">
      <w:pPr>
        <w:pStyle w:val="NoSpacing"/>
        <w:spacing w:line="360" w:lineRule="auto"/>
        <w:jc w:val="both"/>
        <w:rPr>
          <w:rFonts w:ascii="Book Antiqua" w:hAnsi="Book Antiqua" w:cs="DengXian"/>
          <w:b/>
          <w:bCs/>
          <w:color w:val="000000" w:themeColor="text1"/>
          <w:sz w:val="24"/>
          <w:szCs w:val="24"/>
        </w:rPr>
      </w:pPr>
    </w:p>
    <w:p w14:paraId="5C8ED5CC" w14:textId="249BE877" w:rsidR="008C5C6B" w:rsidRPr="00165B9A" w:rsidRDefault="008C5C6B" w:rsidP="00165B9A">
      <w:pPr>
        <w:pStyle w:val="NoSpacing"/>
        <w:spacing w:line="360" w:lineRule="auto"/>
        <w:jc w:val="both"/>
        <w:rPr>
          <w:rFonts w:ascii="Book Antiqua" w:hAnsi="Book Antiqua" w:cs="DengXian"/>
          <w:b/>
          <w:bCs/>
          <w:i/>
          <w:iCs/>
          <w:color w:val="000000" w:themeColor="text1"/>
          <w:sz w:val="24"/>
          <w:szCs w:val="24"/>
        </w:rPr>
      </w:pPr>
      <w:r w:rsidRPr="00165B9A">
        <w:rPr>
          <w:rFonts w:ascii="Book Antiqua" w:hAnsi="Book Antiqua" w:cs="DengXian"/>
          <w:b/>
          <w:bCs/>
          <w:i/>
          <w:iCs/>
          <w:color w:val="000000" w:themeColor="text1"/>
          <w:sz w:val="24"/>
          <w:szCs w:val="24"/>
        </w:rPr>
        <w:lastRenderedPageBreak/>
        <w:t>Laboratory examinations</w:t>
      </w:r>
    </w:p>
    <w:p w14:paraId="3AA2271F" w14:textId="4D97C809" w:rsidR="008C5C6B" w:rsidRDefault="00AD770C" w:rsidP="00165B9A">
      <w:pPr>
        <w:pStyle w:val="NoSpacing"/>
        <w:spacing w:line="360" w:lineRule="auto"/>
        <w:jc w:val="both"/>
        <w:rPr>
          <w:rFonts w:ascii="Book Antiqua" w:hAnsi="Book Antiqua" w:cs="DengXian"/>
          <w:bCs/>
          <w:color w:val="000000" w:themeColor="text1"/>
          <w:sz w:val="24"/>
          <w:szCs w:val="24"/>
        </w:rPr>
      </w:pPr>
      <w:r w:rsidRPr="00165B9A">
        <w:rPr>
          <w:rFonts w:ascii="Book Antiqua" w:hAnsi="Book Antiqua" w:cs="DengXian"/>
          <w:bCs/>
          <w:color w:val="000000" w:themeColor="text1"/>
          <w:sz w:val="24"/>
          <w:szCs w:val="24"/>
        </w:rPr>
        <w:t>On the fourth postoperative day and admission to the emergency department, the patient had significant leukocytosis (19800 × 103 leukocytes/µL) and an increased C-reactive protein level (147 mg/L).</w:t>
      </w:r>
    </w:p>
    <w:p w14:paraId="717EDAA0" w14:textId="77777777" w:rsidR="00165B9A" w:rsidRPr="00165B9A" w:rsidRDefault="00165B9A" w:rsidP="00165B9A">
      <w:pPr>
        <w:pStyle w:val="NoSpacing"/>
        <w:spacing w:line="360" w:lineRule="auto"/>
        <w:jc w:val="both"/>
        <w:rPr>
          <w:rFonts w:ascii="Book Antiqua" w:hAnsi="Book Antiqua" w:cs="DengXian"/>
          <w:bCs/>
          <w:color w:val="000000" w:themeColor="text1"/>
          <w:sz w:val="24"/>
          <w:szCs w:val="24"/>
        </w:rPr>
      </w:pPr>
    </w:p>
    <w:p w14:paraId="6EACC993" w14:textId="3FE9F876" w:rsidR="008C5C6B" w:rsidRPr="00165B9A" w:rsidRDefault="008C5C6B" w:rsidP="00165B9A">
      <w:pPr>
        <w:pStyle w:val="NoSpacing"/>
        <w:spacing w:line="360" w:lineRule="auto"/>
        <w:jc w:val="both"/>
        <w:rPr>
          <w:rFonts w:ascii="Book Antiqua" w:hAnsi="Book Antiqua"/>
          <w:b/>
          <w:bCs/>
          <w:i/>
          <w:iCs/>
          <w:color w:val="000000" w:themeColor="text1"/>
          <w:sz w:val="24"/>
          <w:szCs w:val="24"/>
        </w:rPr>
      </w:pPr>
      <w:r w:rsidRPr="00165B9A">
        <w:rPr>
          <w:rFonts w:ascii="Book Antiqua" w:hAnsi="Book Antiqua"/>
          <w:b/>
          <w:bCs/>
          <w:i/>
          <w:iCs/>
          <w:color w:val="000000" w:themeColor="text1"/>
          <w:sz w:val="24"/>
          <w:szCs w:val="24"/>
        </w:rPr>
        <w:t>Imaging examinations</w:t>
      </w:r>
    </w:p>
    <w:p w14:paraId="6333C772" w14:textId="038C13D6" w:rsidR="00AD770C" w:rsidRDefault="00AD770C" w:rsidP="00165B9A">
      <w:pPr>
        <w:pStyle w:val="NoSpacing"/>
        <w:spacing w:line="360" w:lineRule="auto"/>
        <w:jc w:val="both"/>
        <w:rPr>
          <w:rFonts w:ascii="Book Antiqua" w:hAnsi="Book Antiqua"/>
          <w:color w:val="000000" w:themeColor="text1"/>
          <w:sz w:val="24"/>
          <w:szCs w:val="24"/>
        </w:rPr>
      </w:pPr>
      <w:r w:rsidRPr="00165B9A">
        <w:rPr>
          <w:rFonts w:ascii="Book Antiqua" w:hAnsi="Book Antiqua"/>
          <w:color w:val="000000" w:themeColor="text1"/>
          <w:sz w:val="24"/>
          <w:szCs w:val="24"/>
        </w:rPr>
        <w:t>At the emergency entrance, computed tomography imaging revealed free fluid in the peritoneal cavity (Figure 2).</w:t>
      </w:r>
    </w:p>
    <w:p w14:paraId="70A84C82" w14:textId="77777777" w:rsidR="00165B9A" w:rsidRPr="00165B9A" w:rsidRDefault="00165B9A" w:rsidP="00165B9A">
      <w:pPr>
        <w:pStyle w:val="NoSpacing"/>
        <w:spacing w:line="360" w:lineRule="auto"/>
        <w:jc w:val="both"/>
        <w:rPr>
          <w:rFonts w:ascii="Book Antiqua" w:hAnsi="Book Antiqua"/>
          <w:color w:val="000000" w:themeColor="text1"/>
          <w:sz w:val="24"/>
          <w:szCs w:val="24"/>
        </w:rPr>
      </w:pPr>
    </w:p>
    <w:p w14:paraId="465947A3" w14:textId="77777777" w:rsidR="009807C4" w:rsidRPr="00165B9A" w:rsidRDefault="009807C4" w:rsidP="00165B9A">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FINAL DIAGNOSIS</w:t>
      </w:r>
    </w:p>
    <w:p w14:paraId="204B21E1" w14:textId="2FE1AEEB" w:rsidR="009807C4" w:rsidRDefault="009807C4" w:rsidP="00165B9A">
      <w:pPr>
        <w:shd w:val="clear" w:color="auto" w:fill="FFFFFF"/>
        <w:spacing w:line="360" w:lineRule="auto"/>
        <w:jc w:val="both"/>
        <w:rPr>
          <w:rFonts w:ascii="Book Antiqua" w:hAnsi="Book Antiqua" w:cs="Calibri"/>
          <w:color w:val="000000" w:themeColor="text1"/>
        </w:rPr>
      </w:pPr>
      <w:r w:rsidRPr="00165B9A">
        <w:rPr>
          <w:rFonts w:ascii="Book Antiqua" w:hAnsi="Book Antiqua" w:cs="Calibri"/>
          <w:color w:val="000000" w:themeColor="text1"/>
        </w:rPr>
        <w:t>The patient was diagnosed with biliary ascites caused by inadvertent puncture of the gallbladder.</w:t>
      </w:r>
    </w:p>
    <w:p w14:paraId="00002D5D" w14:textId="77777777" w:rsidR="00165B9A" w:rsidRPr="00165B9A" w:rsidRDefault="00165B9A" w:rsidP="00165B9A">
      <w:pPr>
        <w:shd w:val="clear" w:color="auto" w:fill="FFFFFF"/>
        <w:spacing w:line="360" w:lineRule="auto"/>
        <w:jc w:val="both"/>
        <w:rPr>
          <w:rFonts w:ascii="Book Antiqua" w:hAnsi="Book Antiqua" w:cs="Calibri"/>
          <w:color w:val="000000" w:themeColor="text1"/>
        </w:rPr>
      </w:pPr>
    </w:p>
    <w:p w14:paraId="7D5F73E6" w14:textId="77777777" w:rsidR="009807C4" w:rsidRPr="00165B9A" w:rsidRDefault="009807C4" w:rsidP="00165B9A">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TREATMENT</w:t>
      </w:r>
    </w:p>
    <w:p w14:paraId="3B22F650" w14:textId="77777777" w:rsidR="005B2591" w:rsidRPr="00165B9A" w:rsidRDefault="005B2591" w:rsidP="00165B9A">
      <w:pPr>
        <w:shd w:val="clear" w:color="auto" w:fill="FFFFFF"/>
        <w:spacing w:line="360" w:lineRule="auto"/>
        <w:jc w:val="both"/>
        <w:rPr>
          <w:rFonts w:ascii="Book Antiqua" w:hAnsi="Book Antiqua" w:cs="Calibri"/>
          <w:color w:val="000000" w:themeColor="text1"/>
        </w:rPr>
      </w:pPr>
      <w:r w:rsidRPr="00165B9A">
        <w:rPr>
          <w:rFonts w:ascii="Book Antiqua" w:hAnsi="Book Antiqua" w:cs="Calibri"/>
          <w:color w:val="000000" w:themeColor="text1"/>
        </w:rPr>
        <w:t>Patient was taken for emergent diagnostic laparoscopy. In addition to the biliary ascites, the stomach appeared to be tubular in shape as expected post-ESG. After significant lavage of the peritoneal cavity, it was noted that the fundus of the gallbladder was transfixed to the stomach (Figure 3). Biliary fluid collections were identified throughout the upper abdomen (Figure 4). Thus, the suture was cut and laparoscopic cholecystectomy was performed. At the conclusion of the case, intraoperative endoscopy with a methylene blue test was performed, finding no evidence of additional complications.</w:t>
      </w:r>
    </w:p>
    <w:p w14:paraId="3C9F8227" w14:textId="77777777" w:rsidR="009807C4" w:rsidRPr="00165B9A" w:rsidRDefault="009807C4" w:rsidP="00165B9A">
      <w:pPr>
        <w:spacing w:line="360" w:lineRule="auto"/>
        <w:jc w:val="both"/>
        <w:rPr>
          <w:rFonts w:ascii="Book Antiqua" w:hAnsi="Book Antiqua" w:cs="Calibri"/>
          <w:color w:val="000000" w:themeColor="text1"/>
        </w:rPr>
      </w:pPr>
    </w:p>
    <w:p w14:paraId="4E50DC0C" w14:textId="77777777" w:rsidR="009807C4" w:rsidRPr="00165B9A" w:rsidRDefault="009807C4" w:rsidP="00165B9A">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OUTCOME AND FOLLOW-UP</w:t>
      </w:r>
    </w:p>
    <w:p w14:paraId="302E5E74" w14:textId="557AC77C" w:rsidR="008663CA" w:rsidRPr="00165B9A" w:rsidRDefault="008663CA" w:rsidP="00165B9A">
      <w:pPr>
        <w:shd w:val="clear" w:color="auto" w:fill="FFFFFF"/>
        <w:spacing w:line="360" w:lineRule="auto"/>
        <w:jc w:val="both"/>
        <w:rPr>
          <w:rFonts w:ascii="Book Antiqua" w:hAnsi="Book Antiqua" w:cs="Calibri"/>
          <w:color w:val="000000" w:themeColor="text1"/>
        </w:rPr>
      </w:pPr>
      <w:r w:rsidRPr="00165B9A">
        <w:rPr>
          <w:rFonts w:ascii="Book Antiqua" w:hAnsi="Book Antiqua" w:cs="Calibri"/>
          <w:color w:val="000000" w:themeColor="text1"/>
        </w:rPr>
        <w:t xml:space="preserve">The patient was admitted to the intensive care unit, where she remained for one week, requiring IV antibiotics for septic shock. She did not require further surgical intervention. She ultimately improved from an infectious perspective, and was discharged to home 20 d after her initial admission to the hospital. </w:t>
      </w:r>
    </w:p>
    <w:p w14:paraId="04BED23E" w14:textId="253715F2" w:rsidR="00285306" w:rsidRPr="00165B9A" w:rsidRDefault="00285306" w:rsidP="00165B9A">
      <w:pPr>
        <w:shd w:val="clear" w:color="auto" w:fill="FFFFFF"/>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At the time of this case report</w:t>
      </w:r>
      <w:r w:rsidR="00E42B2A">
        <w:rPr>
          <w:rFonts w:ascii="Book Antiqua" w:hAnsi="Book Antiqua" w:cs="Calibri"/>
          <w:color w:val="000000" w:themeColor="text1"/>
        </w:rPr>
        <w:t xml:space="preserve"> (Table 1)</w:t>
      </w:r>
      <w:r w:rsidRPr="00165B9A">
        <w:rPr>
          <w:rFonts w:ascii="Book Antiqua" w:hAnsi="Book Antiqua" w:cs="Calibri"/>
          <w:color w:val="000000" w:themeColor="text1"/>
        </w:rPr>
        <w:t xml:space="preserve">, the patient continued to follow in the outpatient clinic, and had no further complications related to the procedure. She had lost 18.7 kg (20.2% of her total body weight) in the first six months after the </w:t>
      </w:r>
      <w:r w:rsidRPr="00165B9A">
        <w:rPr>
          <w:rFonts w:ascii="Book Antiqua" w:hAnsi="Book Antiqua" w:cs="Calibri"/>
          <w:color w:val="000000" w:themeColor="text1"/>
        </w:rPr>
        <w:lastRenderedPageBreak/>
        <w:t>ESG. She was still undergoing interdisciplinary follow-up with a nutritionist, a psychologist, and a physical therapist.</w:t>
      </w:r>
    </w:p>
    <w:p w14:paraId="708339BB" w14:textId="77777777" w:rsidR="009807C4" w:rsidRPr="00165B9A" w:rsidRDefault="009807C4" w:rsidP="00165B9A">
      <w:pPr>
        <w:spacing w:line="360" w:lineRule="auto"/>
        <w:jc w:val="both"/>
        <w:rPr>
          <w:rFonts w:ascii="Book Antiqua" w:hAnsi="Book Antiqua" w:cs="Calibri"/>
          <w:color w:val="000000" w:themeColor="text1"/>
        </w:rPr>
      </w:pPr>
    </w:p>
    <w:p w14:paraId="754AAC72" w14:textId="77777777" w:rsidR="009807C4" w:rsidRPr="00165B9A" w:rsidRDefault="009807C4" w:rsidP="00165B9A">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DISCUSSION</w:t>
      </w:r>
    </w:p>
    <w:p w14:paraId="4CC698CF" w14:textId="753C46BA" w:rsidR="009807C4" w:rsidRPr="00165B9A" w:rsidRDefault="00017B28" w:rsidP="00165B9A">
      <w:pPr>
        <w:spacing w:line="360" w:lineRule="auto"/>
        <w:jc w:val="both"/>
        <w:rPr>
          <w:rFonts w:ascii="Book Antiqua" w:hAnsi="Book Antiqua" w:cs="Calibri"/>
          <w:color w:val="000000" w:themeColor="text1"/>
        </w:rPr>
      </w:pPr>
      <w:r w:rsidRPr="00165B9A">
        <w:rPr>
          <w:rFonts w:ascii="Book Antiqua" w:hAnsi="Book Antiqua" w:cs="Calibri"/>
          <w:color w:val="000000" w:themeColor="text1"/>
        </w:rPr>
        <w:t xml:space="preserve">Endoscopic treatment of obesity has begun to rapidly fill the gap between </w:t>
      </w:r>
      <w:r w:rsidR="0049477F" w:rsidRPr="00165B9A">
        <w:rPr>
          <w:rFonts w:ascii="Book Antiqua" w:hAnsi="Book Antiqua" w:cs="Calibri"/>
          <w:color w:val="000000" w:themeColor="text1"/>
        </w:rPr>
        <w:t>medical</w:t>
      </w:r>
      <w:r w:rsidR="009807C4" w:rsidRPr="00165B9A">
        <w:rPr>
          <w:rFonts w:ascii="Book Antiqua" w:hAnsi="Book Antiqua" w:cs="Calibri"/>
          <w:color w:val="000000" w:themeColor="text1"/>
        </w:rPr>
        <w:t xml:space="preserve"> and surgical </w:t>
      </w:r>
      <w:r w:rsidRPr="00165B9A">
        <w:rPr>
          <w:rFonts w:ascii="Book Antiqua" w:hAnsi="Book Antiqua" w:cs="Calibri"/>
          <w:color w:val="000000" w:themeColor="text1"/>
        </w:rPr>
        <w:t>therapies</w:t>
      </w:r>
      <w:r w:rsidR="009807C4" w:rsidRPr="00165B9A">
        <w:rPr>
          <w:rFonts w:ascii="Book Antiqua" w:hAnsi="Book Antiqua" w:cs="Calibri"/>
          <w:color w:val="000000" w:themeColor="text1"/>
        </w:rPr>
        <w:t xml:space="preserve">, </w:t>
      </w:r>
      <w:r w:rsidRPr="00165B9A">
        <w:rPr>
          <w:rFonts w:ascii="Book Antiqua" w:hAnsi="Book Antiqua" w:cs="Calibri"/>
          <w:color w:val="000000" w:themeColor="text1"/>
        </w:rPr>
        <w:t>as endoscopic therapy provides a</w:t>
      </w:r>
      <w:r w:rsidR="009807C4" w:rsidRPr="00165B9A">
        <w:rPr>
          <w:rFonts w:ascii="Book Antiqua" w:hAnsi="Book Antiqua" w:cs="Calibri"/>
          <w:color w:val="000000" w:themeColor="text1"/>
        </w:rPr>
        <w:t xml:space="preserve"> minimally invasive</w:t>
      </w:r>
      <w:r w:rsidR="0049477F" w:rsidRPr="00165B9A">
        <w:rPr>
          <w:rFonts w:ascii="Book Antiqua" w:hAnsi="Book Antiqua" w:cs="Calibri"/>
          <w:color w:val="000000" w:themeColor="text1"/>
        </w:rPr>
        <w:t xml:space="preserve"> option, which has </w:t>
      </w:r>
      <w:r w:rsidR="009807C4" w:rsidRPr="00165B9A">
        <w:rPr>
          <w:rFonts w:ascii="Book Antiqua" w:hAnsi="Book Antiqua" w:cs="Calibri"/>
          <w:color w:val="000000" w:themeColor="text1"/>
        </w:rPr>
        <w:t xml:space="preserve">greater efficiency than </w:t>
      </w:r>
      <w:r w:rsidR="0049477F" w:rsidRPr="00165B9A">
        <w:rPr>
          <w:rFonts w:ascii="Book Antiqua" w:hAnsi="Book Antiqua" w:cs="Calibri"/>
          <w:color w:val="000000" w:themeColor="text1"/>
        </w:rPr>
        <w:t xml:space="preserve">medical </w:t>
      </w:r>
      <w:r w:rsidR="009807C4" w:rsidRPr="00165B9A">
        <w:rPr>
          <w:rFonts w:ascii="Book Antiqua" w:hAnsi="Book Antiqua" w:cs="Calibri"/>
          <w:color w:val="000000" w:themeColor="text1"/>
        </w:rPr>
        <w:t xml:space="preserve">interventions and </w:t>
      </w:r>
      <w:r w:rsidR="0049477F" w:rsidRPr="00165B9A">
        <w:rPr>
          <w:rFonts w:ascii="Book Antiqua" w:hAnsi="Book Antiqua" w:cs="Calibri"/>
          <w:color w:val="000000" w:themeColor="text1"/>
        </w:rPr>
        <w:t xml:space="preserve">a greater </w:t>
      </w:r>
      <w:r w:rsidR="009807C4" w:rsidRPr="00165B9A">
        <w:rPr>
          <w:rFonts w:ascii="Book Antiqua" w:hAnsi="Book Antiqua" w:cs="Calibri"/>
          <w:color w:val="000000" w:themeColor="text1"/>
        </w:rPr>
        <w:t>safety</w:t>
      </w:r>
      <w:r w:rsidR="0049477F" w:rsidRPr="00165B9A">
        <w:rPr>
          <w:rFonts w:ascii="Book Antiqua" w:hAnsi="Book Antiqua" w:cs="Calibri"/>
          <w:color w:val="000000" w:themeColor="text1"/>
        </w:rPr>
        <w:t xml:space="preserve"> profile</w:t>
      </w:r>
      <w:r w:rsidR="009807C4" w:rsidRPr="00165B9A">
        <w:rPr>
          <w:rFonts w:ascii="Book Antiqua" w:hAnsi="Book Antiqua" w:cs="Calibri"/>
          <w:color w:val="000000" w:themeColor="text1"/>
        </w:rPr>
        <w:t xml:space="preserve"> than </w:t>
      </w:r>
      <w:r w:rsidR="004C2DD5" w:rsidRPr="00165B9A">
        <w:rPr>
          <w:rFonts w:ascii="Book Antiqua" w:hAnsi="Book Antiqua" w:cs="Calibri"/>
          <w:color w:val="000000" w:themeColor="text1"/>
        </w:rPr>
        <w:t xml:space="preserve">open </w:t>
      </w:r>
      <w:r w:rsidR="009807C4" w:rsidRPr="00165B9A">
        <w:rPr>
          <w:rFonts w:ascii="Book Antiqua" w:hAnsi="Book Antiqua" w:cs="Calibri"/>
          <w:color w:val="000000" w:themeColor="text1"/>
        </w:rPr>
        <w:t>surgical interventions</w:t>
      </w:r>
      <w:r w:rsidR="0041397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{"citationItems":[{"id":"ITEM-1","itemData":{"DOI":"10.1007/s00464-008-0285-2","ISSN":"1432-2218","PMID":"19169745","abstract":"AIM To compare the efficacy of laparoscopic sleeve gastrectomy (LSG) and BioEnterics intragastric balloon (BIB) to lose weight and comorbidities after 12 months of follow-up before a more invasive bariatric procedure. METHODS From January 2004 to December 2006, 40 patients underwent laparoscopic sleeve gastrectomy (LSG) as a first step in biliopancreatic diversion with duodenal switch. Controls (n = 80) were selected based on charts of patients who, during the same period, underwent BioEnterics intragastric balloon therapy. In both groups we considered: length of procedure, hospital stay, intraoperative or endoscopic complications, postoperative or postendoscopic complications, comorbidities at baseline, after 6 months (time of BIB removal), and after 12 months from baseline, and weight loss parameters [weight in kg, percentage excess weight less (%EWL), body mass index (BMI), and percentage excess BMI loss (%EBL)]. Results are expressed as mean +/- standard deviation. RESULTS Mortality, intra- and postoperative complications (in LSG group), and intra- and postendoscopic complications (in BIB group) were absent. Mean operative time in the LSG group was 120 +/- 40 (range 60-200) min. Mean positioning time for BIB was 15 +/- 5 (range 10-25) min. BMI at baseline was 54.1 +/- 2.9 (range 45.1-55.9) kg/m(2) and 54.8 +/- 2.5 (range 45.1-56.2) kg/m(2) in BIB and LSG groups, respectively. At 6-month follow-up, mean BMI was 46.2 +/- 3.5 and 45.3 +/- 5.5 kg/m(2) in the BIB and LSG patients, respectively [p = not significant (ns)]. After 12 months BIB patients regained BMI, even if strictly followed with a diet regimen, while LSG patients continued to lose weight. Significant differences between groups were absent for the comorbidities considered. CONCLUSIONS Laparoscopic sleeve gastrectomy and BioEnterics intragastric balloon are two valid options for producing weight loss as a first-step procedure. LSG has all the related risks of general anesthesia, laparoscopic surgery, and digestive anastomosis, whereas BIB presents a very low rate of minor complications, such as psychological intolerance. For all these reasons, at this time, BIB is considered a better option than LSG as a first-step procedure in the short term (12 months).","author":[{"dropping-particle":"","family":"Genco","given":"Alfredo","non-dropping-particle":"","parse-names":false,"suffix":""},{"dropping-particle":"","family":"Cipriano","given":"Massimiliano","non-dropping-particle":"","parse-names":false,"suffix":""},{"dropping-particle":"","family":"Materia","given":"Alberto","non-dropping-particle":"","parse-names":false,"suffix":""},{"dropping-particle":"","family":"Bacci","given":"Vincenzo","non-dropping-particle":"","parse-names":false,"suffix":""},{"dropping-particle":"","family":"Maselli","given":"Roberta","non-dropping-particle":"","parse-names":false,"suffix":""},{"dropping-particle":"","family":"Musmeci","given":"Luca","non-dropping-particle":"","parse-names":false,"suffix":""},{"dropping-particle":"","family":"Lorenzo","given":"Michele","non-dropping-particle":"","parse-names":false,"suffix":""},{"dropping-particle":"","family":"Basso","given":"Nicola","non-dropping-particle":"","parse-names":false,"suffix":""}],"container-title":"Surgical endoscopy","id":"ITEM-1","issue":"8","issued":{"date-parts":[["2009","8"]]},"page":"1849-53","title":"Laparoscopic sleeve gastrectomy versus intragastric balloon: a case-control study.","type":"article-journal","volume":"23"},"uris":["http://www.mendeley.com/documents/?uuid=df16ca8e-266d-4d9a-9a5c-b8d585182078"]},{"id":"ITEM-2","itemData":{"DOI":"10.1016/j.soard.2015.10.077","ISSN":"15507289","PMID":"26968503","abstract":"BACKGROUND Obesity has become a worldwide epidemic, and many methods are currently used to reduce obesity. This systematic review shows the effectiveness of the intragastric balloon (IGB) method compared to the sham/diet (s/d) method. OBJECTIVE To demonstrate the effectiveness of the IGB method compared to the s/d method. SETTING Hospital das Clinicas da Universidade de São Paulo, Brazil, Public Hospital. METHODS After searching MEDLINE, Embase, Cochrane, Lilacs, Scopus, and CINAHL, only enrolled randomized control trials comparing IGB/diet with s/d were analyzed. For qualitative analysis, 12 studies were selected, and 9 of these were acceptable for quantitative analysis. RESULTS The IGB/diet is more effective than s/d when comparing body mass index (BMI) loss with a mean difference of 1.1 kg/m(2) by the Student's t test and 1.41 kg/m(2) by the meta-analysis, with significant differences in both. It is also more effective in weight loss (WL), with a mean difference of 2 kg by the Student's t test and 3.55 kg by the meta-analysis. In the qualitative analysis of % excess WL (%EWL), the mean %EWL is 14.0% in favor of the IGB group compared to the s/d group by the Student's t test; however, no significant difference was found between these groups by quantitative analysis. CONCLUSION Based on randomized control trial data alone, IGB&gt;400 mL is more effective than sham/diet in achieving BMI loss, WL, and %EWL.","author":[{"dropping-particle":"","family":"Moura","given":"Diogo","non-dropping-particle":"","parse-names":false,"suffix":""},{"dropping-particle":"","family":"Oliveira","given":"Joel","non-dropping-particle":"","parse-names":false,"suffix":""},{"dropping-particle":"","family":"Moura","given":"Eduardo G.H.","non-dropping-particle":"De","parse-names":false,"suffix":""},{"dropping-particle":"","family":"Bernardo","given":"Wanderlei","non-dropping-particle":"","parse-names":false,"suffix":""},{"dropping-particle":"","family":"Galvão Neto","given":"Manuel","non-dropping-particle":"","parse-names":false,"suffix":""},{"dropping-particle":"","family":"Campos","given":"Josemberg","non-dropping-particle":"","parse-names":false,"suffix":""},{"dropping-particle":"","family":"Popov","given":"Violeta B.","non-dropping-particle":"","parse-names":false,"suffix":""},{"dropping-particle":"","family":"Thompson","given":"Cristopher","non-dropping-particle":"","parse-names":false,"suffix":""}],"container-title":"Surgery for Obesity and Related Diseases","id":"ITEM-2","issue":"2","issued":{"date-parts":[["2016","2"]]},"page":"420-429","publisher":"Elsevier","title":"Effectiveness of intragastric balloon for obesity: A systematic review and meta-analysis based on randomized control trials","type":"article-journal","volume":"12"},"uris":["http://www.mendeley.com/documents/?uuid=b6f01b54-73a1-4f5b-b670-e85b0edc7f3b"]},{"id":"ITEM-3","itemData":{"DOI":"10.1016/j.gie.2018.11.034","ISSN":"1097-6779","PMID":"30529441","abstract":"BACKGROUND Endoscopy has evolved to become first-line therapy for the treatment of post-bariatric leaks; however, many sessions are often required with variable success rates. Due to these limitations, the use of the cardiac septal defect occluder (CSDO) has recently been reported in this population. METHODS The study population was a multicenter retrospective series of patients with post-bariatric surgical leaks who underwent treatment with CSDO placement. Data on the type of surgery, previous treatment details, fistula dimensions, success rate, and adverse events were collected. Leaks were grouped according to the International Sleeve Gastrectomy Expert Panel Consensus. Outcomes included technical and clinical success and safety of the CSDO. Regression analysis was performed to determine the predictors of response. RESULTS Forty-three patients with leaks were included (31 sleeve gastrectomy and 12 Roux-en-Y gastric bypass). They were divided into acute (n = 3), early (n = 5), late (n = 23), and chronic (n = 12). Forty patients had failed previous endoscopic treatment and 3 patients had CSDO as the primary treatment. Median follow-up was 34 weeks. Technical success was achieved in all patients and clinical success in 39 patients (90.7%). All chronic, late, and early leaks were successfully closed, except one undrained late leak. The 5 patients with early leaks had an initial satisfactory response, but within 30 days, drainage recurred. The CSDOs were removed and replaced with larger-diameter devices leading to permanent defect closure. Acute leaks were not successfully closed in all 3 patients. Regression analysis showed that chronicity and previous treatment were associated with fistula closure; success rates for late/chronic leaks versus acute/early leaks were 97.1% and 62.5%, respectively (P = .0023). CONCLUSION This observational study found that the CSDO had a high efficacy rate in patients with non-acute leaks, with no adverse events. All early, late, and chronic leaks were successfully closed, except for one undrained late leak. However, early leaks required a second placement of a larger CSDO in all cases. These results suggest that the CSDO should be considered for non-acute fistula and that traditional closure methods are likely preferred in the acute and early settings.","author":[{"dropping-particle":"","family":"Baptista","given":"Alberto","non-dropping-particle":"","parse-names":false,"suffix":""},{"dropping-particle":"","family":"Hourneaux De Moura","given":"Diogo Turiani","non-dropping-particle":"","parse-names":false,"suffix":""},{"dropping-particle":"","family":"Jirapinyo","given":"Pichamol","non-dropping-particle":"","parse-names":false,"suffix":""},{"dropping-particle":"","family":"Hourneaux De Moura","given":"Eduardo Guimarães","non-dropping-particle":"","parse-names":false,"suffix":""},{"dropping-particle":"","family":"Gelrud","given":"Andres","non-dropping-particle":"","parse-names":false,"suffix":""},{"dropping-particle":"","family":"Kahaleh","given":"Michel","non-dropping-particle":"","parse-names":false,"suffix":""},{"dropping-particle":"","family":"Salinas","given":"Alberto","non-dropping-particle":"","parse-names":false,"suffix":""},{"dropping-particle":"","family":"Sabagh","given":"Luis Carlos","non-dropping-particle":"","parse-names":false,"suffix":""},{"dropping-particle":"","family":"Ospina","given":"Andrés","non-dropping-particle":"","parse-names":false,"suffix":""},{"dropping-particle":"","family":"Rincones","given":"Víctor Zambrano","non-dropping-particle":"","parse-names":false,"suffix":""},{"dropping-particle":"","family":"Doval","given":"Raul","non-dropping-particle":"","parse-names":false,"suffix":""},{"dropping-particle":"","family":"Bandel","given":"Jack William","non-dropping-particle":"","parse-names":false,"suffix":""},{"dropping-particle":"","family":"Thompson","given":"Christopher C.","non-dropping-particle":"","parse-names":false,"suffix":""}],"container-title":"Gastrointestinal endoscopy","id":"ITEM-3","issue":"4","issued":{"date-parts":[["2019","12"]]},"page":"671-679.e1","title":"Efficacy of the cardiac septal occluder in the treatment of post-bariatric surgery leaks and fistulas.","type":"article-journal","volume":"89"},"uris":["http://www.mendeley.com/documents/?uuid=27b24536-608e-40d5-81e7-7e6f0cd794e9"]},{"id":"ITEM-4","itemData":{"DOI":"10.1055/a-0842-6287","ISBN":"0930-2794","ISSN":"1438-8812","PMID":"30791049","abstract":"BACKGROUND: Peroral esophageal myotomy (POEM) is a new endoscopic operation for the treatment of achalasia. Here, we report 1-year physiologic and symptomatic outcomes following the procedure.\\n\\nMETHODS: POEM patients from a single-institution series who were more than 1 year removed from surgery were studied. Eckardt and GerdQ scores were obtained to assess symptoms. High-resolution manometry (HRM), timed barium esophagram (TBE), and upper endoscopy were preformed preoperatively and at 1-year follow-up. 24-h pH monitoring was also performed at 1 year follow-up.\\n\\nRESULTS: The study population was comprised of 41 patients who were more than 1 year post-POEM. One (2 %) major complication, a contained leak at the EGJ requiring re-operation, and 7 (17 %) minor complications occurred. Mean length of stay was 1.4 days. At mean 15-month follow-up, Eckardt scores improved from pre-POEM 7 ± 2 to post-POEM 1 ± 2, (scale 0-12, p &lt; .001), and 92 % of patients achieved treatment success (Eckardt score &lt;4). Two of the three treatment failures in the series occurred in the initial three patients. 15 % of patients had post-POEM symptoms suggestive of gastroesophageal reflux (GerdQ &gt;7). On follow-up HRM, esophagogastric junction integrated relaxation pressure was decreased significantly (pre-POEM 28 ± 12 mmHg vs. post-POEM 11 ± 4 mmHg, p &lt; .001), and 47 % of patients studied had partial recovery of peristalsis. On follow-up TBE, barium column heights were decreased compared with preoperatively. Postoperative upper endoscopy revealed esophagitis in 59 % of patients (11 LA Grade A, 2 LA Grade D). However, of the 13 24-h pH monitoring studies performed, only four (31 %) demonstrated pathologic esophageal acid exposure.\\n\\nCONCLUSIONS: In this series, POEM resulted in greater than 90 % symptomatic treatment success at mean 15-month follow-up. Rates of iatrogenic gastroesophageal reflux, as measured both by symptoms and 24-h pH monitoring, appeared to be on par with recent studies of patients undergoing laparoscopic Heller myotomy and pneumatic dilation.","author":[{"dropping-particle":"","family":"Moura","given":"Diogo Turiani Hourneaux","non-dropping-particle":"de","parse-names":false,"suffix":""},{"dropping-particle":"","family":"Ribeiro","given":"Igor Braga","non-dropping-particle":"","parse-names":false,"suffix":""},{"dropping-particle":"","family":"Funari","given":"Mateus Pereira","non-dropping-particle":"","parse-names":false,"suffix":""},{"dropping-particle":"","family":"Baptista","given":"Alberto","non-dropping-particle":"","parse-names":false,"suffix":""},{"dropping-particle":"","family":"Thompson","given":"Christopher C","non-dropping-particle":"","parse-names":false,"suffix":""},{"dropping-particle":"","family":"Moura","given":"Eduardo Guimarães Hourneaux","non-dropping-particle":"de","parse-names":false,"suffix":""}],"container-title":"Endoscopy","id":"ITEM-4","issue":"12","issued":{"date-parts":[["2019","2","21"]]},"page":"3359-3365","title":"Novel use of a cardiac septal occluder to treat a chronic recalcitrant bariatric fistula after Roux-en-Y gastric bypass.","type":"article-journal","volume":"28"},"uris":["http://www.mendeley.com/documents/?uuid=ecf10278-2634-4c39-9435-838c9c78c9f4"]}],"mendeley":{"formattedCitation":"&lt;sup&gt;[14–17]&lt;/sup&gt;","plainTextFormattedCitation":"[14–17]","previouslyFormattedCitation":"&lt;sup&gt;[14–17]&lt;/sup&gt;"},"properties":{"noteIndex":0},"schema":"https://github.com/citation-style-language/schema/raw/master/csl-citation.json"}</w:instrText>
      </w:r>
      <w:r w:rsidR="0041397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[14</w:t>
      </w:r>
      <w:r w:rsidR="00165B9A">
        <w:rPr>
          <w:rFonts w:ascii="Book Antiqua" w:hAnsi="Book Antiqua" w:cs="Calibri"/>
          <w:noProof/>
          <w:color w:val="000000" w:themeColor="text1"/>
          <w:vertAlign w:val="superscript"/>
        </w:rPr>
        <w:t>-</w:t>
      </w:r>
      <w:r w:rsidR="008B04DC" w:rsidRPr="00165B9A">
        <w:rPr>
          <w:rFonts w:ascii="Book Antiqua" w:hAnsi="Book Antiqua" w:cs="Calibri"/>
          <w:noProof/>
          <w:color w:val="000000" w:themeColor="text1"/>
          <w:vertAlign w:val="superscript"/>
        </w:rPr>
        <w:t>17]</w:t>
      </w:r>
      <w:r w:rsidR="0041397F"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The advent of endoscopic suturing was a major step forward in the minimally invasive treatment of a number of gastrointestinal pathologies</w:t>
      </w:r>
      <w:r w:rsidR="0041397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{"citationItems":[{"id":"ITEM-1","itemData":{"DOI":"10.1177/1553350617697184","ISSN":"1553-3514","PMID":"28492354","abstract":"BACKGROUND The ability to perform reliable, secure endoluminal closure of the gastrointestinal tract wall, is a prerequisite to support the progress of the emerging field of endoluminal surgery. Along with advanced clipping systems, flexible endoscopic suturing devices are commercially available. Current systems can replicate traditional surgical suturing patterns in the endoluminal environment. The aim of this study was to evaluate the optimal endoluminal suturing technique using a flexible endoscopic suturing device. MATERIALS AND METHODS Procedures were performed on bench-top simulators containing 20 explanted porcine stomachs. A standardized 3-cm full-thickness incision was created on the anterior wall of each stomach using monopolar cautery. The gastrotomy was closed endoscopically using an over-the-scope suturing device (OverStitch, Apollo Endosurgery; Austin, TX). Three different techniques were used: single stitches, figure-of-8 pattern, and running suture. Material consumption and operation time were recorded and bursting pressure measurement of the closure was performed. RESULTS No statistically significant differences were identified in suturing time. Suturing time (minutes) was slightly shorter with the figure-of-8 technique (41.14 ± 4.6) versus interrupted (45.75 ± 1.1) versus continuous (51.44 ± 10.0), but the difference was not statistically significant. The number of sutures required was greater in the interrupted group. No significant difference was found in the burst pressure (mm Hg): figure-of-8 (45.85 ± 26.2) versus interrupted (30.5 ± 22.89) versus continuous (32.0 ± 26.5). In the figure-of-8 group, 85.5% of cases were leakproof above 30 mm Hg, while in the other groups only 50% of cases were so. CONCLUSION A figure-of-8 suturing pattern seems to be the preferable suturing technique with the endoscopic suturing device.","author":[{"dropping-particle":"","family":"Halvax","given":"Peter","non-dropping-particle":"","parse-names":false,"suffix":""},{"dropping-particle":"","family":"Diana","given":"Michele","non-dropping-particle":"","parse-names":false,"suffix":""},{"dropping-particle":"","family":"Nagao","given":"Yoshihiro","non-dropping-particle":"","parse-names":false,"suffix":""},{"dropping-particle":"","family":"Marescaux","given":"Jacques","non-dropping-particle":"","parse-names":false,"suffix":""},{"dropping-particle":"","family":"Swanström","given":"Lee","non-dropping-particle":"","parse-names":false,"suffix":""}],"container-title":"Surgical innovation","id":"ITEM-1","issue":"3","issued":{"date-parts":[["2017","6"]]},"page":"201-204","title":"Experimental Evaluation of the Optimal Suture Pattern With a Flexible Endoscopic Suturing System.","type":"article-journal","volume":"24"},"uris":["http://www.mendeley.com/documents/?uuid=8da2e9ac-7fa7-4f4d-a365-fae42538890f"]},{"id":"ITEM-2","itemData":{"DOI":"10.1007/s11695-018-3335-4","ISSN":"1708-0428","PMID":"29909512","abstract":"Endoscopic bariatric therapies (EBTs) are promising alternatives to conventional surgery for obesity. The aim of this study is to compare efficacy and safety through a systematic review and meta-analysis of the endoscopic gastroplasty techniques versus conservative treatment. We searched MEDLINE, EMBASE, Cochrane CENTRAL, Lilacs/Bireme. Randomized controlled trials (RCTs) enrolling obese patients comparing endoscopic gastroplasty to sham or diet/exercise were considered eligible. Among 6014 records, three RCTs were selected for meta-analysis. The total sample was 459 patients (312 EBTs vs 147 control). Mean total body weight loss in the intervention group (IG) was 4.8% higher than the control group (CG) at 12 months (p = 0.01). The IG responder rate was 44.31% at 12 months. Therefore, the endoscopic gastroplasty is more effective than conservative therapies but do not achieve FDA thresholds.","author":[{"dropping-particle":"","family":"Madruga-Neto","given":"Antonio Coutinho","non-dropping-particle":"","parse-names":false,"suffix":""},{"dropping-particle":"","family":"Bernardo","given":"Wanderley Marques","non-dropping-particle":"","parse-names":false,"suffix":""},{"dropping-particle":"","family":"Moura","given":"Diogo Turiani Hourneaux","non-dropping-particle":"de","parse-names":false,"suffix":""},{"dropping-particle":"","family":"Brunaldi","given":"Vitor Ottoboni","non-dropping-particle":"","parse-names":false,"suffix":""},{"dropping-particle":"","family":"Martins","given":"Rafael Krieger","non-dropping-particle":"","parse-names":false,"suffix":""},{"dropping-particle":"","family":"Josino","given":"Iatagan Rocha","non-dropping-particle":"","parse-names":false,"suffix":""},{"dropping-particle":"","family":"Moura","given":"Eduardo Turiani Hourneaux","non-dropping-particle":"de","parse-names":false,"suffix":""},{"dropping-particle":"","family":"Souza","given":"Thiago Ferreira","non-dropping-particle":"de","parse-names":false,"suffix":""},{"dropping-particle":"","family":"Santo","given":"Marco Aurélio","non-dropping-particle":"","parse-names":false,"suffix":""},{"dropping-particle":"","family":"Moura","given":"Eduardo Guimarães Hourneaux","non-dropping-particle":"de","parse-names":false,"suffix":""}],"container-title":"Obesity surgery","id":"ITEM-2","issue":"9","issued":{"date-parts":[["2018","9"]]},"page":"2932-2940","title":"The Effectiveness of Endoscopic Gastroplasty for Obesity Treatment According to FDA Thresholds: Systematic Review and Meta-Analysis Based on Randomized Controlled Trials.","type":"article-journal","volume":"28"},"uris":["http://www.mendeley.com/documents/?uuid=bfb6ae41-9bc9-4667-a656-3f9b1494bc6a"]}],"mendeley":{"formattedCitation":"&lt;sup&gt;[18,19]&lt;/sup&gt;","plainTextFormattedCitation":"[18,19]","previouslyFormattedCitation":"&lt;sup&gt;[18,19]&lt;/sup&gt;"},"properties":{"noteIndex":0},"schema":"https://github.com/citation-style-language/schema/raw/master/csl-citation.json"}</w:instrText>
      </w:r>
      <w:r w:rsidR="0041397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[18,19]</w:t>
      </w:r>
      <w:r w:rsidR="0041397F" w:rsidRPr="00165B9A">
        <w:rPr>
          <w:rFonts w:ascii="Book Antiqua" w:hAnsi="Book Antiqua" w:cs="Calibri"/>
          <w:color w:val="000000" w:themeColor="text1"/>
        </w:rPr>
        <w:fldChar w:fldCharType="end"/>
      </w:r>
      <w:r w:rsidR="00143A54" w:rsidRPr="00165B9A">
        <w:rPr>
          <w:rFonts w:ascii="Book Antiqua" w:hAnsi="Book Antiqua" w:cs="Calibri"/>
          <w:color w:val="000000" w:themeColor="text1"/>
        </w:rPr>
        <w:t xml:space="preserve">. </w:t>
      </w:r>
      <w:r w:rsidR="009807C4" w:rsidRPr="00165B9A">
        <w:rPr>
          <w:rFonts w:ascii="Book Antiqua" w:hAnsi="Book Antiqua" w:cs="Calibri"/>
          <w:color w:val="000000" w:themeColor="text1"/>
        </w:rPr>
        <w:t xml:space="preserve">The </w:t>
      </w:r>
      <w:bookmarkStart w:id="22" w:name="OLE_LINK1"/>
      <w:bookmarkStart w:id="23" w:name="OLE_LINK2"/>
      <w:proofErr w:type="spellStart"/>
      <w:r w:rsidR="009807C4" w:rsidRPr="00165B9A">
        <w:rPr>
          <w:rFonts w:ascii="Book Antiqua" w:hAnsi="Book Antiqua" w:cs="Calibri"/>
          <w:color w:val="000000" w:themeColor="text1"/>
        </w:rPr>
        <w:t>OverStitch</w:t>
      </w:r>
      <w:bookmarkEnd w:id="22"/>
      <w:bookmarkEnd w:id="23"/>
      <w:proofErr w:type="spellEnd"/>
      <w:r w:rsidR="009807C4" w:rsidRPr="00165B9A">
        <w:rPr>
          <w:rFonts w:ascii="Book Antiqua" w:hAnsi="Book Antiqua" w:cs="Calibri"/>
          <w:color w:val="000000" w:themeColor="text1"/>
        </w:rPr>
        <w:t xml:space="preserve"> </w:t>
      </w:r>
      <w:proofErr w:type="spellStart"/>
      <w:r w:rsidR="00165B9A" w:rsidRPr="00165B9A">
        <w:rPr>
          <w:rFonts w:ascii="Book Antiqua" w:hAnsi="Book Antiqua" w:cs="Calibri"/>
          <w:color w:val="000000" w:themeColor="text1"/>
        </w:rPr>
        <w:t>E</w:t>
      </w:r>
      <w:r w:rsidR="009807C4" w:rsidRPr="00165B9A">
        <w:rPr>
          <w:rFonts w:ascii="Book Antiqua" w:hAnsi="Book Antiqua" w:cs="Calibri"/>
          <w:color w:val="000000" w:themeColor="text1"/>
        </w:rPr>
        <w:t>ndosuturing</w:t>
      </w:r>
      <w:proofErr w:type="spellEnd"/>
      <w:r w:rsidR="009807C4" w:rsidRPr="00165B9A">
        <w:rPr>
          <w:rFonts w:ascii="Book Antiqua" w:hAnsi="Book Antiqua" w:cs="Calibri"/>
          <w:color w:val="000000" w:themeColor="text1"/>
        </w:rPr>
        <w:t xml:space="preserve"> device has stood out from other such systems and is currently the only system in widespread use</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{"citationItems":[{"id":"ITEM-1","itemData":{"DOI":"10.4253/wjge.v11.i5.322","ISSN":"1948-5190","PMID":"31205593","abstract":"The most effective and durable treatment for obesity is bariatric surgery. However, less than 2% of eligible patients who fulfill the criteria for bariatric surgery undergo the procedure. As a result, there is a drive to develop less invasive therapies to combat obesity. Endoscopic bariatric therapies (EBT) for weight loss are important since they are more effective than pharmacological treatments and lifestyle changes and present lower adverse event rates compared to bariatric surgery. Endoscopic sleeve gastroplasty (ESG) is a minimally invasive EBT that involves remodeling of the greater curvature. ESG demonstrated favorable outcomes in several centers, with up to 20.9% total body weight loss and 60.4% excess weight loss (EWL) on 2-year follow-up, with a low rate of severe adverse events (SAE). As such, it could be considered safe and effective in light of ASGE/ASMBS thresholds of &gt; 25% EWL and ≤ 5% SAE, although there are no comparative trials to support this. Additionally, ESG showed improvement in diabetes mellitus type 2, hypertension, and other obesity-related comorbidities. As this procedure continues to develop there are several areas that can be addressed to improve outcomes, including device improvements, technique standardization, patient selection, personalized medicine, combination therapies, and training standardization. In this editorial we discuss the origins of the ESG, current data, and future developments.","author":[{"dropping-particle":"","family":"Moura","given":"Diogo Turiani Hourneaux","non-dropping-particle":"de","parse-names":false,"suffix":""},{"dropping-particle":"","family":"Moura","given":"Eduardo Guimarães Hourneaux","non-dropping-particle":"de","parse-names":false,"suffix":""},{"dropping-particle":"","family":"Thompson","given":"Christopher C","non-dropping-particle":"","parse-names":false,"suffix":""}],"container-title":"World journal of gastrointestinal endoscopy","id":"ITEM-1","issue":"5","issued":{"date-parts":[["2019","5","16"]]},"page":"322-328","title":"Endoscopic sleeve gastroplasty: From whence we came and where we are going.","type":"article-journal","volume":"11"},"uris":["http://www.mendeley.com/documents/?uuid=811e6977-b2a3-48c0-9532-59cc9d6ed1fa"]}],"mendeley":{"formattedCitation":"&lt;sup&gt;[8]&lt;/sup&gt;","plainTextFormattedCitation":"[8]","previouslyFormattedCitation":"&lt;sup&gt;[8]&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[8]</w:t>
      </w:r>
      <w:r w:rsidR="009D56E4"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xml:space="preserve">. Since 2001, endoscopic suturing systems have been adapted for the treatment of obesity, </w:t>
      </w:r>
      <w:r w:rsidR="00DE036B" w:rsidRPr="00165B9A">
        <w:rPr>
          <w:rFonts w:ascii="Book Antiqua" w:hAnsi="Book Antiqua" w:cs="Calibri"/>
          <w:color w:val="000000" w:themeColor="text1"/>
        </w:rPr>
        <w:t xml:space="preserve">as </w:t>
      </w:r>
      <w:r w:rsidR="009807C4" w:rsidRPr="00165B9A">
        <w:rPr>
          <w:rFonts w:ascii="Book Antiqua" w:hAnsi="Book Antiqua" w:cs="Calibri"/>
          <w:color w:val="000000" w:themeColor="text1"/>
        </w:rPr>
        <w:t xml:space="preserve">experiments in </w:t>
      </w:r>
      <w:r w:rsidR="009807C4" w:rsidRPr="00165B9A">
        <w:rPr>
          <w:rFonts w:ascii="Book Antiqua" w:hAnsi="Book Antiqua" w:cs="Calibri"/>
          <w:i/>
          <w:color w:val="000000" w:themeColor="text1"/>
        </w:rPr>
        <w:t>ex vivo</w:t>
      </w:r>
      <w:r w:rsidR="009807C4" w:rsidRPr="00165B9A">
        <w:rPr>
          <w:rFonts w:ascii="Book Antiqua" w:hAnsi="Book Antiqua" w:cs="Calibri"/>
          <w:color w:val="000000" w:themeColor="text1"/>
        </w:rPr>
        <w:t xml:space="preserve"> animal models </w:t>
      </w:r>
      <w:r w:rsidR="00DE036B" w:rsidRPr="00165B9A">
        <w:rPr>
          <w:rFonts w:ascii="Book Antiqua" w:hAnsi="Book Antiqua" w:cs="Calibri"/>
          <w:color w:val="000000" w:themeColor="text1"/>
        </w:rPr>
        <w:t xml:space="preserve">have </w:t>
      </w:r>
      <w:r w:rsidR="009807C4" w:rsidRPr="00165B9A">
        <w:rPr>
          <w:rFonts w:ascii="Book Antiqua" w:hAnsi="Book Antiqua" w:cs="Calibri"/>
          <w:color w:val="000000" w:themeColor="text1"/>
        </w:rPr>
        <w:t>led to the development of the systems</w:t>
      </w:r>
      <w:r w:rsidR="00DE036B" w:rsidRPr="00165B9A">
        <w:rPr>
          <w:rFonts w:ascii="Book Antiqua" w:hAnsi="Book Antiqua" w:cs="Calibri"/>
          <w:color w:val="000000" w:themeColor="text1"/>
        </w:rPr>
        <w:t xml:space="preserve"> and techniques in use today</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{"citationItems":[{"id":"ITEM-1","itemData":{"DOI":"10.1067/mge.2002.120889","ISSN":"0016-5107","PMID":"11818935","abstract":"BACKGROUND Vertical band gastroplasty is an accepted surgical operation for the treatment of obesity. It is performed by means of an open technique. This is a description of a new endoscopic technique for gastroplasty. METHODS An endoscopic sewing machine was mounted on a flexible upper endoscope. On a postmortem specimen of porcine gastroesophageal tissue an area of the stomach, about 8-cm long and 4-cm wide, extending from and in line with the esophagus, was marked. A flexible plastic ring about 3 cm in diameter was sutured to the stomach along the lesser curvature at 8 cm from the gastroesophageal junction with an endoscopic sewing machine. Vertical gastroplasty was accomplished by suturing together the anterior and posterior walls of the stomach with the endoscopic sewing machine. Hence, a gastroplasty was fashioned as an 8-cm-long tube along the lesser curvature of the stomach extending from the gastroesophageal junction to the outlet ring. OBSERVATIONS An endoscopic gastroplasty for obesity was successfully performed by using an endoscopic sewing machine on a postmortem specimen of porcine stomach. CONCLUSION The technical feasibility of endoscopic vertical ring gastroplasty should be tested in a live animal model. This will serve as the next phase in the development of this interventional endoscopic technique, which has potential for clinical applicability.","author":[{"dropping-particle":"","family":"Awan","given":"Amjad N","non-dropping-particle":"","parse-names":false,"suffix":""},{"dropping-particle":"","family":"Swain","given":"C P","non-dropping-particle":"","parse-names":false,"suffix":""}],"container-title":"Gastrointestinal endoscopy","id":"ITEM-1","issue":"2","issued":{"date-parts":[["2002","2"]]},"page":"254-6","title":"Endoscopic vertical band gastroplasty with an endoscopic sewing machine.","type":"article-journal","volume":"55"},"uris":["http://www.mendeley.com/documents/?uuid=85b60dff-0299-4abe-bbb1-4cfe657fb486"]}],"mendeley":{"formattedCitation":"&lt;sup&gt;[20]&lt;/sup&gt;","plainTextFormattedCitation":"[20]","previouslyFormattedCitation":"&lt;sup&gt;[20]&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[20]</w:t>
      </w:r>
      <w:r w:rsidR="009D56E4"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xml:space="preserve">. In </w:t>
      </w:r>
      <w:r w:rsidR="00165B9A">
        <w:rPr>
          <w:rFonts w:ascii="Book Antiqua" w:hAnsi="Book Antiqua" w:cs="Calibri"/>
          <w:color w:val="000000" w:themeColor="text1"/>
        </w:rPr>
        <w:t>ESG</w:t>
      </w:r>
      <w:r w:rsidR="009807C4" w:rsidRPr="00165B9A">
        <w:rPr>
          <w:rFonts w:ascii="Book Antiqua" w:hAnsi="Book Antiqua" w:cs="Calibri"/>
          <w:color w:val="000000" w:themeColor="text1"/>
        </w:rPr>
        <w:t xml:space="preserve">, full thickness sutures are placed throughout the gastric body </w:t>
      </w:r>
      <w:r w:rsidR="00067B7D" w:rsidRPr="00165B9A">
        <w:rPr>
          <w:rFonts w:ascii="Book Antiqua" w:hAnsi="Book Antiqua" w:cs="Calibri"/>
          <w:color w:val="000000" w:themeColor="text1"/>
        </w:rPr>
        <w:t>to</w:t>
      </w:r>
      <w:r w:rsidR="009807C4" w:rsidRPr="00165B9A">
        <w:rPr>
          <w:rFonts w:ascii="Book Antiqua" w:hAnsi="Book Antiqua" w:cs="Calibri"/>
          <w:color w:val="000000" w:themeColor="text1"/>
        </w:rPr>
        <w:t xml:space="preserve"> bring the anterior wall, greater curvature, and posterior wall of the gastric body all closer together, resulting in a tubular configuration</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{"citationItems":[{"id":"ITEM-1","itemData":{"DOI":"10.4253/wjge.v11.i5.322","ISSN":"1948-5190","PMID":"31205593","abstract":"The most effective and durable treatment for obesity is bariatric surgery. However, less than 2% of eligible patients who fulfill the criteria for bariatric surgery undergo the procedure. As a result, there is a drive to develop less invasive therapies to combat obesity. Endoscopic bariatric therapies (EBT) for weight loss are important since they are more effective than pharmacological treatments and lifestyle changes and present lower adverse event rates compared to bariatric surgery. Endoscopic sleeve gastroplasty (ESG) is a minimally invasive EBT that involves remodeling of the greater curvature. ESG demonstrated favorable outcomes in several centers, with up to 20.9% total body weight loss and 60.4% excess weight loss (EWL) on 2-year follow-up, with a low rate of severe adverse events (SAE). As such, it could be considered safe and effective in light of ASGE/ASMBS thresholds of &gt; 25% EWL and ≤ 5% SAE, although there are no comparative trials to support this. Additionally, ESG showed improvement in diabetes mellitus type 2, hypertension, and other obesity-related comorbidities. As this procedure continues to develop there are several areas that can be addressed to improve outcomes, including device improvements, technique standardization, patient selection, personalized medicine, combination therapies, and training standardization. In this editorial we discuss the origins of the ESG, current data, and future developments.","author":[{"dropping-particle":"","family":"Moura","given":"Diogo Turiani Hourneaux","non-dropping-particle":"de","parse-names":false,"suffix":""},{"dropping-particle":"","family":"Moura","given":"Eduardo Guimarães Hourneaux","non-dropping-particle":"de","parse-names":false,"suffix":""},{"dropping-particle":"","family":"Thompson","given":"Christopher C","non-dropping-particle":"","parse-names":false,"suffix":""}],"container-title":"World journal of gastrointestinal endoscopy","id":"ITEM-1","issue":"5","issued":{"date-parts":[["2019","5","16"]]},"page":"322-328","title":"Endoscopic sleeve gastroplasty: From whence we came and where we are going.","type":"article-journal","volume":"11"},"uris":["http://www.mendeley.com/documents/?uuid=811e6977-b2a3-48c0-9532-59cc9d6ed1fa"]}],"mendeley":{"formattedCitation":"&lt;sup&gt;[8]&lt;/sup&gt;","plainTextFormattedCitation":"[8]","previouslyFormattedCitation":"&lt;sup&gt;[8]&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[8]</w:t>
      </w:r>
      <w:r w:rsidR="009D56E4" w:rsidRPr="00165B9A">
        <w:rPr>
          <w:rFonts w:ascii="Book Antiqua" w:hAnsi="Book Antiqua" w:cs="Calibri"/>
          <w:color w:val="000000" w:themeColor="text1"/>
        </w:rPr>
        <w:fldChar w:fldCharType="end"/>
      </w:r>
      <w:r w:rsidR="00DE036B" w:rsidRPr="00165B9A">
        <w:rPr>
          <w:rFonts w:ascii="Book Antiqua" w:hAnsi="Book Antiqua" w:cs="Calibri"/>
          <w:color w:val="000000" w:themeColor="text1"/>
        </w:rPr>
        <w:t xml:space="preserve">, in a manner similar to that achieved with surgical sleeve gastrectomy. </w:t>
      </w:r>
      <w:r w:rsidR="00DF3FFE" w:rsidRPr="00165B9A">
        <w:rPr>
          <w:rFonts w:ascii="Book Antiqua" w:hAnsi="Book Antiqua" w:cs="Calibri"/>
          <w:color w:val="000000" w:themeColor="text1"/>
        </w:rPr>
        <w:t>The technique has been improving since 2012, when Thompson and Hawes performed the first ESG</w:t>
      </w:r>
      <w:r w:rsidR="009D56E4"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endoscopy","id":"ITEM-1","issue":"5","issued":{"date-parts":[["2019"]]},"page":"770-780","title":"Endoscopic sleeve gastroplasty in the management of overweight and obesity: an international multicenter study.","type":"article-journal","volume":"90"},"uris":["http://www.mendeley.com/documents/?uuid=e11acf98-e618-4302-afee-bf6ad40dad37"]},{"id":"ITEM-2","itemData":{"author":[{"dropping-particle":"","family":"Neto","given":"Manoel Galvão","non-dropping-particle":"","parse-names":false,"suffix":""},{"dropping-particle":"","family":"Zundel","given":"Natan","non-dropping-particle":"","parse-names":false,"suffix":""},{"dropping-particle":"","family":"Campos","given":"Josemberg","non-dropping-particle":"","parse-names":false,"suffix":""},{"dropping-particle":"","family":"Alvarado","given":"Alonso","non-dropping-particle":"","parse-names":false,"suffix":""},{"dropping-particle":"","family":"Silva","given":"Lyz","non-dropping-particle":"","parse-names":false,"suffix":""},{"dropping-particle":"","family":"Orilaac","given":"Jorge","non-dropping-particle":"","parse-names":false,"suffix":""},{"dropping-particle":"","family":"Shaikh","given":"Sohail","non-dropping-particle":"","parse-names":false,"suffix":""},{"dropping-particle":"","family":"Gomez","given":"Eddie","non-dropping-particle":"","parse-names":false,"suffix":""},{"dropping-particle":"","family":"Wilson","given":"Erik","non-dropping-particle":"","parse-names":false,"suffix":""},{"dropping-particle":"","family":"Thompson","given":"Christopher C.","non-dropping-particle":"","parse-names":false,"suffix":""}],"container-title":"SAGES","id":"ITEM-2","issued":{"date-parts":[["2013"]]},"title":"ET010 Endoluminal greater curvature plication - A case series","type":"article-journal","volume":"[Abstract]"},"uris":["http://www.mendeley.com/documents/?uuid=27940aae-ad6b-4747-be38-f95dd29af11d"]}],"mendeley":{"formattedCitation":"&lt;sup&gt;[11,21]&lt;/sup&gt;","plainTextFormattedCitation":"[11,21]","previouslyFormattedCitation":"&lt;sup&gt;[11,21]&lt;/sup&gt;"},"properties":{"noteIndex":0},"schema":"https://github.com/citation-style-language/schema/raw/master/csl-citation.json"}</w:instrText>
      </w:r>
      <w:r w:rsidR="009D56E4"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[11,21]</w:t>
      </w:r>
      <w:r w:rsidR="009D56E4" w:rsidRPr="00165B9A">
        <w:rPr>
          <w:rFonts w:ascii="Book Antiqua" w:hAnsi="Book Antiqua" w:cs="Calibri"/>
          <w:color w:val="000000" w:themeColor="text1"/>
        </w:rPr>
        <w:fldChar w:fldCharType="end"/>
      </w:r>
      <w:r w:rsidR="00DF3FFE" w:rsidRPr="00165B9A">
        <w:rPr>
          <w:rFonts w:ascii="Book Antiqua" w:hAnsi="Book Antiqua" w:cs="Calibri"/>
          <w:color w:val="000000" w:themeColor="text1"/>
        </w:rPr>
        <w:t>.</w:t>
      </w:r>
      <w:r w:rsidR="00653612" w:rsidRPr="00165B9A">
        <w:rPr>
          <w:rFonts w:ascii="Book Antiqua" w:hAnsi="Book Antiqua" w:cs="Calibri"/>
          <w:color w:val="000000" w:themeColor="text1"/>
        </w:rPr>
        <w:t xml:space="preserve"> </w:t>
      </w:r>
      <w:r w:rsidR="00DF3FFE" w:rsidRPr="00165B9A">
        <w:rPr>
          <w:rFonts w:ascii="Book Antiqua" w:hAnsi="Book Antiqua" w:cs="Calibri"/>
          <w:color w:val="000000" w:themeColor="text1"/>
        </w:rPr>
        <w:t xml:space="preserve">Since then, </w:t>
      </w:r>
      <w:r w:rsidR="009807C4" w:rsidRPr="00165B9A">
        <w:rPr>
          <w:rFonts w:ascii="Book Antiqua" w:hAnsi="Book Antiqua" w:cs="Calibri"/>
          <w:color w:val="000000" w:themeColor="text1"/>
        </w:rPr>
        <w:t xml:space="preserve">Abu </w:t>
      </w:r>
      <w:proofErr w:type="spellStart"/>
      <w:r w:rsidR="009807C4" w:rsidRPr="00165B9A">
        <w:rPr>
          <w:rFonts w:ascii="Book Antiqua" w:hAnsi="Book Antiqua" w:cs="Calibri"/>
          <w:color w:val="000000" w:themeColor="text1"/>
        </w:rPr>
        <w:t>Dayyeh</w:t>
      </w:r>
      <w:proofErr w:type="spellEnd"/>
      <w:r w:rsidR="009807C4" w:rsidRPr="00165B9A">
        <w:rPr>
          <w:rFonts w:ascii="Book Antiqua" w:hAnsi="Book Antiqua" w:cs="Calibri"/>
          <w:color w:val="000000" w:themeColor="text1"/>
        </w:rPr>
        <w:t xml:space="preserve"> </w:t>
      </w:r>
      <w:r w:rsidR="009807C4"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{"citationItems":[{"id":"ITEM-1","itemData":{"DOI":"10.1016/j.gie.2013.04.197","ISBN":"1097-6779 (Electronic)\\r0016-5107 (Linking)","ISSN":"00165107","PMID":"23711556","abstract":"Background: Obesity and its associated conditions, including type 2 diabetes and cardiovascular disease, have reached epidemic proportions. High-efficacy, high-risk surgical approaches are unlikely to meet the increasing burden of disease. Emerging endoscopic technologies have opened the door for endoscopic approaches to reproduce many of the benefits of GI weight loss surgery and thereby contribute to the effective treatment of obesity and its associated disorders. Objective: To demonstrate the technical feasibility of transoral endoscopic gastric volume reduction with an endoscopic suturing device in a fashion similar to sleeve gastrectomy for the treatment of obesity. Design: Single-center, pilot feasibility study. Patients: Four human subjects with obesity. Interventions: Transoral sleeve gastroplasty. Main Outcome Measurements: Technical feasibility. Results: We successfully used an endoscopic free-hand suturing system in 4 subjects, thus demonstrating the technical feasibility of a novel technique to mimic the anatomic manipulations created by surgical sleeve gastrectomy endoscopically. Limitations: Pilot feasibility study with small number of subjects. Conclusions: Endoscopic sleeve gastroplasty for treatment of obesity is feasible. Copyright ?? 2013 by the American Society for Gastrointestinal Endoscopy.","author":[{"dropping-particle":"","family":"Abu Dayyeh","given":"Barham K.","non-dropping-particle":"","parse-names":false,"suffix":""},{"dropping-particle":"","family":"Rajan","given":"Elizabeth","non-dropping-particle":"","parse-names":false,"suffix":""},{"dropping-particle":"","family":"Gostout","given":"Christopher J.","non-dropping-particle":"","parse-names":false,"suffix":""}],"container-title":"Gastrointestinal Endoscopy","id":"ITEM-1","issue":"3","issued":{"date-parts":[["2013"]]},"page":"530-535","title":"Endoscopic sleeve gastroplasty: A potential endoscopic alternative to surgical sleeve gastrectomy for treatment of obesity","type":"article-journal","volume":"78"},"uris":["http://www.mendeley.com/documents/?uuid=67f1f2b6-a4ca-415d-8b71-f0898ab623b5"]}],"mendeley":{"formattedCitation":"&lt;sup&gt;[22]&lt;/sup&gt;","plainTextFormattedCitation":"[22]","previouslyFormattedCitation":"&lt;sup&gt;[22]&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[22]</w:t>
      </w:r>
      <w:r w:rsidR="00615BDF" w:rsidRPr="00165B9A">
        <w:rPr>
          <w:rFonts w:ascii="Book Antiqua" w:hAnsi="Book Antiqua" w:cs="Calibri"/>
          <w:i/>
          <w:color w:val="000000" w:themeColor="text1"/>
        </w:rPr>
        <w:fldChar w:fldCharType="end"/>
      </w:r>
      <w:r w:rsidR="009807C4" w:rsidRPr="00165B9A">
        <w:rPr>
          <w:rFonts w:ascii="Book Antiqua" w:hAnsi="Book Antiqua" w:cs="Calibri"/>
          <w:color w:val="000000" w:themeColor="text1"/>
        </w:rPr>
        <w:t xml:space="preserve"> </w:t>
      </w:r>
      <w:r w:rsidR="00DF3FFE" w:rsidRPr="00165B9A">
        <w:rPr>
          <w:rFonts w:ascii="Book Antiqua" w:hAnsi="Book Antiqua" w:cs="Calibri"/>
          <w:color w:val="000000" w:themeColor="text1"/>
        </w:rPr>
        <w:t xml:space="preserve">and </w:t>
      </w:r>
      <w:proofErr w:type="spellStart"/>
      <w:r w:rsidR="009807C4" w:rsidRPr="00165B9A">
        <w:rPr>
          <w:rFonts w:ascii="Book Antiqua" w:hAnsi="Book Antiqua" w:cs="Calibri"/>
          <w:color w:val="000000" w:themeColor="text1"/>
        </w:rPr>
        <w:t>Sharaiha</w:t>
      </w:r>
      <w:proofErr w:type="spellEnd"/>
      <w:r w:rsidR="009807C4" w:rsidRPr="00165B9A">
        <w:rPr>
          <w:rFonts w:ascii="Book Antiqua" w:hAnsi="Book Antiqua" w:cs="Calibri"/>
          <w:color w:val="000000" w:themeColor="text1"/>
        </w:rPr>
        <w:t xml:space="preserve"> </w:t>
      </w:r>
      <w:r w:rsidR="009807C4"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{"citationItems":[{"id":"ITEM-1","itemData":{"DOI":"10.1055/s-0034-1390773","ISSN":"1438-8812","PMID":"25380510","abstract":"BACKGROUND AND AIMS Novel endoscopic techniques have been developed as effective treatments for obesity. Recently, reduction of gastric volume via endoscopic placement of full-thickness sutures, termed endoscopic sleeve gastroplasty (ESG), has been described. Our aim was to evaluate the safety, technical feasibility, and clinical outcomes for ESG. PATIENT AND METHODS Between August 2013 and May 2014, ESG was performed on 10 patients using an endoscopic suturing device. Their weight loss, waist circumference, and clinical outcomes were assessed. RESULTS Mean patient age was 43.7 years and mean body mass index (BMI) was 45.2 kg/m(2). There were no significant adverse events noted. After 1 month, 3 months, and 6 months, excess weight loss of 18 %, 26 %, and 30 %, and mean weight loss of 11.5 kg, 19.4 kg, and 33.0 kg, respectively, were observed. The differences observed in mean BMI and waist circumference were 4.9 kg/m(2) (P = 0.0004) and 21.7 cm (P = 0.003), respectively. CONCLUSIONS ESG is effective in achieving weight loss with minimal adverse events. This approach may provide a cost-effective outpatient procedure to add to the steadily growing armamentarium available for treatment of this significant epidemic.","author":[{"dropping-particle":"","family":"Sharaiha","given":"Reem Z","non-dropping-particle":"","parse-names":false,"suffix":""},{"dropping-particle":"","family":"Kedia","given":"Prashant","non-dropping-particle":"","parse-names":false,"suffix":""},{"dropping-particle":"","family":"Kumta","given":"Nikhil","non-dropping-particle":"","parse-names":false,"suffix":""},{"dropping-particle":"","family":"DeFilippis","given":"Ersilia M","non-dropping-particle":"","parse-names":false,"suffix":""},{"dropping-particle":"","family":"Gaidhane","given":"Monica","non-dropping-particle":"","parse-names":false,"suffix":""},{"dropping-particle":"","family":"Shukla","given":"Alpana","non-dropping-particle":"","parse-names":false,"suffix":""},{"dropping-particle":"","family":"Aronne","given":"Louis J","non-dropping-particle":"","parse-names":false,"suffix":""},{"dropping-particle":"","family":"Kahaleh","given":"Michel","non-dropping-particle":"","parse-names":false,"suffix":""}],"container-title":"Endoscopy","id":"ITEM-1","issue":"2","issued":{"date-parts":[["2015","2"]]},"page":"164-6","title":"Initial experience with endoscopic sleeve gastroplasty: technical success and reproducibility in the bariatric population.","type":"article-journal","volume":"47"},"uris":["http://www.mendeley.com/documents/?uuid=b9c1b6e6-d911-4151-863a-1da2841e4d38"]}],"mendeley":{"formattedCitation":"&lt;sup&gt;[23]&lt;/sup&gt;","plainTextFormattedCitation":"[23]","previouslyFormattedCitation":"&lt;sup&gt;[23]&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[23]</w:t>
      </w:r>
      <w:r w:rsidR="00615BDF" w:rsidRPr="00165B9A">
        <w:rPr>
          <w:rFonts w:ascii="Book Antiqua" w:hAnsi="Book Antiqua" w:cs="Calibri"/>
          <w:i/>
          <w:color w:val="000000" w:themeColor="text1"/>
        </w:rPr>
        <w:fldChar w:fldCharType="end"/>
      </w:r>
      <w:r w:rsidR="009807C4" w:rsidRPr="00165B9A">
        <w:rPr>
          <w:rFonts w:ascii="Book Antiqua" w:hAnsi="Book Antiqua" w:cs="Calibri"/>
          <w:color w:val="000000" w:themeColor="text1"/>
        </w:rPr>
        <w:t xml:space="preserve"> confirmed the technical feasibility of the procedure, as well as its safety and </w:t>
      </w:r>
      <w:r w:rsidR="00DF3FFE" w:rsidRPr="00165B9A">
        <w:rPr>
          <w:rFonts w:ascii="Book Antiqua" w:hAnsi="Book Antiqua" w:cs="Calibri"/>
          <w:color w:val="000000" w:themeColor="text1"/>
        </w:rPr>
        <w:t xml:space="preserve">efficacy for </w:t>
      </w:r>
      <w:r w:rsidR="009807C4" w:rsidRPr="00165B9A">
        <w:rPr>
          <w:rFonts w:ascii="Book Antiqua" w:hAnsi="Book Antiqua" w:cs="Calibri"/>
          <w:color w:val="000000" w:themeColor="text1"/>
        </w:rPr>
        <w:t>weight reduction.</w:t>
      </w:r>
    </w:p>
    <w:p w14:paraId="08519C25" w14:textId="7C4B9FDC" w:rsidR="00493D7D" w:rsidRPr="00165B9A" w:rsidRDefault="009807C4" w:rsidP="00165B9A">
      <w:pPr>
        <w:spacing w:line="360" w:lineRule="auto"/>
        <w:ind w:firstLineChars="100" w:firstLine="240"/>
        <w:jc w:val="both"/>
        <w:rPr>
          <w:rFonts w:ascii="Book Antiqua" w:hAnsi="Book Antiqua" w:cs="Calibri"/>
          <w:color w:val="000000" w:themeColor="text1"/>
          <w:vertAlign w:val="superscript"/>
        </w:rPr>
      </w:pPr>
      <w:r w:rsidRPr="00165B9A">
        <w:rPr>
          <w:rFonts w:ascii="Book Antiqua" w:hAnsi="Book Antiqua" w:cs="Calibri"/>
          <w:color w:val="000000" w:themeColor="text1"/>
        </w:rPr>
        <w:t>Minor adverse events</w:t>
      </w:r>
      <w:r w:rsidR="004C51B6" w:rsidRPr="00165B9A">
        <w:rPr>
          <w:rFonts w:ascii="Book Antiqua" w:hAnsi="Book Antiqua" w:cs="Calibri"/>
          <w:color w:val="000000" w:themeColor="text1"/>
        </w:rPr>
        <w:t>,</w:t>
      </w:r>
      <w:r w:rsidRPr="00165B9A">
        <w:rPr>
          <w:rFonts w:ascii="Book Antiqua" w:hAnsi="Book Antiqua" w:cs="Calibri"/>
          <w:color w:val="000000" w:themeColor="text1"/>
        </w:rPr>
        <w:t xml:space="preserve"> such as nausea, vomiting, and mild-to-moderate abdominal pain </w:t>
      </w:r>
      <w:r w:rsidR="004C51B6" w:rsidRPr="00165B9A">
        <w:rPr>
          <w:rFonts w:ascii="Book Antiqua" w:hAnsi="Book Antiqua" w:cs="Calibri"/>
          <w:color w:val="000000" w:themeColor="text1"/>
        </w:rPr>
        <w:t>are the most</w:t>
      </w:r>
      <w:r w:rsidRPr="00165B9A">
        <w:rPr>
          <w:rFonts w:ascii="Book Antiqua" w:hAnsi="Book Antiqua" w:cs="Calibri"/>
          <w:color w:val="000000" w:themeColor="text1"/>
        </w:rPr>
        <w:t xml:space="preserve"> </w:t>
      </w:r>
      <w:r w:rsidR="004C51B6" w:rsidRPr="00165B9A">
        <w:rPr>
          <w:rFonts w:ascii="Book Antiqua" w:hAnsi="Book Antiqua" w:cs="Calibri"/>
          <w:color w:val="000000" w:themeColor="text1"/>
        </w:rPr>
        <w:t xml:space="preserve">common symptoms following ESG. </w:t>
      </w:r>
      <w:r w:rsidRPr="00165B9A">
        <w:rPr>
          <w:rFonts w:ascii="Book Antiqua" w:hAnsi="Book Antiqua" w:cs="Calibri"/>
          <w:color w:val="000000" w:themeColor="text1"/>
        </w:rPr>
        <w:t>In a study involving 1000 patients</w:t>
      </w:r>
      <w:r w:rsidR="004C51B6" w:rsidRPr="00165B9A">
        <w:rPr>
          <w:rFonts w:ascii="Book Antiqua" w:hAnsi="Book Antiqua" w:cs="Calibri"/>
          <w:color w:val="000000" w:themeColor="text1"/>
        </w:rPr>
        <w:t xml:space="preserve"> whom underwent ESG</w:t>
      </w:r>
      <w:r w:rsidRPr="00165B9A">
        <w:rPr>
          <w:rFonts w:ascii="Book Antiqua" w:hAnsi="Book Antiqua" w:cs="Calibri"/>
          <w:color w:val="000000" w:themeColor="text1"/>
        </w:rPr>
        <w:t xml:space="preserve">, </w:t>
      </w:r>
      <w:proofErr w:type="spellStart"/>
      <w:r w:rsidRPr="00165B9A">
        <w:rPr>
          <w:rFonts w:ascii="Book Antiqua" w:hAnsi="Book Antiqua" w:cs="Calibri"/>
          <w:color w:val="000000" w:themeColor="text1"/>
        </w:rPr>
        <w:t>Alqahtani</w:t>
      </w:r>
      <w:proofErr w:type="spellEnd"/>
      <w:r w:rsidRPr="00165B9A">
        <w:rPr>
          <w:rFonts w:ascii="Book Antiqua" w:hAnsi="Book Antiqua" w:cs="Calibri"/>
          <w:color w:val="000000" w:themeColor="text1"/>
        </w:rPr>
        <w:t xml:space="preserve"> </w:t>
      </w:r>
      <w:r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endoscopy","id":"ITEM-1","issued":{"date-parts":[["2018","12","19"]]},"title":"Short-term outcomes of endoscopic sleeve gastroplasty in 1000 consecutive patients.","type":"article-journal"},"uris":["http://www.mendeley.com/documents/?uuid=d3fde783-c7b5-4ada-8fdc-9d05432797a7"]}],"mendeley":{"formattedCitation":"&lt;sup&gt;[10]&lt;/sup&gt;","plainTextFormattedCitation":"[10]","previouslyFormattedCitation":"&lt;sup&gt;[10]&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[10]</w:t>
      </w:r>
      <w:r w:rsidR="00615BDF" w:rsidRPr="00165B9A">
        <w:rPr>
          <w:rFonts w:ascii="Book Antiqua" w:hAnsi="Book Antiqua" w:cs="Calibri"/>
          <w:i/>
          <w:color w:val="000000" w:themeColor="text1"/>
        </w:rPr>
        <w:fldChar w:fldCharType="end"/>
      </w:r>
      <w:r w:rsidRPr="00165B9A">
        <w:rPr>
          <w:rFonts w:ascii="Book Antiqua" w:hAnsi="Book Antiqua" w:cs="Calibri"/>
          <w:color w:val="000000" w:themeColor="text1"/>
        </w:rPr>
        <w:t xml:space="preserve"> observed minor adverse events in 92.2%</w:t>
      </w:r>
      <w:r w:rsidR="00CD51B2" w:rsidRPr="00165B9A">
        <w:rPr>
          <w:rFonts w:ascii="Book Antiqua" w:hAnsi="Book Antiqua" w:cs="Calibri"/>
          <w:color w:val="000000" w:themeColor="text1"/>
        </w:rPr>
        <w:t xml:space="preserve"> of patients</w:t>
      </w:r>
      <w:r w:rsidRPr="00165B9A">
        <w:rPr>
          <w:rFonts w:ascii="Book Antiqua" w:hAnsi="Book Antiqua" w:cs="Calibri"/>
          <w:color w:val="000000" w:themeColor="text1"/>
        </w:rPr>
        <w:t xml:space="preserve">. </w:t>
      </w:r>
      <w:r w:rsidR="00D023E7" w:rsidRPr="00165B9A">
        <w:rPr>
          <w:rFonts w:ascii="Book Antiqua" w:hAnsi="Book Antiqua" w:cs="Calibri"/>
          <w:color w:val="000000" w:themeColor="text1"/>
        </w:rPr>
        <w:t xml:space="preserve">However, while there </w:t>
      </w:r>
      <w:r w:rsidR="00493D7D" w:rsidRPr="00165B9A">
        <w:rPr>
          <w:rFonts w:ascii="Book Antiqua" w:hAnsi="Book Antiqua" w:cs="Calibri"/>
          <w:color w:val="000000" w:themeColor="text1"/>
        </w:rPr>
        <w:t>were</w:t>
      </w:r>
      <w:r w:rsidR="00D023E7" w:rsidRPr="00165B9A">
        <w:rPr>
          <w:rFonts w:ascii="Book Antiqua" w:hAnsi="Book Antiqua" w:cs="Calibri"/>
          <w:color w:val="000000" w:themeColor="text1"/>
        </w:rPr>
        <w:t xml:space="preserve"> high rates of minor adverse events </w:t>
      </w:r>
      <w:r w:rsidR="007A4E4D" w:rsidRPr="00165B9A">
        <w:rPr>
          <w:rFonts w:ascii="Book Antiqua" w:hAnsi="Book Antiqua" w:cs="Calibri"/>
          <w:color w:val="000000" w:themeColor="text1"/>
        </w:rPr>
        <w:t>reported</w:t>
      </w:r>
      <w:r w:rsidR="00493D7D" w:rsidRPr="00165B9A">
        <w:rPr>
          <w:rFonts w:ascii="Book Antiqua" w:hAnsi="Book Antiqua" w:cs="Calibri"/>
          <w:color w:val="000000" w:themeColor="text1"/>
        </w:rPr>
        <w:t>,</w:t>
      </w:r>
      <w:r w:rsidRPr="00165B9A">
        <w:rPr>
          <w:rFonts w:ascii="Book Antiqua" w:hAnsi="Book Antiqua" w:cs="Calibri"/>
          <w:color w:val="000000" w:themeColor="text1"/>
        </w:rPr>
        <w:t xml:space="preserve"> there were very few major adverse events associated with </w:t>
      </w:r>
      <w:r w:rsidR="00493D7D" w:rsidRPr="00165B9A">
        <w:rPr>
          <w:rFonts w:ascii="Book Antiqua" w:hAnsi="Book Antiqua" w:cs="Calibri"/>
          <w:color w:val="000000" w:themeColor="text1"/>
        </w:rPr>
        <w:t>the procedure</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endoscopy","id":"ITEM-1","issued":{"date-parts":[["2018","12","19"]]},"title":"Short-term outcomes of endoscopic sleeve gastroplasty in 1000 consecutive patients.","type":"article-journal"},"uris":["http://www.mendeley.com/documents/?uuid=d3fde783-c7b5-4ada-8fdc-9d05432797a7"]}],"mendeley":{"formattedCitation":"&lt;sup&gt;[10]&lt;/sup&gt;","plainTextFormattedCitation":"[10]","previouslyFormattedCitation":"&lt;sup&gt;[10]&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[10]</w:t>
      </w:r>
      <w:r w:rsidR="00615BDF" w:rsidRPr="00165B9A">
        <w:rPr>
          <w:rFonts w:ascii="Book Antiqua" w:hAnsi="Book Antiqua" w:cs="Calibri"/>
          <w:i/>
          <w:color w:val="000000" w:themeColor="text1"/>
        </w:rPr>
        <w:fldChar w:fldCharType="end"/>
      </w:r>
      <w:r w:rsidR="00493D7D" w:rsidRPr="00165B9A">
        <w:rPr>
          <w:rFonts w:ascii="Book Antiqua" w:hAnsi="Book Antiqua" w:cs="Calibri"/>
          <w:color w:val="000000" w:themeColor="text1"/>
        </w:rPr>
        <w:t xml:space="preserve">. A recently published review article on the topic by </w:t>
      </w:r>
      <w:r w:rsidR="003F6FE0" w:rsidRPr="00165B9A">
        <w:rPr>
          <w:rFonts w:ascii="Book Antiqua" w:hAnsi="Book Antiqua" w:cs="Calibri"/>
          <w:color w:val="000000" w:themeColor="text1"/>
        </w:rPr>
        <w:t xml:space="preserve">Jain </w:t>
      </w:r>
      <w:r w:rsidR="00493D7D" w:rsidRPr="00165B9A">
        <w:rPr>
          <w:rFonts w:ascii="Book Antiqua" w:hAnsi="Book Antiqua" w:cs="Calibri"/>
          <w:i/>
          <w:color w:val="000000" w:themeColor="text1"/>
        </w:rPr>
        <w:t>et al</w:t>
      </w:r>
      <w:r w:rsidR="00615BDF" w:rsidRPr="00165B9A">
        <w:rPr>
          <w:rFonts w:ascii="Book Antiqua" w:hAnsi="Book Antiqua" w:cs="Calibri"/>
          <w:i/>
          <w:color w:val="000000" w:themeColor="text1"/>
        </w:rPr>
        <w:fldChar w:fldCharType="begin" w:fldLock="1"/>
      </w:r>
      <w:r w:rsidR="008B04DC" w:rsidRPr="00165B9A">
        <w:rPr>
          <w:rFonts w:ascii="Book Antiqua" w:hAnsi="Book Antiqua" w:cs="Calibri"/>
          <w:i/>
          <w:color w:val="000000" w:themeColor="text1"/>
        </w:rPr>
        <w:instrText>ADDIN CSL_CITATION {"citationItems":[{"id":"ITEM-1","itemData":{"DOI":"10.5946/ce.2017.032","ISSN":"2234-2400","PMID":"28607328","abstract":"Obesity is a growing pandemic across the world. Dietary restrictions and behavior modifications alone have a limited benefit. Bariatric surgery, despite being the current gold standard, has limited acceptance by patients due to cost and associated morbidity. In our review, we have discussed nine original studies describing endoscopic sleeve gastroplasty (ESG). A total of 172 subjects successfully underwent ESG. Of 65 subjects with follow up data, 95.4% (62/65) had intact gastric sleeve confirmed via esophagogastroduodenoscopy or oral contrast study at the end of study specific follow up interval (the longest being 6 months). Individual studies reported a technical success rate for intact gastric sleeve from as low as 50% to as high as 100%. A statistically significant p&lt;0.05) weight loss was reported in seven of the eight studies with available data. None of the patients experienced any intra-procedure complications, and approximately 2.3% (4/172) of patients experienced major post-procedure complications; however, no mortality was reported. Majority of the studies reported relatively high incidence of minor post-procedure complications, which improved with symptomatic treatment alone. Good patient tolerance with comparable clinical efficacy in achieving and sustaining desired weight loss makes ESG an attractive option to consider among other bariatric therapies.","author":[{"dropping-particle":"","family":"Jain","given":"Deepanshu","non-dropping-particle":"","parse-names":false,"suffix":""},{"dropping-particle":"","family":"Bhandari","given":"Bharat Singh","non-dropping-particle":"","parse-names":false,"suffix":""},{"dropping-particle":"","family":"Arora","given":"Ankit","non-dropping-particle":"","parse-names":false,"suffix":""},{"dropping-particle":"","family":"Singhal","given":"Shashideep","non-dropping-particle":"","parse-names":false,"suffix":""}],"container-title":"Clinical endoscopy","id":"ITEM-1","issue":"6","issued":{"date-parts":[["2017","11"]]},"page":"552-561","title":"Endoscopic Sleeve Gastroplasty - A New Tool to Manage Obesity.","type":"article-journal","volume":"50"},"uris":["http://www.mendeley.com/documents/?uuid=9c47f2bb-dd27-405d-9f78-3d8a75d1de6a"]}],"mendeley":{"formattedCitation":"&lt;sup&gt;[24]&lt;/sup&gt;","plainTextFormattedCitation":"[24]","previouslyFormattedCitation":"&lt;sup&gt;[24]&lt;/sup&gt;"},"properties":{"noteIndex":0},"schema":"https://github.com/citation-style-language/schema/raw/master/csl-citation.json"}</w:instrText>
      </w:r>
      <w:r w:rsidR="00615BDF" w:rsidRPr="00165B9A">
        <w:rPr>
          <w:rFonts w:ascii="Book Antiqua" w:hAnsi="Book Antiqua" w:cs="Calibri"/>
          <w:i/>
          <w:color w:val="000000" w:themeColor="text1"/>
        </w:rPr>
        <w:fldChar w:fldCharType="separate"/>
      </w:r>
      <w:r w:rsidR="008B04DC" w:rsidRPr="00165B9A">
        <w:rPr>
          <w:rFonts w:ascii="Book Antiqua" w:hAnsi="Book Antiqua" w:cs="Calibri"/>
          <w:noProof/>
          <w:color w:val="000000" w:themeColor="text1"/>
          <w:vertAlign w:val="superscript"/>
        </w:rPr>
        <w:t>[24]</w:t>
      </w:r>
      <w:r w:rsidR="00615BDF" w:rsidRPr="00165B9A">
        <w:rPr>
          <w:rFonts w:ascii="Book Antiqua" w:hAnsi="Book Antiqua" w:cs="Calibri"/>
          <w:i/>
          <w:color w:val="000000" w:themeColor="text1"/>
        </w:rPr>
        <w:fldChar w:fldCharType="end"/>
      </w:r>
      <w:r w:rsidR="00493D7D" w:rsidRPr="00165B9A">
        <w:rPr>
          <w:rFonts w:ascii="Book Antiqua" w:hAnsi="Book Antiqua" w:cs="Calibri"/>
          <w:color w:val="000000" w:themeColor="text1"/>
        </w:rPr>
        <w:t xml:space="preserve"> </w:t>
      </w:r>
      <w:r w:rsidR="00B828C8" w:rsidRPr="00165B9A">
        <w:rPr>
          <w:rFonts w:ascii="Book Antiqua" w:hAnsi="Book Antiqua" w:cs="Calibri"/>
          <w:color w:val="000000" w:themeColor="text1"/>
        </w:rPr>
        <w:t xml:space="preserve">evaluated nine original articles and confirmed that there was a high incidence of minor adverse events, </w:t>
      </w:r>
      <w:r w:rsidR="00D1779A" w:rsidRPr="00165B9A">
        <w:rPr>
          <w:rFonts w:ascii="Book Antiqua" w:hAnsi="Book Antiqua" w:cs="Calibri"/>
          <w:color w:val="000000" w:themeColor="text1"/>
        </w:rPr>
        <w:t>while similarly demonstrated a low rate of major adverse events, seen only in 2.3% of cases</w:t>
      </w:r>
      <w:r w:rsidR="0003207E" w:rsidRPr="00165B9A">
        <w:rPr>
          <w:rFonts w:ascii="Book Antiqua" w:hAnsi="Book Antiqua" w:cs="Calibri"/>
          <w:color w:val="000000" w:themeColor="text1"/>
        </w:rPr>
        <w:t>.</w:t>
      </w:r>
      <w:r w:rsidR="00E730D5" w:rsidRPr="00165B9A">
        <w:rPr>
          <w:rFonts w:ascii="Book Antiqua" w:hAnsi="Book Antiqua" w:cs="Calibri"/>
          <w:color w:val="000000" w:themeColor="text1"/>
          <w:vertAlign w:val="superscript"/>
        </w:rPr>
        <w:t xml:space="preserve"> </w:t>
      </w:r>
      <w:r w:rsidR="00E730D5" w:rsidRPr="00165B9A">
        <w:rPr>
          <w:rFonts w:ascii="Book Antiqua" w:hAnsi="Book Antiqua" w:cs="Calibri"/>
          <w:color w:val="000000" w:themeColor="text1"/>
        </w:rPr>
        <w:t xml:space="preserve">Of note, </w:t>
      </w:r>
      <w:r w:rsidR="00493D7D" w:rsidRPr="00165B9A">
        <w:rPr>
          <w:rFonts w:ascii="Book Antiqua" w:hAnsi="Book Antiqua" w:cs="Calibri"/>
          <w:color w:val="000000" w:themeColor="text1"/>
        </w:rPr>
        <w:t>there was no incidence of biliary injury or ascites described in this analysis.</w:t>
      </w:r>
    </w:p>
    <w:p w14:paraId="54E71E69" w14:textId="477F7B0A" w:rsidR="005C74AE" w:rsidRPr="00165B9A" w:rsidRDefault="00DB5351" w:rsidP="00165B9A">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lastRenderedPageBreak/>
        <w:t xml:space="preserve">Despite an </w:t>
      </w:r>
      <w:r w:rsidR="009807C4" w:rsidRPr="00165B9A">
        <w:rPr>
          <w:rFonts w:ascii="Book Antiqua" w:hAnsi="Book Antiqua" w:cs="Calibri"/>
          <w:color w:val="000000" w:themeColor="text1"/>
        </w:rPr>
        <w:t>exhaustive search of the literature, we found no report</w:t>
      </w:r>
      <w:r w:rsidR="00984E28" w:rsidRPr="00165B9A">
        <w:rPr>
          <w:rFonts w:ascii="Book Antiqua" w:hAnsi="Book Antiqua" w:cs="Calibri"/>
          <w:color w:val="000000" w:themeColor="text1"/>
        </w:rPr>
        <w:t>s</w:t>
      </w:r>
      <w:r w:rsidR="009807C4" w:rsidRPr="00165B9A">
        <w:rPr>
          <w:rFonts w:ascii="Book Antiqua" w:hAnsi="Book Antiqua" w:cs="Calibri"/>
          <w:color w:val="000000" w:themeColor="text1"/>
        </w:rPr>
        <w:t xml:space="preserve"> of death related to the procedure.</w:t>
      </w:r>
      <w:r w:rsidR="00D1609A" w:rsidRPr="00165B9A">
        <w:rPr>
          <w:rFonts w:ascii="Book Antiqua" w:hAnsi="Book Antiqua" w:cs="Calibri"/>
          <w:color w:val="000000" w:themeColor="text1"/>
        </w:rPr>
        <w:t xml:space="preserve"> </w:t>
      </w:r>
      <w:r w:rsidR="005D0581" w:rsidRPr="00165B9A">
        <w:rPr>
          <w:rFonts w:ascii="Book Antiqua" w:hAnsi="Book Antiqua" w:cs="Calibri"/>
          <w:color w:val="000000" w:themeColor="text1"/>
        </w:rPr>
        <w:t>Readmissions</w:t>
      </w:r>
      <w:r w:rsidR="009807C4" w:rsidRPr="00165B9A">
        <w:rPr>
          <w:rFonts w:ascii="Book Antiqua" w:hAnsi="Book Antiqua" w:cs="Calibri"/>
          <w:color w:val="000000" w:themeColor="text1"/>
        </w:rPr>
        <w:t xml:space="preserve"> due to upper gastrointestinal hemorrhage requiring endoscopic intervention or administration of blood products occur only occasionally, having a minimal impact on morbidity and length of hospital stay</w:t>
      </w:r>
      <w:r w:rsidR="00615BD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endoscopy","id":"ITEM-1","issued":{"date-parts":[["2018","12","19"]]},"title":"Short-term outcomes of endoscopic sleeve gastroplasty in 1000 consecutive patients.","type":"article-journal"},"uris":["http://www.mendeley.com/documents/?uuid=d3fde783-c7b5-4ada-8fdc-9d05432797a7"]},{"id":"ITEM-2","itemData":{"DOI":"10.1016/j.gie.2018.08.030","ISSN":"1097-6779","PMID":"30148991","abstract":"BACKGROUND AND AIMS Endoscopic sleeve gastroplasty (ESG) reduces the gastric lumen to a size comparable with that of laparoscopic sleeve gastrectomy (LSG). However, there is a paucity of research comparing outcomes between the 2 procedures. Our study compared the 6-month weight loss outcomes and adverse events of ESG with LSG in a case-matched cohort. METHODS We retrospectively reviewed prospectively collected data for patients undergoing ESG or LSG at a single academic center. Weight was recorded at 1 and 6 months postprocedure, and percent total body weight loss (%TBWL) was calculated. Adverse events and new-onset Gastroesophageal Reflux Disease (GERD) were also recorded. RESULTS A total of 54 ESG patients were matched with 83 LSG patients by age, sex, and body mass index. The proportion of patients with GERD at baseline was similar in the 2 groups (16.7% in ESG group vs 25.3% in LSG group, P = .27). At the 6-month follow-up, %TBWL (compared with baseline) was significantly lower in the ESG group compared with the LSG group (17.1% ± 6.5% vs 23.6% ± 7.6%, P &lt; .01). ESG patients had significantly lower rates of adverse events compared with LSG patients (5.2% vs 16.9%, P &lt; .05). New-onset GERD was also significantly lower in the ESG group compared with the LSG group (1.9% vs 14.5%, P &lt; .05). CONCLUSIONS ESG, a minimally invasive same-day procedure, achieved less weight loss at 6 months than LSG, with the caveat that LSG caused more adverse events and new-onset GERD than ESG.","author":[{"dropping-particle":"","family":"Fayad","given":"Lea","non-dropping-particle":"","parse-names":false,"suffix":""},{"dropping-particle":"","family":"Adam","given":"Atif","non-dropping-particle":"","parse-names":false,"suffix":""},{"dropping-particle":"","family":"Schweitzer","given":"Michael","non-dropping-particle":"","parse-names":false,"suffix":""},{"dropping-particle":"","family":"Cheskin","given":"Lawrence J","non-dropping-particle":"","parse-names":false,"suffix":""},{"dropping-particle":"","family":"Ajayi","given":"Tokunbo","non-dropping-particle":"","parse-names":false,"suffix":""},{"dropping-particle":"","family":"Dunlap","given":"Margo","non-dropping-particle":"","parse-names":false,"suffix":""},{"dropping-particle":"","family":"Badurdeen","given":"Dilhana S","non-dropping-particle":"","parse-names":false,"suffix":""},{"dropping-particle":"","family":"Hill","given":"Christine","non-dropping-particle":"","parse-names":false,"suffix":""},{"dropping-particle":"","family":"Paranji","given":"Neethi","non-dropping-particle":"","parse-names":false,"suffix":""},{"dropping-particle":"","family":"Lalezari","given":"Sepehr","non-dropping-particle":"","parse-names":false,"suffix":""},{"dropping-particle":"","family":"Kalloo","given":"Anthony N","non-dropping-particle":"","parse-names":false,"suffix":""},{"dropping-particle":"","family":"Khashab","given":"Mouen A","non-dropping-particle":"","parse-names":false,"suffix":""},{"dropping-particle":"","family":"Kumbhari","given":"Vivek","non-dropping-particle":"","parse-names":false,"suffix":""}],"container-title":"Gastrointestinal endoscopy","id":"ITEM-2","issue":"4","issued":{"date-parts":[["2019"]]},"page":"782-788","title":"Endoscopic sleeve gastroplasty versus laparoscopic sleeve gastrectomy: a case-matched study.","type":"article-journal","volume":"89"},"uris":["http://www.mendeley.com/documents/?uuid=5dada457-5a9a-458a-aedc-8a87c19963a4"]}],"mendeley":{"formattedCitation":"&lt;sup&gt;[10,25]&lt;/sup&gt;","plainTextFormattedCitation":"[10,25]","previouslyFormattedCitation":"&lt;sup&gt;[10,25]&lt;/sup&gt;"},"properties":{"noteIndex":0},"schema":"https://github.com/citation-style-language/schema/raw/master/csl-citation.json"}</w:instrText>
      </w:r>
      <w:r w:rsidR="00615BD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[10,25]</w:t>
      </w:r>
      <w:r w:rsidR="00615BDF"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xml:space="preserve">. Among the major adverse events occurring after </w:t>
      </w:r>
      <w:r w:rsidR="00E61711" w:rsidRPr="00165B9A">
        <w:rPr>
          <w:rFonts w:ascii="Book Antiqua" w:hAnsi="Book Antiqua" w:cs="Calibri"/>
          <w:color w:val="000000" w:themeColor="text1"/>
        </w:rPr>
        <w:t>ESG</w:t>
      </w:r>
      <w:r w:rsidR="009807C4" w:rsidRPr="00165B9A">
        <w:rPr>
          <w:rFonts w:ascii="Book Antiqua" w:hAnsi="Book Antiqua" w:cs="Calibri"/>
          <w:color w:val="000000" w:themeColor="text1"/>
        </w:rPr>
        <w:t xml:space="preserve">, </w:t>
      </w:r>
      <w:r w:rsidR="005C74AE" w:rsidRPr="00165B9A">
        <w:rPr>
          <w:rFonts w:ascii="Book Antiqua" w:hAnsi="Book Antiqua" w:cs="Calibri"/>
          <w:color w:val="000000" w:themeColor="text1"/>
        </w:rPr>
        <w:t>leaks</w:t>
      </w:r>
      <w:r w:rsidR="009807C4" w:rsidRPr="00165B9A">
        <w:rPr>
          <w:rFonts w:ascii="Book Antiqua" w:hAnsi="Book Antiqua" w:cs="Calibri"/>
          <w:color w:val="000000" w:themeColor="text1"/>
        </w:rPr>
        <w:t xml:space="preserve"> and peritoneal fluid collections are most common, having been reported in various studies in the literature</w:t>
      </w:r>
      <w:r w:rsidR="00615BDF" w:rsidRPr="00165B9A">
        <w:rPr>
          <w:rFonts w:ascii="Book Antiqua" w:hAnsi="Book Antiqua" w:cs="Calibri"/>
          <w:color w:val="000000" w:themeColor="text1"/>
        </w:rPr>
        <w:fldChar w:fldCharType="begin" w:fldLock="1"/>
      </w:r>
      <w:r w:rsidR="008B04DC" w:rsidRPr="00165B9A">
        <w:rPr>
          <w:rFonts w:ascii="Book Antiqua" w:hAnsi="Book Antiqua" w:cs="Calibri"/>
          <w:color w:val="000000" w:themeColor="text1"/>
        </w:rPr>
        <w:instrText>ADDIN CSL_CITATION {"citationItems":[{"id":"ITEM-1","itemData":{"DOI":"10.1007/s11695-018-3135-x","ISSN":"1708-0428","PMID":"29450845","abstract":"OBJECTIVE Endoscopic sleeve gastroplasty (ESG), an incisionless endoscopic bariatric procedure, has shown impressive results in case series. This study examines the reproducibility, efficacy, and safety in three centers across two countries, and identifies key determinants for procedural success. DESIGN Patients who underwent ESG between February 2016 and May 2017 at one of three centers (Australia and USA) were retrospectively analyzed. All procedures were performed on an outpatient basis using the Apollo OverStitch device (Apollo Endosurgery, Austin, TX). Primary outcomes included absolute weight loss (ΔWeight, kg), change in body mass index (∆BMI, in kg/m2), total body weight loss (TBWL, %), excess weight loss (EWL, in %), and immediate and delayed adverse events. RESULTS In total, 112 consecutive patients (male 31%, age 45.1 ± 11.7 years, baseline BMI 37.9 ± 6.7 kg/m2) underwent ESG. At 1, 3, and 6 months, Δweight was 9.0 ± 4.6 kg (TBWL 8.4 ± 4.1%), 12.9 ± 6.4 kg (TBWL 11.9 ± 4.5%), and 16.4 ± 10.7 kg (TBWL 14.9 ± 6.1%), respectively. The proportion of patients who attained greater than 10% TBWL and 25% EWL was 62.2 and 78.0% at 3 months post-ESG and 81.0 and 86.5% at 6 months post-ESG. Weight loss was similar between the three centers. Multivariable analysis showed that male sex, greater baseline body weight, and lack of prior endoscopic bariatric therapy were predictors of greater Δweight at 6 months. Three (2.7%) severe adverse events were observed. CONCLUSIONS ESG is an effective, reproducible, and safe weight loss therapy that is suitable for widespread clinical adoption.","author":[{"dropping-particle":"","family":"Sartoretto","given":"Adrian","non-dropping-particle":"","parse-names":false,"suffix":""},{"dropping-particle":"","family":"Sui","given":"Zhixian","non-dropping-particle":"","parse-names":false,"suffix":""},{"dropping-particle":"","family":"Hill","given":"Christine","non-dropping-particle":"","parse-names":false,"suffix":""},{"dropping-particle":"","family":"Dunlap","given":"Margo","non-dropping-particle":"","parse-names":false,"suffix":""},{"dropping-particle":"","family":"Rivera","given":"Angielyn R","non-dropping-particle":"","parse-names":false,"suffix":""},{"dropping-particle":"","family":"Khashab","given":"Mouen A","non-dropping-particle":"","parse-names":false,"suffix":""},{"dropping-particle":"","family":"Kalloo","given":"Anthony N","non-dropping-particle":"","parse-names":false,"suffix":""},{"dropping-particle":"","family":"Fayad","given":"Lea","non-dropping-particle":"","parse-names":false,"suffix":""},{"dropping-particle":"","family":"Cheskin","given":"Lawrence J","non-dropping-particle":"","parse-names":false,"suffix":""},{"dropping-particle":"","family":"Marinos","given":"George","non-dropping-particle":"","parse-names":false,"suffix":""},{"dropping-particle":"","family":"Wilson","given":"Erik","non-dropping-particle":"","parse-names":false,"suffix":""},{"dropping-particle":"","family":"Kumbhari","given":"Vivek","non-dropping-particle":"","parse-names":false,"suffix":""}],"container-title":"Obesity surgery","id":"ITEM-1","issue":"7","issued":{"date-parts":[["2018","7"]]},"page":"1812-1821","title":"Endoscopic Sleeve Gastroplasty (ESG) Is a Reproducible and Effective Endoscopic Bariatric Therapy Suitable for Widespread Clinical Adoption: a Large, International Multicenter Study.","type":"article-journal","volume":"28"},"uris":["http://www.mendeley.com/documents/?uuid=cecdddb6-da30-4363-ad4f-5c030dd70ec2"]},{"id":"ITEM-2","itemData":{"DOI":"10.1016/j.gie.2018.12.012","ISSN":"1097-6779","PMID":"30578757","abstract":"BACKGROUND AND AIMS Questions related to the safety and long-term efficacy of endoscopic sleeve gastroplasty (ESG) are not yet answered. Here we report weight loss, morbidity, revisions, and comorbidity resolution during the first 18 months after primary ESG. METHODS This is a consecutive case series from a prospective observational study executed in a specialized center with a standardized pathway for multimodal management of obesity. RESULTS The 1000 patients in this study had a baseline body mass index of 33.3 ± 4.5 kg/m2 and age of 34.4 ± 9.5 years. Eight hundred ninety-seven patients (89.7%) were women. Mean percentage of total weight loss at 6, 12, and 18 months was 13.7% ± 6.8% (n = 369; follow-up rate = 423; 87.2%), 15.0% ± 7.7% (n = 216; follow-up rate = 232; 93.1%), and 14.8% ± 8.5% (n = 54; follow-up rate = 63; 85.7%), respectively. Lost to follow-up at the 12- and 18-month visits were 6.9% and 14.3%, respectively. Thirteen of 17 cases of diabetes, all 28 cases of hypertension, and 18 of 32 cases of dyslipidemia were in complete remission by the third month. With regard to postoperative complaints, 924 patients (92.4%) complained of nausea or abdominal pain that was controlled with medications during the first week after ESG. Twenty-four patients were readmitted: 8 for severe abdominal pain, of whom 3 had ESG reversal; 7 for postprocedure bleeding, 2 of whom received 2 units of packed red blood cells each; 4 for perigastric collection with pleural effusion, 3 of whom underwent percutaneous drainage; and 5 for postprocedure fever with no sequelae. Eight patients were revised to sleeve gastrectomy, and 5 had redo-ESG. No patient required an emergency intervention, and there were no mortalities. CONCLUSIONS ESG appears to be well tolerated, safe, and effective. Significant weight loss occurs during the first 18 months without mortality or significant morbidity. Some patients require revision or reversal during the first year.","author":[{"dropping-particle":"","family":"Alqahtani","given":"Aayed","non-dropping-particle":"","parse-names":false,"suffix":""},{"dropping-particle":"","family":"Al-Darwish","given":"Abdullah","non-dropping-particle":"","parse-names":false,"suffix":""},{"dropping-particle":"","family":"Mahmoud","given":"Ahmed Elsayed","non-dropping-particle":"","parse-names":false,"suffix":""},{"dropping-particle":"","family":"Alqahtani","given":"Yara A.","non-dropping-particle":"","parse-names":false,"suffix":""},{"dropping-particle":"","family":"Elahmedi","given":"Mohamed","non-dropping-particle":"","parse-names":false,"suffix":""}],"container-title":"Gastrointestinal endoscopy","id":"ITEM-2","issued":{"date-parts":[["2018","12","19"]]},"title":"Short-term outcomes of endoscopic sleeve gastroplasty in 1000 consecutive patients.","type":"article-journal"},"uris":["http://www.mendeley.com/documents/?uuid=d3fde783-c7b5-4ada-8fdc-9d05432797a7"]},{"id":"ITEM-3","itemData":{"DOI":"10.1016/j.gie.2019.06.013","ISSN":"1097-6779","PMID":"31228432","abstract":"BACKGROUND AND AIMS Obesity is a pandemic affecting approximately 700 million adults worldwide, with an additional 2 billion overweight. Endoscopic sleeve gastroplasty (ESG) is a minimally invasive endoscopic bariatric therapy that involves remodeling of the greater curvature in an effort to reduce gastric capacity and delay gastric emptying. A variety of ESG suture patterns has been reported. This study is the first to use a uniform \"U\" stitch pattern across all centers to simplify technical aspects of the procedure and limit cost. This also uniquely assessed outcomes in all body mass index (BMI) categories and changes in metabolic rate, lean body mass, and adipose tissue composition. METHODS This is a multicenter analysis of prospectively collected data from 7 centers including patients with overweight and obesity who underwent ESG. Primary outcomes included absolute weight loss, percent total body weight loss (%TWL), change in BMI, and percent excess weight loss (%EWL) at 6 and 12 months in overweight and obese classes I, II, and III. Secondary outcomes included adipose tissue, lean body mass reduction, and metabolic rate analyzed by bioimpedance. Additionally, immediate or delayed adverse events (AEs) were analyzed. Clinical success was defined as achieving ≥25% EWL at 1 year with ≤5% serious AE (SAE) rate following the American Society for Gastrointestinal Endoscopy (ASGE)/American Society for Metabolic and Bariatric Surgery (ASMBS) threshold. RESULTS A total of 193 patients underwent ESG during the study period. All groups had &gt;10% TWL and &gt;25% EWL at 6 months of follow-up. On average, %TWL was 14.25% ± 5.26% and 15.06% ± 5.22% and the %EWL 56.15% ± 22.93% and 59.41% ± 25.69% at 6 months and 1 year of follow-up, respectively. %TWL was 8.91% ± .3%, 13.92% ± 5.76%, 16.22% ± 7.69%, and 19.01% ± .95% and %EWL 56.21% ± 2.0%, 62.03% ± 27.63%, 54.13% ± 23.46%, and 46.78% ± 2.43% for overweight and obesity classes I, II, and III, respectively, at 1 year. Male sex, age &lt;41 years, and higher BMI were predictors of achieving a TWL ≥10% at 1-year follow-up. There was a significant reduction in adipose tissue from baseline. SAEs occurred in 1.03%, including 2 perigastric collections needing surgery. CONCLUSIONS ESG appears to be feasible, safe, and effective in the treatment of patients with overweight and obesity according to ASGE/ASMBS thresholds.","author":[{"dropping-particle":"","family":"Barrichello","given":"Sérgio","non-dropping-particle":"","parse-names":false,"suffix":""},{"dropping-particle":"","family":"Hourneaux de Moura","given":"Diogo Turiani","non-dropping-particle":"","parse-names":false,"suffix":""},{"dropping-particle":"","family":"Hourneaux de Moura","given":"Eduardo Guimaraes","non-dropping-particle":"","parse-names":false,"suffix":""},{"dropping-particle":"","family":"Jirapinyo","given":"Pichamol","non-dropping-particle":"","parse-names":false,"suffix":""},{"dropping-particle":"","family":"Hoff","given":"Anna Carolina","non-dropping-particle":"","parse-names":false,"suffix":""},{"dropping-particle":"","family":"Fittipaldi-Fernandez","given":"Ricardo José","non-dropping-particle":"","parse-names":false,"suffix":""},{"dropping-particle":"","family":"Baretta","given":"Giorgio","non-dropping-particle":"","parse-names":false,"suffix":""},{"dropping-particle":"","family":"Felício Lima","given":"João Henrique","non-dropping-particle":"","parse-names":false,"suffix":""},{"dropping-particle":"","family":"Usuy","given":"Eduardo N","non-dropping-particle":"","parse-names":false,"suffix":""},{"dropping-particle":"","family":"Almeida","given":"Leonardo Salles","non-dropping-particle":"de","parse-names":false,"suffix":""},{"dropping-particle":"","family":"Ramos","given":"Flavio M","non-dropping-particle":"","parse-names":false,"suffix":""},{"dropping-particle":"","family":"Matz","given":"Felipe","non-dropping-particle":"","parse-names":false,"suffix":""},{"dropping-particle":"","family":"Galvão Neto","given":"Manoel Dos Passos","non-dropping-particle":"","parse-names":false,"suffix":""},{"dropping-particle":"","family":"Thompson","given":"Christopher C","non-dropping-particle":"","parse-names":false,"suffix":""}],"container-title":"Gastrointestinal endoscopy","id":"ITEM-3","issue":"5","issued":{"date-parts":[["2019"]]},"page":"770-780","title":"Endoscopic sleeve gastroplasty in the management of overweight and obesity: an international multicenter study.","type":"article-journal","volume":"90"},"uris":["http://www.mendeley.com/documents/?uuid=e11acf98-e618-4302-afee-bf6ad40dad37"]},{"id":"ITEM-4","itemData":{"DOI":"10.1016/j.gie.2018.08.030","ISSN":"1097-6779","PMID":"30148991","abstract":"BACKGROUND AND AIMS Endoscopic sleeve gastroplasty (ESG) reduces the gastric lumen to a size comparable with that of laparoscopic sleeve gastrectomy (LSG). However, there is a paucity of research comparing outcomes between the 2 procedures. Our study compared the 6-month weight loss outcomes and adverse events of ESG with LSG in a case-matched cohort. METHODS We retrospectively reviewed prospectively collected data for patients undergoing ESG or LSG at a single academic center. Weight was recorded at 1 and 6 months postprocedure, and percent total body weight loss (%TBWL) was calculated. Adverse events and new-onset Gastroesophageal Reflux Disease (GERD) were also recorded. RESULTS A total of 54 ESG patients were matched with 83 LSG patients by age, sex, and body mass index. The proportion of patients with GERD at baseline was similar in the 2 groups (16.7% in ESG group vs 25.3% in LSG group, P = .27). At the 6-month follow-up, %TBWL (compared with baseline) was significantly lower in the ESG group compared with the LSG group (17.1% ± 6.5% vs 23.6% ± 7.6%, P &lt; .01). ESG patients had significantly lower rates of adverse events compared with LSG patients (5.2% vs 16.9%, P &lt; .05). New-onset GERD was also significantly lower in the ESG group compared with the LSG group (1.9% vs 14.5%, P &lt; .05). CONCLUSIONS ESG, a minimally invasive same-day procedure, achieved less weight loss at 6 months than LSG, with the caveat that LSG caused more adverse events and new-onset GERD than ESG.","author":[{"dropping-particle":"","family":"Fayad","given":"Lea","non-dropping-particle":"","parse-names":false,"suffix":""},{"dropping-particle":"","family":"Adam","given":"Atif","non-dropping-particle":"","parse-names":false,"suffix":""},{"dropping-particle":"","family":"Schweitzer","given":"Michael","non-dropping-particle":"","parse-names":false,"suffix":""},{"dropping-particle":"","family":"Cheskin","given":"Lawrence J","non-dropping-particle":"","parse-names":false,"suffix":""},{"dropping-particle":"","family":"Ajayi","given":"Tokunbo","non-dropping-particle":"","parse-names":false,"suffix":""},{"dropping-particle":"","family":"Dunlap","given":"Margo","non-dropping-particle":"","parse-names":false,"suffix":""},{"dropping-particle":"","family":"Badurdeen","given":"Dilhana S","non-dropping-particle":"","parse-names":false,"suffix":""},{"dropping-particle":"","family":"Hill","given":"Christine","non-dropping-particle":"","parse-names":false,"suffix":""},{"dropping-particle":"","family":"Paranji","given":"Neethi","non-dropping-particle":"","parse-names":false,"suffix":""},{"dropping-particle":"","family":"Lalezari","given":"Sepehr","non-dropping-particle":"","parse-names":false,"suffix":""},{"dropping-particle":"","family":"Kalloo","given":"Anthony N","non-dropping-particle":"","parse-names":false,"suffix":""},{"dropping-particle":"","family":"Khashab","given":"Mouen A","non-dropping-particle":"","parse-names":false,"suffix":""},{"dropping-particle":"","family":"Kumbhari","given":"Vivek","non-dropping-particle":"","parse-names":false,"suffix":""}],"container-title":"Gastrointestinal endoscopy","id":"ITEM-4","issue":"4","issued":{"date-parts":[["2019"]]},"page":"782-788","title":"Endoscopic sleeve gastroplasty versus laparoscopic sleeve gastrectomy: a case-matched study.","type":"article-journal","volume":"89"},"uris":["http://www.mendeley.com/documents/?uuid=5dada457-5a9a-458a-aedc-8a87c19963a4"]},{"id":"ITEM-5","itemData":{"DOI":"10.1016/j.cgh.2015.12.030","ISSN":"1542-7714","PMID":"26748219","abstract":"BACKGROUND &amp; AIMS Although bariatric surgery is the most effective therapy for obesity, only a small proportion of candidates undergo this surgery. Endoscopic sleeve gastroplasty (ESG) is a minimally invasive procedure that reduces the size of the gastric reservoir. We investigated its durability and effects on body weight and gastrointestinal function in a prospective study of obese individuals. METHODS Twenty-five obese individuals (21 female; mean body mass index, 35.5 ± 2.6 kg/m2; mean age, 47.6 ± 10 years) underwent ESG with endoluminal creation of a sleeve along the gastric lesser curve from September 2012 through March 2015 at the Mayo Clinic in Rochester, Minnesota. Subjects were followed for a median period of 9 months. We measured changes in body weight and recorded adverse events; patients were assessed by endoscopy after 3 months. Four participants underwent pre-ESG and post-ESG analyses to measure solid and liquid gastric emptying, satiation (meal tolerance), and fasting and postprandial levels of insulin, glucose, and gut hormones. RESULTS Subjects had lost 53% ± 17%, 56% ± 23%, 54% ± 40%, and 45% ± 41% of excess body weight at 6, 9, 12, and 20 months, respectively, after the procedure (P &lt; .01). Endoscopy at 3 months showed intact gastroplasty in all subjects. After ESG, physiological analyses of 4 participants showed a decrease by 59% in caloric consumption to reach maximum fullness (P = .003), slowing of gastric emptying of solids (P = .03), and a trend toward increased insulin sensitivity (P = .06). Three patients had serious adverse events (a perigastric inflammatory collection, a pulmonary embolism, and a small pneumothorax) but made full recoveries with no need for surgical interventions. No further serious adverse events occurred after the technique was adjusted. CONCLUSIONS ESG delays gastric emptying, induces early satiation, and significantly reduces body weight. ESG could be an alternative to bariatric surgery for selected patients with obesity. ClincialTrials.gov number: NCT 01682733.","author":[{"dropping-particle":"","family":"Abu Dayyeh","given":"Barham K","non-dropping-particle":"","parse-names":false,"suffix":""},{"dropping-particle":"","family":"Acosta","given":"Andres","non-dropping-particle":"","parse-names":false,"suffix":""},{"dropping-particle":"","family":"Camilleri","given":"Michael","non-dropping-particle":"","parse-names":false,"suffix":""},{"dropping-particle":"","family":"Mundi","given":"Manpreet S","non-dropping-particle":"","parse-names":false,"suffix":""},{"dropping-particle":"","family":"Rajan","given":"Elizabeth","non-dropping-particle":"","parse-names":false,"suffix":""},{"dropping-particle":"","family":"Topazian","given":"Mark D","non-dropping-particle":"","parse-names":false,"suffix":""},{"dropping-particle":"","family":"Gostout","given":"Christopher J","non-dropping-particle":"","parse-names":false,"suffix":""}],"container-title":"Clinical gastroenterology and hepatology : the official clinical practice journal of the American Gastroenterological Association","id":"ITEM-5","issue":"1","issued":{"date-parts":[["2017"]]},"page":"37-43.e1","title":"Endoscopic Sleeve Gastroplasty Alters Gastric Physiology and Induces Loss of Body Weight in Obese Individuals.","type":"article-journal","volume":"15"},"uris":["http://www.mendeley.com/documents/?uuid=9d4046f7-466c-4027-9f22-8bf7982a9501"]},{"id":"ITEM-6","itemData":{"DOI":"10.1055/s-0043-115387","ISSN":"2364-3722","PMID":"28924597","abstract":"BACKGROUND AND STUDY AIMS Endoscopic sleeve gastroplasty (ESG) is gaining traction as a minimally invasive bariatric treatment. Concern that the learning curve may be slow, even among those proficient in endoscopic suturing, is a barrier to widespread implementation of the procedure. Therefore, we aimed to define the learning curve for ESG in a single endoscopist experienced in endoscopic suturing who participated in a 1-day ESG training program. PATIENTS AND METHODS Consecutive patients who underwent ESG between February 2016 and November 2016 were included. The performing endoscopist, who is proficient in endoscopic suturing for non-ESG procedures, participated in a 1-day ESG training session before offering ESG to patients. The outcome measurements were length of procedure (LOP) and number of plications per procedure. Nonlinear regression was used to determine the learning plateau and calculate the learning rate. RESULTS Twenty-one consecutive patients (8 males), with mean age 47.7 ± 11.2 years and mean body mass index 41.8 ± 8.5 kg/m 2 underwent ESG. LOP decreased significantly across consecutive procedures, with a learning plateau at 101.5 minutes and a learning rate of 7 cases ( P = 0.04). The number of plications per procedure also decreased significantly across consecutive procedures, with a plateau at 8 sutures and a learning rate of 9 cases ( P &lt; 0.001). Further, the average time per plication decreased significantly with consecutive procedures, reaching a plateau at 9 procedures ( P &lt; 0.001). CONCLUSIONS Endoscopists experienced in endoscopic suturing are expected to achieve a reduction in LOP and number of plications per procedure in successive cases, with progress plateauing at 7 and 9 cases, respectively.","author":[{"dropping-particle":"","family":"Hill","given":"Christine","non-dropping-particle":"","parse-names":false,"suffix":""},{"dropping-particle":"","family":"Zein","given":"Mohamad","non-dropping-particle":"El","parse-names":false,"suffix":""},{"dropping-particle":"","family":"Agnihotri","given":"Abhishek","non-dropping-particle":"","parse-names":false,"suffix":""},{"dropping-particle":"","family":"Dunlap","given":"Margo","non-dropping-particle":"","parse-names":false,"suffix":""},{"dropping-particle":"","family":"Chang","given":"Angela","non-dropping-particle":"","parse-names":false,"suffix":""},{"dropping-particle":"","family":"Agrawal","given":"Alison","non-dropping-particle":"","parse-names":false,"suffix":""},{"dropping-particle":"","family":"Barola","given":"Sindhu","non-dropping-particle":"","parse-names":false,"suffix":""},{"dropping-particle":"","family":"Ngamruengphong","given":"Saowanee","non-dropping-particle":"","parse-names":false,"suffix":""},{"dropping-particle":"","family":"Chen","given":"Yen-I","non-dropping-particle":"","parse-names":false,"suffix":""},{"dropping-particle":"","family":"Kalloo","given":"Anthony N","non-dropping-particle":"","parse-names":false,"suffix":""},{"dropping-particle":"","family":"Khashab","given":"Mouen A","non-dropping-particle":"","parse-names":false,"suffix":""},{"dropping-particle":"","family":"Kumbhari","given":"Vivek","non-dropping-particle":"","parse-names":false,"suffix":""}],"container-title":"Endoscopy international open","id":"ITEM-6","issue":"9","issued":{"date-parts":[["2017","9"]]},"page":"E900-E904","title":"Endoscopic sleeve gastroplasty: the learning curve.","type":"article-journal","volume":"5"},"uris":["http://www.mendeley.com/documents/?uuid=5007e465-a844-4651-a5ad-264ad483bf40"]},{"id":"ITEM-7","itemData":{"DOI":"10.1016/j.gie.2017.08.014","ISSN":"1097-6779","PMID":"28843586","abstract":"BACKGROUND AND AIMS Endoscopic sleeve gastroplasty (ESG) is a novel, incisionless technique for gastric volume reduction to promote weight loss. Our aim was to describe the learning curve for performing ESG using a prospective case series. METHODS Using a prospective case series design, we analyzed the first 128 consecutive patients at a tertiary care academic medical center who underwent ESG performed by a single operator from August 2013 to December 2016. Efficiency (refining performance to decrease procedure time) and mastery (absence of outliers) for performing ESG was evaluated by using a penalized basis-spline regression and cumulative sum analysis. RESULTS Efficiency for ESG was attained after 38 ESGs, with mastery after 55 procedures. At 12 months, the mean percent total body weight loss was 15.8% (standard deviation, 9.47%). A total of 71.7% of patients achieved successful weight loss. When using multiple linear regression analysis, both number of sutures and baseline weight were significantly associated with procedure time. Other patient characteristics, such as age, sex, and race, did not significantly affect procedure time. In addition, number of sutures, baseline weight, and endoscopist achieving efficiency were not correlated with successful weight loss at 12 months. CONCLUSIONS Mastery of ESG by a single operator is suggested after sufficient endoscopic experience and may help guide widespread clinical adaptability.","author":[{"dropping-particle":"","family":"Saumoy","given":"Monica","non-dropping-particle":"","parse-names":false,"suffix":""},{"dropping-particle":"","family":"Schneider","given":"Yecheskel","non-dropping-particle":"","parse-names":false,"suffix":""},{"dropping-particle":"","family":"Zhou","given":"Xi Kathy","non-dropping-particle":"","parse-names":false,"suffix":""},{"dropping-particle":"","family":"Shukla","given":"Alpana","non-dropping-particle":"","parse-names":false,"suffix":""},{"dropping-particle":"","family":"Kahaleh","given":"Michel","non-dropping-particle":"","parse-names":false,"suffix":""},{"dropping-particle":"","family":"Aronne","given":"Louis","non-dropping-particle":"","parse-names":false,"suffix":""},{"dropping-particle":"","family":"Sharaiha","given":"Reem Z","non-dropping-particle":"","parse-names":false,"suffix":""}],"container-title":"Gastrointestinal endoscopy","id":"ITEM-7","issue":"2","issued":{"date-parts":[["2018"]]},"page":"442-447","title":"A single-operator learning curve analysis for the endoscopic sleeve gastroplasty.","type":"article-journal","volume":"87"},"uris":["http://www.mendeley.com/documents/?uuid=1734db3d-2970-44f0-b146-b1e83ff378e9"]},{"id":"ITEM-8","itemData":{"DOI":"10.1007/s11605-017-3615-7","ISSN":"1873-4626","PMID":"29110192","abstract":"BACKGROUND Endoscopic sleeve gastroplasty (ESG) is a novel endobariatric procedure. Initial studies demonstrated an association of ESG with weight loss and improvement of obesity-related comorbidities. Our aim was to compare ESG to laparoscopic sleeve gastrectomy (LSG) and laparoscopic adjustable gastric banding (LAGB). METHODS We included 278 obese (BMI &gt; 30) patients who underwent ESG (n = 91), LSG (n = 120), or LAGB (n = 67) at our tertiary care academic center. Primary outcome was percent total body weight loss (%TBWL) at 3, 6, 9, and 12 months. Secondary outcome measures included adverse events (AE), length of stay (LOS), and readmission rate. RESULTS At 12-month follow-up, LSG achieved the greatest %TBWL compared to LAGB and ESG (29.28 vs 13.30 vs 17.57%, respectively; p &lt; 0.001). However, ESG had a significantly lower rate of morbidity when compared to LSG or LAGB (p = 0.01). The LOS was significantly less for ESG compared to LSG or LAGB (0.34 ± 0.73 vs 3.09 ± 1.47 vs 1.66 ± 3.07 days, respectively; p &lt; 0.01). Readmission rates were not significantly different between the groups (p = 0.72). CONCLUSION Although LSG is the most effective option for weight loss, ESG is a safe and feasible endobariatric option associated with low morbidity and short LOS in select patients.","author":[{"dropping-particle":"","family":"Novikov","given":"Aleksey A","non-dropping-particle":"","parse-names":false,"suffix":""},{"dropping-particle":"","family":"Afaneh","given":"Cheguevara","non-dropping-particle":"","parse-names":false,"suffix":""},{"dropping-particle":"","family":"Saumoy","given":"Monica","non-dropping-particle":"","parse-names":false,"suffix":""},{"dropping-particle":"","family":"Parra","given":"Viviana","non-dropping-particle":"","parse-names":false,"suffix":""},{"dropping-particle":"","family":"Shukla","given":"Alpana","non-dropping-particle":"","parse-names":false,"suffix":""},{"dropping-particle":"","family":"Dakin","given":"Gregory F","non-dropping-particle":"","parse-names":false,"suffix":""},{"dropping-particle":"","family":"Pomp","given":"Alfons","non-dropping-particle":"","parse-names":false,"suffix":""},{"dropping-particle":"","family":"Dawod","given":"Enad","non-dropping-particle":"","parse-names":false,"suffix":""},{"dropping-particle":"","family":"Shah","given":"Shawn","non-dropping-particle":"","parse-names":false,"suffix":""},{"dropping-particle":"","family":"Aronne","given":"Louis J","non-dropping-particle":"","parse-names":false,"suffix":""},{"dropping-particle":"","family":"Sharaiha","given":"Reem Z","non-dropping-particle":"","parse-names":false,"suffix":""}],"container-title":"Journal of gastrointestinal surgery : official journal of the Society for Surgery of the Alimentary Tract","id":"ITEM-8","issue":"2","issued":{"date-parts":[["2018"]]},"page":"267-273","title":"Endoscopic Sleeve Gastroplasty, Laparoscopic Sleeve Gastrectomy, and Laparoscopic Band for Weight Loss: How Do They Compare?","type":"article-journal","volume":"22"},"uris":["http://www.mendeley.com/documents/?uuid=cbe53806-caa5-4115-88d7-0fd3e32d0322"]},{"id":"ITEM-9","itemData":{"DOI":"10.1016/j.cgh.2016.12.012","ISSN":"1542-7714","PMID":"28017845","abstract":"BACKGROUND &amp; AIMS Endoscopic sleeve gastroplasty (ESG) is an incisionless, minimally invasive bariatric procedure that reduces the length and width of the gastric cavity to facilitate weight loss. We performed a prospective study to evaluate the effects of ESG on total body weight loss and obesity-related comorbidities. METHODS We collected data from 91 consecutive patients (mean age, 43.86 ± 11.26 years; 68% female) undergoing ESG from August 2013 through March 2016. All patients had a body mass index (BMI) greater than 30 kg/m2 and had failed noninvasive weight-loss measures or had a BMI greater than 40 kg/m2 and were not considered as surgical candidates or refused surgery. All procedures were performed with a cap-based flexible endoscopic suturing system to facilitate a triangular pattern of sutures to imbricate the greater curvature of the stomach. Patients were evaluated after 6 months (n = 73), 12 months (n = 53), and 24 months (n = 12) for anthropometric features (BMI, weight, waist circumference, blood pressure) and underwent serologic (hemoglobin A1c), lipid panel, serum triglycerides, and liver function tests. The primary outcomes were total body weight loss at 6, 12, and 24 months. Secondary outcomes were the effects of ESG on metabolic factors (blood pressure, diabetes, hyperlipidemia, steatohepatitis) and safety. RESULTS The patients' mean BMI before the procedure was 40.7 ± 7.0 kg/m2. Patients had lost 14.4% of their total body weight at 6 months (80% follow-up rate), 17.6% at 12 months (76% follow-up rate), and 20.9% at 24 months (66% follow-up rate) after ESG. At 12 months after ESG, patients had statistically significant reductions in levels of hemoglobin A1c (P = .01), systolic blood pressure (P = .02), waist circumference (P &lt; .001), alanine aminotransferase (P &lt; .001), and serum triglycerides (P = .02). However, there was no significant change in low-density lipoprotein after vs before ESG (P = .79). There was one serious adverse event (1.1%) (perigastric leak) that occurred that was managed non-operatively. CONCLUSIONS ESG is a minimally invasive and effective endoscopic weight loss intervention. In addition to sustained total body weight loss up to 24 months, ESG reduced markers of hypertension, diabetes, and hypertriglyceridemia.","author":[{"dropping-particle":"","family":"Sharaiha","given":"Reem Z","non-dropping-particle":"","parse-names":false,"suffix":""},{"dropping-particle":"","family":"Kumta","given":"Nikhil A","non-dropping-particle":"","parse-names":false,"suffix":""},{"dropping-particle":"","family":"Saumoy","given":"Monica","non-dropping-particle":"","parse-names":false,"suffix":""},{"dropping-particle":"","family":"Desai","given":"Amit P","non-dropping-particle":"","parse-names":false,"suffix":""},{"dropping-particle":"","family":"Sarkisian","given":"Alex M","non-dropping-particle":"","parse-names":false,"suffix":""},{"dropping-particle":"","family":"Benevenuto","given":"Andrea","non-dropping-particle":"","parse-names":false,"suffix":""},{"dropping-particle":"","family":"Tyberg","given":"Amy","non-dropping-particle":"","parse-names":false,"suffix":""},{"dropping-particle":"","family":"Kumar","given":"Rekha","non-dropping-particle":"","parse-names":false,"suffix":""},{"dropping-particle":"","family":"Igel","given":"Leon","non-dropping-particle":"","parse-names":false,"suffix":""},{"dropping-particle":"","family":"Verna","given":"Elizabeth C","non-dropping-particle":"","parse-names":false,"suffix":""},{"dropping-particle":"","family":"Schwartz","given":"Robert","non-dropping-particle":"","parse-names":false,"suffix":""},{"dropping-particle":"","family":"Frissora","given":"Christina","non-dropping-particle":"","parse-names":false,"suffix":""},{"dropping-particle":"","family":"Shukla","given":"Alpana","non-dropping-particle":"","parse-names":false,"suffix":""},{"dropping-particle":"","family":"Aronne","given":"Louis J","non-dropping-particle":"","parse-names":false,"suffix":""},{"dropping-particle":"","family":"Kahaleh","given":"Michel","non-dropping-particle":"","parse-names":false,"suffix":""}],"container-title":"Clinical gastroenterology and hepatology : the official clinical practice journal of the American Gastroenterological Association","id":"ITEM-9","issue":"4","issued":{"date-parts":[["2017","4"]]},"page":"504-510","title":"Endoscopic Sleeve Gastroplasty Significantly Reduces Body Mass Index and Metabolic Complications in Obese Patients.","type":"article-journal","volume":"15"},"uris":["http://www.mendeley.com/documents/?uuid=650f197d-82f4-4861-a411-351c3c667bbf"]}],"mendeley":{"formattedCitation":"&lt;sup&gt;[7,10,11,25–30]&lt;/sup&gt;","plainTextFormattedCitation":"[7,10,11,25–30]","previouslyFormattedCitation":"&lt;sup&gt;[7,10,11,25–30]&lt;/sup&gt;"},"properties":{"noteIndex":0},"schema":"https://github.com/citation-style-language/schema/raw/master/csl-citation.json"}</w:instrText>
      </w:r>
      <w:r w:rsidR="00615BDF" w:rsidRPr="00165B9A">
        <w:rPr>
          <w:rFonts w:ascii="Book Antiqua" w:hAnsi="Book Antiqua" w:cs="Calibri"/>
          <w:color w:val="000000" w:themeColor="text1"/>
        </w:rPr>
        <w:fldChar w:fldCharType="separate"/>
      </w:r>
      <w:r w:rsidR="008B04DC" w:rsidRPr="00165B9A">
        <w:rPr>
          <w:rFonts w:ascii="Book Antiqua" w:hAnsi="Book Antiqua" w:cs="Calibri"/>
          <w:noProof/>
          <w:color w:val="000000" w:themeColor="text1"/>
          <w:vertAlign w:val="superscript"/>
        </w:rPr>
        <w:t>[7,10,11,25</w:t>
      </w:r>
      <w:r w:rsidR="00165B9A">
        <w:rPr>
          <w:rFonts w:ascii="Book Antiqua" w:hAnsi="Book Antiqua" w:cs="Calibri"/>
          <w:noProof/>
          <w:color w:val="000000" w:themeColor="text1"/>
          <w:vertAlign w:val="superscript"/>
        </w:rPr>
        <w:t>-</w:t>
      </w:r>
      <w:r w:rsidR="008B04DC" w:rsidRPr="00165B9A">
        <w:rPr>
          <w:rFonts w:ascii="Book Antiqua" w:hAnsi="Book Antiqua" w:cs="Calibri"/>
          <w:noProof/>
          <w:color w:val="000000" w:themeColor="text1"/>
          <w:vertAlign w:val="superscript"/>
        </w:rPr>
        <w:t>30]</w:t>
      </w:r>
      <w:r w:rsidR="00615BDF" w:rsidRPr="00165B9A">
        <w:rPr>
          <w:rFonts w:ascii="Book Antiqua" w:hAnsi="Book Antiqua" w:cs="Calibri"/>
          <w:color w:val="000000" w:themeColor="text1"/>
        </w:rPr>
        <w:fldChar w:fldCharType="end"/>
      </w:r>
      <w:r w:rsidR="009807C4" w:rsidRPr="00165B9A">
        <w:rPr>
          <w:rFonts w:ascii="Book Antiqua" w:hAnsi="Book Antiqua" w:cs="Calibri"/>
          <w:color w:val="000000" w:themeColor="text1"/>
        </w:rPr>
        <w:t>. In most cases, the complication was treated conservatively or by image-guided</w:t>
      </w:r>
      <w:r w:rsidR="00BF154E" w:rsidRPr="00165B9A">
        <w:rPr>
          <w:rFonts w:ascii="Book Antiqua" w:hAnsi="Book Antiqua" w:cs="Calibri"/>
          <w:color w:val="000000" w:themeColor="text1"/>
        </w:rPr>
        <w:t xml:space="preserve"> percutaneous</w:t>
      </w:r>
      <w:r w:rsidR="009807C4" w:rsidRPr="00165B9A">
        <w:rPr>
          <w:rFonts w:ascii="Book Antiqua" w:hAnsi="Book Antiqua" w:cs="Calibri"/>
          <w:color w:val="000000" w:themeColor="text1"/>
        </w:rPr>
        <w:t xml:space="preserve"> drainage. </w:t>
      </w:r>
    </w:p>
    <w:p w14:paraId="20F2C6F8" w14:textId="10EC5F42" w:rsidR="00AA2074" w:rsidRPr="00165B9A" w:rsidRDefault="00AA2074" w:rsidP="00165B9A">
      <w:pPr>
        <w:shd w:val="clear" w:color="auto" w:fill="FFFFFF"/>
        <w:spacing w:line="360" w:lineRule="auto"/>
        <w:ind w:firstLineChars="100" w:firstLine="240"/>
        <w:jc w:val="both"/>
        <w:rPr>
          <w:rFonts w:ascii="Book Antiqua" w:hAnsi="Book Antiqua"/>
          <w:color w:val="000000" w:themeColor="text1"/>
        </w:rPr>
      </w:pPr>
      <w:r w:rsidRPr="00165B9A">
        <w:rPr>
          <w:rFonts w:ascii="Book Antiqua" w:hAnsi="Book Antiqua"/>
          <w:color w:val="000000" w:themeColor="text1"/>
        </w:rPr>
        <w:t xml:space="preserve">On </w:t>
      </w:r>
      <w:r w:rsidR="002D2240" w:rsidRPr="00165B9A">
        <w:rPr>
          <w:rFonts w:ascii="Book Antiqua" w:hAnsi="Book Antiqua"/>
          <w:color w:val="000000" w:themeColor="text1"/>
        </w:rPr>
        <w:t xml:space="preserve">detailed review of </w:t>
      </w:r>
      <w:r w:rsidR="009E1791" w:rsidRPr="00165B9A">
        <w:rPr>
          <w:rFonts w:ascii="Book Antiqua" w:hAnsi="Book Antiqua"/>
          <w:color w:val="000000" w:themeColor="text1"/>
        </w:rPr>
        <w:t>this</w:t>
      </w:r>
      <w:r w:rsidR="002D2240" w:rsidRPr="00165B9A">
        <w:rPr>
          <w:rFonts w:ascii="Book Antiqua" w:hAnsi="Book Antiqua"/>
          <w:color w:val="000000" w:themeColor="text1"/>
        </w:rPr>
        <w:t xml:space="preserve"> case, there were several factors that may have contributed to this adverse event. There is a learning curve associated with any endoscopic procedure, including ESG, and this case was the very first </w:t>
      </w:r>
      <w:r w:rsidR="00C65ADE" w:rsidRPr="00165B9A">
        <w:rPr>
          <w:rFonts w:ascii="Book Antiqua" w:hAnsi="Book Antiqua"/>
          <w:color w:val="000000" w:themeColor="text1"/>
        </w:rPr>
        <w:t>ESG</w:t>
      </w:r>
      <w:r w:rsidR="002D2240" w:rsidRPr="00165B9A">
        <w:rPr>
          <w:rFonts w:ascii="Book Antiqua" w:hAnsi="Book Antiqua"/>
          <w:color w:val="000000" w:themeColor="text1"/>
        </w:rPr>
        <w:t xml:space="preserve"> performed by the endoscopist</w:t>
      </w:r>
      <w:r w:rsidR="00C65ADE" w:rsidRPr="00165B9A">
        <w:rPr>
          <w:rFonts w:ascii="Book Antiqua" w:hAnsi="Book Antiqua"/>
          <w:color w:val="000000" w:themeColor="text1"/>
        </w:rPr>
        <w:t xml:space="preserve">. </w:t>
      </w:r>
      <w:r w:rsidR="009E1791" w:rsidRPr="00165B9A">
        <w:rPr>
          <w:rFonts w:ascii="Book Antiqua" w:hAnsi="Book Antiqua"/>
          <w:color w:val="000000" w:themeColor="text1"/>
        </w:rPr>
        <w:t>D</w:t>
      </w:r>
      <w:r w:rsidR="00C65ADE" w:rsidRPr="00165B9A">
        <w:rPr>
          <w:rFonts w:ascii="Book Antiqua" w:hAnsi="Book Antiqua"/>
          <w:color w:val="000000" w:themeColor="text1"/>
        </w:rPr>
        <w:t>espite this procedure being performed under</w:t>
      </w:r>
      <w:r w:rsidR="00E8655E" w:rsidRPr="00165B9A">
        <w:rPr>
          <w:rFonts w:ascii="Book Antiqua" w:hAnsi="Book Antiqua"/>
          <w:color w:val="000000" w:themeColor="text1"/>
        </w:rPr>
        <w:t xml:space="preserve"> </w:t>
      </w:r>
      <w:r w:rsidR="007F7ABE" w:rsidRPr="00165B9A">
        <w:rPr>
          <w:rFonts w:ascii="Book Antiqua" w:hAnsi="Book Antiqua"/>
          <w:color w:val="000000" w:themeColor="text1"/>
        </w:rPr>
        <w:t>the</w:t>
      </w:r>
      <w:r w:rsidR="00E8655E" w:rsidRPr="00165B9A">
        <w:rPr>
          <w:rFonts w:ascii="Book Antiqua" w:hAnsi="Book Antiqua"/>
          <w:color w:val="000000" w:themeColor="text1"/>
        </w:rPr>
        <w:t xml:space="preserve"> </w:t>
      </w:r>
      <w:r w:rsidR="00C65ADE" w:rsidRPr="00165B9A">
        <w:rPr>
          <w:rFonts w:ascii="Book Antiqua" w:hAnsi="Book Antiqua"/>
          <w:color w:val="000000" w:themeColor="text1"/>
        </w:rPr>
        <w:t>supervision</w:t>
      </w:r>
      <w:r w:rsidR="007F7ABE" w:rsidRPr="00165B9A">
        <w:rPr>
          <w:rFonts w:ascii="Book Antiqua" w:hAnsi="Book Antiqua"/>
          <w:color w:val="000000" w:themeColor="text1"/>
        </w:rPr>
        <w:t xml:space="preserve"> of an experienced proctor</w:t>
      </w:r>
      <w:r w:rsidR="00C65ADE" w:rsidRPr="00165B9A">
        <w:rPr>
          <w:rFonts w:ascii="Book Antiqua" w:hAnsi="Book Antiqua"/>
          <w:color w:val="000000" w:themeColor="text1"/>
        </w:rPr>
        <w:t xml:space="preserve">, </w:t>
      </w:r>
      <w:r w:rsidR="009E1791" w:rsidRPr="00165B9A">
        <w:rPr>
          <w:rFonts w:ascii="Book Antiqua" w:hAnsi="Book Antiqua"/>
          <w:color w:val="000000" w:themeColor="text1"/>
        </w:rPr>
        <w:t>this</w:t>
      </w:r>
      <w:r w:rsidR="00C65ADE" w:rsidRPr="00165B9A">
        <w:rPr>
          <w:rFonts w:ascii="Book Antiqua" w:hAnsi="Book Antiqua"/>
          <w:color w:val="000000" w:themeColor="text1"/>
        </w:rPr>
        <w:t xml:space="preserve"> may have contributed. Additionally, the patient was in the “swimmers” position, instead of a more conventional supine, </w:t>
      </w:r>
      <w:r w:rsidR="007F7ABE" w:rsidRPr="00165B9A">
        <w:rPr>
          <w:rFonts w:ascii="Book Antiqua" w:hAnsi="Book Antiqua"/>
          <w:color w:val="000000" w:themeColor="text1"/>
        </w:rPr>
        <w:t xml:space="preserve">lazy </w:t>
      </w:r>
      <w:r w:rsidR="00C65ADE" w:rsidRPr="00165B9A">
        <w:rPr>
          <w:rFonts w:ascii="Book Antiqua" w:hAnsi="Book Antiqua"/>
          <w:color w:val="000000" w:themeColor="text1"/>
        </w:rPr>
        <w:t xml:space="preserve">left-lateral position, which may </w:t>
      </w:r>
      <w:r w:rsidR="007F7ABE" w:rsidRPr="00165B9A">
        <w:rPr>
          <w:rFonts w:ascii="Book Antiqua" w:hAnsi="Book Antiqua"/>
          <w:color w:val="000000" w:themeColor="text1"/>
        </w:rPr>
        <w:t xml:space="preserve">have brought </w:t>
      </w:r>
      <w:r w:rsidR="00C65ADE" w:rsidRPr="00165B9A">
        <w:rPr>
          <w:rFonts w:ascii="Book Antiqua" w:hAnsi="Book Antiqua"/>
          <w:color w:val="000000" w:themeColor="text1"/>
        </w:rPr>
        <w:t xml:space="preserve">the stomach and gallbladder into closer proximity, thus </w:t>
      </w:r>
      <w:r w:rsidR="007F7ABE" w:rsidRPr="00165B9A">
        <w:rPr>
          <w:rFonts w:ascii="Book Antiqua" w:hAnsi="Book Antiqua"/>
          <w:color w:val="000000" w:themeColor="text1"/>
        </w:rPr>
        <w:t>increasing</w:t>
      </w:r>
      <w:r w:rsidR="00C65ADE" w:rsidRPr="00165B9A">
        <w:rPr>
          <w:rFonts w:ascii="Book Antiqua" w:hAnsi="Book Antiqua"/>
          <w:color w:val="000000" w:themeColor="text1"/>
        </w:rPr>
        <w:t xml:space="preserve"> the risk of </w:t>
      </w:r>
      <w:r w:rsidR="003A6432" w:rsidRPr="00165B9A">
        <w:rPr>
          <w:rFonts w:ascii="Book Antiqua" w:hAnsi="Book Antiqua"/>
          <w:color w:val="000000" w:themeColor="text1"/>
        </w:rPr>
        <w:t xml:space="preserve">gallbladder </w:t>
      </w:r>
      <w:r w:rsidR="00C65ADE" w:rsidRPr="00165B9A">
        <w:rPr>
          <w:rFonts w:ascii="Book Antiqua" w:hAnsi="Book Antiqua"/>
          <w:color w:val="000000" w:themeColor="text1"/>
        </w:rPr>
        <w:t>perforation with a full-thickness gastric suturing technique. And finally, we believe that the suturing was started in close proximity to the</w:t>
      </w:r>
      <w:r w:rsidR="0031668B" w:rsidRPr="00165B9A">
        <w:rPr>
          <w:rFonts w:ascii="Book Antiqua" w:hAnsi="Book Antiqua"/>
          <w:color w:val="000000" w:themeColor="text1"/>
        </w:rPr>
        <w:t xml:space="preserve"> </w:t>
      </w:r>
      <w:r w:rsidR="00C65ADE" w:rsidRPr="00165B9A">
        <w:rPr>
          <w:rFonts w:ascii="Book Antiqua" w:hAnsi="Book Antiqua"/>
          <w:color w:val="000000" w:themeColor="text1"/>
        </w:rPr>
        <w:t>lesser curvature of the stomach,</w:t>
      </w:r>
      <w:r w:rsidR="0031668B" w:rsidRPr="00165B9A">
        <w:rPr>
          <w:rFonts w:ascii="Book Antiqua" w:hAnsi="Book Antiqua"/>
          <w:color w:val="000000" w:themeColor="text1"/>
        </w:rPr>
        <w:t xml:space="preserve"> which could have also increased the risk of biliary injury.</w:t>
      </w:r>
    </w:p>
    <w:p w14:paraId="076492D2" w14:textId="15E22219" w:rsidR="009807C4" w:rsidRDefault="009807C4" w:rsidP="00165B9A">
      <w:pPr>
        <w:spacing w:line="360" w:lineRule="auto"/>
        <w:ind w:firstLineChars="100" w:firstLine="240"/>
        <w:jc w:val="both"/>
        <w:rPr>
          <w:rFonts w:ascii="Book Antiqua" w:hAnsi="Book Antiqua" w:cs="Calibri"/>
          <w:color w:val="000000" w:themeColor="text1"/>
        </w:rPr>
      </w:pPr>
      <w:r w:rsidRPr="00165B9A">
        <w:rPr>
          <w:rFonts w:ascii="Book Antiqua" w:hAnsi="Book Antiqua" w:cs="Calibri"/>
          <w:color w:val="000000" w:themeColor="text1"/>
        </w:rPr>
        <w:t>As described in th</w:t>
      </w:r>
      <w:r w:rsidR="00143A54" w:rsidRPr="00165B9A">
        <w:rPr>
          <w:rFonts w:ascii="Book Antiqua" w:hAnsi="Book Antiqua" w:cs="Calibri"/>
          <w:color w:val="000000" w:themeColor="text1"/>
        </w:rPr>
        <w:t>is</w:t>
      </w:r>
      <w:r w:rsidRPr="00165B9A">
        <w:rPr>
          <w:rFonts w:ascii="Book Antiqua" w:hAnsi="Book Antiqua" w:cs="Calibri"/>
          <w:color w:val="000000" w:themeColor="text1"/>
        </w:rPr>
        <w:t xml:space="preserve"> case </w:t>
      </w:r>
      <w:r w:rsidR="000F4862" w:rsidRPr="00165B9A">
        <w:rPr>
          <w:rFonts w:ascii="Book Antiqua" w:hAnsi="Book Antiqua" w:cs="Calibri"/>
          <w:color w:val="000000" w:themeColor="text1"/>
        </w:rPr>
        <w:t>report</w:t>
      </w:r>
      <w:r w:rsidRPr="00165B9A">
        <w:rPr>
          <w:rFonts w:ascii="Book Antiqua" w:hAnsi="Book Antiqua" w:cs="Calibri"/>
          <w:color w:val="000000" w:themeColor="text1"/>
        </w:rPr>
        <w:t xml:space="preserve">, biliary ascites after </w:t>
      </w:r>
      <w:r w:rsidR="007D51D2" w:rsidRPr="00165B9A">
        <w:rPr>
          <w:rFonts w:ascii="Book Antiqua" w:hAnsi="Book Antiqua" w:cs="Calibri"/>
          <w:color w:val="000000" w:themeColor="text1"/>
        </w:rPr>
        <w:t>ESG</w:t>
      </w:r>
      <w:r w:rsidRPr="00165B9A">
        <w:rPr>
          <w:rFonts w:ascii="Book Antiqua" w:hAnsi="Book Antiqua" w:cs="Calibri"/>
          <w:color w:val="000000" w:themeColor="text1"/>
        </w:rPr>
        <w:t xml:space="preserve"> </w:t>
      </w:r>
      <w:r w:rsidR="007D51D2" w:rsidRPr="00165B9A">
        <w:rPr>
          <w:rFonts w:ascii="Book Antiqua" w:hAnsi="Book Antiqua" w:cs="Calibri"/>
          <w:color w:val="000000" w:themeColor="text1"/>
        </w:rPr>
        <w:t>should be</w:t>
      </w:r>
      <w:r w:rsidRPr="00165B9A">
        <w:rPr>
          <w:rFonts w:ascii="Book Antiqua" w:hAnsi="Book Antiqua" w:cs="Calibri"/>
          <w:color w:val="000000" w:themeColor="text1"/>
        </w:rPr>
        <w:t xml:space="preserve"> considered a</w:t>
      </w:r>
      <w:r w:rsidR="007D51D2" w:rsidRPr="00165B9A">
        <w:rPr>
          <w:rFonts w:ascii="Book Antiqua" w:hAnsi="Book Antiqua" w:cs="Calibri"/>
          <w:color w:val="000000" w:themeColor="text1"/>
        </w:rPr>
        <w:t>s a rare but</w:t>
      </w:r>
      <w:r w:rsidRPr="00165B9A">
        <w:rPr>
          <w:rFonts w:ascii="Book Antiqua" w:hAnsi="Book Antiqua" w:cs="Calibri"/>
          <w:color w:val="000000" w:themeColor="text1"/>
        </w:rPr>
        <w:t xml:space="preserve"> major adverse event of great </w:t>
      </w:r>
      <w:r w:rsidR="00D07766" w:rsidRPr="00165B9A">
        <w:rPr>
          <w:rFonts w:ascii="Book Antiqua" w:hAnsi="Book Antiqua" w:cs="Calibri"/>
          <w:color w:val="000000" w:themeColor="text1"/>
        </w:rPr>
        <w:t>clinical s</w:t>
      </w:r>
      <w:r w:rsidRPr="00165B9A">
        <w:rPr>
          <w:rFonts w:ascii="Book Antiqua" w:hAnsi="Book Antiqua" w:cs="Calibri"/>
          <w:color w:val="000000" w:themeColor="text1"/>
        </w:rPr>
        <w:t xml:space="preserve">everity. </w:t>
      </w:r>
      <w:r w:rsidR="00360C79" w:rsidRPr="00165B9A">
        <w:rPr>
          <w:rFonts w:ascii="Book Antiqua" w:hAnsi="Book Antiqua" w:cs="Calibri"/>
          <w:color w:val="000000" w:themeColor="text1"/>
        </w:rPr>
        <w:t>The</w:t>
      </w:r>
      <w:r w:rsidRPr="00165B9A">
        <w:rPr>
          <w:rFonts w:ascii="Book Antiqua" w:hAnsi="Book Antiqua" w:cs="Calibri"/>
          <w:color w:val="000000" w:themeColor="text1"/>
        </w:rPr>
        <w:t xml:space="preserve"> treatment team must maintain a high level of diagnostic suspicion</w:t>
      </w:r>
      <w:r w:rsidR="00BF2264" w:rsidRPr="00165B9A">
        <w:rPr>
          <w:rFonts w:ascii="Book Antiqua" w:hAnsi="Book Antiqua" w:cs="Calibri"/>
          <w:color w:val="000000" w:themeColor="text1"/>
        </w:rPr>
        <w:t xml:space="preserve"> in a patient presenting with fever and abdominal pain following ESG.</w:t>
      </w:r>
      <w:r w:rsidR="00A77D7A" w:rsidRPr="00165B9A">
        <w:rPr>
          <w:rFonts w:ascii="Book Antiqua" w:hAnsi="Book Antiqua" w:cs="Calibri"/>
          <w:color w:val="000000" w:themeColor="text1"/>
        </w:rPr>
        <w:t xml:space="preserve"> </w:t>
      </w:r>
      <w:r w:rsidR="00BF2264" w:rsidRPr="00165B9A">
        <w:rPr>
          <w:rFonts w:ascii="Book Antiqua" w:hAnsi="Book Antiqua" w:cs="Calibri"/>
          <w:color w:val="000000" w:themeColor="text1"/>
        </w:rPr>
        <w:t xml:space="preserve">Timely, </w:t>
      </w:r>
      <w:r w:rsidRPr="00165B9A">
        <w:rPr>
          <w:rFonts w:ascii="Book Antiqua" w:hAnsi="Book Antiqua" w:cs="Calibri"/>
          <w:color w:val="000000" w:themeColor="text1"/>
        </w:rPr>
        <w:t xml:space="preserve">aggressive </w:t>
      </w:r>
      <w:r w:rsidR="00BF2264" w:rsidRPr="00165B9A">
        <w:rPr>
          <w:rFonts w:ascii="Book Antiqua" w:hAnsi="Book Antiqua" w:cs="Calibri"/>
          <w:color w:val="000000" w:themeColor="text1"/>
        </w:rPr>
        <w:t xml:space="preserve">therapy must be taken </w:t>
      </w:r>
      <w:r w:rsidRPr="00165B9A">
        <w:rPr>
          <w:rFonts w:ascii="Book Antiqua" w:hAnsi="Book Antiqua" w:cs="Calibri"/>
          <w:color w:val="000000" w:themeColor="text1"/>
        </w:rPr>
        <w:t xml:space="preserve">to minimize </w:t>
      </w:r>
      <w:r w:rsidR="00AB2F0D" w:rsidRPr="00165B9A">
        <w:rPr>
          <w:rFonts w:ascii="Book Antiqua" w:hAnsi="Book Antiqua" w:cs="Calibri"/>
          <w:color w:val="000000" w:themeColor="text1"/>
        </w:rPr>
        <w:t>long term sequelae.</w:t>
      </w:r>
    </w:p>
    <w:p w14:paraId="1F42DA59" w14:textId="77777777" w:rsidR="00165B9A" w:rsidRPr="00165B9A" w:rsidRDefault="00165B9A" w:rsidP="00165B9A">
      <w:pPr>
        <w:spacing w:line="360" w:lineRule="auto"/>
        <w:jc w:val="both"/>
        <w:rPr>
          <w:rFonts w:ascii="Book Antiqua" w:hAnsi="Book Antiqua" w:cs="Calibri"/>
          <w:color w:val="000000" w:themeColor="text1"/>
        </w:rPr>
      </w:pPr>
    </w:p>
    <w:p w14:paraId="386128E1" w14:textId="77777777" w:rsidR="009807C4" w:rsidRPr="00165B9A" w:rsidRDefault="009807C4" w:rsidP="00165B9A">
      <w:pPr>
        <w:spacing w:line="360" w:lineRule="auto"/>
        <w:jc w:val="both"/>
        <w:rPr>
          <w:rFonts w:ascii="Book Antiqua" w:hAnsi="Book Antiqua" w:cs="Calibri"/>
          <w:b/>
          <w:color w:val="000000" w:themeColor="text1"/>
          <w:u w:val="single"/>
        </w:rPr>
      </w:pPr>
      <w:r w:rsidRPr="00165B9A">
        <w:rPr>
          <w:rFonts w:ascii="Book Antiqua" w:hAnsi="Book Antiqua" w:cs="Calibri"/>
          <w:b/>
          <w:color w:val="000000" w:themeColor="text1"/>
          <w:u w:val="single"/>
        </w:rPr>
        <w:t>CONCLUSION</w:t>
      </w:r>
    </w:p>
    <w:p w14:paraId="5401D601" w14:textId="62BF4F53" w:rsidR="00722B27" w:rsidRPr="00165B9A" w:rsidRDefault="009807C4" w:rsidP="00165B9A">
      <w:pPr>
        <w:spacing w:line="360" w:lineRule="auto"/>
        <w:jc w:val="both"/>
        <w:rPr>
          <w:rFonts w:ascii="Book Antiqua" w:hAnsi="Book Antiqua" w:cs="Calibri"/>
          <w:color w:val="000000" w:themeColor="text1"/>
        </w:rPr>
      </w:pPr>
      <w:r w:rsidRPr="00165B9A">
        <w:rPr>
          <w:rFonts w:ascii="Book Antiqua" w:hAnsi="Book Antiqua" w:cs="Calibri"/>
          <w:color w:val="000000" w:themeColor="text1"/>
        </w:rPr>
        <w:t xml:space="preserve">Although rare, </w:t>
      </w:r>
      <w:r w:rsidR="00722B27" w:rsidRPr="00165B9A">
        <w:rPr>
          <w:rFonts w:ascii="Book Antiqua" w:hAnsi="Book Antiqua" w:cs="Calibri"/>
          <w:color w:val="000000" w:themeColor="text1"/>
        </w:rPr>
        <w:t>gallbladder perforation can occur during ESG, and can have significant clinical consequences</w:t>
      </w:r>
      <w:r w:rsidR="00C61B7F" w:rsidRPr="00165B9A">
        <w:rPr>
          <w:rFonts w:ascii="Book Antiqua" w:hAnsi="Book Antiqua" w:cs="Calibri"/>
          <w:color w:val="000000" w:themeColor="text1"/>
        </w:rPr>
        <w:t xml:space="preserve">. </w:t>
      </w:r>
      <w:r w:rsidR="00722B27" w:rsidRPr="00165B9A">
        <w:rPr>
          <w:rFonts w:ascii="Book Antiqua" w:hAnsi="Book Antiqua" w:cs="Calibri"/>
          <w:color w:val="000000" w:themeColor="text1"/>
        </w:rPr>
        <w:t xml:space="preserve">Further studies, focusing on patient positioning, </w:t>
      </w:r>
      <w:r w:rsidR="00C61B7F" w:rsidRPr="00165B9A">
        <w:rPr>
          <w:rFonts w:ascii="Book Antiqua" w:hAnsi="Book Antiqua" w:cs="Calibri"/>
          <w:color w:val="000000" w:themeColor="text1"/>
        </w:rPr>
        <w:t>use of anatomic landmarks to guide suture pattern</w:t>
      </w:r>
      <w:r w:rsidR="00806AC6" w:rsidRPr="00165B9A">
        <w:rPr>
          <w:rFonts w:ascii="Book Antiqua" w:hAnsi="Book Antiqua" w:cs="Calibri"/>
          <w:color w:val="000000" w:themeColor="text1"/>
        </w:rPr>
        <w:t xml:space="preserve">s, and learning curve </w:t>
      </w:r>
      <w:r w:rsidR="00722B27" w:rsidRPr="00165B9A">
        <w:rPr>
          <w:rFonts w:ascii="Book Antiqua" w:hAnsi="Book Antiqua" w:cs="Calibri"/>
          <w:color w:val="000000" w:themeColor="text1"/>
        </w:rPr>
        <w:t xml:space="preserve">should be performed to further reduce the occurrence of adverse events such as the one described here. </w:t>
      </w:r>
    </w:p>
    <w:p w14:paraId="5F453CF0" w14:textId="77777777" w:rsidR="004240AD" w:rsidRPr="00165B9A" w:rsidRDefault="004240AD" w:rsidP="00165B9A">
      <w:pPr>
        <w:spacing w:line="360" w:lineRule="auto"/>
        <w:jc w:val="both"/>
        <w:rPr>
          <w:rFonts w:ascii="Book Antiqua" w:hAnsi="Book Antiqua" w:cs="Calibri"/>
          <w:color w:val="000000" w:themeColor="text1"/>
        </w:rPr>
      </w:pPr>
    </w:p>
    <w:p w14:paraId="38C65292" w14:textId="2AC3E45F" w:rsidR="009807C4" w:rsidRPr="00165B9A" w:rsidRDefault="009807C4" w:rsidP="00165B9A">
      <w:pPr>
        <w:spacing w:line="360" w:lineRule="auto"/>
        <w:jc w:val="both"/>
        <w:rPr>
          <w:rFonts w:ascii="Book Antiqua" w:hAnsi="Book Antiqua" w:cs="Calibri"/>
          <w:b/>
          <w:color w:val="000000" w:themeColor="text1"/>
        </w:rPr>
      </w:pPr>
      <w:r w:rsidRPr="00165B9A">
        <w:rPr>
          <w:rFonts w:ascii="Book Antiqua" w:hAnsi="Book Antiqua" w:cs="Calibri"/>
          <w:b/>
          <w:color w:val="000000" w:themeColor="text1"/>
        </w:rPr>
        <w:t>REFERENCES</w:t>
      </w:r>
    </w:p>
    <w:p w14:paraId="798E45BF"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 </w:t>
      </w:r>
      <w:r w:rsidRPr="00667201">
        <w:rPr>
          <w:rFonts w:ascii="Book Antiqua" w:eastAsia="DengXian" w:hAnsi="Book Antiqua"/>
          <w:b/>
          <w:kern w:val="2"/>
          <w:lang w:eastAsia="zh-CN"/>
        </w:rPr>
        <w:t>GBD 2015 Obesity Collaborators.</w:t>
      </w:r>
      <w:r w:rsidRPr="00667201">
        <w:rPr>
          <w:rFonts w:ascii="Book Antiqua" w:eastAsia="DengXian" w:hAnsi="Book Antiqua"/>
          <w:kern w:val="2"/>
          <w:lang w:eastAsia="zh-CN"/>
        </w:rPr>
        <w:t xml:space="preserve">, Afshin A, </w:t>
      </w:r>
      <w:proofErr w:type="spellStart"/>
      <w:r w:rsidRPr="00667201">
        <w:rPr>
          <w:rFonts w:ascii="Book Antiqua" w:eastAsia="DengXian" w:hAnsi="Book Antiqua"/>
          <w:kern w:val="2"/>
          <w:lang w:eastAsia="zh-CN"/>
        </w:rPr>
        <w:t>Forouzanfar</w:t>
      </w:r>
      <w:proofErr w:type="spellEnd"/>
      <w:r w:rsidRPr="00667201">
        <w:rPr>
          <w:rFonts w:ascii="Book Antiqua" w:eastAsia="DengXian" w:hAnsi="Book Antiqua"/>
          <w:kern w:val="2"/>
          <w:lang w:eastAsia="zh-CN"/>
        </w:rPr>
        <w:t xml:space="preserve"> MH, </w:t>
      </w:r>
      <w:proofErr w:type="spellStart"/>
      <w:r w:rsidRPr="00667201">
        <w:rPr>
          <w:rFonts w:ascii="Book Antiqua" w:eastAsia="DengXian" w:hAnsi="Book Antiqua"/>
          <w:kern w:val="2"/>
          <w:lang w:eastAsia="zh-CN"/>
        </w:rPr>
        <w:t>Reitsma</w:t>
      </w:r>
      <w:proofErr w:type="spellEnd"/>
      <w:r w:rsidRPr="00667201">
        <w:rPr>
          <w:rFonts w:ascii="Book Antiqua" w:eastAsia="DengXian" w:hAnsi="Book Antiqua"/>
          <w:kern w:val="2"/>
          <w:lang w:eastAsia="zh-CN"/>
        </w:rPr>
        <w:t xml:space="preserve"> MB, Sur P, Estep K, Lee A, Marczak L, </w:t>
      </w:r>
      <w:proofErr w:type="spellStart"/>
      <w:r w:rsidRPr="00667201">
        <w:rPr>
          <w:rFonts w:ascii="Book Antiqua" w:eastAsia="DengXian" w:hAnsi="Book Antiqua"/>
          <w:kern w:val="2"/>
          <w:lang w:eastAsia="zh-CN"/>
        </w:rPr>
        <w:t>Mokdad</w:t>
      </w:r>
      <w:proofErr w:type="spellEnd"/>
      <w:r w:rsidRPr="00667201">
        <w:rPr>
          <w:rFonts w:ascii="Book Antiqua" w:eastAsia="DengXian" w:hAnsi="Book Antiqua"/>
          <w:kern w:val="2"/>
          <w:lang w:eastAsia="zh-CN"/>
        </w:rPr>
        <w:t xml:space="preserve"> AH, Moradi-</w:t>
      </w:r>
      <w:proofErr w:type="spellStart"/>
      <w:r w:rsidRPr="00667201">
        <w:rPr>
          <w:rFonts w:ascii="Book Antiqua" w:eastAsia="DengXian" w:hAnsi="Book Antiqua"/>
          <w:kern w:val="2"/>
          <w:lang w:eastAsia="zh-CN"/>
        </w:rPr>
        <w:t>Lakeh</w:t>
      </w:r>
      <w:proofErr w:type="spellEnd"/>
      <w:r w:rsidRPr="00667201">
        <w:rPr>
          <w:rFonts w:ascii="Book Antiqua" w:eastAsia="DengXian" w:hAnsi="Book Antiqua"/>
          <w:kern w:val="2"/>
          <w:lang w:eastAsia="zh-CN"/>
        </w:rPr>
        <w:t xml:space="preserve"> M, </w:t>
      </w:r>
      <w:proofErr w:type="spellStart"/>
      <w:r w:rsidRPr="00667201">
        <w:rPr>
          <w:rFonts w:ascii="Book Antiqua" w:eastAsia="DengXian" w:hAnsi="Book Antiqua"/>
          <w:kern w:val="2"/>
          <w:lang w:eastAsia="zh-CN"/>
        </w:rPr>
        <w:t>Naghavi</w:t>
      </w:r>
      <w:proofErr w:type="spellEnd"/>
      <w:r w:rsidRPr="00667201">
        <w:rPr>
          <w:rFonts w:ascii="Book Antiqua" w:eastAsia="DengXian" w:hAnsi="Book Antiqua"/>
          <w:kern w:val="2"/>
          <w:lang w:eastAsia="zh-CN"/>
        </w:rPr>
        <w:t xml:space="preserve"> M, Salama JS, Vos T, Abate KH, </w:t>
      </w:r>
      <w:proofErr w:type="spellStart"/>
      <w:r w:rsidRPr="00667201">
        <w:rPr>
          <w:rFonts w:ascii="Book Antiqua" w:eastAsia="DengXian" w:hAnsi="Book Antiqua"/>
          <w:kern w:val="2"/>
          <w:lang w:eastAsia="zh-CN"/>
        </w:rPr>
        <w:t>Abbafati</w:t>
      </w:r>
      <w:proofErr w:type="spellEnd"/>
      <w:r w:rsidRPr="00667201">
        <w:rPr>
          <w:rFonts w:ascii="Book Antiqua" w:eastAsia="DengXian" w:hAnsi="Book Antiqua"/>
          <w:kern w:val="2"/>
          <w:lang w:eastAsia="zh-CN"/>
        </w:rPr>
        <w:t xml:space="preserve"> C, Ahmed MB, Al-Aly Z, </w:t>
      </w:r>
      <w:proofErr w:type="spellStart"/>
      <w:r w:rsidRPr="00667201">
        <w:rPr>
          <w:rFonts w:ascii="Book Antiqua" w:eastAsia="DengXian" w:hAnsi="Book Antiqua"/>
          <w:kern w:val="2"/>
          <w:lang w:eastAsia="zh-CN"/>
        </w:rPr>
        <w:t>Alkerwi</w:t>
      </w:r>
      <w:proofErr w:type="spellEnd"/>
      <w:r w:rsidRPr="00667201">
        <w:rPr>
          <w:rFonts w:ascii="Book Antiqua" w:eastAsia="DengXian" w:hAnsi="Book Antiqua"/>
          <w:kern w:val="2"/>
          <w:lang w:eastAsia="zh-CN"/>
        </w:rPr>
        <w:t xml:space="preserve"> A, Al-</w:t>
      </w:r>
      <w:proofErr w:type="spellStart"/>
      <w:r w:rsidRPr="00667201">
        <w:rPr>
          <w:rFonts w:ascii="Book Antiqua" w:eastAsia="DengXian" w:hAnsi="Book Antiqua"/>
          <w:kern w:val="2"/>
          <w:lang w:eastAsia="zh-CN"/>
        </w:rPr>
        <w:t>Raddadi</w:t>
      </w:r>
      <w:proofErr w:type="spellEnd"/>
      <w:r w:rsidRPr="00667201">
        <w:rPr>
          <w:rFonts w:ascii="Book Antiqua" w:eastAsia="DengXian" w:hAnsi="Book Antiqua"/>
          <w:kern w:val="2"/>
          <w:lang w:eastAsia="zh-CN"/>
        </w:rPr>
        <w:t xml:space="preserve"> R, Amare AT, </w:t>
      </w:r>
      <w:proofErr w:type="spellStart"/>
      <w:r w:rsidRPr="00667201">
        <w:rPr>
          <w:rFonts w:ascii="Book Antiqua" w:eastAsia="DengXian" w:hAnsi="Book Antiqua"/>
          <w:kern w:val="2"/>
          <w:lang w:eastAsia="zh-CN"/>
        </w:rPr>
        <w:t>Amberbir</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Amegah</w:t>
      </w:r>
      <w:proofErr w:type="spellEnd"/>
      <w:r w:rsidRPr="00667201">
        <w:rPr>
          <w:rFonts w:ascii="Book Antiqua" w:eastAsia="DengXian" w:hAnsi="Book Antiqua"/>
          <w:kern w:val="2"/>
          <w:lang w:eastAsia="zh-CN"/>
        </w:rPr>
        <w:t xml:space="preserve"> AK, </w:t>
      </w:r>
      <w:proofErr w:type="spellStart"/>
      <w:r w:rsidRPr="00667201">
        <w:rPr>
          <w:rFonts w:ascii="Book Antiqua" w:eastAsia="DengXian" w:hAnsi="Book Antiqua"/>
          <w:kern w:val="2"/>
          <w:lang w:eastAsia="zh-CN"/>
        </w:rPr>
        <w:t>Amini</w:t>
      </w:r>
      <w:proofErr w:type="spellEnd"/>
      <w:r w:rsidRPr="00667201">
        <w:rPr>
          <w:rFonts w:ascii="Book Antiqua" w:eastAsia="DengXian" w:hAnsi="Book Antiqua"/>
          <w:kern w:val="2"/>
          <w:lang w:eastAsia="zh-CN"/>
        </w:rPr>
        <w:t xml:space="preserve"> E, </w:t>
      </w:r>
      <w:proofErr w:type="spellStart"/>
      <w:r w:rsidRPr="00667201">
        <w:rPr>
          <w:rFonts w:ascii="Book Antiqua" w:eastAsia="DengXian" w:hAnsi="Book Antiqua"/>
          <w:kern w:val="2"/>
          <w:lang w:eastAsia="zh-CN"/>
        </w:rPr>
        <w:t>Amrock</w:t>
      </w:r>
      <w:proofErr w:type="spellEnd"/>
      <w:r w:rsidRPr="00667201">
        <w:rPr>
          <w:rFonts w:ascii="Book Antiqua" w:eastAsia="DengXian" w:hAnsi="Book Antiqua"/>
          <w:kern w:val="2"/>
          <w:lang w:eastAsia="zh-CN"/>
        </w:rPr>
        <w:t xml:space="preserve"> SM, Anjana RM, </w:t>
      </w:r>
      <w:proofErr w:type="spellStart"/>
      <w:r w:rsidRPr="00667201">
        <w:rPr>
          <w:rFonts w:ascii="Book Antiqua" w:eastAsia="DengXian" w:hAnsi="Book Antiqua"/>
          <w:kern w:val="2"/>
          <w:lang w:eastAsia="zh-CN"/>
        </w:rPr>
        <w:t>Ärnlöv</w:t>
      </w:r>
      <w:proofErr w:type="spellEnd"/>
      <w:r w:rsidRPr="00667201">
        <w:rPr>
          <w:rFonts w:ascii="Book Antiqua" w:eastAsia="DengXian" w:hAnsi="Book Antiqua"/>
          <w:kern w:val="2"/>
          <w:lang w:eastAsia="zh-CN"/>
        </w:rPr>
        <w:t xml:space="preserve"> J, </w:t>
      </w:r>
      <w:proofErr w:type="spellStart"/>
      <w:r w:rsidRPr="00667201">
        <w:rPr>
          <w:rFonts w:ascii="Book Antiqua" w:eastAsia="DengXian" w:hAnsi="Book Antiqua"/>
          <w:kern w:val="2"/>
          <w:lang w:eastAsia="zh-CN"/>
        </w:rPr>
        <w:t>Asayesh</w:t>
      </w:r>
      <w:proofErr w:type="spellEnd"/>
      <w:r w:rsidRPr="00667201">
        <w:rPr>
          <w:rFonts w:ascii="Book Antiqua" w:eastAsia="DengXian" w:hAnsi="Book Antiqua"/>
          <w:kern w:val="2"/>
          <w:lang w:eastAsia="zh-CN"/>
        </w:rPr>
        <w:t xml:space="preserve"> H, Banerjee A, </w:t>
      </w:r>
      <w:proofErr w:type="spellStart"/>
      <w:r w:rsidRPr="00667201">
        <w:rPr>
          <w:rFonts w:ascii="Book Antiqua" w:eastAsia="DengXian" w:hAnsi="Book Antiqua"/>
          <w:kern w:val="2"/>
          <w:lang w:eastAsia="zh-CN"/>
        </w:rPr>
        <w:t>Barac</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Baye</w:t>
      </w:r>
      <w:proofErr w:type="spellEnd"/>
      <w:r w:rsidRPr="00667201">
        <w:rPr>
          <w:rFonts w:ascii="Book Antiqua" w:eastAsia="DengXian" w:hAnsi="Book Antiqua"/>
          <w:kern w:val="2"/>
          <w:lang w:eastAsia="zh-CN"/>
        </w:rPr>
        <w:t xml:space="preserve"> E, Bennett DA, </w:t>
      </w:r>
      <w:proofErr w:type="spellStart"/>
      <w:r w:rsidRPr="00667201">
        <w:rPr>
          <w:rFonts w:ascii="Book Antiqua" w:eastAsia="DengXian" w:hAnsi="Book Antiqua"/>
          <w:kern w:val="2"/>
          <w:lang w:eastAsia="zh-CN"/>
        </w:rPr>
        <w:t>Beyene</w:t>
      </w:r>
      <w:proofErr w:type="spellEnd"/>
      <w:r w:rsidRPr="00667201">
        <w:rPr>
          <w:rFonts w:ascii="Book Antiqua" w:eastAsia="DengXian" w:hAnsi="Book Antiqua"/>
          <w:kern w:val="2"/>
          <w:lang w:eastAsia="zh-CN"/>
        </w:rPr>
        <w:t xml:space="preserve"> AS, </w:t>
      </w:r>
      <w:proofErr w:type="spellStart"/>
      <w:r w:rsidRPr="00667201">
        <w:rPr>
          <w:rFonts w:ascii="Book Antiqua" w:eastAsia="DengXian" w:hAnsi="Book Antiqua"/>
          <w:kern w:val="2"/>
          <w:lang w:eastAsia="zh-CN"/>
        </w:rPr>
        <w:t>Biadgilign</w:t>
      </w:r>
      <w:proofErr w:type="spellEnd"/>
      <w:r w:rsidRPr="00667201">
        <w:rPr>
          <w:rFonts w:ascii="Book Antiqua" w:eastAsia="DengXian" w:hAnsi="Book Antiqua"/>
          <w:kern w:val="2"/>
          <w:lang w:eastAsia="zh-CN"/>
        </w:rPr>
        <w:t xml:space="preserve"> S, </w:t>
      </w:r>
      <w:proofErr w:type="spellStart"/>
      <w:r w:rsidRPr="00667201">
        <w:rPr>
          <w:rFonts w:ascii="Book Antiqua" w:eastAsia="DengXian" w:hAnsi="Book Antiqua"/>
          <w:kern w:val="2"/>
          <w:lang w:eastAsia="zh-CN"/>
        </w:rPr>
        <w:t>Biryukov</w:t>
      </w:r>
      <w:proofErr w:type="spellEnd"/>
      <w:r w:rsidRPr="00667201">
        <w:rPr>
          <w:rFonts w:ascii="Book Antiqua" w:eastAsia="DengXian" w:hAnsi="Book Antiqua"/>
          <w:kern w:val="2"/>
          <w:lang w:eastAsia="zh-CN"/>
        </w:rPr>
        <w:t xml:space="preserve"> S, </w:t>
      </w:r>
      <w:proofErr w:type="spellStart"/>
      <w:r w:rsidRPr="00667201">
        <w:rPr>
          <w:rFonts w:ascii="Book Antiqua" w:eastAsia="DengXian" w:hAnsi="Book Antiqua"/>
          <w:kern w:val="2"/>
          <w:lang w:eastAsia="zh-CN"/>
        </w:rPr>
        <w:t>Bjertness</w:t>
      </w:r>
      <w:proofErr w:type="spellEnd"/>
      <w:r w:rsidRPr="00667201">
        <w:rPr>
          <w:rFonts w:ascii="Book Antiqua" w:eastAsia="DengXian" w:hAnsi="Book Antiqua"/>
          <w:kern w:val="2"/>
          <w:lang w:eastAsia="zh-CN"/>
        </w:rPr>
        <w:t xml:space="preserve"> E, </w:t>
      </w:r>
      <w:proofErr w:type="spellStart"/>
      <w:r w:rsidRPr="00667201">
        <w:rPr>
          <w:rFonts w:ascii="Book Antiqua" w:eastAsia="DengXian" w:hAnsi="Book Antiqua"/>
          <w:kern w:val="2"/>
          <w:lang w:eastAsia="zh-CN"/>
        </w:rPr>
        <w:t>Boneya</w:t>
      </w:r>
      <w:proofErr w:type="spellEnd"/>
      <w:r w:rsidRPr="00667201">
        <w:rPr>
          <w:rFonts w:ascii="Book Antiqua" w:eastAsia="DengXian" w:hAnsi="Book Antiqua"/>
          <w:kern w:val="2"/>
          <w:lang w:eastAsia="zh-CN"/>
        </w:rPr>
        <w:t xml:space="preserve"> DJ, Campos-</w:t>
      </w:r>
      <w:proofErr w:type="spellStart"/>
      <w:r w:rsidRPr="00667201">
        <w:rPr>
          <w:rFonts w:ascii="Book Antiqua" w:eastAsia="DengXian" w:hAnsi="Book Antiqua"/>
          <w:kern w:val="2"/>
          <w:lang w:eastAsia="zh-CN"/>
        </w:rPr>
        <w:t>Nonato</w:t>
      </w:r>
      <w:proofErr w:type="spellEnd"/>
      <w:r w:rsidRPr="00667201">
        <w:rPr>
          <w:rFonts w:ascii="Book Antiqua" w:eastAsia="DengXian" w:hAnsi="Book Antiqua"/>
          <w:kern w:val="2"/>
          <w:lang w:eastAsia="zh-CN"/>
        </w:rPr>
        <w:t xml:space="preserve"> I, </w:t>
      </w:r>
      <w:proofErr w:type="spellStart"/>
      <w:r w:rsidRPr="00667201">
        <w:rPr>
          <w:rFonts w:ascii="Book Antiqua" w:eastAsia="DengXian" w:hAnsi="Book Antiqua"/>
          <w:kern w:val="2"/>
          <w:lang w:eastAsia="zh-CN"/>
        </w:rPr>
        <w:t>Carrero</w:t>
      </w:r>
      <w:proofErr w:type="spellEnd"/>
      <w:r w:rsidRPr="00667201">
        <w:rPr>
          <w:rFonts w:ascii="Book Antiqua" w:eastAsia="DengXian" w:hAnsi="Book Antiqua"/>
          <w:kern w:val="2"/>
          <w:lang w:eastAsia="zh-CN"/>
        </w:rPr>
        <w:t xml:space="preserve"> JJ, </w:t>
      </w:r>
      <w:proofErr w:type="spellStart"/>
      <w:r w:rsidRPr="00667201">
        <w:rPr>
          <w:rFonts w:ascii="Book Antiqua" w:eastAsia="DengXian" w:hAnsi="Book Antiqua"/>
          <w:kern w:val="2"/>
          <w:lang w:eastAsia="zh-CN"/>
        </w:rPr>
        <w:t>Cecilio</w:t>
      </w:r>
      <w:proofErr w:type="spellEnd"/>
      <w:r w:rsidRPr="00667201">
        <w:rPr>
          <w:rFonts w:ascii="Book Antiqua" w:eastAsia="DengXian" w:hAnsi="Book Antiqua"/>
          <w:kern w:val="2"/>
          <w:lang w:eastAsia="zh-CN"/>
        </w:rPr>
        <w:t xml:space="preserve"> P, </w:t>
      </w:r>
      <w:proofErr w:type="spellStart"/>
      <w:r w:rsidRPr="00667201">
        <w:rPr>
          <w:rFonts w:ascii="Book Antiqua" w:eastAsia="DengXian" w:hAnsi="Book Antiqua"/>
          <w:kern w:val="2"/>
          <w:lang w:eastAsia="zh-CN"/>
        </w:rPr>
        <w:t>Cercy</w:t>
      </w:r>
      <w:proofErr w:type="spellEnd"/>
      <w:r w:rsidRPr="00667201">
        <w:rPr>
          <w:rFonts w:ascii="Book Antiqua" w:eastAsia="DengXian" w:hAnsi="Book Antiqua"/>
          <w:kern w:val="2"/>
          <w:lang w:eastAsia="zh-CN"/>
        </w:rPr>
        <w:t xml:space="preserve"> K, Ciobanu LG, </w:t>
      </w:r>
      <w:proofErr w:type="spellStart"/>
      <w:r w:rsidRPr="00667201">
        <w:rPr>
          <w:rFonts w:ascii="Book Antiqua" w:eastAsia="DengXian" w:hAnsi="Book Antiqua"/>
          <w:kern w:val="2"/>
          <w:lang w:eastAsia="zh-CN"/>
        </w:rPr>
        <w:t>Cornaby</w:t>
      </w:r>
      <w:proofErr w:type="spellEnd"/>
      <w:r w:rsidRPr="00667201">
        <w:rPr>
          <w:rFonts w:ascii="Book Antiqua" w:eastAsia="DengXian" w:hAnsi="Book Antiqua"/>
          <w:kern w:val="2"/>
          <w:lang w:eastAsia="zh-CN"/>
        </w:rPr>
        <w:t xml:space="preserve"> L, </w:t>
      </w:r>
      <w:proofErr w:type="spellStart"/>
      <w:r w:rsidRPr="00667201">
        <w:rPr>
          <w:rFonts w:ascii="Book Antiqua" w:eastAsia="DengXian" w:hAnsi="Book Antiqua"/>
          <w:kern w:val="2"/>
          <w:lang w:eastAsia="zh-CN"/>
        </w:rPr>
        <w:t>Damtew</w:t>
      </w:r>
      <w:proofErr w:type="spellEnd"/>
      <w:r w:rsidRPr="00667201">
        <w:rPr>
          <w:rFonts w:ascii="Book Antiqua" w:eastAsia="DengXian" w:hAnsi="Book Antiqua"/>
          <w:kern w:val="2"/>
          <w:lang w:eastAsia="zh-CN"/>
        </w:rPr>
        <w:t xml:space="preserve"> SA, </w:t>
      </w:r>
      <w:proofErr w:type="spellStart"/>
      <w:r w:rsidRPr="00667201">
        <w:rPr>
          <w:rFonts w:ascii="Book Antiqua" w:eastAsia="DengXian" w:hAnsi="Book Antiqua"/>
          <w:kern w:val="2"/>
          <w:lang w:eastAsia="zh-CN"/>
        </w:rPr>
        <w:t>Dandona</w:t>
      </w:r>
      <w:proofErr w:type="spellEnd"/>
      <w:r w:rsidRPr="00667201">
        <w:rPr>
          <w:rFonts w:ascii="Book Antiqua" w:eastAsia="DengXian" w:hAnsi="Book Antiqua"/>
          <w:kern w:val="2"/>
          <w:lang w:eastAsia="zh-CN"/>
        </w:rPr>
        <w:t xml:space="preserve"> L, </w:t>
      </w:r>
      <w:proofErr w:type="spellStart"/>
      <w:r w:rsidRPr="00667201">
        <w:rPr>
          <w:rFonts w:ascii="Book Antiqua" w:eastAsia="DengXian" w:hAnsi="Book Antiqua"/>
          <w:kern w:val="2"/>
          <w:lang w:eastAsia="zh-CN"/>
        </w:rPr>
        <w:t>Dandona</w:t>
      </w:r>
      <w:proofErr w:type="spellEnd"/>
      <w:r w:rsidRPr="00667201">
        <w:rPr>
          <w:rFonts w:ascii="Book Antiqua" w:eastAsia="DengXian" w:hAnsi="Book Antiqua"/>
          <w:kern w:val="2"/>
          <w:lang w:eastAsia="zh-CN"/>
        </w:rPr>
        <w:t xml:space="preserve"> R, </w:t>
      </w:r>
      <w:proofErr w:type="spellStart"/>
      <w:r w:rsidRPr="00667201">
        <w:rPr>
          <w:rFonts w:ascii="Book Antiqua" w:eastAsia="DengXian" w:hAnsi="Book Antiqua"/>
          <w:kern w:val="2"/>
          <w:lang w:eastAsia="zh-CN"/>
        </w:rPr>
        <w:t>Dharmaratne</w:t>
      </w:r>
      <w:proofErr w:type="spellEnd"/>
      <w:r w:rsidRPr="00667201">
        <w:rPr>
          <w:rFonts w:ascii="Book Antiqua" w:eastAsia="DengXian" w:hAnsi="Book Antiqua"/>
          <w:kern w:val="2"/>
          <w:lang w:eastAsia="zh-CN"/>
        </w:rPr>
        <w:t xml:space="preserve"> SD, Duncan BB, </w:t>
      </w:r>
      <w:proofErr w:type="spellStart"/>
      <w:r w:rsidRPr="00667201">
        <w:rPr>
          <w:rFonts w:ascii="Book Antiqua" w:eastAsia="DengXian" w:hAnsi="Book Antiqua"/>
          <w:kern w:val="2"/>
          <w:lang w:eastAsia="zh-CN"/>
        </w:rPr>
        <w:t>Eshrati</w:t>
      </w:r>
      <w:proofErr w:type="spellEnd"/>
      <w:r w:rsidRPr="00667201">
        <w:rPr>
          <w:rFonts w:ascii="Book Antiqua" w:eastAsia="DengXian" w:hAnsi="Book Antiqua"/>
          <w:kern w:val="2"/>
          <w:lang w:eastAsia="zh-CN"/>
        </w:rPr>
        <w:t xml:space="preserve"> B, </w:t>
      </w:r>
      <w:proofErr w:type="spellStart"/>
      <w:r w:rsidRPr="00667201">
        <w:rPr>
          <w:rFonts w:ascii="Book Antiqua" w:eastAsia="DengXian" w:hAnsi="Book Antiqua"/>
          <w:kern w:val="2"/>
          <w:lang w:eastAsia="zh-CN"/>
        </w:rPr>
        <w:t>Esteghamati</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Feigin</w:t>
      </w:r>
      <w:proofErr w:type="spellEnd"/>
      <w:r w:rsidRPr="00667201">
        <w:rPr>
          <w:rFonts w:ascii="Book Antiqua" w:eastAsia="DengXian" w:hAnsi="Book Antiqua"/>
          <w:kern w:val="2"/>
          <w:lang w:eastAsia="zh-CN"/>
        </w:rPr>
        <w:t xml:space="preserve"> VL, Fernandes JC, </w:t>
      </w:r>
      <w:proofErr w:type="spellStart"/>
      <w:r w:rsidRPr="00667201">
        <w:rPr>
          <w:rFonts w:ascii="Book Antiqua" w:eastAsia="DengXian" w:hAnsi="Book Antiqua"/>
          <w:kern w:val="2"/>
          <w:lang w:eastAsia="zh-CN"/>
        </w:rPr>
        <w:t>Fürst</w:t>
      </w:r>
      <w:proofErr w:type="spellEnd"/>
      <w:r w:rsidRPr="00667201">
        <w:rPr>
          <w:rFonts w:ascii="Book Antiqua" w:eastAsia="DengXian" w:hAnsi="Book Antiqua"/>
          <w:kern w:val="2"/>
          <w:lang w:eastAsia="zh-CN"/>
        </w:rPr>
        <w:t xml:space="preserve"> T, </w:t>
      </w:r>
      <w:proofErr w:type="spellStart"/>
      <w:r w:rsidRPr="00667201">
        <w:rPr>
          <w:rFonts w:ascii="Book Antiqua" w:eastAsia="DengXian" w:hAnsi="Book Antiqua"/>
          <w:kern w:val="2"/>
          <w:lang w:eastAsia="zh-CN"/>
        </w:rPr>
        <w:t>Gebrehiwot</w:t>
      </w:r>
      <w:proofErr w:type="spellEnd"/>
      <w:r w:rsidRPr="00667201">
        <w:rPr>
          <w:rFonts w:ascii="Book Antiqua" w:eastAsia="DengXian" w:hAnsi="Book Antiqua"/>
          <w:kern w:val="2"/>
          <w:lang w:eastAsia="zh-CN"/>
        </w:rPr>
        <w:t xml:space="preserve"> TT, Gold A, </w:t>
      </w:r>
      <w:proofErr w:type="spellStart"/>
      <w:r w:rsidRPr="00667201">
        <w:rPr>
          <w:rFonts w:ascii="Book Antiqua" w:eastAsia="DengXian" w:hAnsi="Book Antiqua"/>
          <w:kern w:val="2"/>
          <w:lang w:eastAsia="zh-CN"/>
        </w:rPr>
        <w:t>Gona</w:t>
      </w:r>
      <w:proofErr w:type="spellEnd"/>
      <w:r w:rsidRPr="00667201">
        <w:rPr>
          <w:rFonts w:ascii="Book Antiqua" w:eastAsia="DengXian" w:hAnsi="Book Antiqua"/>
          <w:kern w:val="2"/>
          <w:lang w:eastAsia="zh-CN"/>
        </w:rPr>
        <w:t xml:space="preserve"> PN, </w:t>
      </w:r>
      <w:proofErr w:type="spellStart"/>
      <w:r w:rsidRPr="00667201">
        <w:rPr>
          <w:rFonts w:ascii="Book Antiqua" w:eastAsia="DengXian" w:hAnsi="Book Antiqua"/>
          <w:kern w:val="2"/>
          <w:lang w:eastAsia="zh-CN"/>
        </w:rPr>
        <w:t>Goto</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Habtewold</w:t>
      </w:r>
      <w:proofErr w:type="spellEnd"/>
      <w:r w:rsidRPr="00667201">
        <w:rPr>
          <w:rFonts w:ascii="Book Antiqua" w:eastAsia="DengXian" w:hAnsi="Book Antiqua"/>
          <w:kern w:val="2"/>
          <w:lang w:eastAsia="zh-CN"/>
        </w:rPr>
        <w:t xml:space="preserve"> TD, </w:t>
      </w:r>
      <w:proofErr w:type="spellStart"/>
      <w:r w:rsidRPr="00667201">
        <w:rPr>
          <w:rFonts w:ascii="Book Antiqua" w:eastAsia="DengXian" w:hAnsi="Book Antiqua"/>
          <w:kern w:val="2"/>
          <w:lang w:eastAsia="zh-CN"/>
        </w:rPr>
        <w:t>Hadush</w:t>
      </w:r>
      <w:proofErr w:type="spellEnd"/>
      <w:r w:rsidRPr="00667201">
        <w:rPr>
          <w:rFonts w:ascii="Book Antiqua" w:eastAsia="DengXian" w:hAnsi="Book Antiqua"/>
          <w:kern w:val="2"/>
          <w:lang w:eastAsia="zh-CN"/>
        </w:rPr>
        <w:t xml:space="preserve"> KT, </w:t>
      </w:r>
      <w:proofErr w:type="spellStart"/>
      <w:r w:rsidRPr="00667201">
        <w:rPr>
          <w:rFonts w:ascii="Book Antiqua" w:eastAsia="DengXian" w:hAnsi="Book Antiqua"/>
          <w:kern w:val="2"/>
          <w:lang w:eastAsia="zh-CN"/>
        </w:rPr>
        <w:t>Hafezi-Nejad</w:t>
      </w:r>
      <w:proofErr w:type="spellEnd"/>
      <w:r w:rsidRPr="00667201">
        <w:rPr>
          <w:rFonts w:ascii="Book Antiqua" w:eastAsia="DengXian" w:hAnsi="Book Antiqua"/>
          <w:kern w:val="2"/>
          <w:lang w:eastAsia="zh-CN"/>
        </w:rPr>
        <w:t xml:space="preserve"> N, Hay SI, </w:t>
      </w:r>
      <w:proofErr w:type="spellStart"/>
      <w:r w:rsidRPr="00667201">
        <w:rPr>
          <w:rFonts w:ascii="Book Antiqua" w:eastAsia="DengXian" w:hAnsi="Book Antiqua"/>
          <w:kern w:val="2"/>
          <w:lang w:eastAsia="zh-CN"/>
        </w:rPr>
        <w:t>Horino</w:t>
      </w:r>
      <w:proofErr w:type="spellEnd"/>
      <w:r w:rsidRPr="00667201">
        <w:rPr>
          <w:rFonts w:ascii="Book Antiqua" w:eastAsia="DengXian" w:hAnsi="Book Antiqua"/>
          <w:kern w:val="2"/>
          <w:lang w:eastAsia="zh-CN"/>
        </w:rPr>
        <w:t xml:space="preserve"> M, </w:t>
      </w:r>
      <w:proofErr w:type="spellStart"/>
      <w:r w:rsidRPr="00667201">
        <w:rPr>
          <w:rFonts w:ascii="Book Antiqua" w:eastAsia="DengXian" w:hAnsi="Book Antiqua"/>
          <w:kern w:val="2"/>
          <w:lang w:eastAsia="zh-CN"/>
        </w:rPr>
        <w:t>Islami</w:t>
      </w:r>
      <w:proofErr w:type="spellEnd"/>
      <w:r w:rsidRPr="00667201">
        <w:rPr>
          <w:rFonts w:ascii="Book Antiqua" w:eastAsia="DengXian" w:hAnsi="Book Antiqua"/>
          <w:kern w:val="2"/>
          <w:lang w:eastAsia="zh-CN"/>
        </w:rPr>
        <w:t xml:space="preserve"> F, Kamal R, </w:t>
      </w:r>
      <w:proofErr w:type="spellStart"/>
      <w:r w:rsidRPr="00667201">
        <w:rPr>
          <w:rFonts w:ascii="Book Antiqua" w:eastAsia="DengXian" w:hAnsi="Book Antiqua"/>
          <w:kern w:val="2"/>
          <w:lang w:eastAsia="zh-CN"/>
        </w:rPr>
        <w:t>Kasaeian</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Katikireddi</w:t>
      </w:r>
      <w:proofErr w:type="spellEnd"/>
      <w:r w:rsidRPr="00667201">
        <w:rPr>
          <w:rFonts w:ascii="Book Antiqua" w:eastAsia="DengXian" w:hAnsi="Book Antiqua"/>
          <w:kern w:val="2"/>
          <w:lang w:eastAsia="zh-CN"/>
        </w:rPr>
        <w:t xml:space="preserve"> SV, </w:t>
      </w:r>
      <w:proofErr w:type="spellStart"/>
      <w:r w:rsidRPr="00667201">
        <w:rPr>
          <w:rFonts w:ascii="Book Antiqua" w:eastAsia="DengXian" w:hAnsi="Book Antiqua"/>
          <w:kern w:val="2"/>
          <w:lang w:eastAsia="zh-CN"/>
        </w:rPr>
        <w:t>Kengne</w:t>
      </w:r>
      <w:proofErr w:type="spellEnd"/>
      <w:r w:rsidRPr="00667201">
        <w:rPr>
          <w:rFonts w:ascii="Book Antiqua" w:eastAsia="DengXian" w:hAnsi="Book Antiqua"/>
          <w:kern w:val="2"/>
          <w:lang w:eastAsia="zh-CN"/>
        </w:rPr>
        <w:t xml:space="preserve"> AP, </w:t>
      </w:r>
      <w:proofErr w:type="spellStart"/>
      <w:r w:rsidRPr="00667201">
        <w:rPr>
          <w:rFonts w:ascii="Book Antiqua" w:eastAsia="DengXian" w:hAnsi="Book Antiqua"/>
          <w:kern w:val="2"/>
          <w:lang w:eastAsia="zh-CN"/>
        </w:rPr>
        <w:t>Kesavachandran</w:t>
      </w:r>
      <w:proofErr w:type="spellEnd"/>
      <w:r w:rsidRPr="00667201">
        <w:rPr>
          <w:rFonts w:ascii="Book Antiqua" w:eastAsia="DengXian" w:hAnsi="Book Antiqua"/>
          <w:kern w:val="2"/>
          <w:lang w:eastAsia="zh-CN"/>
        </w:rPr>
        <w:t xml:space="preserve"> CN, Khader YS, </w:t>
      </w:r>
      <w:proofErr w:type="spellStart"/>
      <w:r w:rsidRPr="00667201">
        <w:rPr>
          <w:rFonts w:ascii="Book Antiqua" w:eastAsia="DengXian" w:hAnsi="Book Antiqua"/>
          <w:kern w:val="2"/>
          <w:lang w:eastAsia="zh-CN"/>
        </w:rPr>
        <w:t>Khang</w:t>
      </w:r>
      <w:proofErr w:type="spellEnd"/>
      <w:r w:rsidRPr="00667201">
        <w:rPr>
          <w:rFonts w:ascii="Book Antiqua" w:eastAsia="DengXian" w:hAnsi="Book Antiqua"/>
          <w:kern w:val="2"/>
          <w:lang w:eastAsia="zh-CN"/>
        </w:rPr>
        <w:t xml:space="preserve"> YH, </w:t>
      </w:r>
      <w:proofErr w:type="spellStart"/>
      <w:r w:rsidRPr="00667201">
        <w:rPr>
          <w:rFonts w:ascii="Book Antiqua" w:eastAsia="DengXian" w:hAnsi="Book Antiqua"/>
          <w:kern w:val="2"/>
          <w:lang w:eastAsia="zh-CN"/>
        </w:rPr>
        <w:t>Khubchandani</w:t>
      </w:r>
      <w:proofErr w:type="spellEnd"/>
      <w:r w:rsidRPr="00667201">
        <w:rPr>
          <w:rFonts w:ascii="Book Antiqua" w:eastAsia="DengXian" w:hAnsi="Book Antiqua"/>
          <w:kern w:val="2"/>
          <w:lang w:eastAsia="zh-CN"/>
        </w:rPr>
        <w:t xml:space="preserve"> J, Kim D, Kim YJ, </w:t>
      </w:r>
      <w:proofErr w:type="spellStart"/>
      <w:r w:rsidRPr="00667201">
        <w:rPr>
          <w:rFonts w:ascii="Book Antiqua" w:eastAsia="DengXian" w:hAnsi="Book Antiqua"/>
          <w:kern w:val="2"/>
          <w:lang w:eastAsia="zh-CN"/>
        </w:rPr>
        <w:t>Kinfu</w:t>
      </w:r>
      <w:proofErr w:type="spellEnd"/>
      <w:r w:rsidRPr="00667201">
        <w:rPr>
          <w:rFonts w:ascii="Book Antiqua" w:eastAsia="DengXian" w:hAnsi="Book Antiqua"/>
          <w:kern w:val="2"/>
          <w:lang w:eastAsia="zh-CN"/>
        </w:rPr>
        <w:t xml:space="preserve"> Y, </w:t>
      </w:r>
      <w:proofErr w:type="spellStart"/>
      <w:r w:rsidRPr="00667201">
        <w:rPr>
          <w:rFonts w:ascii="Book Antiqua" w:eastAsia="DengXian" w:hAnsi="Book Antiqua"/>
          <w:kern w:val="2"/>
          <w:lang w:eastAsia="zh-CN"/>
        </w:rPr>
        <w:t>Kosen</w:t>
      </w:r>
      <w:proofErr w:type="spellEnd"/>
      <w:r w:rsidRPr="00667201">
        <w:rPr>
          <w:rFonts w:ascii="Book Antiqua" w:eastAsia="DengXian" w:hAnsi="Book Antiqua"/>
          <w:kern w:val="2"/>
          <w:lang w:eastAsia="zh-CN"/>
        </w:rPr>
        <w:t xml:space="preserve"> S, Ku T, </w:t>
      </w:r>
      <w:proofErr w:type="spellStart"/>
      <w:r w:rsidRPr="00667201">
        <w:rPr>
          <w:rFonts w:ascii="Book Antiqua" w:eastAsia="DengXian" w:hAnsi="Book Antiqua"/>
          <w:kern w:val="2"/>
          <w:lang w:eastAsia="zh-CN"/>
        </w:rPr>
        <w:t>Defo</w:t>
      </w:r>
      <w:proofErr w:type="spellEnd"/>
      <w:r w:rsidRPr="00667201">
        <w:rPr>
          <w:rFonts w:ascii="Book Antiqua" w:eastAsia="DengXian" w:hAnsi="Book Antiqua"/>
          <w:kern w:val="2"/>
          <w:lang w:eastAsia="zh-CN"/>
        </w:rPr>
        <w:t xml:space="preserve"> BK, Kumar GA, Larson HJ, </w:t>
      </w:r>
      <w:proofErr w:type="spellStart"/>
      <w:r w:rsidRPr="00667201">
        <w:rPr>
          <w:rFonts w:ascii="Book Antiqua" w:eastAsia="DengXian" w:hAnsi="Book Antiqua"/>
          <w:kern w:val="2"/>
          <w:lang w:eastAsia="zh-CN"/>
        </w:rPr>
        <w:t>Leinsalu</w:t>
      </w:r>
      <w:proofErr w:type="spellEnd"/>
      <w:r w:rsidRPr="00667201">
        <w:rPr>
          <w:rFonts w:ascii="Book Antiqua" w:eastAsia="DengXian" w:hAnsi="Book Antiqua"/>
          <w:kern w:val="2"/>
          <w:lang w:eastAsia="zh-CN"/>
        </w:rPr>
        <w:t xml:space="preserve"> M, Liang X, Lim SS, Liu P, Lopez AD, Lozano R, Majeed A, </w:t>
      </w:r>
      <w:proofErr w:type="spellStart"/>
      <w:r w:rsidRPr="00667201">
        <w:rPr>
          <w:rFonts w:ascii="Book Antiqua" w:eastAsia="DengXian" w:hAnsi="Book Antiqua"/>
          <w:kern w:val="2"/>
          <w:lang w:eastAsia="zh-CN"/>
        </w:rPr>
        <w:t>Malekzadeh</w:t>
      </w:r>
      <w:proofErr w:type="spellEnd"/>
      <w:r w:rsidRPr="00667201">
        <w:rPr>
          <w:rFonts w:ascii="Book Antiqua" w:eastAsia="DengXian" w:hAnsi="Book Antiqua"/>
          <w:kern w:val="2"/>
          <w:lang w:eastAsia="zh-CN"/>
        </w:rPr>
        <w:t xml:space="preserve"> R, Malta DC, </w:t>
      </w:r>
      <w:proofErr w:type="spellStart"/>
      <w:r w:rsidRPr="00667201">
        <w:rPr>
          <w:rFonts w:ascii="Book Antiqua" w:eastAsia="DengXian" w:hAnsi="Book Antiqua"/>
          <w:kern w:val="2"/>
          <w:lang w:eastAsia="zh-CN"/>
        </w:rPr>
        <w:t>Mazidi</w:t>
      </w:r>
      <w:proofErr w:type="spellEnd"/>
      <w:r w:rsidRPr="00667201">
        <w:rPr>
          <w:rFonts w:ascii="Book Antiqua" w:eastAsia="DengXian" w:hAnsi="Book Antiqua"/>
          <w:kern w:val="2"/>
          <w:lang w:eastAsia="zh-CN"/>
        </w:rPr>
        <w:t xml:space="preserve"> M, </w:t>
      </w:r>
      <w:proofErr w:type="spellStart"/>
      <w:r w:rsidRPr="00667201">
        <w:rPr>
          <w:rFonts w:ascii="Book Antiqua" w:eastAsia="DengXian" w:hAnsi="Book Antiqua"/>
          <w:kern w:val="2"/>
          <w:lang w:eastAsia="zh-CN"/>
        </w:rPr>
        <w:t>McAlinden</w:t>
      </w:r>
      <w:proofErr w:type="spellEnd"/>
      <w:r w:rsidRPr="00667201">
        <w:rPr>
          <w:rFonts w:ascii="Book Antiqua" w:eastAsia="DengXian" w:hAnsi="Book Antiqua"/>
          <w:kern w:val="2"/>
          <w:lang w:eastAsia="zh-CN"/>
        </w:rPr>
        <w:t xml:space="preserve"> C, McGarvey ST, Mengistu DT, Mensah GA, </w:t>
      </w:r>
      <w:proofErr w:type="spellStart"/>
      <w:r w:rsidRPr="00667201">
        <w:rPr>
          <w:rFonts w:ascii="Book Antiqua" w:eastAsia="DengXian" w:hAnsi="Book Antiqua"/>
          <w:kern w:val="2"/>
          <w:lang w:eastAsia="zh-CN"/>
        </w:rPr>
        <w:t>Mensink</w:t>
      </w:r>
      <w:proofErr w:type="spellEnd"/>
      <w:r w:rsidRPr="00667201">
        <w:rPr>
          <w:rFonts w:ascii="Book Antiqua" w:eastAsia="DengXian" w:hAnsi="Book Antiqua"/>
          <w:kern w:val="2"/>
          <w:lang w:eastAsia="zh-CN"/>
        </w:rPr>
        <w:t xml:space="preserve"> GBM, </w:t>
      </w:r>
      <w:proofErr w:type="spellStart"/>
      <w:r w:rsidRPr="00667201">
        <w:rPr>
          <w:rFonts w:ascii="Book Antiqua" w:eastAsia="DengXian" w:hAnsi="Book Antiqua"/>
          <w:kern w:val="2"/>
          <w:lang w:eastAsia="zh-CN"/>
        </w:rPr>
        <w:t>Mezgebe</w:t>
      </w:r>
      <w:proofErr w:type="spellEnd"/>
      <w:r w:rsidRPr="00667201">
        <w:rPr>
          <w:rFonts w:ascii="Book Antiqua" w:eastAsia="DengXian" w:hAnsi="Book Antiqua"/>
          <w:kern w:val="2"/>
          <w:lang w:eastAsia="zh-CN"/>
        </w:rPr>
        <w:t xml:space="preserve"> HB, </w:t>
      </w:r>
      <w:proofErr w:type="spellStart"/>
      <w:r w:rsidRPr="00667201">
        <w:rPr>
          <w:rFonts w:ascii="Book Antiqua" w:eastAsia="DengXian" w:hAnsi="Book Antiqua"/>
          <w:kern w:val="2"/>
          <w:lang w:eastAsia="zh-CN"/>
        </w:rPr>
        <w:t>Mirrakhimov</w:t>
      </w:r>
      <w:proofErr w:type="spellEnd"/>
      <w:r w:rsidRPr="00667201">
        <w:rPr>
          <w:rFonts w:ascii="Book Antiqua" w:eastAsia="DengXian" w:hAnsi="Book Antiqua"/>
          <w:kern w:val="2"/>
          <w:lang w:eastAsia="zh-CN"/>
        </w:rPr>
        <w:t xml:space="preserve"> EM, Mueller UO, </w:t>
      </w:r>
      <w:proofErr w:type="spellStart"/>
      <w:r w:rsidRPr="00667201">
        <w:rPr>
          <w:rFonts w:ascii="Book Antiqua" w:eastAsia="DengXian" w:hAnsi="Book Antiqua"/>
          <w:kern w:val="2"/>
          <w:lang w:eastAsia="zh-CN"/>
        </w:rPr>
        <w:t>Noubiap</w:t>
      </w:r>
      <w:proofErr w:type="spellEnd"/>
      <w:r w:rsidRPr="00667201">
        <w:rPr>
          <w:rFonts w:ascii="Book Antiqua" w:eastAsia="DengXian" w:hAnsi="Book Antiqua"/>
          <w:kern w:val="2"/>
          <w:lang w:eastAsia="zh-CN"/>
        </w:rPr>
        <w:t xml:space="preserve"> JJ, Obermeyer CM, </w:t>
      </w:r>
      <w:proofErr w:type="spellStart"/>
      <w:r w:rsidRPr="00667201">
        <w:rPr>
          <w:rFonts w:ascii="Book Antiqua" w:eastAsia="DengXian" w:hAnsi="Book Antiqua"/>
          <w:kern w:val="2"/>
          <w:lang w:eastAsia="zh-CN"/>
        </w:rPr>
        <w:t>Ogbo</w:t>
      </w:r>
      <w:proofErr w:type="spellEnd"/>
      <w:r w:rsidRPr="00667201">
        <w:rPr>
          <w:rFonts w:ascii="Book Antiqua" w:eastAsia="DengXian" w:hAnsi="Book Antiqua"/>
          <w:kern w:val="2"/>
          <w:lang w:eastAsia="zh-CN"/>
        </w:rPr>
        <w:t xml:space="preserve"> FA, Owolabi MO, Patton GC, </w:t>
      </w:r>
      <w:proofErr w:type="spellStart"/>
      <w:r w:rsidRPr="00667201">
        <w:rPr>
          <w:rFonts w:ascii="Book Antiqua" w:eastAsia="DengXian" w:hAnsi="Book Antiqua"/>
          <w:kern w:val="2"/>
          <w:lang w:eastAsia="zh-CN"/>
        </w:rPr>
        <w:t>Pourmalek</w:t>
      </w:r>
      <w:proofErr w:type="spellEnd"/>
      <w:r w:rsidRPr="00667201">
        <w:rPr>
          <w:rFonts w:ascii="Book Antiqua" w:eastAsia="DengXian" w:hAnsi="Book Antiqua"/>
          <w:kern w:val="2"/>
          <w:lang w:eastAsia="zh-CN"/>
        </w:rPr>
        <w:t xml:space="preserve"> F, </w:t>
      </w:r>
      <w:proofErr w:type="spellStart"/>
      <w:r w:rsidRPr="00667201">
        <w:rPr>
          <w:rFonts w:ascii="Book Antiqua" w:eastAsia="DengXian" w:hAnsi="Book Antiqua"/>
          <w:kern w:val="2"/>
          <w:lang w:eastAsia="zh-CN"/>
        </w:rPr>
        <w:t>Qorbani</w:t>
      </w:r>
      <w:proofErr w:type="spellEnd"/>
      <w:r w:rsidRPr="00667201">
        <w:rPr>
          <w:rFonts w:ascii="Book Antiqua" w:eastAsia="DengXian" w:hAnsi="Book Antiqua"/>
          <w:kern w:val="2"/>
          <w:lang w:eastAsia="zh-CN"/>
        </w:rPr>
        <w:t xml:space="preserve"> M, </w:t>
      </w:r>
      <w:proofErr w:type="spellStart"/>
      <w:r w:rsidRPr="00667201">
        <w:rPr>
          <w:rFonts w:ascii="Book Antiqua" w:eastAsia="DengXian" w:hAnsi="Book Antiqua"/>
          <w:kern w:val="2"/>
          <w:lang w:eastAsia="zh-CN"/>
        </w:rPr>
        <w:t>Rafay</w:t>
      </w:r>
      <w:proofErr w:type="spellEnd"/>
      <w:r w:rsidRPr="00667201">
        <w:rPr>
          <w:rFonts w:ascii="Book Antiqua" w:eastAsia="DengXian" w:hAnsi="Book Antiqua"/>
          <w:kern w:val="2"/>
          <w:lang w:eastAsia="zh-CN"/>
        </w:rPr>
        <w:t xml:space="preserve"> A, Rai RK, </w:t>
      </w:r>
      <w:proofErr w:type="spellStart"/>
      <w:r w:rsidRPr="00667201">
        <w:rPr>
          <w:rFonts w:ascii="Book Antiqua" w:eastAsia="DengXian" w:hAnsi="Book Antiqua"/>
          <w:kern w:val="2"/>
          <w:lang w:eastAsia="zh-CN"/>
        </w:rPr>
        <w:t>Ranabhat</w:t>
      </w:r>
      <w:proofErr w:type="spellEnd"/>
      <w:r w:rsidRPr="00667201">
        <w:rPr>
          <w:rFonts w:ascii="Book Antiqua" w:eastAsia="DengXian" w:hAnsi="Book Antiqua"/>
          <w:kern w:val="2"/>
          <w:lang w:eastAsia="zh-CN"/>
        </w:rPr>
        <w:t xml:space="preserve"> CL, </w:t>
      </w:r>
      <w:proofErr w:type="spellStart"/>
      <w:r w:rsidRPr="00667201">
        <w:rPr>
          <w:rFonts w:ascii="Book Antiqua" w:eastAsia="DengXian" w:hAnsi="Book Antiqua"/>
          <w:kern w:val="2"/>
          <w:lang w:eastAsia="zh-CN"/>
        </w:rPr>
        <w:t>Reinig</w:t>
      </w:r>
      <w:proofErr w:type="spellEnd"/>
      <w:r w:rsidRPr="00667201">
        <w:rPr>
          <w:rFonts w:ascii="Book Antiqua" w:eastAsia="DengXian" w:hAnsi="Book Antiqua"/>
          <w:kern w:val="2"/>
          <w:lang w:eastAsia="zh-CN"/>
        </w:rPr>
        <w:t xml:space="preserve"> N, </w:t>
      </w:r>
      <w:proofErr w:type="spellStart"/>
      <w:r w:rsidRPr="00667201">
        <w:rPr>
          <w:rFonts w:ascii="Book Antiqua" w:eastAsia="DengXian" w:hAnsi="Book Antiqua"/>
          <w:kern w:val="2"/>
          <w:lang w:eastAsia="zh-CN"/>
        </w:rPr>
        <w:t>Safiri</w:t>
      </w:r>
      <w:proofErr w:type="spellEnd"/>
      <w:r w:rsidRPr="00667201">
        <w:rPr>
          <w:rFonts w:ascii="Book Antiqua" w:eastAsia="DengXian" w:hAnsi="Book Antiqua"/>
          <w:kern w:val="2"/>
          <w:lang w:eastAsia="zh-CN"/>
        </w:rPr>
        <w:t xml:space="preserve"> S, Salomon JA, Sanabria JR, Santos IS, Sartorius B, Sawhney M, </w:t>
      </w:r>
      <w:proofErr w:type="spellStart"/>
      <w:r w:rsidRPr="00667201">
        <w:rPr>
          <w:rFonts w:ascii="Book Antiqua" w:eastAsia="DengXian" w:hAnsi="Book Antiqua"/>
          <w:kern w:val="2"/>
          <w:lang w:eastAsia="zh-CN"/>
        </w:rPr>
        <w:t>Schmidhuber</w:t>
      </w:r>
      <w:proofErr w:type="spellEnd"/>
      <w:r w:rsidRPr="00667201">
        <w:rPr>
          <w:rFonts w:ascii="Book Antiqua" w:eastAsia="DengXian" w:hAnsi="Book Antiqua"/>
          <w:kern w:val="2"/>
          <w:lang w:eastAsia="zh-CN"/>
        </w:rPr>
        <w:t xml:space="preserve"> J, Schutte AE, Schmidt MI, </w:t>
      </w:r>
      <w:proofErr w:type="spellStart"/>
      <w:r w:rsidRPr="00667201">
        <w:rPr>
          <w:rFonts w:ascii="Book Antiqua" w:eastAsia="DengXian" w:hAnsi="Book Antiqua"/>
          <w:kern w:val="2"/>
          <w:lang w:eastAsia="zh-CN"/>
        </w:rPr>
        <w:t>Sepanlou</w:t>
      </w:r>
      <w:proofErr w:type="spellEnd"/>
      <w:r w:rsidRPr="00667201">
        <w:rPr>
          <w:rFonts w:ascii="Book Antiqua" w:eastAsia="DengXian" w:hAnsi="Book Antiqua"/>
          <w:kern w:val="2"/>
          <w:lang w:eastAsia="zh-CN"/>
        </w:rPr>
        <w:t xml:space="preserve"> SG, </w:t>
      </w:r>
      <w:proofErr w:type="spellStart"/>
      <w:r w:rsidRPr="00667201">
        <w:rPr>
          <w:rFonts w:ascii="Book Antiqua" w:eastAsia="DengXian" w:hAnsi="Book Antiqua"/>
          <w:kern w:val="2"/>
          <w:lang w:eastAsia="zh-CN"/>
        </w:rPr>
        <w:t>Shamsizadeh</w:t>
      </w:r>
      <w:proofErr w:type="spellEnd"/>
      <w:r w:rsidRPr="00667201">
        <w:rPr>
          <w:rFonts w:ascii="Book Antiqua" w:eastAsia="DengXian" w:hAnsi="Book Antiqua"/>
          <w:kern w:val="2"/>
          <w:lang w:eastAsia="zh-CN"/>
        </w:rPr>
        <w:t xml:space="preserve"> M, </w:t>
      </w:r>
      <w:proofErr w:type="spellStart"/>
      <w:r w:rsidRPr="00667201">
        <w:rPr>
          <w:rFonts w:ascii="Book Antiqua" w:eastAsia="DengXian" w:hAnsi="Book Antiqua"/>
          <w:kern w:val="2"/>
          <w:lang w:eastAsia="zh-CN"/>
        </w:rPr>
        <w:t>Sheikhbahaei</w:t>
      </w:r>
      <w:proofErr w:type="spellEnd"/>
      <w:r w:rsidRPr="00667201">
        <w:rPr>
          <w:rFonts w:ascii="Book Antiqua" w:eastAsia="DengXian" w:hAnsi="Book Antiqua"/>
          <w:kern w:val="2"/>
          <w:lang w:eastAsia="zh-CN"/>
        </w:rPr>
        <w:t xml:space="preserve"> S, Shin MJ, Shiri R, Shiue I, </w:t>
      </w:r>
      <w:proofErr w:type="spellStart"/>
      <w:r w:rsidRPr="00667201">
        <w:rPr>
          <w:rFonts w:ascii="Book Antiqua" w:eastAsia="DengXian" w:hAnsi="Book Antiqua"/>
          <w:kern w:val="2"/>
          <w:lang w:eastAsia="zh-CN"/>
        </w:rPr>
        <w:t>Roba</w:t>
      </w:r>
      <w:proofErr w:type="spellEnd"/>
      <w:r w:rsidRPr="00667201">
        <w:rPr>
          <w:rFonts w:ascii="Book Antiqua" w:eastAsia="DengXian" w:hAnsi="Book Antiqua"/>
          <w:kern w:val="2"/>
          <w:lang w:eastAsia="zh-CN"/>
        </w:rPr>
        <w:t xml:space="preserve"> HS, Silva DAS, Silverberg JI, Singh JA, </w:t>
      </w:r>
      <w:proofErr w:type="spellStart"/>
      <w:r w:rsidRPr="00667201">
        <w:rPr>
          <w:rFonts w:ascii="Book Antiqua" w:eastAsia="DengXian" w:hAnsi="Book Antiqua"/>
          <w:kern w:val="2"/>
          <w:lang w:eastAsia="zh-CN"/>
        </w:rPr>
        <w:t>Stranges</w:t>
      </w:r>
      <w:proofErr w:type="spellEnd"/>
      <w:r w:rsidRPr="00667201">
        <w:rPr>
          <w:rFonts w:ascii="Book Antiqua" w:eastAsia="DengXian" w:hAnsi="Book Antiqua"/>
          <w:kern w:val="2"/>
          <w:lang w:eastAsia="zh-CN"/>
        </w:rPr>
        <w:t xml:space="preserve"> S, Swaminathan S, </w:t>
      </w:r>
      <w:proofErr w:type="spellStart"/>
      <w:r w:rsidRPr="00667201">
        <w:rPr>
          <w:rFonts w:ascii="Book Antiqua" w:eastAsia="DengXian" w:hAnsi="Book Antiqua"/>
          <w:kern w:val="2"/>
          <w:lang w:eastAsia="zh-CN"/>
        </w:rPr>
        <w:t>Tabarés-Seisdedos</w:t>
      </w:r>
      <w:proofErr w:type="spellEnd"/>
      <w:r w:rsidRPr="00667201">
        <w:rPr>
          <w:rFonts w:ascii="Book Antiqua" w:eastAsia="DengXian" w:hAnsi="Book Antiqua"/>
          <w:kern w:val="2"/>
          <w:lang w:eastAsia="zh-CN"/>
        </w:rPr>
        <w:t xml:space="preserve"> R, </w:t>
      </w:r>
      <w:proofErr w:type="spellStart"/>
      <w:r w:rsidRPr="00667201">
        <w:rPr>
          <w:rFonts w:ascii="Book Antiqua" w:eastAsia="DengXian" w:hAnsi="Book Antiqua"/>
          <w:kern w:val="2"/>
          <w:lang w:eastAsia="zh-CN"/>
        </w:rPr>
        <w:t>Tadese</w:t>
      </w:r>
      <w:proofErr w:type="spellEnd"/>
      <w:r w:rsidRPr="00667201">
        <w:rPr>
          <w:rFonts w:ascii="Book Antiqua" w:eastAsia="DengXian" w:hAnsi="Book Antiqua"/>
          <w:kern w:val="2"/>
          <w:lang w:eastAsia="zh-CN"/>
        </w:rPr>
        <w:t xml:space="preserve"> F, </w:t>
      </w:r>
      <w:proofErr w:type="spellStart"/>
      <w:r w:rsidRPr="00667201">
        <w:rPr>
          <w:rFonts w:ascii="Book Antiqua" w:eastAsia="DengXian" w:hAnsi="Book Antiqua"/>
          <w:kern w:val="2"/>
          <w:lang w:eastAsia="zh-CN"/>
        </w:rPr>
        <w:t>Tedla</w:t>
      </w:r>
      <w:proofErr w:type="spellEnd"/>
      <w:r w:rsidRPr="00667201">
        <w:rPr>
          <w:rFonts w:ascii="Book Antiqua" w:eastAsia="DengXian" w:hAnsi="Book Antiqua"/>
          <w:kern w:val="2"/>
          <w:lang w:eastAsia="zh-CN"/>
        </w:rPr>
        <w:t xml:space="preserve"> BA, </w:t>
      </w:r>
      <w:proofErr w:type="spellStart"/>
      <w:r w:rsidRPr="00667201">
        <w:rPr>
          <w:rFonts w:ascii="Book Antiqua" w:eastAsia="DengXian" w:hAnsi="Book Antiqua"/>
          <w:kern w:val="2"/>
          <w:lang w:eastAsia="zh-CN"/>
        </w:rPr>
        <w:t>Tegegne</w:t>
      </w:r>
      <w:proofErr w:type="spellEnd"/>
      <w:r w:rsidRPr="00667201">
        <w:rPr>
          <w:rFonts w:ascii="Book Antiqua" w:eastAsia="DengXian" w:hAnsi="Book Antiqua"/>
          <w:kern w:val="2"/>
          <w:lang w:eastAsia="zh-CN"/>
        </w:rPr>
        <w:t xml:space="preserve"> BS, </w:t>
      </w:r>
      <w:proofErr w:type="spellStart"/>
      <w:r w:rsidRPr="00667201">
        <w:rPr>
          <w:rFonts w:ascii="Book Antiqua" w:eastAsia="DengXian" w:hAnsi="Book Antiqua"/>
          <w:kern w:val="2"/>
          <w:lang w:eastAsia="zh-CN"/>
        </w:rPr>
        <w:t>Terkawi</w:t>
      </w:r>
      <w:proofErr w:type="spellEnd"/>
      <w:r w:rsidRPr="00667201">
        <w:rPr>
          <w:rFonts w:ascii="Book Antiqua" w:eastAsia="DengXian" w:hAnsi="Book Antiqua"/>
          <w:kern w:val="2"/>
          <w:lang w:eastAsia="zh-CN"/>
        </w:rPr>
        <w:t xml:space="preserve"> AS, Thakur JS, Tonelli M, </w:t>
      </w:r>
      <w:proofErr w:type="spellStart"/>
      <w:r w:rsidRPr="00667201">
        <w:rPr>
          <w:rFonts w:ascii="Book Antiqua" w:eastAsia="DengXian" w:hAnsi="Book Antiqua"/>
          <w:kern w:val="2"/>
          <w:lang w:eastAsia="zh-CN"/>
        </w:rPr>
        <w:t>Topor-Madry</w:t>
      </w:r>
      <w:proofErr w:type="spellEnd"/>
      <w:r w:rsidRPr="00667201">
        <w:rPr>
          <w:rFonts w:ascii="Book Antiqua" w:eastAsia="DengXian" w:hAnsi="Book Antiqua"/>
          <w:kern w:val="2"/>
          <w:lang w:eastAsia="zh-CN"/>
        </w:rPr>
        <w:t xml:space="preserve"> R, Tyrovolas S, </w:t>
      </w:r>
      <w:proofErr w:type="spellStart"/>
      <w:r w:rsidRPr="00667201">
        <w:rPr>
          <w:rFonts w:ascii="Book Antiqua" w:eastAsia="DengXian" w:hAnsi="Book Antiqua"/>
          <w:kern w:val="2"/>
          <w:lang w:eastAsia="zh-CN"/>
        </w:rPr>
        <w:t>Ukwaja</w:t>
      </w:r>
      <w:proofErr w:type="spellEnd"/>
      <w:r w:rsidRPr="00667201">
        <w:rPr>
          <w:rFonts w:ascii="Book Antiqua" w:eastAsia="DengXian" w:hAnsi="Book Antiqua"/>
          <w:kern w:val="2"/>
          <w:lang w:eastAsia="zh-CN"/>
        </w:rPr>
        <w:t xml:space="preserve"> KN, Uthman OA, </w:t>
      </w:r>
      <w:proofErr w:type="spellStart"/>
      <w:r w:rsidRPr="00667201">
        <w:rPr>
          <w:rFonts w:ascii="Book Antiqua" w:eastAsia="DengXian" w:hAnsi="Book Antiqua"/>
          <w:kern w:val="2"/>
          <w:lang w:eastAsia="zh-CN"/>
        </w:rPr>
        <w:t>Vaezghasemi</w:t>
      </w:r>
      <w:proofErr w:type="spellEnd"/>
      <w:r w:rsidRPr="00667201">
        <w:rPr>
          <w:rFonts w:ascii="Book Antiqua" w:eastAsia="DengXian" w:hAnsi="Book Antiqua"/>
          <w:kern w:val="2"/>
          <w:lang w:eastAsia="zh-CN"/>
        </w:rPr>
        <w:t xml:space="preserve"> M, </w:t>
      </w:r>
      <w:proofErr w:type="spellStart"/>
      <w:r w:rsidRPr="00667201">
        <w:rPr>
          <w:rFonts w:ascii="Book Antiqua" w:eastAsia="DengXian" w:hAnsi="Book Antiqua"/>
          <w:kern w:val="2"/>
          <w:lang w:eastAsia="zh-CN"/>
        </w:rPr>
        <w:t>Vasankari</w:t>
      </w:r>
      <w:proofErr w:type="spellEnd"/>
      <w:r w:rsidRPr="00667201">
        <w:rPr>
          <w:rFonts w:ascii="Book Antiqua" w:eastAsia="DengXian" w:hAnsi="Book Antiqua"/>
          <w:kern w:val="2"/>
          <w:lang w:eastAsia="zh-CN"/>
        </w:rPr>
        <w:t xml:space="preserve"> T, </w:t>
      </w:r>
      <w:proofErr w:type="spellStart"/>
      <w:r w:rsidRPr="00667201">
        <w:rPr>
          <w:rFonts w:ascii="Book Antiqua" w:eastAsia="DengXian" w:hAnsi="Book Antiqua"/>
          <w:kern w:val="2"/>
          <w:lang w:eastAsia="zh-CN"/>
        </w:rPr>
        <w:t>Vlassov</w:t>
      </w:r>
      <w:proofErr w:type="spellEnd"/>
      <w:r w:rsidRPr="00667201">
        <w:rPr>
          <w:rFonts w:ascii="Book Antiqua" w:eastAsia="DengXian" w:hAnsi="Book Antiqua"/>
          <w:kern w:val="2"/>
          <w:lang w:eastAsia="zh-CN"/>
        </w:rPr>
        <w:t xml:space="preserve"> VV, </w:t>
      </w:r>
      <w:proofErr w:type="spellStart"/>
      <w:r w:rsidRPr="00667201">
        <w:rPr>
          <w:rFonts w:ascii="Book Antiqua" w:eastAsia="DengXian" w:hAnsi="Book Antiqua"/>
          <w:kern w:val="2"/>
          <w:lang w:eastAsia="zh-CN"/>
        </w:rPr>
        <w:t>Vollset</w:t>
      </w:r>
      <w:proofErr w:type="spellEnd"/>
      <w:r w:rsidRPr="00667201">
        <w:rPr>
          <w:rFonts w:ascii="Book Antiqua" w:eastAsia="DengXian" w:hAnsi="Book Antiqua"/>
          <w:kern w:val="2"/>
          <w:lang w:eastAsia="zh-CN"/>
        </w:rPr>
        <w:t xml:space="preserve"> SE, </w:t>
      </w:r>
      <w:proofErr w:type="spellStart"/>
      <w:r w:rsidRPr="00667201">
        <w:rPr>
          <w:rFonts w:ascii="Book Antiqua" w:eastAsia="DengXian" w:hAnsi="Book Antiqua"/>
          <w:kern w:val="2"/>
          <w:lang w:eastAsia="zh-CN"/>
        </w:rPr>
        <w:t>Weiderpass</w:t>
      </w:r>
      <w:proofErr w:type="spellEnd"/>
      <w:r w:rsidRPr="00667201">
        <w:rPr>
          <w:rFonts w:ascii="Book Antiqua" w:eastAsia="DengXian" w:hAnsi="Book Antiqua"/>
          <w:kern w:val="2"/>
          <w:lang w:eastAsia="zh-CN"/>
        </w:rPr>
        <w:t xml:space="preserve"> E, </w:t>
      </w:r>
      <w:proofErr w:type="spellStart"/>
      <w:r w:rsidRPr="00667201">
        <w:rPr>
          <w:rFonts w:ascii="Book Antiqua" w:eastAsia="DengXian" w:hAnsi="Book Antiqua"/>
          <w:kern w:val="2"/>
          <w:lang w:eastAsia="zh-CN"/>
        </w:rPr>
        <w:t>Werdecker</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Wesana</w:t>
      </w:r>
      <w:proofErr w:type="spellEnd"/>
      <w:r w:rsidRPr="00667201">
        <w:rPr>
          <w:rFonts w:ascii="Book Antiqua" w:eastAsia="DengXian" w:hAnsi="Book Antiqua"/>
          <w:kern w:val="2"/>
          <w:lang w:eastAsia="zh-CN"/>
        </w:rPr>
        <w:t xml:space="preserve"> J, </w:t>
      </w:r>
      <w:proofErr w:type="spellStart"/>
      <w:r w:rsidRPr="00667201">
        <w:rPr>
          <w:rFonts w:ascii="Book Antiqua" w:eastAsia="DengXian" w:hAnsi="Book Antiqua"/>
          <w:kern w:val="2"/>
          <w:lang w:eastAsia="zh-CN"/>
        </w:rPr>
        <w:t>Westerman</w:t>
      </w:r>
      <w:proofErr w:type="spellEnd"/>
      <w:r w:rsidRPr="00667201">
        <w:rPr>
          <w:rFonts w:ascii="Book Antiqua" w:eastAsia="DengXian" w:hAnsi="Book Antiqua"/>
          <w:kern w:val="2"/>
          <w:lang w:eastAsia="zh-CN"/>
        </w:rPr>
        <w:t xml:space="preserve"> R, Yano Y, </w:t>
      </w:r>
      <w:proofErr w:type="spellStart"/>
      <w:r w:rsidRPr="00667201">
        <w:rPr>
          <w:rFonts w:ascii="Book Antiqua" w:eastAsia="DengXian" w:hAnsi="Book Antiqua"/>
          <w:kern w:val="2"/>
          <w:lang w:eastAsia="zh-CN"/>
        </w:rPr>
        <w:t>Yonemoto</w:t>
      </w:r>
      <w:proofErr w:type="spellEnd"/>
      <w:r w:rsidRPr="00667201">
        <w:rPr>
          <w:rFonts w:ascii="Book Antiqua" w:eastAsia="DengXian" w:hAnsi="Book Antiqua"/>
          <w:kern w:val="2"/>
          <w:lang w:eastAsia="zh-CN"/>
        </w:rPr>
        <w:t xml:space="preserve"> N, </w:t>
      </w:r>
      <w:proofErr w:type="spellStart"/>
      <w:r w:rsidRPr="00667201">
        <w:rPr>
          <w:rFonts w:ascii="Book Antiqua" w:eastAsia="DengXian" w:hAnsi="Book Antiqua"/>
          <w:kern w:val="2"/>
          <w:lang w:eastAsia="zh-CN"/>
        </w:rPr>
        <w:t>Yonga</w:t>
      </w:r>
      <w:proofErr w:type="spellEnd"/>
      <w:r w:rsidRPr="00667201">
        <w:rPr>
          <w:rFonts w:ascii="Book Antiqua" w:eastAsia="DengXian" w:hAnsi="Book Antiqua"/>
          <w:kern w:val="2"/>
          <w:lang w:eastAsia="zh-CN"/>
        </w:rPr>
        <w:t xml:space="preserve"> G, Zaidi Z, </w:t>
      </w:r>
      <w:proofErr w:type="spellStart"/>
      <w:r w:rsidRPr="00667201">
        <w:rPr>
          <w:rFonts w:ascii="Book Antiqua" w:eastAsia="DengXian" w:hAnsi="Book Antiqua"/>
          <w:kern w:val="2"/>
          <w:lang w:eastAsia="zh-CN"/>
        </w:rPr>
        <w:t>Zenebe</w:t>
      </w:r>
      <w:proofErr w:type="spellEnd"/>
      <w:r w:rsidRPr="00667201">
        <w:rPr>
          <w:rFonts w:ascii="Book Antiqua" w:eastAsia="DengXian" w:hAnsi="Book Antiqua"/>
          <w:kern w:val="2"/>
          <w:lang w:eastAsia="zh-CN"/>
        </w:rPr>
        <w:t xml:space="preserve"> ZM, </w:t>
      </w:r>
      <w:proofErr w:type="spellStart"/>
      <w:r w:rsidRPr="00667201">
        <w:rPr>
          <w:rFonts w:ascii="Book Antiqua" w:eastAsia="DengXian" w:hAnsi="Book Antiqua"/>
          <w:kern w:val="2"/>
          <w:lang w:eastAsia="zh-CN"/>
        </w:rPr>
        <w:t>Zipkin</w:t>
      </w:r>
      <w:proofErr w:type="spellEnd"/>
      <w:r w:rsidRPr="00667201">
        <w:rPr>
          <w:rFonts w:ascii="Book Antiqua" w:eastAsia="DengXian" w:hAnsi="Book Antiqua"/>
          <w:kern w:val="2"/>
          <w:lang w:eastAsia="zh-CN"/>
        </w:rPr>
        <w:t xml:space="preserve"> B, Murray CJL. Health Effects of Overweight and Obesity in 195 Countries over 25 Years. </w:t>
      </w:r>
      <w:r w:rsidRPr="00667201">
        <w:rPr>
          <w:rFonts w:ascii="Book Antiqua" w:eastAsia="DengXian" w:hAnsi="Book Antiqua"/>
          <w:i/>
          <w:kern w:val="2"/>
          <w:lang w:eastAsia="zh-CN"/>
        </w:rPr>
        <w:t xml:space="preserve">N </w:t>
      </w:r>
      <w:proofErr w:type="spellStart"/>
      <w:r w:rsidRPr="00667201">
        <w:rPr>
          <w:rFonts w:ascii="Book Antiqua" w:eastAsia="DengXian" w:hAnsi="Book Antiqua"/>
          <w:i/>
          <w:kern w:val="2"/>
          <w:lang w:eastAsia="zh-CN"/>
        </w:rPr>
        <w:t>Engl</w:t>
      </w:r>
      <w:proofErr w:type="spellEnd"/>
      <w:r w:rsidRPr="00667201">
        <w:rPr>
          <w:rFonts w:ascii="Book Antiqua" w:eastAsia="DengXian" w:hAnsi="Book Antiqua"/>
          <w:i/>
          <w:kern w:val="2"/>
          <w:lang w:eastAsia="zh-CN"/>
        </w:rPr>
        <w:t xml:space="preserve"> J Med</w:t>
      </w:r>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377</w:t>
      </w:r>
      <w:r w:rsidRPr="00667201">
        <w:rPr>
          <w:rFonts w:ascii="Book Antiqua" w:eastAsia="DengXian" w:hAnsi="Book Antiqua"/>
          <w:kern w:val="2"/>
          <w:lang w:eastAsia="zh-CN"/>
        </w:rPr>
        <w:t>: 13-27 [PMID: 28604169 DOI: 10.1056/NEJMoa1614362]</w:t>
      </w:r>
    </w:p>
    <w:p w14:paraId="62169F94"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 </w:t>
      </w:r>
      <w:proofErr w:type="spellStart"/>
      <w:r w:rsidRPr="00667201">
        <w:rPr>
          <w:rFonts w:ascii="Book Antiqua" w:eastAsia="DengXian" w:hAnsi="Book Antiqua"/>
          <w:b/>
          <w:kern w:val="2"/>
          <w:lang w:eastAsia="zh-CN"/>
        </w:rPr>
        <w:t>Hourneaux</w:t>
      </w:r>
      <w:proofErr w:type="spellEnd"/>
      <w:r w:rsidRPr="00667201">
        <w:rPr>
          <w:rFonts w:ascii="Book Antiqua" w:eastAsia="DengXian" w:hAnsi="Book Antiqua"/>
          <w:b/>
          <w:kern w:val="2"/>
          <w:lang w:eastAsia="zh-CN"/>
        </w:rPr>
        <w:t xml:space="preserve"> De Moura DT</w:t>
      </w:r>
      <w:r w:rsidRPr="00667201">
        <w:rPr>
          <w:rFonts w:ascii="Book Antiqua" w:eastAsia="DengXian" w:hAnsi="Book Antiqua"/>
          <w:kern w:val="2"/>
          <w:lang w:eastAsia="zh-CN"/>
        </w:rPr>
        <w:t xml:space="preserve">, Thompson CC. Endoscopic management of weight regain following Roux-en-Y gastric bypass. </w:t>
      </w:r>
      <w:r w:rsidRPr="00667201">
        <w:rPr>
          <w:rFonts w:ascii="Book Antiqua" w:eastAsia="DengXian" w:hAnsi="Book Antiqua"/>
          <w:i/>
          <w:kern w:val="2"/>
          <w:lang w:eastAsia="zh-CN"/>
        </w:rPr>
        <w:t xml:space="preserve">Expert Rev Endocrinol </w:t>
      </w:r>
      <w:proofErr w:type="spellStart"/>
      <w:r w:rsidRPr="00667201">
        <w:rPr>
          <w:rFonts w:ascii="Book Antiqua" w:eastAsia="DengXian" w:hAnsi="Book Antiqua"/>
          <w:i/>
          <w:kern w:val="2"/>
          <w:lang w:eastAsia="zh-CN"/>
        </w:rPr>
        <w:t>Metab</w:t>
      </w:r>
      <w:proofErr w:type="spellEnd"/>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14</w:t>
      </w:r>
      <w:r w:rsidRPr="00667201">
        <w:rPr>
          <w:rFonts w:ascii="Book Antiqua" w:eastAsia="DengXian" w:hAnsi="Book Antiqua"/>
          <w:kern w:val="2"/>
          <w:lang w:eastAsia="zh-CN"/>
        </w:rPr>
        <w:t>: 97-110 [PMID: 30691326 DOI: 10.1080/17446651.2019.1571907]</w:t>
      </w:r>
    </w:p>
    <w:p w14:paraId="18F4DFE3"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lastRenderedPageBreak/>
        <w:t xml:space="preserve">3 </w:t>
      </w:r>
      <w:r w:rsidRPr="00667201">
        <w:rPr>
          <w:rFonts w:ascii="Book Antiqua" w:eastAsia="DengXian" w:hAnsi="Book Antiqua"/>
          <w:b/>
          <w:kern w:val="2"/>
          <w:lang w:eastAsia="zh-CN"/>
        </w:rPr>
        <w:t>Ribeiro IB</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Gestic</w:t>
      </w:r>
      <w:proofErr w:type="spellEnd"/>
      <w:r w:rsidRPr="00667201">
        <w:rPr>
          <w:rFonts w:ascii="Book Antiqua" w:eastAsia="DengXian" w:hAnsi="Book Antiqua"/>
          <w:kern w:val="2"/>
          <w:lang w:eastAsia="zh-CN"/>
        </w:rPr>
        <w:t xml:space="preserve"> MA, </w:t>
      </w:r>
      <w:proofErr w:type="spellStart"/>
      <w:r w:rsidRPr="00667201">
        <w:rPr>
          <w:rFonts w:ascii="Book Antiqua" w:eastAsia="DengXian" w:hAnsi="Book Antiqua"/>
          <w:kern w:val="2"/>
          <w:lang w:eastAsia="zh-CN"/>
        </w:rPr>
        <w:t>Utrini</w:t>
      </w:r>
      <w:proofErr w:type="spellEnd"/>
      <w:r w:rsidRPr="00667201">
        <w:rPr>
          <w:rFonts w:ascii="Book Antiqua" w:eastAsia="DengXian" w:hAnsi="Book Antiqua"/>
          <w:kern w:val="2"/>
          <w:lang w:eastAsia="zh-CN"/>
        </w:rPr>
        <w:t xml:space="preserve"> MP, Chaim FDM, Chaim EA, </w:t>
      </w:r>
      <w:proofErr w:type="spellStart"/>
      <w:r w:rsidRPr="00667201">
        <w:rPr>
          <w:rFonts w:ascii="Book Antiqua" w:eastAsia="DengXian" w:hAnsi="Book Antiqua"/>
          <w:kern w:val="2"/>
          <w:lang w:eastAsia="zh-CN"/>
        </w:rPr>
        <w:t>Cazzo</w:t>
      </w:r>
      <w:proofErr w:type="spellEnd"/>
      <w:r w:rsidRPr="00667201">
        <w:rPr>
          <w:rFonts w:ascii="Book Antiqua" w:eastAsia="DengXian" w:hAnsi="Book Antiqua"/>
          <w:kern w:val="2"/>
          <w:lang w:eastAsia="zh-CN"/>
        </w:rPr>
        <w:t xml:space="preserve"> E. DRAIN AMYLASE LEVELS MAY INDICATE GASTROJEJUNOSTOMY LEAKS AFTER ROUX-EN-Y GASTRIC BYPASS. </w:t>
      </w:r>
      <w:proofErr w:type="spellStart"/>
      <w:r w:rsidRPr="00667201">
        <w:rPr>
          <w:rFonts w:ascii="Book Antiqua" w:eastAsia="DengXian" w:hAnsi="Book Antiqua"/>
          <w:i/>
          <w:kern w:val="2"/>
          <w:lang w:eastAsia="zh-CN"/>
        </w:rPr>
        <w:t>Arq</w:t>
      </w:r>
      <w:proofErr w:type="spellEnd"/>
      <w:r w:rsidRPr="00667201">
        <w:rPr>
          <w:rFonts w:ascii="Book Antiqua" w:eastAsia="DengXian" w:hAnsi="Book Antiqua"/>
          <w:i/>
          <w:kern w:val="2"/>
          <w:lang w:eastAsia="zh-CN"/>
        </w:rPr>
        <w:t xml:space="preserve"> Gastroenterol</w:t>
      </w:r>
      <w:r w:rsidRPr="00667201">
        <w:rPr>
          <w:rFonts w:ascii="Book Antiqua" w:eastAsia="DengXian" w:hAnsi="Book Antiqua"/>
          <w:kern w:val="2"/>
          <w:lang w:eastAsia="zh-CN"/>
        </w:rPr>
        <w:t xml:space="preserve"> 2018; </w:t>
      </w:r>
      <w:r w:rsidRPr="00667201">
        <w:rPr>
          <w:rFonts w:ascii="Book Antiqua" w:eastAsia="DengXian" w:hAnsi="Book Antiqua"/>
          <w:b/>
          <w:kern w:val="2"/>
          <w:lang w:eastAsia="zh-CN"/>
        </w:rPr>
        <w:t>55</w:t>
      </w:r>
      <w:r w:rsidRPr="00667201">
        <w:rPr>
          <w:rFonts w:ascii="Book Antiqua" w:eastAsia="DengXian" w:hAnsi="Book Antiqua"/>
          <w:kern w:val="2"/>
          <w:lang w:eastAsia="zh-CN"/>
        </w:rPr>
        <w:t>: 66-72 [PMID: 29561980 DOI: 10.1590/S0004-2803.201800000-13]</w:t>
      </w:r>
    </w:p>
    <w:p w14:paraId="053DC941"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4 </w:t>
      </w:r>
      <w:r w:rsidRPr="00667201">
        <w:rPr>
          <w:rFonts w:ascii="Book Antiqua" w:eastAsia="DengXian" w:hAnsi="Book Antiqua"/>
          <w:b/>
          <w:kern w:val="2"/>
          <w:lang w:eastAsia="zh-CN"/>
        </w:rPr>
        <w:t>de Almeida LS</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Bazarbashi</w:t>
      </w:r>
      <w:proofErr w:type="spellEnd"/>
      <w:r w:rsidRPr="00667201">
        <w:rPr>
          <w:rFonts w:ascii="Book Antiqua" w:eastAsia="DengXian" w:hAnsi="Book Antiqua"/>
          <w:kern w:val="2"/>
          <w:lang w:eastAsia="zh-CN"/>
        </w:rPr>
        <w:t xml:space="preserve"> AN, de Souza TF, de Moura BFBH, de Moura DTH. Modifying an Intragastric Balloon for the Treatment of Obesity: </w:t>
      </w:r>
      <w:proofErr w:type="gramStart"/>
      <w:r w:rsidRPr="00667201">
        <w:rPr>
          <w:rFonts w:ascii="Book Antiqua" w:eastAsia="DengXian" w:hAnsi="Book Antiqua"/>
          <w:kern w:val="2"/>
          <w:lang w:eastAsia="zh-CN"/>
        </w:rPr>
        <w:t>a</w:t>
      </w:r>
      <w:proofErr w:type="gramEnd"/>
      <w:r w:rsidRPr="00667201">
        <w:rPr>
          <w:rFonts w:ascii="Book Antiqua" w:eastAsia="DengXian" w:hAnsi="Book Antiqua"/>
          <w:kern w:val="2"/>
          <w:lang w:eastAsia="zh-CN"/>
        </w:rPr>
        <w:t xml:space="preserve"> Unique Approach. </w:t>
      </w:r>
      <w:proofErr w:type="spellStart"/>
      <w:r w:rsidRPr="00667201">
        <w:rPr>
          <w:rFonts w:ascii="Book Antiqua" w:eastAsia="DengXian" w:hAnsi="Book Antiqua"/>
          <w:i/>
          <w:kern w:val="2"/>
          <w:lang w:eastAsia="zh-CN"/>
        </w:rPr>
        <w:t>Obes</w:t>
      </w:r>
      <w:proofErr w:type="spellEnd"/>
      <w:r w:rsidRPr="00667201">
        <w:rPr>
          <w:rFonts w:ascii="Book Antiqua" w:eastAsia="DengXian" w:hAnsi="Book Antiqua"/>
          <w:i/>
          <w:kern w:val="2"/>
          <w:lang w:eastAsia="zh-CN"/>
        </w:rPr>
        <w:t xml:space="preserve"> Surg</w:t>
      </w:r>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29</w:t>
      </w:r>
      <w:r w:rsidRPr="00667201">
        <w:rPr>
          <w:rFonts w:ascii="Book Antiqua" w:eastAsia="DengXian" w:hAnsi="Book Antiqua"/>
          <w:kern w:val="2"/>
          <w:lang w:eastAsia="zh-CN"/>
        </w:rPr>
        <w:t>: 1445-1446 [PMID: 30737762 DOI: 10.1007/s11695-019-03771-1]</w:t>
      </w:r>
    </w:p>
    <w:p w14:paraId="2E5E8886"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5 </w:t>
      </w:r>
      <w:r w:rsidRPr="00667201">
        <w:rPr>
          <w:rFonts w:ascii="Book Antiqua" w:eastAsia="DengXian" w:hAnsi="Book Antiqua"/>
          <w:b/>
          <w:kern w:val="2"/>
          <w:lang w:eastAsia="zh-CN"/>
        </w:rPr>
        <w:t>de Moura DTH</w:t>
      </w:r>
      <w:r w:rsidRPr="00667201">
        <w:rPr>
          <w:rFonts w:ascii="Book Antiqua" w:eastAsia="DengXian" w:hAnsi="Book Antiqua"/>
          <w:kern w:val="2"/>
          <w:lang w:eastAsia="zh-CN"/>
        </w:rPr>
        <w:t xml:space="preserve">, de Moura EGH, </w:t>
      </w:r>
      <w:proofErr w:type="spellStart"/>
      <w:r w:rsidRPr="00667201">
        <w:rPr>
          <w:rFonts w:ascii="Book Antiqua" w:eastAsia="DengXian" w:hAnsi="Book Antiqua"/>
          <w:kern w:val="2"/>
          <w:lang w:eastAsia="zh-CN"/>
        </w:rPr>
        <w:t>Neto</w:t>
      </w:r>
      <w:proofErr w:type="spellEnd"/>
      <w:r w:rsidRPr="00667201">
        <w:rPr>
          <w:rFonts w:ascii="Book Antiqua" w:eastAsia="DengXian" w:hAnsi="Book Antiqua"/>
          <w:kern w:val="2"/>
          <w:lang w:eastAsia="zh-CN"/>
        </w:rPr>
        <w:t xml:space="preserve"> MG, Thompson CC. To the Editor. </w:t>
      </w:r>
      <w:r w:rsidRPr="00667201">
        <w:rPr>
          <w:rFonts w:ascii="Book Antiqua" w:eastAsia="DengXian" w:hAnsi="Book Antiqua"/>
          <w:i/>
          <w:kern w:val="2"/>
          <w:lang w:eastAsia="zh-CN"/>
        </w:rPr>
        <w:t xml:space="preserve">Surg </w:t>
      </w:r>
      <w:proofErr w:type="spellStart"/>
      <w:r w:rsidRPr="00667201">
        <w:rPr>
          <w:rFonts w:ascii="Book Antiqua" w:eastAsia="DengXian" w:hAnsi="Book Antiqua"/>
          <w:i/>
          <w:kern w:val="2"/>
          <w:lang w:eastAsia="zh-CN"/>
        </w:rPr>
        <w:t>Obes</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Relat</w:t>
      </w:r>
      <w:proofErr w:type="spellEnd"/>
      <w:r w:rsidRPr="00667201">
        <w:rPr>
          <w:rFonts w:ascii="Book Antiqua" w:eastAsia="DengXian" w:hAnsi="Book Antiqua"/>
          <w:i/>
          <w:kern w:val="2"/>
          <w:lang w:eastAsia="zh-CN"/>
        </w:rPr>
        <w:t xml:space="preserve"> Dis</w:t>
      </w:r>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15</w:t>
      </w:r>
      <w:r w:rsidRPr="00667201">
        <w:rPr>
          <w:rFonts w:ascii="Book Antiqua" w:eastAsia="DengXian" w:hAnsi="Book Antiqua"/>
          <w:kern w:val="2"/>
          <w:lang w:eastAsia="zh-CN"/>
        </w:rPr>
        <w:t>: 155-157 [PMID: 30477752 DOI: 10.1016/j.soard.2018.10.006]</w:t>
      </w:r>
    </w:p>
    <w:p w14:paraId="7BA84236"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6 </w:t>
      </w:r>
      <w:r w:rsidRPr="00667201">
        <w:rPr>
          <w:rFonts w:ascii="Book Antiqua" w:eastAsia="DengXian" w:hAnsi="Book Antiqua"/>
          <w:b/>
          <w:kern w:val="2"/>
          <w:lang w:eastAsia="zh-CN"/>
        </w:rPr>
        <w:t>Lopez-Nava G</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Galvão</w:t>
      </w:r>
      <w:proofErr w:type="spellEnd"/>
      <w:r w:rsidRPr="00667201">
        <w:rPr>
          <w:rFonts w:ascii="Book Antiqua" w:eastAsia="DengXian" w:hAnsi="Book Antiqua"/>
          <w:kern w:val="2"/>
          <w:lang w:eastAsia="zh-CN"/>
        </w:rPr>
        <w:t xml:space="preserve"> MP, Bautista-</w:t>
      </w:r>
      <w:proofErr w:type="spellStart"/>
      <w:r w:rsidRPr="00667201">
        <w:rPr>
          <w:rFonts w:ascii="Book Antiqua" w:eastAsia="DengXian" w:hAnsi="Book Antiqua"/>
          <w:kern w:val="2"/>
          <w:lang w:eastAsia="zh-CN"/>
        </w:rPr>
        <w:t>Castaño</w:t>
      </w:r>
      <w:proofErr w:type="spellEnd"/>
      <w:r w:rsidRPr="00667201">
        <w:rPr>
          <w:rFonts w:ascii="Book Antiqua" w:eastAsia="DengXian" w:hAnsi="Book Antiqua"/>
          <w:kern w:val="2"/>
          <w:lang w:eastAsia="zh-CN"/>
        </w:rPr>
        <w:t xml:space="preserve"> I, Fernandez-</w:t>
      </w:r>
      <w:proofErr w:type="spellStart"/>
      <w:r w:rsidRPr="00667201">
        <w:rPr>
          <w:rFonts w:ascii="Book Antiqua" w:eastAsia="DengXian" w:hAnsi="Book Antiqua"/>
          <w:kern w:val="2"/>
          <w:lang w:eastAsia="zh-CN"/>
        </w:rPr>
        <w:t>Corbelle</w:t>
      </w:r>
      <w:proofErr w:type="spellEnd"/>
      <w:r w:rsidRPr="00667201">
        <w:rPr>
          <w:rFonts w:ascii="Book Antiqua" w:eastAsia="DengXian" w:hAnsi="Book Antiqua"/>
          <w:kern w:val="2"/>
          <w:lang w:eastAsia="zh-CN"/>
        </w:rPr>
        <w:t xml:space="preserve"> JP, </w:t>
      </w:r>
      <w:proofErr w:type="spellStart"/>
      <w:r w:rsidRPr="00667201">
        <w:rPr>
          <w:rFonts w:ascii="Book Antiqua" w:eastAsia="DengXian" w:hAnsi="Book Antiqua"/>
          <w:kern w:val="2"/>
          <w:lang w:eastAsia="zh-CN"/>
        </w:rPr>
        <w:t>Trell</w:t>
      </w:r>
      <w:proofErr w:type="spellEnd"/>
      <w:r w:rsidRPr="00667201">
        <w:rPr>
          <w:rFonts w:ascii="Book Antiqua" w:eastAsia="DengXian" w:hAnsi="Book Antiqua"/>
          <w:kern w:val="2"/>
          <w:lang w:eastAsia="zh-CN"/>
        </w:rPr>
        <w:t xml:space="preserve"> M, Lopez N. ENDOSCOPIC SLEEVE GASTROPLASTY FOR OBESITY TREATMENT: TWO YEARS OF EXPERIENCE. </w:t>
      </w:r>
      <w:proofErr w:type="spellStart"/>
      <w:r w:rsidRPr="00667201">
        <w:rPr>
          <w:rFonts w:ascii="Book Antiqua" w:eastAsia="DengXian" w:hAnsi="Book Antiqua"/>
          <w:i/>
          <w:kern w:val="2"/>
          <w:lang w:eastAsia="zh-CN"/>
        </w:rPr>
        <w:t>Arq</w:t>
      </w:r>
      <w:proofErr w:type="spellEnd"/>
      <w:r w:rsidRPr="00667201">
        <w:rPr>
          <w:rFonts w:ascii="Book Antiqua" w:eastAsia="DengXian" w:hAnsi="Book Antiqua"/>
          <w:i/>
          <w:kern w:val="2"/>
          <w:lang w:eastAsia="zh-CN"/>
        </w:rPr>
        <w:t xml:space="preserve"> Bras Cir Dig</w:t>
      </w:r>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30</w:t>
      </w:r>
      <w:r w:rsidRPr="00667201">
        <w:rPr>
          <w:rFonts w:ascii="Book Antiqua" w:eastAsia="DengXian" w:hAnsi="Book Antiqua"/>
          <w:kern w:val="2"/>
          <w:lang w:eastAsia="zh-CN"/>
        </w:rPr>
        <w:t>: 18-20 [PMID: 28489162 DOI: 10.1590/0102-6720201700010006]</w:t>
      </w:r>
    </w:p>
    <w:p w14:paraId="0101010A"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7 </w:t>
      </w:r>
      <w:proofErr w:type="spellStart"/>
      <w:r w:rsidRPr="00667201">
        <w:rPr>
          <w:rFonts w:ascii="Book Antiqua" w:eastAsia="DengXian" w:hAnsi="Book Antiqua"/>
          <w:b/>
          <w:kern w:val="2"/>
          <w:lang w:eastAsia="zh-CN"/>
        </w:rPr>
        <w:t>Sartoretto</w:t>
      </w:r>
      <w:proofErr w:type="spellEnd"/>
      <w:r w:rsidRPr="00667201">
        <w:rPr>
          <w:rFonts w:ascii="Book Antiqua" w:eastAsia="DengXian" w:hAnsi="Book Antiqua"/>
          <w:b/>
          <w:kern w:val="2"/>
          <w:lang w:eastAsia="zh-CN"/>
        </w:rPr>
        <w:t xml:space="preserve"> A</w:t>
      </w:r>
      <w:r w:rsidRPr="00667201">
        <w:rPr>
          <w:rFonts w:ascii="Book Antiqua" w:eastAsia="DengXian" w:hAnsi="Book Antiqua"/>
          <w:kern w:val="2"/>
          <w:lang w:eastAsia="zh-CN"/>
        </w:rPr>
        <w:t xml:space="preserve">, Sui Z, Hill C, Dunlap M, Rivera AR, </w:t>
      </w:r>
      <w:proofErr w:type="spellStart"/>
      <w:r w:rsidRPr="00667201">
        <w:rPr>
          <w:rFonts w:ascii="Book Antiqua" w:eastAsia="DengXian" w:hAnsi="Book Antiqua"/>
          <w:kern w:val="2"/>
          <w:lang w:eastAsia="zh-CN"/>
        </w:rPr>
        <w:t>Khashab</w:t>
      </w:r>
      <w:proofErr w:type="spellEnd"/>
      <w:r w:rsidRPr="00667201">
        <w:rPr>
          <w:rFonts w:ascii="Book Antiqua" w:eastAsia="DengXian" w:hAnsi="Book Antiqua"/>
          <w:kern w:val="2"/>
          <w:lang w:eastAsia="zh-CN"/>
        </w:rPr>
        <w:t xml:space="preserve"> MA, </w:t>
      </w:r>
      <w:proofErr w:type="spellStart"/>
      <w:r w:rsidRPr="00667201">
        <w:rPr>
          <w:rFonts w:ascii="Book Antiqua" w:eastAsia="DengXian" w:hAnsi="Book Antiqua"/>
          <w:kern w:val="2"/>
          <w:lang w:eastAsia="zh-CN"/>
        </w:rPr>
        <w:t>Kalloo</w:t>
      </w:r>
      <w:proofErr w:type="spellEnd"/>
      <w:r w:rsidRPr="00667201">
        <w:rPr>
          <w:rFonts w:ascii="Book Antiqua" w:eastAsia="DengXian" w:hAnsi="Book Antiqua"/>
          <w:kern w:val="2"/>
          <w:lang w:eastAsia="zh-CN"/>
        </w:rPr>
        <w:t xml:space="preserve"> AN, </w:t>
      </w:r>
      <w:proofErr w:type="spellStart"/>
      <w:r w:rsidRPr="00667201">
        <w:rPr>
          <w:rFonts w:ascii="Book Antiqua" w:eastAsia="DengXian" w:hAnsi="Book Antiqua"/>
          <w:kern w:val="2"/>
          <w:lang w:eastAsia="zh-CN"/>
        </w:rPr>
        <w:t>Fayad</w:t>
      </w:r>
      <w:proofErr w:type="spellEnd"/>
      <w:r w:rsidRPr="00667201">
        <w:rPr>
          <w:rFonts w:ascii="Book Antiqua" w:eastAsia="DengXian" w:hAnsi="Book Antiqua"/>
          <w:kern w:val="2"/>
          <w:lang w:eastAsia="zh-CN"/>
        </w:rPr>
        <w:t xml:space="preserve"> L, </w:t>
      </w:r>
      <w:proofErr w:type="spellStart"/>
      <w:r w:rsidRPr="00667201">
        <w:rPr>
          <w:rFonts w:ascii="Book Antiqua" w:eastAsia="DengXian" w:hAnsi="Book Antiqua"/>
          <w:kern w:val="2"/>
          <w:lang w:eastAsia="zh-CN"/>
        </w:rPr>
        <w:t>Cheskin</w:t>
      </w:r>
      <w:proofErr w:type="spellEnd"/>
      <w:r w:rsidRPr="00667201">
        <w:rPr>
          <w:rFonts w:ascii="Book Antiqua" w:eastAsia="DengXian" w:hAnsi="Book Antiqua"/>
          <w:kern w:val="2"/>
          <w:lang w:eastAsia="zh-CN"/>
        </w:rPr>
        <w:t xml:space="preserve"> LJ, </w:t>
      </w:r>
      <w:proofErr w:type="spellStart"/>
      <w:r w:rsidRPr="00667201">
        <w:rPr>
          <w:rFonts w:ascii="Book Antiqua" w:eastAsia="DengXian" w:hAnsi="Book Antiqua"/>
          <w:kern w:val="2"/>
          <w:lang w:eastAsia="zh-CN"/>
        </w:rPr>
        <w:t>Marinos</w:t>
      </w:r>
      <w:proofErr w:type="spellEnd"/>
      <w:r w:rsidRPr="00667201">
        <w:rPr>
          <w:rFonts w:ascii="Book Antiqua" w:eastAsia="DengXian" w:hAnsi="Book Antiqua"/>
          <w:kern w:val="2"/>
          <w:lang w:eastAsia="zh-CN"/>
        </w:rPr>
        <w:t xml:space="preserve"> G, Wilson E, </w:t>
      </w:r>
      <w:proofErr w:type="spellStart"/>
      <w:r w:rsidRPr="00667201">
        <w:rPr>
          <w:rFonts w:ascii="Book Antiqua" w:eastAsia="DengXian" w:hAnsi="Book Antiqua"/>
          <w:kern w:val="2"/>
          <w:lang w:eastAsia="zh-CN"/>
        </w:rPr>
        <w:t>Kumbhari</w:t>
      </w:r>
      <w:proofErr w:type="spellEnd"/>
      <w:r w:rsidRPr="00667201">
        <w:rPr>
          <w:rFonts w:ascii="Book Antiqua" w:eastAsia="DengXian" w:hAnsi="Book Antiqua"/>
          <w:kern w:val="2"/>
          <w:lang w:eastAsia="zh-CN"/>
        </w:rPr>
        <w:t xml:space="preserve"> V. Endoscopic Sleeve Gastroplasty (ESG) Is a Reproducible and Effective Endoscopic Bariatric Therapy Suitable for Widespread Clinical Adoption: a Large, International Multicenter Study. </w:t>
      </w:r>
      <w:proofErr w:type="spellStart"/>
      <w:r w:rsidRPr="00667201">
        <w:rPr>
          <w:rFonts w:ascii="Book Antiqua" w:eastAsia="DengXian" w:hAnsi="Book Antiqua"/>
          <w:i/>
          <w:kern w:val="2"/>
          <w:lang w:eastAsia="zh-CN"/>
        </w:rPr>
        <w:t>Obes</w:t>
      </w:r>
      <w:proofErr w:type="spellEnd"/>
      <w:r w:rsidRPr="00667201">
        <w:rPr>
          <w:rFonts w:ascii="Book Antiqua" w:eastAsia="DengXian" w:hAnsi="Book Antiqua"/>
          <w:i/>
          <w:kern w:val="2"/>
          <w:lang w:eastAsia="zh-CN"/>
        </w:rPr>
        <w:t xml:space="preserve"> Surg</w:t>
      </w:r>
      <w:r w:rsidRPr="00667201">
        <w:rPr>
          <w:rFonts w:ascii="Book Antiqua" w:eastAsia="DengXian" w:hAnsi="Book Antiqua"/>
          <w:kern w:val="2"/>
          <w:lang w:eastAsia="zh-CN"/>
        </w:rPr>
        <w:t xml:space="preserve"> 2018; </w:t>
      </w:r>
      <w:r w:rsidRPr="00667201">
        <w:rPr>
          <w:rFonts w:ascii="Book Antiqua" w:eastAsia="DengXian" w:hAnsi="Book Antiqua"/>
          <w:b/>
          <w:kern w:val="2"/>
          <w:lang w:eastAsia="zh-CN"/>
        </w:rPr>
        <w:t>28</w:t>
      </w:r>
      <w:r w:rsidRPr="00667201">
        <w:rPr>
          <w:rFonts w:ascii="Book Antiqua" w:eastAsia="DengXian" w:hAnsi="Book Antiqua"/>
          <w:kern w:val="2"/>
          <w:lang w:eastAsia="zh-CN"/>
        </w:rPr>
        <w:t>: 1812-1821 [PMID: 29450845 DOI: 10.1007/s11695-018-3135-x]</w:t>
      </w:r>
    </w:p>
    <w:p w14:paraId="1E919402"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8 </w:t>
      </w:r>
      <w:r w:rsidRPr="00667201">
        <w:rPr>
          <w:rFonts w:ascii="Book Antiqua" w:eastAsia="DengXian" w:hAnsi="Book Antiqua"/>
          <w:b/>
          <w:kern w:val="2"/>
          <w:lang w:eastAsia="zh-CN"/>
        </w:rPr>
        <w:t>de Moura DTH</w:t>
      </w:r>
      <w:r w:rsidRPr="00667201">
        <w:rPr>
          <w:rFonts w:ascii="Book Antiqua" w:eastAsia="DengXian" w:hAnsi="Book Antiqua"/>
          <w:kern w:val="2"/>
          <w:lang w:eastAsia="zh-CN"/>
        </w:rPr>
        <w:t xml:space="preserve">, de Moura EGH, Thompson CC. Endoscopic sleeve gastroplasty: From whence we came and where we are going. </w:t>
      </w:r>
      <w:r w:rsidRPr="00667201">
        <w:rPr>
          <w:rFonts w:ascii="Book Antiqua" w:eastAsia="DengXian" w:hAnsi="Book Antiqua"/>
          <w:i/>
          <w:kern w:val="2"/>
          <w:lang w:eastAsia="zh-CN"/>
        </w:rPr>
        <w:t xml:space="preserve">World J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11</w:t>
      </w:r>
      <w:r w:rsidRPr="00667201">
        <w:rPr>
          <w:rFonts w:ascii="Book Antiqua" w:eastAsia="DengXian" w:hAnsi="Book Antiqua"/>
          <w:kern w:val="2"/>
          <w:lang w:eastAsia="zh-CN"/>
        </w:rPr>
        <w:t>: 322-328 [PMID: 31205593 DOI: 10.4253/wjge.v11.i5.322]</w:t>
      </w:r>
    </w:p>
    <w:p w14:paraId="51E7CD1F"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9 </w:t>
      </w:r>
      <w:r w:rsidRPr="00667201">
        <w:rPr>
          <w:rFonts w:ascii="Book Antiqua" w:eastAsia="DengXian" w:hAnsi="Book Antiqua"/>
          <w:b/>
          <w:kern w:val="2"/>
          <w:lang w:eastAsia="zh-CN"/>
        </w:rPr>
        <w:t>Lopez-Nava G</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Sharaiha</w:t>
      </w:r>
      <w:proofErr w:type="spellEnd"/>
      <w:r w:rsidRPr="00667201">
        <w:rPr>
          <w:rFonts w:ascii="Book Antiqua" w:eastAsia="DengXian" w:hAnsi="Book Antiqua"/>
          <w:kern w:val="2"/>
          <w:lang w:eastAsia="zh-CN"/>
        </w:rPr>
        <w:t xml:space="preserve"> RZ, Vargas EJ, </w:t>
      </w:r>
      <w:proofErr w:type="spellStart"/>
      <w:r w:rsidRPr="00667201">
        <w:rPr>
          <w:rFonts w:ascii="Book Antiqua" w:eastAsia="DengXian" w:hAnsi="Book Antiqua"/>
          <w:kern w:val="2"/>
          <w:lang w:eastAsia="zh-CN"/>
        </w:rPr>
        <w:t>Bazerbachi</w:t>
      </w:r>
      <w:proofErr w:type="spellEnd"/>
      <w:r w:rsidRPr="00667201">
        <w:rPr>
          <w:rFonts w:ascii="Book Antiqua" w:eastAsia="DengXian" w:hAnsi="Book Antiqua"/>
          <w:kern w:val="2"/>
          <w:lang w:eastAsia="zh-CN"/>
        </w:rPr>
        <w:t xml:space="preserve"> F, </w:t>
      </w:r>
      <w:proofErr w:type="spellStart"/>
      <w:r w:rsidRPr="00667201">
        <w:rPr>
          <w:rFonts w:ascii="Book Antiqua" w:eastAsia="DengXian" w:hAnsi="Book Antiqua"/>
          <w:kern w:val="2"/>
          <w:lang w:eastAsia="zh-CN"/>
        </w:rPr>
        <w:t>Manoel</w:t>
      </w:r>
      <w:proofErr w:type="spellEnd"/>
      <w:r w:rsidRPr="00667201">
        <w:rPr>
          <w:rFonts w:ascii="Book Antiqua" w:eastAsia="DengXian" w:hAnsi="Book Antiqua"/>
          <w:kern w:val="2"/>
          <w:lang w:eastAsia="zh-CN"/>
        </w:rPr>
        <w:t xml:space="preserve"> GN, Bautista-</w:t>
      </w:r>
      <w:proofErr w:type="spellStart"/>
      <w:r w:rsidRPr="00667201">
        <w:rPr>
          <w:rFonts w:ascii="Book Antiqua" w:eastAsia="DengXian" w:hAnsi="Book Antiqua"/>
          <w:kern w:val="2"/>
          <w:lang w:eastAsia="zh-CN"/>
        </w:rPr>
        <w:t>Castaño</w:t>
      </w:r>
      <w:proofErr w:type="spellEnd"/>
      <w:r w:rsidRPr="00667201">
        <w:rPr>
          <w:rFonts w:ascii="Book Antiqua" w:eastAsia="DengXian" w:hAnsi="Book Antiqua"/>
          <w:kern w:val="2"/>
          <w:lang w:eastAsia="zh-CN"/>
        </w:rPr>
        <w:t xml:space="preserve"> I, Acosta A, </w:t>
      </w:r>
      <w:proofErr w:type="spellStart"/>
      <w:r w:rsidRPr="00667201">
        <w:rPr>
          <w:rFonts w:ascii="Book Antiqua" w:eastAsia="DengXian" w:hAnsi="Book Antiqua"/>
          <w:kern w:val="2"/>
          <w:lang w:eastAsia="zh-CN"/>
        </w:rPr>
        <w:t>Topazian</w:t>
      </w:r>
      <w:proofErr w:type="spellEnd"/>
      <w:r w:rsidRPr="00667201">
        <w:rPr>
          <w:rFonts w:ascii="Book Antiqua" w:eastAsia="DengXian" w:hAnsi="Book Antiqua"/>
          <w:kern w:val="2"/>
          <w:lang w:eastAsia="zh-CN"/>
        </w:rPr>
        <w:t xml:space="preserve"> MD, Mundi MS, </w:t>
      </w:r>
      <w:proofErr w:type="spellStart"/>
      <w:r w:rsidRPr="00667201">
        <w:rPr>
          <w:rFonts w:ascii="Book Antiqua" w:eastAsia="DengXian" w:hAnsi="Book Antiqua"/>
          <w:kern w:val="2"/>
          <w:lang w:eastAsia="zh-CN"/>
        </w:rPr>
        <w:t>Kumta</w:t>
      </w:r>
      <w:proofErr w:type="spellEnd"/>
      <w:r w:rsidRPr="00667201">
        <w:rPr>
          <w:rFonts w:ascii="Book Antiqua" w:eastAsia="DengXian" w:hAnsi="Book Antiqua"/>
          <w:kern w:val="2"/>
          <w:lang w:eastAsia="zh-CN"/>
        </w:rPr>
        <w:t xml:space="preserve"> N, </w:t>
      </w:r>
      <w:proofErr w:type="spellStart"/>
      <w:r w:rsidRPr="00667201">
        <w:rPr>
          <w:rFonts w:ascii="Book Antiqua" w:eastAsia="DengXian" w:hAnsi="Book Antiqua"/>
          <w:kern w:val="2"/>
          <w:lang w:eastAsia="zh-CN"/>
        </w:rPr>
        <w:t>Kahaleh</w:t>
      </w:r>
      <w:proofErr w:type="spellEnd"/>
      <w:r w:rsidRPr="00667201">
        <w:rPr>
          <w:rFonts w:ascii="Book Antiqua" w:eastAsia="DengXian" w:hAnsi="Book Antiqua"/>
          <w:kern w:val="2"/>
          <w:lang w:eastAsia="zh-CN"/>
        </w:rPr>
        <w:t xml:space="preserve"> M, Herr AM, Shukla A, </w:t>
      </w:r>
      <w:proofErr w:type="spellStart"/>
      <w:r w:rsidRPr="00667201">
        <w:rPr>
          <w:rFonts w:ascii="Book Antiqua" w:eastAsia="DengXian" w:hAnsi="Book Antiqua"/>
          <w:kern w:val="2"/>
          <w:lang w:eastAsia="zh-CN"/>
        </w:rPr>
        <w:t>Aronne</w:t>
      </w:r>
      <w:proofErr w:type="spellEnd"/>
      <w:r w:rsidRPr="00667201">
        <w:rPr>
          <w:rFonts w:ascii="Book Antiqua" w:eastAsia="DengXian" w:hAnsi="Book Antiqua"/>
          <w:kern w:val="2"/>
          <w:lang w:eastAsia="zh-CN"/>
        </w:rPr>
        <w:t xml:space="preserve"> L, </w:t>
      </w:r>
      <w:proofErr w:type="spellStart"/>
      <w:r w:rsidRPr="00667201">
        <w:rPr>
          <w:rFonts w:ascii="Book Antiqua" w:eastAsia="DengXian" w:hAnsi="Book Antiqua"/>
          <w:kern w:val="2"/>
          <w:lang w:eastAsia="zh-CN"/>
        </w:rPr>
        <w:t>Gostout</w:t>
      </w:r>
      <w:proofErr w:type="spellEnd"/>
      <w:r w:rsidRPr="00667201">
        <w:rPr>
          <w:rFonts w:ascii="Book Antiqua" w:eastAsia="DengXian" w:hAnsi="Book Antiqua"/>
          <w:kern w:val="2"/>
          <w:lang w:eastAsia="zh-CN"/>
        </w:rPr>
        <w:t xml:space="preserve"> CJ, Abu </w:t>
      </w:r>
      <w:proofErr w:type="spellStart"/>
      <w:r w:rsidRPr="00667201">
        <w:rPr>
          <w:rFonts w:ascii="Book Antiqua" w:eastAsia="DengXian" w:hAnsi="Book Antiqua"/>
          <w:kern w:val="2"/>
          <w:lang w:eastAsia="zh-CN"/>
        </w:rPr>
        <w:t>Dayyeh</w:t>
      </w:r>
      <w:proofErr w:type="spellEnd"/>
      <w:r w:rsidRPr="00667201">
        <w:rPr>
          <w:rFonts w:ascii="Book Antiqua" w:eastAsia="DengXian" w:hAnsi="Book Antiqua"/>
          <w:kern w:val="2"/>
          <w:lang w:eastAsia="zh-CN"/>
        </w:rPr>
        <w:t xml:space="preserve"> BK. Endoscopic Sleeve Gastroplasty for Obesity: a Multicenter Study of 248 Patients with 24 Months Follow-Up. </w:t>
      </w:r>
      <w:proofErr w:type="spellStart"/>
      <w:r w:rsidRPr="00667201">
        <w:rPr>
          <w:rFonts w:ascii="Book Antiqua" w:eastAsia="DengXian" w:hAnsi="Book Antiqua"/>
          <w:i/>
          <w:kern w:val="2"/>
          <w:lang w:eastAsia="zh-CN"/>
        </w:rPr>
        <w:t>Obes</w:t>
      </w:r>
      <w:proofErr w:type="spellEnd"/>
      <w:r w:rsidRPr="00667201">
        <w:rPr>
          <w:rFonts w:ascii="Book Antiqua" w:eastAsia="DengXian" w:hAnsi="Book Antiqua"/>
          <w:i/>
          <w:kern w:val="2"/>
          <w:lang w:eastAsia="zh-CN"/>
        </w:rPr>
        <w:t xml:space="preserve"> Surg</w:t>
      </w:r>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27</w:t>
      </w:r>
      <w:r w:rsidRPr="00667201">
        <w:rPr>
          <w:rFonts w:ascii="Book Antiqua" w:eastAsia="DengXian" w:hAnsi="Book Antiqua"/>
          <w:kern w:val="2"/>
          <w:lang w:eastAsia="zh-CN"/>
        </w:rPr>
        <w:t>: 2649-2655 [PMID: 28451929 DOI: 10.1007/s11695-017-2693-7]</w:t>
      </w:r>
    </w:p>
    <w:p w14:paraId="44B4ECAD"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10 </w:t>
      </w:r>
      <w:proofErr w:type="spellStart"/>
      <w:r w:rsidRPr="00667201">
        <w:rPr>
          <w:rFonts w:ascii="Book Antiqua" w:eastAsia="DengXian" w:hAnsi="Book Antiqua"/>
          <w:b/>
          <w:kern w:val="2"/>
          <w:lang w:eastAsia="zh-CN"/>
        </w:rPr>
        <w:t>Alqahtani</w:t>
      </w:r>
      <w:proofErr w:type="spellEnd"/>
      <w:r w:rsidRPr="00667201">
        <w:rPr>
          <w:rFonts w:ascii="Book Antiqua" w:eastAsia="DengXian" w:hAnsi="Book Antiqua"/>
          <w:b/>
          <w:kern w:val="2"/>
          <w:lang w:eastAsia="zh-CN"/>
        </w:rPr>
        <w:t xml:space="preserve"> A</w:t>
      </w:r>
      <w:r w:rsidRPr="00667201">
        <w:rPr>
          <w:rFonts w:ascii="Book Antiqua" w:eastAsia="DengXian" w:hAnsi="Book Antiqua"/>
          <w:kern w:val="2"/>
          <w:lang w:eastAsia="zh-CN"/>
        </w:rPr>
        <w:t xml:space="preserve">, Al-Darwish A, Mahmoud AE, </w:t>
      </w:r>
      <w:proofErr w:type="spellStart"/>
      <w:r w:rsidRPr="00667201">
        <w:rPr>
          <w:rFonts w:ascii="Book Antiqua" w:eastAsia="DengXian" w:hAnsi="Book Antiqua"/>
          <w:kern w:val="2"/>
          <w:lang w:eastAsia="zh-CN"/>
        </w:rPr>
        <w:t>Alqahtani</w:t>
      </w:r>
      <w:proofErr w:type="spellEnd"/>
      <w:r w:rsidRPr="00667201">
        <w:rPr>
          <w:rFonts w:ascii="Book Antiqua" w:eastAsia="DengXian" w:hAnsi="Book Antiqua"/>
          <w:kern w:val="2"/>
          <w:lang w:eastAsia="zh-CN"/>
        </w:rPr>
        <w:t xml:space="preserve"> YA, </w:t>
      </w:r>
      <w:proofErr w:type="spellStart"/>
      <w:r w:rsidRPr="00667201">
        <w:rPr>
          <w:rFonts w:ascii="Book Antiqua" w:eastAsia="DengXian" w:hAnsi="Book Antiqua"/>
          <w:kern w:val="2"/>
          <w:lang w:eastAsia="zh-CN"/>
        </w:rPr>
        <w:t>Elahmedi</w:t>
      </w:r>
      <w:proofErr w:type="spellEnd"/>
      <w:r w:rsidRPr="00667201">
        <w:rPr>
          <w:rFonts w:ascii="Book Antiqua" w:eastAsia="DengXian" w:hAnsi="Book Antiqua"/>
          <w:kern w:val="2"/>
          <w:lang w:eastAsia="zh-CN"/>
        </w:rPr>
        <w:t xml:space="preserve"> M. Short-term outcomes of endoscopic sleeve gastroplasty in 1000 consecutive </w:t>
      </w:r>
      <w:r w:rsidRPr="00667201">
        <w:rPr>
          <w:rFonts w:ascii="Book Antiqua" w:eastAsia="DengXian" w:hAnsi="Book Antiqua"/>
          <w:kern w:val="2"/>
          <w:lang w:eastAsia="zh-CN"/>
        </w:rPr>
        <w:lastRenderedPageBreak/>
        <w:t xml:space="preserve">patients.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89</w:t>
      </w:r>
      <w:r w:rsidRPr="00667201">
        <w:rPr>
          <w:rFonts w:ascii="Book Antiqua" w:eastAsia="DengXian" w:hAnsi="Book Antiqua"/>
          <w:kern w:val="2"/>
          <w:lang w:eastAsia="zh-CN"/>
        </w:rPr>
        <w:t>: 1132-1138 [PMID: 30578757 DOI: 10.1016/j.gie.2018.12.012]</w:t>
      </w:r>
    </w:p>
    <w:p w14:paraId="6BE872E0"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11 </w:t>
      </w:r>
      <w:r w:rsidRPr="00667201">
        <w:rPr>
          <w:rFonts w:ascii="Book Antiqua" w:eastAsia="DengXian" w:hAnsi="Book Antiqua"/>
          <w:b/>
          <w:kern w:val="2"/>
          <w:lang w:eastAsia="zh-CN"/>
        </w:rPr>
        <w:t>Barrichello S</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Hourneaux</w:t>
      </w:r>
      <w:proofErr w:type="spellEnd"/>
      <w:r w:rsidRPr="00667201">
        <w:rPr>
          <w:rFonts w:ascii="Book Antiqua" w:eastAsia="DengXian" w:hAnsi="Book Antiqua"/>
          <w:kern w:val="2"/>
          <w:lang w:eastAsia="zh-CN"/>
        </w:rPr>
        <w:t xml:space="preserve"> de Moura DT, </w:t>
      </w:r>
      <w:proofErr w:type="spellStart"/>
      <w:r w:rsidRPr="00667201">
        <w:rPr>
          <w:rFonts w:ascii="Book Antiqua" w:eastAsia="DengXian" w:hAnsi="Book Antiqua"/>
          <w:kern w:val="2"/>
          <w:lang w:eastAsia="zh-CN"/>
        </w:rPr>
        <w:t>Hourneaux</w:t>
      </w:r>
      <w:proofErr w:type="spellEnd"/>
      <w:r w:rsidRPr="00667201">
        <w:rPr>
          <w:rFonts w:ascii="Book Antiqua" w:eastAsia="DengXian" w:hAnsi="Book Antiqua"/>
          <w:kern w:val="2"/>
          <w:lang w:eastAsia="zh-CN"/>
        </w:rPr>
        <w:t xml:space="preserve"> de Moura EG, </w:t>
      </w:r>
      <w:proofErr w:type="spellStart"/>
      <w:r w:rsidRPr="00667201">
        <w:rPr>
          <w:rFonts w:ascii="Book Antiqua" w:eastAsia="DengXian" w:hAnsi="Book Antiqua"/>
          <w:kern w:val="2"/>
          <w:lang w:eastAsia="zh-CN"/>
        </w:rPr>
        <w:t>Jirapinyo</w:t>
      </w:r>
      <w:proofErr w:type="spellEnd"/>
      <w:r w:rsidRPr="00667201">
        <w:rPr>
          <w:rFonts w:ascii="Book Antiqua" w:eastAsia="DengXian" w:hAnsi="Book Antiqua"/>
          <w:kern w:val="2"/>
          <w:lang w:eastAsia="zh-CN"/>
        </w:rPr>
        <w:t xml:space="preserve"> P, Hoff AC, </w:t>
      </w:r>
      <w:proofErr w:type="spellStart"/>
      <w:r w:rsidRPr="00667201">
        <w:rPr>
          <w:rFonts w:ascii="Book Antiqua" w:eastAsia="DengXian" w:hAnsi="Book Antiqua"/>
          <w:kern w:val="2"/>
          <w:lang w:eastAsia="zh-CN"/>
        </w:rPr>
        <w:t>Fittipaldi</w:t>
      </w:r>
      <w:proofErr w:type="spellEnd"/>
      <w:r w:rsidRPr="00667201">
        <w:rPr>
          <w:rFonts w:ascii="Book Antiqua" w:eastAsia="DengXian" w:hAnsi="Book Antiqua"/>
          <w:kern w:val="2"/>
          <w:lang w:eastAsia="zh-CN"/>
        </w:rPr>
        <w:t xml:space="preserve">-Fernandez RJ, </w:t>
      </w:r>
      <w:proofErr w:type="spellStart"/>
      <w:r w:rsidRPr="00667201">
        <w:rPr>
          <w:rFonts w:ascii="Book Antiqua" w:eastAsia="DengXian" w:hAnsi="Book Antiqua"/>
          <w:kern w:val="2"/>
          <w:lang w:eastAsia="zh-CN"/>
        </w:rPr>
        <w:t>Baretta</w:t>
      </w:r>
      <w:proofErr w:type="spellEnd"/>
      <w:r w:rsidRPr="00667201">
        <w:rPr>
          <w:rFonts w:ascii="Book Antiqua" w:eastAsia="DengXian" w:hAnsi="Book Antiqua"/>
          <w:kern w:val="2"/>
          <w:lang w:eastAsia="zh-CN"/>
        </w:rPr>
        <w:t xml:space="preserve"> G, </w:t>
      </w:r>
      <w:proofErr w:type="spellStart"/>
      <w:r w:rsidRPr="00667201">
        <w:rPr>
          <w:rFonts w:ascii="Book Antiqua" w:eastAsia="DengXian" w:hAnsi="Book Antiqua"/>
          <w:kern w:val="2"/>
          <w:lang w:eastAsia="zh-CN"/>
        </w:rPr>
        <w:t>Felício</w:t>
      </w:r>
      <w:proofErr w:type="spellEnd"/>
      <w:r w:rsidRPr="00667201">
        <w:rPr>
          <w:rFonts w:ascii="Book Antiqua" w:eastAsia="DengXian" w:hAnsi="Book Antiqua"/>
          <w:kern w:val="2"/>
          <w:lang w:eastAsia="zh-CN"/>
        </w:rPr>
        <w:t xml:space="preserve"> Lima JH, </w:t>
      </w:r>
      <w:proofErr w:type="spellStart"/>
      <w:r w:rsidRPr="00667201">
        <w:rPr>
          <w:rFonts w:ascii="Book Antiqua" w:eastAsia="DengXian" w:hAnsi="Book Antiqua"/>
          <w:kern w:val="2"/>
          <w:lang w:eastAsia="zh-CN"/>
        </w:rPr>
        <w:t>Usuy</w:t>
      </w:r>
      <w:proofErr w:type="spellEnd"/>
      <w:r w:rsidRPr="00667201">
        <w:rPr>
          <w:rFonts w:ascii="Book Antiqua" w:eastAsia="DengXian" w:hAnsi="Book Antiqua"/>
          <w:kern w:val="2"/>
          <w:lang w:eastAsia="zh-CN"/>
        </w:rPr>
        <w:t xml:space="preserve"> EN, de Almeida LS, Ramos FM, Matz F, </w:t>
      </w:r>
      <w:proofErr w:type="spellStart"/>
      <w:r w:rsidRPr="00667201">
        <w:rPr>
          <w:rFonts w:ascii="Book Antiqua" w:eastAsia="DengXian" w:hAnsi="Book Antiqua"/>
          <w:kern w:val="2"/>
          <w:lang w:eastAsia="zh-CN"/>
        </w:rPr>
        <w:t>Galvão</w:t>
      </w:r>
      <w:proofErr w:type="spellEnd"/>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Neto</w:t>
      </w:r>
      <w:proofErr w:type="spellEnd"/>
      <w:r w:rsidRPr="00667201">
        <w:rPr>
          <w:rFonts w:ascii="Book Antiqua" w:eastAsia="DengXian" w:hAnsi="Book Antiqua"/>
          <w:kern w:val="2"/>
          <w:lang w:eastAsia="zh-CN"/>
        </w:rPr>
        <w:t xml:space="preserve"> MDP, Thompson CC. Endoscopic sleeve gastroplasty in the management of overweight and obesity: an international multicenter study.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90</w:t>
      </w:r>
      <w:r w:rsidRPr="00667201">
        <w:rPr>
          <w:rFonts w:ascii="Book Antiqua" w:eastAsia="DengXian" w:hAnsi="Book Antiqua"/>
          <w:kern w:val="2"/>
          <w:lang w:eastAsia="zh-CN"/>
        </w:rPr>
        <w:t>: 770-780 [PMID: 31228432 DOI: 10.1016/j.gie.2019.06.013]</w:t>
      </w:r>
    </w:p>
    <w:p w14:paraId="4F8BE6E5"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12 </w:t>
      </w:r>
      <w:r w:rsidRPr="00667201">
        <w:rPr>
          <w:rFonts w:ascii="Book Antiqua" w:eastAsia="DengXian" w:hAnsi="Book Antiqua"/>
          <w:b/>
          <w:kern w:val="2"/>
          <w:lang w:eastAsia="zh-CN"/>
        </w:rPr>
        <w:t>Kumar N,</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Sahdala</w:t>
      </w:r>
      <w:proofErr w:type="spellEnd"/>
      <w:r w:rsidRPr="00667201">
        <w:rPr>
          <w:rFonts w:ascii="Book Antiqua" w:eastAsia="DengXian" w:hAnsi="Book Antiqua"/>
          <w:kern w:val="2"/>
          <w:lang w:eastAsia="zh-CN"/>
        </w:rPr>
        <w:t xml:space="preserve"> HNP, Shaikh S, Wilson EB, </w:t>
      </w:r>
      <w:proofErr w:type="spellStart"/>
      <w:r w:rsidRPr="00667201">
        <w:rPr>
          <w:rFonts w:ascii="Book Antiqua" w:eastAsia="DengXian" w:hAnsi="Book Antiqua"/>
          <w:kern w:val="2"/>
          <w:lang w:eastAsia="zh-CN"/>
        </w:rPr>
        <w:t>Manoel</w:t>
      </w:r>
      <w:proofErr w:type="spellEnd"/>
      <w:r w:rsidRPr="00667201">
        <w:rPr>
          <w:rFonts w:ascii="Book Antiqua" w:eastAsia="DengXian" w:hAnsi="Book Antiqua"/>
          <w:kern w:val="2"/>
          <w:lang w:eastAsia="zh-CN"/>
        </w:rPr>
        <w:t xml:space="preserve"> GN, Zundel N, Thompson CC. Mo1155 Endoscopic Sleeve Gastroplasty for Primary Therapy of Obesity: Initial Human Cases. </w:t>
      </w:r>
      <w:r w:rsidRPr="00667201">
        <w:rPr>
          <w:rFonts w:ascii="Book Antiqua" w:eastAsia="DengXian" w:hAnsi="Book Antiqua"/>
          <w:i/>
          <w:iCs/>
          <w:kern w:val="2"/>
          <w:lang w:eastAsia="zh-CN"/>
        </w:rPr>
        <w:t>Gastroenterology</w:t>
      </w:r>
      <w:r w:rsidRPr="00667201">
        <w:rPr>
          <w:rFonts w:ascii="Book Antiqua" w:eastAsia="DengXian" w:hAnsi="Book Antiqua"/>
          <w:kern w:val="2"/>
          <w:lang w:eastAsia="zh-CN"/>
        </w:rPr>
        <w:t xml:space="preserve"> 2014; </w:t>
      </w:r>
      <w:r w:rsidRPr="00667201">
        <w:rPr>
          <w:rFonts w:ascii="Book Antiqua" w:eastAsia="DengXian" w:hAnsi="Book Antiqua"/>
          <w:b/>
          <w:bCs/>
          <w:kern w:val="2"/>
          <w:lang w:eastAsia="zh-CN"/>
        </w:rPr>
        <w:t>146</w:t>
      </w:r>
      <w:r w:rsidRPr="00667201">
        <w:rPr>
          <w:rFonts w:ascii="Book Antiqua" w:eastAsia="DengXian" w:hAnsi="Book Antiqua"/>
          <w:kern w:val="2"/>
          <w:lang w:eastAsia="zh-CN"/>
        </w:rPr>
        <w:t>: S-571-S-572 [DOI: 10.1016/S0016-5085(14)62071-0]</w:t>
      </w:r>
    </w:p>
    <w:p w14:paraId="4525D235"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13 </w:t>
      </w:r>
      <w:r w:rsidRPr="00667201">
        <w:rPr>
          <w:rFonts w:ascii="Book Antiqua" w:eastAsia="DengXian" w:hAnsi="Book Antiqua"/>
          <w:b/>
          <w:kern w:val="2"/>
          <w:lang w:eastAsia="zh-CN"/>
        </w:rPr>
        <w:t>Lopez-Nava G</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Asokkumar</w:t>
      </w:r>
      <w:proofErr w:type="spellEnd"/>
      <w:r w:rsidRPr="00667201">
        <w:rPr>
          <w:rFonts w:ascii="Book Antiqua" w:eastAsia="DengXian" w:hAnsi="Book Antiqua"/>
          <w:kern w:val="2"/>
          <w:lang w:eastAsia="zh-CN"/>
        </w:rPr>
        <w:t xml:space="preserve"> R, </w:t>
      </w:r>
      <w:proofErr w:type="spellStart"/>
      <w:r w:rsidRPr="00667201">
        <w:rPr>
          <w:rFonts w:ascii="Book Antiqua" w:eastAsia="DengXian" w:hAnsi="Book Antiqua"/>
          <w:kern w:val="2"/>
          <w:lang w:eastAsia="zh-CN"/>
        </w:rPr>
        <w:t>Ielpo</w:t>
      </w:r>
      <w:proofErr w:type="spellEnd"/>
      <w:r w:rsidRPr="00667201">
        <w:rPr>
          <w:rFonts w:ascii="Book Antiqua" w:eastAsia="DengXian" w:hAnsi="Book Antiqua"/>
          <w:kern w:val="2"/>
          <w:lang w:eastAsia="zh-CN"/>
        </w:rPr>
        <w:t xml:space="preserve"> B, Bautista I, Vicente E. Biliary peritonitis after endoscopic sutured gastroplasty for morbid obesity (with video).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90</w:t>
      </w:r>
      <w:r w:rsidRPr="00667201">
        <w:rPr>
          <w:rFonts w:ascii="Book Antiqua" w:eastAsia="DengXian" w:hAnsi="Book Antiqua"/>
          <w:kern w:val="2"/>
          <w:lang w:eastAsia="zh-CN"/>
        </w:rPr>
        <w:t>: 686-688 [PMID: 31375266 DOI: 10.1016/j.gie.2019.06.002]</w:t>
      </w:r>
    </w:p>
    <w:p w14:paraId="56FE0E20"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14 </w:t>
      </w:r>
      <w:r w:rsidRPr="00667201">
        <w:rPr>
          <w:rFonts w:ascii="Book Antiqua" w:eastAsia="DengXian" w:hAnsi="Book Antiqua"/>
          <w:b/>
          <w:kern w:val="2"/>
          <w:lang w:eastAsia="zh-CN"/>
        </w:rPr>
        <w:t>Genco A</w:t>
      </w:r>
      <w:r w:rsidRPr="00667201">
        <w:rPr>
          <w:rFonts w:ascii="Book Antiqua" w:eastAsia="DengXian" w:hAnsi="Book Antiqua"/>
          <w:kern w:val="2"/>
          <w:lang w:eastAsia="zh-CN"/>
        </w:rPr>
        <w:t xml:space="preserve">, Cipriano M, Materia A, </w:t>
      </w:r>
      <w:proofErr w:type="spellStart"/>
      <w:r w:rsidRPr="00667201">
        <w:rPr>
          <w:rFonts w:ascii="Book Antiqua" w:eastAsia="DengXian" w:hAnsi="Book Antiqua"/>
          <w:kern w:val="2"/>
          <w:lang w:eastAsia="zh-CN"/>
        </w:rPr>
        <w:t>Bacci</w:t>
      </w:r>
      <w:proofErr w:type="spellEnd"/>
      <w:r w:rsidRPr="00667201">
        <w:rPr>
          <w:rFonts w:ascii="Book Antiqua" w:eastAsia="DengXian" w:hAnsi="Book Antiqua"/>
          <w:kern w:val="2"/>
          <w:lang w:eastAsia="zh-CN"/>
        </w:rPr>
        <w:t xml:space="preserve"> V, </w:t>
      </w:r>
      <w:proofErr w:type="spellStart"/>
      <w:r w:rsidRPr="00667201">
        <w:rPr>
          <w:rFonts w:ascii="Book Antiqua" w:eastAsia="DengXian" w:hAnsi="Book Antiqua"/>
          <w:kern w:val="2"/>
          <w:lang w:eastAsia="zh-CN"/>
        </w:rPr>
        <w:t>Maselli</w:t>
      </w:r>
      <w:proofErr w:type="spellEnd"/>
      <w:r w:rsidRPr="00667201">
        <w:rPr>
          <w:rFonts w:ascii="Book Antiqua" w:eastAsia="DengXian" w:hAnsi="Book Antiqua"/>
          <w:kern w:val="2"/>
          <w:lang w:eastAsia="zh-CN"/>
        </w:rPr>
        <w:t xml:space="preserve"> R, </w:t>
      </w:r>
      <w:proofErr w:type="spellStart"/>
      <w:r w:rsidRPr="00667201">
        <w:rPr>
          <w:rFonts w:ascii="Book Antiqua" w:eastAsia="DengXian" w:hAnsi="Book Antiqua"/>
          <w:kern w:val="2"/>
          <w:lang w:eastAsia="zh-CN"/>
        </w:rPr>
        <w:t>Musmeci</w:t>
      </w:r>
      <w:proofErr w:type="spellEnd"/>
      <w:r w:rsidRPr="00667201">
        <w:rPr>
          <w:rFonts w:ascii="Book Antiqua" w:eastAsia="DengXian" w:hAnsi="Book Antiqua"/>
          <w:kern w:val="2"/>
          <w:lang w:eastAsia="zh-CN"/>
        </w:rPr>
        <w:t xml:space="preserve"> L, Lorenzo M, Basso N. Laparoscopic sleeve gastrectomy versus intragastric balloon: a case-control study. </w:t>
      </w:r>
      <w:r w:rsidRPr="00667201">
        <w:rPr>
          <w:rFonts w:ascii="Book Antiqua" w:eastAsia="DengXian" w:hAnsi="Book Antiqua"/>
          <w:i/>
          <w:kern w:val="2"/>
          <w:lang w:eastAsia="zh-CN"/>
        </w:rPr>
        <w:t xml:space="preserve">Surg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2009; </w:t>
      </w:r>
      <w:r w:rsidRPr="00667201">
        <w:rPr>
          <w:rFonts w:ascii="Book Antiqua" w:eastAsia="DengXian" w:hAnsi="Book Antiqua"/>
          <w:b/>
          <w:kern w:val="2"/>
          <w:lang w:eastAsia="zh-CN"/>
        </w:rPr>
        <w:t>23</w:t>
      </w:r>
      <w:r w:rsidRPr="00667201">
        <w:rPr>
          <w:rFonts w:ascii="Book Antiqua" w:eastAsia="DengXian" w:hAnsi="Book Antiqua"/>
          <w:kern w:val="2"/>
          <w:lang w:eastAsia="zh-CN"/>
        </w:rPr>
        <w:t>: 1849-1853 [PMID: 19169745 DOI: 10.1007/s00464-008-0285-2]</w:t>
      </w:r>
    </w:p>
    <w:p w14:paraId="6B70B76A"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15 </w:t>
      </w:r>
      <w:r w:rsidRPr="00667201">
        <w:rPr>
          <w:rFonts w:ascii="Book Antiqua" w:eastAsia="DengXian" w:hAnsi="Book Antiqua"/>
          <w:b/>
          <w:kern w:val="2"/>
          <w:lang w:eastAsia="zh-CN"/>
        </w:rPr>
        <w:t>Moura D</w:t>
      </w:r>
      <w:r w:rsidRPr="00667201">
        <w:rPr>
          <w:rFonts w:ascii="Book Antiqua" w:eastAsia="DengXian" w:hAnsi="Book Antiqua"/>
          <w:kern w:val="2"/>
          <w:lang w:eastAsia="zh-CN"/>
        </w:rPr>
        <w:t xml:space="preserve">, Oliveira J, De Moura EG, Bernardo W, </w:t>
      </w:r>
      <w:proofErr w:type="spellStart"/>
      <w:r w:rsidRPr="00667201">
        <w:rPr>
          <w:rFonts w:ascii="Book Antiqua" w:eastAsia="DengXian" w:hAnsi="Book Antiqua"/>
          <w:kern w:val="2"/>
          <w:lang w:eastAsia="zh-CN"/>
        </w:rPr>
        <w:t>Galvão</w:t>
      </w:r>
      <w:proofErr w:type="spellEnd"/>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Neto</w:t>
      </w:r>
      <w:proofErr w:type="spellEnd"/>
      <w:r w:rsidRPr="00667201">
        <w:rPr>
          <w:rFonts w:ascii="Book Antiqua" w:eastAsia="DengXian" w:hAnsi="Book Antiqua"/>
          <w:kern w:val="2"/>
          <w:lang w:eastAsia="zh-CN"/>
        </w:rPr>
        <w:t xml:space="preserve"> M, Campos J, Popov VB, Thompson C. Effectiveness of intragastric balloon for obesity: A systematic review and meta-analysis based on randomized control trials. </w:t>
      </w:r>
      <w:r w:rsidRPr="00667201">
        <w:rPr>
          <w:rFonts w:ascii="Book Antiqua" w:eastAsia="DengXian" w:hAnsi="Book Antiqua"/>
          <w:i/>
          <w:kern w:val="2"/>
          <w:lang w:eastAsia="zh-CN"/>
        </w:rPr>
        <w:t xml:space="preserve">Surg </w:t>
      </w:r>
      <w:proofErr w:type="spellStart"/>
      <w:r w:rsidRPr="00667201">
        <w:rPr>
          <w:rFonts w:ascii="Book Antiqua" w:eastAsia="DengXian" w:hAnsi="Book Antiqua"/>
          <w:i/>
          <w:kern w:val="2"/>
          <w:lang w:eastAsia="zh-CN"/>
        </w:rPr>
        <w:t>Obes</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Relat</w:t>
      </w:r>
      <w:proofErr w:type="spellEnd"/>
      <w:r w:rsidRPr="00667201">
        <w:rPr>
          <w:rFonts w:ascii="Book Antiqua" w:eastAsia="DengXian" w:hAnsi="Book Antiqua"/>
          <w:i/>
          <w:kern w:val="2"/>
          <w:lang w:eastAsia="zh-CN"/>
        </w:rPr>
        <w:t xml:space="preserve"> Dis</w:t>
      </w:r>
      <w:r w:rsidRPr="00667201">
        <w:rPr>
          <w:rFonts w:ascii="Book Antiqua" w:eastAsia="DengXian" w:hAnsi="Book Antiqua"/>
          <w:kern w:val="2"/>
          <w:lang w:eastAsia="zh-CN"/>
        </w:rPr>
        <w:t xml:space="preserve"> 2016; </w:t>
      </w:r>
      <w:r w:rsidRPr="00667201">
        <w:rPr>
          <w:rFonts w:ascii="Book Antiqua" w:eastAsia="DengXian" w:hAnsi="Book Antiqua"/>
          <w:b/>
          <w:kern w:val="2"/>
          <w:lang w:eastAsia="zh-CN"/>
        </w:rPr>
        <w:t>12</w:t>
      </w:r>
      <w:r w:rsidRPr="00667201">
        <w:rPr>
          <w:rFonts w:ascii="Book Antiqua" w:eastAsia="DengXian" w:hAnsi="Book Antiqua"/>
          <w:kern w:val="2"/>
          <w:lang w:eastAsia="zh-CN"/>
        </w:rPr>
        <w:t>: 420-429 [PMID: 26968503 DOI: 10.1016/j.soard.2015.10.077]</w:t>
      </w:r>
    </w:p>
    <w:p w14:paraId="5E395CE2"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16 </w:t>
      </w:r>
      <w:r w:rsidRPr="00667201">
        <w:rPr>
          <w:rFonts w:ascii="Book Antiqua" w:eastAsia="DengXian" w:hAnsi="Book Antiqua"/>
          <w:b/>
          <w:kern w:val="2"/>
          <w:lang w:eastAsia="zh-CN"/>
        </w:rPr>
        <w:t>Baptista A</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Hourneaux</w:t>
      </w:r>
      <w:proofErr w:type="spellEnd"/>
      <w:r w:rsidRPr="00667201">
        <w:rPr>
          <w:rFonts w:ascii="Book Antiqua" w:eastAsia="DengXian" w:hAnsi="Book Antiqua"/>
          <w:kern w:val="2"/>
          <w:lang w:eastAsia="zh-CN"/>
        </w:rPr>
        <w:t xml:space="preserve"> De Moura DT, </w:t>
      </w:r>
      <w:proofErr w:type="spellStart"/>
      <w:r w:rsidRPr="00667201">
        <w:rPr>
          <w:rFonts w:ascii="Book Antiqua" w:eastAsia="DengXian" w:hAnsi="Book Antiqua"/>
          <w:kern w:val="2"/>
          <w:lang w:eastAsia="zh-CN"/>
        </w:rPr>
        <w:t>Jirapinyo</w:t>
      </w:r>
      <w:proofErr w:type="spellEnd"/>
      <w:r w:rsidRPr="00667201">
        <w:rPr>
          <w:rFonts w:ascii="Book Antiqua" w:eastAsia="DengXian" w:hAnsi="Book Antiqua"/>
          <w:kern w:val="2"/>
          <w:lang w:eastAsia="zh-CN"/>
        </w:rPr>
        <w:t xml:space="preserve"> P, </w:t>
      </w:r>
      <w:proofErr w:type="spellStart"/>
      <w:r w:rsidRPr="00667201">
        <w:rPr>
          <w:rFonts w:ascii="Book Antiqua" w:eastAsia="DengXian" w:hAnsi="Book Antiqua"/>
          <w:kern w:val="2"/>
          <w:lang w:eastAsia="zh-CN"/>
        </w:rPr>
        <w:t>Hourneaux</w:t>
      </w:r>
      <w:proofErr w:type="spellEnd"/>
      <w:r w:rsidRPr="00667201">
        <w:rPr>
          <w:rFonts w:ascii="Book Antiqua" w:eastAsia="DengXian" w:hAnsi="Book Antiqua"/>
          <w:kern w:val="2"/>
          <w:lang w:eastAsia="zh-CN"/>
        </w:rPr>
        <w:t xml:space="preserve"> De Moura EG, </w:t>
      </w:r>
      <w:proofErr w:type="spellStart"/>
      <w:r w:rsidRPr="00667201">
        <w:rPr>
          <w:rFonts w:ascii="Book Antiqua" w:eastAsia="DengXian" w:hAnsi="Book Antiqua"/>
          <w:kern w:val="2"/>
          <w:lang w:eastAsia="zh-CN"/>
        </w:rPr>
        <w:t>Gelrud</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Kahaleh</w:t>
      </w:r>
      <w:proofErr w:type="spellEnd"/>
      <w:r w:rsidRPr="00667201">
        <w:rPr>
          <w:rFonts w:ascii="Book Antiqua" w:eastAsia="DengXian" w:hAnsi="Book Antiqua"/>
          <w:kern w:val="2"/>
          <w:lang w:eastAsia="zh-CN"/>
        </w:rPr>
        <w:t xml:space="preserve"> M, Salinas A, </w:t>
      </w:r>
      <w:proofErr w:type="spellStart"/>
      <w:r w:rsidRPr="00667201">
        <w:rPr>
          <w:rFonts w:ascii="Book Antiqua" w:eastAsia="DengXian" w:hAnsi="Book Antiqua"/>
          <w:kern w:val="2"/>
          <w:lang w:eastAsia="zh-CN"/>
        </w:rPr>
        <w:t>Sabagh</w:t>
      </w:r>
      <w:proofErr w:type="spellEnd"/>
      <w:r w:rsidRPr="00667201">
        <w:rPr>
          <w:rFonts w:ascii="Book Antiqua" w:eastAsia="DengXian" w:hAnsi="Book Antiqua"/>
          <w:kern w:val="2"/>
          <w:lang w:eastAsia="zh-CN"/>
        </w:rPr>
        <w:t xml:space="preserve"> LC, Ospina A, </w:t>
      </w:r>
      <w:proofErr w:type="spellStart"/>
      <w:r w:rsidRPr="00667201">
        <w:rPr>
          <w:rFonts w:ascii="Book Antiqua" w:eastAsia="DengXian" w:hAnsi="Book Antiqua"/>
          <w:kern w:val="2"/>
          <w:lang w:eastAsia="zh-CN"/>
        </w:rPr>
        <w:t>Rincones</w:t>
      </w:r>
      <w:proofErr w:type="spellEnd"/>
      <w:r w:rsidRPr="00667201">
        <w:rPr>
          <w:rFonts w:ascii="Book Antiqua" w:eastAsia="DengXian" w:hAnsi="Book Antiqua"/>
          <w:kern w:val="2"/>
          <w:lang w:eastAsia="zh-CN"/>
        </w:rPr>
        <w:t xml:space="preserve"> VZ, </w:t>
      </w:r>
      <w:proofErr w:type="spellStart"/>
      <w:r w:rsidRPr="00667201">
        <w:rPr>
          <w:rFonts w:ascii="Book Antiqua" w:eastAsia="DengXian" w:hAnsi="Book Antiqua"/>
          <w:kern w:val="2"/>
          <w:lang w:eastAsia="zh-CN"/>
        </w:rPr>
        <w:t>Doval</w:t>
      </w:r>
      <w:proofErr w:type="spellEnd"/>
      <w:r w:rsidRPr="00667201">
        <w:rPr>
          <w:rFonts w:ascii="Book Antiqua" w:eastAsia="DengXian" w:hAnsi="Book Antiqua"/>
          <w:kern w:val="2"/>
          <w:lang w:eastAsia="zh-CN"/>
        </w:rPr>
        <w:t xml:space="preserve"> R, </w:t>
      </w:r>
      <w:proofErr w:type="spellStart"/>
      <w:r w:rsidRPr="00667201">
        <w:rPr>
          <w:rFonts w:ascii="Book Antiqua" w:eastAsia="DengXian" w:hAnsi="Book Antiqua"/>
          <w:kern w:val="2"/>
          <w:lang w:eastAsia="zh-CN"/>
        </w:rPr>
        <w:t>Bandel</w:t>
      </w:r>
      <w:proofErr w:type="spellEnd"/>
      <w:r w:rsidRPr="00667201">
        <w:rPr>
          <w:rFonts w:ascii="Book Antiqua" w:eastAsia="DengXian" w:hAnsi="Book Antiqua"/>
          <w:kern w:val="2"/>
          <w:lang w:eastAsia="zh-CN"/>
        </w:rPr>
        <w:t xml:space="preserve"> JW, Thompson CC. Efficacy of the cardiac septal </w:t>
      </w:r>
      <w:proofErr w:type="spellStart"/>
      <w:r w:rsidRPr="00667201">
        <w:rPr>
          <w:rFonts w:ascii="Book Antiqua" w:eastAsia="DengXian" w:hAnsi="Book Antiqua"/>
          <w:kern w:val="2"/>
          <w:lang w:eastAsia="zh-CN"/>
        </w:rPr>
        <w:t>occluder</w:t>
      </w:r>
      <w:proofErr w:type="spellEnd"/>
      <w:r w:rsidRPr="00667201">
        <w:rPr>
          <w:rFonts w:ascii="Book Antiqua" w:eastAsia="DengXian" w:hAnsi="Book Antiqua"/>
          <w:kern w:val="2"/>
          <w:lang w:eastAsia="zh-CN"/>
        </w:rPr>
        <w:t xml:space="preserve"> in the treatment of post-bariatric surgery leaks and fistulas.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89</w:t>
      </w:r>
      <w:r w:rsidRPr="00667201">
        <w:rPr>
          <w:rFonts w:ascii="Book Antiqua" w:eastAsia="DengXian" w:hAnsi="Book Antiqua"/>
          <w:kern w:val="2"/>
          <w:lang w:eastAsia="zh-CN"/>
        </w:rPr>
        <w:t>: 671-679.e1 [PMID: 30529441 DOI: 10.1016/j.gie.2018.11.034]</w:t>
      </w:r>
    </w:p>
    <w:p w14:paraId="59AD4236"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17 </w:t>
      </w:r>
      <w:r w:rsidRPr="00667201">
        <w:rPr>
          <w:rFonts w:ascii="Book Antiqua" w:eastAsia="DengXian" w:hAnsi="Book Antiqua"/>
          <w:b/>
          <w:kern w:val="2"/>
          <w:lang w:eastAsia="zh-CN"/>
        </w:rPr>
        <w:t>de Moura DTH</w:t>
      </w:r>
      <w:r w:rsidRPr="00667201">
        <w:rPr>
          <w:rFonts w:ascii="Book Antiqua" w:eastAsia="DengXian" w:hAnsi="Book Antiqua"/>
          <w:kern w:val="2"/>
          <w:lang w:eastAsia="zh-CN"/>
        </w:rPr>
        <w:t xml:space="preserve">, Ribeiro IB, </w:t>
      </w:r>
      <w:proofErr w:type="spellStart"/>
      <w:r w:rsidRPr="00667201">
        <w:rPr>
          <w:rFonts w:ascii="Book Antiqua" w:eastAsia="DengXian" w:hAnsi="Book Antiqua"/>
          <w:kern w:val="2"/>
          <w:lang w:eastAsia="zh-CN"/>
        </w:rPr>
        <w:t>Funari</w:t>
      </w:r>
      <w:proofErr w:type="spellEnd"/>
      <w:r w:rsidRPr="00667201">
        <w:rPr>
          <w:rFonts w:ascii="Book Antiqua" w:eastAsia="DengXian" w:hAnsi="Book Antiqua"/>
          <w:kern w:val="2"/>
          <w:lang w:eastAsia="zh-CN"/>
        </w:rPr>
        <w:t xml:space="preserve"> MP, Baptista A, Thompson CC, de Moura EGH. Novel use of a cardiac septal </w:t>
      </w:r>
      <w:proofErr w:type="spellStart"/>
      <w:r w:rsidRPr="00667201">
        <w:rPr>
          <w:rFonts w:ascii="Book Antiqua" w:eastAsia="DengXian" w:hAnsi="Book Antiqua"/>
          <w:kern w:val="2"/>
          <w:lang w:eastAsia="zh-CN"/>
        </w:rPr>
        <w:t>occluder</w:t>
      </w:r>
      <w:proofErr w:type="spellEnd"/>
      <w:r w:rsidRPr="00667201">
        <w:rPr>
          <w:rFonts w:ascii="Book Antiqua" w:eastAsia="DengXian" w:hAnsi="Book Antiqua"/>
          <w:kern w:val="2"/>
          <w:lang w:eastAsia="zh-CN"/>
        </w:rPr>
        <w:t xml:space="preserve"> to treat a chronic recalcitrant </w:t>
      </w:r>
      <w:r w:rsidRPr="00667201">
        <w:rPr>
          <w:rFonts w:ascii="Book Antiqua" w:eastAsia="DengXian" w:hAnsi="Book Antiqua"/>
          <w:kern w:val="2"/>
          <w:lang w:eastAsia="zh-CN"/>
        </w:rPr>
        <w:lastRenderedPageBreak/>
        <w:t xml:space="preserve">bariatric fistula after Roux-en-Y gastric bypass. </w:t>
      </w:r>
      <w:r w:rsidRPr="00667201">
        <w:rPr>
          <w:rFonts w:ascii="Book Antiqua" w:eastAsia="DengXian" w:hAnsi="Book Antiqua"/>
          <w:i/>
          <w:kern w:val="2"/>
          <w:lang w:eastAsia="zh-CN"/>
        </w:rPr>
        <w:t>Endoscopy</w:t>
      </w:r>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51</w:t>
      </w:r>
      <w:r w:rsidRPr="00667201">
        <w:rPr>
          <w:rFonts w:ascii="Book Antiqua" w:eastAsia="DengXian" w:hAnsi="Book Antiqua"/>
          <w:kern w:val="2"/>
          <w:lang w:eastAsia="zh-CN"/>
        </w:rPr>
        <w:t>: E111-E112 [PMID: 30791049 DOI: 10.1055/a-0842-6287]</w:t>
      </w:r>
    </w:p>
    <w:p w14:paraId="66D1F1F9"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18 </w:t>
      </w:r>
      <w:proofErr w:type="spellStart"/>
      <w:r w:rsidRPr="00667201">
        <w:rPr>
          <w:rFonts w:ascii="Book Antiqua" w:eastAsia="DengXian" w:hAnsi="Book Antiqua"/>
          <w:b/>
          <w:kern w:val="2"/>
          <w:lang w:eastAsia="zh-CN"/>
        </w:rPr>
        <w:t>Halvax</w:t>
      </w:r>
      <w:proofErr w:type="spellEnd"/>
      <w:r w:rsidRPr="00667201">
        <w:rPr>
          <w:rFonts w:ascii="Book Antiqua" w:eastAsia="DengXian" w:hAnsi="Book Antiqua"/>
          <w:b/>
          <w:kern w:val="2"/>
          <w:lang w:eastAsia="zh-CN"/>
        </w:rPr>
        <w:t xml:space="preserve"> P</w:t>
      </w:r>
      <w:r w:rsidRPr="00667201">
        <w:rPr>
          <w:rFonts w:ascii="Book Antiqua" w:eastAsia="DengXian" w:hAnsi="Book Antiqua"/>
          <w:kern w:val="2"/>
          <w:lang w:eastAsia="zh-CN"/>
        </w:rPr>
        <w:t xml:space="preserve">, Diana M, Nagao Y, </w:t>
      </w:r>
      <w:proofErr w:type="spellStart"/>
      <w:r w:rsidRPr="00667201">
        <w:rPr>
          <w:rFonts w:ascii="Book Antiqua" w:eastAsia="DengXian" w:hAnsi="Book Antiqua"/>
          <w:kern w:val="2"/>
          <w:lang w:eastAsia="zh-CN"/>
        </w:rPr>
        <w:t>Marescaux</w:t>
      </w:r>
      <w:proofErr w:type="spellEnd"/>
      <w:r w:rsidRPr="00667201">
        <w:rPr>
          <w:rFonts w:ascii="Book Antiqua" w:eastAsia="DengXian" w:hAnsi="Book Antiqua"/>
          <w:kern w:val="2"/>
          <w:lang w:eastAsia="zh-CN"/>
        </w:rPr>
        <w:t xml:space="preserve"> J, </w:t>
      </w:r>
      <w:proofErr w:type="spellStart"/>
      <w:r w:rsidRPr="00667201">
        <w:rPr>
          <w:rFonts w:ascii="Book Antiqua" w:eastAsia="DengXian" w:hAnsi="Book Antiqua"/>
          <w:kern w:val="2"/>
          <w:lang w:eastAsia="zh-CN"/>
        </w:rPr>
        <w:t>Swanström</w:t>
      </w:r>
      <w:proofErr w:type="spellEnd"/>
      <w:r w:rsidRPr="00667201">
        <w:rPr>
          <w:rFonts w:ascii="Book Antiqua" w:eastAsia="DengXian" w:hAnsi="Book Antiqua"/>
          <w:kern w:val="2"/>
          <w:lang w:eastAsia="zh-CN"/>
        </w:rPr>
        <w:t xml:space="preserve"> L. Experimental Evaluation of the Optimal Suture Pattern With a Flexible Endoscopic Suturing System. </w:t>
      </w:r>
      <w:r w:rsidRPr="00667201">
        <w:rPr>
          <w:rFonts w:ascii="Book Antiqua" w:eastAsia="DengXian" w:hAnsi="Book Antiqua"/>
          <w:i/>
          <w:kern w:val="2"/>
          <w:lang w:eastAsia="zh-CN"/>
        </w:rPr>
        <w:t xml:space="preserve">Surg </w:t>
      </w:r>
      <w:proofErr w:type="spellStart"/>
      <w:r w:rsidRPr="00667201">
        <w:rPr>
          <w:rFonts w:ascii="Book Antiqua" w:eastAsia="DengXian" w:hAnsi="Book Antiqua"/>
          <w:i/>
          <w:kern w:val="2"/>
          <w:lang w:eastAsia="zh-CN"/>
        </w:rPr>
        <w:t>Innov</w:t>
      </w:r>
      <w:proofErr w:type="spellEnd"/>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24</w:t>
      </w:r>
      <w:r w:rsidRPr="00667201">
        <w:rPr>
          <w:rFonts w:ascii="Book Antiqua" w:eastAsia="DengXian" w:hAnsi="Book Antiqua"/>
          <w:kern w:val="2"/>
          <w:lang w:eastAsia="zh-CN"/>
        </w:rPr>
        <w:t>: 201-204 [PMID: 28492354 DOI: 10.1177/1553350617697184]</w:t>
      </w:r>
    </w:p>
    <w:p w14:paraId="1F3CCDED"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19 </w:t>
      </w:r>
      <w:proofErr w:type="spellStart"/>
      <w:r w:rsidRPr="00667201">
        <w:rPr>
          <w:rFonts w:ascii="Book Antiqua" w:eastAsia="DengXian" w:hAnsi="Book Antiqua"/>
          <w:b/>
          <w:kern w:val="2"/>
          <w:lang w:eastAsia="zh-CN"/>
        </w:rPr>
        <w:t>Madruga-Neto</w:t>
      </w:r>
      <w:proofErr w:type="spellEnd"/>
      <w:r w:rsidRPr="00667201">
        <w:rPr>
          <w:rFonts w:ascii="Book Antiqua" w:eastAsia="DengXian" w:hAnsi="Book Antiqua"/>
          <w:b/>
          <w:kern w:val="2"/>
          <w:lang w:eastAsia="zh-CN"/>
        </w:rPr>
        <w:t xml:space="preserve"> AC</w:t>
      </w:r>
      <w:r w:rsidRPr="00667201">
        <w:rPr>
          <w:rFonts w:ascii="Book Antiqua" w:eastAsia="DengXian" w:hAnsi="Book Antiqua"/>
          <w:kern w:val="2"/>
          <w:lang w:eastAsia="zh-CN"/>
        </w:rPr>
        <w:t xml:space="preserve">, Bernardo WM, de Moura DTH, </w:t>
      </w:r>
      <w:proofErr w:type="spellStart"/>
      <w:r w:rsidRPr="00667201">
        <w:rPr>
          <w:rFonts w:ascii="Book Antiqua" w:eastAsia="DengXian" w:hAnsi="Book Antiqua"/>
          <w:kern w:val="2"/>
          <w:lang w:eastAsia="zh-CN"/>
        </w:rPr>
        <w:t>Brunaldi</w:t>
      </w:r>
      <w:proofErr w:type="spellEnd"/>
      <w:r w:rsidRPr="00667201">
        <w:rPr>
          <w:rFonts w:ascii="Book Antiqua" w:eastAsia="DengXian" w:hAnsi="Book Antiqua"/>
          <w:kern w:val="2"/>
          <w:lang w:eastAsia="zh-CN"/>
        </w:rPr>
        <w:t xml:space="preserve"> VO, Martins RK, </w:t>
      </w:r>
      <w:proofErr w:type="spellStart"/>
      <w:r w:rsidRPr="00667201">
        <w:rPr>
          <w:rFonts w:ascii="Book Antiqua" w:eastAsia="DengXian" w:hAnsi="Book Antiqua"/>
          <w:kern w:val="2"/>
          <w:lang w:eastAsia="zh-CN"/>
        </w:rPr>
        <w:t>Josino</w:t>
      </w:r>
      <w:proofErr w:type="spellEnd"/>
      <w:r w:rsidRPr="00667201">
        <w:rPr>
          <w:rFonts w:ascii="Book Antiqua" w:eastAsia="DengXian" w:hAnsi="Book Antiqua"/>
          <w:kern w:val="2"/>
          <w:lang w:eastAsia="zh-CN"/>
        </w:rPr>
        <w:t xml:space="preserve"> IR, de Moura ETH, de Souza TF, Santo MA, de Moura EGH. The Effectiveness of Endoscopic Gastroplasty for Obesity Treatment According to FDA Thresholds: Systematic Review and Meta-Analysis Based on Randomized Controlled Trials. </w:t>
      </w:r>
      <w:proofErr w:type="spellStart"/>
      <w:r w:rsidRPr="00667201">
        <w:rPr>
          <w:rFonts w:ascii="Book Antiqua" w:eastAsia="DengXian" w:hAnsi="Book Antiqua"/>
          <w:i/>
          <w:kern w:val="2"/>
          <w:lang w:eastAsia="zh-CN"/>
        </w:rPr>
        <w:t>Obes</w:t>
      </w:r>
      <w:proofErr w:type="spellEnd"/>
      <w:r w:rsidRPr="00667201">
        <w:rPr>
          <w:rFonts w:ascii="Book Antiqua" w:eastAsia="DengXian" w:hAnsi="Book Antiqua"/>
          <w:i/>
          <w:kern w:val="2"/>
          <w:lang w:eastAsia="zh-CN"/>
        </w:rPr>
        <w:t xml:space="preserve"> Surg</w:t>
      </w:r>
      <w:r w:rsidRPr="00667201">
        <w:rPr>
          <w:rFonts w:ascii="Book Antiqua" w:eastAsia="DengXian" w:hAnsi="Book Antiqua"/>
          <w:kern w:val="2"/>
          <w:lang w:eastAsia="zh-CN"/>
        </w:rPr>
        <w:t xml:space="preserve"> 2018; </w:t>
      </w:r>
      <w:r w:rsidRPr="00667201">
        <w:rPr>
          <w:rFonts w:ascii="Book Antiqua" w:eastAsia="DengXian" w:hAnsi="Book Antiqua"/>
          <w:b/>
          <w:kern w:val="2"/>
          <w:lang w:eastAsia="zh-CN"/>
        </w:rPr>
        <w:t>28</w:t>
      </w:r>
      <w:r w:rsidRPr="00667201">
        <w:rPr>
          <w:rFonts w:ascii="Book Antiqua" w:eastAsia="DengXian" w:hAnsi="Book Antiqua"/>
          <w:kern w:val="2"/>
          <w:lang w:eastAsia="zh-CN"/>
        </w:rPr>
        <w:t>: 2932-2940 [PMID: 29909512 DOI: 10.1007/s11695-018-3335-4]</w:t>
      </w:r>
    </w:p>
    <w:p w14:paraId="7AB4C939"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20 </w:t>
      </w:r>
      <w:r w:rsidRPr="00667201">
        <w:rPr>
          <w:rFonts w:ascii="Book Antiqua" w:eastAsia="DengXian" w:hAnsi="Book Antiqua"/>
          <w:b/>
          <w:kern w:val="2"/>
          <w:lang w:eastAsia="zh-CN"/>
        </w:rPr>
        <w:t>Awan AN</w:t>
      </w:r>
      <w:r w:rsidRPr="00667201">
        <w:rPr>
          <w:rFonts w:ascii="Book Antiqua" w:eastAsia="DengXian" w:hAnsi="Book Antiqua"/>
          <w:kern w:val="2"/>
          <w:lang w:eastAsia="zh-CN"/>
        </w:rPr>
        <w:t xml:space="preserve">, Swain CP. Endoscopic vertical band gastroplasty with an endoscopic sewing machine.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2002; </w:t>
      </w:r>
      <w:r w:rsidRPr="00667201">
        <w:rPr>
          <w:rFonts w:ascii="Book Antiqua" w:eastAsia="DengXian" w:hAnsi="Book Antiqua"/>
          <w:b/>
          <w:kern w:val="2"/>
          <w:lang w:eastAsia="zh-CN"/>
        </w:rPr>
        <w:t>55</w:t>
      </w:r>
      <w:r w:rsidRPr="00667201">
        <w:rPr>
          <w:rFonts w:ascii="Book Antiqua" w:eastAsia="DengXian" w:hAnsi="Book Antiqua"/>
          <w:kern w:val="2"/>
          <w:lang w:eastAsia="zh-CN"/>
        </w:rPr>
        <w:t>: 254-256 [PMID: 11818935 DOI: 10.1067/mge.2002.120889]</w:t>
      </w:r>
    </w:p>
    <w:p w14:paraId="04987E88" w14:textId="7FAAB378"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highlight w:val="yellow"/>
          <w:lang w:eastAsia="zh-CN"/>
        </w:rPr>
        <w:t xml:space="preserve">21 </w:t>
      </w:r>
      <w:proofErr w:type="spellStart"/>
      <w:r w:rsidRPr="00667201">
        <w:rPr>
          <w:rFonts w:ascii="Book Antiqua" w:eastAsia="DengXian" w:hAnsi="Book Antiqua"/>
          <w:b/>
          <w:kern w:val="2"/>
          <w:highlight w:val="yellow"/>
          <w:lang w:eastAsia="zh-CN"/>
        </w:rPr>
        <w:t>Neto</w:t>
      </w:r>
      <w:proofErr w:type="spellEnd"/>
      <w:r w:rsidRPr="00667201">
        <w:rPr>
          <w:rFonts w:ascii="Book Antiqua" w:eastAsia="DengXian" w:hAnsi="Book Antiqua"/>
          <w:b/>
          <w:kern w:val="2"/>
          <w:highlight w:val="yellow"/>
          <w:lang w:eastAsia="zh-CN"/>
        </w:rPr>
        <w:t xml:space="preserve"> MG</w:t>
      </w:r>
      <w:r w:rsidRPr="00667201">
        <w:rPr>
          <w:rFonts w:ascii="Book Antiqua" w:eastAsia="DengXian" w:hAnsi="Book Antiqua"/>
          <w:bCs/>
          <w:kern w:val="2"/>
          <w:highlight w:val="yellow"/>
          <w:lang w:eastAsia="zh-CN"/>
        </w:rPr>
        <w:t>,</w:t>
      </w:r>
      <w:r w:rsidRPr="00667201">
        <w:rPr>
          <w:rFonts w:ascii="Book Antiqua" w:eastAsia="DengXian" w:hAnsi="Book Antiqua"/>
          <w:kern w:val="2"/>
          <w:highlight w:val="yellow"/>
          <w:lang w:eastAsia="zh-CN"/>
        </w:rPr>
        <w:t xml:space="preserve"> Zundel N, Campos J, Alvarado A, Silva L, </w:t>
      </w:r>
      <w:proofErr w:type="spellStart"/>
      <w:r w:rsidRPr="00667201">
        <w:rPr>
          <w:rFonts w:ascii="Book Antiqua" w:eastAsia="DengXian" w:hAnsi="Book Antiqua"/>
          <w:kern w:val="2"/>
          <w:highlight w:val="yellow"/>
          <w:lang w:eastAsia="zh-CN"/>
        </w:rPr>
        <w:t>Orilaac</w:t>
      </w:r>
      <w:proofErr w:type="spellEnd"/>
      <w:r w:rsidRPr="00667201">
        <w:rPr>
          <w:rFonts w:ascii="Book Antiqua" w:eastAsia="DengXian" w:hAnsi="Book Antiqua"/>
          <w:kern w:val="2"/>
          <w:highlight w:val="yellow"/>
          <w:lang w:eastAsia="zh-CN"/>
        </w:rPr>
        <w:t xml:space="preserve"> J, Shaikh S, Gomez E, Wilson E, Thompson CC. ET010 Endoluminal greater curvature plication-A case series. SAGES. Available from: https://www.sages.org/meetings/annual-meeting/abstracts-archive/endoluminal-greater-curvature-plication-a-case-series/</w:t>
      </w:r>
    </w:p>
    <w:p w14:paraId="693ACD65"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22 </w:t>
      </w:r>
      <w:r w:rsidRPr="00667201">
        <w:rPr>
          <w:rFonts w:ascii="Book Antiqua" w:eastAsia="DengXian" w:hAnsi="Book Antiqua"/>
          <w:b/>
          <w:kern w:val="2"/>
          <w:lang w:eastAsia="zh-CN"/>
        </w:rPr>
        <w:t xml:space="preserve">Abu </w:t>
      </w:r>
      <w:proofErr w:type="spellStart"/>
      <w:r w:rsidRPr="00667201">
        <w:rPr>
          <w:rFonts w:ascii="Book Antiqua" w:eastAsia="DengXian" w:hAnsi="Book Antiqua"/>
          <w:b/>
          <w:kern w:val="2"/>
          <w:lang w:eastAsia="zh-CN"/>
        </w:rPr>
        <w:t>Dayyeh</w:t>
      </w:r>
      <w:proofErr w:type="spellEnd"/>
      <w:r w:rsidRPr="00667201">
        <w:rPr>
          <w:rFonts w:ascii="Book Antiqua" w:eastAsia="DengXian" w:hAnsi="Book Antiqua"/>
          <w:b/>
          <w:kern w:val="2"/>
          <w:lang w:eastAsia="zh-CN"/>
        </w:rPr>
        <w:t xml:space="preserve"> BK</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Rajan</w:t>
      </w:r>
      <w:proofErr w:type="spellEnd"/>
      <w:r w:rsidRPr="00667201">
        <w:rPr>
          <w:rFonts w:ascii="Book Antiqua" w:eastAsia="DengXian" w:hAnsi="Book Antiqua"/>
          <w:kern w:val="2"/>
          <w:lang w:eastAsia="zh-CN"/>
        </w:rPr>
        <w:t xml:space="preserve"> E, </w:t>
      </w:r>
      <w:proofErr w:type="spellStart"/>
      <w:r w:rsidRPr="00667201">
        <w:rPr>
          <w:rFonts w:ascii="Book Antiqua" w:eastAsia="DengXian" w:hAnsi="Book Antiqua"/>
          <w:kern w:val="2"/>
          <w:lang w:eastAsia="zh-CN"/>
        </w:rPr>
        <w:t>Gostout</w:t>
      </w:r>
      <w:proofErr w:type="spellEnd"/>
      <w:r w:rsidRPr="00667201">
        <w:rPr>
          <w:rFonts w:ascii="Book Antiqua" w:eastAsia="DengXian" w:hAnsi="Book Antiqua"/>
          <w:kern w:val="2"/>
          <w:lang w:eastAsia="zh-CN"/>
        </w:rPr>
        <w:t xml:space="preserve"> CJ. Endoscopic sleeve gastroplasty: a potential endoscopic alternative to surgical sleeve gastrectomy for treatment of obesity.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2013; </w:t>
      </w:r>
      <w:r w:rsidRPr="00667201">
        <w:rPr>
          <w:rFonts w:ascii="Book Antiqua" w:eastAsia="DengXian" w:hAnsi="Book Antiqua"/>
          <w:b/>
          <w:kern w:val="2"/>
          <w:lang w:eastAsia="zh-CN"/>
        </w:rPr>
        <w:t>78</w:t>
      </w:r>
      <w:r w:rsidRPr="00667201">
        <w:rPr>
          <w:rFonts w:ascii="Book Antiqua" w:eastAsia="DengXian" w:hAnsi="Book Antiqua"/>
          <w:kern w:val="2"/>
          <w:lang w:eastAsia="zh-CN"/>
        </w:rPr>
        <w:t>: 530-535 [PMID: 23711556 DOI: 10.1016/j.gie.2013.04.197]</w:t>
      </w:r>
    </w:p>
    <w:p w14:paraId="0FE6790E"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23 </w:t>
      </w:r>
      <w:proofErr w:type="spellStart"/>
      <w:r w:rsidRPr="00667201">
        <w:rPr>
          <w:rFonts w:ascii="Book Antiqua" w:eastAsia="DengXian" w:hAnsi="Book Antiqua"/>
          <w:b/>
          <w:kern w:val="2"/>
          <w:lang w:eastAsia="zh-CN"/>
        </w:rPr>
        <w:t>Sharaiha</w:t>
      </w:r>
      <w:proofErr w:type="spellEnd"/>
      <w:r w:rsidRPr="00667201">
        <w:rPr>
          <w:rFonts w:ascii="Book Antiqua" w:eastAsia="DengXian" w:hAnsi="Book Antiqua"/>
          <w:b/>
          <w:kern w:val="2"/>
          <w:lang w:eastAsia="zh-CN"/>
        </w:rPr>
        <w:t xml:space="preserve"> RZ</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Kedia</w:t>
      </w:r>
      <w:proofErr w:type="spellEnd"/>
      <w:r w:rsidRPr="00667201">
        <w:rPr>
          <w:rFonts w:ascii="Book Antiqua" w:eastAsia="DengXian" w:hAnsi="Book Antiqua"/>
          <w:kern w:val="2"/>
          <w:lang w:eastAsia="zh-CN"/>
        </w:rPr>
        <w:t xml:space="preserve"> P, </w:t>
      </w:r>
      <w:proofErr w:type="spellStart"/>
      <w:r w:rsidRPr="00667201">
        <w:rPr>
          <w:rFonts w:ascii="Book Antiqua" w:eastAsia="DengXian" w:hAnsi="Book Antiqua"/>
          <w:kern w:val="2"/>
          <w:lang w:eastAsia="zh-CN"/>
        </w:rPr>
        <w:t>Kumta</w:t>
      </w:r>
      <w:proofErr w:type="spellEnd"/>
      <w:r w:rsidRPr="00667201">
        <w:rPr>
          <w:rFonts w:ascii="Book Antiqua" w:eastAsia="DengXian" w:hAnsi="Book Antiqua"/>
          <w:kern w:val="2"/>
          <w:lang w:eastAsia="zh-CN"/>
        </w:rPr>
        <w:t xml:space="preserve"> N, </w:t>
      </w:r>
      <w:proofErr w:type="spellStart"/>
      <w:r w:rsidRPr="00667201">
        <w:rPr>
          <w:rFonts w:ascii="Book Antiqua" w:eastAsia="DengXian" w:hAnsi="Book Antiqua"/>
          <w:kern w:val="2"/>
          <w:lang w:eastAsia="zh-CN"/>
        </w:rPr>
        <w:t>DeFilippis</w:t>
      </w:r>
      <w:proofErr w:type="spellEnd"/>
      <w:r w:rsidRPr="00667201">
        <w:rPr>
          <w:rFonts w:ascii="Book Antiqua" w:eastAsia="DengXian" w:hAnsi="Book Antiqua"/>
          <w:kern w:val="2"/>
          <w:lang w:eastAsia="zh-CN"/>
        </w:rPr>
        <w:t xml:space="preserve"> EM, </w:t>
      </w:r>
      <w:proofErr w:type="spellStart"/>
      <w:r w:rsidRPr="00667201">
        <w:rPr>
          <w:rFonts w:ascii="Book Antiqua" w:eastAsia="DengXian" w:hAnsi="Book Antiqua"/>
          <w:kern w:val="2"/>
          <w:lang w:eastAsia="zh-CN"/>
        </w:rPr>
        <w:t>Gaidhane</w:t>
      </w:r>
      <w:proofErr w:type="spellEnd"/>
      <w:r w:rsidRPr="00667201">
        <w:rPr>
          <w:rFonts w:ascii="Book Antiqua" w:eastAsia="DengXian" w:hAnsi="Book Antiqua"/>
          <w:kern w:val="2"/>
          <w:lang w:eastAsia="zh-CN"/>
        </w:rPr>
        <w:t xml:space="preserve"> M, Shukla A, </w:t>
      </w:r>
      <w:proofErr w:type="spellStart"/>
      <w:r w:rsidRPr="00667201">
        <w:rPr>
          <w:rFonts w:ascii="Book Antiqua" w:eastAsia="DengXian" w:hAnsi="Book Antiqua"/>
          <w:kern w:val="2"/>
          <w:lang w:eastAsia="zh-CN"/>
        </w:rPr>
        <w:t>Aronne</w:t>
      </w:r>
      <w:proofErr w:type="spellEnd"/>
      <w:r w:rsidRPr="00667201">
        <w:rPr>
          <w:rFonts w:ascii="Book Antiqua" w:eastAsia="DengXian" w:hAnsi="Book Antiqua"/>
          <w:kern w:val="2"/>
          <w:lang w:eastAsia="zh-CN"/>
        </w:rPr>
        <w:t xml:space="preserve"> LJ, </w:t>
      </w:r>
      <w:proofErr w:type="spellStart"/>
      <w:r w:rsidRPr="00667201">
        <w:rPr>
          <w:rFonts w:ascii="Book Antiqua" w:eastAsia="DengXian" w:hAnsi="Book Antiqua"/>
          <w:kern w:val="2"/>
          <w:lang w:eastAsia="zh-CN"/>
        </w:rPr>
        <w:t>Kahaleh</w:t>
      </w:r>
      <w:proofErr w:type="spellEnd"/>
      <w:r w:rsidRPr="00667201">
        <w:rPr>
          <w:rFonts w:ascii="Book Antiqua" w:eastAsia="DengXian" w:hAnsi="Book Antiqua"/>
          <w:kern w:val="2"/>
          <w:lang w:eastAsia="zh-CN"/>
        </w:rPr>
        <w:t xml:space="preserve"> M. Initial experience with endoscopic sleeve gastroplasty: technical success and reproducibility in the bariatric population. </w:t>
      </w:r>
      <w:r w:rsidRPr="00667201">
        <w:rPr>
          <w:rFonts w:ascii="Book Antiqua" w:eastAsia="DengXian" w:hAnsi="Book Antiqua"/>
          <w:i/>
          <w:kern w:val="2"/>
          <w:lang w:eastAsia="zh-CN"/>
        </w:rPr>
        <w:t>Endoscopy</w:t>
      </w:r>
      <w:r w:rsidRPr="00667201">
        <w:rPr>
          <w:rFonts w:ascii="Book Antiqua" w:eastAsia="DengXian" w:hAnsi="Book Antiqua"/>
          <w:kern w:val="2"/>
          <w:lang w:eastAsia="zh-CN"/>
        </w:rPr>
        <w:t xml:space="preserve"> 2015; </w:t>
      </w:r>
      <w:r w:rsidRPr="00667201">
        <w:rPr>
          <w:rFonts w:ascii="Book Antiqua" w:eastAsia="DengXian" w:hAnsi="Book Antiqua"/>
          <w:b/>
          <w:kern w:val="2"/>
          <w:lang w:eastAsia="zh-CN"/>
        </w:rPr>
        <w:t>47</w:t>
      </w:r>
      <w:r w:rsidRPr="00667201">
        <w:rPr>
          <w:rFonts w:ascii="Book Antiqua" w:eastAsia="DengXian" w:hAnsi="Book Antiqua"/>
          <w:kern w:val="2"/>
          <w:lang w:eastAsia="zh-CN"/>
        </w:rPr>
        <w:t>: 164-166 [PMID: 25380510 DOI: 10.1055/s-0034-1390773]</w:t>
      </w:r>
    </w:p>
    <w:p w14:paraId="17BECE01"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24 </w:t>
      </w:r>
      <w:r w:rsidRPr="00667201">
        <w:rPr>
          <w:rFonts w:ascii="Book Antiqua" w:eastAsia="DengXian" w:hAnsi="Book Antiqua"/>
          <w:b/>
          <w:kern w:val="2"/>
          <w:lang w:eastAsia="zh-CN"/>
        </w:rPr>
        <w:t>Jain D</w:t>
      </w:r>
      <w:r w:rsidRPr="00667201">
        <w:rPr>
          <w:rFonts w:ascii="Book Antiqua" w:eastAsia="DengXian" w:hAnsi="Book Antiqua"/>
          <w:kern w:val="2"/>
          <w:lang w:eastAsia="zh-CN"/>
        </w:rPr>
        <w:t xml:space="preserve">, Bhandari BS, Arora A, Singhal S. Endoscopic Sleeve Gastroplasty - A New Tool to Manage Obesity. </w:t>
      </w:r>
      <w:r w:rsidRPr="00667201">
        <w:rPr>
          <w:rFonts w:ascii="Book Antiqua" w:eastAsia="DengXian" w:hAnsi="Book Antiqua"/>
          <w:i/>
          <w:kern w:val="2"/>
          <w:lang w:eastAsia="zh-CN"/>
        </w:rPr>
        <w:t xml:space="preserve">Clin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50</w:t>
      </w:r>
      <w:r w:rsidRPr="00667201">
        <w:rPr>
          <w:rFonts w:ascii="Book Antiqua" w:eastAsia="DengXian" w:hAnsi="Book Antiqua"/>
          <w:kern w:val="2"/>
          <w:lang w:eastAsia="zh-CN"/>
        </w:rPr>
        <w:t>: 552-561 [PMID: 28607328 DOI: 10.5946/ce.2017.032]</w:t>
      </w:r>
    </w:p>
    <w:p w14:paraId="0DF1AD85"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25 </w:t>
      </w:r>
      <w:proofErr w:type="spellStart"/>
      <w:r w:rsidRPr="00667201">
        <w:rPr>
          <w:rFonts w:ascii="Book Antiqua" w:eastAsia="DengXian" w:hAnsi="Book Antiqua"/>
          <w:b/>
          <w:kern w:val="2"/>
          <w:lang w:eastAsia="zh-CN"/>
        </w:rPr>
        <w:t>Fayad</w:t>
      </w:r>
      <w:proofErr w:type="spellEnd"/>
      <w:r w:rsidRPr="00667201">
        <w:rPr>
          <w:rFonts w:ascii="Book Antiqua" w:eastAsia="DengXian" w:hAnsi="Book Antiqua"/>
          <w:b/>
          <w:kern w:val="2"/>
          <w:lang w:eastAsia="zh-CN"/>
        </w:rPr>
        <w:t xml:space="preserve"> L</w:t>
      </w:r>
      <w:r w:rsidRPr="00667201">
        <w:rPr>
          <w:rFonts w:ascii="Book Antiqua" w:eastAsia="DengXian" w:hAnsi="Book Antiqua"/>
          <w:kern w:val="2"/>
          <w:lang w:eastAsia="zh-CN"/>
        </w:rPr>
        <w:t xml:space="preserve">, Adam A, Schweitzer M, </w:t>
      </w:r>
      <w:proofErr w:type="spellStart"/>
      <w:r w:rsidRPr="00667201">
        <w:rPr>
          <w:rFonts w:ascii="Book Antiqua" w:eastAsia="DengXian" w:hAnsi="Book Antiqua"/>
          <w:kern w:val="2"/>
          <w:lang w:eastAsia="zh-CN"/>
        </w:rPr>
        <w:t>Cheskin</w:t>
      </w:r>
      <w:proofErr w:type="spellEnd"/>
      <w:r w:rsidRPr="00667201">
        <w:rPr>
          <w:rFonts w:ascii="Book Antiqua" w:eastAsia="DengXian" w:hAnsi="Book Antiqua"/>
          <w:kern w:val="2"/>
          <w:lang w:eastAsia="zh-CN"/>
        </w:rPr>
        <w:t xml:space="preserve"> LJ, Ajayi T, Dunlap M, </w:t>
      </w:r>
      <w:proofErr w:type="spellStart"/>
      <w:r w:rsidRPr="00667201">
        <w:rPr>
          <w:rFonts w:ascii="Book Antiqua" w:eastAsia="DengXian" w:hAnsi="Book Antiqua"/>
          <w:kern w:val="2"/>
          <w:lang w:eastAsia="zh-CN"/>
        </w:rPr>
        <w:t>Badurdeen</w:t>
      </w:r>
      <w:proofErr w:type="spellEnd"/>
      <w:r w:rsidRPr="00667201">
        <w:rPr>
          <w:rFonts w:ascii="Book Antiqua" w:eastAsia="DengXian" w:hAnsi="Book Antiqua"/>
          <w:kern w:val="2"/>
          <w:lang w:eastAsia="zh-CN"/>
        </w:rPr>
        <w:t xml:space="preserve"> </w:t>
      </w:r>
      <w:r w:rsidRPr="00667201">
        <w:rPr>
          <w:rFonts w:ascii="Book Antiqua" w:eastAsia="DengXian" w:hAnsi="Book Antiqua"/>
          <w:kern w:val="2"/>
          <w:lang w:eastAsia="zh-CN"/>
        </w:rPr>
        <w:lastRenderedPageBreak/>
        <w:t xml:space="preserve">DS, Hill C, </w:t>
      </w:r>
      <w:proofErr w:type="spellStart"/>
      <w:r w:rsidRPr="00667201">
        <w:rPr>
          <w:rFonts w:ascii="Book Antiqua" w:eastAsia="DengXian" w:hAnsi="Book Antiqua"/>
          <w:kern w:val="2"/>
          <w:lang w:eastAsia="zh-CN"/>
        </w:rPr>
        <w:t>Paranji</w:t>
      </w:r>
      <w:proofErr w:type="spellEnd"/>
      <w:r w:rsidRPr="00667201">
        <w:rPr>
          <w:rFonts w:ascii="Book Antiqua" w:eastAsia="DengXian" w:hAnsi="Book Antiqua"/>
          <w:kern w:val="2"/>
          <w:lang w:eastAsia="zh-CN"/>
        </w:rPr>
        <w:t xml:space="preserve"> N, </w:t>
      </w:r>
      <w:proofErr w:type="spellStart"/>
      <w:r w:rsidRPr="00667201">
        <w:rPr>
          <w:rFonts w:ascii="Book Antiqua" w:eastAsia="DengXian" w:hAnsi="Book Antiqua"/>
          <w:kern w:val="2"/>
          <w:lang w:eastAsia="zh-CN"/>
        </w:rPr>
        <w:t>Lalezari</w:t>
      </w:r>
      <w:proofErr w:type="spellEnd"/>
      <w:r w:rsidRPr="00667201">
        <w:rPr>
          <w:rFonts w:ascii="Book Antiqua" w:eastAsia="DengXian" w:hAnsi="Book Antiqua"/>
          <w:kern w:val="2"/>
          <w:lang w:eastAsia="zh-CN"/>
        </w:rPr>
        <w:t xml:space="preserve"> S, </w:t>
      </w:r>
      <w:proofErr w:type="spellStart"/>
      <w:r w:rsidRPr="00667201">
        <w:rPr>
          <w:rFonts w:ascii="Book Antiqua" w:eastAsia="DengXian" w:hAnsi="Book Antiqua"/>
          <w:kern w:val="2"/>
          <w:lang w:eastAsia="zh-CN"/>
        </w:rPr>
        <w:t>Kalloo</w:t>
      </w:r>
      <w:proofErr w:type="spellEnd"/>
      <w:r w:rsidRPr="00667201">
        <w:rPr>
          <w:rFonts w:ascii="Book Antiqua" w:eastAsia="DengXian" w:hAnsi="Book Antiqua"/>
          <w:kern w:val="2"/>
          <w:lang w:eastAsia="zh-CN"/>
        </w:rPr>
        <w:t xml:space="preserve"> AN, </w:t>
      </w:r>
      <w:proofErr w:type="spellStart"/>
      <w:r w:rsidRPr="00667201">
        <w:rPr>
          <w:rFonts w:ascii="Book Antiqua" w:eastAsia="DengXian" w:hAnsi="Book Antiqua"/>
          <w:kern w:val="2"/>
          <w:lang w:eastAsia="zh-CN"/>
        </w:rPr>
        <w:t>Khashab</w:t>
      </w:r>
      <w:proofErr w:type="spellEnd"/>
      <w:r w:rsidRPr="00667201">
        <w:rPr>
          <w:rFonts w:ascii="Book Antiqua" w:eastAsia="DengXian" w:hAnsi="Book Antiqua"/>
          <w:kern w:val="2"/>
          <w:lang w:eastAsia="zh-CN"/>
        </w:rPr>
        <w:t xml:space="preserve"> MA, </w:t>
      </w:r>
      <w:proofErr w:type="spellStart"/>
      <w:r w:rsidRPr="00667201">
        <w:rPr>
          <w:rFonts w:ascii="Book Antiqua" w:eastAsia="DengXian" w:hAnsi="Book Antiqua"/>
          <w:kern w:val="2"/>
          <w:lang w:eastAsia="zh-CN"/>
        </w:rPr>
        <w:t>Kumbhari</w:t>
      </w:r>
      <w:proofErr w:type="spellEnd"/>
      <w:r w:rsidRPr="00667201">
        <w:rPr>
          <w:rFonts w:ascii="Book Antiqua" w:eastAsia="DengXian" w:hAnsi="Book Antiqua"/>
          <w:kern w:val="2"/>
          <w:lang w:eastAsia="zh-CN"/>
        </w:rPr>
        <w:t xml:space="preserve"> V. Endoscopic sleeve gastroplasty versus laparoscopic sleeve gastrectomy: a case-matched study.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2019; </w:t>
      </w:r>
      <w:r w:rsidRPr="00667201">
        <w:rPr>
          <w:rFonts w:ascii="Book Antiqua" w:eastAsia="DengXian" w:hAnsi="Book Antiqua"/>
          <w:b/>
          <w:kern w:val="2"/>
          <w:lang w:eastAsia="zh-CN"/>
        </w:rPr>
        <w:t>89</w:t>
      </w:r>
      <w:r w:rsidRPr="00667201">
        <w:rPr>
          <w:rFonts w:ascii="Book Antiqua" w:eastAsia="DengXian" w:hAnsi="Book Antiqua"/>
          <w:kern w:val="2"/>
          <w:lang w:eastAsia="zh-CN"/>
        </w:rPr>
        <w:t>: 782-788 [PMID: 30148991 DOI: 10.1016/j.gie.2018.08.030]</w:t>
      </w:r>
    </w:p>
    <w:p w14:paraId="0B9A80CA"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26 </w:t>
      </w:r>
      <w:r w:rsidRPr="00667201">
        <w:rPr>
          <w:rFonts w:ascii="Book Antiqua" w:eastAsia="DengXian" w:hAnsi="Book Antiqua"/>
          <w:b/>
          <w:kern w:val="2"/>
          <w:lang w:eastAsia="zh-CN"/>
        </w:rPr>
        <w:t xml:space="preserve">Abu </w:t>
      </w:r>
      <w:proofErr w:type="spellStart"/>
      <w:r w:rsidRPr="00667201">
        <w:rPr>
          <w:rFonts w:ascii="Book Antiqua" w:eastAsia="DengXian" w:hAnsi="Book Antiqua"/>
          <w:b/>
          <w:kern w:val="2"/>
          <w:lang w:eastAsia="zh-CN"/>
        </w:rPr>
        <w:t>Dayyeh</w:t>
      </w:r>
      <w:proofErr w:type="spellEnd"/>
      <w:r w:rsidRPr="00667201">
        <w:rPr>
          <w:rFonts w:ascii="Book Antiqua" w:eastAsia="DengXian" w:hAnsi="Book Antiqua"/>
          <w:b/>
          <w:kern w:val="2"/>
          <w:lang w:eastAsia="zh-CN"/>
        </w:rPr>
        <w:t xml:space="preserve"> BK</w:t>
      </w:r>
      <w:r w:rsidRPr="00667201">
        <w:rPr>
          <w:rFonts w:ascii="Book Antiqua" w:eastAsia="DengXian" w:hAnsi="Book Antiqua"/>
          <w:kern w:val="2"/>
          <w:lang w:eastAsia="zh-CN"/>
        </w:rPr>
        <w:t xml:space="preserve">, Acosta A, Camilleri M, Mundi MS, </w:t>
      </w:r>
      <w:proofErr w:type="spellStart"/>
      <w:r w:rsidRPr="00667201">
        <w:rPr>
          <w:rFonts w:ascii="Book Antiqua" w:eastAsia="DengXian" w:hAnsi="Book Antiqua"/>
          <w:kern w:val="2"/>
          <w:lang w:eastAsia="zh-CN"/>
        </w:rPr>
        <w:t>Rajan</w:t>
      </w:r>
      <w:proofErr w:type="spellEnd"/>
      <w:r w:rsidRPr="00667201">
        <w:rPr>
          <w:rFonts w:ascii="Book Antiqua" w:eastAsia="DengXian" w:hAnsi="Book Antiqua"/>
          <w:kern w:val="2"/>
          <w:lang w:eastAsia="zh-CN"/>
        </w:rPr>
        <w:t xml:space="preserve"> E, </w:t>
      </w:r>
      <w:proofErr w:type="spellStart"/>
      <w:r w:rsidRPr="00667201">
        <w:rPr>
          <w:rFonts w:ascii="Book Antiqua" w:eastAsia="DengXian" w:hAnsi="Book Antiqua"/>
          <w:kern w:val="2"/>
          <w:lang w:eastAsia="zh-CN"/>
        </w:rPr>
        <w:t>Topazian</w:t>
      </w:r>
      <w:proofErr w:type="spellEnd"/>
      <w:r w:rsidRPr="00667201">
        <w:rPr>
          <w:rFonts w:ascii="Book Antiqua" w:eastAsia="DengXian" w:hAnsi="Book Antiqua"/>
          <w:kern w:val="2"/>
          <w:lang w:eastAsia="zh-CN"/>
        </w:rPr>
        <w:t xml:space="preserve"> MD, </w:t>
      </w:r>
      <w:proofErr w:type="spellStart"/>
      <w:r w:rsidRPr="00667201">
        <w:rPr>
          <w:rFonts w:ascii="Book Antiqua" w:eastAsia="DengXian" w:hAnsi="Book Antiqua"/>
          <w:kern w:val="2"/>
          <w:lang w:eastAsia="zh-CN"/>
        </w:rPr>
        <w:t>Gostout</w:t>
      </w:r>
      <w:proofErr w:type="spellEnd"/>
      <w:r w:rsidRPr="00667201">
        <w:rPr>
          <w:rFonts w:ascii="Book Antiqua" w:eastAsia="DengXian" w:hAnsi="Book Antiqua"/>
          <w:kern w:val="2"/>
          <w:lang w:eastAsia="zh-CN"/>
        </w:rPr>
        <w:t xml:space="preserve"> CJ. Endoscopic Sleeve Gastroplasty Alters Gastric Physiology and Induces Loss of Body Weight in Obese Individuals. </w:t>
      </w:r>
      <w:r w:rsidRPr="00667201">
        <w:rPr>
          <w:rFonts w:ascii="Book Antiqua" w:eastAsia="DengXian" w:hAnsi="Book Antiqua"/>
          <w:i/>
          <w:kern w:val="2"/>
          <w:lang w:eastAsia="zh-CN"/>
        </w:rPr>
        <w:t xml:space="preserve">Clin Gastroenterol </w:t>
      </w:r>
      <w:proofErr w:type="spellStart"/>
      <w:r w:rsidRPr="00667201">
        <w:rPr>
          <w:rFonts w:ascii="Book Antiqua" w:eastAsia="DengXian" w:hAnsi="Book Antiqua"/>
          <w:i/>
          <w:kern w:val="2"/>
          <w:lang w:eastAsia="zh-CN"/>
        </w:rPr>
        <w:t>Hepatol</w:t>
      </w:r>
      <w:proofErr w:type="spellEnd"/>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15</w:t>
      </w:r>
      <w:r w:rsidRPr="00667201">
        <w:rPr>
          <w:rFonts w:ascii="Book Antiqua" w:eastAsia="DengXian" w:hAnsi="Book Antiqua"/>
          <w:kern w:val="2"/>
          <w:lang w:eastAsia="zh-CN"/>
        </w:rPr>
        <w:t>: 37-43.e1 [PMID: 26748219 DOI: 10.1016/j.cgh.2015.12.030]</w:t>
      </w:r>
    </w:p>
    <w:p w14:paraId="414B8512"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27 </w:t>
      </w:r>
      <w:r w:rsidRPr="00667201">
        <w:rPr>
          <w:rFonts w:ascii="Book Antiqua" w:eastAsia="DengXian" w:hAnsi="Book Antiqua"/>
          <w:b/>
          <w:kern w:val="2"/>
          <w:lang w:eastAsia="zh-CN"/>
        </w:rPr>
        <w:t>Hill C</w:t>
      </w:r>
      <w:r w:rsidRPr="00667201">
        <w:rPr>
          <w:rFonts w:ascii="Book Antiqua" w:eastAsia="DengXian" w:hAnsi="Book Antiqua"/>
          <w:kern w:val="2"/>
          <w:lang w:eastAsia="zh-CN"/>
        </w:rPr>
        <w:t xml:space="preserve">, El </w:t>
      </w:r>
      <w:proofErr w:type="spellStart"/>
      <w:r w:rsidRPr="00667201">
        <w:rPr>
          <w:rFonts w:ascii="Book Antiqua" w:eastAsia="DengXian" w:hAnsi="Book Antiqua"/>
          <w:kern w:val="2"/>
          <w:lang w:eastAsia="zh-CN"/>
        </w:rPr>
        <w:t>Zein</w:t>
      </w:r>
      <w:proofErr w:type="spellEnd"/>
      <w:r w:rsidRPr="00667201">
        <w:rPr>
          <w:rFonts w:ascii="Book Antiqua" w:eastAsia="DengXian" w:hAnsi="Book Antiqua"/>
          <w:kern w:val="2"/>
          <w:lang w:eastAsia="zh-CN"/>
        </w:rPr>
        <w:t xml:space="preserve"> M, Agnihotri A, Dunlap M, Chang A, Agrawal A, </w:t>
      </w:r>
      <w:proofErr w:type="spellStart"/>
      <w:r w:rsidRPr="00667201">
        <w:rPr>
          <w:rFonts w:ascii="Book Antiqua" w:eastAsia="DengXian" w:hAnsi="Book Antiqua"/>
          <w:kern w:val="2"/>
          <w:lang w:eastAsia="zh-CN"/>
        </w:rPr>
        <w:t>Barola</w:t>
      </w:r>
      <w:proofErr w:type="spellEnd"/>
      <w:r w:rsidRPr="00667201">
        <w:rPr>
          <w:rFonts w:ascii="Book Antiqua" w:eastAsia="DengXian" w:hAnsi="Book Antiqua"/>
          <w:kern w:val="2"/>
          <w:lang w:eastAsia="zh-CN"/>
        </w:rPr>
        <w:t xml:space="preserve"> S, </w:t>
      </w:r>
      <w:proofErr w:type="spellStart"/>
      <w:r w:rsidRPr="00667201">
        <w:rPr>
          <w:rFonts w:ascii="Book Antiqua" w:eastAsia="DengXian" w:hAnsi="Book Antiqua"/>
          <w:kern w:val="2"/>
          <w:lang w:eastAsia="zh-CN"/>
        </w:rPr>
        <w:t>Ngamruengphong</w:t>
      </w:r>
      <w:proofErr w:type="spellEnd"/>
      <w:r w:rsidRPr="00667201">
        <w:rPr>
          <w:rFonts w:ascii="Book Antiqua" w:eastAsia="DengXian" w:hAnsi="Book Antiqua"/>
          <w:kern w:val="2"/>
          <w:lang w:eastAsia="zh-CN"/>
        </w:rPr>
        <w:t xml:space="preserve"> S, Chen YI, </w:t>
      </w:r>
      <w:proofErr w:type="spellStart"/>
      <w:r w:rsidRPr="00667201">
        <w:rPr>
          <w:rFonts w:ascii="Book Antiqua" w:eastAsia="DengXian" w:hAnsi="Book Antiqua"/>
          <w:kern w:val="2"/>
          <w:lang w:eastAsia="zh-CN"/>
        </w:rPr>
        <w:t>Kalloo</w:t>
      </w:r>
      <w:proofErr w:type="spellEnd"/>
      <w:r w:rsidRPr="00667201">
        <w:rPr>
          <w:rFonts w:ascii="Book Antiqua" w:eastAsia="DengXian" w:hAnsi="Book Antiqua"/>
          <w:kern w:val="2"/>
          <w:lang w:eastAsia="zh-CN"/>
        </w:rPr>
        <w:t xml:space="preserve"> AN, </w:t>
      </w:r>
      <w:proofErr w:type="spellStart"/>
      <w:r w:rsidRPr="00667201">
        <w:rPr>
          <w:rFonts w:ascii="Book Antiqua" w:eastAsia="DengXian" w:hAnsi="Book Antiqua"/>
          <w:kern w:val="2"/>
          <w:lang w:eastAsia="zh-CN"/>
        </w:rPr>
        <w:t>Khashab</w:t>
      </w:r>
      <w:proofErr w:type="spellEnd"/>
      <w:r w:rsidRPr="00667201">
        <w:rPr>
          <w:rFonts w:ascii="Book Antiqua" w:eastAsia="DengXian" w:hAnsi="Book Antiqua"/>
          <w:kern w:val="2"/>
          <w:lang w:eastAsia="zh-CN"/>
        </w:rPr>
        <w:t xml:space="preserve"> MA, </w:t>
      </w:r>
      <w:proofErr w:type="spellStart"/>
      <w:r w:rsidRPr="00667201">
        <w:rPr>
          <w:rFonts w:ascii="Book Antiqua" w:eastAsia="DengXian" w:hAnsi="Book Antiqua"/>
          <w:kern w:val="2"/>
          <w:lang w:eastAsia="zh-CN"/>
        </w:rPr>
        <w:t>Kumbhari</w:t>
      </w:r>
      <w:proofErr w:type="spellEnd"/>
      <w:r w:rsidRPr="00667201">
        <w:rPr>
          <w:rFonts w:ascii="Book Antiqua" w:eastAsia="DengXian" w:hAnsi="Book Antiqua"/>
          <w:kern w:val="2"/>
          <w:lang w:eastAsia="zh-CN"/>
        </w:rPr>
        <w:t xml:space="preserve"> V. Endoscopic sleeve gastroplasty: the learning curve.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i/>
          <w:kern w:val="2"/>
          <w:lang w:eastAsia="zh-CN"/>
        </w:rPr>
        <w:t xml:space="preserve"> Int Open</w:t>
      </w:r>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5</w:t>
      </w:r>
      <w:r w:rsidRPr="00667201">
        <w:rPr>
          <w:rFonts w:ascii="Book Antiqua" w:eastAsia="DengXian" w:hAnsi="Book Antiqua"/>
          <w:kern w:val="2"/>
          <w:lang w:eastAsia="zh-CN"/>
        </w:rPr>
        <w:t>: E900-E904 [PMID: 28924597 DOI: 10.1055/s-0043-115387]</w:t>
      </w:r>
    </w:p>
    <w:p w14:paraId="093CEC84"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28 </w:t>
      </w:r>
      <w:proofErr w:type="spellStart"/>
      <w:r w:rsidRPr="00667201">
        <w:rPr>
          <w:rFonts w:ascii="Book Antiqua" w:eastAsia="DengXian" w:hAnsi="Book Antiqua"/>
          <w:b/>
          <w:kern w:val="2"/>
          <w:lang w:eastAsia="zh-CN"/>
        </w:rPr>
        <w:t>Saumoy</w:t>
      </w:r>
      <w:proofErr w:type="spellEnd"/>
      <w:r w:rsidRPr="00667201">
        <w:rPr>
          <w:rFonts w:ascii="Book Antiqua" w:eastAsia="DengXian" w:hAnsi="Book Antiqua"/>
          <w:b/>
          <w:kern w:val="2"/>
          <w:lang w:eastAsia="zh-CN"/>
        </w:rPr>
        <w:t xml:space="preserve"> M</w:t>
      </w:r>
      <w:r w:rsidRPr="00667201">
        <w:rPr>
          <w:rFonts w:ascii="Book Antiqua" w:eastAsia="DengXian" w:hAnsi="Book Antiqua"/>
          <w:kern w:val="2"/>
          <w:lang w:eastAsia="zh-CN"/>
        </w:rPr>
        <w:t xml:space="preserve">, Schneider Y, Zhou XK, Shukla A, </w:t>
      </w:r>
      <w:proofErr w:type="spellStart"/>
      <w:r w:rsidRPr="00667201">
        <w:rPr>
          <w:rFonts w:ascii="Book Antiqua" w:eastAsia="DengXian" w:hAnsi="Book Antiqua"/>
          <w:kern w:val="2"/>
          <w:lang w:eastAsia="zh-CN"/>
        </w:rPr>
        <w:t>Kahaleh</w:t>
      </w:r>
      <w:proofErr w:type="spellEnd"/>
      <w:r w:rsidRPr="00667201">
        <w:rPr>
          <w:rFonts w:ascii="Book Antiqua" w:eastAsia="DengXian" w:hAnsi="Book Antiqua"/>
          <w:kern w:val="2"/>
          <w:lang w:eastAsia="zh-CN"/>
        </w:rPr>
        <w:t xml:space="preserve"> M, </w:t>
      </w:r>
      <w:proofErr w:type="spellStart"/>
      <w:r w:rsidRPr="00667201">
        <w:rPr>
          <w:rFonts w:ascii="Book Antiqua" w:eastAsia="DengXian" w:hAnsi="Book Antiqua"/>
          <w:kern w:val="2"/>
          <w:lang w:eastAsia="zh-CN"/>
        </w:rPr>
        <w:t>Aronne</w:t>
      </w:r>
      <w:proofErr w:type="spellEnd"/>
      <w:r w:rsidRPr="00667201">
        <w:rPr>
          <w:rFonts w:ascii="Book Antiqua" w:eastAsia="DengXian" w:hAnsi="Book Antiqua"/>
          <w:kern w:val="2"/>
          <w:lang w:eastAsia="zh-CN"/>
        </w:rPr>
        <w:t xml:space="preserve"> L, </w:t>
      </w:r>
      <w:proofErr w:type="spellStart"/>
      <w:r w:rsidRPr="00667201">
        <w:rPr>
          <w:rFonts w:ascii="Book Antiqua" w:eastAsia="DengXian" w:hAnsi="Book Antiqua"/>
          <w:kern w:val="2"/>
          <w:lang w:eastAsia="zh-CN"/>
        </w:rPr>
        <w:t>Sharaiha</w:t>
      </w:r>
      <w:proofErr w:type="spellEnd"/>
      <w:r w:rsidRPr="00667201">
        <w:rPr>
          <w:rFonts w:ascii="Book Antiqua" w:eastAsia="DengXian" w:hAnsi="Book Antiqua"/>
          <w:kern w:val="2"/>
          <w:lang w:eastAsia="zh-CN"/>
        </w:rPr>
        <w:t xml:space="preserve"> RZ. A single-operator learning curve analysis for the endoscopic sleeve gastroplasty.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w:t>
      </w:r>
      <w:proofErr w:type="spellStart"/>
      <w:r w:rsidRPr="00667201">
        <w:rPr>
          <w:rFonts w:ascii="Book Antiqua" w:eastAsia="DengXian" w:hAnsi="Book Antiqua"/>
          <w:i/>
          <w:kern w:val="2"/>
          <w:lang w:eastAsia="zh-CN"/>
        </w:rPr>
        <w:t>Endosc</w:t>
      </w:r>
      <w:proofErr w:type="spellEnd"/>
      <w:r w:rsidRPr="00667201">
        <w:rPr>
          <w:rFonts w:ascii="Book Antiqua" w:eastAsia="DengXian" w:hAnsi="Book Antiqua"/>
          <w:kern w:val="2"/>
          <w:lang w:eastAsia="zh-CN"/>
        </w:rPr>
        <w:t xml:space="preserve"> 2018; </w:t>
      </w:r>
      <w:r w:rsidRPr="00667201">
        <w:rPr>
          <w:rFonts w:ascii="Book Antiqua" w:eastAsia="DengXian" w:hAnsi="Book Antiqua"/>
          <w:b/>
          <w:kern w:val="2"/>
          <w:lang w:eastAsia="zh-CN"/>
        </w:rPr>
        <w:t>87</w:t>
      </w:r>
      <w:r w:rsidRPr="00667201">
        <w:rPr>
          <w:rFonts w:ascii="Book Antiqua" w:eastAsia="DengXian" w:hAnsi="Book Antiqua"/>
          <w:kern w:val="2"/>
          <w:lang w:eastAsia="zh-CN"/>
        </w:rPr>
        <w:t>: 442-447 [PMID: 28843586 DOI: 10.1016/j.gie.2017.08.014]</w:t>
      </w:r>
    </w:p>
    <w:p w14:paraId="014A49CA" w14:textId="77777777"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29 </w:t>
      </w:r>
      <w:r w:rsidRPr="00667201">
        <w:rPr>
          <w:rFonts w:ascii="Book Antiqua" w:eastAsia="DengXian" w:hAnsi="Book Antiqua"/>
          <w:b/>
          <w:kern w:val="2"/>
          <w:lang w:eastAsia="zh-CN"/>
        </w:rPr>
        <w:t>Novikov AA</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Afaneh</w:t>
      </w:r>
      <w:proofErr w:type="spellEnd"/>
      <w:r w:rsidRPr="00667201">
        <w:rPr>
          <w:rFonts w:ascii="Book Antiqua" w:eastAsia="DengXian" w:hAnsi="Book Antiqua"/>
          <w:kern w:val="2"/>
          <w:lang w:eastAsia="zh-CN"/>
        </w:rPr>
        <w:t xml:space="preserve"> C, </w:t>
      </w:r>
      <w:proofErr w:type="spellStart"/>
      <w:r w:rsidRPr="00667201">
        <w:rPr>
          <w:rFonts w:ascii="Book Antiqua" w:eastAsia="DengXian" w:hAnsi="Book Antiqua"/>
          <w:kern w:val="2"/>
          <w:lang w:eastAsia="zh-CN"/>
        </w:rPr>
        <w:t>Saumoy</w:t>
      </w:r>
      <w:proofErr w:type="spellEnd"/>
      <w:r w:rsidRPr="00667201">
        <w:rPr>
          <w:rFonts w:ascii="Book Antiqua" w:eastAsia="DengXian" w:hAnsi="Book Antiqua"/>
          <w:kern w:val="2"/>
          <w:lang w:eastAsia="zh-CN"/>
        </w:rPr>
        <w:t xml:space="preserve"> M, Parra V, Shukla A, Dakin GF, Pomp A, </w:t>
      </w:r>
      <w:proofErr w:type="spellStart"/>
      <w:r w:rsidRPr="00667201">
        <w:rPr>
          <w:rFonts w:ascii="Book Antiqua" w:eastAsia="DengXian" w:hAnsi="Book Antiqua"/>
          <w:kern w:val="2"/>
          <w:lang w:eastAsia="zh-CN"/>
        </w:rPr>
        <w:t>Dawod</w:t>
      </w:r>
      <w:proofErr w:type="spellEnd"/>
      <w:r w:rsidRPr="00667201">
        <w:rPr>
          <w:rFonts w:ascii="Book Antiqua" w:eastAsia="DengXian" w:hAnsi="Book Antiqua"/>
          <w:kern w:val="2"/>
          <w:lang w:eastAsia="zh-CN"/>
        </w:rPr>
        <w:t xml:space="preserve"> E, Shah S, </w:t>
      </w:r>
      <w:proofErr w:type="spellStart"/>
      <w:r w:rsidRPr="00667201">
        <w:rPr>
          <w:rFonts w:ascii="Book Antiqua" w:eastAsia="DengXian" w:hAnsi="Book Antiqua"/>
          <w:kern w:val="2"/>
          <w:lang w:eastAsia="zh-CN"/>
        </w:rPr>
        <w:t>Aronne</w:t>
      </w:r>
      <w:proofErr w:type="spellEnd"/>
      <w:r w:rsidRPr="00667201">
        <w:rPr>
          <w:rFonts w:ascii="Book Antiqua" w:eastAsia="DengXian" w:hAnsi="Book Antiqua"/>
          <w:kern w:val="2"/>
          <w:lang w:eastAsia="zh-CN"/>
        </w:rPr>
        <w:t xml:space="preserve"> LJ, </w:t>
      </w:r>
      <w:proofErr w:type="spellStart"/>
      <w:r w:rsidRPr="00667201">
        <w:rPr>
          <w:rFonts w:ascii="Book Antiqua" w:eastAsia="DengXian" w:hAnsi="Book Antiqua"/>
          <w:kern w:val="2"/>
          <w:lang w:eastAsia="zh-CN"/>
        </w:rPr>
        <w:t>Sharaiha</w:t>
      </w:r>
      <w:proofErr w:type="spellEnd"/>
      <w:r w:rsidRPr="00667201">
        <w:rPr>
          <w:rFonts w:ascii="Book Antiqua" w:eastAsia="DengXian" w:hAnsi="Book Antiqua"/>
          <w:kern w:val="2"/>
          <w:lang w:eastAsia="zh-CN"/>
        </w:rPr>
        <w:t xml:space="preserve"> RZ. Endoscopic Sleeve Gastroplasty, Laparoscopic Sleeve Gastrectomy, and Laparoscopic Band for Weight Loss: How Do They Compare? </w:t>
      </w:r>
      <w:r w:rsidRPr="00667201">
        <w:rPr>
          <w:rFonts w:ascii="Book Antiqua" w:eastAsia="DengXian" w:hAnsi="Book Antiqua"/>
          <w:i/>
          <w:kern w:val="2"/>
          <w:lang w:eastAsia="zh-CN"/>
        </w:rPr>
        <w:t xml:space="preserve">J </w:t>
      </w:r>
      <w:proofErr w:type="spellStart"/>
      <w:r w:rsidRPr="00667201">
        <w:rPr>
          <w:rFonts w:ascii="Book Antiqua" w:eastAsia="DengXian" w:hAnsi="Book Antiqua"/>
          <w:i/>
          <w:kern w:val="2"/>
          <w:lang w:eastAsia="zh-CN"/>
        </w:rPr>
        <w:t>Gastrointest</w:t>
      </w:r>
      <w:proofErr w:type="spellEnd"/>
      <w:r w:rsidRPr="00667201">
        <w:rPr>
          <w:rFonts w:ascii="Book Antiqua" w:eastAsia="DengXian" w:hAnsi="Book Antiqua"/>
          <w:i/>
          <w:kern w:val="2"/>
          <w:lang w:eastAsia="zh-CN"/>
        </w:rPr>
        <w:t xml:space="preserve"> Surg</w:t>
      </w:r>
      <w:r w:rsidRPr="00667201">
        <w:rPr>
          <w:rFonts w:ascii="Book Antiqua" w:eastAsia="DengXian" w:hAnsi="Book Antiqua"/>
          <w:kern w:val="2"/>
          <w:lang w:eastAsia="zh-CN"/>
        </w:rPr>
        <w:t xml:space="preserve"> 2018; </w:t>
      </w:r>
      <w:r w:rsidRPr="00667201">
        <w:rPr>
          <w:rFonts w:ascii="Book Antiqua" w:eastAsia="DengXian" w:hAnsi="Book Antiqua"/>
          <w:b/>
          <w:kern w:val="2"/>
          <w:lang w:eastAsia="zh-CN"/>
        </w:rPr>
        <w:t>22</w:t>
      </w:r>
      <w:r w:rsidRPr="00667201">
        <w:rPr>
          <w:rFonts w:ascii="Book Antiqua" w:eastAsia="DengXian" w:hAnsi="Book Antiqua"/>
          <w:kern w:val="2"/>
          <w:lang w:eastAsia="zh-CN"/>
        </w:rPr>
        <w:t>: 267-273 [PMID: 29110192 DOI: 10.1007/s11605-017-3615-7]</w:t>
      </w:r>
    </w:p>
    <w:p w14:paraId="19FD88F3" w14:textId="6CC7CC82" w:rsidR="00667201" w:rsidRPr="00667201" w:rsidRDefault="00667201" w:rsidP="00667201">
      <w:pPr>
        <w:widowControl w:val="0"/>
        <w:spacing w:line="360" w:lineRule="auto"/>
        <w:jc w:val="both"/>
        <w:rPr>
          <w:rFonts w:ascii="Book Antiqua" w:eastAsia="DengXian" w:hAnsi="Book Antiqua"/>
          <w:kern w:val="2"/>
          <w:lang w:eastAsia="zh-CN"/>
        </w:rPr>
      </w:pPr>
      <w:r w:rsidRPr="00667201">
        <w:rPr>
          <w:rFonts w:ascii="Book Antiqua" w:eastAsia="DengXian" w:hAnsi="Book Antiqua"/>
          <w:kern w:val="2"/>
          <w:lang w:eastAsia="zh-CN"/>
        </w:rPr>
        <w:t xml:space="preserve">30 </w:t>
      </w:r>
      <w:proofErr w:type="spellStart"/>
      <w:r w:rsidRPr="00667201">
        <w:rPr>
          <w:rFonts w:ascii="Book Antiqua" w:eastAsia="DengXian" w:hAnsi="Book Antiqua"/>
          <w:b/>
          <w:kern w:val="2"/>
          <w:lang w:eastAsia="zh-CN"/>
        </w:rPr>
        <w:t>Sharaiha</w:t>
      </w:r>
      <w:proofErr w:type="spellEnd"/>
      <w:r w:rsidRPr="00667201">
        <w:rPr>
          <w:rFonts w:ascii="Book Antiqua" w:eastAsia="DengXian" w:hAnsi="Book Antiqua"/>
          <w:b/>
          <w:kern w:val="2"/>
          <w:lang w:eastAsia="zh-CN"/>
        </w:rPr>
        <w:t xml:space="preserve"> RZ</w:t>
      </w:r>
      <w:r w:rsidRPr="00667201">
        <w:rPr>
          <w:rFonts w:ascii="Book Antiqua" w:eastAsia="DengXian" w:hAnsi="Book Antiqua"/>
          <w:kern w:val="2"/>
          <w:lang w:eastAsia="zh-CN"/>
        </w:rPr>
        <w:t xml:space="preserve">, </w:t>
      </w:r>
      <w:proofErr w:type="spellStart"/>
      <w:r w:rsidRPr="00667201">
        <w:rPr>
          <w:rFonts w:ascii="Book Antiqua" w:eastAsia="DengXian" w:hAnsi="Book Antiqua"/>
          <w:kern w:val="2"/>
          <w:lang w:eastAsia="zh-CN"/>
        </w:rPr>
        <w:t>Kumta</w:t>
      </w:r>
      <w:proofErr w:type="spellEnd"/>
      <w:r w:rsidRPr="00667201">
        <w:rPr>
          <w:rFonts w:ascii="Book Antiqua" w:eastAsia="DengXian" w:hAnsi="Book Antiqua"/>
          <w:kern w:val="2"/>
          <w:lang w:eastAsia="zh-CN"/>
        </w:rPr>
        <w:t xml:space="preserve"> NA, </w:t>
      </w:r>
      <w:proofErr w:type="spellStart"/>
      <w:r w:rsidRPr="00667201">
        <w:rPr>
          <w:rFonts w:ascii="Book Antiqua" w:eastAsia="DengXian" w:hAnsi="Book Antiqua"/>
          <w:kern w:val="2"/>
          <w:lang w:eastAsia="zh-CN"/>
        </w:rPr>
        <w:t>Saumoy</w:t>
      </w:r>
      <w:proofErr w:type="spellEnd"/>
      <w:r w:rsidRPr="00667201">
        <w:rPr>
          <w:rFonts w:ascii="Book Antiqua" w:eastAsia="DengXian" w:hAnsi="Book Antiqua"/>
          <w:kern w:val="2"/>
          <w:lang w:eastAsia="zh-CN"/>
        </w:rPr>
        <w:t xml:space="preserve"> M, Desai AP, Sarkisian AM, </w:t>
      </w:r>
      <w:proofErr w:type="spellStart"/>
      <w:r w:rsidRPr="00667201">
        <w:rPr>
          <w:rFonts w:ascii="Book Antiqua" w:eastAsia="DengXian" w:hAnsi="Book Antiqua"/>
          <w:kern w:val="2"/>
          <w:lang w:eastAsia="zh-CN"/>
        </w:rPr>
        <w:t>Benevenuto</w:t>
      </w:r>
      <w:proofErr w:type="spellEnd"/>
      <w:r w:rsidRPr="00667201">
        <w:rPr>
          <w:rFonts w:ascii="Book Antiqua" w:eastAsia="DengXian" w:hAnsi="Book Antiqua"/>
          <w:kern w:val="2"/>
          <w:lang w:eastAsia="zh-CN"/>
        </w:rPr>
        <w:t xml:space="preserve"> A, </w:t>
      </w:r>
      <w:proofErr w:type="spellStart"/>
      <w:r w:rsidRPr="00667201">
        <w:rPr>
          <w:rFonts w:ascii="Book Antiqua" w:eastAsia="DengXian" w:hAnsi="Book Antiqua"/>
          <w:kern w:val="2"/>
          <w:lang w:eastAsia="zh-CN"/>
        </w:rPr>
        <w:t>Tyberg</w:t>
      </w:r>
      <w:proofErr w:type="spellEnd"/>
      <w:r w:rsidRPr="00667201">
        <w:rPr>
          <w:rFonts w:ascii="Book Antiqua" w:eastAsia="DengXian" w:hAnsi="Book Antiqua"/>
          <w:kern w:val="2"/>
          <w:lang w:eastAsia="zh-CN"/>
        </w:rPr>
        <w:t xml:space="preserve"> A, Kumar R, </w:t>
      </w:r>
      <w:proofErr w:type="spellStart"/>
      <w:r w:rsidRPr="00667201">
        <w:rPr>
          <w:rFonts w:ascii="Book Antiqua" w:eastAsia="DengXian" w:hAnsi="Book Antiqua"/>
          <w:kern w:val="2"/>
          <w:lang w:eastAsia="zh-CN"/>
        </w:rPr>
        <w:t>Igel</w:t>
      </w:r>
      <w:proofErr w:type="spellEnd"/>
      <w:r w:rsidRPr="00667201">
        <w:rPr>
          <w:rFonts w:ascii="Book Antiqua" w:eastAsia="DengXian" w:hAnsi="Book Antiqua"/>
          <w:kern w:val="2"/>
          <w:lang w:eastAsia="zh-CN"/>
        </w:rPr>
        <w:t xml:space="preserve"> L, Verna EC, Schwartz R, Frissora C, Shukla A, </w:t>
      </w:r>
      <w:proofErr w:type="spellStart"/>
      <w:r w:rsidRPr="00667201">
        <w:rPr>
          <w:rFonts w:ascii="Book Antiqua" w:eastAsia="DengXian" w:hAnsi="Book Antiqua"/>
          <w:kern w:val="2"/>
          <w:lang w:eastAsia="zh-CN"/>
        </w:rPr>
        <w:t>Aronne</w:t>
      </w:r>
      <w:proofErr w:type="spellEnd"/>
      <w:r w:rsidRPr="00667201">
        <w:rPr>
          <w:rFonts w:ascii="Book Antiqua" w:eastAsia="DengXian" w:hAnsi="Book Antiqua"/>
          <w:kern w:val="2"/>
          <w:lang w:eastAsia="zh-CN"/>
        </w:rPr>
        <w:t xml:space="preserve"> LJ, </w:t>
      </w:r>
      <w:proofErr w:type="spellStart"/>
      <w:r w:rsidRPr="00667201">
        <w:rPr>
          <w:rFonts w:ascii="Book Antiqua" w:eastAsia="DengXian" w:hAnsi="Book Antiqua"/>
          <w:kern w:val="2"/>
          <w:lang w:eastAsia="zh-CN"/>
        </w:rPr>
        <w:t>Kahaleh</w:t>
      </w:r>
      <w:proofErr w:type="spellEnd"/>
      <w:r w:rsidRPr="00667201">
        <w:rPr>
          <w:rFonts w:ascii="Book Antiqua" w:eastAsia="DengXian" w:hAnsi="Book Antiqua"/>
          <w:kern w:val="2"/>
          <w:lang w:eastAsia="zh-CN"/>
        </w:rPr>
        <w:t xml:space="preserve"> M. Endoscopic Sleeve Gastroplasty Significantly Reduces Body Mass Index and Metabolic Complications in Obese Patients. </w:t>
      </w:r>
      <w:r w:rsidRPr="00667201">
        <w:rPr>
          <w:rFonts w:ascii="Book Antiqua" w:eastAsia="DengXian" w:hAnsi="Book Antiqua"/>
          <w:i/>
          <w:kern w:val="2"/>
          <w:lang w:eastAsia="zh-CN"/>
        </w:rPr>
        <w:t xml:space="preserve">Clin Gastroenterol </w:t>
      </w:r>
      <w:proofErr w:type="spellStart"/>
      <w:r w:rsidRPr="00667201">
        <w:rPr>
          <w:rFonts w:ascii="Book Antiqua" w:eastAsia="DengXian" w:hAnsi="Book Antiqua"/>
          <w:i/>
          <w:kern w:val="2"/>
          <w:lang w:eastAsia="zh-CN"/>
        </w:rPr>
        <w:t>Hepatol</w:t>
      </w:r>
      <w:proofErr w:type="spellEnd"/>
      <w:r w:rsidRPr="00667201">
        <w:rPr>
          <w:rFonts w:ascii="Book Antiqua" w:eastAsia="DengXian" w:hAnsi="Book Antiqua"/>
          <w:kern w:val="2"/>
          <w:lang w:eastAsia="zh-CN"/>
        </w:rPr>
        <w:t xml:space="preserve"> 2017; </w:t>
      </w:r>
      <w:r w:rsidRPr="00667201">
        <w:rPr>
          <w:rFonts w:ascii="Book Antiqua" w:eastAsia="DengXian" w:hAnsi="Book Antiqua"/>
          <w:b/>
          <w:kern w:val="2"/>
          <w:lang w:eastAsia="zh-CN"/>
        </w:rPr>
        <w:t>15</w:t>
      </w:r>
      <w:r w:rsidRPr="00667201">
        <w:rPr>
          <w:rFonts w:ascii="Book Antiqua" w:eastAsia="DengXian" w:hAnsi="Book Antiqua"/>
          <w:kern w:val="2"/>
          <w:lang w:eastAsia="zh-CN"/>
        </w:rPr>
        <w:t>: 504-510 [PMID: 28017845 DOI: 10.1016/j.cgh.2016.12.012]</w:t>
      </w:r>
      <w:r w:rsidR="0031131D">
        <w:rPr>
          <w:rFonts w:ascii="Book Antiqua" w:eastAsia="DengXian" w:hAnsi="Book Antiqua" w:hint="eastAsia"/>
          <w:kern w:val="2"/>
          <w:lang w:eastAsia="zh-CN"/>
        </w:rPr>
        <w:t xml:space="preserve"> </w:t>
      </w:r>
    </w:p>
    <w:p w14:paraId="770F0381" w14:textId="58A02B0E" w:rsidR="00667201" w:rsidRDefault="00667201">
      <w:pPr>
        <w:rPr>
          <w:rFonts w:ascii="Book Antiqua" w:hAnsi="Book Antiqua" w:cs="Calibri"/>
          <w:b/>
          <w:color w:val="000000" w:themeColor="text1"/>
        </w:rPr>
      </w:pPr>
      <w:r>
        <w:rPr>
          <w:rFonts w:ascii="Book Antiqua" w:hAnsi="Book Antiqua" w:cs="Calibri"/>
          <w:b/>
          <w:color w:val="000000" w:themeColor="text1"/>
        </w:rPr>
        <w:br w:type="page"/>
      </w:r>
    </w:p>
    <w:p w14:paraId="13A0941A" w14:textId="6D7A31E2" w:rsidR="0019602F" w:rsidRDefault="00667201" w:rsidP="00165B9A">
      <w:pPr>
        <w:widowControl w:val="0"/>
        <w:autoSpaceDE w:val="0"/>
        <w:autoSpaceDN w:val="0"/>
        <w:adjustRightInd w:val="0"/>
        <w:spacing w:line="360" w:lineRule="auto"/>
        <w:jc w:val="both"/>
        <w:rPr>
          <w:rFonts w:ascii="Book Antiqua" w:hAnsi="Book Antiqua"/>
          <w:b/>
          <w:color w:val="000000" w:themeColor="text1"/>
        </w:rPr>
      </w:pPr>
      <w:r w:rsidRPr="00667201">
        <w:rPr>
          <w:rFonts w:ascii="Book Antiqua" w:hAnsi="Book Antiqua"/>
          <w:b/>
          <w:lang w:val="el-GR"/>
        </w:rPr>
        <w:lastRenderedPageBreak/>
        <w:t>Footnotes</w:t>
      </w:r>
    </w:p>
    <w:p w14:paraId="3842E770" w14:textId="18C844A8" w:rsidR="001101CE" w:rsidRDefault="00667201" w:rsidP="00667201">
      <w:pPr>
        <w:widowControl w:val="0"/>
        <w:autoSpaceDE w:val="0"/>
        <w:autoSpaceDN w:val="0"/>
        <w:adjustRightInd w:val="0"/>
        <w:spacing w:line="360" w:lineRule="auto"/>
        <w:jc w:val="both"/>
        <w:rPr>
          <w:rFonts w:ascii="Book Antiqua" w:hAnsi="Book Antiqua"/>
          <w:color w:val="000000" w:themeColor="text1"/>
        </w:rPr>
      </w:pPr>
      <w:r w:rsidRPr="00667201">
        <w:rPr>
          <w:rFonts w:ascii="Book Antiqua" w:hAnsi="Book Antiqua" w:cs="Tahoma"/>
          <w:b/>
          <w:lang w:val="en-GB"/>
        </w:rPr>
        <w:t>Informed consent statement:</w:t>
      </w:r>
      <w:r>
        <w:rPr>
          <w:rFonts w:ascii="Book Antiqua" w:hAnsi="Book Antiqua" w:hint="eastAsia"/>
          <w:b/>
          <w:color w:val="000000" w:themeColor="text1"/>
          <w:lang w:eastAsia="zh-CN"/>
        </w:rPr>
        <w:t xml:space="preserve"> </w:t>
      </w:r>
      <w:r w:rsidR="001101CE" w:rsidRPr="00165B9A">
        <w:rPr>
          <w:rFonts w:ascii="Book Antiqua" w:hAnsi="Book Antiqua"/>
          <w:color w:val="000000" w:themeColor="text1"/>
        </w:rPr>
        <w:t>Written informed consent was obtained from the patient.</w:t>
      </w:r>
    </w:p>
    <w:p w14:paraId="55FEAFB4" w14:textId="26A781F4" w:rsidR="00667201" w:rsidRDefault="00667201" w:rsidP="00667201">
      <w:pPr>
        <w:widowControl w:val="0"/>
        <w:autoSpaceDE w:val="0"/>
        <w:autoSpaceDN w:val="0"/>
        <w:adjustRightInd w:val="0"/>
        <w:spacing w:line="360" w:lineRule="auto"/>
        <w:jc w:val="both"/>
        <w:rPr>
          <w:rFonts w:ascii="Book Antiqua" w:hAnsi="Book Antiqua"/>
          <w:color w:val="000000" w:themeColor="text1"/>
        </w:rPr>
      </w:pPr>
    </w:p>
    <w:p w14:paraId="442BAF6A" w14:textId="52B3F768" w:rsidR="001101CE" w:rsidRPr="003368E2" w:rsidRDefault="00667201" w:rsidP="00667201">
      <w:pPr>
        <w:widowControl w:val="0"/>
        <w:autoSpaceDE w:val="0"/>
        <w:autoSpaceDN w:val="0"/>
        <w:adjustRightInd w:val="0"/>
        <w:spacing w:line="360" w:lineRule="auto"/>
        <w:jc w:val="both"/>
        <w:rPr>
          <w:rFonts w:ascii="Book Antiqua" w:hAnsi="Book Antiqua"/>
          <w:bCs/>
          <w:color w:val="000000" w:themeColor="text1"/>
        </w:rPr>
      </w:pPr>
      <w:r w:rsidRPr="00667201">
        <w:rPr>
          <w:rFonts w:ascii="Book Antiqua" w:hAnsi="Book Antiqua" w:cs="Tahoma"/>
          <w:b/>
          <w:lang w:val="en-GB"/>
        </w:rPr>
        <w:t>Conflict-of-interest statement:</w:t>
      </w:r>
      <w:r>
        <w:rPr>
          <w:rFonts w:ascii="Book Antiqua" w:hAnsi="Book Antiqua" w:hint="eastAsia"/>
          <w:b/>
          <w:color w:val="000000" w:themeColor="text1"/>
          <w:lang w:eastAsia="zh-CN"/>
        </w:rPr>
        <w:t xml:space="preserve"> </w:t>
      </w:r>
      <w:r w:rsidR="003368E2" w:rsidRPr="003368E2">
        <w:rPr>
          <w:rFonts w:ascii="Book Antiqua" w:hAnsi="Book Antiqua"/>
          <w:bCs/>
          <w:color w:val="000000" w:themeColor="text1"/>
          <w:lang w:eastAsia="zh-CN"/>
        </w:rPr>
        <w:t xml:space="preserve">Thompson </w:t>
      </w:r>
      <w:r w:rsidR="00730355">
        <w:rPr>
          <w:rFonts w:ascii="Book Antiqua" w:hAnsi="Book Antiqua"/>
          <w:bCs/>
          <w:color w:val="000000" w:themeColor="text1"/>
          <w:lang w:eastAsia="zh-CN"/>
        </w:rPr>
        <w:t xml:space="preserve">CC </w:t>
      </w:r>
      <w:r w:rsidR="003368E2" w:rsidRPr="003368E2">
        <w:rPr>
          <w:rFonts w:ascii="Book Antiqua" w:hAnsi="Book Antiqua"/>
          <w:bCs/>
          <w:color w:val="000000" w:themeColor="text1"/>
          <w:lang w:eastAsia="zh-CN"/>
        </w:rPr>
        <w:t>reports personal fees from Boston Scientific, personal fees from Olympus, outside the submitted work</w:t>
      </w:r>
      <w:r w:rsidR="003368E2">
        <w:rPr>
          <w:rFonts w:ascii="Book Antiqua" w:hAnsi="Book Antiqua"/>
          <w:bCs/>
          <w:color w:val="000000" w:themeColor="text1"/>
          <w:lang w:eastAsia="zh-CN"/>
        </w:rPr>
        <w:t>.</w:t>
      </w:r>
    </w:p>
    <w:p w14:paraId="66CE9F25" w14:textId="1FBC42F5" w:rsidR="00667201" w:rsidRDefault="00667201" w:rsidP="00667201">
      <w:pPr>
        <w:widowControl w:val="0"/>
        <w:autoSpaceDE w:val="0"/>
        <w:autoSpaceDN w:val="0"/>
        <w:adjustRightInd w:val="0"/>
        <w:spacing w:line="360" w:lineRule="auto"/>
        <w:jc w:val="both"/>
        <w:rPr>
          <w:rFonts w:ascii="Book Antiqua" w:hAnsi="Book Antiqua"/>
          <w:color w:val="000000" w:themeColor="text1"/>
        </w:rPr>
      </w:pPr>
    </w:p>
    <w:p w14:paraId="1036D7E7" w14:textId="610AC970" w:rsidR="001101CE" w:rsidRDefault="00667201" w:rsidP="00667201">
      <w:pPr>
        <w:widowControl w:val="0"/>
        <w:autoSpaceDE w:val="0"/>
        <w:autoSpaceDN w:val="0"/>
        <w:adjustRightInd w:val="0"/>
        <w:spacing w:line="360" w:lineRule="auto"/>
        <w:jc w:val="both"/>
        <w:rPr>
          <w:rFonts w:ascii="Book Antiqua" w:hAnsi="Book Antiqua"/>
          <w:color w:val="000000" w:themeColor="text1"/>
        </w:rPr>
      </w:pPr>
      <w:r w:rsidRPr="00667201">
        <w:rPr>
          <w:rFonts w:ascii="Book Antiqua" w:hAnsi="Book Antiqua" w:cs="Tahoma"/>
          <w:b/>
          <w:lang w:val="en-GB"/>
        </w:rPr>
        <w:t>CARE Checklist (2016) statement:</w:t>
      </w:r>
      <w:r>
        <w:rPr>
          <w:rFonts w:ascii="Book Antiqua" w:hAnsi="Book Antiqua"/>
          <w:b/>
          <w:color w:val="000000" w:themeColor="text1"/>
          <w:lang w:val="en-GB"/>
        </w:rPr>
        <w:t xml:space="preserve"> </w:t>
      </w:r>
      <w:r w:rsidR="001101CE" w:rsidRPr="00165B9A">
        <w:rPr>
          <w:rFonts w:ascii="Book Antiqua" w:hAnsi="Book Antiqua"/>
          <w:color w:val="000000" w:themeColor="text1"/>
        </w:rPr>
        <w:t>The authors have read the CARE Checklist (2016), and the manuscript was prepared and revised according to the CARE Checklist (2016).</w:t>
      </w:r>
    </w:p>
    <w:p w14:paraId="75DEB9CE" w14:textId="7C8B1828" w:rsidR="00667201" w:rsidRDefault="00667201" w:rsidP="00667201">
      <w:pPr>
        <w:widowControl w:val="0"/>
        <w:autoSpaceDE w:val="0"/>
        <w:autoSpaceDN w:val="0"/>
        <w:adjustRightInd w:val="0"/>
        <w:spacing w:line="360" w:lineRule="auto"/>
        <w:jc w:val="both"/>
        <w:rPr>
          <w:rFonts w:ascii="Book Antiqua" w:hAnsi="Book Antiqua"/>
          <w:color w:val="000000" w:themeColor="text1"/>
        </w:rPr>
      </w:pPr>
    </w:p>
    <w:p w14:paraId="2884E830" w14:textId="77777777" w:rsidR="00667201" w:rsidRPr="00667201" w:rsidRDefault="00667201" w:rsidP="00667201">
      <w:pPr>
        <w:adjustRightInd w:val="0"/>
        <w:snapToGrid w:val="0"/>
        <w:spacing w:line="360" w:lineRule="auto"/>
        <w:jc w:val="both"/>
        <w:rPr>
          <w:rFonts w:ascii="Book Antiqua" w:hAnsi="Book Antiqua"/>
          <w:lang w:val="en-GB"/>
        </w:rPr>
      </w:pPr>
      <w:r w:rsidRPr="00667201">
        <w:rPr>
          <w:rFonts w:ascii="Book Antiqua" w:hAnsi="Book Antiqua"/>
          <w:b/>
          <w:lang w:val="en-GB"/>
        </w:rPr>
        <w:t xml:space="preserve">Open-Access: </w:t>
      </w:r>
      <w:bookmarkStart w:id="24" w:name="OLE_LINK15"/>
      <w:r w:rsidRPr="00667201">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67201">
          <w:rPr>
            <w:rFonts w:ascii="Book Antiqua" w:hAnsi="Book Antiqua"/>
            <w:lang w:val="en-GB"/>
          </w:rPr>
          <w:t>http://creativecommons.org/licenses/by-nc/4.0/</w:t>
        </w:r>
      </w:hyperlink>
    </w:p>
    <w:bookmarkEnd w:id="24"/>
    <w:p w14:paraId="0DCC4AE3" w14:textId="77777777" w:rsidR="00667201" w:rsidRPr="00667201" w:rsidRDefault="00667201" w:rsidP="00667201">
      <w:pPr>
        <w:widowControl w:val="0"/>
        <w:adjustRightInd w:val="0"/>
        <w:snapToGrid w:val="0"/>
        <w:spacing w:line="360" w:lineRule="auto"/>
        <w:jc w:val="both"/>
        <w:rPr>
          <w:rFonts w:ascii="Book Antiqua" w:hAnsi="Book Antiqua" w:cs="Calibri"/>
          <w:b/>
          <w:bCs/>
          <w:lang w:val="en-GB" w:eastAsia="zh-CN"/>
        </w:rPr>
      </w:pPr>
    </w:p>
    <w:p w14:paraId="7161AAF2" w14:textId="4E587DF1" w:rsidR="00667201" w:rsidRPr="00667201" w:rsidRDefault="00667201" w:rsidP="00667201">
      <w:pPr>
        <w:widowControl w:val="0"/>
        <w:adjustRightInd w:val="0"/>
        <w:snapToGrid w:val="0"/>
        <w:spacing w:line="360" w:lineRule="auto"/>
        <w:jc w:val="both"/>
        <w:rPr>
          <w:rFonts w:ascii="Book Antiqua" w:hAnsi="Book Antiqua" w:cs="SimSun"/>
          <w:lang w:val="en-GB" w:eastAsia="zh-CN"/>
        </w:rPr>
      </w:pPr>
      <w:r w:rsidRPr="00667201">
        <w:rPr>
          <w:rFonts w:ascii="Book Antiqua" w:hAnsi="Book Antiqua" w:cs="SimSun"/>
          <w:b/>
          <w:lang w:val="en-GB"/>
        </w:rPr>
        <w:t>Manuscript source:</w:t>
      </w:r>
      <w:r w:rsidRPr="00667201">
        <w:rPr>
          <w:rFonts w:ascii="Book Antiqua" w:hAnsi="Book Antiqua" w:cs="SimSun"/>
          <w:lang w:val="en-GB"/>
        </w:rPr>
        <w:t> Unsolicited manuscript</w:t>
      </w:r>
    </w:p>
    <w:p w14:paraId="67AA8334" w14:textId="77777777" w:rsidR="00667201" w:rsidRPr="00667201" w:rsidRDefault="00667201" w:rsidP="00667201">
      <w:pPr>
        <w:spacing w:line="360" w:lineRule="auto"/>
        <w:jc w:val="both"/>
        <w:rPr>
          <w:rFonts w:ascii="Book Antiqua" w:eastAsia="DengXian" w:hAnsi="Book Antiqua"/>
          <w:b/>
          <w:bCs/>
          <w:color w:val="000000"/>
          <w:sz w:val="22"/>
          <w:szCs w:val="22"/>
          <w:lang w:val="el-GR" w:eastAsia="zh-CN"/>
        </w:rPr>
      </w:pPr>
    </w:p>
    <w:p w14:paraId="1378561C" w14:textId="732D0E1D" w:rsidR="00667201" w:rsidRPr="00667201" w:rsidRDefault="00667201" w:rsidP="00667201">
      <w:pPr>
        <w:spacing w:line="360" w:lineRule="auto"/>
        <w:jc w:val="both"/>
        <w:rPr>
          <w:rFonts w:ascii="Book Antiqua" w:hAnsi="Book Antiqua"/>
          <w:b/>
          <w:lang w:val="en-GB"/>
        </w:rPr>
      </w:pPr>
      <w:r w:rsidRPr="00667201">
        <w:rPr>
          <w:rFonts w:ascii="Book Antiqua" w:hAnsi="Book Antiqua"/>
          <w:b/>
          <w:lang w:val="en-GB"/>
        </w:rPr>
        <w:t>Peer-review started:</w:t>
      </w:r>
      <w:r w:rsidRPr="00667201">
        <w:rPr>
          <w:rFonts w:ascii="Book Antiqua" w:hAnsi="Book Antiqua"/>
          <w:lang w:val="en-GB" w:eastAsia="zh-CN"/>
        </w:rPr>
        <w:t xml:space="preserve"> </w:t>
      </w:r>
      <w:r>
        <w:rPr>
          <w:rFonts w:ascii="Book Antiqua" w:hAnsi="Book Antiqua"/>
          <w:lang w:val="en-GB" w:eastAsia="zh-CN"/>
        </w:rPr>
        <w:t>November</w:t>
      </w:r>
      <w:r w:rsidRPr="00667201">
        <w:rPr>
          <w:rFonts w:ascii="Book Antiqua" w:hAnsi="Book Antiqua"/>
          <w:lang w:val="en-GB" w:eastAsia="zh-CN"/>
        </w:rPr>
        <w:t xml:space="preserve"> </w:t>
      </w:r>
      <w:r>
        <w:rPr>
          <w:rFonts w:ascii="Book Antiqua" w:hAnsi="Book Antiqua"/>
          <w:lang w:val="en-GB" w:eastAsia="zh-CN"/>
        </w:rPr>
        <w:t>6</w:t>
      </w:r>
      <w:r w:rsidRPr="00667201">
        <w:rPr>
          <w:rFonts w:ascii="Book Antiqua" w:hAnsi="Book Antiqua"/>
          <w:lang w:val="en-GB" w:eastAsia="zh-CN"/>
        </w:rPr>
        <w:t>, 201</w:t>
      </w:r>
      <w:r>
        <w:rPr>
          <w:rFonts w:ascii="Book Antiqua" w:hAnsi="Book Antiqua"/>
          <w:lang w:val="en-GB" w:eastAsia="zh-CN"/>
        </w:rPr>
        <w:t>9</w:t>
      </w:r>
    </w:p>
    <w:p w14:paraId="0A8C1916" w14:textId="64ED7AD1" w:rsidR="00667201" w:rsidRPr="00667201" w:rsidRDefault="00667201" w:rsidP="00667201">
      <w:pPr>
        <w:spacing w:line="360" w:lineRule="auto"/>
        <w:jc w:val="both"/>
        <w:rPr>
          <w:rFonts w:ascii="Book Antiqua" w:hAnsi="Book Antiqua"/>
          <w:b/>
          <w:lang w:val="en-GB"/>
        </w:rPr>
      </w:pPr>
      <w:r w:rsidRPr="00667201">
        <w:rPr>
          <w:rFonts w:ascii="Book Antiqua" w:hAnsi="Book Antiqua"/>
          <w:b/>
          <w:lang w:val="en-GB"/>
        </w:rPr>
        <w:t>First decision:</w:t>
      </w:r>
      <w:r w:rsidRPr="00667201">
        <w:rPr>
          <w:rFonts w:ascii="Book Antiqua" w:hAnsi="Book Antiqua"/>
          <w:lang w:val="en-GB" w:eastAsia="zh-CN"/>
        </w:rPr>
        <w:t xml:space="preserve"> </w:t>
      </w:r>
      <w:r>
        <w:rPr>
          <w:rFonts w:ascii="Book Antiqua" w:hAnsi="Book Antiqua"/>
          <w:lang w:val="en-GB" w:eastAsia="zh-CN"/>
        </w:rPr>
        <w:t>November</w:t>
      </w:r>
      <w:r w:rsidRPr="00667201">
        <w:rPr>
          <w:rFonts w:ascii="Book Antiqua" w:hAnsi="Book Antiqua"/>
          <w:lang w:val="en-GB" w:eastAsia="zh-CN"/>
        </w:rPr>
        <w:t xml:space="preserve"> </w:t>
      </w:r>
      <w:r>
        <w:rPr>
          <w:rFonts w:ascii="Book Antiqua" w:hAnsi="Book Antiqua"/>
          <w:lang w:val="en-GB" w:eastAsia="zh-CN"/>
        </w:rPr>
        <w:t>20</w:t>
      </w:r>
      <w:r w:rsidRPr="00667201">
        <w:rPr>
          <w:rFonts w:ascii="Book Antiqua" w:hAnsi="Book Antiqua"/>
          <w:lang w:val="en-GB" w:eastAsia="zh-CN"/>
        </w:rPr>
        <w:t>, 201</w:t>
      </w:r>
      <w:r>
        <w:rPr>
          <w:rFonts w:ascii="Book Antiqua" w:hAnsi="Book Antiqua"/>
          <w:lang w:val="en-GB" w:eastAsia="zh-CN"/>
        </w:rPr>
        <w:t>9</w:t>
      </w:r>
    </w:p>
    <w:p w14:paraId="3BAB1B36" w14:textId="77777777" w:rsidR="00667201" w:rsidRPr="00667201" w:rsidRDefault="00667201" w:rsidP="00667201">
      <w:pPr>
        <w:spacing w:line="360" w:lineRule="auto"/>
        <w:jc w:val="both"/>
        <w:rPr>
          <w:rFonts w:ascii="Book Antiqua" w:hAnsi="Book Antiqua"/>
          <w:lang w:val="en-GB" w:eastAsia="zh-CN"/>
        </w:rPr>
      </w:pPr>
      <w:r w:rsidRPr="00667201">
        <w:rPr>
          <w:rFonts w:ascii="Book Antiqua" w:hAnsi="Book Antiqua"/>
          <w:b/>
          <w:lang w:val="en-GB"/>
        </w:rPr>
        <w:t>Article in press:</w:t>
      </w:r>
      <w:r w:rsidRPr="00667201">
        <w:rPr>
          <w:rFonts w:ascii="Book Antiqua" w:hAnsi="Book Antiqua"/>
          <w:lang w:val="en-GB"/>
        </w:rPr>
        <w:t xml:space="preserve"> </w:t>
      </w:r>
    </w:p>
    <w:p w14:paraId="2E3FC5A1" w14:textId="77777777" w:rsidR="00667201" w:rsidRPr="00667201" w:rsidRDefault="00667201" w:rsidP="00667201">
      <w:pPr>
        <w:spacing w:line="360" w:lineRule="auto"/>
        <w:jc w:val="both"/>
        <w:rPr>
          <w:rFonts w:ascii="Book Antiqua" w:hAnsi="Book Antiqua"/>
          <w:lang w:val="en-GB" w:eastAsia="zh-CN"/>
        </w:rPr>
      </w:pPr>
    </w:p>
    <w:p w14:paraId="5F8D7140" w14:textId="562339AE" w:rsidR="00667201" w:rsidRPr="00667201" w:rsidRDefault="00667201" w:rsidP="00667201">
      <w:pPr>
        <w:snapToGrid w:val="0"/>
        <w:spacing w:line="360" w:lineRule="auto"/>
        <w:jc w:val="both"/>
        <w:rPr>
          <w:rFonts w:ascii="Book Antiqua" w:hAnsi="Book Antiqua" w:cs="Helvetica"/>
          <w:b/>
          <w:lang w:val="el-GR"/>
        </w:rPr>
      </w:pPr>
      <w:r w:rsidRPr="00667201">
        <w:rPr>
          <w:rFonts w:ascii="Book Antiqua" w:hAnsi="Book Antiqua" w:cs="Helvetica"/>
          <w:b/>
          <w:lang w:val="el-GR"/>
        </w:rPr>
        <w:t xml:space="preserve">Specialty type: </w:t>
      </w:r>
      <w:r w:rsidRPr="00E700C2">
        <w:rPr>
          <w:rFonts w:ascii="Book Antiqua" w:eastAsia="Microsoft YaHei" w:hAnsi="Book Antiqua" w:cs="SimSun"/>
        </w:rPr>
        <w:t>Gastroenterology and hepatology</w:t>
      </w:r>
    </w:p>
    <w:p w14:paraId="503E9431" w14:textId="2B5AB648" w:rsidR="00667201" w:rsidRPr="00667201" w:rsidRDefault="00667201" w:rsidP="00667201">
      <w:pPr>
        <w:snapToGrid w:val="0"/>
        <w:spacing w:line="360" w:lineRule="auto"/>
        <w:jc w:val="both"/>
        <w:rPr>
          <w:rFonts w:ascii="Book Antiqua" w:hAnsi="Book Antiqua" w:cs="Helvetica"/>
          <w:b/>
          <w:lang w:val="el-GR"/>
        </w:rPr>
      </w:pPr>
      <w:r w:rsidRPr="00667201">
        <w:rPr>
          <w:rFonts w:ascii="Book Antiqua" w:hAnsi="Book Antiqua" w:cs="Helvetica"/>
          <w:b/>
          <w:lang w:val="el-GR"/>
        </w:rPr>
        <w:t xml:space="preserve">Country of origin: </w:t>
      </w:r>
      <w:r w:rsidRPr="00667201">
        <w:rPr>
          <w:rFonts w:ascii="Book Antiqua" w:hAnsi="Book Antiqua"/>
          <w:lang w:val="el-GR"/>
        </w:rPr>
        <w:t>United States</w:t>
      </w:r>
    </w:p>
    <w:p w14:paraId="0BC803E1" w14:textId="77777777" w:rsidR="00667201" w:rsidRPr="00667201" w:rsidRDefault="00667201" w:rsidP="00667201">
      <w:pPr>
        <w:snapToGrid w:val="0"/>
        <w:spacing w:line="360" w:lineRule="auto"/>
        <w:jc w:val="both"/>
        <w:rPr>
          <w:rFonts w:ascii="Book Antiqua" w:hAnsi="Book Antiqua" w:cs="Helvetica"/>
          <w:b/>
          <w:lang w:val="el-GR"/>
        </w:rPr>
      </w:pPr>
      <w:r w:rsidRPr="00667201">
        <w:rPr>
          <w:rFonts w:ascii="Book Antiqua" w:hAnsi="Book Antiqua" w:cs="Helvetica"/>
          <w:b/>
          <w:lang w:val="el-GR"/>
        </w:rPr>
        <w:t>Peer-review report classification</w:t>
      </w:r>
    </w:p>
    <w:p w14:paraId="13498DAE" w14:textId="77777777" w:rsidR="00667201" w:rsidRPr="00667201" w:rsidRDefault="00667201" w:rsidP="00667201">
      <w:pPr>
        <w:snapToGrid w:val="0"/>
        <w:spacing w:line="360" w:lineRule="auto"/>
        <w:jc w:val="both"/>
        <w:rPr>
          <w:rFonts w:ascii="Book Antiqua" w:hAnsi="Book Antiqua" w:cs="Helvetica"/>
          <w:lang w:val="el-GR" w:eastAsia="zh-CN"/>
        </w:rPr>
      </w:pPr>
      <w:r w:rsidRPr="00667201">
        <w:rPr>
          <w:rFonts w:ascii="Book Antiqua" w:hAnsi="Book Antiqua" w:cs="Helvetica"/>
          <w:lang w:val="el-GR"/>
        </w:rPr>
        <w:t xml:space="preserve">Grade A (Excellent): </w:t>
      </w:r>
      <w:r w:rsidRPr="00667201">
        <w:rPr>
          <w:rFonts w:ascii="Book Antiqua" w:hAnsi="Book Antiqua" w:cs="Helvetica"/>
          <w:lang w:val="el-GR" w:eastAsia="zh-CN"/>
        </w:rPr>
        <w:t>0</w:t>
      </w:r>
    </w:p>
    <w:p w14:paraId="07CD15DF" w14:textId="3E2E0C5E" w:rsidR="00667201" w:rsidRPr="00667201" w:rsidRDefault="00667201" w:rsidP="00667201">
      <w:pPr>
        <w:snapToGrid w:val="0"/>
        <w:spacing w:line="360" w:lineRule="auto"/>
        <w:jc w:val="both"/>
        <w:rPr>
          <w:rFonts w:ascii="Book Antiqua" w:hAnsi="Book Antiqua" w:cs="Helvetica"/>
          <w:lang w:val="el-GR"/>
        </w:rPr>
      </w:pPr>
      <w:r w:rsidRPr="00667201">
        <w:rPr>
          <w:rFonts w:ascii="Book Antiqua" w:hAnsi="Book Antiqua" w:cs="Helvetica"/>
          <w:lang w:val="el-GR"/>
        </w:rPr>
        <w:t xml:space="preserve">Grade B (Very good): </w:t>
      </w:r>
      <w:r>
        <w:rPr>
          <w:rFonts w:ascii="Book Antiqua" w:hAnsi="Book Antiqua" w:cs="Helvetica"/>
          <w:lang w:val="el-GR"/>
        </w:rPr>
        <w:t>0</w:t>
      </w:r>
    </w:p>
    <w:p w14:paraId="61CCAE54" w14:textId="4BE13772" w:rsidR="00667201" w:rsidRPr="00667201" w:rsidRDefault="00667201" w:rsidP="00667201">
      <w:pPr>
        <w:snapToGrid w:val="0"/>
        <w:spacing w:line="360" w:lineRule="auto"/>
        <w:jc w:val="both"/>
        <w:rPr>
          <w:rFonts w:ascii="Book Antiqua" w:hAnsi="Book Antiqua" w:cs="Helvetica"/>
          <w:lang w:val="el-GR"/>
        </w:rPr>
      </w:pPr>
      <w:r w:rsidRPr="00667201">
        <w:rPr>
          <w:rFonts w:ascii="Book Antiqua" w:hAnsi="Book Antiqua" w:cs="Helvetica"/>
          <w:lang w:val="el-GR"/>
        </w:rPr>
        <w:t>Grade C (Good): C</w:t>
      </w:r>
      <w:r>
        <w:rPr>
          <w:rFonts w:ascii="Book Antiqua" w:hAnsi="Book Antiqua" w:cs="Helvetica"/>
          <w:lang w:val="el-GR"/>
        </w:rPr>
        <w:t>, C</w:t>
      </w:r>
    </w:p>
    <w:p w14:paraId="0448ADB4" w14:textId="77777777" w:rsidR="00667201" w:rsidRPr="00667201" w:rsidRDefault="00667201" w:rsidP="00667201">
      <w:pPr>
        <w:snapToGrid w:val="0"/>
        <w:spacing w:line="360" w:lineRule="auto"/>
        <w:jc w:val="both"/>
        <w:rPr>
          <w:rFonts w:ascii="Book Antiqua" w:hAnsi="Book Antiqua" w:cs="Helvetica"/>
          <w:lang w:val="el-GR"/>
        </w:rPr>
      </w:pPr>
      <w:r w:rsidRPr="00667201">
        <w:rPr>
          <w:rFonts w:ascii="Book Antiqua" w:hAnsi="Book Antiqua" w:cs="Helvetica"/>
          <w:lang w:val="el-GR"/>
        </w:rPr>
        <w:t xml:space="preserve">Grade D (Fair): 0 </w:t>
      </w:r>
    </w:p>
    <w:p w14:paraId="733C760E" w14:textId="77777777" w:rsidR="00667201" w:rsidRPr="00667201" w:rsidRDefault="00667201" w:rsidP="00667201">
      <w:pPr>
        <w:spacing w:line="360" w:lineRule="auto"/>
        <w:jc w:val="both"/>
        <w:rPr>
          <w:rFonts w:ascii="Book Antiqua" w:hAnsi="Book Antiqua" w:cs="Calibri"/>
          <w:noProof/>
        </w:rPr>
      </w:pPr>
      <w:r w:rsidRPr="00667201">
        <w:rPr>
          <w:rFonts w:ascii="Book Antiqua" w:hAnsi="Book Antiqua" w:cs="Helvetica"/>
          <w:lang w:val="el-GR"/>
        </w:rPr>
        <w:lastRenderedPageBreak/>
        <w:t>Grade E (Poor): 0</w:t>
      </w:r>
    </w:p>
    <w:p w14:paraId="7189E29B" w14:textId="77777777" w:rsidR="00667201" w:rsidRPr="00667201" w:rsidRDefault="00667201" w:rsidP="00667201">
      <w:pPr>
        <w:spacing w:line="360" w:lineRule="auto"/>
        <w:contextualSpacing/>
        <w:jc w:val="both"/>
        <w:rPr>
          <w:rFonts w:ascii="Book Antiqua" w:hAnsi="Book Antiqua" w:cs="Calibri"/>
          <w:noProof/>
          <w:lang w:val="en-GB" w:eastAsia="zh-CN"/>
        </w:rPr>
      </w:pPr>
    </w:p>
    <w:p w14:paraId="51C74753" w14:textId="412B4A89" w:rsidR="00667201" w:rsidRPr="00667201" w:rsidRDefault="00667201" w:rsidP="00667201">
      <w:pPr>
        <w:widowControl w:val="0"/>
        <w:spacing w:line="360" w:lineRule="auto"/>
        <w:ind w:right="120"/>
        <w:rPr>
          <w:rFonts w:ascii="Book Antiqua" w:hAnsi="Book Antiqua" w:cs="Courier New"/>
          <w:b/>
          <w:kern w:val="2"/>
          <w:lang w:eastAsia="zh-CN"/>
        </w:rPr>
      </w:pPr>
      <w:r w:rsidRPr="00667201">
        <w:rPr>
          <w:rFonts w:ascii="Book Antiqua" w:hAnsi="Book Antiqua" w:cs="Courier New"/>
          <w:b/>
          <w:kern w:val="2"/>
          <w:lang w:eastAsia="zh-CN"/>
        </w:rPr>
        <w:t xml:space="preserve">P-Reviewer: </w:t>
      </w:r>
      <w:proofErr w:type="spellStart"/>
      <w:r w:rsidRPr="00667201">
        <w:rPr>
          <w:rFonts w:ascii="Book Antiqua" w:hAnsi="Book Antiqua" w:cs="Courier New"/>
          <w:bCs/>
          <w:kern w:val="2"/>
          <w:lang w:eastAsia="zh-CN"/>
        </w:rPr>
        <w:t>Galloro</w:t>
      </w:r>
      <w:proofErr w:type="spellEnd"/>
      <w:r w:rsidRPr="00667201">
        <w:rPr>
          <w:rFonts w:ascii="Book Antiqua" w:hAnsi="Book Antiqua" w:cs="Courier New"/>
          <w:bCs/>
          <w:kern w:val="2"/>
          <w:lang w:eastAsia="zh-CN"/>
        </w:rPr>
        <w:t xml:space="preserve"> G, Martini F</w:t>
      </w:r>
      <w:r>
        <w:rPr>
          <w:rFonts w:ascii="Book Antiqua" w:hAnsi="Book Antiqua" w:cs="Courier New"/>
          <w:b/>
          <w:kern w:val="2"/>
          <w:lang w:eastAsia="zh-CN"/>
        </w:rPr>
        <w:t xml:space="preserve"> </w:t>
      </w:r>
      <w:r w:rsidRPr="00667201">
        <w:rPr>
          <w:rFonts w:ascii="Book Antiqua" w:hAnsi="Book Antiqua" w:cs="Courier New"/>
          <w:b/>
          <w:kern w:val="2"/>
          <w:lang w:eastAsia="zh-CN"/>
        </w:rPr>
        <w:t xml:space="preserve">S-Editor: </w:t>
      </w:r>
      <w:r>
        <w:rPr>
          <w:rFonts w:ascii="Book Antiqua" w:hAnsi="Book Antiqua" w:cs="Courier New"/>
          <w:kern w:val="2"/>
          <w:lang w:eastAsia="zh-CN"/>
        </w:rPr>
        <w:t>Yan JP</w:t>
      </w:r>
      <w:r w:rsidRPr="00667201">
        <w:rPr>
          <w:rFonts w:ascii="Book Antiqua" w:hAnsi="Book Antiqua" w:cs="Courier New"/>
          <w:b/>
          <w:kern w:val="2"/>
          <w:lang w:eastAsia="zh-CN"/>
        </w:rPr>
        <w:t xml:space="preserve"> L-Editor: E-Editor: </w:t>
      </w:r>
    </w:p>
    <w:p w14:paraId="7A5F55CB" w14:textId="34D74F26" w:rsidR="00667201" w:rsidRDefault="00667201">
      <w:pPr>
        <w:rPr>
          <w:rFonts w:ascii="Book Antiqua" w:hAnsi="Book Antiqua"/>
          <w:b/>
          <w:color w:val="000000" w:themeColor="text1"/>
        </w:rPr>
      </w:pPr>
      <w:r>
        <w:rPr>
          <w:rFonts w:ascii="Book Antiqua" w:hAnsi="Book Antiqua"/>
          <w:b/>
          <w:color w:val="000000" w:themeColor="text1"/>
        </w:rPr>
        <w:br w:type="page"/>
      </w:r>
    </w:p>
    <w:p w14:paraId="768A0848" w14:textId="454975D9" w:rsidR="00667201" w:rsidRDefault="009807C4" w:rsidP="00667201">
      <w:pPr>
        <w:widowControl w:val="0"/>
        <w:autoSpaceDE w:val="0"/>
        <w:autoSpaceDN w:val="0"/>
        <w:adjustRightInd w:val="0"/>
        <w:spacing w:line="360" w:lineRule="auto"/>
        <w:jc w:val="both"/>
        <w:rPr>
          <w:rFonts w:ascii="Book Antiqua" w:hAnsi="Book Antiqua"/>
          <w:b/>
          <w:color w:val="000000" w:themeColor="text1"/>
        </w:rPr>
      </w:pPr>
      <w:r w:rsidRPr="00165B9A">
        <w:rPr>
          <w:rFonts w:ascii="Book Antiqua" w:hAnsi="Book Antiqua"/>
          <w:b/>
          <w:color w:val="000000" w:themeColor="text1"/>
        </w:rPr>
        <w:lastRenderedPageBreak/>
        <w:t>Figure legends</w:t>
      </w:r>
    </w:p>
    <w:p w14:paraId="6C458DB4" w14:textId="04E5D6A8" w:rsidR="00667201" w:rsidRDefault="00667201" w:rsidP="00667201">
      <w:pPr>
        <w:pStyle w:val="ListParagraph"/>
        <w:shd w:val="clear" w:color="auto" w:fill="FFFFFF"/>
        <w:spacing w:line="360" w:lineRule="auto"/>
        <w:ind w:left="0"/>
        <w:jc w:val="both"/>
        <w:rPr>
          <w:rFonts w:ascii="Book Antiqua" w:hAnsi="Book Antiqua"/>
          <w:b/>
          <w:color w:val="000000" w:themeColor="text1"/>
          <w:lang w:val="en-US"/>
        </w:rPr>
      </w:pPr>
      <w:r w:rsidRPr="00165B9A">
        <w:rPr>
          <w:rFonts w:ascii="Book Antiqua" w:hAnsi="Book Antiqua"/>
          <w:b/>
          <w:noProof/>
          <w:color w:val="000000" w:themeColor="text1"/>
          <w:lang w:val="en-US" w:eastAsia="zh-CN"/>
        </w:rPr>
        <w:drawing>
          <wp:inline distT="0" distB="0" distL="0" distR="0" wp14:anchorId="00689898" wp14:editId="47B29D1D">
            <wp:extent cx="2854325" cy="30213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3021330"/>
                    </a:xfrm>
                    <a:prstGeom prst="rect">
                      <a:avLst/>
                    </a:prstGeom>
                    <a:noFill/>
                    <a:ln>
                      <a:noFill/>
                    </a:ln>
                  </pic:spPr>
                </pic:pic>
              </a:graphicData>
            </a:graphic>
          </wp:inline>
        </w:drawing>
      </w:r>
    </w:p>
    <w:p w14:paraId="0FC43BE0" w14:textId="77777777" w:rsidR="00667201" w:rsidRDefault="00667201" w:rsidP="00667201">
      <w:pPr>
        <w:pStyle w:val="ListParagraph"/>
        <w:shd w:val="clear" w:color="auto" w:fill="FFFFFF"/>
        <w:spacing w:line="360" w:lineRule="auto"/>
        <w:ind w:left="0"/>
        <w:jc w:val="both"/>
        <w:rPr>
          <w:rFonts w:ascii="Book Antiqua" w:hAnsi="Book Antiqua"/>
          <w:b/>
          <w:color w:val="000000" w:themeColor="text1"/>
          <w:lang w:val="en-US"/>
        </w:rPr>
      </w:pPr>
    </w:p>
    <w:p w14:paraId="56F09007" w14:textId="4702C8A1" w:rsidR="00667201" w:rsidRPr="00667201" w:rsidRDefault="00667201" w:rsidP="00667201">
      <w:pPr>
        <w:pStyle w:val="ListParagraph"/>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1 </w:t>
      </w:r>
      <w:r w:rsidRPr="00667201">
        <w:rPr>
          <w:rFonts w:ascii="Book Antiqua" w:hAnsi="Book Antiqua" w:cs="Calibri"/>
          <w:b/>
          <w:color w:val="000000" w:themeColor="text1"/>
          <w:lang w:val="en-US"/>
        </w:rPr>
        <w:t>Endoscopic suture placement during endoscopic sleeve.</w:t>
      </w:r>
    </w:p>
    <w:p w14:paraId="2C467E0B" w14:textId="0EE3E370" w:rsidR="009807C4" w:rsidRDefault="009807C4" w:rsidP="00667201">
      <w:pPr>
        <w:widowControl w:val="0"/>
        <w:autoSpaceDE w:val="0"/>
        <w:autoSpaceDN w:val="0"/>
        <w:adjustRightInd w:val="0"/>
        <w:spacing w:line="360" w:lineRule="auto"/>
        <w:jc w:val="both"/>
        <w:rPr>
          <w:rFonts w:ascii="Book Antiqua" w:hAnsi="Book Antiqua"/>
          <w:color w:val="000000" w:themeColor="text1"/>
        </w:rPr>
      </w:pPr>
    </w:p>
    <w:p w14:paraId="57990645" w14:textId="2E3AF0C2" w:rsidR="00667201" w:rsidRDefault="00667201">
      <w:pPr>
        <w:rPr>
          <w:rFonts w:ascii="Book Antiqua" w:hAnsi="Book Antiqua"/>
          <w:color w:val="000000" w:themeColor="text1"/>
        </w:rPr>
      </w:pPr>
      <w:r>
        <w:rPr>
          <w:rFonts w:ascii="Book Antiqua" w:hAnsi="Book Antiqua"/>
          <w:color w:val="000000" w:themeColor="text1"/>
        </w:rPr>
        <w:br w:type="page"/>
      </w:r>
    </w:p>
    <w:p w14:paraId="6825C342" w14:textId="77777777" w:rsidR="00667201" w:rsidRDefault="00667201" w:rsidP="00667201">
      <w:pPr>
        <w:pStyle w:val="ListParagraph"/>
        <w:shd w:val="clear" w:color="auto" w:fill="FFFFFF"/>
        <w:spacing w:line="360" w:lineRule="auto"/>
        <w:ind w:left="0"/>
        <w:jc w:val="both"/>
        <w:rPr>
          <w:rFonts w:ascii="Book Antiqua" w:hAnsi="Book Antiqua"/>
          <w:b/>
          <w:color w:val="000000" w:themeColor="text1"/>
          <w:lang w:val="en-US"/>
        </w:rPr>
      </w:pPr>
    </w:p>
    <w:p w14:paraId="13148714" w14:textId="770E5CCC" w:rsidR="00667201" w:rsidRDefault="00667201" w:rsidP="00667201">
      <w:pPr>
        <w:pStyle w:val="ListParagraph"/>
        <w:shd w:val="clear" w:color="auto" w:fill="FFFFFF"/>
        <w:spacing w:line="360" w:lineRule="auto"/>
        <w:ind w:left="0"/>
        <w:jc w:val="both"/>
        <w:rPr>
          <w:rFonts w:ascii="Book Antiqua" w:hAnsi="Book Antiqua"/>
          <w:b/>
          <w:color w:val="000000" w:themeColor="text1"/>
          <w:lang w:val="en-US"/>
        </w:rPr>
      </w:pPr>
      <w:r>
        <w:rPr>
          <w:rFonts w:ascii="Book Antiqua" w:hAnsi="Book Antiqua"/>
          <w:b/>
          <w:noProof/>
          <w:color w:val="000000" w:themeColor="text1"/>
          <w:lang w:val="en-US" w:eastAsia="zh-CN"/>
        </w:rPr>
        <w:drawing>
          <wp:inline distT="0" distB="0" distL="0" distR="0" wp14:anchorId="5A16E48D" wp14:editId="24E7873E">
            <wp:extent cx="4055390" cy="2950763"/>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7813" cy="2967078"/>
                    </a:xfrm>
                    <a:prstGeom prst="rect">
                      <a:avLst/>
                    </a:prstGeom>
                    <a:noFill/>
                    <a:ln>
                      <a:noFill/>
                    </a:ln>
                  </pic:spPr>
                </pic:pic>
              </a:graphicData>
            </a:graphic>
          </wp:inline>
        </w:drawing>
      </w:r>
    </w:p>
    <w:p w14:paraId="2632FDAC" w14:textId="7C40BAC4" w:rsidR="00667201" w:rsidRPr="00DC7B97" w:rsidRDefault="00667201" w:rsidP="00DC7B97">
      <w:pPr>
        <w:pStyle w:val="ListParagraph"/>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2 </w:t>
      </w:r>
      <w:r w:rsidRPr="00667201">
        <w:rPr>
          <w:rFonts w:ascii="Book Antiqua" w:hAnsi="Book Antiqua" w:cs="Calibri"/>
          <w:b/>
          <w:color w:val="000000" w:themeColor="text1"/>
          <w:lang w:val="en-US"/>
        </w:rPr>
        <w:t>Computerized tomography showing free fluid in the abdominal cavity.</w:t>
      </w:r>
    </w:p>
    <w:p w14:paraId="1EEAF4F9" w14:textId="05F6F714" w:rsidR="00667201" w:rsidRDefault="00667201">
      <w:pPr>
        <w:rPr>
          <w:rFonts w:ascii="Book Antiqua" w:hAnsi="Book Antiqua"/>
          <w:color w:val="000000" w:themeColor="text1"/>
        </w:rPr>
      </w:pPr>
      <w:r>
        <w:rPr>
          <w:rFonts w:ascii="Book Antiqua" w:hAnsi="Book Antiqua"/>
          <w:color w:val="000000" w:themeColor="text1"/>
        </w:rPr>
        <w:br w:type="page"/>
      </w:r>
    </w:p>
    <w:p w14:paraId="6E7173BC" w14:textId="2B14C98C" w:rsidR="00667201" w:rsidRDefault="00667201" w:rsidP="00165B9A">
      <w:pPr>
        <w:widowControl w:val="0"/>
        <w:autoSpaceDE w:val="0"/>
        <w:autoSpaceDN w:val="0"/>
        <w:adjustRightInd w:val="0"/>
        <w:spacing w:line="360" w:lineRule="auto"/>
        <w:ind w:left="640" w:hanging="640"/>
        <w:jc w:val="both"/>
        <w:rPr>
          <w:rFonts w:ascii="Book Antiqua" w:hAnsi="Book Antiqua"/>
          <w:color w:val="000000" w:themeColor="text1"/>
        </w:rPr>
      </w:pPr>
    </w:p>
    <w:p w14:paraId="5784B941" w14:textId="03941E45" w:rsidR="00667201" w:rsidRDefault="00667201" w:rsidP="00165B9A">
      <w:pPr>
        <w:widowControl w:val="0"/>
        <w:autoSpaceDE w:val="0"/>
        <w:autoSpaceDN w:val="0"/>
        <w:adjustRightInd w:val="0"/>
        <w:spacing w:line="360" w:lineRule="auto"/>
        <w:ind w:left="640" w:hanging="640"/>
        <w:jc w:val="both"/>
        <w:rPr>
          <w:rFonts w:ascii="Book Antiqua" w:hAnsi="Book Antiqua"/>
          <w:color w:val="000000" w:themeColor="text1"/>
        </w:rPr>
      </w:pPr>
      <w:r>
        <w:rPr>
          <w:rFonts w:ascii="Book Antiqua" w:hAnsi="Book Antiqua"/>
          <w:noProof/>
          <w:color w:val="000000" w:themeColor="text1"/>
          <w:lang w:eastAsia="zh-CN"/>
        </w:rPr>
        <w:drawing>
          <wp:inline distT="0" distB="0" distL="0" distR="0" wp14:anchorId="73828EF5" wp14:editId="69369CA8">
            <wp:extent cx="3892067" cy="267027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8441" cy="2681506"/>
                    </a:xfrm>
                    <a:prstGeom prst="rect">
                      <a:avLst/>
                    </a:prstGeom>
                    <a:noFill/>
                    <a:ln>
                      <a:noFill/>
                    </a:ln>
                  </pic:spPr>
                </pic:pic>
              </a:graphicData>
            </a:graphic>
          </wp:inline>
        </w:drawing>
      </w:r>
    </w:p>
    <w:p w14:paraId="085086C3" w14:textId="77777777" w:rsidR="00667201" w:rsidRDefault="00667201" w:rsidP="00165B9A">
      <w:pPr>
        <w:widowControl w:val="0"/>
        <w:autoSpaceDE w:val="0"/>
        <w:autoSpaceDN w:val="0"/>
        <w:adjustRightInd w:val="0"/>
        <w:spacing w:line="360" w:lineRule="auto"/>
        <w:ind w:left="640" w:hanging="640"/>
        <w:jc w:val="both"/>
        <w:rPr>
          <w:rFonts w:ascii="Book Antiqua" w:hAnsi="Book Antiqua"/>
          <w:color w:val="000000" w:themeColor="text1"/>
        </w:rPr>
      </w:pPr>
    </w:p>
    <w:p w14:paraId="57AC1475" w14:textId="6F24BCAF" w:rsidR="00667201" w:rsidRPr="00667201" w:rsidRDefault="00667201" w:rsidP="00667201">
      <w:pPr>
        <w:pStyle w:val="ListParagraph"/>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3 </w:t>
      </w:r>
      <w:r w:rsidRPr="00667201">
        <w:rPr>
          <w:rFonts w:ascii="Book Antiqua" w:hAnsi="Book Antiqua" w:cs="Calibri"/>
          <w:b/>
          <w:color w:val="000000" w:themeColor="text1"/>
          <w:lang w:val="en-US"/>
        </w:rPr>
        <w:t>Laparoscopic visualization showing bile ascites, the gallbladder, the stomach, and a suture between the gallbladder and the stomach.</w:t>
      </w:r>
    </w:p>
    <w:p w14:paraId="43A67A1E" w14:textId="2934C810" w:rsidR="00667201" w:rsidRDefault="00667201">
      <w:pPr>
        <w:rPr>
          <w:rFonts w:ascii="Book Antiqua" w:hAnsi="Book Antiqua"/>
          <w:color w:val="000000" w:themeColor="text1"/>
        </w:rPr>
      </w:pPr>
      <w:r>
        <w:rPr>
          <w:rFonts w:ascii="Book Antiqua" w:hAnsi="Book Antiqua"/>
          <w:color w:val="000000" w:themeColor="text1"/>
        </w:rPr>
        <w:br w:type="page"/>
      </w:r>
    </w:p>
    <w:p w14:paraId="625B4EA8" w14:textId="71FC1CD1" w:rsidR="00667201" w:rsidRDefault="00667201" w:rsidP="00667201">
      <w:pPr>
        <w:pStyle w:val="ListParagraph"/>
        <w:shd w:val="clear" w:color="auto" w:fill="FFFFFF"/>
        <w:spacing w:line="360" w:lineRule="auto"/>
        <w:ind w:left="0"/>
        <w:jc w:val="both"/>
        <w:rPr>
          <w:rFonts w:ascii="Book Antiqua" w:hAnsi="Book Antiqua"/>
          <w:b/>
          <w:color w:val="000000" w:themeColor="text1"/>
          <w:lang w:val="en-US"/>
        </w:rPr>
      </w:pPr>
      <w:r w:rsidRPr="00165B9A">
        <w:rPr>
          <w:rFonts w:ascii="Book Antiqua" w:hAnsi="Book Antiqua"/>
          <w:b/>
          <w:noProof/>
          <w:color w:val="000000" w:themeColor="text1"/>
          <w:lang w:val="en-US" w:eastAsia="zh-CN"/>
        </w:rPr>
        <w:lastRenderedPageBreak/>
        <w:drawing>
          <wp:inline distT="0" distB="0" distL="0" distR="0" wp14:anchorId="6FEA73A3" wp14:editId="10631BD8">
            <wp:extent cx="4277995" cy="254444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7995" cy="2544445"/>
                    </a:xfrm>
                    <a:prstGeom prst="rect">
                      <a:avLst/>
                    </a:prstGeom>
                    <a:noFill/>
                    <a:ln>
                      <a:noFill/>
                    </a:ln>
                  </pic:spPr>
                </pic:pic>
              </a:graphicData>
            </a:graphic>
          </wp:inline>
        </w:drawing>
      </w:r>
    </w:p>
    <w:p w14:paraId="07931308" w14:textId="6F6775BD" w:rsidR="00667201" w:rsidRPr="00667201" w:rsidRDefault="00667201" w:rsidP="00667201">
      <w:pPr>
        <w:pStyle w:val="ListParagraph"/>
        <w:shd w:val="clear" w:color="auto" w:fill="FFFFFF"/>
        <w:spacing w:line="360" w:lineRule="auto"/>
        <w:ind w:left="0"/>
        <w:jc w:val="both"/>
        <w:rPr>
          <w:rFonts w:ascii="Book Antiqua" w:hAnsi="Book Antiqua" w:cs="Calibri"/>
          <w:b/>
          <w:color w:val="000000" w:themeColor="text1"/>
          <w:lang w:val="en-US"/>
        </w:rPr>
      </w:pPr>
      <w:r w:rsidRPr="00667201">
        <w:rPr>
          <w:rFonts w:ascii="Book Antiqua" w:hAnsi="Book Antiqua"/>
          <w:b/>
          <w:color w:val="000000" w:themeColor="text1"/>
          <w:lang w:val="en-US"/>
        </w:rPr>
        <w:t xml:space="preserve">Figure 4 </w:t>
      </w:r>
      <w:r w:rsidRPr="00667201">
        <w:rPr>
          <w:rFonts w:ascii="Book Antiqua" w:hAnsi="Book Antiqua" w:cs="Calibri"/>
          <w:b/>
          <w:color w:val="000000" w:themeColor="text1"/>
          <w:lang w:val="en-US"/>
        </w:rPr>
        <w:t>Laparoscopic visualization of a suture in the gallbladder after aspiration of bile ascites.</w:t>
      </w:r>
    </w:p>
    <w:p w14:paraId="5DA2308D" w14:textId="15C18113" w:rsidR="00AF0209" w:rsidRPr="00165B9A" w:rsidRDefault="00667201" w:rsidP="00667201">
      <w:pPr>
        <w:rPr>
          <w:rFonts w:ascii="Book Antiqua" w:hAnsi="Book Antiqua"/>
          <w:b/>
          <w:color w:val="000000" w:themeColor="text1"/>
        </w:rPr>
      </w:pPr>
      <w:r>
        <w:rPr>
          <w:rFonts w:ascii="Book Antiqua" w:hAnsi="Book Antiqua"/>
          <w:b/>
          <w:color w:val="000000" w:themeColor="text1"/>
        </w:rPr>
        <w:br w:type="page"/>
      </w:r>
    </w:p>
    <w:p w14:paraId="303707C4" w14:textId="367CA09B" w:rsidR="00667201" w:rsidRDefault="00BA6150" w:rsidP="00165B9A">
      <w:pPr>
        <w:widowControl w:val="0"/>
        <w:autoSpaceDE w:val="0"/>
        <w:autoSpaceDN w:val="0"/>
        <w:adjustRightInd w:val="0"/>
        <w:spacing w:line="360" w:lineRule="auto"/>
        <w:jc w:val="both"/>
        <w:rPr>
          <w:rFonts w:ascii="Book Antiqua" w:hAnsi="Book Antiqua"/>
          <w:b/>
          <w:color w:val="000000" w:themeColor="text1"/>
        </w:rPr>
      </w:pPr>
      <w:r w:rsidRPr="00165B9A">
        <w:rPr>
          <w:rFonts w:ascii="Book Antiqua" w:hAnsi="Book Antiqua"/>
          <w:b/>
          <w:color w:val="000000" w:themeColor="text1"/>
        </w:rPr>
        <w:lastRenderedPageBreak/>
        <w:t>Table 1 Case report time line</w:t>
      </w:r>
    </w:p>
    <w:tbl>
      <w:tblPr>
        <w:tblW w:w="0" w:type="auto"/>
        <w:tblLook w:val="04A0" w:firstRow="1" w:lastRow="0" w:firstColumn="1" w:lastColumn="0" w:noHBand="0" w:noVBand="1"/>
      </w:tblPr>
      <w:tblGrid>
        <w:gridCol w:w="851"/>
        <w:gridCol w:w="7651"/>
      </w:tblGrid>
      <w:tr w:rsidR="00667201" w:rsidRPr="00165B9A" w14:paraId="0DFED403" w14:textId="77777777" w:rsidTr="00667201">
        <w:tc>
          <w:tcPr>
            <w:tcW w:w="0" w:type="auto"/>
            <w:gridSpan w:val="2"/>
            <w:tcBorders>
              <w:top w:val="single" w:sz="4" w:space="0" w:color="auto"/>
              <w:bottom w:val="single" w:sz="4" w:space="0" w:color="auto"/>
            </w:tcBorders>
            <w:shd w:val="clear" w:color="auto" w:fill="auto"/>
          </w:tcPr>
          <w:p w14:paraId="6C7CE234" w14:textId="644BFAA5" w:rsidR="00667201" w:rsidRPr="00165B9A" w:rsidRDefault="00667201" w:rsidP="00EA63AD">
            <w:pPr>
              <w:spacing w:line="360" w:lineRule="auto"/>
              <w:jc w:val="both"/>
              <w:rPr>
                <w:rFonts w:ascii="Book Antiqua" w:hAnsi="Book Antiqua"/>
                <w:color w:val="000000" w:themeColor="text1"/>
              </w:rPr>
            </w:pPr>
            <w:r w:rsidRPr="00165B9A">
              <w:rPr>
                <w:rFonts w:ascii="Book Antiqua" w:hAnsi="Book Antiqua"/>
                <w:b/>
                <w:color w:val="000000" w:themeColor="text1"/>
              </w:rPr>
              <w:t>Time line</w:t>
            </w:r>
          </w:p>
        </w:tc>
      </w:tr>
      <w:tr w:rsidR="00165B9A" w:rsidRPr="00165B9A" w14:paraId="4940D02B" w14:textId="77777777" w:rsidTr="00667201">
        <w:tc>
          <w:tcPr>
            <w:tcW w:w="851" w:type="dxa"/>
            <w:tcBorders>
              <w:top w:val="single" w:sz="4" w:space="0" w:color="auto"/>
            </w:tcBorders>
            <w:shd w:val="clear" w:color="auto" w:fill="auto"/>
          </w:tcPr>
          <w:p w14:paraId="43C403D5"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1</w:t>
            </w:r>
          </w:p>
        </w:tc>
        <w:tc>
          <w:tcPr>
            <w:tcW w:w="7651" w:type="dxa"/>
            <w:tcBorders>
              <w:top w:val="single" w:sz="4" w:space="0" w:color="auto"/>
            </w:tcBorders>
            <w:shd w:val="clear" w:color="auto" w:fill="auto"/>
          </w:tcPr>
          <w:p w14:paraId="51D3E68F" w14:textId="2CFE921B"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 xml:space="preserve">Patient underwent </w:t>
            </w:r>
            <w:r w:rsidR="00667201" w:rsidRPr="00165B9A">
              <w:rPr>
                <w:rFonts w:ascii="Book Antiqua" w:hAnsi="Book Antiqua"/>
                <w:color w:val="000000" w:themeColor="text1"/>
              </w:rPr>
              <w:t>e</w:t>
            </w:r>
            <w:r w:rsidRPr="00165B9A">
              <w:rPr>
                <w:rFonts w:ascii="Book Antiqua" w:hAnsi="Book Antiqua"/>
                <w:color w:val="000000" w:themeColor="text1"/>
              </w:rPr>
              <w:t>ndoscopic sleeve gastroplasty with no complications</w:t>
            </w:r>
          </w:p>
        </w:tc>
      </w:tr>
      <w:tr w:rsidR="00165B9A" w:rsidRPr="00165B9A" w14:paraId="2199B957" w14:textId="77777777" w:rsidTr="00667201">
        <w:tc>
          <w:tcPr>
            <w:tcW w:w="851" w:type="dxa"/>
            <w:shd w:val="clear" w:color="auto" w:fill="auto"/>
          </w:tcPr>
          <w:p w14:paraId="567EE1C1"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2</w:t>
            </w:r>
          </w:p>
        </w:tc>
        <w:tc>
          <w:tcPr>
            <w:tcW w:w="7651" w:type="dxa"/>
            <w:shd w:val="clear" w:color="auto" w:fill="auto"/>
          </w:tcPr>
          <w:p w14:paraId="5CA784AD"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On postoperative day 3, she developed abdominal pain, which led to an emergency department visit on postoperative day</w:t>
            </w:r>
          </w:p>
        </w:tc>
      </w:tr>
      <w:tr w:rsidR="00165B9A" w:rsidRPr="00165B9A" w14:paraId="7BB9BD62" w14:textId="77777777" w:rsidTr="00667201">
        <w:tc>
          <w:tcPr>
            <w:tcW w:w="851" w:type="dxa"/>
            <w:shd w:val="clear" w:color="auto" w:fill="auto"/>
          </w:tcPr>
          <w:p w14:paraId="216805F0"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3</w:t>
            </w:r>
          </w:p>
        </w:tc>
        <w:tc>
          <w:tcPr>
            <w:tcW w:w="7651" w:type="dxa"/>
            <w:shd w:val="clear" w:color="auto" w:fill="auto"/>
          </w:tcPr>
          <w:p w14:paraId="2EB89F08"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She was readmitted to the hospital, with poor general health status and signs of peritoneal irritation</w:t>
            </w:r>
          </w:p>
        </w:tc>
      </w:tr>
      <w:tr w:rsidR="00165B9A" w:rsidRPr="00165B9A" w14:paraId="7182A085" w14:textId="77777777" w:rsidTr="00667201">
        <w:tc>
          <w:tcPr>
            <w:tcW w:w="851" w:type="dxa"/>
            <w:shd w:val="clear" w:color="auto" w:fill="auto"/>
          </w:tcPr>
          <w:p w14:paraId="1FA363BF"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4</w:t>
            </w:r>
          </w:p>
        </w:tc>
        <w:tc>
          <w:tcPr>
            <w:tcW w:w="7651" w:type="dxa"/>
            <w:shd w:val="clear" w:color="auto" w:fill="auto"/>
          </w:tcPr>
          <w:p w14:paraId="5A3655B3"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Computed tomography showed fluid in the abdominal cavity</w:t>
            </w:r>
          </w:p>
        </w:tc>
      </w:tr>
      <w:tr w:rsidR="00165B9A" w:rsidRPr="00165B9A" w14:paraId="17C6534C" w14:textId="77777777" w:rsidTr="00667201">
        <w:tc>
          <w:tcPr>
            <w:tcW w:w="851" w:type="dxa"/>
            <w:shd w:val="clear" w:color="auto" w:fill="auto"/>
          </w:tcPr>
          <w:p w14:paraId="3B550F1E"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5</w:t>
            </w:r>
          </w:p>
        </w:tc>
        <w:tc>
          <w:tcPr>
            <w:tcW w:w="7651" w:type="dxa"/>
            <w:shd w:val="clear" w:color="auto" w:fill="auto"/>
          </w:tcPr>
          <w:p w14:paraId="4931D507" w14:textId="77F79918"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Laparoscopy revealed biliary ascites and showed that the gallbladder was sutured to the gastric wall</w:t>
            </w:r>
          </w:p>
        </w:tc>
      </w:tr>
      <w:tr w:rsidR="00165B9A" w:rsidRPr="00165B9A" w14:paraId="2EFD00C1" w14:textId="77777777" w:rsidTr="00667201">
        <w:tc>
          <w:tcPr>
            <w:tcW w:w="851" w:type="dxa"/>
            <w:shd w:val="clear" w:color="auto" w:fill="auto"/>
          </w:tcPr>
          <w:p w14:paraId="2E7657B6"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6</w:t>
            </w:r>
          </w:p>
        </w:tc>
        <w:tc>
          <w:tcPr>
            <w:tcW w:w="7651" w:type="dxa"/>
            <w:shd w:val="clear" w:color="auto" w:fill="auto"/>
          </w:tcPr>
          <w:p w14:paraId="0D0FB770"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The patient underwent cholecystectomy, together with review and lavage of the abdominal cavity, and was admitted to the intensive care unit</w:t>
            </w:r>
          </w:p>
        </w:tc>
      </w:tr>
      <w:tr w:rsidR="00165B9A" w:rsidRPr="00165B9A" w14:paraId="37FCF960" w14:textId="77777777" w:rsidTr="00667201">
        <w:tc>
          <w:tcPr>
            <w:tcW w:w="851" w:type="dxa"/>
            <w:shd w:val="clear" w:color="auto" w:fill="auto"/>
          </w:tcPr>
          <w:p w14:paraId="3B12C760"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7</w:t>
            </w:r>
          </w:p>
        </w:tc>
        <w:tc>
          <w:tcPr>
            <w:tcW w:w="7651" w:type="dxa"/>
            <w:shd w:val="clear" w:color="auto" w:fill="auto"/>
          </w:tcPr>
          <w:p w14:paraId="5A7790DB" w14:textId="21E09015"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After 7 d of antibiotic therapy and 20 d of hospitalization, she was discharged</w:t>
            </w:r>
          </w:p>
        </w:tc>
      </w:tr>
      <w:tr w:rsidR="00667201" w:rsidRPr="00165B9A" w14:paraId="368B5F45" w14:textId="77777777" w:rsidTr="00667201">
        <w:tc>
          <w:tcPr>
            <w:tcW w:w="851" w:type="dxa"/>
            <w:tcBorders>
              <w:bottom w:val="single" w:sz="4" w:space="0" w:color="auto"/>
            </w:tcBorders>
            <w:shd w:val="clear" w:color="auto" w:fill="auto"/>
          </w:tcPr>
          <w:p w14:paraId="7EF7AD37" w14:textId="77777777" w:rsidR="00967BD8" w:rsidRPr="00165B9A" w:rsidRDefault="00967BD8" w:rsidP="00165B9A">
            <w:pPr>
              <w:spacing w:line="360" w:lineRule="auto"/>
              <w:jc w:val="both"/>
              <w:rPr>
                <w:rFonts w:ascii="Book Antiqua" w:hAnsi="Book Antiqua"/>
                <w:color w:val="000000" w:themeColor="text1"/>
              </w:rPr>
            </w:pPr>
            <w:r w:rsidRPr="00165B9A">
              <w:rPr>
                <w:rFonts w:ascii="Book Antiqua" w:hAnsi="Book Antiqua"/>
                <w:color w:val="000000" w:themeColor="text1"/>
              </w:rPr>
              <w:t>8</w:t>
            </w:r>
          </w:p>
        </w:tc>
        <w:tc>
          <w:tcPr>
            <w:tcW w:w="7651" w:type="dxa"/>
            <w:tcBorders>
              <w:bottom w:val="single" w:sz="4" w:space="0" w:color="auto"/>
            </w:tcBorders>
            <w:shd w:val="clear" w:color="auto" w:fill="auto"/>
          </w:tcPr>
          <w:p w14:paraId="7EBD12E9" w14:textId="6A3EEFBB" w:rsidR="00967BD8" w:rsidRPr="00165B9A" w:rsidRDefault="00667201" w:rsidP="00165B9A">
            <w:pPr>
              <w:spacing w:line="360" w:lineRule="auto"/>
              <w:jc w:val="both"/>
              <w:rPr>
                <w:rFonts w:ascii="Book Antiqua" w:hAnsi="Book Antiqua"/>
                <w:color w:val="000000" w:themeColor="text1"/>
              </w:rPr>
            </w:pPr>
            <w:r>
              <w:rPr>
                <w:rFonts w:ascii="Book Antiqua" w:hAnsi="Book Antiqua"/>
                <w:color w:val="000000" w:themeColor="text1"/>
              </w:rPr>
              <w:t xml:space="preserve">Of </w:t>
            </w:r>
            <w:r w:rsidR="00967BD8" w:rsidRPr="00165B9A">
              <w:rPr>
                <w:rFonts w:ascii="Book Antiqua" w:hAnsi="Book Antiqua"/>
                <w:color w:val="000000" w:themeColor="text1"/>
              </w:rPr>
              <w:t xml:space="preserve">6 </w:t>
            </w:r>
            <w:proofErr w:type="spellStart"/>
            <w:r w:rsidR="00967BD8" w:rsidRPr="00165B9A">
              <w:rPr>
                <w:rFonts w:ascii="Book Antiqua" w:hAnsi="Book Antiqua"/>
                <w:color w:val="000000" w:themeColor="text1"/>
              </w:rPr>
              <w:t>mo</w:t>
            </w:r>
            <w:proofErr w:type="spellEnd"/>
            <w:r w:rsidR="00967BD8" w:rsidRPr="00165B9A">
              <w:rPr>
                <w:rFonts w:ascii="Book Antiqua" w:hAnsi="Book Antiqua"/>
                <w:color w:val="000000" w:themeColor="text1"/>
              </w:rPr>
              <w:t xml:space="preserve"> later, she presented excellent general condition and a 20.2% weight loss</w:t>
            </w:r>
          </w:p>
        </w:tc>
      </w:tr>
    </w:tbl>
    <w:p w14:paraId="1EE7E966" w14:textId="781A729E" w:rsidR="00BA6150" w:rsidRPr="00165B9A" w:rsidRDefault="00BA6150" w:rsidP="00165B9A">
      <w:pPr>
        <w:widowControl w:val="0"/>
        <w:autoSpaceDE w:val="0"/>
        <w:autoSpaceDN w:val="0"/>
        <w:adjustRightInd w:val="0"/>
        <w:spacing w:line="360" w:lineRule="auto"/>
        <w:jc w:val="both"/>
        <w:rPr>
          <w:rFonts w:ascii="Book Antiqua" w:hAnsi="Book Antiqua"/>
          <w:b/>
          <w:color w:val="000000" w:themeColor="text1"/>
        </w:rPr>
      </w:pPr>
    </w:p>
    <w:sectPr w:rsidR="00BA6150" w:rsidRPr="00165B9A" w:rsidSect="00335F9D">
      <w:footerReference w:type="even" r:id="rId14"/>
      <w:footerReference w:type="default" r:id="rId15"/>
      <w:pgSz w:w="11900" w:h="16840"/>
      <w:pgMar w:top="1440" w:right="1699" w:bottom="1440"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3D5DA" w14:textId="77777777" w:rsidR="001C3F0F" w:rsidRDefault="001C3F0F" w:rsidP="008E684B">
      <w:r>
        <w:separator/>
      </w:r>
    </w:p>
  </w:endnote>
  <w:endnote w:type="continuationSeparator" w:id="0">
    <w:p w14:paraId="0B5F45EF" w14:textId="77777777" w:rsidR="001C3F0F" w:rsidRDefault="001C3F0F" w:rsidP="008E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5452099"/>
      <w:docPartObj>
        <w:docPartGallery w:val="Page Numbers (Bottom of Page)"/>
        <w:docPartUnique/>
      </w:docPartObj>
    </w:sdtPr>
    <w:sdtEndPr>
      <w:rPr>
        <w:rStyle w:val="PageNumber"/>
      </w:rPr>
    </w:sdtEndPr>
    <w:sdtContent>
      <w:p w14:paraId="3B26D69A" w14:textId="15A55B64" w:rsidR="00351432" w:rsidRDefault="00351432" w:rsidP="007070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A95F0" w14:textId="77777777" w:rsidR="00351432" w:rsidRDefault="00351432" w:rsidP="003514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7823373"/>
      <w:docPartObj>
        <w:docPartGallery w:val="Page Numbers (Bottom of Page)"/>
        <w:docPartUnique/>
      </w:docPartObj>
    </w:sdtPr>
    <w:sdtEndPr>
      <w:rPr>
        <w:rStyle w:val="PageNumber"/>
      </w:rPr>
    </w:sdtEndPr>
    <w:sdtContent>
      <w:p w14:paraId="6C6296F4" w14:textId="16305BFD" w:rsidR="00351432" w:rsidRDefault="00351432" w:rsidP="007070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1131D">
          <w:rPr>
            <w:rStyle w:val="PageNumber"/>
            <w:noProof/>
          </w:rPr>
          <w:t>15</w:t>
        </w:r>
        <w:r>
          <w:rPr>
            <w:rStyle w:val="PageNumber"/>
          </w:rPr>
          <w:fldChar w:fldCharType="end"/>
        </w:r>
      </w:p>
    </w:sdtContent>
  </w:sdt>
  <w:p w14:paraId="1302C595" w14:textId="77777777" w:rsidR="00351432" w:rsidRDefault="00351432" w:rsidP="0035143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F6B2D" w14:textId="77777777" w:rsidR="001C3F0F" w:rsidRDefault="001C3F0F" w:rsidP="008E684B">
      <w:r>
        <w:separator/>
      </w:r>
    </w:p>
  </w:footnote>
  <w:footnote w:type="continuationSeparator" w:id="0">
    <w:p w14:paraId="4D94D7A5" w14:textId="77777777" w:rsidR="001C3F0F" w:rsidRDefault="001C3F0F" w:rsidP="008E6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440BE"/>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E264C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5C2E7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376B40"/>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361E2D"/>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CD54F0"/>
    <w:multiLevelType w:val="hybridMultilevel"/>
    <w:tmpl w:val="2AB231D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isplayBackgroundShap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6DC"/>
    <w:rsid w:val="000016AF"/>
    <w:rsid w:val="00002379"/>
    <w:rsid w:val="0000300B"/>
    <w:rsid w:val="000066C9"/>
    <w:rsid w:val="00013118"/>
    <w:rsid w:val="00017B28"/>
    <w:rsid w:val="000278DF"/>
    <w:rsid w:val="00031447"/>
    <w:rsid w:val="0003207E"/>
    <w:rsid w:val="000327A7"/>
    <w:rsid w:val="000349F7"/>
    <w:rsid w:val="00043665"/>
    <w:rsid w:val="00045ECE"/>
    <w:rsid w:val="0004755F"/>
    <w:rsid w:val="00051031"/>
    <w:rsid w:val="00052FA6"/>
    <w:rsid w:val="00054EDD"/>
    <w:rsid w:val="0006045C"/>
    <w:rsid w:val="00061756"/>
    <w:rsid w:val="00062091"/>
    <w:rsid w:val="000628F9"/>
    <w:rsid w:val="00067B7D"/>
    <w:rsid w:val="00067E1F"/>
    <w:rsid w:val="0007164D"/>
    <w:rsid w:val="0007188C"/>
    <w:rsid w:val="00073DB5"/>
    <w:rsid w:val="000740E3"/>
    <w:rsid w:val="000765E2"/>
    <w:rsid w:val="0008228A"/>
    <w:rsid w:val="000864A8"/>
    <w:rsid w:val="000927B0"/>
    <w:rsid w:val="0009561F"/>
    <w:rsid w:val="00096496"/>
    <w:rsid w:val="000B7D4D"/>
    <w:rsid w:val="000C0B64"/>
    <w:rsid w:val="000C10C8"/>
    <w:rsid w:val="000C3648"/>
    <w:rsid w:val="000C3759"/>
    <w:rsid w:val="000D1793"/>
    <w:rsid w:val="000D42E3"/>
    <w:rsid w:val="000D694C"/>
    <w:rsid w:val="000D710C"/>
    <w:rsid w:val="000E5FAA"/>
    <w:rsid w:val="000E6A41"/>
    <w:rsid w:val="000F2BAB"/>
    <w:rsid w:val="000F4862"/>
    <w:rsid w:val="000F5A11"/>
    <w:rsid w:val="00101D68"/>
    <w:rsid w:val="00102DED"/>
    <w:rsid w:val="00103318"/>
    <w:rsid w:val="001101CE"/>
    <w:rsid w:val="00124BE5"/>
    <w:rsid w:val="00134213"/>
    <w:rsid w:val="00135ADD"/>
    <w:rsid w:val="001363DB"/>
    <w:rsid w:val="00143A54"/>
    <w:rsid w:val="00144A38"/>
    <w:rsid w:val="00145A6D"/>
    <w:rsid w:val="00154571"/>
    <w:rsid w:val="001632F3"/>
    <w:rsid w:val="00165B9A"/>
    <w:rsid w:val="001677AE"/>
    <w:rsid w:val="001677B5"/>
    <w:rsid w:val="001735AE"/>
    <w:rsid w:val="00176481"/>
    <w:rsid w:val="0018211A"/>
    <w:rsid w:val="00183BEE"/>
    <w:rsid w:val="00185DD7"/>
    <w:rsid w:val="00191620"/>
    <w:rsid w:val="0019602F"/>
    <w:rsid w:val="001973E4"/>
    <w:rsid w:val="001976D8"/>
    <w:rsid w:val="001A0D5F"/>
    <w:rsid w:val="001A2E28"/>
    <w:rsid w:val="001B19C3"/>
    <w:rsid w:val="001B2CA1"/>
    <w:rsid w:val="001C3EE3"/>
    <w:rsid w:val="001C3F0F"/>
    <w:rsid w:val="001E53FA"/>
    <w:rsid w:val="001E744C"/>
    <w:rsid w:val="001F3991"/>
    <w:rsid w:val="001F3C83"/>
    <w:rsid w:val="00200DA4"/>
    <w:rsid w:val="00204D82"/>
    <w:rsid w:val="00204DF6"/>
    <w:rsid w:val="00210105"/>
    <w:rsid w:val="00213203"/>
    <w:rsid w:val="00214697"/>
    <w:rsid w:val="00214871"/>
    <w:rsid w:val="0021575D"/>
    <w:rsid w:val="002204BE"/>
    <w:rsid w:val="002241CF"/>
    <w:rsid w:val="002315AB"/>
    <w:rsid w:val="00232DDB"/>
    <w:rsid w:val="002339F6"/>
    <w:rsid w:val="00235224"/>
    <w:rsid w:val="0024422C"/>
    <w:rsid w:val="002648B4"/>
    <w:rsid w:val="00264F84"/>
    <w:rsid w:val="00265F80"/>
    <w:rsid w:val="002717CA"/>
    <w:rsid w:val="00276383"/>
    <w:rsid w:val="00277F10"/>
    <w:rsid w:val="002808B3"/>
    <w:rsid w:val="00285306"/>
    <w:rsid w:val="00290221"/>
    <w:rsid w:val="002D0277"/>
    <w:rsid w:val="002D2240"/>
    <w:rsid w:val="002E26CE"/>
    <w:rsid w:val="002F1DB3"/>
    <w:rsid w:val="002F7803"/>
    <w:rsid w:val="00300187"/>
    <w:rsid w:val="003069D7"/>
    <w:rsid w:val="0031131D"/>
    <w:rsid w:val="003154FA"/>
    <w:rsid w:val="0031668B"/>
    <w:rsid w:val="00317EEC"/>
    <w:rsid w:val="00320AB1"/>
    <w:rsid w:val="00321FEB"/>
    <w:rsid w:val="00322BD4"/>
    <w:rsid w:val="003241DA"/>
    <w:rsid w:val="00331D8A"/>
    <w:rsid w:val="00332B0C"/>
    <w:rsid w:val="00334B2F"/>
    <w:rsid w:val="0033500F"/>
    <w:rsid w:val="00335F9D"/>
    <w:rsid w:val="003366BB"/>
    <w:rsid w:val="003368E2"/>
    <w:rsid w:val="00337913"/>
    <w:rsid w:val="00340808"/>
    <w:rsid w:val="00350178"/>
    <w:rsid w:val="00351432"/>
    <w:rsid w:val="0035160C"/>
    <w:rsid w:val="0035569B"/>
    <w:rsid w:val="00360C79"/>
    <w:rsid w:val="00363BE7"/>
    <w:rsid w:val="00363F4D"/>
    <w:rsid w:val="003641CD"/>
    <w:rsid w:val="00364FE5"/>
    <w:rsid w:val="00370DEF"/>
    <w:rsid w:val="003733C8"/>
    <w:rsid w:val="00380742"/>
    <w:rsid w:val="00382332"/>
    <w:rsid w:val="003849BF"/>
    <w:rsid w:val="00391B30"/>
    <w:rsid w:val="00392939"/>
    <w:rsid w:val="0039549B"/>
    <w:rsid w:val="003A6432"/>
    <w:rsid w:val="003C4D98"/>
    <w:rsid w:val="003C6ABE"/>
    <w:rsid w:val="003C6AF8"/>
    <w:rsid w:val="003C7B88"/>
    <w:rsid w:val="003D54A9"/>
    <w:rsid w:val="003D5B19"/>
    <w:rsid w:val="003D6AAA"/>
    <w:rsid w:val="003D74AE"/>
    <w:rsid w:val="003E3A28"/>
    <w:rsid w:val="003F204F"/>
    <w:rsid w:val="003F6266"/>
    <w:rsid w:val="003F6548"/>
    <w:rsid w:val="003F6FE0"/>
    <w:rsid w:val="00402A16"/>
    <w:rsid w:val="00411D10"/>
    <w:rsid w:val="00413970"/>
    <w:rsid w:val="0041397F"/>
    <w:rsid w:val="0041443F"/>
    <w:rsid w:val="00414C5A"/>
    <w:rsid w:val="004156CB"/>
    <w:rsid w:val="004210C0"/>
    <w:rsid w:val="00421CCE"/>
    <w:rsid w:val="004240AD"/>
    <w:rsid w:val="004301F7"/>
    <w:rsid w:val="004324B1"/>
    <w:rsid w:val="004375B2"/>
    <w:rsid w:val="004437F0"/>
    <w:rsid w:val="004465DF"/>
    <w:rsid w:val="00447141"/>
    <w:rsid w:val="004537E1"/>
    <w:rsid w:val="00461A48"/>
    <w:rsid w:val="00461BA5"/>
    <w:rsid w:val="00463712"/>
    <w:rsid w:val="00465950"/>
    <w:rsid w:val="004660EB"/>
    <w:rsid w:val="0046628A"/>
    <w:rsid w:val="00467B5C"/>
    <w:rsid w:val="00471169"/>
    <w:rsid w:val="00471A4E"/>
    <w:rsid w:val="00472FC9"/>
    <w:rsid w:val="004738AD"/>
    <w:rsid w:val="0047791D"/>
    <w:rsid w:val="004820A5"/>
    <w:rsid w:val="00484101"/>
    <w:rsid w:val="004846B1"/>
    <w:rsid w:val="00492DE9"/>
    <w:rsid w:val="00493D7D"/>
    <w:rsid w:val="0049477F"/>
    <w:rsid w:val="004B067F"/>
    <w:rsid w:val="004C050B"/>
    <w:rsid w:val="004C151D"/>
    <w:rsid w:val="004C2DD5"/>
    <w:rsid w:val="004C51B6"/>
    <w:rsid w:val="004C58F3"/>
    <w:rsid w:val="004C5ABC"/>
    <w:rsid w:val="004D3186"/>
    <w:rsid w:val="004D4DD9"/>
    <w:rsid w:val="004D61A6"/>
    <w:rsid w:val="004D64A9"/>
    <w:rsid w:val="004E1FDE"/>
    <w:rsid w:val="004E4363"/>
    <w:rsid w:val="004E5C51"/>
    <w:rsid w:val="004E69D1"/>
    <w:rsid w:val="004E6D1E"/>
    <w:rsid w:val="004F102A"/>
    <w:rsid w:val="004F2F4F"/>
    <w:rsid w:val="004F5FE2"/>
    <w:rsid w:val="004F69C6"/>
    <w:rsid w:val="00500836"/>
    <w:rsid w:val="00501D8B"/>
    <w:rsid w:val="005027C3"/>
    <w:rsid w:val="00504A08"/>
    <w:rsid w:val="005069AA"/>
    <w:rsid w:val="00510202"/>
    <w:rsid w:val="0052287F"/>
    <w:rsid w:val="00525297"/>
    <w:rsid w:val="00525535"/>
    <w:rsid w:val="00530E80"/>
    <w:rsid w:val="005312F8"/>
    <w:rsid w:val="00535ACC"/>
    <w:rsid w:val="005403E4"/>
    <w:rsid w:val="00541614"/>
    <w:rsid w:val="005448D8"/>
    <w:rsid w:val="00546C2D"/>
    <w:rsid w:val="00550410"/>
    <w:rsid w:val="00551994"/>
    <w:rsid w:val="005539EF"/>
    <w:rsid w:val="00554999"/>
    <w:rsid w:val="00554E7F"/>
    <w:rsid w:val="00562745"/>
    <w:rsid w:val="00565C22"/>
    <w:rsid w:val="005663DC"/>
    <w:rsid w:val="00567156"/>
    <w:rsid w:val="005819F9"/>
    <w:rsid w:val="00582D84"/>
    <w:rsid w:val="00583FE4"/>
    <w:rsid w:val="0058699A"/>
    <w:rsid w:val="00586D4B"/>
    <w:rsid w:val="00587FB8"/>
    <w:rsid w:val="0059297F"/>
    <w:rsid w:val="0059537F"/>
    <w:rsid w:val="005A0777"/>
    <w:rsid w:val="005B2591"/>
    <w:rsid w:val="005B2F33"/>
    <w:rsid w:val="005C19BD"/>
    <w:rsid w:val="005C74AE"/>
    <w:rsid w:val="005D01D7"/>
    <w:rsid w:val="005D0581"/>
    <w:rsid w:val="005D0A6C"/>
    <w:rsid w:val="005D25C7"/>
    <w:rsid w:val="005D411B"/>
    <w:rsid w:val="005D52B1"/>
    <w:rsid w:val="005E2A04"/>
    <w:rsid w:val="005E5575"/>
    <w:rsid w:val="005F1D2F"/>
    <w:rsid w:val="005F44BC"/>
    <w:rsid w:val="0060203A"/>
    <w:rsid w:val="006054DA"/>
    <w:rsid w:val="00605D6F"/>
    <w:rsid w:val="006078B0"/>
    <w:rsid w:val="00607FA4"/>
    <w:rsid w:val="00610A1B"/>
    <w:rsid w:val="0061183A"/>
    <w:rsid w:val="00611CE6"/>
    <w:rsid w:val="0061300C"/>
    <w:rsid w:val="00615BDF"/>
    <w:rsid w:val="0062002B"/>
    <w:rsid w:val="00624992"/>
    <w:rsid w:val="00627BB5"/>
    <w:rsid w:val="00627F83"/>
    <w:rsid w:val="0063169D"/>
    <w:rsid w:val="00634701"/>
    <w:rsid w:val="006355E3"/>
    <w:rsid w:val="00637E42"/>
    <w:rsid w:val="0064006A"/>
    <w:rsid w:val="0064677D"/>
    <w:rsid w:val="00653612"/>
    <w:rsid w:val="00661161"/>
    <w:rsid w:val="00665C83"/>
    <w:rsid w:val="00667201"/>
    <w:rsid w:val="00667AB4"/>
    <w:rsid w:val="00673055"/>
    <w:rsid w:val="00681E0E"/>
    <w:rsid w:val="006862A1"/>
    <w:rsid w:val="00687484"/>
    <w:rsid w:val="00693F76"/>
    <w:rsid w:val="0069614B"/>
    <w:rsid w:val="006A00A4"/>
    <w:rsid w:val="006A37B0"/>
    <w:rsid w:val="006A5B49"/>
    <w:rsid w:val="006B483C"/>
    <w:rsid w:val="006B6368"/>
    <w:rsid w:val="006C3A91"/>
    <w:rsid w:val="006C44AC"/>
    <w:rsid w:val="006C5D1E"/>
    <w:rsid w:val="006C5DB1"/>
    <w:rsid w:val="006D5EDD"/>
    <w:rsid w:val="006E4138"/>
    <w:rsid w:val="006F5C95"/>
    <w:rsid w:val="006F5F75"/>
    <w:rsid w:val="00701B7F"/>
    <w:rsid w:val="0070565D"/>
    <w:rsid w:val="00714FEB"/>
    <w:rsid w:val="00720457"/>
    <w:rsid w:val="00722B27"/>
    <w:rsid w:val="00730355"/>
    <w:rsid w:val="00730E3D"/>
    <w:rsid w:val="007316AC"/>
    <w:rsid w:val="0073388A"/>
    <w:rsid w:val="007346CE"/>
    <w:rsid w:val="00737678"/>
    <w:rsid w:val="007402F1"/>
    <w:rsid w:val="00747425"/>
    <w:rsid w:val="00750281"/>
    <w:rsid w:val="00751AC7"/>
    <w:rsid w:val="0075396C"/>
    <w:rsid w:val="00755C7C"/>
    <w:rsid w:val="0075633D"/>
    <w:rsid w:val="0075656D"/>
    <w:rsid w:val="0075685B"/>
    <w:rsid w:val="00756CC3"/>
    <w:rsid w:val="00760E2A"/>
    <w:rsid w:val="00761708"/>
    <w:rsid w:val="00770549"/>
    <w:rsid w:val="00771DFC"/>
    <w:rsid w:val="0077203F"/>
    <w:rsid w:val="00773561"/>
    <w:rsid w:val="00775B3C"/>
    <w:rsid w:val="00780D93"/>
    <w:rsid w:val="00783C1A"/>
    <w:rsid w:val="007844E4"/>
    <w:rsid w:val="00785A88"/>
    <w:rsid w:val="007860E1"/>
    <w:rsid w:val="007901DE"/>
    <w:rsid w:val="00797343"/>
    <w:rsid w:val="007A0952"/>
    <w:rsid w:val="007A4E4D"/>
    <w:rsid w:val="007B1399"/>
    <w:rsid w:val="007C0C6F"/>
    <w:rsid w:val="007C5955"/>
    <w:rsid w:val="007D2EEC"/>
    <w:rsid w:val="007D33D0"/>
    <w:rsid w:val="007D4193"/>
    <w:rsid w:val="007D51D2"/>
    <w:rsid w:val="007D6D1B"/>
    <w:rsid w:val="007E339C"/>
    <w:rsid w:val="007E34D9"/>
    <w:rsid w:val="007E3E4F"/>
    <w:rsid w:val="007F27CF"/>
    <w:rsid w:val="007F55FF"/>
    <w:rsid w:val="007F7ABE"/>
    <w:rsid w:val="00800024"/>
    <w:rsid w:val="00802A40"/>
    <w:rsid w:val="00804FD7"/>
    <w:rsid w:val="00806AC6"/>
    <w:rsid w:val="00806ED7"/>
    <w:rsid w:val="00807353"/>
    <w:rsid w:val="00813008"/>
    <w:rsid w:val="0082089B"/>
    <w:rsid w:val="00823246"/>
    <w:rsid w:val="008247C0"/>
    <w:rsid w:val="008259E8"/>
    <w:rsid w:val="00827875"/>
    <w:rsid w:val="00831D94"/>
    <w:rsid w:val="008341BC"/>
    <w:rsid w:val="00835446"/>
    <w:rsid w:val="00840F6B"/>
    <w:rsid w:val="0084118B"/>
    <w:rsid w:val="00852A95"/>
    <w:rsid w:val="00855309"/>
    <w:rsid w:val="008571AD"/>
    <w:rsid w:val="0086015F"/>
    <w:rsid w:val="008620DB"/>
    <w:rsid w:val="0086454D"/>
    <w:rsid w:val="008663CA"/>
    <w:rsid w:val="008721EB"/>
    <w:rsid w:val="00875103"/>
    <w:rsid w:val="00882157"/>
    <w:rsid w:val="00883482"/>
    <w:rsid w:val="00890299"/>
    <w:rsid w:val="0089033A"/>
    <w:rsid w:val="008936B5"/>
    <w:rsid w:val="008A082D"/>
    <w:rsid w:val="008A0D1A"/>
    <w:rsid w:val="008A1585"/>
    <w:rsid w:val="008A203B"/>
    <w:rsid w:val="008A2DF4"/>
    <w:rsid w:val="008A49AE"/>
    <w:rsid w:val="008B04DC"/>
    <w:rsid w:val="008B73CC"/>
    <w:rsid w:val="008C5C6B"/>
    <w:rsid w:val="008E684B"/>
    <w:rsid w:val="008E6DB9"/>
    <w:rsid w:val="008E7C2C"/>
    <w:rsid w:val="008F73E9"/>
    <w:rsid w:val="008F749E"/>
    <w:rsid w:val="00901451"/>
    <w:rsid w:val="00903D52"/>
    <w:rsid w:val="00905268"/>
    <w:rsid w:val="00911E8F"/>
    <w:rsid w:val="00920984"/>
    <w:rsid w:val="00923A2F"/>
    <w:rsid w:val="00935FA9"/>
    <w:rsid w:val="00937158"/>
    <w:rsid w:val="00950258"/>
    <w:rsid w:val="00961B6E"/>
    <w:rsid w:val="00964BEF"/>
    <w:rsid w:val="0096704D"/>
    <w:rsid w:val="00967BD8"/>
    <w:rsid w:val="009722D0"/>
    <w:rsid w:val="00977CD6"/>
    <w:rsid w:val="009807C4"/>
    <w:rsid w:val="00984596"/>
    <w:rsid w:val="00984E28"/>
    <w:rsid w:val="009959F1"/>
    <w:rsid w:val="00996C93"/>
    <w:rsid w:val="00996DDC"/>
    <w:rsid w:val="009A1D0C"/>
    <w:rsid w:val="009A7837"/>
    <w:rsid w:val="009B195D"/>
    <w:rsid w:val="009B4C5D"/>
    <w:rsid w:val="009C1587"/>
    <w:rsid w:val="009C29A0"/>
    <w:rsid w:val="009C3F91"/>
    <w:rsid w:val="009C57E9"/>
    <w:rsid w:val="009C7937"/>
    <w:rsid w:val="009D2C9B"/>
    <w:rsid w:val="009D51EA"/>
    <w:rsid w:val="009D56E4"/>
    <w:rsid w:val="009D5CC1"/>
    <w:rsid w:val="009D6271"/>
    <w:rsid w:val="009D636F"/>
    <w:rsid w:val="009E0D69"/>
    <w:rsid w:val="009E1791"/>
    <w:rsid w:val="009E36F8"/>
    <w:rsid w:val="009F1940"/>
    <w:rsid w:val="009F216D"/>
    <w:rsid w:val="009F27D8"/>
    <w:rsid w:val="009F36C5"/>
    <w:rsid w:val="009F578C"/>
    <w:rsid w:val="009F71F2"/>
    <w:rsid w:val="00A04A20"/>
    <w:rsid w:val="00A07E68"/>
    <w:rsid w:val="00A105B8"/>
    <w:rsid w:val="00A142BE"/>
    <w:rsid w:val="00A16384"/>
    <w:rsid w:val="00A23CB8"/>
    <w:rsid w:val="00A24998"/>
    <w:rsid w:val="00A26934"/>
    <w:rsid w:val="00A27CA1"/>
    <w:rsid w:val="00A315CD"/>
    <w:rsid w:val="00A31C30"/>
    <w:rsid w:val="00A37521"/>
    <w:rsid w:val="00A426A2"/>
    <w:rsid w:val="00A42FBF"/>
    <w:rsid w:val="00A5358F"/>
    <w:rsid w:val="00A54E26"/>
    <w:rsid w:val="00A610F8"/>
    <w:rsid w:val="00A612F9"/>
    <w:rsid w:val="00A65C5D"/>
    <w:rsid w:val="00A70927"/>
    <w:rsid w:val="00A7336B"/>
    <w:rsid w:val="00A755D4"/>
    <w:rsid w:val="00A76140"/>
    <w:rsid w:val="00A77D7A"/>
    <w:rsid w:val="00A81C0E"/>
    <w:rsid w:val="00A8553E"/>
    <w:rsid w:val="00A9564A"/>
    <w:rsid w:val="00AA0679"/>
    <w:rsid w:val="00AA2074"/>
    <w:rsid w:val="00AB2F0D"/>
    <w:rsid w:val="00AB6804"/>
    <w:rsid w:val="00AC0B82"/>
    <w:rsid w:val="00AC35E7"/>
    <w:rsid w:val="00AC3B89"/>
    <w:rsid w:val="00AC61DD"/>
    <w:rsid w:val="00AD329F"/>
    <w:rsid w:val="00AD770C"/>
    <w:rsid w:val="00AE2140"/>
    <w:rsid w:val="00AE5422"/>
    <w:rsid w:val="00AE62FB"/>
    <w:rsid w:val="00AE639B"/>
    <w:rsid w:val="00AF0209"/>
    <w:rsid w:val="00AF29C5"/>
    <w:rsid w:val="00AF5AA8"/>
    <w:rsid w:val="00AF7A36"/>
    <w:rsid w:val="00B03F72"/>
    <w:rsid w:val="00B14E59"/>
    <w:rsid w:val="00B214EC"/>
    <w:rsid w:val="00B21D71"/>
    <w:rsid w:val="00B3310A"/>
    <w:rsid w:val="00B446A1"/>
    <w:rsid w:val="00B46A39"/>
    <w:rsid w:val="00B534CF"/>
    <w:rsid w:val="00B546DC"/>
    <w:rsid w:val="00B54F00"/>
    <w:rsid w:val="00B55A04"/>
    <w:rsid w:val="00B614A3"/>
    <w:rsid w:val="00B65D05"/>
    <w:rsid w:val="00B828C8"/>
    <w:rsid w:val="00B84420"/>
    <w:rsid w:val="00B85D1F"/>
    <w:rsid w:val="00B93426"/>
    <w:rsid w:val="00B94E83"/>
    <w:rsid w:val="00B96F08"/>
    <w:rsid w:val="00BA1CB6"/>
    <w:rsid w:val="00BA2931"/>
    <w:rsid w:val="00BA6150"/>
    <w:rsid w:val="00BB115E"/>
    <w:rsid w:val="00BB1BAE"/>
    <w:rsid w:val="00BB58B0"/>
    <w:rsid w:val="00BB6D43"/>
    <w:rsid w:val="00BC5989"/>
    <w:rsid w:val="00BC6EAB"/>
    <w:rsid w:val="00BD02AC"/>
    <w:rsid w:val="00BD1009"/>
    <w:rsid w:val="00BD379D"/>
    <w:rsid w:val="00BE072A"/>
    <w:rsid w:val="00BE448D"/>
    <w:rsid w:val="00BE5F68"/>
    <w:rsid w:val="00BE6D74"/>
    <w:rsid w:val="00BF0E91"/>
    <w:rsid w:val="00BF154E"/>
    <w:rsid w:val="00BF2264"/>
    <w:rsid w:val="00C00794"/>
    <w:rsid w:val="00C04036"/>
    <w:rsid w:val="00C10282"/>
    <w:rsid w:val="00C13DE2"/>
    <w:rsid w:val="00C22961"/>
    <w:rsid w:val="00C27AFF"/>
    <w:rsid w:val="00C31714"/>
    <w:rsid w:val="00C34056"/>
    <w:rsid w:val="00C34647"/>
    <w:rsid w:val="00C347BB"/>
    <w:rsid w:val="00C366D8"/>
    <w:rsid w:val="00C37EC3"/>
    <w:rsid w:val="00C4085F"/>
    <w:rsid w:val="00C50520"/>
    <w:rsid w:val="00C61727"/>
    <w:rsid w:val="00C61B7F"/>
    <w:rsid w:val="00C61BF2"/>
    <w:rsid w:val="00C638DA"/>
    <w:rsid w:val="00C65ADE"/>
    <w:rsid w:val="00C6617A"/>
    <w:rsid w:val="00C67ACF"/>
    <w:rsid w:val="00C7639B"/>
    <w:rsid w:val="00C76C55"/>
    <w:rsid w:val="00C87592"/>
    <w:rsid w:val="00C945B7"/>
    <w:rsid w:val="00C94EC3"/>
    <w:rsid w:val="00C9659E"/>
    <w:rsid w:val="00C978C8"/>
    <w:rsid w:val="00CA1A23"/>
    <w:rsid w:val="00CB0457"/>
    <w:rsid w:val="00CB1195"/>
    <w:rsid w:val="00CB2250"/>
    <w:rsid w:val="00CB4D4A"/>
    <w:rsid w:val="00CB7D0D"/>
    <w:rsid w:val="00CC27A1"/>
    <w:rsid w:val="00CC27D3"/>
    <w:rsid w:val="00CC30F5"/>
    <w:rsid w:val="00CC5F88"/>
    <w:rsid w:val="00CC7B36"/>
    <w:rsid w:val="00CD192F"/>
    <w:rsid w:val="00CD51B2"/>
    <w:rsid w:val="00CD77E6"/>
    <w:rsid w:val="00CE13F7"/>
    <w:rsid w:val="00CE50B8"/>
    <w:rsid w:val="00CF09BF"/>
    <w:rsid w:val="00CF3CDB"/>
    <w:rsid w:val="00CF5C91"/>
    <w:rsid w:val="00D0239E"/>
    <w:rsid w:val="00D023E7"/>
    <w:rsid w:val="00D04038"/>
    <w:rsid w:val="00D06890"/>
    <w:rsid w:val="00D07766"/>
    <w:rsid w:val="00D1059A"/>
    <w:rsid w:val="00D11027"/>
    <w:rsid w:val="00D117A9"/>
    <w:rsid w:val="00D1609A"/>
    <w:rsid w:val="00D16272"/>
    <w:rsid w:val="00D1779A"/>
    <w:rsid w:val="00D219E1"/>
    <w:rsid w:val="00D23786"/>
    <w:rsid w:val="00D23E10"/>
    <w:rsid w:val="00D24554"/>
    <w:rsid w:val="00D25569"/>
    <w:rsid w:val="00D27B30"/>
    <w:rsid w:val="00D30AEE"/>
    <w:rsid w:val="00D31262"/>
    <w:rsid w:val="00D313A0"/>
    <w:rsid w:val="00D34AE9"/>
    <w:rsid w:val="00D3521C"/>
    <w:rsid w:val="00D4618F"/>
    <w:rsid w:val="00D639B7"/>
    <w:rsid w:val="00D70576"/>
    <w:rsid w:val="00D7276D"/>
    <w:rsid w:val="00D81210"/>
    <w:rsid w:val="00D83740"/>
    <w:rsid w:val="00D870F2"/>
    <w:rsid w:val="00D94578"/>
    <w:rsid w:val="00D95904"/>
    <w:rsid w:val="00DA03AC"/>
    <w:rsid w:val="00DB2932"/>
    <w:rsid w:val="00DB5351"/>
    <w:rsid w:val="00DB581D"/>
    <w:rsid w:val="00DB74F1"/>
    <w:rsid w:val="00DC213C"/>
    <w:rsid w:val="00DC7B97"/>
    <w:rsid w:val="00DD6AD4"/>
    <w:rsid w:val="00DD6CF3"/>
    <w:rsid w:val="00DD729C"/>
    <w:rsid w:val="00DE036B"/>
    <w:rsid w:val="00DE14B6"/>
    <w:rsid w:val="00DE32AB"/>
    <w:rsid w:val="00DF0BEE"/>
    <w:rsid w:val="00DF17B1"/>
    <w:rsid w:val="00DF3FFE"/>
    <w:rsid w:val="00DF470B"/>
    <w:rsid w:val="00E0242F"/>
    <w:rsid w:val="00E055DF"/>
    <w:rsid w:val="00E05D5D"/>
    <w:rsid w:val="00E06733"/>
    <w:rsid w:val="00E078DB"/>
    <w:rsid w:val="00E11026"/>
    <w:rsid w:val="00E2384A"/>
    <w:rsid w:val="00E3724F"/>
    <w:rsid w:val="00E42B2A"/>
    <w:rsid w:val="00E42B58"/>
    <w:rsid w:val="00E52036"/>
    <w:rsid w:val="00E5318F"/>
    <w:rsid w:val="00E53A79"/>
    <w:rsid w:val="00E55B0B"/>
    <w:rsid w:val="00E6001F"/>
    <w:rsid w:val="00E61711"/>
    <w:rsid w:val="00E62C18"/>
    <w:rsid w:val="00E6317A"/>
    <w:rsid w:val="00E6610F"/>
    <w:rsid w:val="00E706F1"/>
    <w:rsid w:val="00E730D5"/>
    <w:rsid w:val="00E77476"/>
    <w:rsid w:val="00E8427C"/>
    <w:rsid w:val="00E84B74"/>
    <w:rsid w:val="00E8655E"/>
    <w:rsid w:val="00E90E8D"/>
    <w:rsid w:val="00EA0242"/>
    <w:rsid w:val="00EA6C2D"/>
    <w:rsid w:val="00EA6C4B"/>
    <w:rsid w:val="00EB4959"/>
    <w:rsid w:val="00EB5C92"/>
    <w:rsid w:val="00EB692E"/>
    <w:rsid w:val="00EC1628"/>
    <w:rsid w:val="00EC3B20"/>
    <w:rsid w:val="00EC5DB8"/>
    <w:rsid w:val="00EC73F6"/>
    <w:rsid w:val="00EC755B"/>
    <w:rsid w:val="00ED59DE"/>
    <w:rsid w:val="00EE1E49"/>
    <w:rsid w:val="00EE3556"/>
    <w:rsid w:val="00EF16F1"/>
    <w:rsid w:val="00EF4086"/>
    <w:rsid w:val="00F01D58"/>
    <w:rsid w:val="00F03E13"/>
    <w:rsid w:val="00F05436"/>
    <w:rsid w:val="00F10CFB"/>
    <w:rsid w:val="00F1123D"/>
    <w:rsid w:val="00F11D54"/>
    <w:rsid w:val="00F12CC8"/>
    <w:rsid w:val="00F24878"/>
    <w:rsid w:val="00F25408"/>
    <w:rsid w:val="00F27BA4"/>
    <w:rsid w:val="00F44F4C"/>
    <w:rsid w:val="00F45156"/>
    <w:rsid w:val="00F45CF8"/>
    <w:rsid w:val="00F47634"/>
    <w:rsid w:val="00F5389E"/>
    <w:rsid w:val="00F546B7"/>
    <w:rsid w:val="00F54D11"/>
    <w:rsid w:val="00F564FA"/>
    <w:rsid w:val="00F56859"/>
    <w:rsid w:val="00F64769"/>
    <w:rsid w:val="00F75E14"/>
    <w:rsid w:val="00F772B1"/>
    <w:rsid w:val="00F830D1"/>
    <w:rsid w:val="00F83C62"/>
    <w:rsid w:val="00F91649"/>
    <w:rsid w:val="00F92378"/>
    <w:rsid w:val="00F957D0"/>
    <w:rsid w:val="00F9680F"/>
    <w:rsid w:val="00FA2955"/>
    <w:rsid w:val="00FA4B5A"/>
    <w:rsid w:val="00FA6139"/>
    <w:rsid w:val="00FB38FA"/>
    <w:rsid w:val="00FB3E6D"/>
    <w:rsid w:val="00FB562F"/>
    <w:rsid w:val="00FC1859"/>
    <w:rsid w:val="00FD4E48"/>
    <w:rsid w:val="00FD53C0"/>
    <w:rsid w:val="00FD5571"/>
    <w:rsid w:val="00FE29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830E5"/>
  <w15:docId w15:val="{4214EEEA-4BD4-3145-9A34-A96928F5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79A"/>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50178"/>
    <w:pPr>
      <w:spacing w:before="100" w:beforeAutospacing="1" w:after="100" w:afterAutospacing="1"/>
    </w:pPr>
    <w:rPr>
      <w:rFonts w:eastAsia="Times New Roman"/>
      <w:lang w:val="pt-BR" w:eastAsia="pt-BR"/>
    </w:rPr>
  </w:style>
  <w:style w:type="character" w:styleId="CommentReference">
    <w:name w:val="annotation reference"/>
    <w:uiPriority w:val="99"/>
    <w:semiHidden/>
    <w:rsid w:val="002E26CE"/>
    <w:rPr>
      <w:rFonts w:cs="Times New Roman"/>
      <w:sz w:val="16"/>
      <w:szCs w:val="16"/>
    </w:rPr>
  </w:style>
  <w:style w:type="paragraph" w:styleId="CommentText">
    <w:name w:val="annotation text"/>
    <w:basedOn w:val="Normal"/>
    <w:link w:val="CommentTextChar"/>
    <w:uiPriority w:val="99"/>
    <w:semiHidden/>
    <w:rsid w:val="002E26CE"/>
    <w:rPr>
      <w:rFonts w:ascii="Calibri" w:hAnsi="Calibri"/>
      <w:sz w:val="20"/>
      <w:szCs w:val="20"/>
      <w:lang w:val="pt-BR"/>
    </w:rPr>
  </w:style>
  <w:style w:type="character" w:customStyle="1" w:styleId="CommentTextChar">
    <w:name w:val="Comment Text Char"/>
    <w:link w:val="CommentText"/>
    <w:uiPriority w:val="99"/>
    <w:semiHidden/>
    <w:locked/>
    <w:rsid w:val="00BC6EAB"/>
    <w:rPr>
      <w:rFonts w:cs="Times New Roman"/>
      <w:sz w:val="20"/>
      <w:szCs w:val="20"/>
      <w:lang w:val="pt-BR" w:eastAsia="en-US"/>
    </w:rPr>
  </w:style>
  <w:style w:type="paragraph" w:styleId="CommentSubject">
    <w:name w:val="annotation subject"/>
    <w:basedOn w:val="CommentText"/>
    <w:next w:val="CommentText"/>
    <w:link w:val="CommentSubjectChar"/>
    <w:uiPriority w:val="99"/>
    <w:semiHidden/>
    <w:rsid w:val="002E26CE"/>
    <w:rPr>
      <w:b/>
      <w:bCs/>
    </w:rPr>
  </w:style>
  <w:style w:type="character" w:customStyle="1" w:styleId="CommentSubjectChar">
    <w:name w:val="Comment Subject Char"/>
    <w:link w:val="CommentSubject"/>
    <w:uiPriority w:val="99"/>
    <w:semiHidden/>
    <w:locked/>
    <w:rsid w:val="00BC6EAB"/>
    <w:rPr>
      <w:rFonts w:cs="Times New Roman"/>
      <w:b/>
      <w:bCs/>
      <w:sz w:val="20"/>
      <w:szCs w:val="20"/>
      <w:lang w:val="pt-BR" w:eastAsia="en-US"/>
    </w:rPr>
  </w:style>
  <w:style w:type="paragraph" w:styleId="BalloonText">
    <w:name w:val="Balloon Text"/>
    <w:basedOn w:val="Normal"/>
    <w:link w:val="BalloonTextChar"/>
    <w:uiPriority w:val="99"/>
    <w:semiHidden/>
    <w:rsid w:val="002E26CE"/>
    <w:rPr>
      <w:rFonts w:ascii="Tahoma" w:hAnsi="Tahoma" w:cs="Tahoma"/>
      <w:sz w:val="16"/>
      <w:szCs w:val="16"/>
      <w:lang w:val="pt-BR"/>
    </w:rPr>
  </w:style>
  <w:style w:type="character" w:customStyle="1" w:styleId="BalloonTextChar">
    <w:name w:val="Balloon Text Char"/>
    <w:link w:val="BalloonText"/>
    <w:uiPriority w:val="99"/>
    <w:semiHidden/>
    <w:locked/>
    <w:rsid w:val="00BC6EAB"/>
    <w:rPr>
      <w:rFonts w:ascii="Times New Roman" w:hAnsi="Times New Roman" w:cs="Times New Roman"/>
      <w:sz w:val="2"/>
      <w:lang w:val="pt-BR" w:eastAsia="en-US"/>
    </w:rPr>
  </w:style>
  <w:style w:type="character" w:customStyle="1" w:styleId="orcid-id-https">
    <w:name w:val="orcid-id-https"/>
    <w:uiPriority w:val="99"/>
    <w:rsid w:val="008E684B"/>
    <w:rPr>
      <w:rFonts w:cs="Times New Roman"/>
    </w:rPr>
  </w:style>
  <w:style w:type="paragraph" w:styleId="ListParagraph">
    <w:name w:val="List Paragraph"/>
    <w:basedOn w:val="Normal"/>
    <w:uiPriority w:val="34"/>
    <w:qFormat/>
    <w:rsid w:val="008E684B"/>
    <w:pPr>
      <w:ind w:left="720"/>
      <w:contextualSpacing/>
    </w:pPr>
    <w:rPr>
      <w:rFonts w:eastAsia="Times New Roman"/>
      <w:lang w:val="pt-BR" w:eastAsia="pt-BR"/>
    </w:rPr>
  </w:style>
  <w:style w:type="paragraph" w:styleId="Header">
    <w:name w:val="header"/>
    <w:basedOn w:val="Normal"/>
    <w:link w:val="HeaderChar"/>
    <w:uiPriority w:val="99"/>
    <w:rsid w:val="008E684B"/>
    <w:pPr>
      <w:tabs>
        <w:tab w:val="center" w:pos="4252"/>
        <w:tab w:val="right" w:pos="8504"/>
      </w:tabs>
    </w:pPr>
    <w:rPr>
      <w:rFonts w:eastAsia="Times New Roman"/>
      <w:lang w:val="pt-BR" w:eastAsia="pt-BR"/>
    </w:rPr>
  </w:style>
  <w:style w:type="character" w:customStyle="1" w:styleId="HeaderChar">
    <w:name w:val="Header Char"/>
    <w:link w:val="Header"/>
    <w:uiPriority w:val="99"/>
    <w:locked/>
    <w:rsid w:val="008E684B"/>
    <w:rPr>
      <w:rFonts w:ascii="Times New Roman" w:hAnsi="Times New Roman" w:cs="Times New Roman"/>
      <w:sz w:val="24"/>
      <w:szCs w:val="24"/>
      <w:lang w:val="pt-BR" w:eastAsia="pt-BR"/>
    </w:rPr>
  </w:style>
  <w:style w:type="paragraph" w:styleId="Footer">
    <w:name w:val="footer"/>
    <w:basedOn w:val="Normal"/>
    <w:link w:val="FooterChar"/>
    <w:uiPriority w:val="99"/>
    <w:rsid w:val="008E684B"/>
    <w:pPr>
      <w:tabs>
        <w:tab w:val="center" w:pos="4252"/>
        <w:tab w:val="right" w:pos="8504"/>
      </w:tabs>
    </w:pPr>
    <w:rPr>
      <w:rFonts w:eastAsia="Times New Roman"/>
      <w:lang w:val="pt-BR" w:eastAsia="pt-BR"/>
    </w:rPr>
  </w:style>
  <w:style w:type="character" w:customStyle="1" w:styleId="FooterChar">
    <w:name w:val="Footer Char"/>
    <w:link w:val="Footer"/>
    <w:uiPriority w:val="99"/>
    <w:locked/>
    <w:rsid w:val="008E684B"/>
    <w:rPr>
      <w:rFonts w:ascii="Times New Roman" w:hAnsi="Times New Roman" w:cs="Times New Roman"/>
      <w:sz w:val="24"/>
      <w:szCs w:val="24"/>
      <w:lang w:val="pt-BR" w:eastAsia="pt-BR"/>
    </w:rPr>
  </w:style>
  <w:style w:type="table" w:styleId="TableGrid">
    <w:name w:val="Table Grid"/>
    <w:basedOn w:val="TableNormal"/>
    <w:uiPriority w:val="39"/>
    <w:locked/>
    <w:rsid w:val="00BA61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54D11"/>
    <w:rPr>
      <w:color w:val="0000FF"/>
      <w:u w:val="single"/>
    </w:rPr>
  </w:style>
  <w:style w:type="character" w:customStyle="1" w:styleId="apple-converted-space">
    <w:name w:val="apple-converted-space"/>
    <w:basedOn w:val="DefaultParagraphFont"/>
    <w:rsid w:val="00D1779A"/>
  </w:style>
  <w:style w:type="paragraph" w:customStyle="1" w:styleId="xmsonormal">
    <w:name w:val="x_msonormal"/>
    <w:basedOn w:val="Normal"/>
    <w:rsid w:val="0003207E"/>
    <w:pPr>
      <w:spacing w:before="100" w:beforeAutospacing="1" w:after="100" w:afterAutospacing="1"/>
    </w:pPr>
    <w:rPr>
      <w:rFonts w:eastAsia="Times New Roman"/>
      <w:lang w:val="pt-BR" w:eastAsia="pt-BR"/>
    </w:rPr>
  </w:style>
  <w:style w:type="character" w:styleId="PageNumber">
    <w:name w:val="page number"/>
    <w:basedOn w:val="DefaultParagraphFont"/>
    <w:uiPriority w:val="99"/>
    <w:semiHidden/>
    <w:unhideWhenUsed/>
    <w:rsid w:val="00351432"/>
  </w:style>
  <w:style w:type="character" w:customStyle="1" w:styleId="UnresolvedMention1">
    <w:name w:val="Unresolved Mention1"/>
    <w:basedOn w:val="DefaultParagraphFont"/>
    <w:uiPriority w:val="99"/>
    <w:rsid w:val="003154FA"/>
    <w:rPr>
      <w:color w:val="605E5C"/>
      <w:shd w:val="clear" w:color="auto" w:fill="E1DFDD"/>
    </w:rPr>
  </w:style>
  <w:style w:type="paragraph" w:customStyle="1" w:styleId="default">
    <w:name w:val="default"/>
    <w:basedOn w:val="Normal"/>
    <w:rsid w:val="008C5C6B"/>
    <w:pPr>
      <w:spacing w:before="100" w:beforeAutospacing="1" w:after="100" w:afterAutospacing="1"/>
    </w:pPr>
    <w:rPr>
      <w:rFonts w:ascii="SimSun" w:hAnsi="SimSun" w:cs="SimSun"/>
      <w:lang w:eastAsia="zh-CN"/>
    </w:rPr>
  </w:style>
  <w:style w:type="paragraph" w:styleId="NoSpacing">
    <w:name w:val="No Spacing"/>
    <w:link w:val="NoSpacingChar"/>
    <w:uiPriority w:val="1"/>
    <w:qFormat/>
    <w:rsid w:val="008C5C6B"/>
    <w:rPr>
      <w:sz w:val="22"/>
      <w:szCs w:val="22"/>
      <w:lang w:val="en-US" w:eastAsia="zh-CN"/>
    </w:rPr>
  </w:style>
  <w:style w:type="character" w:customStyle="1" w:styleId="NoSpacingChar">
    <w:name w:val="No Spacing Char"/>
    <w:link w:val="NoSpacing"/>
    <w:uiPriority w:val="1"/>
    <w:rsid w:val="008C5C6B"/>
    <w:rPr>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03769">
      <w:marLeft w:val="0"/>
      <w:marRight w:val="0"/>
      <w:marTop w:val="0"/>
      <w:marBottom w:val="0"/>
      <w:divBdr>
        <w:top w:val="none" w:sz="0" w:space="0" w:color="auto"/>
        <w:left w:val="none" w:sz="0" w:space="0" w:color="auto"/>
        <w:bottom w:val="none" w:sz="0" w:space="0" w:color="auto"/>
        <w:right w:val="none" w:sz="0" w:space="0" w:color="auto"/>
      </w:divBdr>
      <w:divsChild>
        <w:div w:id="153303806">
          <w:marLeft w:val="0"/>
          <w:marRight w:val="0"/>
          <w:marTop w:val="0"/>
          <w:marBottom w:val="0"/>
          <w:divBdr>
            <w:top w:val="none" w:sz="0" w:space="0" w:color="auto"/>
            <w:left w:val="none" w:sz="0" w:space="0" w:color="auto"/>
            <w:bottom w:val="none" w:sz="0" w:space="0" w:color="auto"/>
            <w:right w:val="none" w:sz="0" w:space="0" w:color="auto"/>
          </w:divBdr>
          <w:divsChild>
            <w:div w:id="153303793">
              <w:marLeft w:val="0"/>
              <w:marRight w:val="0"/>
              <w:marTop w:val="0"/>
              <w:marBottom w:val="0"/>
              <w:divBdr>
                <w:top w:val="none" w:sz="0" w:space="0" w:color="auto"/>
                <w:left w:val="none" w:sz="0" w:space="0" w:color="auto"/>
                <w:bottom w:val="none" w:sz="0" w:space="0" w:color="auto"/>
                <w:right w:val="none" w:sz="0" w:space="0" w:color="auto"/>
              </w:divBdr>
              <w:divsChild>
                <w:div w:id="153303800">
                  <w:marLeft w:val="0"/>
                  <w:marRight w:val="0"/>
                  <w:marTop w:val="0"/>
                  <w:marBottom w:val="0"/>
                  <w:divBdr>
                    <w:top w:val="none" w:sz="0" w:space="0" w:color="auto"/>
                    <w:left w:val="none" w:sz="0" w:space="0" w:color="auto"/>
                    <w:bottom w:val="none" w:sz="0" w:space="0" w:color="auto"/>
                    <w:right w:val="none" w:sz="0" w:space="0" w:color="auto"/>
                  </w:divBdr>
                  <w:divsChild>
                    <w:div w:id="1533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2">
      <w:marLeft w:val="0"/>
      <w:marRight w:val="0"/>
      <w:marTop w:val="0"/>
      <w:marBottom w:val="0"/>
      <w:divBdr>
        <w:top w:val="none" w:sz="0" w:space="0" w:color="auto"/>
        <w:left w:val="none" w:sz="0" w:space="0" w:color="auto"/>
        <w:bottom w:val="none" w:sz="0" w:space="0" w:color="auto"/>
        <w:right w:val="none" w:sz="0" w:space="0" w:color="auto"/>
      </w:divBdr>
      <w:divsChild>
        <w:div w:id="153303794">
          <w:marLeft w:val="0"/>
          <w:marRight w:val="0"/>
          <w:marTop w:val="0"/>
          <w:marBottom w:val="0"/>
          <w:divBdr>
            <w:top w:val="none" w:sz="0" w:space="0" w:color="auto"/>
            <w:left w:val="none" w:sz="0" w:space="0" w:color="auto"/>
            <w:bottom w:val="none" w:sz="0" w:space="0" w:color="auto"/>
            <w:right w:val="none" w:sz="0" w:space="0" w:color="auto"/>
          </w:divBdr>
          <w:divsChild>
            <w:div w:id="153303792">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79">
                  <w:marLeft w:val="0"/>
                  <w:marRight w:val="0"/>
                  <w:marTop w:val="0"/>
                  <w:marBottom w:val="0"/>
                  <w:divBdr>
                    <w:top w:val="none" w:sz="0" w:space="0" w:color="auto"/>
                    <w:left w:val="none" w:sz="0" w:space="0" w:color="auto"/>
                    <w:bottom w:val="none" w:sz="0" w:space="0" w:color="auto"/>
                    <w:right w:val="none" w:sz="0" w:space="0" w:color="auto"/>
                  </w:divBdr>
                  <w:divsChild>
                    <w:div w:id="153303790">
                      <w:marLeft w:val="-75"/>
                      <w:marRight w:val="-75"/>
                      <w:marTop w:val="0"/>
                      <w:marBottom w:val="0"/>
                      <w:divBdr>
                        <w:top w:val="none" w:sz="0" w:space="0" w:color="auto"/>
                        <w:left w:val="none" w:sz="0" w:space="0" w:color="auto"/>
                        <w:bottom w:val="none" w:sz="0" w:space="0" w:color="auto"/>
                        <w:right w:val="none" w:sz="0" w:space="0" w:color="auto"/>
                      </w:divBdr>
                      <w:divsChild>
                        <w:div w:id="1533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74">
      <w:marLeft w:val="0"/>
      <w:marRight w:val="0"/>
      <w:marTop w:val="0"/>
      <w:marBottom w:val="0"/>
      <w:divBdr>
        <w:top w:val="none" w:sz="0" w:space="0" w:color="auto"/>
        <w:left w:val="none" w:sz="0" w:space="0" w:color="auto"/>
        <w:bottom w:val="none" w:sz="0" w:space="0" w:color="auto"/>
        <w:right w:val="none" w:sz="0" w:space="0" w:color="auto"/>
      </w:divBdr>
    </w:div>
    <w:div w:id="153303777">
      <w:marLeft w:val="0"/>
      <w:marRight w:val="0"/>
      <w:marTop w:val="0"/>
      <w:marBottom w:val="0"/>
      <w:divBdr>
        <w:top w:val="none" w:sz="0" w:space="0" w:color="auto"/>
        <w:left w:val="none" w:sz="0" w:space="0" w:color="auto"/>
        <w:bottom w:val="none" w:sz="0" w:space="0" w:color="auto"/>
        <w:right w:val="none" w:sz="0" w:space="0" w:color="auto"/>
      </w:divBdr>
      <w:divsChild>
        <w:div w:id="153303803">
          <w:marLeft w:val="0"/>
          <w:marRight w:val="0"/>
          <w:marTop w:val="0"/>
          <w:marBottom w:val="0"/>
          <w:divBdr>
            <w:top w:val="none" w:sz="0" w:space="0" w:color="auto"/>
            <w:left w:val="none" w:sz="0" w:space="0" w:color="auto"/>
            <w:bottom w:val="none" w:sz="0" w:space="0" w:color="auto"/>
            <w:right w:val="none" w:sz="0" w:space="0" w:color="auto"/>
          </w:divBdr>
          <w:divsChild>
            <w:div w:id="153303767">
              <w:marLeft w:val="0"/>
              <w:marRight w:val="0"/>
              <w:marTop w:val="0"/>
              <w:marBottom w:val="0"/>
              <w:divBdr>
                <w:top w:val="none" w:sz="0" w:space="0" w:color="auto"/>
                <w:left w:val="none" w:sz="0" w:space="0" w:color="auto"/>
                <w:bottom w:val="none" w:sz="0" w:space="0" w:color="auto"/>
                <w:right w:val="none" w:sz="0" w:space="0" w:color="auto"/>
              </w:divBdr>
              <w:divsChild>
                <w:div w:id="153303775">
                  <w:marLeft w:val="0"/>
                  <w:marRight w:val="0"/>
                  <w:marTop w:val="0"/>
                  <w:marBottom w:val="0"/>
                  <w:divBdr>
                    <w:top w:val="none" w:sz="0" w:space="0" w:color="auto"/>
                    <w:left w:val="none" w:sz="0" w:space="0" w:color="auto"/>
                    <w:bottom w:val="none" w:sz="0" w:space="0" w:color="auto"/>
                    <w:right w:val="none" w:sz="0" w:space="0" w:color="auto"/>
                  </w:divBdr>
                  <w:divsChild>
                    <w:div w:id="1533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8">
      <w:marLeft w:val="0"/>
      <w:marRight w:val="0"/>
      <w:marTop w:val="0"/>
      <w:marBottom w:val="0"/>
      <w:divBdr>
        <w:top w:val="none" w:sz="0" w:space="0" w:color="auto"/>
        <w:left w:val="none" w:sz="0" w:space="0" w:color="auto"/>
        <w:bottom w:val="none" w:sz="0" w:space="0" w:color="auto"/>
        <w:right w:val="none" w:sz="0" w:space="0" w:color="auto"/>
      </w:divBdr>
    </w:div>
    <w:div w:id="153303780">
      <w:marLeft w:val="0"/>
      <w:marRight w:val="0"/>
      <w:marTop w:val="0"/>
      <w:marBottom w:val="0"/>
      <w:divBdr>
        <w:top w:val="none" w:sz="0" w:space="0" w:color="auto"/>
        <w:left w:val="none" w:sz="0" w:space="0" w:color="auto"/>
        <w:bottom w:val="none" w:sz="0" w:space="0" w:color="auto"/>
        <w:right w:val="none" w:sz="0" w:space="0" w:color="auto"/>
      </w:divBdr>
    </w:div>
    <w:div w:id="153303784">
      <w:marLeft w:val="0"/>
      <w:marRight w:val="0"/>
      <w:marTop w:val="0"/>
      <w:marBottom w:val="0"/>
      <w:divBdr>
        <w:top w:val="none" w:sz="0" w:space="0" w:color="auto"/>
        <w:left w:val="none" w:sz="0" w:space="0" w:color="auto"/>
        <w:bottom w:val="none" w:sz="0" w:space="0" w:color="auto"/>
        <w:right w:val="none" w:sz="0" w:space="0" w:color="auto"/>
      </w:divBdr>
      <w:divsChild>
        <w:div w:id="153303787">
          <w:marLeft w:val="0"/>
          <w:marRight w:val="0"/>
          <w:marTop w:val="0"/>
          <w:marBottom w:val="0"/>
          <w:divBdr>
            <w:top w:val="none" w:sz="0" w:space="0" w:color="auto"/>
            <w:left w:val="none" w:sz="0" w:space="0" w:color="auto"/>
            <w:bottom w:val="none" w:sz="0" w:space="0" w:color="auto"/>
            <w:right w:val="none" w:sz="0" w:space="0" w:color="auto"/>
          </w:divBdr>
          <w:divsChild>
            <w:div w:id="153303783">
              <w:marLeft w:val="0"/>
              <w:marRight w:val="0"/>
              <w:marTop w:val="0"/>
              <w:marBottom w:val="0"/>
              <w:divBdr>
                <w:top w:val="none" w:sz="0" w:space="0" w:color="auto"/>
                <w:left w:val="none" w:sz="0" w:space="0" w:color="auto"/>
                <w:bottom w:val="none" w:sz="0" w:space="0" w:color="auto"/>
                <w:right w:val="none" w:sz="0" w:space="0" w:color="auto"/>
              </w:divBdr>
              <w:divsChild>
                <w:div w:id="1533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5">
      <w:marLeft w:val="0"/>
      <w:marRight w:val="0"/>
      <w:marTop w:val="0"/>
      <w:marBottom w:val="0"/>
      <w:divBdr>
        <w:top w:val="none" w:sz="0" w:space="0" w:color="auto"/>
        <w:left w:val="none" w:sz="0" w:space="0" w:color="auto"/>
        <w:bottom w:val="none" w:sz="0" w:space="0" w:color="auto"/>
        <w:right w:val="none" w:sz="0" w:space="0" w:color="auto"/>
      </w:divBdr>
      <w:divsChild>
        <w:div w:id="153303788">
          <w:marLeft w:val="0"/>
          <w:marRight w:val="0"/>
          <w:marTop w:val="0"/>
          <w:marBottom w:val="0"/>
          <w:divBdr>
            <w:top w:val="none" w:sz="0" w:space="0" w:color="auto"/>
            <w:left w:val="none" w:sz="0" w:space="0" w:color="auto"/>
            <w:bottom w:val="none" w:sz="0" w:space="0" w:color="auto"/>
            <w:right w:val="none" w:sz="0" w:space="0" w:color="auto"/>
          </w:divBdr>
          <w:divsChild>
            <w:div w:id="153303781">
              <w:marLeft w:val="0"/>
              <w:marRight w:val="0"/>
              <w:marTop w:val="0"/>
              <w:marBottom w:val="0"/>
              <w:divBdr>
                <w:top w:val="none" w:sz="0" w:space="0" w:color="auto"/>
                <w:left w:val="none" w:sz="0" w:space="0" w:color="auto"/>
                <w:bottom w:val="none" w:sz="0" w:space="0" w:color="auto"/>
                <w:right w:val="none" w:sz="0" w:space="0" w:color="auto"/>
              </w:divBdr>
              <w:divsChild>
                <w:div w:id="1533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6">
      <w:marLeft w:val="0"/>
      <w:marRight w:val="0"/>
      <w:marTop w:val="0"/>
      <w:marBottom w:val="0"/>
      <w:divBdr>
        <w:top w:val="none" w:sz="0" w:space="0" w:color="auto"/>
        <w:left w:val="none" w:sz="0" w:space="0" w:color="auto"/>
        <w:bottom w:val="none" w:sz="0" w:space="0" w:color="auto"/>
        <w:right w:val="none" w:sz="0" w:space="0" w:color="auto"/>
      </w:divBdr>
    </w:div>
    <w:div w:id="153303791">
      <w:marLeft w:val="0"/>
      <w:marRight w:val="0"/>
      <w:marTop w:val="0"/>
      <w:marBottom w:val="0"/>
      <w:divBdr>
        <w:top w:val="none" w:sz="0" w:space="0" w:color="auto"/>
        <w:left w:val="none" w:sz="0" w:space="0" w:color="auto"/>
        <w:bottom w:val="none" w:sz="0" w:space="0" w:color="auto"/>
        <w:right w:val="none" w:sz="0" w:space="0" w:color="auto"/>
      </w:divBdr>
      <w:divsChild>
        <w:div w:id="153303808">
          <w:marLeft w:val="0"/>
          <w:marRight w:val="0"/>
          <w:marTop w:val="0"/>
          <w:marBottom w:val="0"/>
          <w:divBdr>
            <w:top w:val="none" w:sz="0" w:space="0" w:color="auto"/>
            <w:left w:val="none" w:sz="0" w:space="0" w:color="auto"/>
            <w:bottom w:val="none" w:sz="0" w:space="0" w:color="auto"/>
            <w:right w:val="none" w:sz="0" w:space="0" w:color="auto"/>
          </w:divBdr>
          <w:divsChild>
            <w:div w:id="153303795">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99">
                  <w:marLeft w:val="0"/>
                  <w:marRight w:val="0"/>
                  <w:marTop w:val="0"/>
                  <w:marBottom w:val="0"/>
                  <w:divBdr>
                    <w:top w:val="none" w:sz="0" w:space="0" w:color="auto"/>
                    <w:left w:val="none" w:sz="0" w:space="0" w:color="auto"/>
                    <w:bottom w:val="none" w:sz="0" w:space="0" w:color="auto"/>
                    <w:right w:val="none" w:sz="0" w:space="0" w:color="auto"/>
                  </w:divBdr>
                  <w:divsChild>
                    <w:div w:id="153303773">
                      <w:marLeft w:val="-75"/>
                      <w:marRight w:val="-75"/>
                      <w:marTop w:val="0"/>
                      <w:marBottom w:val="0"/>
                      <w:divBdr>
                        <w:top w:val="none" w:sz="0" w:space="0" w:color="auto"/>
                        <w:left w:val="none" w:sz="0" w:space="0" w:color="auto"/>
                        <w:bottom w:val="none" w:sz="0" w:space="0" w:color="auto"/>
                        <w:right w:val="none" w:sz="0" w:space="0" w:color="auto"/>
                      </w:divBdr>
                      <w:divsChild>
                        <w:div w:id="1533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97">
      <w:marLeft w:val="0"/>
      <w:marRight w:val="0"/>
      <w:marTop w:val="0"/>
      <w:marBottom w:val="0"/>
      <w:divBdr>
        <w:top w:val="none" w:sz="0" w:space="0" w:color="auto"/>
        <w:left w:val="none" w:sz="0" w:space="0" w:color="auto"/>
        <w:bottom w:val="none" w:sz="0" w:space="0" w:color="auto"/>
        <w:right w:val="none" w:sz="0" w:space="0" w:color="auto"/>
      </w:divBdr>
    </w:div>
    <w:div w:id="153303802">
      <w:marLeft w:val="0"/>
      <w:marRight w:val="0"/>
      <w:marTop w:val="0"/>
      <w:marBottom w:val="0"/>
      <w:divBdr>
        <w:top w:val="none" w:sz="0" w:space="0" w:color="auto"/>
        <w:left w:val="none" w:sz="0" w:space="0" w:color="auto"/>
        <w:bottom w:val="none" w:sz="0" w:space="0" w:color="auto"/>
        <w:right w:val="none" w:sz="0" w:space="0" w:color="auto"/>
      </w:divBdr>
      <w:divsChild>
        <w:div w:id="153303776">
          <w:marLeft w:val="0"/>
          <w:marRight w:val="0"/>
          <w:marTop w:val="0"/>
          <w:marBottom w:val="0"/>
          <w:divBdr>
            <w:top w:val="none" w:sz="0" w:space="0" w:color="auto"/>
            <w:left w:val="none" w:sz="0" w:space="0" w:color="auto"/>
            <w:bottom w:val="none" w:sz="0" w:space="0" w:color="auto"/>
            <w:right w:val="none" w:sz="0" w:space="0" w:color="auto"/>
          </w:divBdr>
          <w:divsChild>
            <w:div w:id="153303798">
              <w:marLeft w:val="0"/>
              <w:marRight w:val="0"/>
              <w:marTop w:val="0"/>
              <w:marBottom w:val="0"/>
              <w:divBdr>
                <w:top w:val="none" w:sz="0" w:space="0" w:color="auto"/>
                <w:left w:val="none" w:sz="0" w:space="0" w:color="auto"/>
                <w:bottom w:val="none" w:sz="0" w:space="0" w:color="auto"/>
                <w:right w:val="none" w:sz="0" w:space="0" w:color="auto"/>
              </w:divBdr>
              <w:divsChild>
                <w:div w:id="153303768">
                  <w:marLeft w:val="0"/>
                  <w:marRight w:val="0"/>
                  <w:marTop w:val="0"/>
                  <w:marBottom w:val="0"/>
                  <w:divBdr>
                    <w:top w:val="none" w:sz="0" w:space="0" w:color="auto"/>
                    <w:left w:val="none" w:sz="0" w:space="0" w:color="auto"/>
                    <w:bottom w:val="none" w:sz="0" w:space="0" w:color="auto"/>
                    <w:right w:val="none" w:sz="0" w:space="0" w:color="auto"/>
                  </w:divBdr>
                  <w:divsChild>
                    <w:div w:id="1533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4">
      <w:marLeft w:val="0"/>
      <w:marRight w:val="0"/>
      <w:marTop w:val="0"/>
      <w:marBottom w:val="0"/>
      <w:divBdr>
        <w:top w:val="none" w:sz="0" w:space="0" w:color="auto"/>
        <w:left w:val="none" w:sz="0" w:space="0" w:color="auto"/>
        <w:bottom w:val="none" w:sz="0" w:space="0" w:color="auto"/>
        <w:right w:val="none" w:sz="0" w:space="0" w:color="auto"/>
      </w:divBdr>
    </w:div>
    <w:div w:id="153303805">
      <w:marLeft w:val="0"/>
      <w:marRight w:val="0"/>
      <w:marTop w:val="0"/>
      <w:marBottom w:val="0"/>
      <w:divBdr>
        <w:top w:val="none" w:sz="0" w:space="0" w:color="auto"/>
        <w:left w:val="none" w:sz="0" w:space="0" w:color="auto"/>
        <w:bottom w:val="none" w:sz="0" w:space="0" w:color="auto"/>
        <w:right w:val="none" w:sz="0" w:space="0" w:color="auto"/>
      </w:divBdr>
    </w:div>
    <w:div w:id="153303811">
      <w:marLeft w:val="0"/>
      <w:marRight w:val="0"/>
      <w:marTop w:val="0"/>
      <w:marBottom w:val="0"/>
      <w:divBdr>
        <w:top w:val="none" w:sz="0" w:space="0" w:color="auto"/>
        <w:left w:val="none" w:sz="0" w:space="0" w:color="auto"/>
        <w:bottom w:val="none" w:sz="0" w:space="0" w:color="auto"/>
        <w:right w:val="none" w:sz="0" w:space="0" w:color="auto"/>
      </w:divBdr>
      <w:divsChild>
        <w:div w:id="153303771">
          <w:marLeft w:val="0"/>
          <w:marRight w:val="0"/>
          <w:marTop w:val="0"/>
          <w:marBottom w:val="0"/>
          <w:divBdr>
            <w:top w:val="none" w:sz="0" w:space="0" w:color="auto"/>
            <w:left w:val="none" w:sz="0" w:space="0" w:color="auto"/>
            <w:bottom w:val="none" w:sz="0" w:space="0" w:color="auto"/>
            <w:right w:val="none" w:sz="0" w:space="0" w:color="auto"/>
          </w:divBdr>
          <w:divsChild>
            <w:div w:id="153303809">
              <w:marLeft w:val="0"/>
              <w:marRight w:val="0"/>
              <w:marTop w:val="0"/>
              <w:marBottom w:val="0"/>
              <w:divBdr>
                <w:top w:val="none" w:sz="0" w:space="0" w:color="auto"/>
                <w:left w:val="none" w:sz="0" w:space="0" w:color="auto"/>
                <w:bottom w:val="none" w:sz="0" w:space="0" w:color="auto"/>
                <w:right w:val="none" w:sz="0" w:space="0" w:color="auto"/>
              </w:divBdr>
              <w:divsChild>
                <w:div w:id="153303801">
                  <w:marLeft w:val="0"/>
                  <w:marRight w:val="0"/>
                  <w:marTop w:val="0"/>
                  <w:marBottom w:val="0"/>
                  <w:divBdr>
                    <w:top w:val="none" w:sz="0" w:space="0" w:color="auto"/>
                    <w:left w:val="none" w:sz="0" w:space="0" w:color="auto"/>
                    <w:bottom w:val="none" w:sz="0" w:space="0" w:color="auto"/>
                    <w:right w:val="none" w:sz="0" w:space="0" w:color="auto"/>
                  </w:divBdr>
                  <w:divsChild>
                    <w:div w:id="1533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13">
      <w:marLeft w:val="0"/>
      <w:marRight w:val="0"/>
      <w:marTop w:val="0"/>
      <w:marBottom w:val="0"/>
      <w:divBdr>
        <w:top w:val="none" w:sz="0" w:space="0" w:color="auto"/>
        <w:left w:val="none" w:sz="0" w:space="0" w:color="auto"/>
        <w:bottom w:val="none" w:sz="0" w:space="0" w:color="auto"/>
        <w:right w:val="none" w:sz="0" w:space="0" w:color="auto"/>
      </w:divBdr>
    </w:div>
    <w:div w:id="479811512">
      <w:bodyDiv w:val="1"/>
      <w:marLeft w:val="0"/>
      <w:marRight w:val="0"/>
      <w:marTop w:val="0"/>
      <w:marBottom w:val="0"/>
      <w:divBdr>
        <w:top w:val="none" w:sz="0" w:space="0" w:color="auto"/>
        <w:left w:val="none" w:sz="0" w:space="0" w:color="auto"/>
        <w:bottom w:val="none" w:sz="0" w:space="0" w:color="auto"/>
        <w:right w:val="none" w:sz="0" w:space="0" w:color="auto"/>
      </w:divBdr>
    </w:div>
    <w:div w:id="550923184">
      <w:bodyDiv w:val="1"/>
      <w:marLeft w:val="0"/>
      <w:marRight w:val="0"/>
      <w:marTop w:val="0"/>
      <w:marBottom w:val="0"/>
      <w:divBdr>
        <w:top w:val="none" w:sz="0" w:space="0" w:color="auto"/>
        <w:left w:val="none" w:sz="0" w:space="0" w:color="auto"/>
        <w:bottom w:val="none" w:sz="0" w:space="0" w:color="auto"/>
        <w:right w:val="none" w:sz="0" w:space="0" w:color="auto"/>
      </w:divBdr>
      <w:divsChild>
        <w:div w:id="138302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418564">
              <w:marLeft w:val="0"/>
              <w:marRight w:val="0"/>
              <w:marTop w:val="0"/>
              <w:marBottom w:val="0"/>
              <w:divBdr>
                <w:top w:val="none" w:sz="0" w:space="0" w:color="auto"/>
                <w:left w:val="none" w:sz="0" w:space="0" w:color="auto"/>
                <w:bottom w:val="none" w:sz="0" w:space="0" w:color="auto"/>
                <w:right w:val="none" w:sz="0" w:space="0" w:color="auto"/>
              </w:divBdr>
              <w:divsChild>
                <w:div w:id="208209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29512">
      <w:bodyDiv w:val="1"/>
      <w:marLeft w:val="0"/>
      <w:marRight w:val="0"/>
      <w:marTop w:val="0"/>
      <w:marBottom w:val="0"/>
      <w:divBdr>
        <w:top w:val="none" w:sz="0" w:space="0" w:color="auto"/>
        <w:left w:val="none" w:sz="0" w:space="0" w:color="auto"/>
        <w:bottom w:val="none" w:sz="0" w:space="0" w:color="auto"/>
        <w:right w:val="none" w:sz="0" w:space="0" w:color="auto"/>
      </w:divBdr>
    </w:div>
    <w:div w:id="1033725293">
      <w:bodyDiv w:val="1"/>
      <w:marLeft w:val="0"/>
      <w:marRight w:val="0"/>
      <w:marTop w:val="0"/>
      <w:marBottom w:val="0"/>
      <w:divBdr>
        <w:top w:val="none" w:sz="0" w:space="0" w:color="auto"/>
        <w:left w:val="none" w:sz="0" w:space="0" w:color="auto"/>
        <w:bottom w:val="none" w:sz="0" w:space="0" w:color="auto"/>
        <w:right w:val="none" w:sz="0" w:space="0" w:color="auto"/>
      </w:divBdr>
    </w:div>
    <w:div w:id="1493984016">
      <w:bodyDiv w:val="1"/>
      <w:marLeft w:val="0"/>
      <w:marRight w:val="0"/>
      <w:marTop w:val="0"/>
      <w:marBottom w:val="0"/>
      <w:divBdr>
        <w:top w:val="none" w:sz="0" w:space="0" w:color="auto"/>
        <w:left w:val="none" w:sz="0" w:space="0" w:color="auto"/>
        <w:bottom w:val="none" w:sz="0" w:space="0" w:color="auto"/>
        <w:right w:val="none" w:sz="0" w:space="0" w:color="auto"/>
      </w:divBdr>
      <w:divsChild>
        <w:div w:id="512645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170828">
              <w:marLeft w:val="0"/>
              <w:marRight w:val="0"/>
              <w:marTop w:val="0"/>
              <w:marBottom w:val="0"/>
              <w:divBdr>
                <w:top w:val="none" w:sz="0" w:space="0" w:color="auto"/>
                <w:left w:val="none" w:sz="0" w:space="0" w:color="auto"/>
                <w:bottom w:val="none" w:sz="0" w:space="0" w:color="auto"/>
                <w:right w:val="none" w:sz="0" w:space="0" w:color="auto"/>
              </w:divBdr>
              <w:divsChild>
                <w:div w:id="237136686">
                  <w:marLeft w:val="0"/>
                  <w:marRight w:val="0"/>
                  <w:marTop w:val="0"/>
                  <w:marBottom w:val="0"/>
                  <w:divBdr>
                    <w:top w:val="none" w:sz="0" w:space="0" w:color="auto"/>
                    <w:left w:val="none" w:sz="0" w:space="0" w:color="auto"/>
                    <w:bottom w:val="none" w:sz="0" w:space="0" w:color="auto"/>
                    <w:right w:val="none" w:sz="0" w:space="0" w:color="auto"/>
                  </w:divBdr>
                  <w:divsChild>
                    <w:div w:id="1552230380">
                      <w:marLeft w:val="0"/>
                      <w:marRight w:val="0"/>
                      <w:marTop w:val="0"/>
                      <w:marBottom w:val="0"/>
                      <w:divBdr>
                        <w:top w:val="none" w:sz="0" w:space="0" w:color="auto"/>
                        <w:left w:val="none" w:sz="0" w:space="0" w:color="auto"/>
                        <w:bottom w:val="none" w:sz="0" w:space="0" w:color="auto"/>
                        <w:right w:val="none" w:sz="0" w:space="0" w:color="auto"/>
                      </w:divBdr>
                      <w:divsChild>
                        <w:div w:id="2137720514">
                          <w:marLeft w:val="0"/>
                          <w:marRight w:val="0"/>
                          <w:marTop w:val="0"/>
                          <w:marBottom w:val="0"/>
                          <w:divBdr>
                            <w:top w:val="none" w:sz="0" w:space="0" w:color="auto"/>
                            <w:left w:val="none" w:sz="0" w:space="0" w:color="auto"/>
                            <w:bottom w:val="none" w:sz="0" w:space="0" w:color="auto"/>
                            <w:right w:val="none" w:sz="0" w:space="0" w:color="auto"/>
                          </w:divBdr>
                          <w:divsChild>
                            <w:div w:id="1325663002">
                              <w:marLeft w:val="0"/>
                              <w:marRight w:val="0"/>
                              <w:marTop w:val="0"/>
                              <w:marBottom w:val="0"/>
                              <w:divBdr>
                                <w:top w:val="none" w:sz="0" w:space="0" w:color="auto"/>
                                <w:left w:val="none" w:sz="0" w:space="0" w:color="auto"/>
                                <w:bottom w:val="none" w:sz="0" w:space="0" w:color="auto"/>
                                <w:right w:val="none" w:sz="0" w:space="0" w:color="auto"/>
                              </w:divBdr>
                              <w:divsChild>
                                <w:div w:id="1423989782">
                                  <w:marLeft w:val="0"/>
                                  <w:marRight w:val="0"/>
                                  <w:marTop w:val="0"/>
                                  <w:marBottom w:val="0"/>
                                  <w:divBdr>
                                    <w:top w:val="none" w:sz="0" w:space="0" w:color="auto"/>
                                    <w:left w:val="none" w:sz="0" w:space="0" w:color="auto"/>
                                    <w:bottom w:val="none" w:sz="0" w:space="0" w:color="auto"/>
                                    <w:right w:val="none" w:sz="0" w:space="0" w:color="auto"/>
                                  </w:divBdr>
                                  <w:divsChild>
                                    <w:div w:id="8175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thompson@hms.harvard.ed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3DED3-7225-BD41-A3C8-FA3B1F90A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27996</Words>
  <Characters>159582</Characters>
  <Application>Microsoft Office Word</Application>
  <DocSecurity>0</DocSecurity>
  <Lines>1329</Lines>
  <Paragraphs>374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6340-Sérgio – Tradcp -12126 -2019-03-29- Inglês americano</vt:lpstr>
      <vt:lpstr>6340-Sérgio – Tradcp -12126 -2019-03-29- Inglês americano</vt:lpstr>
    </vt:vector>
  </TitlesOfParts>
  <Company/>
  <LinksUpToDate>false</LinksUpToDate>
  <CharactersWithSpaces>187204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6340-Sérgio – Tradcp -12126 -2019-03-29- Inglês americano</dc:title>
  <dc:subject/>
  <dc:creator>Sérgio barrichello Barrichello</dc:creator>
  <cp:keywords/>
  <dc:description/>
  <cp:lastModifiedBy>Li Ma</cp:lastModifiedBy>
  <cp:revision>4</cp:revision>
  <dcterms:created xsi:type="dcterms:W3CDTF">2019-12-23T17:40:00Z</dcterms:created>
  <dcterms:modified xsi:type="dcterms:W3CDTF">2019-12-23T18:39:00Z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http://www.zotero.org/styles/clinics-and-research-in-hepatology-and-gastroenterology-x</vt:lpwstr>
  </property>
  <property fmtid="{D5CDD505-2E9C-101B-9397-08002B2CF9AE}" pid="5" name="Mendeley Recent Style Name 1_1">
    <vt:lpwstr>Clinics and Research in Hepatology and Gastroenterology: X</vt:lpwstr>
  </property>
  <property fmtid="{D5CDD505-2E9C-101B-9397-08002B2CF9AE}" pid="6" name="Mendeley Recent Style Id 2_1">
    <vt:lpwstr>http://www.zotero.org/styles/endoscopy-international-open</vt:lpwstr>
  </property>
  <property fmtid="{D5CDD505-2E9C-101B-9397-08002B2CF9AE}" pid="7" name="Mendeley Recent Style Name 2_1">
    <vt:lpwstr>Endoscopy International Open</vt:lpwstr>
  </property>
  <property fmtid="{D5CDD505-2E9C-101B-9397-08002B2CF9AE}" pid="8" name="Mendeley Recent Style Id 3_1">
    <vt:lpwstr>http://www.zotero.org/styles/gastrointestinal-endoscopy</vt:lpwstr>
  </property>
  <property fmtid="{D5CDD505-2E9C-101B-9397-08002B2CF9AE}" pid="9" name="Mendeley Recent Style Name 3_1">
    <vt:lpwstr>Gastrointestinal Endoscopy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http://www.zotero.org/styles/nature-no-et-al</vt:lpwstr>
  </property>
  <property fmtid="{D5CDD505-2E9C-101B-9397-08002B2CF9AE}" pid="13" name="Mendeley Recent Style Name 5_1">
    <vt:lpwstr>Nature (no "et al.")</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